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6684F" w14:textId="77777777" w:rsidR="0023575C" w:rsidRPr="00B7554F" w:rsidRDefault="00BE509C" w:rsidP="00475A52">
      <w:pPr>
        <w:pStyle w:val="HChG"/>
        <w:ind w:right="0" w:firstLine="0"/>
        <w:jc w:val="center"/>
        <w:rPr>
          <w:szCs w:val="28"/>
          <w:lang w:val="en-GB"/>
        </w:rPr>
      </w:pPr>
      <w:r w:rsidRPr="00B7554F">
        <w:rPr>
          <w:szCs w:val="28"/>
          <w:lang w:val="en-GB"/>
        </w:rPr>
        <w:t>Draft f</w:t>
      </w:r>
      <w:r w:rsidR="0023575C" w:rsidRPr="00B7554F">
        <w:rPr>
          <w:spacing w:val="-2"/>
          <w:szCs w:val="28"/>
          <w:lang w:val="en-GB"/>
        </w:rPr>
        <w:t xml:space="preserve">indings and </w:t>
      </w:r>
      <w:r w:rsidR="00C90CFC" w:rsidRPr="00B7554F">
        <w:rPr>
          <w:spacing w:val="-2"/>
          <w:szCs w:val="28"/>
          <w:lang w:val="en-GB"/>
        </w:rPr>
        <w:t>r</w:t>
      </w:r>
      <w:r w:rsidR="0023575C" w:rsidRPr="00B7554F">
        <w:rPr>
          <w:spacing w:val="-2"/>
          <w:szCs w:val="28"/>
          <w:lang w:val="en-GB"/>
        </w:rPr>
        <w:t xml:space="preserve">ecommendations with regard to </w:t>
      </w:r>
      <w:r w:rsidR="00C90CFC" w:rsidRPr="00B7554F">
        <w:rPr>
          <w:spacing w:val="-2"/>
          <w:szCs w:val="28"/>
          <w:lang w:val="en-GB"/>
        </w:rPr>
        <w:t>c</w:t>
      </w:r>
      <w:r w:rsidR="0023575C" w:rsidRPr="00B7554F">
        <w:rPr>
          <w:spacing w:val="-2"/>
          <w:szCs w:val="28"/>
          <w:lang w:val="en-GB"/>
        </w:rPr>
        <w:t>ommunication</w:t>
      </w:r>
      <w:r w:rsidR="0023575C" w:rsidRPr="00B7554F">
        <w:rPr>
          <w:szCs w:val="28"/>
          <w:lang w:val="en-GB"/>
        </w:rPr>
        <w:t xml:space="preserve"> </w:t>
      </w:r>
      <w:r w:rsidR="00683167" w:rsidRPr="00B7554F">
        <w:rPr>
          <w:szCs w:val="28"/>
          <w:lang w:val="en-GB"/>
        </w:rPr>
        <w:t>ACCC/C/</w:t>
      </w:r>
      <w:r w:rsidR="00CC6BD3" w:rsidRPr="00B7554F">
        <w:rPr>
          <w:szCs w:val="28"/>
          <w:lang w:val="en-GB"/>
        </w:rPr>
        <w:t>2014</w:t>
      </w:r>
      <w:r w:rsidR="000D759F" w:rsidRPr="00B7554F">
        <w:rPr>
          <w:szCs w:val="28"/>
          <w:lang w:val="en-GB"/>
        </w:rPr>
        <w:t>/</w:t>
      </w:r>
      <w:r w:rsidR="00CC6BD3" w:rsidRPr="00B7554F">
        <w:rPr>
          <w:szCs w:val="28"/>
          <w:lang w:val="en-GB"/>
        </w:rPr>
        <w:t>105</w:t>
      </w:r>
      <w:r w:rsidR="00D64460" w:rsidRPr="00B7554F">
        <w:rPr>
          <w:szCs w:val="28"/>
          <w:lang w:val="en-GB"/>
        </w:rPr>
        <w:t xml:space="preserve"> </w:t>
      </w:r>
      <w:r w:rsidR="0023575C" w:rsidRPr="00B7554F">
        <w:rPr>
          <w:szCs w:val="28"/>
          <w:lang w:val="en-GB"/>
        </w:rPr>
        <w:t xml:space="preserve">concerning compliance by </w:t>
      </w:r>
      <w:r w:rsidR="00CC6BD3" w:rsidRPr="00B7554F">
        <w:rPr>
          <w:szCs w:val="28"/>
          <w:lang w:val="en-GB"/>
        </w:rPr>
        <w:t>Hungary</w:t>
      </w:r>
    </w:p>
    <w:p w14:paraId="559C67FA" w14:textId="77777777" w:rsidR="009E5900" w:rsidRPr="00B7554F" w:rsidRDefault="009E5900" w:rsidP="00475A52">
      <w:pPr>
        <w:pStyle w:val="H1G"/>
        <w:ind w:right="0"/>
        <w:jc w:val="center"/>
        <w:rPr>
          <w:sz w:val="28"/>
          <w:szCs w:val="28"/>
          <w:lang w:val="en-GB"/>
        </w:rPr>
      </w:pPr>
      <w:r w:rsidRPr="00B7554F">
        <w:rPr>
          <w:sz w:val="28"/>
          <w:szCs w:val="28"/>
          <w:lang w:val="en-GB"/>
        </w:rPr>
        <w:t xml:space="preserve">Adopted by the Compliance Committee on </w:t>
      </w:r>
      <w:r w:rsidR="0013259A" w:rsidRPr="00B7554F">
        <w:rPr>
          <w:sz w:val="28"/>
          <w:szCs w:val="28"/>
          <w:lang w:val="en-GB"/>
        </w:rPr>
        <w:t>…</w:t>
      </w:r>
    </w:p>
    <w:p w14:paraId="6C4DD462" w14:textId="77777777" w:rsidR="0023575C" w:rsidRPr="00B7554F" w:rsidRDefault="00D971FB" w:rsidP="005472EB">
      <w:pPr>
        <w:pStyle w:val="HChG"/>
        <w:numPr>
          <w:ilvl w:val="0"/>
          <w:numId w:val="6"/>
        </w:numPr>
        <w:ind w:right="0"/>
        <w:rPr>
          <w:lang w:val="en-GB"/>
        </w:rPr>
      </w:pPr>
      <w:r w:rsidRPr="00B7554F">
        <w:rPr>
          <w:lang w:val="en-GB"/>
        </w:rPr>
        <w:t>Introduction</w:t>
      </w:r>
    </w:p>
    <w:p w14:paraId="00D9A965" w14:textId="529E2257" w:rsidR="00F56A6B" w:rsidRPr="00B7554F" w:rsidRDefault="00E9436B" w:rsidP="00632241">
      <w:pPr>
        <w:pStyle w:val="SingleTxtG"/>
        <w:numPr>
          <w:ilvl w:val="0"/>
          <w:numId w:val="3"/>
        </w:numPr>
        <w:ind w:left="1100" w:right="0" w:firstLine="0"/>
        <w:rPr>
          <w:sz w:val="20"/>
          <w:lang w:val="en-GB"/>
        </w:rPr>
      </w:pPr>
      <w:r w:rsidRPr="00B7554F">
        <w:rPr>
          <w:sz w:val="20"/>
          <w:lang w:val="en-GB"/>
        </w:rPr>
        <w:t xml:space="preserve">On </w:t>
      </w:r>
      <w:r w:rsidR="00647283" w:rsidRPr="00B7554F">
        <w:rPr>
          <w:sz w:val="20"/>
          <w:lang w:val="en-GB"/>
        </w:rPr>
        <w:t>11</w:t>
      </w:r>
      <w:r w:rsidR="003E5A96" w:rsidRPr="00B7554F">
        <w:rPr>
          <w:sz w:val="20"/>
          <w:lang w:val="en-GB"/>
        </w:rPr>
        <w:t xml:space="preserve"> </w:t>
      </w:r>
      <w:r w:rsidR="00647283" w:rsidRPr="00B7554F">
        <w:rPr>
          <w:sz w:val="20"/>
          <w:lang w:val="en-GB"/>
        </w:rPr>
        <w:t>June</w:t>
      </w:r>
      <w:r w:rsidR="00D03AB9" w:rsidRPr="00B7554F">
        <w:rPr>
          <w:sz w:val="20"/>
          <w:lang w:val="en-GB"/>
        </w:rPr>
        <w:t xml:space="preserve"> 201</w:t>
      </w:r>
      <w:r w:rsidR="00647283" w:rsidRPr="00B7554F">
        <w:rPr>
          <w:sz w:val="20"/>
          <w:lang w:val="en-GB"/>
        </w:rPr>
        <w:t>4</w:t>
      </w:r>
      <w:r w:rsidR="00D03AB9" w:rsidRPr="00B7554F">
        <w:rPr>
          <w:sz w:val="20"/>
          <w:lang w:val="en-GB"/>
        </w:rPr>
        <w:t>,</w:t>
      </w:r>
      <w:r w:rsidR="00D03AB9" w:rsidRPr="00B7554F">
        <w:rPr>
          <w:sz w:val="20"/>
          <w:szCs w:val="20"/>
          <w:lang w:val="en-GB"/>
        </w:rPr>
        <w:t xml:space="preserve"> </w:t>
      </w:r>
      <w:r w:rsidR="00813194" w:rsidRPr="00B7554F">
        <w:rPr>
          <w:sz w:val="20"/>
          <w:lang w:val="en-GB"/>
        </w:rPr>
        <w:t>non</w:t>
      </w:r>
      <w:r w:rsidR="00B409BB" w:rsidRPr="00B7554F">
        <w:rPr>
          <w:sz w:val="20"/>
          <w:lang w:val="en-GB"/>
        </w:rPr>
        <w:t>-</w:t>
      </w:r>
      <w:r w:rsidR="00813194" w:rsidRPr="00B7554F">
        <w:rPr>
          <w:sz w:val="20"/>
          <w:lang w:val="en-GB"/>
        </w:rPr>
        <w:t xml:space="preserve">governmental organizations </w:t>
      </w:r>
      <w:r w:rsidR="00647283" w:rsidRPr="00B7554F">
        <w:rPr>
          <w:sz w:val="20"/>
          <w:lang w:val="en-GB"/>
        </w:rPr>
        <w:t>Hungarian Greenpeace Association and Energiaklub Climate Policy Institute and Applied Communications</w:t>
      </w:r>
      <w:r w:rsidR="00DC76B9" w:rsidRPr="00B7554F">
        <w:rPr>
          <w:sz w:val="20"/>
          <w:lang w:val="en-GB"/>
        </w:rPr>
        <w:t xml:space="preserve"> (</w:t>
      </w:r>
      <w:r w:rsidR="003B0E3B" w:rsidRPr="00B7554F">
        <w:rPr>
          <w:sz w:val="20"/>
          <w:lang w:val="en-GB"/>
        </w:rPr>
        <w:t>Energ</w:t>
      </w:r>
      <w:r w:rsidR="009929C4" w:rsidRPr="00B7554F">
        <w:rPr>
          <w:sz w:val="20"/>
          <w:lang w:val="en-GB"/>
        </w:rPr>
        <w:t>iak</w:t>
      </w:r>
      <w:r w:rsidR="00DC76B9" w:rsidRPr="00B7554F">
        <w:rPr>
          <w:sz w:val="20"/>
          <w:lang w:val="en-GB"/>
        </w:rPr>
        <w:t>lub)</w:t>
      </w:r>
      <w:r w:rsidR="00F56A6B" w:rsidRPr="00B7554F">
        <w:rPr>
          <w:sz w:val="20"/>
          <w:lang w:val="en-GB"/>
        </w:rPr>
        <w:t xml:space="preserve"> (the communicant</w:t>
      </w:r>
      <w:r w:rsidR="00647283" w:rsidRPr="00B7554F">
        <w:rPr>
          <w:sz w:val="20"/>
          <w:lang w:val="en-GB"/>
        </w:rPr>
        <w:t>s</w:t>
      </w:r>
      <w:r w:rsidR="00F56A6B" w:rsidRPr="00B7554F">
        <w:rPr>
          <w:sz w:val="20"/>
          <w:lang w:val="en-GB"/>
        </w:rPr>
        <w:t xml:space="preserve">) submitted a communication to the Compliance Committee under the Convention on Access to Information, Public Participation in Decision-making and Access to Justice in Environmental Matters (Aarhus Convention) alleging </w:t>
      </w:r>
      <w:r w:rsidR="00EE4F3D" w:rsidRPr="00B7554F">
        <w:rPr>
          <w:sz w:val="20"/>
          <w:lang w:val="en-GB"/>
        </w:rPr>
        <w:t xml:space="preserve">the failure of </w:t>
      </w:r>
      <w:r w:rsidR="00647283" w:rsidRPr="00B7554F">
        <w:rPr>
          <w:sz w:val="20"/>
          <w:lang w:val="en-GB"/>
        </w:rPr>
        <w:t xml:space="preserve">Hungary </w:t>
      </w:r>
      <w:r w:rsidR="00EE4F3D" w:rsidRPr="00B7554F">
        <w:rPr>
          <w:sz w:val="20"/>
          <w:lang w:val="en-GB"/>
        </w:rPr>
        <w:t xml:space="preserve">to comply with </w:t>
      </w:r>
      <w:r w:rsidR="00311AD2" w:rsidRPr="00B7554F">
        <w:rPr>
          <w:sz w:val="20"/>
          <w:lang w:val="en-GB"/>
        </w:rPr>
        <w:t>article</w:t>
      </w:r>
      <w:r w:rsidR="009633D2" w:rsidRPr="00B7554F">
        <w:rPr>
          <w:sz w:val="20"/>
          <w:lang w:val="en-GB"/>
        </w:rPr>
        <w:t>s</w:t>
      </w:r>
      <w:r w:rsidR="00311AD2" w:rsidRPr="00B7554F">
        <w:rPr>
          <w:sz w:val="20"/>
          <w:lang w:val="en-GB"/>
        </w:rPr>
        <w:t xml:space="preserve"> 3</w:t>
      </w:r>
      <w:r w:rsidR="003A5378" w:rsidRPr="00B7554F">
        <w:rPr>
          <w:sz w:val="20"/>
          <w:lang w:val="en-GB"/>
        </w:rPr>
        <w:t>(</w:t>
      </w:r>
      <w:r w:rsidR="00311AD2" w:rsidRPr="00B7554F">
        <w:rPr>
          <w:sz w:val="20"/>
          <w:lang w:val="en-GB"/>
        </w:rPr>
        <w:t>1</w:t>
      </w:r>
      <w:r w:rsidR="003A5378" w:rsidRPr="00B7554F">
        <w:rPr>
          <w:sz w:val="20"/>
          <w:lang w:val="en-GB"/>
        </w:rPr>
        <w:t>)</w:t>
      </w:r>
      <w:r w:rsidR="00311AD2" w:rsidRPr="00B7554F">
        <w:rPr>
          <w:sz w:val="20"/>
          <w:lang w:val="en-GB"/>
        </w:rPr>
        <w:t>, 4</w:t>
      </w:r>
      <w:r w:rsidR="003A5378" w:rsidRPr="00B7554F">
        <w:rPr>
          <w:sz w:val="20"/>
          <w:lang w:val="en-GB"/>
        </w:rPr>
        <w:t>(</w:t>
      </w:r>
      <w:r w:rsidR="00647283" w:rsidRPr="00B7554F">
        <w:rPr>
          <w:sz w:val="20"/>
          <w:lang w:val="en-GB"/>
        </w:rPr>
        <w:t>2</w:t>
      </w:r>
      <w:r w:rsidR="003A5378" w:rsidRPr="00B7554F">
        <w:rPr>
          <w:sz w:val="20"/>
          <w:lang w:val="en-GB"/>
        </w:rPr>
        <w:t>)</w:t>
      </w:r>
      <w:r w:rsidR="00647283" w:rsidRPr="00B7554F">
        <w:rPr>
          <w:sz w:val="20"/>
          <w:lang w:val="en-GB"/>
        </w:rPr>
        <w:t xml:space="preserve"> and </w:t>
      </w:r>
      <w:r w:rsidR="00813194" w:rsidRPr="00B7554F">
        <w:rPr>
          <w:sz w:val="20"/>
          <w:lang w:val="en-GB"/>
        </w:rPr>
        <w:t>(</w:t>
      </w:r>
      <w:r w:rsidR="00647283" w:rsidRPr="00B7554F">
        <w:rPr>
          <w:sz w:val="20"/>
          <w:lang w:val="en-GB"/>
        </w:rPr>
        <w:t>3</w:t>
      </w:r>
      <w:r w:rsidR="00813194" w:rsidRPr="00B7554F">
        <w:rPr>
          <w:sz w:val="20"/>
          <w:lang w:val="en-GB"/>
        </w:rPr>
        <w:t>)</w:t>
      </w:r>
      <w:r w:rsidR="00647283" w:rsidRPr="00B7554F">
        <w:rPr>
          <w:sz w:val="20"/>
          <w:lang w:val="en-GB"/>
        </w:rPr>
        <w:t>(c)</w:t>
      </w:r>
      <w:r w:rsidR="00632241" w:rsidRPr="00B7554F">
        <w:rPr>
          <w:sz w:val="20"/>
          <w:lang w:val="en-GB"/>
        </w:rPr>
        <w:t>,</w:t>
      </w:r>
      <w:r w:rsidR="00647283" w:rsidRPr="00B7554F">
        <w:rPr>
          <w:sz w:val="20"/>
          <w:lang w:val="en-GB"/>
        </w:rPr>
        <w:t xml:space="preserve"> </w:t>
      </w:r>
      <w:r w:rsidR="009633D2" w:rsidRPr="00B7554F">
        <w:rPr>
          <w:sz w:val="20"/>
          <w:lang w:val="en-GB"/>
        </w:rPr>
        <w:t>5</w:t>
      </w:r>
      <w:r w:rsidR="003A5378" w:rsidRPr="00B7554F">
        <w:rPr>
          <w:sz w:val="20"/>
          <w:lang w:val="en-GB"/>
        </w:rPr>
        <w:t>(</w:t>
      </w:r>
      <w:r w:rsidR="00632241" w:rsidRPr="00B7554F">
        <w:rPr>
          <w:sz w:val="20"/>
          <w:lang w:val="en-GB"/>
        </w:rPr>
        <w:t>7</w:t>
      </w:r>
      <w:r w:rsidR="003A5378" w:rsidRPr="00B7554F">
        <w:rPr>
          <w:sz w:val="20"/>
          <w:lang w:val="en-GB"/>
        </w:rPr>
        <w:t>)</w:t>
      </w:r>
      <w:r w:rsidR="00632241" w:rsidRPr="00B7554F">
        <w:rPr>
          <w:sz w:val="20"/>
          <w:lang w:val="en-GB"/>
        </w:rPr>
        <w:t xml:space="preserve"> and </w:t>
      </w:r>
      <w:r w:rsidR="00647283" w:rsidRPr="00B7554F">
        <w:rPr>
          <w:sz w:val="20"/>
          <w:lang w:val="en-GB"/>
        </w:rPr>
        <w:t>7</w:t>
      </w:r>
      <w:r w:rsidR="0059497D" w:rsidRPr="00B7554F">
        <w:rPr>
          <w:sz w:val="20"/>
          <w:lang w:val="en-GB"/>
        </w:rPr>
        <w:t xml:space="preserve"> of the Convention</w:t>
      </w:r>
      <w:r w:rsidR="003E5A96" w:rsidRPr="00B7554F">
        <w:rPr>
          <w:sz w:val="20"/>
          <w:lang w:val="en-GB"/>
        </w:rPr>
        <w:t>.</w:t>
      </w:r>
    </w:p>
    <w:p w14:paraId="3944297C" w14:textId="121EFD2D" w:rsidR="0091497D" w:rsidRPr="00B7554F" w:rsidRDefault="00EE4F3D" w:rsidP="00BD11B6">
      <w:pPr>
        <w:pStyle w:val="SingleTxtG"/>
        <w:numPr>
          <w:ilvl w:val="0"/>
          <w:numId w:val="3"/>
        </w:numPr>
        <w:ind w:left="1100" w:right="0" w:firstLine="0"/>
        <w:rPr>
          <w:sz w:val="20"/>
          <w:lang w:val="en-GB"/>
        </w:rPr>
      </w:pPr>
      <w:r w:rsidRPr="00B7554F">
        <w:rPr>
          <w:sz w:val="20"/>
          <w:lang w:val="en-GB"/>
        </w:rPr>
        <w:t>Specific</w:t>
      </w:r>
      <w:r w:rsidR="008806E8" w:rsidRPr="00B7554F">
        <w:rPr>
          <w:sz w:val="20"/>
          <w:lang w:val="en-GB"/>
        </w:rPr>
        <w:t xml:space="preserve">ally, </w:t>
      </w:r>
      <w:r w:rsidR="00D80AAE" w:rsidRPr="00B7554F">
        <w:rPr>
          <w:sz w:val="20"/>
          <w:lang w:val="en-GB"/>
        </w:rPr>
        <w:t>the communicant</w:t>
      </w:r>
      <w:r w:rsidR="00BD11B6" w:rsidRPr="00B7554F">
        <w:rPr>
          <w:sz w:val="20"/>
          <w:lang w:val="en-GB"/>
        </w:rPr>
        <w:t>s</w:t>
      </w:r>
      <w:r w:rsidR="0091497D" w:rsidRPr="00B7554F">
        <w:rPr>
          <w:sz w:val="20"/>
          <w:lang w:val="en-GB"/>
        </w:rPr>
        <w:t xml:space="preserve"> </w:t>
      </w:r>
      <w:r w:rsidR="00BD11B6" w:rsidRPr="00B7554F">
        <w:rPr>
          <w:sz w:val="20"/>
          <w:lang w:val="en-GB"/>
        </w:rPr>
        <w:t>allege</w:t>
      </w:r>
      <w:r w:rsidR="0091497D" w:rsidRPr="00B7554F">
        <w:rPr>
          <w:sz w:val="20"/>
          <w:lang w:val="en-GB"/>
        </w:rPr>
        <w:t xml:space="preserve"> non-compliance with </w:t>
      </w:r>
      <w:r w:rsidR="00311AD2" w:rsidRPr="00B7554F">
        <w:rPr>
          <w:sz w:val="20"/>
          <w:lang w:val="en-GB"/>
        </w:rPr>
        <w:t>article 3</w:t>
      </w:r>
      <w:r w:rsidR="0097358C" w:rsidRPr="00B7554F">
        <w:rPr>
          <w:sz w:val="20"/>
          <w:lang w:val="en-GB"/>
        </w:rPr>
        <w:t>(</w:t>
      </w:r>
      <w:r w:rsidR="00BD11B6" w:rsidRPr="00B7554F">
        <w:rPr>
          <w:sz w:val="20"/>
          <w:lang w:val="en-GB"/>
        </w:rPr>
        <w:t>1</w:t>
      </w:r>
      <w:r w:rsidR="0097358C" w:rsidRPr="00B7554F">
        <w:rPr>
          <w:sz w:val="20"/>
          <w:lang w:val="en-GB"/>
        </w:rPr>
        <w:t>)</w:t>
      </w:r>
      <w:r w:rsidR="00A31CA4" w:rsidRPr="00B7554F">
        <w:rPr>
          <w:sz w:val="20"/>
          <w:lang w:val="en-GB"/>
        </w:rPr>
        <w:t xml:space="preserve"> and </w:t>
      </w:r>
      <w:r w:rsidR="00311AD2" w:rsidRPr="00B7554F">
        <w:rPr>
          <w:sz w:val="20"/>
          <w:lang w:val="en-GB"/>
        </w:rPr>
        <w:t>4</w:t>
      </w:r>
      <w:r w:rsidR="0097358C" w:rsidRPr="00B7554F">
        <w:rPr>
          <w:sz w:val="20"/>
          <w:lang w:val="en-GB"/>
        </w:rPr>
        <w:t>(</w:t>
      </w:r>
      <w:r w:rsidR="00BD11B6" w:rsidRPr="00B7554F">
        <w:rPr>
          <w:sz w:val="20"/>
          <w:lang w:val="en-GB"/>
        </w:rPr>
        <w:t>2</w:t>
      </w:r>
      <w:r w:rsidR="0097358C" w:rsidRPr="00B7554F">
        <w:rPr>
          <w:sz w:val="20"/>
          <w:lang w:val="en-GB"/>
        </w:rPr>
        <w:t>)</w:t>
      </w:r>
      <w:r w:rsidR="00BD11B6" w:rsidRPr="00B7554F">
        <w:rPr>
          <w:sz w:val="20"/>
          <w:lang w:val="en-GB"/>
        </w:rPr>
        <w:t xml:space="preserve"> and </w:t>
      </w:r>
      <w:r w:rsidR="001930E4" w:rsidRPr="00B7554F">
        <w:rPr>
          <w:sz w:val="20"/>
          <w:lang w:val="en-GB"/>
        </w:rPr>
        <w:t>(</w:t>
      </w:r>
      <w:r w:rsidR="00BD11B6" w:rsidRPr="00B7554F">
        <w:rPr>
          <w:sz w:val="20"/>
          <w:lang w:val="en-GB"/>
        </w:rPr>
        <w:t>3</w:t>
      </w:r>
      <w:r w:rsidR="001930E4" w:rsidRPr="00B7554F">
        <w:rPr>
          <w:sz w:val="20"/>
          <w:lang w:val="en-GB"/>
        </w:rPr>
        <w:t>)</w:t>
      </w:r>
      <w:r w:rsidR="00BD11B6" w:rsidRPr="00B7554F">
        <w:rPr>
          <w:sz w:val="20"/>
          <w:lang w:val="en-GB"/>
        </w:rPr>
        <w:t>(c)</w:t>
      </w:r>
      <w:r w:rsidR="0097358C" w:rsidRPr="00B7554F">
        <w:rPr>
          <w:sz w:val="20"/>
          <w:lang w:val="en-GB"/>
        </w:rPr>
        <w:t xml:space="preserve"> </w:t>
      </w:r>
      <w:r w:rsidR="0091497D" w:rsidRPr="00B7554F">
        <w:rPr>
          <w:sz w:val="20"/>
          <w:lang w:val="en-GB"/>
        </w:rPr>
        <w:t>of the Convention in connection with</w:t>
      </w:r>
      <w:r w:rsidR="004F347C" w:rsidRPr="00B7554F">
        <w:rPr>
          <w:sz w:val="20"/>
          <w:lang w:val="en-GB"/>
        </w:rPr>
        <w:t xml:space="preserve"> </w:t>
      </w:r>
      <w:r w:rsidR="00D7619B" w:rsidRPr="00B7554F">
        <w:rPr>
          <w:sz w:val="20"/>
          <w:lang w:val="en-GB"/>
        </w:rPr>
        <w:t xml:space="preserve">their requests for </w:t>
      </w:r>
      <w:r w:rsidR="004F347C" w:rsidRPr="00B7554F">
        <w:rPr>
          <w:sz w:val="20"/>
          <w:lang w:val="en-GB"/>
        </w:rPr>
        <w:t>access to information concerning</w:t>
      </w:r>
      <w:r w:rsidR="0091497D" w:rsidRPr="00B7554F">
        <w:rPr>
          <w:sz w:val="20"/>
          <w:lang w:val="en-GB"/>
        </w:rPr>
        <w:t xml:space="preserve"> plans to </w:t>
      </w:r>
      <w:r w:rsidR="004F347C" w:rsidRPr="00B7554F">
        <w:rPr>
          <w:sz w:val="20"/>
          <w:lang w:val="en-GB"/>
        </w:rPr>
        <w:t xml:space="preserve">build new units at </w:t>
      </w:r>
      <w:r w:rsidR="0091497D" w:rsidRPr="00B7554F">
        <w:rPr>
          <w:sz w:val="20"/>
          <w:lang w:val="en-GB"/>
        </w:rPr>
        <w:t xml:space="preserve">the Paks Nuclear Power Plant </w:t>
      </w:r>
      <w:r w:rsidR="001A4478" w:rsidRPr="00B7554F">
        <w:rPr>
          <w:sz w:val="20"/>
          <w:lang w:val="en-GB"/>
        </w:rPr>
        <w:t xml:space="preserve">(NPP) </w:t>
      </w:r>
      <w:r w:rsidR="0091497D" w:rsidRPr="00B7554F">
        <w:rPr>
          <w:sz w:val="20"/>
          <w:lang w:val="en-GB"/>
        </w:rPr>
        <w:t>in Hungary</w:t>
      </w:r>
      <w:r w:rsidR="004F347C" w:rsidRPr="00B7554F">
        <w:rPr>
          <w:sz w:val="20"/>
          <w:lang w:val="en-GB"/>
        </w:rPr>
        <w:t xml:space="preserve"> and </w:t>
      </w:r>
      <w:r w:rsidR="0059497D" w:rsidRPr="00B7554F">
        <w:rPr>
          <w:sz w:val="20"/>
          <w:lang w:val="en-GB"/>
        </w:rPr>
        <w:t xml:space="preserve">a </w:t>
      </w:r>
      <w:r w:rsidR="00914616" w:rsidRPr="00B7554F">
        <w:rPr>
          <w:sz w:val="20"/>
          <w:lang w:val="en-GB"/>
        </w:rPr>
        <w:t xml:space="preserve">breach of </w:t>
      </w:r>
      <w:r w:rsidR="00BD11B6" w:rsidRPr="00B7554F">
        <w:rPr>
          <w:sz w:val="20"/>
          <w:lang w:val="en-GB"/>
        </w:rPr>
        <w:t>article 5</w:t>
      </w:r>
      <w:r w:rsidR="0097358C" w:rsidRPr="00B7554F">
        <w:rPr>
          <w:sz w:val="20"/>
          <w:lang w:val="en-GB"/>
        </w:rPr>
        <w:t>(</w:t>
      </w:r>
      <w:r w:rsidR="00BD11B6" w:rsidRPr="00B7554F">
        <w:rPr>
          <w:sz w:val="20"/>
          <w:lang w:val="en-GB"/>
        </w:rPr>
        <w:t>7</w:t>
      </w:r>
      <w:r w:rsidR="0097358C" w:rsidRPr="00B7554F">
        <w:rPr>
          <w:sz w:val="20"/>
          <w:lang w:val="en-GB"/>
        </w:rPr>
        <w:t>)</w:t>
      </w:r>
      <w:r w:rsidR="00BD11B6" w:rsidRPr="00B7554F">
        <w:rPr>
          <w:sz w:val="20"/>
          <w:lang w:val="en-GB"/>
        </w:rPr>
        <w:t xml:space="preserve"> and article 7 in connection with </w:t>
      </w:r>
      <w:r w:rsidR="00D7619B" w:rsidRPr="00B7554F">
        <w:rPr>
          <w:sz w:val="20"/>
          <w:lang w:val="en-GB"/>
        </w:rPr>
        <w:t xml:space="preserve">the </w:t>
      </w:r>
      <w:r w:rsidR="004F347C" w:rsidRPr="00B7554F">
        <w:rPr>
          <w:sz w:val="20"/>
          <w:lang w:val="en-GB"/>
        </w:rPr>
        <w:t xml:space="preserve">associated </w:t>
      </w:r>
      <w:r w:rsidR="00BD11B6" w:rsidRPr="00B7554F">
        <w:rPr>
          <w:sz w:val="20"/>
          <w:lang w:val="en-GB"/>
        </w:rPr>
        <w:t>decision-making procedure</w:t>
      </w:r>
      <w:r w:rsidR="00555360" w:rsidRPr="00B7554F">
        <w:rPr>
          <w:sz w:val="20"/>
          <w:lang w:val="en-GB"/>
        </w:rPr>
        <w:t>s</w:t>
      </w:r>
      <w:r w:rsidR="00BD11B6" w:rsidRPr="00B7554F">
        <w:rPr>
          <w:sz w:val="20"/>
          <w:lang w:val="en-GB"/>
        </w:rPr>
        <w:t xml:space="preserve">. </w:t>
      </w:r>
    </w:p>
    <w:p w14:paraId="06F850D2" w14:textId="77777777" w:rsidR="0059497D" w:rsidRPr="00B7554F" w:rsidRDefault="00841A60" w:rsidP="003D7B98">
      <w:pPr>
        <w:pStyle w:val="SingleTxtG"/>
        <w:numPr>
          <w:ilvl w:val="0"/>
          <w:numId w:val="3"/>
        </w:numPr>
        <w:ind w:left="1100" w:right="0" w:firstLine="0"/>
        <w:rPr>
          <w:sz w:val="20"/>
          <w:lang w:val="en-GB"/>
        </w:rPr>
      </w:pPr>
      <w:r w:rsidRPr="00B7554F">
        <w:rPr>
          <w:sz w:val="20"/>
          <w:lang w:val="en-GB"/>
        </w:rPr>
        <w:t xml:space="preserve">At </w:t>
      </w:r>
      <w:r w:rsidR="00BD11B6" w:rsidRPr="00B7554F">
        <w:rPr>
          <w:sz w:val="20"/>
          <w:lang w:val="en-GB"/>
        </w:rPr>
        <w:t>its forty-fifth meeting (</w:t>
      </w:r>
      <w:r w:rsidR="00C118BF" w:rsidRPr="00B7554F">
        <w:rPr>
          <w:sz w:val="20"/>
          <w:lang w:val="en-GB"/>
        </w:rPr>
        <w:t xml:space="preserve">Geneva, </w:t>
      </w:r>
      <w:r w:rsidR="00BD11B6" w:rsidRPr="00B7554F">
        <w:rPr>
          <w:sz w:val="20"/>
          <w:lang w:val="en-GB"/>
        </w:rPr>
        <w:t>29 June</w:t>
      </w:r>
      <w:r w:rsidR="007C77D3" w:rsidRPr="00B7554F">
        <w:rPr>
          <w:sz w:val="20"/>
          <w:lang w:val="en-GB"/>
        </w:rPr>
        <w:t>-</w:t>
      </w:r>
      <w:r w:rsidR="00BD11B6" w:rsidRPr="00B7554F">
        <w:rPr>
          <w:sz w:val="20"/>
          <w:lang w:val="en-GB"/>
        </w:rPr>
        <w:t>2 July 2014)</w:t>
      </w:r>
      <w:r w:rsidR="0059497D" w:rsidRPr="00B7554F">
        <w:rPr>
          <w:sz w:val="20"/>
          <w:lang w:val="en-GB"/>
        </w:rPr>
        <w:t>,</w:t>
      </w:r>
      <w:r w:rsidR="00BD11B6" w:rsidRPr="00B7554F">
        <w:rPr>
          <w:sz w:val="20"/>
          <w:lang w:val="en-GB"/>
        </w:rPr>
        <w:t xml:space="preserve"> the Committee </w:t>
      </w:r>
      <w:r w:rsidRPr="00B7554F">
        <w:rPr>
          <w:sz w:val="20"/>
          <w:lang w:val="en-GB"/>
        </w:rPr>
        <w:t>determined on a preliminary basis that t</w:t>
      </w:r>
      <w:r w:rsidR="00DC45C8" w:rsidRPr="00B7554F">
        <w:rPr>
          <w:sz w:val="20"/>
          <w:lang w:val="en-GB"/>
        </w:rPr>
        <w:t>he communication was admissible and requested the secretariat to forward the communication to the Party concerned</w:t>
      </w:r>
      <w:r w:rsidR="0059497D" w:rsidRPr="00B7554F">
        <w:rPr>
          <w:sz w:val="20"/>
          <w:lang w:val="en-GB"/>
        </w:rPr>
        <w:t xml:space="preserve"> and to</w:t>
      </w:r>
      <w:r w:rsidR="00DC45C8" w:rsidRPr="00B7554F">
        <w:rPr>
          <w:sz w:val="20"/>
          <w:lang w:val="en-GB"/>
        </w:rPr>
        <w:t xml:space="preserve"> seek further information from the </w:t>
      </w:r>
      <w:r w:rsidR="00735C12" w:rsidRPr="00B7554F">
        <w:rPr>
          <w:sz w:val="20"/>
          <w:lang w:val="en-GB"/>
        </w:rPr>
        <w:t>communicants</w:t>
      </w:r>
      <w:r w:rsidR="00DC45C8" w:rsidRPr="00B7554F">
        <w:rPr>
          <w:sz w:val="20"/>
          <w:lang w:val="en-GB"/>
        </w:rPr>
        <w:t xml:space="preserve"> with respect to the use of domestic remedies. </w:t>
      </w:r>
    </w:p>
    <w:p w14:paraId="7F412DE6" w14:textId="77777777" w:rsidR="00301DC8" w:rsidRPr="00B7554F" w:rsidRDefault="00A9197D" w:rsidP="003D7B98">
      <w:pPr>
        <w:pStyle w:val="SingleTxtG"/>
        <w:numPr>
          <w:ilvl w:val="0"/>
          <w:numId w:val="3"/>
        </w:numPr>
        <w:ind w:left="1100" w:right="0" w:firstLine="0"/>
        <w:rPr>
          <w:sz w:val="20"/>
          <w:lang w:val="en-GB"/>
        </w:rPr>
      </w:pPr>
      <w:r w:rsidRPr="00B7554F">
        <w:rPr>
          <w:sz w:val="20"/>
          <w:lang w:val="en-GB"/>
        </w:rPr>
        <w:t xml:space="preserve">Pursuant to paragraph 22 of the annex to decision I/7 of the Meeting of the Parties to the Convention, the communication was forwarded to the Party concerned on </w:t>
      </w:r>
      <w:r w:rsidR="0097358C" w:rsidRPr="00B7554F">
        <w:rPr>
          <w:sz w:val="20"/>
          <w:lang w:val="en-GB"/>
        </w:rPr>
        <w:br/>
      </w:r>
      <w:r w:rsidR="003D7B98" w:rsidRPr="00B7554F">
        <w:rPr>
          <w:sz w:val="20"/>
          <w:lang w:val="en-GB"/>
        </w:rPr>
        <w:t>15 September 2014</w:t>
      </w:r>
      <w:r w:rsidR="00841A60" w:rsidRPr="00B7554F">
        <w:rPr>
          <w:sz w:val="20"/>
          <w:lang w:val="en-GB"/>
        </w:rPr>
        <w:t>.</w:t>
      </w:r>
      <w:r w:rsidR="0059497D" w:rsidRPr="00B7554F">
        <w:rPr>
          <w:sz w:val="20"/>
          <w:lang w:val="en-GB"/>
        </w:rPr>
        <w:t xml:space="preserve"> On the same day, questions concerning the use of domestic remedies were sent to the </w:t>
      </w:r>
      <w:r w:rsidR="00735C12" w:rsidRPr="00B7554F">
        <w:rPr>
          <w:sz w:val="20"/>
          <w:lang w:val="en-GB"/>
        </w:rPr>
        <w:t>communicants</w:t>
      </w:r>
      <w:r w:rsidR="0059497D" w:rsidRPr="00B7554F">
        <w:rPr>
          <w:sz w:val="20"/>
          <w:lang w:val="en-GB"/>
        </w:rPr>
        <w:t>.</w:t>
      </w:r>
    </w:p>
    <w:p w14:paraId="028AD7CE" w14:textId="49E35DD2" w:rsidR="0059497D" w:rsidRPr="00B7554F" w:rsidRDefault="0059497D" w:rsidP="0059497D">
      <w:pPr>
        <w:pStyle w:val="SingleTxtG"/>
        <w:numPr>
          <w:ilvl w:val="0"/>
          <w:numId w:val="3"/>
        </w:numPr>
        <w:ind w:left="1100" w:right="0" w:firstLine="0"/>
        <w:rPr>
          <w:sz w:val="20"/>
          <w:lang w:val="en-GB"/>
        </w:rPr>
      </w:pPr>
      <w:r w:rsidRPr="00B7554F">
        <w:rPr>
          <w:sz w:val="20"/>
          <w:lang w:val="en-GB"/>
        </w:rPr>
        <w:t xml:space="preserve">On 23 September 2014, the </w:t>
      </w:r>
      <w:r w:rsidR="00735C12" w:rsidRPr="00B7554F">
        <w:rPr>
          <w:sz w:val="20"/>
          <w:lang w:val="en-GB"/>
        </w:rPr>
        <w:t>communicants</w:t>
      </w:r>
      <w:r w:rsidRPr="00B7554F">
        <w:rPr>
          <w:sz w:val="20"/>
          <w:lang w:val="en-GB"/>
        </w:rPr>
        <w:t xml:space="preserve"> provided additional information on </w:t>
      </w:r>
      <w:r w:rsidR="00AA1B52" w:rsidRPr="00B7554F">
        <w:rPr>
          <w:sz w:val="20"/>
          <w:lang w:val="en-GB"/>
        </w:rPr>
        <w:t xml:space="preserve">their </w:t>
      </w:r>
      <w:r w:rsidRPr="00B7554F">
        <w:rPr>
          <w:sz w:val="20"/>
          <w:lang w:val="en-GB"/>
        </w:rPr>
        <w:t>use of domestic remedies. At its forty-sixth meeting (</w:t>
      </w:r>
      <w:r w:rsidR="00C118BF" w:rsidRPr="00B7554F">
        <w:rPr>
          <w:sz w:val="20"/>
          <w:lang w:val="en-GB"/>
        </w:rPr>
        <w:t xml:space="preserve">Geneva, </w:t>
      </w:r>
      <w:r w:rsidRPr="00B7554F">
        <w:rPr>
          <w:sz w:val="20"/>
          <w:lang w:val="en-GB"/>
        </w:rPr>
        <w:t>22</w:t>
      </w:r>
      <w:r w:rsidR="00C118BF" w:rsidRPr="00B7554F">
        <w:rPr>
          <w:sz w:val="20"/>
          <w:lang w:val="en-GB"/>
        </w:rPr>
        <w:t>-</w:t>
      </w:r>
      <w:r w:rsidRPr="00B7554F">
        <w:rPr>
          <w:sz w:val="20"/>
          <w:lang w:val="en-GB"/>
        </w:rPr>
        <w:t>25 September 2014)</w:t>
      </w:r>
      <w:r w:rsidR="009E7E26" w:rsidRPr="00B7554F">
        <w:rPr>
          <w:sz w:val="20"/>
          <w:lang w:val="en-GB"/>
        </w:rPr>
        <w:t>,</w:t>
      </w:r>
      <w:r w:rsidRPr="00B7554F">
        <w:rPr>
          <w:sz w:val="20"/>
          <w:lang w:val="en-GB"/>
        </w:rPr>
        <w:t xml:space="preserve"> the Committee confirm</w:t>
      </w:r>
      <w:r w:rsidR="00152CA5" w:rsidRPr="00B7554F">
        <w:rPr>
          <w:sz w:val="20"/>
          <w:lang w:val="en-GB"/>
        </w:rPr>
        <w:t>ed</w:t>
      </w:r>
      <w:r w:rsidRPr="00B7554F">
        <w:rPr>
          <w:sz w:val="20"/>
          <w:lang w:val="en-GB"/>
        </w:rPr>
        <w:t xml:space="preserve"> its determination on preliminary admissibility with respect to all the allegations raised in the communication.</w:t>
      </w:r>
    </w:p>
    <w:p w14:paraId="2385A812" w14:textId="77777777" w:rsidR="00760761" w:rsidRPr="00B7554F" w:rsidRDefault="00D81BC0" w:rsidP="003D7B98">
      <w:pPr>
        <w:pStyle w:val="SingleTxtG"/>
        <w:numPr>
          <w:ilvl w:val="0"/>
          <w:numId w:val="3"/>
        </w:numPr>
        <w:ind w:left="1100" w:right="0" w:firstLine="0"/>
        <w:rPr>
          <w:sz w:val="20"/>
          <w:lang w:val="en-GB"/>
        </w:rPr>
      </w:pPr>
      <w:r w:rsidRPr="00B7554F">
        <w:rPr>
          <w:sz w:val="20"/>
          <w:lang w:val="en-GB"/>
        </w:rPr>
        <w:t xml:space="preserve">The Party concerned </w:t>
      </w:r>
      <w:r w:rsidR="00A31CA4" w:rsidRPr="00B7554F">
        <w:rPr>
          <w:sz w:val="20"/>
          <w:lang w:val="en-GB"/>
        </w:rPr>
        <w:t>provided its response to the communication</w:t>
      </w:r>
      <w:r w:rsidRPr="00B7554F">
        <w:rPr>
          <w:sz w:val="20"/>
          <w:lang w:val="en-GB"/>
        </w:rPr>
        <w:t xml:space="preserve"> on </w:t>
      </w:r>
      <w:r w:rsidR="003D7B98" w:rsidRPr="00B7554F">
        <w:rPr>
          <w:sz w:val="20"/>
          <w:lang w:val="en-GB"/>
        </w:rPr>
        <w:t>23 March 2015</w:t>
      </w:r>
      <w:r w:rsidR="008806E8" w:rsidRPr="00B7554F">
        <w:rPr>
          <w:sz w:val="20"/>
          <w:lang w:val="en-GB"/>
        </w:rPr>
        <w:t>.</w:t>
      </w:r>
    </w:p>
    <w:p w14:paraId="598D70CA" w14:textId="77777777" w:rsidR="004A3CE0" w:rsidRPr="00B7554F" w:rsidRDefault="004A3CE0" w:rsidP="004A3CE0">
      <w:pPr>
        <w:pStyle w:val="SingleTxtG"/>
        <w:numPr>
          <w:ilvl w:val="0"/>
          <w:numId w:val="3"/>
        </w:numPr>
        <w:ind w:left="1100" w:right="0" w:firstLine="0"/>
        <w:rPr>
          <w:sz w:val="20"/>
          <w:lang w:val="en-GB"/>
        </w:rPr>
      </w:pPr>
      <w:r w:rsidRPr="00B7554F">
        <w:rPr>
          <w:sz w:val="20"/>
          <w:lang w:val="en-GB"/>
        </w:rPr>
        <w:t>The Committee held a hearing to discuss the substance of the communication at its fiftieth meeting</w:t>
      </w:r>
      <w:r w:rsidR="00E92009" w:rsidRPr="00B7554F">
        <w:rPr>
          <w:sz w:val="20"/>
          <w:lang w:val="en-GB"/>
        </w:rPr>
        <w:t xml:space="preserve"> (Geneva, 6-9 October 2015)</w:t>
      </w:r>
      <w:r w:rsidRPr="00B7554F">
        <w:rPr>
          <w:sz w:val="20"/>
          <w:lang w:val="en-GB"/>
        </w:rPr>
        <w:t xml:space="preserve">, with the participation of representatives of the </w:t>
      </w:r>
      <w:r w:rsidR="00735C12" w:rsidRPr="00B7554F">
        <w:rPr>
          <w:sz w:val="20"/>
          <w:lang w:val="en-GB"/>
        </w:rPr>
        <w:t>communicants</w:t>
      </w:r>
      <w:r w:rsidRPr="00B7554F">
        <w:rPr>
          <w:sz w:val="20"/>
          <w:lang w:val="en-GB"/>
        </w:rPr>
        <w:t xml:space="preserve"> and the Party concerned. </w:t>
      </w:r>
    </w:p>
    <w:p w14:paraId="222CD358" w14:textId="32931D27" w:rsidR="004A3CE0" w:rsidRPr="00B7554F" w:rsidRDefault="00E92009" w:rsidP="004A3CE0">
      <w:pPr>
        <w:pStyle w:val="SingleTxtG"/>
        <w:numPr>
          <w:ilvl w:val="0"/>
          <w:numId w:val="3"/>
        </w:numPr>
        <w:ind w:left="1100" w:right="0" w:firstLine="0"/>
        <w:rPr>
          <w:sz w:val="20"/>
          <w:lang w:val="en-GB"/>
        </w:rPr>
      </w:pPr>
      <w:r w:rsidRPr="00B7554F">
        <w:rPr>
          <w:sz w:val="20"/>
          <w:lang w:val="en-GB"/>
        </w:rPr>
        <w:t>T</w:t>
      </w:r>
      <w:r w:rsidR="004A3CE0" w:rsidRPr="00B7554F">
        <w:rPr>
          <w:sz w:val="20"/>
          <w:lang w:val="en-GB"/>
        </w:rPr>
        <w:t xml:space="preserve">he Committee sent </w:t>
      </w:r>
      <w:r w:rsidRPr="00B7554F">
        <w:rPr>
          <w:sz w:val="20"/>
          <w:lang w:val="en-GB"/>
        </w:rPr>
        <w:t>written</w:t>
      </w:r>
      <w:r w:rsidR="004A3CE0" w:rsidRPr="00B7554F">
        <w:rPr>
          <w:sz w:val="20"/>
          <w:lang w:val="en-GB"/>
        </w:rPr>
        <w:t xml:space="preserve"> questions to the parties on 3 February 2016</w:t>
      </w:r>
      <w:r w:rsidR="00CE5928" w:rsidRPr="00B7554F">
        <w:rPr>
          <w:sz w:val="20"/>
          <w:lang w:val="en-GB"/>
        </w:rPr>
        <w:t>.</w:t>
      </w:r>
      <w:r w:rsidR="004A3CE0" w:rsidRPr="00B7554F">
        <w:rPr>
          <w:sz w:val="20"/>
          <w:lang w:val="en-GB"/>
        </w:rPr>
        <w:t xml:space="preserve"> </w:t>
      </w:r>
      <w:r w:rsidR="008F00CE" w:rsidRPr="00B7554F">
        <w:rPr>
          <w:sz w:val="20"/>
          <w:lang w:val="en-GB"/>
        </w:rPr>
        <w:t xml:space="preserve">Both parties’ replies were received on </w:t>
      </w:r>
      <w:r w:rsidR="001A4478" w:rsidRPr="00B7554F">
        <w:rPr>
          <w:sz w:val="20"/>
          <w:lang w:val="en-GB"/>
        </w:rPr>
        <w:t>9 March 2016</w:t>
      </w:r>
      <w:r w:rsidR="004A3CE0" w:rsidRPr="00B7554F">
        <w:rPr>
          <w:sz w:val="20"/>
          <w:lang w:val="en-GB"/>
        </w:rPr>
        <w:t xml:space="preserve">. </w:t>
      </w:r>
    </w:p>
    <w:p w14:paraId="2CB4A844" w14:textId="26AE3EC0" w:rsidR="004A3CE0" w:rsidRPr="00B7554F" w:rsidRDefault="004A3CE0" w:rsidP="004A3CE0">
      <w:pPr>
        <w:pStyle w:val="SingleTxtG"/>
        <w:numPr>
          <w:ilvl w:val="0"/>
          <w:numId w:val="3"/>
        </w:numPr>
        <w:ind w:left="1100" w:right="0" w:firstLine="0"/>
        <w:rPr>
          <w:sz w:val="20"/>
          <w:lang w:val="en-GB"/>
        </w:rPr>
      </w:pPr>
      <w:r w:rsidRPr="00B7554F">
        <w:rPr>
          <w:sz w:val="20"/>
          <w:lang w:val="en-GB"/>
        </w:rPr>
        <w:t xml:space="preserve">On 24 March 2016, the </w:t>
      </w:r>
      <w:r w:rsidR="00735C12" w:rsidRPr="00B7554F">
        <w:rPr>
          <w:sz w:val="20"/>
          <w:lang w:val="en-GB"/>
        </w:rPr>
        <w:t>communicants</w:t>
      </w:r>
      <w:r w:rsidRPr="00B7554F">
        <w:rPr>
          <w:sz w:val="20"/>
          <w:lang w:val="en-GB"/>
        </w:rPr>
        <w:t xml:space="preserve"> provided comments on the </w:t>
      </w:r>
      <w:r w:rsidR="008F00CE" w:rsidRPr="00B7554F">
        <w:rPr>
          <w:sz w:val="20"/>
          <w:lang w:val="en-GB"/>
        </w:rPr>
        <w:t xml:space="preserve">Party’s </w:t>
      </w:r>
      <w:r w:rsidRPr="00B7554F">
        <w:rPr>
          <w:sz w:val="20"/>
          <w:lang w:val="en-GB"/>
        </w:rPr>
        <w:t xml:space="preserve">replies and on 21 April 2016, the Party concerned provided comments on </w:t>
      </w:r>
      <w:r w:rsidR="00AA1B52" w:rsidRPr="00B7554F">
        <w:rPr>
          <w:sz w:val="20"/>
          <w:lang w:val="en-GB"/>
        </w:rPr>
        <w:t xml:space="preserve">the </w:t>
      </w:r>
      <w:r w:rsidR="008F00CE" w:rsidRPr="00B7554F">
        <w:rPr>
          <w:sz w:val="20"/>
          <w:lang w:val="en-GB"/>
        </w:rPr>
        <w:t xml:space="preserve">communicants’ </w:t>
      </w:r>
      <w:r w:rsidRPr="00B7554F">
        <w:rPr>
          <w:sz w:val="20"/>
          <w:lang w:val="en-GB"/>
        </w:rPr>
        <w:t>replies.</w:t>
      </w:r>
    </w:p>
    <w:p w14:paraId="29A8159E" w14:textId="232532B0" w:rsidR="004A3CE0" w:rsidRPr="00B7554F" w:rsidRDefault="004A3CE0" w:rsidP="004A3CE0">
      <w:pPr>
        <w:pStyle w:val="SingleTxtG"/>
        <w:numPr>
          <w:ilvl w:val="0"/>
          <w:numId w:val="3"/>
        </w:numPr>
        <w:ind w:left="1100" w:right="0" w:firstLine="0"/>
        <w:rPr>
          <w:sz w:val="20"/>
          <w:lang w:val="en-GB"/>
        </w:rPr>
      </w:pPr>
      <w:r w:rsidRPr="00B7554F">
        <w:rPr>
          <w:sz w:val="20"/>
          <w:lang w:val="en-GB"/>
        </w:rPr>
        <w:t xml:space="preserve">On 5 November 2016, the Committee sent further questions to the Party concerned. The Party concerned provided its replies on 29 November 2016. On 3 December 2016, the </w:t>
      </w:r>
      <w:r w:rsidR="00735C12" w:rsidRPr="00B7554F">
        <w:rPr>
          <w:sz w:val="20"/>
          <w:lang w:val="en-GB"/>
        </w:rPr>
        <w:t>communicants</w:t>
      </w:r>
      <w:r w:rsidRPr="00B7554F">
        <w:rPr>
          <w:sz w:val="20"/>
          <w:lang w:val="en-GB"/>
        </w:rPr>
        <w:t xml:space="preserve"> provided comments on the </w:t>
      </w:r>
      <w:r w:rsidR="008F00CE" w:rsidRPr="00B7554F">
        <w:rPr>
          <w:sz w:val="20"/>
          <w:lang w:val="en-GB"/>
        </w:rPr>
        <w:t xml:space="preserve">Party’s </w:t>
      </w:r>
      <w:r w:rsidRPr="00B7554F">
        <w:rPr>
          <w:sz w:val="20"/>
          <w:lang w:val="en-GB"/>
        </w:rPr>
        <w:t xml:space="preserve">replies and on 12 December 2016, the Party concerned provided comments on the </w:t>
      </w:r>
      <w:r w:rsidR="00735C12" w:rsidRPr="00B7554F">
        <w:rPr>
          <w:sz w:val="20"/>
          <w:lang w:val="en-GB"/>
        </w:rPr>
        <w:t>communicant</w:t>
      </w:r>
      <w:r w:rsidRPr="00B7554F">
        <w:rPr>
          <w:sz w:val="20"/>
          <w:lang w:val="en-GB"/>
        </w:rPr>
        <w:t xml:space="preserve">’s comments. </w:t>
      </w:r>
    </w:p>
    <w:p w14:paraId="6516473A" w14:textId="648122C8" w:rsidR="00CE5928" w:rsidRPr="00B7554F" w:rsidRDefault="00CE5928" w:rsidP="004A3CE0">
      <w:pPr>
        <w:pStyle w:val="SingleTxtG"/>
        <w:numPr>
          <w:ilvl w:val="0"/>
          <w:numId w:val="3"/>
        </w:numPr>
        <w:ind w:left="1100" w:right="0" w:firstLine="0"/>
        <w:rPr>
          <w:sz w:val="20"/>
          <w:lang w:val="en-GB"/>
        </w:rPr>
      </w:pPr>
      <w:r w:rsidRPr="00B7554F">
        <w:rPr>
          <w:sz w:val="20"/>
          <w:lang w:val="en-GB"/>
        </w:rPr>
        <w:t xml:space="preserve">On 11 March 2021, the Committee sent further questions to the parties. On 7 April 2021, the Party concerned provided its </w:t>
      </w:r>
      <w:r w:rsidR="00D7619B" w:rsidRPr="00B7554F">
        <w:rPr>
          <w:sz w:val="20"/>
          <w:lang w:val="en-GB"/>
        </w:rPr>
        <w:t xml:space="preserve">reply </w:t>
      </w:r>
      <w:r w:rsidRPr="00B7554F">
        <w:rPr>
          <w:sz w:val="20"/>
          <w:lang w:val="en-GB"/>
        </w:rPr>
        <w:t xml:space="preserve">to questions no. 5 and 6. On 12 April 2021, the </w:t>
      </w:r>
      <w:r w:rsidRPr="00B7554F">
        <w:rPr>
          <w:sz w:val="20"/>
          <w:lang w:val="en-GB"/>
        </w:rPr>
        <w:lastRenderedPageBreak/>
        <w:t>communicant</w:t>
      </w:r>
      <w:r w:rsidR="00E917A8" w:rsidRPr="00B7554F">
        <w:rPr>
          <w:sz w:val="20"/>
          <w:lang w:val="en-GB"/>
        </w:rPr>
        <w:t>s</w:t>
      </w:r>
      <w:r w:rsidRPr="00B7554F">
        <w:rPr>
          <w:sz w:val="20"/>
          <w:lang w:val="en-GB"/>
        </w:rPr>
        <w:t xml:space="preserve"> provided </w:t>
      </w:r>
      <w:r w:rsidR="00E917A8" w:rsidRPr="00B7554F">
        <w:rPr>
          <w:sz w:val="20"/>
          <w:lang w:val="en-GB"/>
        </w:rPr>
        <w:t xml:space="preserve">their </w:t>
      </w:r>
      <w:r w:rsidRPr="00B7554F">
        <w:rPr>
          <w:sz w:val="20"/>
          <w:lang w:val="en-GB"/>
        </w:rPr>
        <w:t>r</w:t>
      </w:r>
      <w:r w:rsidR="00D7619B" w:rsidRPr="00B7554F">
        <w:rPr>
          <w:sz w:val="20"/>
          <w:lang w:val="en-GB"/>
        </w:rPr>
        <w:t>eply</w:t>
      </w:r>
      <w:r w:rsidRPr="00B7554F">
        <w:rPr>
          <w:sz w:val="20"/>
          <w:lang w:val="en-GB"/>
        </w:rPr>
        <w:t>. On 7 May 2021, the Party concerned provided its response to the remain</w:t>
      </w:r>
      <w:r w:rsidR="00AA1B52" w:rsidRPr="00B7554F">
        <w:rPr>
          <w:sz w:val="20"/>
          <w:lang w:val="en-GB"/>
        </w:rPr>
        <w:t>ing questions</w:t>
      </w:r>
      <w:r w:rsidRPr="00B7554F">
        <w:rPr>
          <w:sz w:val="20"/>
          <w:lang w:val="en-GB"/>
        </w:rPr>
        <w:t>.</w:t>
      </w:r>
    </w:p>
    <w:p w14:paraId="30520ADE" w14:textId="31FE4008" w:rsidR="00E4207A" w:rsidRPr="008A0053" w:rsidRDefault="00E4207A" w:rsidP="005472EB">
      <w:pPr>
        <w:pStyle w:val="SingleTxtG"/>
        <w:numPr>
          <w:ilvl w:val="0"/>
          <w:numId w:val="3"/>
        </w:numPr>
        <w:ind w:left="1100" w:right="0" w:firstLine="0"/>
        <w:rPr>
          <w:iCs/>
          <w:sz w:val="20"/>
          <w:lang w:val="en-GB"/>
        </w:rPr>
      </w:pPr>
      <w:r w:rsidRPr="008A0053">
        <w:rPr>
          <w:iCs/>
          <w:sz w:val="20"/>
          <w:lang w:val="en-GB"/>
        </w:rPr>
        <w:t xml:space="preserve">The Committee </w:t>
      </w:r>
      <w:r w:rsidR="005A54EF" w:rsidRPr="008A0053">
        <w:rPr>
          <w:iCs/>
          <w:sz w:val="20"/>
          <w:lang w:val="en-GB"/>
        </w:rPr>
        <w:t xml:space="preserve">completed its </w:t>
      </w:r>
      <w:r w:rsidRPr="008A0053">
        <w:rPr>
          <w:iCs/>
          <w:sz w:val="20"/>
          <w:lang w:val="en-GB"/>
        </w:rPr>
        <w:t xml:space="preserve">draft findings </w:t>
      </w:r>
      <w:r w:rsidR="008A0053">
        <w:rPr>
          <w:iCs/>
          <w:sz w:val="20"/>
          <w:lang w:val="en-GB"/>
        </w:rPr>
        <w:t>through its electronic decision-making procedure on 14 June 2021</w:t>
      </w:r>
      <w:r w:rsidR="0097358C" w:rsidRPr="008A0053">
        <w:rPr>
          <w:iCs/>
          <w:sz w:val="20"/>
          <w:lang w:val="en-GB"/>
        </w:rPr>
        <w:t xml:space="preserve">. </w:t>
      </w:r>
      <w:r w:rsidRPr="008A0053">
        <w:rPr>
          <w:iCs/>
          <w:sz w:val="20"/>
          <w:lang w:val="en-GB"/>
        </w:rPr>
        <w:t xml:space="preserve">In accordance with paragraph 34 of the annex to decision I/7, the draft findings were then forwarded </w:t>
      </w:r>
      <w:r w:rsidR="008A0053">
        <w:rPr>
          <w:iCs/>
          <w:sz w:val="20"/>
          <w:lang w:val="en-GB"/>
        </w:rPr>
        <w:t xml:space="preserve">on that date </w:t>
      </w:r>
      <w:r w:rsidRPr="008A0053">
        <w:rPr>
          <w:iCs/>
          <w:sz w:val="20"/>
          <w:lang w:val="en-GB"/>
        </w:rPr>
        <w:t xml:space="preserve">to the Party concerned and the </w:t>
      </w:r>
      <w:r w:rsidR="00735C12" w:rsidRPr="008A0053">
        <w:rPr>
          <w:iCs/>
          <w:sz w:val="20"/>
          <w:lang w:val="en-GB"/>
        </w:rPr>
        <w:t>communicants</w:t>
      </w:r>
      <w:r w:rsidR="008A0053">
        <w:rPr>
          <w:iCs/>
          <w:sz w:val="20"/>
          <w:lang w:val="en-GB"/>
        </w:rPr>
        <w:t xml:space="preserve"> for their comments</w:t>
      </w:r>
      <w:r w:rsidR="0097358C" w:rsidRPr="008A0053">
        <w:rPr>
          <w:iCs/>
          <w:sz w:val="20"/>
          <w:lang w:val="en-GB"/>
        </w:rPr>
        <w:t>.</w:t>
      </w:r>
      <w:r w:rsidR="00DB51E2" w:rsidRPr="008A0053">
        <w:rPr>
          <w:iCs/>
          <w:sz w:val="20"/>
          <w:lang w:val="en-GB"/>
        </w:rPr>
        <w:t xml:space="preserve"> </w:t>
      </w:r>
      <w:r w:rsidR="00C94E27" w:rsidRPr="008A0053">
        <w:rPr>
          <w:iCs/>
          <w:sz w:val="20"/>
          <w:lang w:val="en-GB"/>
        </w:rPr>
        <w:t xml:space="preserve">Both were invited to provide comments by </w:t>
      </w:r>
      <w:r w:rsidR="008A0053">
        <w:rPr>
          <w:iCs/>
          <w:sz w:val="20"/>
          <w:lang w:val="en-GB"/>
        </w:rPr>
        <w:t>23 July 2021</w:t>
      </w:r>
      <w:r w:rsidR="00DB51E2" w:rsidRPr="008A0053">
        <w:rPr>
          <w:iCs/>
          <w:sz w:val="20"/>
          <w:lang w:val="en-GB"/>
        </w:rPr>
        <w:t>.</w:t>
      </w:r>
    </w:p>
    <w:p w14:paraId="5677B087" w14:textId="77777777" w:rsidR="00C94E27" w:rsidRPr="00B7554F" w:rsidRDefault="00395F4B" w:rsidP="005472EB">
      <w:pPr>
        <w:pStyle w:val="SingleTxtG"/>
        <w:numPr>
          <w:ilvl w:val="0"/>
          <w:numId w:val="3"/>
        </w:numPr>
        <w:ind w:left="1100" w:right="0" w:firstLine="0"/>
        <w:rPr>
          <w:i/>
          <w:sz w:val="20"/>
          <w:lang w:val="en-GB"/>
        </w:rPr>
      </w:pPr>
      <w:r w:rsidRPr="00B7554F">
        <w:rPr>
          <w:i/>
          <w:sz w:val="20"/>
          <w:lang w:val="en-GB"/>
        </w:rPr>
        <w:t xml:space="preserve">Both the </w:t>
      </w:r>
      <w:r w:rsidR="00C94E27" w:rsidRPr="00B7554F">
        <w:rPr>
          <w:i/>
          <w:sz w:val="20"/>
          <w:lang w:val="en-GB"/>
        </w:rPr>
        <w:t xml:space="preserve">Party concerned and the </w:t>
      </w:r>
      <w:r w:rsidR="00735C12" w:rsidRPr="00B7554F">
        <w:rPr>
          <w:i/>
          <w:sz w:val="20"/>
          <w:lang w:val="en-GB"/>
        </w:rPr>
        <w:t>communicants</w:t>
      </w:r>
      <w:r w:rsidR="00C94E27" w:rsidRPr="00B7554F">
        <w:rPr>
          <w:i/>
          <w:sz w:val="20"/>
          <w:lang w:val="en-GB"/>
        </w:rPr>
        <w:t xml:space="preserve"> provided comments on </w:t>
      </w:r>
      <w:r w:rsidR="0097358C" w:rsidRPr="00B7554F">
        <w:rPr>
          <w:i/>
          <w:sz w:val="20"/>
          <w:lang w:val="en-GB"/>
        </w:rPr>
        <w:t>[…].</w:t>
      </w:r>
    </w:p>
    <w:p w14:paraId="48BC08A1" w14:textId="2B46C08D" w:rsidR="00C94E27" w:rsidRDefault="00C94E27" w:rsidP="005472EB">
      <w:pPr>
        <w:pStyle w:val="SingleTxtG"/>
        <w:numPr>
          <w:ilvl w:val="0"/>
          <w:numId w:val="3"/>
        </w:numPr>
        <w:ind w:left="1100" w:right="0" w:firstLine="0"/>
        <w:rPr>
          <w:i/>
          <w:sz w:val="20"/>
          <w:lang w:val="en-GB"/>
        </w:rPr>
      </w:pPr>
      <w:r w:rsidRPr="00B7554F">
        <w:rPr>
          <w:i/>
          <w:sz w:val="20"/>
          <w:lang w:val="en-GB"/>
        </w:rPr>
        <w:t>At its […] meeting, the Committee proceeded to finalize its findings in closed session, taking account of the comments received. The Committee then adopted its findings and agreed that they should be published as a formal pre-session document to its [</w:t>
      </w:r>
      <w:r w:rsidR="007F09E7" w:rsidRPr="00B7554F">
        <w:rPr>
          <w:i/>
          <w:sz w:val="20"/>
          <w:lang w:val="en-GB"/>
        </w:rPr>
        <w:t>…</w:t>
      </w:r>
      <w:r w:rsidRPr="00B7554F">
        <w:rPr>
          <w:i/>
          <w:sz w:val="20"/>
          <w:lang w:val="en-GB"/>
        </w:rPr>
        <w:t>]</w:t>
      </w:r>
      <w:r w:rsidR="00A8433D" w:rsidRPr="00B7554F">
        <w:rPr>
          <w:i/>
          <w:sz w:val="20"/>
          <w:lang w:val="en-GB"/>
        </w:rPr>
        <w:t xml:space="preserve"> meeting. It requested the secretariat to send the findings to the Party concerned and the </w:t>
      </w:r>
      <w:r w:rsidR="00735C12" w:rsidRPr="00B7554F">
        <w:rPr>
          <w:i/>
          <w:sz w:val="20"/>
          <w:lang w:val="en-GB"/>
        </w:rPr>
        <w:t>communicants</w:t>
      </w:r>
      <w:r w:rsidR="00A8433D" w:rsidRPr="00B7554F">
        <w:rPr>
          <w:i/>
          <w:sz w:val="20"/>
          <w:lang w:val="en-GB"/>
        </w:rPr>
        <w:t>.</w:t>
      </w:r>
    </w:p>
    <w:p w14:paraId="5455A449" w14:textId="77777777" w:rsidR="003E0298" w:rsidRPr="00B7554F" w:rsidRDefault="003E0298" w:rsidP="003E0298">
      <w:pPr>
        <w:pStyle w:val="SingleTxtG"/>
        <w:ind w:left="1100" w:right="0"/>
        <w:rPr>
          <w:i/>
          <w:sz w:val="20"/>
          <w:lang w:val="en-GB"/>
        </w:rPr>
      </w:pPr>
    </w:p>
    <w:p w14:paraId="70A3DD4E" w14:textId="77777777" w:rsidR="0023575C" w:rsidRPr="00B7554F" w:rsidRDefault="00D971FB" w:rsidP="005472EB">
      <w:pPr>
        <w:pStyle w:val="HChG"/>
        <w:numPr>
          <w:ilvl w:val="0"/>
          <w:numId w:val="6"/>
        </w:numPr>
        <w:ind w:right="0"/>
        <w:rPr>
          <w:lang w:val="en-GB"/>
        </w:rPr>
      </w:pPr>
      <w:r w:rsidRPr="00B7554F">
        <w:rPr>
          <w:lang w:val="en-GB"/>
        </w:rPr>
        <w:t>Summary of facts, evidence and issues</w:t>
      </w:r>
      <w:r w:rsidR="0023575C" w:rsidRPr="00B7554F">
        <w:rPr>
          <w:rStyle w:val="FootnoteReference"/>
          <w:sz w:val="28"/>
          <w:lang w:val="en-GB"/>
        </w:rPr>
        <w:footnoteReference w:id="2"/>
      </w:r>
    </w:p>
    <w:p w14:paraId="596DEADA" w14:textId="77777777" w:rsidR="007C2C2E" w:rsidRPr="00B7554F" w:rsidRDefault="0045180A" w:rsidP="007C2C2E">
      <w:pPr>
        <w:pStyle w:val="H1G"/>
        <w:numPr>
          <w:ilvl w:val="0"/>
          <w:numId w:val="4"/>
        </w:numPr>
        <w:ind w:right="0"/>
        <w:rPr>
          <w:lang w:val="en-GB"/>
        </w:rPr>
      </w:pPr>
      <w:r w:rsidRPr="00B7554F">
        <w:rPr>
          <w:lang w:val="en-GB"/>
        </w:rPr>
        <w:t>Legal framework</w:t>
      </w:r>
    </w:p>
    <w:p w14:paraId="68D78E3A" w14:textId="77777777" w:rsidR="00A675C3" w:rsidRPr="00B7554F" w:rsidRDefault="000C651D" w:rsidP="002250B6">
      <w:pPr>
        <w:spacing w:after="120"/>
        <w:ind w:left="533" w:firstLine="567"/>
        <w:rPr>
          <w:b/>
          <w:sz w:val="20"/>
          <w:lang w:val="en-GB"/>
        </w:rPr>
      </w:pPr>
      <w:r w:rsidRPr="00B7554F">
        <w:rPr>
          <w:b/>
          <w:sz w:val="20"/>
          <w:lang w:val="en-GB"/>
        </w:rPr>
        <w:t xml:space="preserve">Access to information </w:t>
      </w:r>
      <w:r w:rsidR="00A675C3" w:rsidRPr="00B7554F">
        <w:rPr>
          <w:sz w:val="20"/>
          <w:szCs w:val="20"/>
          <w:lang w:val="en-GB"/>
        </w:rPr>
        <w:t xml:space="preserve"> </w:t>
      </w:r>
    </w:p>
    <w:p w14:paraId="30782987" w14:textId="77777777" w:rsidR="001C63E9" w:rsidRPr="00B7554F" w:rsidRDefault="00A675C3" w:rsidP="00A675C3">
      <w:pPr>
        <w:spacing w:after="120"/>
        <w:ind w:left="1100"/>
        <w:rPr>
          <w:i/>
          <w:sz w:val="20"/>
          <w:lang w:val="en-GB"/>
        </w:rPr>
      </w:pPr>
      <w:r w:rsidRPr="00B7554F">
        <w:rPr>
          <w:i/>
          <w:sz w:val="20"/>
          <w:lang w:val="en-GB"/>
        </w:rPr>
        <w:t>General access rights</w:t>
      </w:r>
    </w:p>
    <w:p w14:paraId="0CDDED73" w14:textId="2B3F9F40" w:rsidR="0050156C" w:rsidRPr="00B7554F" w:rsidRDefault="00A25046" w:rsidP="00762A93">
      <w:pPr>
        <w:pStyle w:val="SingleTxtG"/>
        <w:numPr>
          <w:ilvl w:val="0"/>
          <w:numId w:val="3"/>
        </w:numPr>
        <w:ind w:left="1100" w:right="0" w:firstLine="0"/>
        <w:rPr>
          <w:lang w:val="en-US"/>
        </w:rPr>
      </w:pPr>
      <w:bookmarkStart w:id="0" w:name="_Ref432055455"/>
      <w:bookmarkStart w:id="1" w:name="_Ref499806906"/>
      <w:r w:rsidRPr="00B7554F">
        <w:rPr>
          <w:sz w:val="20"/>
          <w:lang w:val="en-GB"/>
        </w:rPr>
        <w:t xml:space="preserve"> </w:t>
      </w:r>
      <w:bookmarkStart w:id="2" w:name="_Ref6926755"/>
      <w:r w:rsidR="00387F3A" w:rsidRPr="00B7554F">
        <w:rPr>
          <w:sz w:val="20"/>
          <w:lang w:val="en-GB"/>
        </w:rPr>
        <w:t xml:space="preserve">At the time of the </w:t>
      </w:r>
      <w:r w:rsidR="00D7619B" w:rsidRPr="00B7554F">
        <w:rPr>
          <w:sz w:val="20"/>
          <w:lang w:val="en-GB"/>
        </w:rPr>
        <w:t xml:space="preserve">communicant’s 2010 </w:t>
      </w:r>
      <w:r w:rsidR="00387F3A" w:rsidRPr="00B7554F">
        <w:rPr>
          <w:sz w:val="20"/>
          <w:lang w:val="en-GB"/>
        </w:rPr>
        <w:t>information request</w:t>
      </w:r>
      <w:r w:rsidR="009766B5" w:rsidRPr="00B7554F">
        <w:rPr>
          <w:sz w:val="20"/>
          <w:lang w:val="en-GB"/>
        </w:rPr>
        <w:t>s</w:t>
      </w:r>
      <w:r w:rsidR="00387F3A" w:rsidRPr="00B7554F">
        <w:rPr>
          <w:sz w:val="20"/>
          <w:lang w:val="en-GB"/>
        </w:rPr>
        <w:t>, s</w:t>
      </w:r>
      <w:r w:rsidR="005469AD" w:rsidRPr="00B7554F">
        <w:rPr>
          <w:sz w:val="20"/>
          <w:lang w:val="en-GB"/>
        </w:rPr>
        <w:t>ection 19(1) of A</w:t>
      </w:r>
      <w:r w:rsidR="0050156C" w:rsidRPr="00B7554F">
        <w:rPr>
          <w:sz w:val="20"/>
          <w:lang w:val="en-GB"/>
        </w:rPr>
        <w:t>ct LXIII of 1992 on the Protection of Personal Data and the Disclosure of Information of Public</w:t>
      </w:r>
      <w:r w:rsidR="00EF636A" w:rsidRPr="00B7554F">
        <w:rPr>
          <w:sz w:val="20"/>
          <w:lang w:val="en-GB"/>
        </w:rPr>
        <w:t xml:space="preserve"> Interest</w:t>
      </w:r>
      <w:r w:rsidR="0050156C" w:rsidRPr="00B7554F">
        <w:rPr>
          <w:sz w:val="20"/>
          <w:lang w:val="en-GB"/>
        </w:rPr>
        <w:t xml:space="preserve"> </w:t>
      </w:r>
      <w:r w:rsidR="00DE0A0E" w:rsidRPr="00B7554F">
        <w:rPr>
          <w:sz w:val="20"/>
          <w:lang w:val="en-GB"/>
        </w:rPr>
        <w:t>(</w:t>
      </w:r>
      <w:r w:rsidR="0097358C" w:rsidRPr="00B7554F">
        <w:rPr>
          <w:sz w:val="20"/>
          <w:szCs w:val="20"/>
          <w:lang w:val="en-GB"/>
        </w:rPr>
        <w:t xml:space="preserve">1992 </w:t>
      </w:r>
      <w:r w:rsidR="004D7596" w:rsidRPr="00B7554F">
        <w:rPr>
          <w:sz w:val="20"/>
          <w:szCs w:val="20"/>
          <w:lang w:val="en-GB"/>
        </w:rPr>
        <w:t>Data Protection</w:t>
      </w:r>
      <w:r w:rsidR="0097358C" w:rsidRPr="00B7554F">
        <w:rPr>
          <w:sz w:val="20"/>
          <w:szCs w:val="20"/>
          <w:lang w:val="en-GB"/>
        </w:rPr>
        <w:t xml:space="preserve"> Act</w:t>
      </w:r>
      <w:r w:rsidR="002250B6" w:rsidRPr="00B7554F">
        <w:rPr>
          <w:sz w:val="20"/>
          <w:szCs w:val="20"/>
          <w:lang w:val="en-GB"/>
        </w:rPr>
        <w:t>)</w:t>
      </w:r>
      <w:r w:rsidR="00777EB3" w:rsidRPr="00B7554F">
        <w:rPr>
          <w:sz w:val="20"/>
          <w:lang w:val="en-GB"/>
        </w:rPr>
        <w:t xml:space="preserve"> </w:t>
      </w:r>
      <w:r w:rsidR="00762A93" w:rsidRPr="00B7554F">
        <w:rPr>
          <w:sz w:val="20"/>
          <w:lang w:val="en-GB"/>
        </w:rPr>
        <w:t xml:space="preserve">provided that </w:t>
      </w:r>
      <w:r w:rsidR="003F498A" w:rsidRPr="00B7554F">
        <w:rPr>
          <w:sz w:val="20"/>
          <w:lang w:val="en-GB"/>
        </w:rPr>
        <w:t>s</w:t>
      </w:r>
      <w:r w:rsidR="00762A93" w:rsidRPr="00B7554F">
        <w:rPr>
          <w:sz w:val="20"/>
          <w:lang w:val="en-GB"/>
        </w:rPr>
        <w:t>tate or local pu</w:t>
      </w:r>
      <w:r w:rsidR="0050156C" w:rsidRPr="00B7554F">
        <w:rPr>
          <w:sz w:val="20"/>
          <w:lang w:val="en-GB"/>
        </w:rPr>
        <w:t>blic authorities and agencies and other bodies attending to the public duties specified by law</w:t>
      </w:r>
      <w:r w:rsidR="003F498A" w:rsidRPr="00B7554F">
        <w:rPr>
          <w:sz w:val="20"/>
          <w:lang w:val="en-GB"/>
        </w:rPr>
        <w:t xml:space="preserve"> shall provide the public with accurate and speedy information concerning matters under their competence</w:t>
      </w:r>
      <w:r w:rsidR="007B14AA" w:rsidRPr="00B7554F">
        <w:rPr>
          <w:sz w:val="20"/>
          <w:lang w:val="en-GB"/>
        </w:rPr>
        <w:t>.</w:t>
      </w:r>
      <w:r w:rsidR="003F498A" w:rsidRPr="00B7554F">
        <w:rPr>
          <w:rStyle w:val="FootnoteReference"/>
          <w:sz w:val="20"/>
          <w:szCs w:val="20"/>
          <w:lang w:val="en-GB"/>
        </w:rPr>
        <w:footnoteReference w:id="3"/>
      </w:r>
      <w:r w:rsidR="003F498A" w:rsidRPr="00B7554F" w:rsidDel="007B14AA">
        <w:rPr>
          <w:sz w:val="20"/>
          <w:lang w:val="en-GB"/>
        </w:rPr>
        <w:t xml:space="preserve"> </w:t>
      </w:r>
      <w:r w:rsidR="00FF64E2" w:rsidRPr="00B7554F">
        <w:rPr>
          <w:sz w:val="20"/>
          <w:lang w:val="en-GB"/>
        </w:rPr>
        <w:t xml:space="preserve"> </w:t>
      </w:r>
      <w:bookmarkEnd w:id="2"/>
    </w:p>
    <w:p w14:paraId="38EAFA3E" w14:textId="3AB480A7" w:rsidR="004D7596" w:rsidRPr="00B7554F" w:rsidRDefault="00FF64E2" w:rsidP="00762A93">
      <w:pPr>
        <w:pStyle w:val="SingleTxtG"/>
        <w:numPr>
          <w:ilvl w:val="0"/>
          <w:numId w:val="3"/>
        </w:numPr>
        <w:ind w:left="1100" w:right="0" w:firstLine="0"/>
        <w:rPr>
          <w:sz w:val="20"/>
          <w:lang w:val="en-GB"/>
        </w:rPr>
      </w:pPr>
      <w:bookmarkStart w:id="3" w:name="_Ref6926765"/>
      <w:r w:rsidRPr="00B7554F">
        <w:rPr>
          <w:sz w:val="20"/>
          <w:szCs w:val="20"/>
          <w:lang w:val="en-GB"/>
        </w:rPr>
        <w:t xml:space="preserve">Article </w:t>
      </w:r>
      <w:r w:rsidR="005E666B" w:rsidRPr="00B7554F">
        <w:rPr>
          <w:sz w:val="20"/>
          <w:szCs w:val="20"/>
          <w:lang w:val="en-GB"/>
        </w:rPr>
        <w:t>20</w:t>
      </w:r>
      <w:r w:rsidR="004D7596" w:rsidRPr="00B7554F">
        <w:rPr>
          <w:sz w:val="20"/>
          <w:szCs w:val="20"/>
          <w:lang w:val="en-GB"/>
        </w:rPr>
        <w:t>(</w:t>
      </w:r>
      <w:r w:rsidR="005E666B" w:rsidRPr="00B7554F">
        <w:rPr>
          <w:sz w:val="20"/>
          <w:szCs w:val="20"/>
          <w:lang w:val="en-GB"/>
        </w:rPr>
        <w:t>2</w:t>
      </w:r>
      <w:r w:rsidR="004D7596" w:rsidRPr="00B7554F">
        <w:rPr>
          <w:sz w:val="20"/>
          <w:szCs w:val="20"/>
          <w:lang w:val="en-GB"/>
        </w:rPr>
        <w:t>)</w:t>
      </w:r>
      <w:r w:rsidR="005E666B" w:rsidRPr="00B7554F">
        <w:rPr>
          <w:sz w:val="20"/>
          <w:szCs w:val="20"/>
          <w:lang w:val="en-GB"/>
        </w:rPr>
        <w:t xml:space="preserve"> </w:t>
      </w:r>
      <w:r w:rsidR="00AD23CF" w:rsidRPr="00B7554F">
        <w:rPr>
          <w:sz w:val="20"/>
          <w:szCs w:val="20"/>
          <w:lang w:val="en-GB"/>
        </w:rPr>
        <w:t xml:space="preserve">of the 1992 Data Protection Act </w:t>
      </w:r>
      <w:r w:rsidR="005E666B" w:rsidRPr="00B7554F">
        <w:rPr>
          <w:sz w:val="20"/>
          <w:szCs w:val="20"/>
          <w:lang w:val="en-GB"/>
        </w:rPr>
        <w:t>stipulated</w:t>
      </w:r>
      <w:r w:rsidR="00DA2B59" w:rsidRPr="00B7554F">
        <w:rPr>
          <w:sz w:val="20"/>
          <w:szCs w:val="20"/>
          <w:lang w:val="en-GB"/>
        </w:rPr>
        <w:t xml:space="preserve"> </w:t>
      </w:r>
      <w:r w:rsidR="00AD23CF" w:rsidRPr="00B7554F">
        <w:rPr>
          <w:sz w:val="20"/>
          <w:szCs w:val="20"/>
          <w:lang w:val="en-GB"/>
        </w:rPr>
        <w:t xml:space="preserve">that the </w:t>
      </w:r>
      <w:r w:rsidR="007D4C87" w:rsidRPr="00B7554F">
        <w:rPr>
          <w:sz w:val="20"/>
          <w:szCs w:val="20"/>
          <w:lang w:val="en-GB"/>
        </w:rPr>
        <w:t xml:space="preserve">agencies </w:t>
      </w:r>
      <w:r w:rsidR="00F0536D" w:rsidRPr="00B7554F">
        <w:rPr>
          <w:sz w:val="20"/>
          <w:szCs w:val="20"/>
          <w:lang w:val="en-GB"/>
        </w:rPr>
        <w:t>processing information of public interest must comply with</w:t>
      </w:r>
      <w:r w:rsidR="00A81CBA" w:rsidRPr="00B7554F">
        <w:rPr>
          <w:sz w:val="20"/>
          <w:szCs w:val="20"/>
          <w:lang w:val="en-GB"/>
        </w:rPr>
        <w:t xml:space="preserve"> information</w:t>
      </w:r>
      <w:r w:rsidR="00F0536D" w:rsidRPr="00B7554F">
        <w:rPr>
          <w:sz w:val="20"/>
          <w:szCs w:val="20"/>
          <w:lang w:val="en-GB"/>
        </w:rPr>
        <w:t xml:space="preserve"> requests without delay and within 15 days</w:t>
      </w:r>
      <w:r w:rsidRPr="00B7554F">
        <w:rPr>
          <w:sz w:val="20"/>
          <w:szCs w:val="20"/>
          <w:lang w:val="en-GB"/>
        </w:rPr>
        <w:t>.</w:t>
      </w:r>
      <w:r w:rsidR="007B14AA" w:rsidRPr="00B7554F">
        <w:rPr>
          <w:rStyle w:val="FootnoteReference"/>
          <w:sz w:val="20"/>
          <w:szCs w:val="20"/>
          <w:lang w:val="en-GB"/>
        </w:rPr>
        <w:footnoteReference w:id="4"/>
      </w:r>
      <w:bookmarkEnd w:id="0"/>
      <w:bookmarkEnd w:id="1"/>
      <w:bookmarkEnd w:id="3"/>
      <w:r w:rsidR="00553EE6" w:rsidRPr="00B7554F">
        <w:rPr>
          <w:sz w:val="20"/>
          <w:szCs w:val="20"/>
          <w:lang w:val="en-GB"/>
        </w:rPr>
        <w:t xml:space="preserve"> </w:t>
      </w:r>
    </w:p>
    <w:p w14:paraId="298EEF79" w14:textId="0F28BDB3" w:rsidR="0033141D" w:rsidRPr="00B7554F" w:rsidRDefault="0033141D" w:rsidP="00C118BF">
      <w:pPr>
        <w:pStyle w:val="SingleTxtG"/>
        <w:numPr>
          <w:ilvl w:val="0"/>
          <w:numId w:val="3"/>
        </w:numPr>
        <w:ind w:left="1100" w:right="0" w:firstLine="0"/>
        <w:rPr>
          <w:sz w:val="20"/>
          <w:lang w:val="en-GB"/>
        </w:rPr>
      </w:pPr>
      <w:bookmarkStart w:id="4" w:name="_Ref6934266"/>
      <w:r w:rsidRPr="00B7554F">
        <w:rPr>
          <w:sz w:val="20"/>
          <w:lang w:val="en-GB"/>
        </w:rPr>
        <w:t xml:space="preserve">Section 28(1) of the Act CXII of 2011 on Informational Self-determination and Freedom of Information (2011 Freedom of Information Act), </w:t>
      </w:r>
      <w:r w:rsidR="005F4752" w:rsidRPr="00B7554F">
        <w:rPr>
          <w:sz w:val="20"/>
          <w:lang w:val="en-GB"/>
        </w:rPr>
        <w:t xml:space="preserve">which </w:t>
      </w:r>
      <w:r w:rsidRPr="00B7554F">
        <w:rPr>
          <w:sz w:val="20"/>
          <w:lang w:val="en-GB"/>
        </w:rPr>
        <w:t>super</w:t>
      </w:r>
      <w:r w:rsidR="00C118BF" w:rsidRPr="00B7554F">
        <w:rPr>
          <w:sz w:val="20"/>
          <w:lang w:val="en-GB"/>
        </w:rPr>
        <w:t>s</w:t>
      </w:r>
      <w:r w:rsidRPr="00B7554F">
        <w:rPr>
          <w:sz w:val="20"/>
          <w:lang w:val="en-GB"/>
        </w:rPr>
        <w:t>ed</w:t>
      </w:r>
      <w:r w:rsidR="005F4752" w:rsidRPr="00B7554F">
        <w:rPr>
          <w:sz w:val="20"/>
          <w:lang w:val="en-GB"/>
        </w:rPr>
        <w:t>ed</w:t>
      </w:r>
      <w:r w:rsidRPr="00B7554F">
        <w:rPr>
          <w:sz w:val="20"/>
          <w:lang w:val="en-GB"/>
        </w:rPr>
        <w:t xml:space="preserve"> the 1992 Data Protection Act, provides that</w:t>
      </w:r>
      <w:r w:rsidR="00A81CBA" w:rsidRPr="00B7554F">
        <w:rPr>
          <w:sz w:val="20"/>
          <w:lang w:val="en-GB"/>
        </w:rPr>
        <w:t xml:space="preserve"> anyone may</w:t>
      </w:r>
      <w:r w:rsidRPr="00B7554F">
        <w:rPr>
          <w:sz w:val="20"/>
          <w:lang w:val="en-GB"/>
        </w:rPr>
        <w:t xml:space="preserve"> requests</w:t>
      </w:r>
      <w:r w:rsidR="00A81CBA" w:rsidRPr="00B7554F">
        <w:rPr>
          <w:sz w:val="20"/>
          <w:lang w:val="en-GB"/>
        </w:rPr>
        <w:t xml:space="preserve"> </w:t>
      </w:r>
      <w:r w:rsidRPr="00B7554F">
        <w:rPr>
          <w:sz w:val="20"/>
          <w:lang w:val="en-GB"/>
        </w:rPr>
        <w:t>access</w:t>
      </w:r>
      <w:r w:rsidR="00A81CBA" w:rsidRPr="00B7554F">
        <w:rPr>
          <w:sz w:val="20"/>
          <w:lang w:val="en-GB"/>
        </w:rPr>
        <w:t xml:space="preserve"> to</w:t>
      </w:r>
      <w:r w:rsidRPr="00B7554F">
        <w:rPr>
          <w:sz w:val="20"/>
          <w:lang w:val="en-GB"/>
        </w:rPr>
        <w:t xml:space="preserve"> data of public interest.</w:t>
      </w:r>
      <w:r w:rsidRPr="00B7554F">
        <w:rPr>
          <w:rStyle w:val="FootnoteReference"/>
          <w:sz w:val="20"/>
          <w:szCs w:val="20"/>
          <w:lang w:val="en-GB"/>
        </w:rPr>
        <w:footnoteReference w:id="5"/>
      </w:r>
      <w:bookmarkEnd w:id="4"/>
      <w:r w:rsidRPr="00B7554F">
        <w:rPr>
          <w:sz w:val="20"/>
          <w:szCs w:val="20"/>
          <w:lang w:val="en-GB"/>
        </w:rPr>
        <w:t xml:space="preserve"> </w:t>
      </w:r>
      <w:r w:rsidRPr="00B7554F">
        <w:rPr>
          <w:sz w:val="20"/>
          <w:lang w:val="en-GB"/>
        </w:rPr>
        <w:t xml:space="preserve"> </w:t>
      </w:r>
      <w:bookmarkStart w:id="5" w:name="_Ref6934277"/>
      <w:r w:rsidR="00C118BF" w:rsidRPr="00B7554F">
        <w:rPr>
          <w:sz w:val="20"/>
          <w:lang w:val="en-GB"/>
        </w:rPr>
        <w:t>S</w:t>
      </w:r>
      <w:r w:rsidRPr="00B7554F">
        <w:rPr>
          <w:sz w:val="20"/>
          <w:lang w:val="en-GB"/>
        </w:rPr>
        <w:t>ection 2</w:t>
      </w:r>
      <w:r w:rsidR="001E4A1B" w:rsidRPr="00B7554F">
        <w:rPr>
          <w:sz w:val="20"/>
          <w:lang w:val="en-GB"/>
        </w:rPr>
        <w:t>9</w:t>
      </w:r>
      <w:r w:rsidRPr="00B7554F">
        <w:rPr>
          <w:sz w:val="20"/>
          <w:lang w:val="en-GB"/>
        </w:rPr>
        <w:t>(1) of the 2011 Freedom of Information Act stipulates that the body undertaking public duties controlling the data shall satisfy the requirements relating to accessing data of public interest within the shortest possible time</w:t>
      </w:r>
      <w:r w:rsidR="00A81CBA" w:rsidRPr="00B7554F">
        <w:rPr>
          <w:sz w:val="20"/>
          <w:lang w:val="en-GB"/>
        </w:rPr>
        <w:t xml:space="preserve"> and </w:t>
      </w:r>
      <w:r w:rsidRPr="00B7554F">
        <w:rPr>
          <w:sz w:val="20"/>
          <w:lang w:val="en-GB"/>
        </w:rPr>
        <w:t>a maximum of 15 days.</w:t>
      </w:r>
      <w:bookmarkEnd w:id="5"/>
      <w:r w:rsidR="00E22AD9" w:rsidRPr="00B7554F">
        <w:rPr>
          <w:rStyle w:val="FootnoteReference"/>
          <w:sz w:val="20"/>
          <w:szCs w:val="20"/>
          <w:lang w:val="en-GB"/>
        </w:rPr>
        <w:footnoteReference w:id="6"/>
      </w:r>
    </w:p>
    <w:p w14:paraId="6B85AB5A" w14:textId="03786F93" w:rsidR="008F2362" w:rsidRPr="00B7554F" w:rsidRDefault="00B1429C" w:rsidP="008F2362">
      <w:pPr>
        <w:pStyle w:val="SingleTxtG"/>
        <w:numPr>
          <w:ilvl w:val="0"/>
          <w:numId w:val="3"/>
        </w:numPr>
        <w:ind w:left="1100" w:right="0" w:firstLine="0"/>
        <w:rPr>
          <w:sz w:val="20"/>
          <w:szCs w:val="20"/>
          <w:lang w:val="en-GB"/>
        </w:rPr>
      </w:pPr>
      <w:r w:rsidRPr="00B7554F">
        <w:rPr>
          <w:sz w:val="20"/>
          <w:szCs w:val="20"/>
          <w:lang w:val="en-GB"/>
        </w:rPr>
        <w:t>Article 12</w:t>
      </w:r>
      <w:r w:rsidR="0097358C" w:rsidRPr="00B7554F">
        <w:rPr>
          <w:sz w:val="20"/>
          <w:szCs w:val="20"/>
          <w:lang w:val="en-GB"/>
        </w:rPr>
        <w:t>(</w:t>
      </w:r>
      <w:r w:rsidRPr="00B7554F">
        <w:rPr>
          <w:sz w:val="20"/>
          <w:szCs w:val="20"/>
          <w:lang w:val="en-GB"/>
        </w:rPr>
        <w:t>2</w:t>
      </w:r>
      <w:r w:rsidR="0097358C" w:rsidRPr="00B7554F">
        <w:rPr>
          <w:sz w:val="20"/>
          <w:szCs w:val="20"/>
          <w:lang w:val="en-GB"/>
        </w:rPr>
        <w:t>)</w:t>
      </w:r>
      <w:r w:rsidRPr="00B7554F">
        <w:rPr>
          <w:sz w:val="20"/>
          <w:szCs w:val="20"/>
          <w:lang w:val="en-GB"/>
        </w:rPr>
        <w:t xml:space="preserve"> of Act LIII of 1995 on the General Rules of Environmental Protection </w:t>
      </w:r>
      <w:r w:rsidR="00E823D7" w:rsidRPr="00B7554F">
        <w:rPr>
          <w:sz w:val="20"/>
          <w:szCs w:val="20"/>
          <w:lang w:val="en-GB"/>
        </w:rPr>
        <w:t xml:space="preserve">(Environmental Code) </w:t>
      </w:r>
      <w:r w:rsidR="00BB2CEB" w:rsidRPr="00B7554F">
        <w:rPr>
          <w:sz w:val="20"/>
          <w:szCs w:val="20"/>
          <w:lang w:val="en-GB"/>
        </w:rPr>
        <w:t>establishes</w:t>
      </w:r>
      <w:r w:rsidR="00090F00" w:rsidRPr="00B7554F">
        <w:rPr>
          <w:sz w:val="20"/>
          <w:szCs w:val="20"/>
          <w:lang w:val="en-GB"/>
        </w:rPr>
        <w:t xml:space="preserve"> the right to access </w:t>
      </w:r>
      <w:r w:rsidRPr="00B7554F">
        <w:rPr>
          <w:sz w:val="20"/>
          <w:szCs w:val="20"/>
          <w:lang w:val="en-GB"/>
        </w:rPr>
        <w:t>environmental information.</w:t>
      </w:r>
      <w:r w:rsidR="00F62211" w:rsidRPr="00B7554F">
        <w:rPr>
          <w:rStyle w:val="FootnoteReference"/>
          <w:sz w:val="20"/>
          <w:szCs w:val="20"/>
          <w:lang w:val="en-GB"/>
        </w:rPr>
        <w:footnoteReference w:id="7"/>
      </w:r>
      <w:r w:rsidR="00B7708E" w:rsidRPr="00B7554F">
        <w:rPr>
          <w:sz w:val="20"/>
          <w:szCs w:val="20"/>
          <w:lang w:val="en-GB"/>
        </w:rPr>
        <w:t xml:space="preserve"> Ar</w:t>
      </w:r>
      <w:r w:rsidR="00450123" w:rsidRPr="00B7554F">
        <w:rPr>
          <w:sz w:val="20"/>
          <w:szCs w:val="20"/>
          <w:lang w:val="en-GB"/>
        </w:rPr>
        <w:t xml:space="preserve">ticle 2 of Government Decree 311/2005 (XII.25) </w:t>
      </w:r>
      <w:r w:rsidR="008D5422" w:rsidRPr="00B7554F">
        <w:rPr>
          <w:sz w:val="20"/>
          <w:szCs w:val="20"/>
          <w:lang w:val="en-GB"/>
        </w:rPr>
        <w:t>on the order of public acces</w:t>
      </w:r>
      <w:r w:rsidR="00593880" w:rsidRPr="00B7554F">
        <w:rPr>
          <w:sz w:val="20"/>
          <w:szCs w:val="20"/>
          <w:lang w:val="en-GB"/>
        </w:rPr>
        <w:t>s to environmental information (</w:t>
      </w:r>
      <w:r w:rsidR="00D7619B" w:rsidRPr="00B7554F">
        <w:rPr>
          <w:sz w:val="20"/>
          <w:szCs w:val="20"/>
          <w:lang w:val="en-GB"/>
        </w:rPr>
        <w:t xml:space="preserve">Decree on </w:t>
      </w:r>
      <w:r w:rsidR="00593880" w:rsidRPr="00B7554F">
        <w:rPr>
          <w:sz w:val="20"/>
          <w:szCs w:val="20"/>
          <w:lang w:val="en-GB"/>
        </w:rPr>
        <w:t xml:space="preserve">Environmental Information Access) </w:t>
      </w:r>
      <w:r w:rsidR="00450123" w:rsidRPr="00B7554F">
        <w:rPr>
          <w:sz w:val="20"/>
          <w:szCs w:val="20"/>
          <w:lang w:val="en-GB"/>
        </w:rPr>
        <w:t>defines</w:t>
      </w:r>
      <w:r w:rsidR="00A81CBA" w:rsidRPr="00B7554F">
        <w:rPr>
          <w:sz w:val="20"/>
          <w:szCs w:val="20"/>
          <w:lang w:val="en-GB"/>
        </w:rPr>
        <w:t xml:space="preserve"> </w:t>
      </w:r>
      <w:r w:rsidR="00450123" w:rsidRPr="00B7554F">
        <w:rPr>
          <w:sz w:val="20"/>
          <w:szCs w:val="20"/>
          <w:lang w:val="en-GB"/>
        </w:rPr>
        <w:t>environmental information.</w:t>
      </w:r>
      <w:r w:rsidR="00450123" w:rsidRPr="00B7554F">
        <w:rPr>
          <w:rStyle w:val="FootnoteReference"/>
          <w:szCs w:val="20"/>
          <w:lang w:val="en-GB"/>
        </w:rPr>
        <w:footnoteReference w:id="8"/>
      </w:r>
    </w:p>
    <w:p w14:paraId="6D85389F" w14:textId="4E9A6DE9" w:rsidR="00274C48" w:rsidRDefault="00274C48" w:rsidP="008F2362">
      <w:pPr>
        <w:spacing w:after="120"/>
        <w:ind w:left="1100"/>
        <w:rPr>
          <w:i/>
          <w:sz w:val="20"/>
          <w:lang w:val="en-GB"/>
        </w:rPr>
      </w:pPr>
    </w:p>
    <w:p w14:paraId="15775EE9" w14:textId="77777777" w:rsidR="008A0053" w:rsidRDefault="008A0053" w:rsidP="008F2362">
      <w:pPr>
        <w:spacing w:after="120"/>
        <w:ind w:left="1100"/>
        <w:rPr>
          <w:i/>
          <w:sz w:val="20"/>
          <w:lang w:val="en-GB"/>
        </w:rPr>
      </w:pPr>
    </w:p>
    <w:p w14:paraId="020B96F5" w14:textId="1FC8983E" w:rsidR="008F2362" w:rsidRPr="00B7554F" w:rsidRDefault="008F2362" w:rsidP="008F2362">
      <w:pPr>
        <w:spacing w:after="120"/>
        <w:ind w:left="1100"/>
        <w:rPr>
          <w:i/>
          <w:sz w:val="20"/>
          <w:lang w:val="en-GB"/>
        </w:rPr>
      </w:pPr>
      <w:r w:rsidRPr="00B7554F">
        <w:rPr>
          <w:i/>
          <w:sz w:val="20"/>
          <w:lang w:val="en-GB"/>
        </w:rPr>
        <w:t>Definition of bodies or persons performing public responsibilities</w:t>
      </w:r>
    </w:p>
    <w:p w14:paraId="11AAE0D7" w14:textId="1C22EE4E" w:rsidR="002250B6" w:rsidRPr="00B7554F" w:rsidRDefault="008F2362" w:rsidP="008F2362">
      <w:pPr>
        <w:pStyle w:val="SingleTxtG"/>
        <w:numPr>
          <w:ilvl w:val="0"/>
          <w:numId w:val="3"/>
        </w:numPr>
        <w:ind w:left="1100" w:right="0" w:firstLine="0"/>
        <w:rPr>
          <w:sz w:val="20"/>
          <w:szCs w:val="20"/>
          <w:lang w:val="en-GB"/>
        </w:rPr>
      </w:pPr>
      <w:bookmarkStart w:id="6" w:name="_Ref6927198"/>
      <w:r w:rsidRPr="00B7554F">
        <w:rPr>
          <w:sz w:val="20"/>
          <w:szCs w:val="20"/>
          <w:lang w:val="en-GB"/>
        </w:rPr>
        <w:t>A</w:t>
      </w:r>
      <w:r w:rsidR="002250B6" w:rsidRPr="00B7554F">
        <w:rPr>
          <w:sz w:val="20"/>
          <w:szCs w:val="20"/>
          <w:lang w:val="en-GB"/>
        </w:rPr>
        <w:t xml:space="preserve">rticle 5(2) </w:t>
      </w:r>
      <w:r w:rsidRPr="00B7554F">
        <w:rPr>
          <w:sz w:val="20"/>
          <w:szCs w:val="20"/>
          <w:lang w:val="en-GB"/>
        </w:rPr>
        <w:t xml:space="preserve">of Act CVI on State Property </w:t>
      </w:r>
      <w:r w:rsidR="00323E98" w:rsidRPr="00B7554F">
        <w:rPr>
          <w:sz w:val="20"/>
          <w:szCs w:val="20"/>
          <w:lang w:val="en-GB"/>
        </w:rPr>
        <w:t>(</w:t>
      </w:r>
      <w:r w:rsidR="00C91BA9" w:rsidRPr="00B7554F">
        <w:rPr>
          <w:sz w:val="20"/>
          <w:szCs w:val="20"/>
          <w:lang w:val="en-GB"/>
        </w:rPr>
        <w:t xml:space="preserve">the </w:t>
      </w:r>
      <w:r w:rsidR="00323E98" w:rsidRPr="00B7554F">
        <w:rPr>
          <w:sz w:val="20"/>
          <w:szCs w:val="20"/>
          <w:lang w:val="en-GB"/>
        </w:rPr>
        <w:t xml:space="preserve">State Property Act) </w:t>
      </w:r>
      <w:r w:rsidR="002250B6" w:rsidRPr="00B7554F">
        <w:rPr>
          <w:sz w:val="20"/>
          <w:szCs w:val="20"/>
          <w:lang w:val="en-GB"/>
        </w:rPr>
        <w:t>provide</w:t>
      </w:r>
      <w:r w:rsidR="00D7619B" w:rsidRPr="00B7554F">
        <w:rPr>
          <w:sz w:val="20"/>
          <w:szCs w:val="20"/>
          <w:lang w:val="en-GB"/>
        </w:rPr>
        <w:t>s</w:t>
      </w:r>
      <w:r w:rsidR="002250B6" w:rsidRPr="00B7554F">
        <w:rPr>
          <w:sz w:val="20"/>
          <w:szCs w:val="20"/>
          <w:lang w:val="en-GB"/>
        </w:rPr>
        <w:t xml:space="preserve"> that all persons or organizations that manage or rule over </w:t>
      </w:r>
      <w:r w:rsidR="004F2A1B" w:rsidRPr="00B7554F">
        <w:rPr>
          <w:sz w:val="20"/>
          <w:szCs w:val="20"/>
          <w:lang w:val="en-GB"/>
        </w:rPr>
        <w:t>s</w:t>
      </w:r>
      <w:r w:rsidR="002250B6" w:rsidRPr="00B7554F">
        <w:rPr>
          <w:sz w:val="20"/>
          <w:szCs w:val="20"/>
          <w:lang w:val="en-GB"/>
        </w:rPr>
        <w:t xml:space="preserve">tate property shall qualify as a body or person performing public responsibilities within the frame of the </w:t>
      </w:r>
      <w:r w:rsidR="009E21EB" w:rsidRPr="00B7554F">
        <w:rPr>
          <w:sz w:val="20"/>
          <w:szCs w:val="20"/>
          <w:lang w:val="en-GB"/>
        </w:rPr>
        <w:t>1992 Data Protection Act</w:t>
      </w:r>
      <w:r w:rsidR="002250B6" w:rsidRPr="00B7554F">
        <w:rPr>
          <w:sz w:val="20"/>
          <w:szCs w:val="20"/>
          <w:lang w:val="en-GB"/>
        </w:rPr>
        <w:t>.</w:t>
      </w:r>
      <w:r w:rsidR="002250B6" w:rsidRPr="00B7554F">
        <w:rPr>
          <w:rStyle w:val="FootnoteReference"/>
          <w:szCs w:val="20"/>
          <w:lang w:val="en-GB"/>
        </w:rPr>
        <w:footnoteReference w:id="9"/>
      </w:r>
      <w:bookmarkEnd w:id="6"/>
      <w:r w:rsidR="000947AC" w:rsidRPr="00B7554F">
        <w:rPr>
          <w:sz w:val="20"/>
          <w:szCs w:val="20"/>
          <w:lang w:val="en-GB"/>
        </w:rPr>
        <w:t xml:space="preserve"> </w:t>
      </w:r>
    </w:p>
    <w:p w14:paraId="6380558C" w14:textId="77777777" w:rsidR="00E22AD9" w:rsidRPr="00B7554F" w:rsidRDefault="00E22AD9" w:rsidP="008F2362">
      <w:pPr>
        <w:pStyle w:val="SingleTxtG"/>
        <w:numPr>
          <w:ilvl w:val="0"/>
          <w:numId w:val="3"/>
        </w:numPr>
        <w:ind w:left="1100" w:right="0" w:firstLine="0"/>
        <w:rPr>
          <w:sz w:val="20"/>
          <w:szCs w:val="20"/>
          <w:lang w:val="en-GB"/>
        </w:rPr>
      </w:pPr>
      <w:r w:rsidRPr="00B7554F">
        <w:rPr>
          <w:sz w:val="20"/>
          <w:szCs w:val="20"/>
          <w:lang w:val="en-GB"/>
        </w:rPr>
        <w:t>Article 3(5) of the 2011 Freedom of Information Act provides that data of p</w:t>
      </w:r>
      <w:r w:rsidR="00CA0B13" w:rsidRPr="00B7554F">
        <w:rPr>
          <w:sz w:val="20"/>
          <w:szCs w:val="20"/>
          <w:lang w:val="en-GB"/>
        </w:rPr>
        <w:t>ublic</w:t>
      </w:r>
      <w:r w:rsidRPr="00B7554F">
        <w:rPr>
          <w:sz w:val="20"/>
          <w:szCs w:val="20"/>
          <w:lang w:val="en-GB"/>
        </w:rPr>
        <w:t xml:space="preserve"> interest includes information or data other than personal data registered in any mode or form concerning activities undertaken and controlled by the body or individual carrying out state or local government responsibilities.</w:t>
      </w:r>
      <w:r w:rsidRPr="00B7554F">
        <w:rPr>
          <w:rStyle w:val="FootnoteReference"/>
          <w:sz w:val="20"/>
          <w:szCs w:val="20"/>
          <w:lang w:val="en-GB"/>
        </w:rPr>
        <w:footnoteReference w:id="10"/>
      </w:r>
    </w:p>
    <w:p w14:paraId="4D5ECA9A" w14:textId="77777777" w:rsidR="00271E09" w:rsidRPr="00B7554F" w:rsidRDefault="00271E09" w:rsidP="002250B6">
      <w:pPr>
        <w:pStyle w:val="SingleTxtG"/>
        <w:ind w:right="0"/>
        <w:rPr>
          <w:sz w:val="20"/>
          <w:szCs w:val="20"/>
          <w:lang w:val="en-GB"/>
        </w:rPr>
      </w:pPr>
      <w:r w:rsidRPr="00B7554F">
        <w:rPr>
          <w:i/>
          <w:sz w:val="20"/>
          <w:szCs w:val="20"/>
          <w:lang w:val="en-GB"/>
        </w:rPr>
        <w:t>Grounds for refusal</w:t>
      </w:r>
    </w:p>
    <w:p w14:paraId="488F619E" w14:textId="5A101D24" w:rsidR="00323E98" w:rsidRPr="00B7554F" w:rsidRDefault="00323E98" w:rsidP="00323E98">
      <w:pPr>
        <w:pStyle w:val="SingleTxtG"/>
        <w:numPr>
          <w:ilvl w:val="0"/>
          <w:numId w:val="3"/>
        </w:numPr>
        <w:ind w:left="1100" w:right="0" w:firstLine="0"/>
        <w:rPr>
          <w:sz w:val="20"/>
          <w:lang w:val="en-GB"/>
        </w:rPr>
      </w:pPr>
      <w:bookmarkStart w:id="7" w:name="_Ref8895718"/>
      <w:r w:rsidRPr="00B7554F">
        <w:rPr>
          <w:sz w:val="20"/>
          <w:szCs w:val="20"/>
          <w:lang w:val="en-GB"/>
        </w:rPr>
        <w:t>Section 19(5) of the 1992 Data Protection Act provided that, unless otherwise prescribed by law, any data that is for internal use o</w:t>
      </w:r>
      <w:r w:rsidR="004D6D9D" w:rsidRPr="00B7554F">
        <w:rPr>
          <w:sz w:val="20"/>
          <w:szCs w:val="20"/>
          <w:lang w:val="en-GB"/>
        </w:rPr>
        <w:t>r</w:t>
      </w:r>
      <w:r w:rsidRPr="00B7554F">
        <w:rPr>
          <w:sz w:val="20"/>
          <w:szCs w:val="20"/>
          <w:lang w:val="en-GB"/>
        </w:rPr>
        <w:t xml:space="preserve"> that is related to a decision-making process shall not be available to the public for twenty years from the date on which </w:t>
      </w:r>
      <w:r w:rsidR="00A81CBA" w:rsidRPr="00B7554F">
        <w:rPr>
          <w:sz w:val="20"/>
          <w:szCs w:val="20"/>
          <w:lang w:val="en-GB"/>
        </w:rPr>
        <w:t>it is</w:t>
      </w:r>
      <w:r w:rsidRPr="00B7554F">
        <w:rPr>
          <w:sz w:val="20"/>
          <w:szCs w:val="20"/>
          <w:lang w:val="en-GB"/>
        </w:rPr>
        <w:t xml:space="preserve"> processed. Upon request, the head of the respective agency may authorize access to such data.</w:t>
      </w:r>
      <w:r w:rsidRPr="00B7554F">
        <w:rPr>
          <w:rStyle w:val="FootnoteReference"/>
          <w:szCs w:val="18"/>
          <w:lang w:val="en-GB"/>
        </w:rPr>
        <w:footnoteReference w:id="11"/>
      </w:r>
      <w:r w:rsidR="00CE69FF" w:rsidRPr="00B7554F">
        <w:rPr>
          <w:sz w:val="20"/>
          <w:szCs w:val="20"/>
          <w:lang w:val="en-GB"/>
        </w:rPr>
        <w:t xml:space="preserve"> </w:t>
      </w:r>
      <w:r w:rsidR="00CA0B13" w:rsidRPr="00B7554F">
        <w:rPr>
          <w:sz w:val="20"/>
          <w:szCs w:val="20"/>
          <w:lang w:val="en-GB"/>
        </w:rPr>
        <w:t>A similar provision</w:t>
      </w:r>
      <w:r w:rsidR="00CE69FF" w:rsidRPr="00B7554F">
        <w:rPr>
          <w:sz w:val="20"/>
          <w:szCs w:val="20"/>
          <w:lang w:val="en-GB"/>
        </w:rPr>
        <w:t xml:space="preserve"> appeared at one point in time under section 19(</w:t>
      </w:r>
      <w:r w:rsidR="00C51B82" w:rsidRPr="00B7554F">
        <w:rPr>
          <w:sz w:val="20"/>
          <w:szCs w:val="20"/>
          <w:lang w:val="en-GB"/>
        </w:rPr>
        <w:t>a</w:t>
      </w:r>
      <w:r w:rsidR="00CE69FF" w:rsidRPr="00B7554F">
        <w:rPr>
          <w:sz w:val="20"/>
          <w:szCs w:val="20"/>
          <w:lang w:val="en-GB"/>
        </w:rPr>
        <w:t>)(1) and (2) of the Act.</w:t>
      </w:r>
      <w:r w:rsidR="00CE69FF" w:rsidRPr="00B7554F">
        <w:rPr>
          <w:rStyle w:val="FootnoteReference"/>
          <w:szCs w:val="18"/>
          <w:lang w:val="en-GB"/>
        </w:rPr>
        <w:footnoteReference w:id="12"/>
      </w:r>
      <w:bookmarkEnd w:id="7"/>
    </w:p>
    <w:p w14:paraId="3FA0C4EA" w14:textId="5911DDF4" w:rsidR="001E3536" w:rsidRPr="00B7554F" w:rsidRDefault="001E3536" w:rsidP="00271E09">
      <w:pPr>
        <w:pStyle w:val="SingleTxtG"/>
        <w:numPr>
          <w:ilvl w:val="0"/>
          <w:numId w:val="3"/>
        </w:numPr>
        <w:ind w:left="1100" w:right="0" w:firstLine="0"/>
        <w:rPr>
          <w:sz w:val="20"/>
          <w:lang w:val="en-GB"/>
        </w:rPr>
      </w:pPr>
      <w:bookmarkStart w:id="8" w:name="_Ref6935222"/>
      <w:r w:rsidRPr="00B7554F">
        <w:rPr>
          <w:sz w:val="20"/>
          <w:lang w:val="en-GB"/>
        </w:rPr>
        <w:t xml:space="preserve">Section 27(5) of the </w:t>
      </w:r>
      <w:r w:rsidR="00CE69FF" w:rsidRPr="00B7554F">
        <w:rPr>
          <w:sz w:val="20"/>
          <w:lang w:val="en-GB"/>
        </w:rPr>
        <w:t xml:space="preserve">2011 </w:t>
      </w:r>
      <w:r w:rsidRPr="00B7554F">
        <w:rPr>
          <w:sz w:val="20"/>
          <w:lang w:val="en-GB"/>
        </w:rPr>
        <w:t>Freedom of Information Act</w:t>
      </w:r>
      <w:r w:rsidR="00892F79" w:rsidRPr="00B7554F">
        <w:rPr>
          <w:sz w:val="20"/>
          <w:lang w:val="en-GB"/>
        </w:rPr>
        <w:t xml:space="preserve"> provides that data generated or registered </w:t>
      </w:r>
      <w:r w:rsidR="00BA60B8" w:rsidRPr="00B7554F">
        <w:rPr>
          <w:sz w:val="20"/>
          <w:lang w:val="en-GB"/>
        </w:rPr>
        <w:t>during</w:t>
      </w:r>
      <w:r w:rsidR="00892F79" w:rsidRPr="00B7554F">
        <w:rPr>
          <w:sz w:val="20"/>
          <w:lang w:val="en-GB"/>
        </w:rPr>
        <w:t xml:space="preserve"> a procedure aimed at the body undertaking public duties making a de</w:t>
      </w:r>
      <w:r w:rsidR="001E406B" w:rsidRPr="00B7554F">
        <w:rPr>
          <w:sz w:val="20"/>
          <w:lang w:val="en-GB"/>
        </w:rPr>
        <w:t>ci</w:t>
      </w:r>
      <w:r w:rsidR="00892F79" w:rsidRPr="00B7554F">
        <w:rPr>
          <w:sz w:val="20"/>
          <w:lang w:val="en-GB"/>
        </w:rPr>
        <w:t xml:space="preserve">sion within its respective scope of responsibilities and authority and serving as a basis for making this decision cannot be disclosed for </w:t>
      </w:r>
      <w:r w:rsidR="00BA60B8" w:rsidRPr="00B7554F">
        <w:rPr>
          <w:sz w:val="20"/>
          <w:lang w:val="en-GB"/>
        </w:rPr>
        <w:t>ten</w:t>
      </w:r>
      <w:r w:rsidR="00892F79" w:rsidRPr="00B7554F">
        <w:rPr>
          <w:sz w:val="20"/>
          <w:lang w:val="en-GB"/>
        </w:rPr>
        <w:t xml:space="preserve"> years following the date this data was generated or registered. The competent body controlling this data is entitled to authorize access </w:t>
      </w:r>
      <w:r w:rsidR="00BA60B8" w:rsidRPr="00B7554F">
        <w:rPr>
          <w:sz w:val="20"/>
          <w:lang w:val="en-GB"/>
        </w:rPr>
        <w:t>based on</w:t>
      </w:r>
      <w:r w:rsidR="00892F79" w:rsidRPr="00B7554F">
        <w:rPr>
          <w:sz w:val="20"/>
          <w:lang w:val="en-GB"/>
        </w:rPr>
        <w:t xml:space="preserve"> the gravity of the given public interest.</w:t>
      </w:r>
      <w:bookmarkEnd w:id="8"/>
      <w:r w:rsidR="008A4D5D" w:rsidRPr="00B7554F">
        <w:rPr>
          <w:rStyle w:val="FootnoteReference"/>
          <w:szCs w:val="18"/>
          <w:lang w:val="en-GB"/>
        </w:rPr>
        <w:footnoteReference w:id="13"/>
      </w:r>
    </w:p>
    <w:p w14:paraId="15AF08AC" w14:textId="56CA0727" w:rsidR="008A1776" w:rsidRPr="00B7554F" w:rsidRDefault="008A1776" w:rsidP="008A1776">
      <w:pPr>
        <w:pStyle w:val="SingleTxtG"/>
        <w:numPr>
          <w:ilvl w:val="0"/>
          <w:numId w:val="3"/>
        </w:numPr>
        <w:ind w:left="1100" w:right="0" w:firstLine="0"/>
        <w:rPr>
          <w:sz w:val="20"/>
          <w:lang w:val="en-GB"/>
        </w:rPr>
      </w:pPr>
      <w:bookmarkStart w:id="9" w:name="_Ref8895740"/>
      <w:r w:rsidRPr="00B7554F">
        <w:rPr>
          <w:sz w:val="20"/>
          <w:szCs w:val="20"/>
          <w:lang w:val="en-GB"/>
        </w:rPr>
        <w:t>Section 19(6) of the 1992 Data Protection Act provided that access to business secrets in connection with access to information of public interest shall be governed by the relevant Civil Code</w:t>
      </w:r>
      <w:r w:rsidR="00BA60B8" w:rsidRPr="00B7554F">
        <w:rPr>
          <w:sz w:val="20"/>
          <w:szCs w:val="20"/>
          <w:lang w:val="en-GB"/>
        </w:rPr>
        <w:t xml:space="preserve"> provisions</w:t>
      </w:r>
      <w:r w:rsidRPr="00B7554F">
        <w:rPr>
          <w:sz w:val="20"/>
          <w:szCs w:val="20"/>
          <w:lang w:val="en-GB"/>
        </w:rPr>
        <w:t>.</w:t>
      </w:r>
      <w:r w:rsidRPr="00B7554F">
        <w:rPr>
          <w:rStyle w:val="FootnoteReference"/>
          <w:sz w:val="20"/>
          <w:szCs w:val="20"/>
          <w:lang w:val="en-GB"/>
        </w:rPr>
        <w:footnoteReference w:id="14"/>
      </w:r>
      <w:bookmarkEnd w:id="9"/>
      <w:r w:rsidRPr="00B7554F">
        <w:rPr>
          <w:sz w:val="20"/>
          <w:szCs w:val="20"/>
          <w:lang w:val="en-GB"/>
        </w:rPr>
        <w:t xml:space="preserve"> </w:t>
      </w:r>
    </w:p>
    <w:p w14:paraId="76EC62C8" w14:textId="77777777" w:rsidR="00FD0546" w:rsidRPr="00B7554F" w:rsidRDefault="00814C1B" w:rsidP="00521D1E">
      <w:pPr>
        <w:pStyle w:val="SingleTxtG"/>
        <w:ind w:left="1100" w:right="0"/>
        <w:rPr>
          <w:b/>
          <w:sz w:val="20"/>
          <w:szCs w:val="20"/>
          <w:lang w:val="en-GB"/>
        </w:rPr>
      </w:pPr>
      <w:r w:rsidRPr="00B7554F">
        <w:rPr>
          <w:b/>
          <w:sz w:val="20"/>
          <w:szCs w:val="20"/>
          <w:lang w:val="en-GB"/>
        </w:rPr>
        <w:t>Legislation regarding n</w:t>
      </w:r>
      <w:r w:rsidR="001A49D4" w:rsidRPr="00B7554F">
        <w:rPr>
          <w:b/>
          <w:sz w:val="20"/>
          <w:szCs w:val="20"/>
          <w:lang w:val="en-GB"/>
        </w:rPr>
        <w:t xml:space="preserve">ew </w:t>
      </w:r>
      <w:r w:rsidR="00FD0546" w:rsidRPr="00B7554F">
        <w:rPr>
          <w:b/>
          <w:sz w:val="20"/>
          <w:szCs w:val="20"/>
          <w:lang w:val="en-GB"/>
        </w:rPr>
        <w:t>nuclear power plant</w:t>
      </w:r>
      <w:r w:rsidR="001A49D4" w:rsidRPr="00B7554F">
        <w:rPr>
          <w:b/>
          <w:sz w:val="20"/>
          <w:szCs w:val="20"/>
          <w:lang w:val="en-GB"/>
        </w:rPr>
        <w:t>s</w:t>
      </w:r>
      <w:r w:rsidR="00F116CD" w:rsidRPr="00B7554F">
        <w:rPr>
          <w:b/>
          <w:sz w:val="20"/>
          <w:szCs w:val="20"/>
          <w:lang w:val="en-GB"/>
        </w:rPr>
        <w:t xml:space="preserve"> or adding units to an existing facility</w:t>
      </w:r>
    </w:p>
    <w:p w14:paraId="65968A9D" w14:textId="61AD8594" w:rsidR="00311396" w:rsidRPr="00B7554F" w:rsidRDefault="00A83646" w:rsidP="00311396">
      <w:pPr>
        <w:pStyle w:val="SingleTxtG"/>
        <w:numPr>
          <w:ilvl w:val="0"/>
          <w:numId w:val="3"/>
        </w:numPr>
        <w:ind w:left="1100" w:right="0" w:firstLine="0"/>
        <w:rPr>
          <w:rStyle w:val="st"/>
          <w:sz w:val="20"/>
          <w:lang w:val="en-GB"/>
        </w:rPr>
      </w:pPr>
      <w:bookmarkStart w:id="10" w:name="_Ref496603300"/>
      <w:bookmarkStart w:id="11" w:name="_Ref7594998"/>
      <w:r w:rsidRPr="00B7554F">
        <w:rPr>
          <w:rStyle w:val="st"/>
          <w:sz w:val="20"/>
          <w:lang w:val="en-GB"/>
        </w:rPr>
        <w:t>Article 7</w:t>
      </w:r>
      <w:r w:rsidR="0097358C" w:rsidRPr="00B7554F">
        <w:rPr>
          <w:rStyle w:val="st"/>
          <w:sz w:val="20"/>
          <w:lang w:val="en-GB"/>
        </w:rPr>
        <w:t>(</w:t>
      </w:r>
      <w:r w:rsidRPr="00B7554F">
        <w:rPr>
          <w:rStyle w:val="st"/>
          <w:sz w:val="20"/>
          <w:lang w:val="en-GB"/>
        </w:rPr>
        <w:t>2</w:t>
      </w:r>
      <w:r w:rsidR="0097358C" w:rsidRPr="00B7554F">
        <w:rPr>
          <w:rStyle w:val="st"/>
          <w:sz w:val="20"/>
          <w:lang w:val="en-GB"/>
        </w:rPr>
        <w:t>)</w:t>
      </w:r>
      <w:r w:rsidRPr="00B7554F">
        <w:rPr>
          <w:rStyle w:val="st"/>
          <w:sz w:val="20"/>
          <w:lang w:val="en-GB"/>
        </w:rPr>
        <w:t xml:space="preserve"> of </w:t>
      </w:r>
      <w:r w:rsidR="00B21A33" w:rsidRPr="00B7554F">
        <w:rPr>
          <w:rStyle w:val="st"/>
          <w:sz w:val="20"/>
          <w:lang w:val="en-GB"/>
        </w:rPr>
        <w:t>Act CXVI of 1996 on Atomic Energy</w:t>
      </w:r>
      <w:r w:rsidR="005840EE" w:rsidRPr="00B7554F">
        <w:rPr>
          <w:rStyle w:val="st"/>
          <w:sz w:val="20"/>
          <w:lang w:val="en-GB"/>
        </w:rPr>
        <w:t xml:space="preserve"> </w:t>
      </w:r>
      <w:r w:rsidR="00AB5ACB" w:rsidRPr="00B7554F">
        <w:rPr>
          <w:rStyle w:val="st"/>
          <w:sz w:val="20"/>
          <w:lang w:val="en-GB"/>
        </w:rPr>
        <w:t>(</w:t>
      </w:r>
      <w:r w:rsidR="00AB5ACB" w:rsidRPr="00B7554F">
        <w:rPr>
          <w:rStyle w:val="st"/>
          <w:sz w:val="20"/>
          <w:szCs w:val="20"/>
          <w:lang w:val="en-GB"/>
        </w:rPr>
        <w:t xml:space="preserve">Atomic Energy </w:t>
      </w:r>
      <w:r w:rsidR="00AB5ACB" w:rsidRPr="00B7554F">
        <w:rPr>
          <w:rStyle w:val="st"/>
          <w:sz w:val="20"/>
          <w:lang w:val="en-GB"/>
        </w:rPr>
        <w:t xml:space="preserve">Act) </w:t>
      </w:r>
      <w:r w:rsidR="005840EE" w:rsidRPr="00B7554F">
        <w:rPr>
          <w:rStyle w:val="st"/>
          <w:sz w:val="20"/>
          <w:lang w:val="en-GB"/>
        </w:rPr>
        <w:t>states that</w:t>
      </w:r>
      <w:r w:rsidR="005840EE" w:rsidRPr="00B7554F">
        <w:rPr>
          <w:rStyle w:val="st"/>
          <w:sz w:val="20"/>
          <w:szCs w:val="20"/>
          <w:lang w:val="en-GB"/>
        </w:rPr>
        <w:t xml:space="preserve"> </w:t>
      </w:r>
      <w:r w:rsidR="004512AE" w:rsidRPr="00B7554F">
        <w:rPr>
          <w:rStyle w:val="st"/>
          <w:sz w:val="20"/>
          <w:szCs w:val="20"/>
          <w:lang w:val="en-GB"/>
        </w:rPr>
        <w:t>a</w:t>
      </w:r>
      <w:r w:rsidR="004512AE" w:rsidRPr="00B7554F">
        <w:rPr>
          <w:rStyle w:val="st"/>
          <w:sz w:val="20"/>
          <w:lang w:val="en-GB"/>
        </w:rPr>
        <w:t xml:space="preserve"> </w:t>
      </w:r>
      <w:r w:rsidR="005840EE" w:rsidRPr="00B7554F">
        <w:rPr>
          <w:rStyle w:val="st"/>
          <w:sz w:val="20"/>
          <w:lang w:val="en-GB"/>
        </w:rPr>
        <w:t xml:space="preserve">preliminary consent in principle of the </w:t>
      </w:r>
      <w:r w:rsidR="003B251F" w:rsidRPr="00B7554F">
        <w:rPr>
          <w:rStyle w:val="st"/>
          <w:sz w:val="20"/>
          <w:lang w:val="en-GB"/>
        </w:rPr>
        <w:t>P</w:t>
      </w:r>
      <w:r w:rsidR="005840EE" w:rsidRPr="00B7554F">
        <w:rPr>
          <w:rStyle w:val="st"/>
          <w:sz w:val="20"/>
          <w:lang w:val="en-GB"/>
        </w:rPr>
        <w:t xml:space="preserve">arliament </w:t>
      </w:r>
      <w:r w:rsidR="00196C08" w:rsidRPr="00B7554F">
        <w:rPr>
          <w:rStyle w:val="st"/>
          <w:sz w:val="20"/>
          <w:lang w:val="en-GB"/>
        </w:rPr>
        <w:t>is a prerequisite</w:t>
      </w:r>
      <w:r w:rsidR="005840EE" w:rsidRPr="00B7554F">
        <w:rPr>
          <w:rStyle w:val="st"/>
          <w:sz w:val="20"/>
          <w:lang w:val="en-GB"/>
        </w:rPr>
        <w:t xml:space="preserve"> for the commencement of preparatory actions for the expansion of an existing nuclear power plant.</w:t>
      </w:r>
      <w:bookmarkEnd w:id="10"/>
      <w:r w:rsidR="00274AB4" w:rsidRPr="00B7554F">
        <w:rPr>
          <w:rStyle w:val="FootnoteReference"/>
          <w:sz w:val="20"/>
          <w:szCs w:val="20"/>
          <w:lang w:val="en-GB"/>
        </w:rPr>
        <w:footnoteReference w:id="15"/>
      </w:r>
      <w:bookmarkEnd w:id="11"/>
    </w:p>
    <w:p w14:paraId="5B50A1E5" w14:textId="77777777" w:rsidR="008718AC" w:rsidRPr="00B7554F" w:rsidRDefault="00814C1B" w:rsidP="008718AC">
      <w:pPr>
        <w:pStyle w:val="SingleTxtG"/>
        <w:ind w:right="0"/>
        <w:rPr>
          <w:rStyle w:val="st"/>
          <w:b/>
          <w:sz w:val="20"/>
          <w:szCs w:val="20"/>
          <w:lang w:val="en-GB"/>
        </w:rPr>
      </w:pPr>
      <w:r w:rsidRPr="00B7554F">
        <w:rPr>
          <w:rStyle w:val="st"/>
          <w:b/>
          <w:sz w:val="20"/>
          <w:szCs w:val="20"/>
          <w:lang w:val="en-GB"/>
        </w:rPr>
        <w:t xml:space="preserve">Legislation </w:t>
      </w:r>
      <w:r w:rsidR="0003227D" w:rsidRPr="00B7554F">
        <w:rPr>
          <w:rStyle w:val="st"/>
          <w:b/>
          <w:sz w:val="20"/>
          <w:szCs w:val="20"/>
          <w:lang w:val="en-GB"/>
        </w:rPr>
        <w:t>regarding</w:t>
      </w:r>
      <w:r w:rsidR="00920CD3" w:rsidRPr="00B7554F">
        <w:rPr>
          <w:rStyle w:val="st"/>
          <w:b/>
          <w:sz w:val="20"/>
          <w:szCs w:val="20"/>
          <w:lang w:val="en-GB"/>
        </w:rPr>
        <w:t xml:space="preserve"> </w:t>
      </w:r>
      <w:r w:rsidR="00EC4852" w:rsidRPr="00B7554F">
        <w:rPr>
          <w:rStyle w:val="st"/>
          <w:b/>
          <w:sz w:val="20"/>
          <w:szCs w:val="20"/>
          <w:lang w:val="en-GB"/>
        </w:rPr>
        <w:t xml:space="preserve">draft bills and regulations </w:t>
      </w:r>
      <w:r w:rsidR="00824854" w:rsidRPr="00B7554F">
        <w:rPr>
          <w:rStyle w:val="st"/>
          <w:b/>
          <w:sz w:val="20"/>
          <w:szCs w:val="20"/>
          <w:lang w:val="en-GB"/>
        </w:rPr>
        <w:t>and consultation</w:t>
      </w:r>
      <w:r w:rsidR="0003227D" w:rsidRPr="00B7554F">
        <w:rPr>
          <w:rStyle w:val="st"/>
          <w:b/>
          <w:sz w:val="20"/>
          <w:szCs w:val="20"/>
          <w:lang w:val="en-GB"/>
        </w:rPr>
        <w:t>s</w:t>
      </w:r>
      <w:r w:rsidR="00824854" w:rsidRPr="00B7554F">
        <w:rPr>
          <w:rStyle w:val="st"/>
          <w:b/>
          <w:sz w:val="20"/>
          <w:szCs w:val="20"/>
          <w:lang w:val="en-GB"/>
        </w:rPr>
        <w:t xml:space="preserve"> thereon</w:t>
      </w:r>
    </w:p>
    <w:p w14:paraId="3F5FA782" w14:textId="2E05F071" w:rsidR="00023EF8" w:rsidRPr="00B7554F" w:rsidRDefault="00716CD3" w:rsidP="003E0216">
      <w:pPr>
        <w:pStyle w:val="SingleTxtG"/>
        <w:numPr>
          <w:ilvl w:val="0"/>
          <w:numId w:val="3"/>
        </w:numPr>
        <w:ind w:left="1100" w:right="0" w:firstLine="0"/>
        <w:rPr>
          <w:sz w:val="20"/>
          <w:szCs w:val="20"/>
          <w:lang w:val="en-GB"/>
        </w:rPr>
      </w:pPr>
      <w:bookmarkStart w:id="12" w:name="_Ref6834835"/>
      <w:r w:rsidRPr="00B7554F">
        <w:rPr>
          <w:rStyle w:val="st"/>
          <w:sz w:val="20"/>
          <w:szCs w:val="20"/>
          <w:lang w:val="en-GB"/>
        </w:rPr>
        <w:t>Section</w:t>
      </w:r>
      <w:r w:rsidR="00880CD4" w:rsidRPr="00B7554F">
        <w:rPr>
          <w:rStyle w:val="st"/>
          <w:sz w:val="20"/>
          <w:szCs w:val="20"/>
          <w:lang w:val="en-GB"/>
        </w:rPr>
        <w:t xml:space="preserve"> 4</w:t>
      </w:r>
      <w:r w:rsidR="003E0216" w:rsidRPr="00B7554F">
        <w:rPr>
          <w:sz w:val="20"/>
          <w:szCs w:val="20"/>
          <w:lang w:val="en-GB"/>
        </w:rPr>
        <w:t>3</w:t>
      </w:r>
      <w:r w:rsidR="008E3E6F" w:rsidRPr="00B7554F">
        <w:rPr>
          <w:sz w:val="20"/>
          <w:szCs w:val="20"/>
          <w:lang w:val="en-GB"/>
        </w:rPr>
        <w:t>(1)</w:t>
      </w:r>
      <w:r w:rsidR="003E0216" w:rsidRPr="00B7554F">
        <w:rPr>
          <w:sz w:val="20"/>
          <w:szCs w:val="20"/>
          <w:lang w:val="en-GB"/>
        </w:rPr>
        <w:t xml:space="preserve"> of </w:t>
      </w:r>
      <w:r w:rsidR="00A729EF" w:rsidRPr="00B7554F">
        <w:rPr>
          <w:sz w:val="20"/>
          <w:szCs w:val="20"/>
          <w:lang w:val="en-GB"/>
        </w:rPr>
        <w:t xml:space="preserve">the </w:t>
      </w:r>
      <w:r w:rsidR="00920CD3" w:rsidRPr="00B7554F">
        <w:rPr>
          <w:sz w:val="20"/>
          <w:szCs w:val="20"/>
          <w:lang w:val="en-GB"/>
        </w:rPr>
        <w:t xml:space="preserve">Environmental Code </w:t>
      </w:r>
      <w:r w:rsidR="003E0216" w:rsidRPr="00B7554F">
        <w:rPr>
          <w:sz w:val="20"/>
          <w:szCs w:val="20"/>
          <w:lang w:val="en-GB"/>
        </w:rPr>
        <w:t>states that</w:t>
      </w:r>
      <w:r w:rsidR="00886720" w:rsidRPr="00B7554F">
        <w:rPr>
          <w:sz w:val="20"/>
          <w:szCs w:val="20"/>
          <w:lang w:val="en-GB"/>
        </w:rPr>
        <w:t xml:space="preserve"> </w:t>
      </w:r>
      <w:r w:rsidR="003E0216" w:rsidRPr="00B7554F">
        <w:rPr>
          <w:sz w:val="20"/>
          <w:szCs w:val="20"/>
          <w:lang w:val="en-GB"/>
        </w:rPr>
        <w:t xml:space="preserve">the drafters of bills and other legal regulation </w:t>
      </w:r>
      <w:r w:rsidR="008E3E6F" w:rsidRPr="00B7554F">
        <w:rPr>
          <w:sz w:val="20"/>
          <w:szCs w:val="20"/>
          <w:lang w:val="en-GB"/>
        </w:rPr>
        <w:t>related to the protection of the environment, the country</w:t>
      </w:r>
      <w:r w:rsidR="009E21EB" w:rsidRPr="00B7554F">
        <w:rPr>
          <w:sz w:val="20"/>
          <w:szCs w:val="20"/>
          <w:lang w:val="en-GB"/>
        </w:rPr>
        <w:t>’</w:t>
      </w:r>
      <w:r w:rsidR="008E3E6F" w:rsidRPr="00B7554F">
        <w:rPr>
          <w:sz w:val="20"/>
          <w:szCs w:val="20"/>
          <w:lang w:val="en-GB"/>
        </w:rPr>
        <w:t>s social and economic plans and regional development concepts</w:t>
      </w:r>
      <w:r w:rsidR="007B66FD" w:rsidRPr="00B7554F">
        <w:rPr>
          <w:sz w:val="20"/>
          <w:szCs w:val="20"/>
          <w:lang w:val="en-GB"/>
        </w:rPr>
        <w:t>,</w:t>
      </w:r>
      <w:r w:rsidR="008E3E6F" w:rsidRPr="00B7554F">
        <w:rPr>
          <w:sz w:val="20"/>
          <w:szCs w:val="20"/>
          <w:lang w:val="en-GB"/>
        </w:rPr>
        <w:t xml:space="preserve"> and decisions resulting in regional impacts</w:t>
      </w:r>
      <w:r w:rsidR="008B4193" w:rsidRPr="00B7554F">
        <w:rPr>
          <w:sz w:val="20"/>
          <w:szCs w:val="20"/>
          <w:lang w:val="en-GB"/>
        </w:rPr>
        <w:t>,</w:t>
      </w:r>
      <w:r w:rsidR="008E3E6F" w:rsidRPr="00B7554F">
        <w:rPr>
          <w:sz w:val="20"/>
          <w:szCs w:val="20"/>
          <w:lang w:val="en-GB"/>
        </w:rPr>
        <w:t xml:space="preserve"> </w:t>
      </w:r>
      <w:r w:rsidR="003E0216" w:rsidRPr="00B7554F">
        <w:rPr>
          <w:sz w:val="20"/>
          <w:szCs w:val="20"/>
          <w:lang w:val="en-GB"/>
        </w:rPr>
        <w:t xml:space="preserve">shall assess and evaluate the effects of measures on the environment and summarize them in an </w:t>
      </w:r>
      <w:r w:rsidR="008E3E6F" w:rsidRPr="00B7554F">
        <w:rPr>
          <w:sz w:val="20"/>
          <w:szCs w:val="20"/>
          <w:lang w:val="en-GB"/>
        </w:rPr>
        <w:t xml:space="preserve">assessment </w:t>
      </w:r>
      <w:r w:rsidR="003E0216" w:rsidRPr="00B7554F">
        <w:rPr>
          <w:sz w:val="20"/>
          <w:szCs w:val="20"/>
          <w:lang w:val="en-GB"/>
        </w:rPr>
        <w:t>analysis.</w:t>
      </w:r>
      <w:r w:rsidR="00920CD3" w:rsidRPr="00B7554F">
        <w:rPr>
          <w:rStyle w:val="FootnoteReference"/>
          <w:sz w:val="20"/>
          <w:szCs w:val="20"/>
          <w:lang w:val="en-GB"/>
        </w:rPr>
        <w:footnoteReference w:id="16"/>
      </w:r>
      <w:bookmarkEnd w:id="12"/>
    </w:p>
    <w:p w14:paraId="53A9ED7C" w14:textId="7269FA7C" w:rsidR="00A36B15" w:rsidRPr="00B7554F" w:rsidRDefault="00716CD3" w:rsidP="009D6119">
      <w:pPr>
        <w:pStyle w:val="SingleTxtG"/>
        <w:numPr>
          <w:ilvl w:val="0"/>
          <w:numId w:val="3"/>
        </w:numPr>
        <w:ind w:left="1100" w:right="0" w:firstLine="0"/>
        <w:rPr>
          <w:sz w:val="20"/>
          <w:szCs w:val="20"/>
          <w:lang w:val="en-GB"/>
        </w:rPr>
      </w:pPr>
      <w:bookmarkStart w:id="13" w:name="_Ref6910420"/>
      <w:r w:rsidRPr="00B7554F">
        <w:rPr>
          <w:sz w:val="20"/>
          <w:szCs w:val="20"/>
          <w:lang w:val="en-GB"/>
        </w:rPr>
        <w:t>Section 44(</w:t>
      </w:r>
      <w:r w:rsidR="00591254" w:rsidRPr="00B7554F">
        <w:rPr>
          <w:sz w:val="20"/>
          <w:szCs w:val="20"/>
          <w:lang w:val="en-GB"/>
        </w:rPr>
        <w:t>2</w:t>
      </w:r>
      <w:r w:rsidRPr="00B7554F">
        <w:rPr>
          <w:sz w:val="20"/>
          <w:szCs w:val="20"/>
          <w:lang w:val="en-GB"/>
        </w:rPr>
        <w:t>)</w:t>
      </w:r>
      <w:r w:rsidR="00591254" w:rsidRPr="00B7554F">
        <w:rPr>
          <w:sz w:val="20"/>
          <w:szCs w:val="20"/>
          <w:lang w:val="en-GB"/>
        </w:rPr>
        <w:t xml:space="preserve"> </w:t>
      </w:r>
      <w:r w:rsidR="009D6119" w:rsidRPr="00B7554F">
        <w:rPr>
          <w:sz w:val="20"/>
          <w:szCs w:val="20"/>
          <w:lang w:val="en-GB"/>
        </w:rPr>
        <w:t xml:space="preserve">of the Environmental Code </w:t>
      </w:r>
      <w:r w:rsidR="001B1020" w:rsidRPr="00B7554F">
        <w:rPr>
          <w:sz w:val="20"/>
          <w:szCs w:val="20"/>
          <w:lang w:val="en-GB"/>
        </w:rPr>
        <w:t xml:space="preserve">provides that, prior to submitting the drafts and assessment </w:t>
      </w:r>
      <w:r w:rsidR="00BA0BEF" w:rsidRPr="00B7554F">
        <w:rPr>
          <w:sz w:val="20"/>
          <w:szCs w:val="20"/>
          <w:lang w:val="en-GB"/>
        </w:rPr>
        <w:t>specified in Section 43(1) to the</w:t>
      </w:r>
      <w:r w:rsidR="003B251F" w:rsidRPr="00B7554F">
        <w:rPr>
          <w:sz w:val="20"/>
          <w:szCs w:val="20"/>
          <w:lang w:val="en-GB"/>
        </w:rPr>
        <w:t xml:space="preserve"> relevant</w:t>
      </w:r>
      <w:r w:rsidR="00BA0BEF" w:rsidRPr="00B7554F">
        <w:rPr>
          <w:sz w:val="20"/>
          <w:szCs w:val="20"/>
          <w:lang w:val="en-GB"/>
        </w:rPr>
        <w:t xml:space="preserve"> </w:t>
      </w:r>
      <w:r w:rsidR="003B251F" w:rsidRPr="00B7554F">
        <w:rPr>
          <w:sz w:val="20"/>
          <w:szCs w:val="20"/>
          <w:lang w:val="en-GB"/>
        </w:rPr>
        <w:t>decision-maker</w:t>
      </w:r>
      <w:r w:rsidR="00BA0BEF" w:rsidRPr="00B7554F">
        <w:rPr>
          <w:sz w:val="20"/>
          <w:szCs w:val="20"/>
          <w:lang w:val="en-GB"/>
        </w:rPr>
        <w:t xml:space="preserve">, they </w:t>
      </w:r>
      <w:r w:rsidR="001B1020" w:rsidRPr="00B7554F">
        <w:rPr>
          <w:sz w:val="20"/>
          <w:szCs w:val="20"/>
          <w:lang w:val="en-GB"/>
        </w:rPr>
        <w:t xml:space="preserve">shall be submitted to the National Environmental Council </w:t>
      </w:r>
      <w:r w:rsidR="005876E5" w:rsidRPr="00B7554F">
        <w:rPr>
          <w:sz w:val="20"/>
          <w:szCs w:val="20"/>
          <w:lang w:val="en-GB"/>
        </w:rPr>
        <w:t xml:space="preserve">(NEC) </w:t>
      </w:r>
      <w:r w:rsidR="001B1020" w:rsidRPr="00B7554F">
        <w:rPr>
          <w:sz w:val="20"/>
          <w:szCs w:val="20"/>
          <w:lang w:val="en-GB"/>
        </w:rPr>
        <w:t>for evaluation.</w:t>
      </w:r>
      <w:r w:rsidR="00BA0BEF" w:rsidRPr="00B7554F">
        <w:rPr>
          <w:rStyle w:val="FootnoteReference"/>
          <w:sz w:val="20"/>
          <w:szCs w:val="20"/>
          <w:lang w:val="en-GB"/>
        </w:rPr>
        <w:footnoteReference w:id="17"/>
      </w:r>
      <w:bookmarkEnd w:id="13"/>
      <w:r w:rsidR="009D6119" w:rsidRPr="00B7554F">
        <w:rPr>
          <w:sz w:val="20"/>
          <w:szCs w:val="20"/>
          <w:lang w:val="en-GB"/>
        </w:rPr>
        <w:t xml:space="preserve"> </w:t>
      </w:r>
    </w:p>
    <w:p w14:paraId="01692092" w14:textId="77777777" w:rsidR="00274C48" w:rsidRDefault="00274C48" w:rsidP="003C7933">
      <w:pPr>
        <w:pStyle w:val="SingleTxtG"/>
        <w:ind w:right="0"/>
        <w:rPr>
          <w:b/>
          <w:bCs/>
          <w:sz w:val="20"/>
          <w:szCs w:val="20"/>
          <w:lang w:val="en-GB"/>
        </w:rPr>
      </w:pPr>
    </w:p>
    <w:p w14:paraId="15D39257" w14:textId="09EA6D20" w:rsidR="003C7933" w:rsidRPr="00B7554F" w:rsidRDefault="003C7933" w:rsidP="003C7933">
      <w:pPr>
        <w:pStyle w:val="SingleTxtG"/>
        <w:ind w:right="0"/>
        <w:rPr>
          <w:b/>
          <w:bCs/>
          <w:sz w:val="20"/>
          <w:szCs w:val="20"/>
          <w:lang w:val="en-GB"/>
        </w:rPr>
      </w:pPr>
      <w:r w:rsidRPr="00B7554F">
        <w:rPr>
          <w:b/>
          <w:bCs/>
          <w:sz w:val="20"/>
          <w:szCs w:val="20"/>
          <w:lang w:val="en-GB"/>
        </w:rPr>
        <w:t>Legislation regarding legislation</w:t>
      </w:r>
    </w:p>
    <w:p w14:paraId="70A1D1A5" w14:textId="730EA73C" w:rsidR="007A6C3F" w:rsidRPr="00B7554F" w:rsidRDefault="009E484A" w:rsidP="009E21EB">
      <w:pPr>
        <w:pStyle w:val="SingleTxtG"/>
        <w:numPr>
          <w:ilvl w:val="0"/>
          <w:numId w:val="3"/>
        </w:numPr>
        <w:ind w:left="1100" w:right="0" w:firstLine="0"/>
        <w:rPr>
          <w:sz w:val="20"/>
          <w:szCs w:val="20"/>
          <w:lang w:val="en-GB"/>
        </w:rPr>
      </w:pPr>
      <w:bookmarkStart w:id="14" w:name="_Ref19538726"/>
      <w:bookmarkStart w:id="15" w:name="_Ref7519686"/>
      <w:r w:rsidRPr="00B7554F">
        <w:rPr>
          <w:sz w:val="20"/>
          <w:szCs w:val="20"/>
          <w:lang w:val="en-GB"/>
        </w:rPr>
        <w:t xml:space="preserve">According to articles 23-24 of </w:t>
      </w:r>
      <w:r w:rsidR="005A32E6" w:rsidRPr="00B7554F">
        <w:rPr>
          <w:sz w:val="20"/>
          <w:szCs w:val="20"/>
          <w:lang w:val="en-GB"/>
        </w:rPr>
        <w:t>Act 2010:CXXX on Legislation (Legislation Act)</w:t>
      </w:r>
      <w:r w:rsidRPr="00B7554F">
        <w:rPr>
          <w:sz w:val="20"/>
          <w:szCs w:val="20"/>
          <w:lang w:val="en-GB"/>
        </w:rPr>
        <w:t xml:space="preserve">, the </w:t>
      </w:r>
      <w:r w:rsidR="003B251F" w:rsidRPr="00B7554F">
        <w:rPr>
          <w:sz w:val="20"/>
          <w:szCs w:val="20"/>
          <w:lang w:val="en-GB"/>
        </w:rPr>
        <w:t>P</w:t>
      </w:r>
      <w:r w:rsidRPr="00B7554F">
        <w:rPr>
          <w:sz w:val="20"/>
          <w:szCs w:val="20"/>
          <w:lang w:val="en-GB"/>
        </w:rPr>
        <w:t>arliament adopts normative and individual resolutions in addition to acts.</w:t>
      </w:r>
      <w:r w:rsidRPr="00B7554F">
        <w:rPr>
          <w:rStyle w:val="FootnoteReference"/>
          <w:sz w:val="20"/>
          <w:szCs w:val="20"/>
          <w:lang w:val="en-GB"/>
        </w:rPr>
        <w:footnoteReference w:id="18"/>
      </w:r>
      <w:r w:rsidRPr="00B7554F">
        <w:rPr>
          <w:sz w:val="20"/>
          <w:szCs w:val="20"/>
          <w:lang w:val="en-GB"/>
        </w:rPr>
        <w:t xml:space="preserve"> Normative resolutions contain</w:t>
      </w:r>
      <w:r w:rsidR="005A32E6" w:rsidRPr="00B7554F">
        <w:rPr>
          <w:sz w:val="20"/>
          <w:szCs w:val="20"/>
          <w:lang w:val="en-GB"/>
        </w:rPr>
        <w:t xml:space="preserve"> merely internal</w:t>
      </w:r>
      <w:r w:rsidRPr="00B7554F">
        <w:rPr>
          <w:sz w:val="20"/>
          <w:szCs w:val="20"/>
          <w:lang w:val="en-GB"/>
        </w:rPr>
        <w:t xml:space="preserve"> normative provisions</w:t>
      </w:r>
      <w:r w:rsidR="005A32E6" w:rsidRPr="00B7554F">
        <w:rPr>
          <w:sz w:val="20"/>
          <w:szCs w:val="20"/>
          <w:lang w:val="en-GB"/>
        </w:rPr>
        <w:t xml:space="preserve">, </w:t>
      </w:r>
      <w:r w:rsidR="007A6C3F" w:rsidRPr="00B7554F">
        <w:rPr>
          <w:sz w:val="20"/>
          <w:szCs w:val="20"/>
          <w:lang w:val="en-GB"/>
        </w:rPr>
        <w:t>organizational and operational rules relating solely to the issuer or subordinated bodies or persons. The</w:t>
      </w:r>
      <w:r w:rsidR="005A32E6" w:rsidRPr="00B7554F">
        <w:rPr>
          <w:sz w:val="20"/>
          <w:szCs w:val="20"/>
          <w:lang w:val="en-GB"/>
        </w:rPr>
        <w:t xml:space="preserve">y </w:t>
      </w:r>
      <w:r w:rsidR="007A6C3F" w:rsidRPr="00B7554F">
        <w:rPr>
          <w:sz w:val="20"/>
          <w:szCs w:val="20"/>
          <w:lang w:val="en-GB"/>
        </w:rPr>
        <w:t>cannot be qualified as legally binding abstract norms</w:t>
      </w:r>
      <w:r w:rsidR="003B251F" w:rsidRPr="00B7554F">
        <w:rPr>
          <w:sz w:val="20"/>
          <w:szCs w:val="20"/>
          <w:lang w:val="en-GB"/>
        </w:rPr>
        <w:t xml:space="preserve"> and</w:t>
      </w:r>
      <w:r w:rsidR="007A6C3F" w:rsidRPr="00B7554F">
        <w:rPr>
          <w:sz w:val="20"/>
          <w:szCs w:val="20"/>
          <w:lang w:val="en-GB"/>
        </w:rPr>
        <w:t xml:space="preserve"> cannot determine the rights and obligations of citizens or other bodies not subordinate to the Parliament</w:t>
      </w:r>
      <w:r w:rsidR="005A32E6" w:rsidRPr="00B7554F">
        <w:rPr>
          <w:sz w:val="20"/>
          <w:szCs w:val="20"/>
          <w:lang w:val="en-GB"/>
        </w:rPr>
        <w:t>, n</w:t>
      </w:r>
      <w:r w:rsidR="007A6C3F" w:rsidRPr="00B7554F">
        <w:rPr>
          <w:sz w:val="20"/>
          <w:szCs w:val="20"/>
          <w:lang w:val="en-GB"/>
        </w:rPr>
        <w:t>or conflict with other legal norms.</w:t>
      </w:r>
      <w:r w:rsidR="007A6C3F" w:rsidRPr="00B7554F">
        <w:rPr>
          <w:rStyle w:val="FootnoteReference"/>
          <w:sz w:val="20"/>
          <w:szCs w:val="20"/>
          <w:lang w:val="en-GB"/>
        </w:rPr>
        <w:t xml:space="preserve"> </w:t>
      </w:r>
      <w:r w:rsidR="007A6C3F" w:rsidRPr="00B7554F">
        <w:rPr>
          <w:rStyle w:val="FootnoteReference"/>
          <w:sz w:val="20"/>
          <w:szCs w:val="20"/>
          <w:lang w:val="en-GB"/>
        </w:rPr>
        <w:footnoteReference w:id="19"/>
      </w:r>
      <w:bookmarkEnd w:id="14"/>
    </w:p>
    <w:p w14:paraId="0AF49012" w14:textId="2C95794D" w:rsidR="003C7933" w:rsidRPr="00B7554F" w:rsidRDefault="009E484A" w:rsidP="009E21EB">
      <w:pPr>
        <w:pStyle w:val="SingleTxtG"/>
        <w:numPr>
          <w:ilvl w:val="0"/>
          <w:numId w:val="3"/>
        </w:numPr>
        <w:ind w:left="1100" w:right="0" w:firstLine="0"/>
        <w:rPr>
          <w:sz w:val="20"/>
          <w:szCs w:val="20"/>
          <w:lang w:val="en-GB"/>
        </w:rPr>
      </w:pPr>
      <w:bookmarkStart w:id="16" w:name="_Ref19538736"/>
      <w:r w:rsidRPr="00B7554F">
        <w:rPr>
          <w:sz w:val="20"/>
          <w:szCs w:val="20"/>
          <w:lang w:val="en-GB"/>
        </w:rPr>
        <w:t xml:space="preserve">Pursuant to article 24(2) of the Legislation Act, the </w:t>
      </w:r>
      <w:r w:rsidR="003B251F" w:rsidRPr="00B7554F">
        <w:rPr>
          <w:sz w:val="20"/>
          <w:szCs w:val="20"/>
          <w:lang w:val="en-GB"/>
        </w:rPr>
        <w:t>P</w:t>
      </w:r>
      <w:r w:rsidRPr="00B7554F">
        <w:rPr>
          <w:sz w:val="20"/>
          <w:szCs w:val="20"/>
          <w:lang w:val="en-GB"/>
        </w:rPr>
        <w:t xml:space="preserve">arliament may </w:t>
      </w:r>
      <w:r w:rsidR="007A6C3F" w:rsidRPr="00B7554F">
        <w:rPr>
          <w:sz w:val="20"/>
          <w:szCs w:val="20"/>
          <w:lang w:val="en-GB"/>
        </w:rPr>
        <w:t xml:space="preserve">also </w:t>
      </w:r>
      <w:r w:rsidRPr="00B7554F">
        <w:rPr>
          <w:sz w:val="20"/>
          <w:szCs w:val="20"/>
          <w:lang w:val="en-GB"/>
        </w:rPr>
        <w:t>adopt individual resolutions, which do not contain normative provisions at all.</w:t>
      </w:r>
      <w:bookmarkEnd w:id="15"/>
      <w:r w:rsidR="007A6C3F" w:rsidRPr="00B7554F">
        <w:rPr>
          <w:sz w:val="20"/>
          <w:szCs w:val="20"/>
          <w:lang w:val="en-GB"/>
        </w:rPr>
        <w:t xml:space="preserve">These resolutions are not regulated in detail by the Act </w:t>
      </w:r>
      <w:r w:rsidR="00076F48" w:rsidRPr="00B7554F">
        <w:rPr>
          <w:sz w:val="20"/>
          <w:szCs w:val="20"/>
          <w:lang w:val="en-GB"/>
        </w:rPr>
        <w:t>and are not binding</w:t>
      </w:r>
      <w:r w:rsidR="00105F91" w:rsidRPr="00B7554F">
        <w:rPr>
          <w:sz w:val="20"/>
          <w:szCs w:val="20"/>
          <w:lang w:val="en-GB"/>
        </w:rPr>
        <w:t>.</w:t>
      </w:r>
      <w:r w:rsidR="00105F91" w:rsidRPr="00B7554F">
        <w:rPr>
          <w:rStyle w:val="FootnoteReference"/>
          <w:sz w:val="20"/>
          <w:szCs w:val="20"/>
          <w:lang w:val="en-GB"/>
        </w:rPr>
        <w:footnoteReference w:id="20"/>
      </w:r>
      <w:bookmarkEnd w:id="16"/>
    </w:p>
    <w:p w14:paraId="6347B005" w14:textId="77777777" w:rsidR="007C2C2E" w:rsidRPr="00B7554F" w:rsidRDefault="007C2C2E" w:rsidP="00014337">
      <w:pPr>
        <w:pStyle w:val="H1G"/>
        <w:numPr>
          <w:ilvl w:val="0"/>
          <w:numId w:val="4"/>
        </w:numPr>
        <w:suppressAutoHyphens/>
        <w:ind w:right="0"/>
        <w:rPr>
          <w:lang w:val="en-GB"/>
        </w:rPr>
      </w:pPr>
      <w:r w:rsidRPr="00B7554F">
        <w:rPr>
          <w:lang w:val="en-GB"/>
        </w:rPr>
        <w:t>Facts</w:t>
      </w:r>
    </w:p>
    <w:p w14:paraId="50389378" w14:textId="30B93FC9" w:rsidR="00811B97" w:rsidRPr="00B7554F" w:rsidRDefault="00FC6EF4" w:rsidP="00FC6EF4">
      <w:pPr>
        <w:pStyle w:val="SingleTxtG"/>
        <w:ind w:left="1100" w:right="0"/>
        <w:rPr>
          <w:rStyle w:val="st"/>
          <w:b/>
          <w:sz w:val="20"/>
          <w:lang w:val="en-GB"/>
        </w:rPr>
      </w:pPr>
      <w:r w:rsidRPr="00B7554F">
        <w:rPr>
          <w:rStyle w:val="st"/>
          <w:b/>
          <w:sz w:val="20"/>
          <w:szCs w:val="20"/>
          <w:lang w:val="en-GB"/>
        </w:rPr>
        <w:t>Decision</w:t>
      </w:r>
      <w:r w:rsidRPr="00B7554F">
        <w:rPr>
          <w:rStyle w:val="st"/>
          <w:b/>
          <w:sz w:val="20"/>
          <w:lang w:val="en-GB"/>
        </w:rPr>
        <w:t xml:space="preserve">-making </w:t>
      </w:r>
      <w:r w:rsidR="00490D29" w:rsidRPr="00B7554F">
        <w:rPr>
          <w:rStyle w:val="st"/>
          <w:b/>
          <w:sz w:val="20"/>
          <w:szCs w:val="20"/>
          <w:lang w:val="en-GB"/>
        </w:rPr>
        <w:t>for</w:t>
      </w:r>
      <w:r w:rsidR="00490D29" w:rsidRPr="00B7554F">
        <w:rPr>
          <w:rStyle w:val="st"/>
          <w:b/>
          <w:sz w:val="20"/>
          <w:lang w:val="en-GB"/>
        </w:rPr>
        <w:t xml:space="preserve"> </w:t>
      </w:r>
      <w:r w:rsidR="006C51B2" w:rsidRPr="00B7554F">
        <w:rPr>
          <w:rStyle w:val="st"/>
          <w:b/>
          <w:sz w:val="20"/>
          <w:lang w:val="en-GB"/>
        </w:rPr>
        <w:t xml:space="preserve">the development at the </w:t>
      </w:r>
      <w:r w:rsidR="00490D29" w:rsidRPr="00B7554F">
        <w:rPr>
          <w:rStyle w:val="st"/>
          <w:b/>
          <w:sz w:val="20"/>
          <w:lang w:val="en-GB"/>
        </w:rPr>
        <w:t>Paks</w:t>
      </w:r>
      <w:r w:rsidR="00D4364A" w:rsidRPr="00B7554F">
        <w:rPr>
          <w:rStyle w:val="st"/>
          <w:b/>
          <w:sz w:val="20"/>
          <w:lang w:val="en-GB"/>
        </w:rPr>
        <w:t xml:space="preserve"> </w:t>
      </w:r>
      <w:r w:rsidR="00761A79" w:rsidRPr="00B7554F">
        <w:rPr>
          <w:rStyle w:val="st"/>
          <w:b/>
          <w:sz w:val="20"/>
          <w:lang w:val="en-GB"/>
        </w:rPr>
        <w:t>NPP</w:t>
      </w:r>
    </w:p>
    <w:p w14:paraId="257E52C3" w14:textId="77777777" w:rsidR="00FC6EF4" w:rsidRPr="00B7554F" w:rsidRDefault="006C51B2" w:rsidP="00FC6EF4">
      <w:pPr>
        <w:pStyle w:val="SingleTxtG"/>
        <w:ind w:left="1100" w:right="0"/>
        <w:rPr>
          <w:b/>
          <w:sz w:val="20"/>
          <w:szCs w:val="20"/>
          <w:lang w:val="en-GB"/>
        </w:rPr>
      </w:pPr>
      <w:r w:rsidRPr="00B7554F">
        <w:rPr>
          <w:rStyle w:val="st"/>
          <w:i/>
          <w:sz w:val="20"/>
          <w:lang w:val="en-GB"/>
        </w:rPr>
        <w:t>Procedures in 2005-2006</w:t>
      </w:r>
    </w:p>
    <w:p w14:paraId="7A39D974" w14:textId="59C96C0D" w:rsidR="0043365F" w:rsidRPr="00B7554F" w:rsidRDefault="00FC6EF4" w:rsidP="0043365F">
      <w:pPr>
        <w:pStyle w:val="SingleTxtG"/>
        <w:numPr>
          <w:ilvl w:val="0"/>
          <w:numId w:val="3"/>
        </w:numPr>
        <w:ind w:left="1100" w:right="0" w:firstLine="0"/>
        <w:rPr>
          <w:rStyle w:val="st"/>
          <w:i/>
          <w:sz w:val="20"/>
          <w:lang w:val="en-GB"/>
        </w:rPr>
      </w:pPr>
      <w:r w:rsidRPr="00B7554F">
        <w:rPr>
          <w:sz w:val="20"/>
          <w:lang w:val="en-GB"/>
        </w:rPr>
        <w:t xml:space="preserve">In </w:t>
      </w:r>
      <w:r w:rsidRPr="00B7554F">
        <w:rPr>
          <w:sz w:val="20"/>
          <w:szCs w:val="20"/>
          <w:lang w:val="en-GB"/>
        </w:rPr>
        <w:t>2005-</w:t>
      </w:r>
      <w:r w:rsidRPr="00B7554F">
        <w:rPr>
          <w:sz w:val="20"/>
          <w:lang w:val="en-GB"/>
        </w:rPr>
        <w:t>2006</w:t>
      </w:r>
      <w:bookmarkStart w:id="17" w:name="_Ref499818393"/>
      <w:bookmarkStart w:id="18" w:name="_Ref432070153"/>
      <w:r w:rsidR="00A73233" w:rsidRPr="00B7554F">
        <w:rPr>
          <w:rStyle w:val="st"/>
          <w:sz w:val="20"/>
          <w:lang w:val="en-GB"/>
        </w:rPr>
        <w:t xml:space="preserve">, an </w:t>
      </w:r>
      <w:r w:rsidR="00A73233" w:rsidRPr="00B7554F">
        <w:rPr>
          <w:rStyle w:val="st"/>
          <w:sz w:val="20"/>
          <w:szCs w:val="20"/>
          <w:lang w:val="en-GB"/>
        </w:rPr>
        <w:t>e</w:t>
      </w:r>
      <w:r w:rsidRPr="00B7554F">
        <w:rPr>
          <w:rStyle w:val="st"/>
          <w:sz w:val="20"/>
          <w:szCs w:val="20"/>
          <w:lang w:val="en-GB"/>
        </w:rPr>
        <w:t>xpert</w:t>
      </w:r>
      <w:r w:rsidR="00A73233" w:rsidRPr="00B7554F">
        <w:rPr>
          <w:rStyle w:val="st"/>
          <w:sz w:val="20"/>
          <w:szCs w:val="20"/>
          <w:lang w:val="en-GB"/>
        </w:rPr>
        <w:t xml:space="preserve"> c</w:t>
      </w:r>
      <w:r w:rsidR="009414CA" w:rsidRPr="00B7554F">
        <w:rPr>
          <w:rStyle w:val="st"/>
          <w:sz w:val="20"/>
          <w:szCs w:val="20"/>
          <w:lang w:val="en-GB"/>
        </w:rPr>
        <w:t>ommittee</w:t>
      </w:r>
      <w:r w:rsidR="009414CA" w:rsidRPr="00B7554F">
        <w:rPr>
          <w:rStyle w:val="st"/>
          <w:sz w:val="20"/>
          <w:lang w:val="en-GB"/>
        </w:rPr>
        <w:t xml:space="preserve"> </w:t>
      </w:r>
      <w:r w:rsidR="00233A51" w:rsidRPr="00B7554F">
        <w:rPr>
          <w:rStyle w:val="st"/>
          <w:sz w:val="20"/>
          <w:szCs w:val="20"/>
          <w:lang w:val="en-GB"/>
        </w:rPr>
        <w:t>prepared the</w:t>
      </w:r>
      <w:r w:rsidR="002D268A" w:rsidRPr="00B7554F">
        <w:rPr>
          <w:rStyle w:val="st"/>
          <w:sz w:val="20"/>
          <w:szCs w:val="20"/>
          <w:lang w:val="en-GB"/>
        </w:rPr>
        <w:t xml:space="preserve"> </w:t>
      </w:r>
      <w:r w:rsidR="009414CA" w:rsidRPr="00B7554F">
        <w:rPr>
          <w:rStyle w:val="st"/>
          <w:sz w:val="20"/>
          <w:szCs w:val="20"/>
          <w:lang w:val="en-GB"/>
        </w:rPr>
        <w:t>“2006</w:t>
      </w:r>
      <w:r w:rsidR="009126B3" w:rsidRPr="00B7554F">
        <w:rPr>
          <w:rStyle w:val="st"/>
          <w:sz w:val="20"/>
          <w:szCs w:val="20"/>
          <w:lang w:val="en-GB"/>
        </w:rPr>
        <w:t>-</w:t>
      </w:r>
      <w:r w:rsidR="009414CA" w:rsidRPr="00B7554F">
        <w:rPr>
          <w:rStyle w:val="st"/>
          <w:sz w:val="20"/>
          <w:szCs w:val="20"/>
          <w:lang w:val="en-GB"/>
        </w:rPr>
        <w:t xml:space="preserve">2030 Thesis of the new Hungarian Energy Policy” </w:t>
      </w:r>
      <w:r w:rsidR="00315258" w:rsidRPr="00B7554F">
        <w:rPr>
          <w:rStyle w:val="st"/>
          <w:sz w:val="20"/>
          <w:szCs w:val="20"/>
          <w:lang w:val="en-GB"/>
        </w:rPr>
        <w:t xml:space="preserve">(2006 </w:t>
      </w:r>
      <w:r w:rsidR="008A7B0F" w:rsidRPr="00B7554F">
        <w:rPr>
          <w:rStyle w:val="st"/>
          <w:sz w:val="20"/>
          <w:szCs w:val="20"/>
          <w:lang w:val="en-GB"/>
        </w:rPr>
        <w:t>Thesis</w:t>
      </w:r>
      <w:r w:rsidR="00315258" w:rsidRPr="00B7554F">
        <w:rPr>
          <w:rStyle w:val="st"/>
          <w:sz w:val="20"/>
          <w:szCs w:val="20"/>
          <w:lang w:val="en-GB"/>
        </w:rPr>
        <w:t>)</w:t>
      </w:r>
      <w:r w:rsidR="003E7766" w:rsidRPr="00B7554F">
        <w:rPr>
          <w:rStyle w:val="st"/>
          <w:sz w:val="20"/>
          <w:szCs w:val="20"/>
          <w:lang w:val="en-GB"/>
        </w:rPr>
        <w:t>, with the participation of selected stakeholders</w:t>
      </w:r>
      <w:r w:rsidR="0043365F" w:rsidRPr="00B7554F">
        <w:rPr>
          <w:rStyle w:val="st"/>
          <w:sz w:val="20"/>
          <w:szCs w:val="20"/>
          <w:lang w:val="en-GB"/>
        </w:rPr>
        <w:t>.</w:t>
      </w:r>
      <w:r w:rsidR="0043365F" w:rsidRPr="00B7554F">
        <w:rPr>
          <w:rStyle w:val="FootnoteReference"/>
          <w:sz w:val="20"/>
          <w:szCs w:val="20"/>
          <w:lang w:val="en-GB"/>
        </w:rPr>
        <w:footnoteReference w:id="21"/>
      </w:r>
      <w:r w:rsidR="003E7766" w:rsidRPr="00B7554F">
        <w:rPr>
          <w:rStyle w:val="st"/>
          <w:sz w:val="20"/>
          <w:szCs w:val="20"/>
          <w:lang w:val="en-GB"/>
        </w:rPr>
        <w:t xml:space="preserve"> It </w:t>
      </w:r>
      <w:r w:rsidR="00267730" w:rsidRPr="00B7554F">
        <w:rPr>
          <w:rStyle w:val="st"/>
          <w:sz w:val="20"/>
          <w:szCs w:val="20"/>
          <w:lang w:val="en-GB"/>
        </w:rPr>
        <w:t>mentioned the possibility of building additional units at the Paks NPP before 2030.</w:t>
      </w:r>
      <w:r w:rsidR="003E7766" w:rsidRPr="00B7554F">
        <w:rPr>
          <w:rStyle w:val="FootnoteReference"/>
          <w:sz w:val="20"/>
          <w:szCs w:val="20"/>
          <w:lang w:val="en-GB"/>
        </w:rPr>
        <w:footnoteReference w:id="22"/>
      </w:r>
      <w:r w:rsidR="003E7766" w:rsidRPr="00B7554F">
        <w:rPr>
          <w:rStyle w:val="st"/>
          <w:sz w:val="20"/>
          <w:szCs w:val="20"/>
          <w:lang w:val="en-GB"/>
        </w:rPr>
        <w:t xml:space="preserve"> </w:t>
      </w:r>
    </w:p>
    <w:bookmarkEnd w:id="17"/>
    <w:p w14:paraId="6B51E226" w14:textId="4E847417" w:rsidR="0097358C" w:rsidRPr="00B7554F" w:rsidRDefault="008653D2" w:rsidP="009E21EB">
      <w:pPr>
        <w:pStyle w:val="SingleTxtG"/>
        <w:ind w:left="1100" w:right="0"/>
        <w:rPr>
          <w:rStyle w:val="st"/>
          <w:i/>
          <w:sz w:val="20"/>
          <w:szCs w:val="20"/>
          <w:lang w:val="en-GB"/>
        </w:rPr>
      </w:pPr>
      <w:r w:rsidRPr="00B7554F">
        <w:rPr>
          <w:rStyle w:val="st"/>
          <w:i/>
          <w:sz w:val="20"/>
          <w:szCs w:val="20"/>
          <w:lang w:val="en-GB"/>
        </w:rPr>
        <w:t>Resolution</w:t>
      </w:r>
      <w:r w:rsidR="00732E7D" w:rsidRPr="00B7554F">
        <w:rPr>
          <w:rStyle w:val="st"/>
          <w:i/>
          <w:sz w:val="20"/>
          <w:szCs w:val="20"/>
          <w:lang w:val="en-GB"/>
        </w:rPr>
        <w:t xml:space="preserve"> </w:t>
      </w:r>
      <w:r w:rsidR="004E0686" w:rsidRPr="00B7554F">
        <w:rPr>
          <w:rStyle w:val="st"/>
          <w:i/>
          <w:sz w:val="20"/>
          <w:szCs w:val="20"/>
          <w:lang w:val="en-GB"/>
        </w:rPr>
        <w:t xml:space="preserve">40/2008 </w:t>
      </w:r>
      <w:r w:rsidR="00D7619B" w:rsidRPr="00B7554F">
        <w:rPr>
          <w:rStyle w:val="st"/>
          <w:i/>
          <w:sz w:val="20"/>
          <w:szCs w:val="20"/>
          <w:lang w:val="en-GB"/>
        </w:rPr>
        <w:t>on the 2008-2020 Energy Policy</w:t>
      </w:r>
    </w:p>
    <w:p w14:paraId="3F5DB7C7" w14:textId="1F0876C7" w:rsidR="0043365F" w:rsidRPr="00B7554F" w:rsidRDefault="00740797" w:rsidP="00D66161">
      <w:pPr>
        <w:pStyle w:val="SingleTxtG"/>
        <w:numPr>
          <w:ilvl w:val="0"/>
          <w:numId w:val="3"/>
        </w:numPr>
        <w:ind w:left="1100" w:right="0" w:firstLine="0"/>
        <w:rPr>
          <w:rStyle w:val="st"/>
          <w:sz w:val="20"/>
          <w:szCs w:val="20"/>
          <w:lang w:val="en-US"/>
        </w:rPr>
      </w:pPr>
      <w:r w:rsidRPr="00B7554F">
        <w:rPr>
          <w:rStyle w:val="st"/>
          <w:sz w:val="20"/>
          <w:szCs w:val="20"/>
          <w:lang w:val="en-US"/>
        </w:rPr>
        <w:t xml:space="preserve">In accordance with article 44(2) of the Environmental Code (see para. </w:t>
      </w:r>
      <w:r w:rsidRPr="00B7554F">
        <w:rPr>
          <w:rStyle w:val="st"/>
          <w:sz w:val="20"/>
          <w:szCs w:val="20"/>
          <w:lang w:val="en-US"/>
        </w:rPr>
        <w:fldChar w:fldCharType="begin"/>
      </w:r>
      <w:r w:rsidRPr="00B7554F">
        <w:rPr>
          <w:rStyle w:val="st"/>
          <w:sz w:val="20"/>
          <w:szCs w:val="20"/>
          <w:lang w:val="en-US"/>
        </w:rPr>
        <w:instrText xml:space="preserve"> REF _Ref6910420 \r \h  \* MERGEFORMAT </w:instrText>
      </w:r>
      <w:r w:rsidRPr="00B7554F">
        <w:rPr>
          <w:rStyle w:val="st"/>
          <w:sz w:val="20"/>
          <w:szCs w:val="20"/>
          <w:lang w:val="en-US"/>
        </w:rPr>
      </w:r>
      <w:r w:rsidRPr="00B7554F">
        <w:rPr>
          <w:rStyle w:val="st"/>
          <w:sz w:val="20"/>
          <w:szCs w:val="20"/>
          <w:lang w:val="en-US"/>
        </w:rPr>
        <w:fldChar w:fldCharType="separate"/>
      </w:r>
      <w:r w:rsidR="00BF0EA2">
        <w:rPr>
          <w:rStyle w:val="st"/>
          <w:sz w:val="20"/>
          <w:szCs w:val="20"/>
          <w:cs/>
          <w:lang w:val="en-US"/>
        </w:rPr>
        <w:t>‎</w:t>
      </w:r>
      <w:r w:rsidR="00BF0EA2">
        <w:rPr>
          <w:rStyle w:val="st"/>
          <w:sz w:val="20"/>
          <w:szCs w:val="20"/>
          <w:lang w:val="en-US"/>
        </w:rPr>
        <w:t>26</w:t>
      </w:r>
      <w:r w:rsidRPr="00B7554F">
        <w:rPr>
          <w:rStyle w:val="st"/>
          <w:sz w:val="20"/>
          <w:szCs w:val="20"/>
          <w:lang w:val="en-US"/>
        </w:rPr>
        <w:fldChar w:fldCharType="end"/>
      </w:r>
      <w:r w:rsidRPr="00B7554F">
        <w:rPr>
          <w:rStyle w:val="st"/>
          <w:sz w:val="20"/>
          <w:szCs w:val="20"/>
          <w:lang w:val="en-US"/>
        </w:rPr>
        <w:t xml:space="preserve"> above), a</w:t>
      </w:r>
      <w:r w:rsidR="0043365F" w:rsidRPr="00B7554F">
        <w:rPr>
          <w:rStyle w:val="st"/>
          <w:sz w:val="20"/>
          <w:szCs w:val="20"/>
          <w:lang w:val="en-US"/>
        </w:rPr>
        <w:t xml:space="preserve"> proposal of a resolution on a new energy policy</w:t>
      </w:r>
      <w:r w:rsidR="00267730" w:rsidRPr="00B7554F">
        <w:rPr>
          <w:rStyle w:val="st"/>
          <w:sz w:val="20"/>
          <w:szCs w:val="20"/>
          <w:lang w:val="en-US"/>
        </w:rPr>
        <w:t xml:space="preserve"> and </w:t>
      </w:r>
      <w:r w:rsidR="0043365F" w:rsidRPr="00B7554F">
        <w:rPr>
          <w:rStyle w:val="st"/>
          <w:sz w:val="20"/>
          <w:szCs w:val="20"/>
          <w:lang w:val="en-US"/>
        </w:rPr>
        <w:t>an environmental assessment</w:t>
      </w:r>
      <w:r w:rsidR="00267730" w:rsidRPr="00B7554F">
        <w:rPr>
          <w:rStyle w:val="st"/>
          <w:sz w:val="20"/>
          <w:szCs w:val="20"/>
          <w:lang w:val="en-US"/>
        </w:rPr>
        <w:t xml:space="preserve"> were</w:t>
      </w:r>
      <w:r w:rsidR="0043365F" w:rsidRPr="00B7554F">
        <w:rPr>
          <w:rStyle w:val="st"/>
          <w:sz w:val="20"/>
          <w:szCs w:val="20"/>
          <w:lang w:val="en-US"/>
        </w:rPr>
        <w:t xml:space="preserve"> sent to the NEC</w:t>
      </w:r>
      <w:r w:rsidRPr="00B7554F">
        <w:rPr>
          <w:rStyle w:val="st"/>
          <w:sz w:val="20"/>
          <w:szCs w:val="20"/>
          <w:lang w:val="en-US"/>
        </w:rPr>
        <w:t>,</w:t>
      </w:r>
      <w:r w:rsidR="0043365F" w:rsidRPr="00B7554F">
        <w:rPr>
          <w:rStyle w:val="st"/>
          <w:sz w:val="20"/>
          <w:szCs w:val="20"/>
          <w:lang w:val="en-US"/>
        </w:rPr>
        <w:t xml:space="preserve"> </w:t>
      </w:r>
      <w:r w:rsidR="00674BB4" w:rsidRPr="00B7554F">
        <w:rPr>
          <w:rStyle w:val="st"/>
          <w:sz w:val="20"/>
          <w:szCs w:val="20"/>
          <w:lang w:val="en-US"/>
        </w:rPr>
        <w:t>which provided comments</w:t>
      </w:r>
      <w:r w:rsidR="0043365F" w:rsidRPr="00B7554F">
        <w:rPr>
          <w:rStyle w:val="st"/>
          <w:sz w:val="20"/>
          <w:szCs w:val="20"/>
          <w:lang w:val="en-US"/>
        </w:rPr>
        <w:t>.</w:t>
      </w:r>
      <w:r w:rsidR="0043365F" w:rsidRPr="00B7554F">
        <w:rPr>
          <w:rStyle w:val="FootnoteReference"/>
          <w:sz w:val="20"/>
          <w:szCs w:val="20"/>
          <w:lang w:val="en-GB"/>
        </w:rPr>
        <w:footnoteReference w:id="23"/>
      </w:r>
    </w:p>
    <w:p w14:paraId="475465D6" w14:textId="5412A4DF" w:rsidR="009E484A" w:rsidRPr="00B7554F" w:rsidRDefault="006537DB" w:rsidP="002A6342">
      <w:pPr>
        <w:pStyle w:val="SingleTxtG"/>
        <w:numPr>
          <w:ilvl w:val="0"/>
          <w:numId w:val="3"/>
        </w:numPr>
        <w:ind w:left="1100" w:right="0" w:firstLine="0"/>
        <w:rPr>
          <w:rStyle w:val="st"/>
          <w:sz w:val="20"/>
          <w:szCs w:val="20"/>
          <w:lang w:val="en-GB"/>
        </w:rPr>
      </w:pPr>
      <w:r w:rsidRPr="00B7554F">
        <w:rPr>
          <w:rStyle w:val="st"/>
          <w:sz w:val="20"/>
          <w:szCs w:val="20"/>
          <w:lang w:val="en-US"/>
        </w:rPr>
        <w:t xml:space="preserve">On 4 February </w:t>
      </w:r>
      <w:r w:rsidR="003C7933" w:rsidRPr="00B7554F">
        <w:rPr>
          <w:rStyle w:val="st"/>
          <w:sz w:val="20"/>
          <w:szCs w:val="20"/>
          <w:lang w:val="en-US"/>
        </w:rPr>
        <w:t xml:space="preserve">2008, the proposal was submitted to </w:t>
      </w:r>
      <w:r w:rsidR="00267730" w:rsidRPr="00B7554F">
        <w:rPr>
          <w:rStyle w:val="st"/>
          <w:sz w:val="20"/>
          <w:szCs w:val="20"/>
        </w:rPr>
        <w:t>P</w:t>
      </w:r>
      <w:r w:rsidR="003C7933" w:rsidRPr="00B7554F">
        <w:rPr>
          <w:rStyle w:val="st"/>
          <w:sz w:val="20"/>
          <w:szCs w:val="20"/>
        </w:rPr>
        <w:t>arliament</w:t>
      </w:r>
      <w:r w:rsidR="003C7933" w:rsidRPr="00B7554F">
        <w:rPr>
          <w:rStyle w:val="st"/>
          <w:sz w:val="20"/>
        </w:rPr>
        <w:t xml:space="preserve"> and made available on the </w:t>
      </w:r>
      <w:r w:rsidR="00267730" w:rsidRPr="00B7554F">
        <w:rPr>
          <w:rStyle w:val="st"/>
          <w:sz w:val="20"/>
          <w:szCs w:val="20"/>
        </w:rPr>
        <w:t>P</w:t>
      </w:r>
      <w:r w:rsidR="003C7933" w:rsidRPr="00B7554F">
        <w:rPr>
          <w:rStyle w:val="st"/>
          <w:sz w:val="20"/>
          <w:szCs w:val="20"/>
        </w:rPr>
        <w:t>arliament’s</w:t>
      </w:r>
      <w:r w:rsidR="003C7933" w:rsidRPr="00B7554F">
        <w:rPr>
          <w:rStyle w:val="st"/>
          <w:sz w:val="20"/>
        </w:rPr>
        <w:t xml:space="preserve"> website.</w:t>
      </w:r>
      <w:r w:rsidR="003C7933" w:rsidRPr="00B7554F">
        <w:rPr>
          <w:rStyle w:val="FootnoteReference"/>
          <w:sz w:val="20"/>
          <w:szCs w:val="20"/>
          <w:lang w:val="en-GB"/>
        </w:rPr>
        <w:footnoteReference w:id="24"/>
      </w:r>
      <w:r w:rsidR="003C7933" w:rsidRPr="00B7554F">
        <w:rPr>
          <w:rStyle w:val="st"/>
          <w:sz w:val="20"/>
          <w:szCs w:val="20"/>
          <w:lang w:val="en-US"/>
        </w:rPr>
        <w:t xml:space="preserve"> </w:t>
      </w:r>
      <w:r w:rsidR="003C7933" w:rsidRPr="00B7554F">
        <w:rPr>
          <w:rStyle w:val="st"/>
          <w:sz w:val="20"/>
          <w:lang w:val="en-GB"/>
        </w:rPr>
        <w:t>From 5 February to 15</w:t>
      </w:r>
      <w:r w:rsidR="0023761F" w:rsidRPr="00B7554F">
        <w:rPr>
          <w:rStyle w:val="st"/>
          <w:sz w:val="20"/>
          <w:lang w:val="en-GB"/>
        </w:rPr>
        <w:t xml:space="preserve"> April</w:t>
      </w:r>
      <w:r w:rsidR="003C7933" w:rsidRPr="00B7554F">
        <w:rPr>
          <w:rStyle w:val="st"/>
          <w:sz w:val="20"/>
          <w:lang w:val="en-GB"/>
        </w:rPr>
        <w:t xml:space="preserve"> 2008, different parliamentary committees negotiated the proposal</w:t>
      </w:r>
      <w:r w:rsidR="00972451" w:rsidRPr="00B7554F">
        <w:rPr>
          <w:rStyle w:val="st"/>
          <w:sz w:val="20"/>
          <w:szCs w:val="20"/>
          <w:lang w:val="en-GB"/>
        </w:rPr>
        <w:t>.</w:t>
      </w:r>
      <w:r w:rsidR="00972451" w:rsidRPr="00B7554F">
        <w:rPr>
          <w:rStyle w:val="FootnoteReference"/>
          <w:sz w:val="20"/>
          <w:szCs w:val="20"/>
          <w:lang w:val="en-GB"/>
        </w:rPr>
        <w:footnoteReference w:id="25"/>
      </w:r>
      <w:r w:rsidR="00972451" w:rsidRPr="00B7554F">
        <w:rPr>
          <w:rStyle w:val="st"/>
          <w:sz w:val="20"/>
          <w:szCs w:val="20"/>
          <w:lang w:val="en-GB"/>
        </w:rPr>
        <w:t xml:space="preserve"> </w:t>
      </w:r>
    </w:p>
    <w:p w14:paraId="0BD39AC9" w14:textId="2AD4F97F" w:rsidR="00905D2B" w:rsidRPr="00B7554F" w:rsidRDefault="009E484A" w:rsidP="00A42BF6">
      <w:pPr>
        <w:pStyle w:val="SingleTxtG"/>
        <w:numPr>
          <w:ilvl w:val="0"/>
          <w:numId w:val="3"/>
        </w:numPr>
        <w:ind w:left="1100" w:right="0" w:firstLine="0"/>
        <w:rPr>
          <w:rStyle w:val="st"/>
          <w:sz w:val="20"/>
          <w:lang w:val="en-GB"/>
        </w:rPr>
      </w:pPr>
      <w:bookmarkStart w:id="19" w:name="_Ref7606061"/>
      <w:r w:rsidRPr="00B7554F">
        <w:rPr>
          <w:rStyle w:val="st"/>
          <w:sz w:val="20"/>
          <w:szCs w:val="20"/>
          <w:lang w:val="en-GB"/>
        </w:rPr>
        <w:t>O</w:t>
      </w:r>
      <w:r w:rsidR="004F347C" w:rsidRPr="00B7554F">
        <w:rPr>
          <w:rStyle w:val="st"/>
          <w:sz w:val="20"/>
          <w:szCs w:val="20"/>
          <w:lang w:val="en-GB"/>
        </w:rPr>
        <w:t>n 17 April 2008</w:t>
      </w:r>
      <w:r w:rsidR="00A15508" w:rsidRPr="00B7554F">
        <w:rPr>
          <w:rStyle w:val="st"/>
          <w:sz w:val="20"/>
          <w:szCs w:val="20"/>
          <w:lang w:val="en-GB"/>
        </w:rPr>
        <w:t>,</w:t>
      </w:r>
      <w:r w:rsidR="0027276F" w:rsidRPr="00B7554F">
        <w:rPr>
          <w:rStyle w:val="st"/>
          <w:sz w:val="20"/>
          <w:szCs w:val="20"/>
          <w:lang w:val="en-GB"/>
        </w:rPr>
        <w:t xml:space="preserve"> </w:t>
      </w:r>
      <w:r w:rsidR="008D3FFB" w:rsidRPr="00B7554F">
        <w:rPr>
          <w:rStyle w:val="st"/>
          <w:sz w:val="20"/>
          <w:szCs w:val="20"/>
          <w:lang w:val="en-GB"/>
        </w:rPr>
        <w:t xml:space="preserve">the </w:t>
      </w:r>
      <w:r w:rsidR="00267730" w:rsidRPr="00B7554F">
        <w:rPr>
          <w:rStyle w:val="st"/>
          <w:sz w:val="20"/>
          <w:szCs w:val="20"/>
          <w:lang w:val="en-GB"/>
        </w:rPr>
        <w:t>P</w:t>
      </w:r>
      <w:r w:rsidR="008D3FFB" w:rsidRPr="00B7554F">
        <w:rPr>
          <w:rStyle w:val="st"/>
          <w:sz w:val="20"/>
          <w:szCs w:val="20"/>
          <w:lang w:val="en-GB"/>
        </w:rPr>
        <w:t xml:space="preserve">arliament adopted </w:t>
      </w:r>
      <w:r w:rsidR="0099478E" w:rsidRPr="00B7554F">
        <w:rPr>
          <w:rStyle w:val="st"/>
          <w:sz w:val="20"/>
          <w:szCs w:val="20"/>
          <w:lang w:val="en-GB"/>
        </w:rPr>
        <w:t>the</w:t>
      </w:r>
      <w:r w:rsidR="00ED649A" w:rsidRPr="00B7554F">
        <w:rPr>
          <w:rStyle w:val="st"/>
          <w:sz w:val="20"/>
          <w:szCs w:val="20"/>
          <w:lang w:val="en-GB"/>
        </w:rPr>
        <w:t xml:space="preserve"> </w:t>
      </w:r>
      <w:r w:rsidR="00D7619B" w:rsidRPr="00B7554F">
        <w:rPr>
          <w:rStyle w:val="st"/>
          <w:sz w:val="20"/>
          <w:szCs w:val="20"/>
          <w:lang w:val="en-GB"/>
        </w:rPr>
        <w:t>2008-2020</w:t>
      </w:r>
      <w:r w:rsidR="00ED649A" w:rsidRPr="00B7554F">
        <w:rPr>
          <w:rStyle w:val="st"/>
          <w:sz w:val="20"/>
          <w:szCs w:val="20"/>
          <w:lang w:val="en-GB"/>
        </w:rPr>
        <w:t xml:space="preserve"> energy policy</w:t>
      </w:r>
      <w:r w:rsidR="009F5D7F" w:rsidRPr="00B7554F">
        <w:rPr>
          <w:rStyle w:val="st"/>
          <w:sz w:val="20"/>
          <w:szCs w:val="20"/>
          <w:lang w:val="en-GB"/>
        </w:rPr>
        <w:t xml:space="preserve"> </w:t>
      </w:r>
      <w:r w:rsidR="003E7766" w:rsidRPr="00B7554F">
        <w:rPr>
          <w:rStyle w:val="st"/>
          <w:sz w:val="20"/>
          <w:szCs w:val="20"/>
          <w:lang w:val="en-GB"/>
        </w:rPr>
        <w:t>through</w:t>
      </w:r>
      <w:r w:rsidR="009F5D7F" w:rsidRPr="00B7554F">
        <w:rPr>
          <w:rStyle w:val="st"/>
          <w:sz w:val="20"/>
          <w:szCs w:val="20"/>
          <w:lang w:val="en-GB"/>
        </w:rPr>
        <w:t xml:space="preserve"> </w:t>
      </w:r>
      <w:r w:rsidR="005B1A2A" w:rsidRPr="00B7554F">
        <w:rPr>
          <w:rStyle w:val="st"/>
          <w:sz w:val="20"/>
          <w:szCs w:val="20"/>
          <w:lang w:val="en-GB"/>
        </w:rPr>
        <w:t xml:space="preserve">Parliamentary </w:t>
      </w:r>
      <w:r w:rsidR="00D524DA" w:rsidRPr="00B7554F">
        <w:rPr>
          <w:rStyle w:val="st"/>
          <w:sz w:val="20"/>
          <w:szCs w:val="20"/>
          <w:lang w:val="en-GB"/>
        </w:rPr>
        <w:t>Resolution</w:t>
      </w:r>
      <w:r w:rsidR="005B1A2A" w:rsidRPr="00B7554F">
        <w:rPr>
          <w:rStyle w:val="st"/>
          <w:sz w:val="20"/>
          <w:szCs w:val="20"/>
          <w:lang w:val="en-GB"/>
        </w:rPr>
        <w:t xml:space="preserve"> </w:t>
      </w:r>
      <w:r w:rsidR="008F1BEC" w:rsidRPr="00B7554F">
        <w:rPr>
          <w:rStyle w:val="st"/>
          <w:sz w:val="20"/>
          <w:szCs w:val="20"/>
          <w:lang w:val="en-GB"/>
        </w:rPr>
        <w:t>No. 40/2008</w:t>
      </w:r>
      <w:r w:rsidR="008D3FFB" w:rsidRPr="00B7554F">
        <w:rPr>
          <w:rStyle w:val="st"/>
          <w:sz w:val="20"/>
          <w:szCs w:val="20"/>
          <w:lang w:val="en-GB"/>
        </w:rPr>
        <w:t xml:space="preserve"> (IV. 17.) Ogy on the </w:t>
      </w:r>
      <w:r w:rsidR="005B664E" w:rsidRPr="00B7554F">
        <w:rPr>
          <w:rStyle w:val="st"/>
          <w:sz w:val="20"/>
          <w:szCs w:val="20"/>
          <w:lang w:val="en-GB"/>
        </w:rPr>
        <w:t>E</w:t>
      </w:r>
      <w:r w:rsidR="008D3FFB" w:rsidRPr="00B7554F">
        <w:rPr>
          <w:rStyle w:val="st"/>
          <w:sz w:val="20"/>
          <w:szCs w:val="20"/>
          <w:lang w:val="en-GB"/>
        </w:rPr>
        <w:t xml:space="preserve">nergy </w:t>
      </w:r>
      <w:r w:rsidR="005B664E" w:rsidRPr="00B7554F">
        <w:rPr>
          <w:rStyle w:val="st"/>
          <w:sz w:val="20"/>
          <w:szCs w:val="20"/>
          <w:lang w:val="en-GB"/>
        </w:rPr>
        <w:t xml:space="preserve">Policy </w:t>
      </w:r>
      <w:r w:rsidR="008D3FFB" w:rsidRPr="00B7554F">
        <w:rPr>
          <w:rStyle w:val="st"/>
          <w:sz w:val="20"/>
          <w:szCs w:val="20"/>
          <w:lang w:val="en-GB"/>
        </w:rPr>
        <w:t xml:space="preserve">of Hungary in the </w:t>
      </w:r>
      <w:r w:rsidR="005B664E" w:rsidRPr="00B7554F">
        <w:rPr>
          <w:rStyle w:val="st"/>
          <w:sz w:val="20"/>
          <w:szCs w:val="20"/>
          <w:lang w:val="en-GB"/>
        </w:rPr>
        <w:t xml:space="preserve">Period </w:t>
      </w:r>
      <w:r w:rsidR="008D3FFB" w:rsidRPr="00B7554F">
        <w:rPr>
          <w:rStyle w:val="st"/>
          <w:sz w:val="20"/>
          <w:szCs w:val="20"/>
          <w:lang w:val="en-GB"/>
        </w:rPr>
        <w:t>2008-2020</w:t>
      </w:r>
      <w:r w:rsidR="00B25CBF" w:rsidRPr="00B7554F">
        <w:rPr>
          <w:rStyle w:val="st"/>
          <w:sz w:val="20"/>
          <w:szCs w:val="20"/>
          <w:lang w:val="en-GB"/>
        </w:rPr>
        <w:t xml:space="preserve"> (Resolutio</w:t>
      </w:r>
      <w:r w:rsidR="0097358C" w:rsidRPr="00B7554F">
        <w:rPr>
          <w:rStyle w:val="st"/>
          <w:sz w:val="20"/>
          <w:szCs w:val="20"/>
          <w:lang w:val="en-GB"/>
        </w:rPr>
        <w:t>n</w:t>
      </w:r>
      <w:r w:rsidR="004E0686" w:rsidRPr="00B7554F">
        <w:rPr>
          <w:rStyle w:val="st"/>
          <w:sz w:val="20"/>
          <w:szCs w:val="20"/>
          <w:lang w:val="en-GB"/>
        </w:rPr>
        <w:t xml:space="preserve"> 40/2008</w:t>
      </w:r>
      <w:r w:rsidR="00B25CBF" w:rsidRPr="00B7554F">
        <w:rPr>
          <w:rStyle w:val="st"/>
          <w:sz w:val="20"/>
          <w:szCs w:val="20"/>
          <w:lang w:val="en-GB"/>
        </w:rPr>
        <w:t>)</w:t>
      </w:r>
      <w:r w:rsidR="00905D2B" w:rsidRPr="00B7554F">
        <w:rPr>
          <w:rStyle w:val="st"/>
          <w:sz w:val="20"/>
          <w:szCs w:val="20"/>
          <w:lang w:val="en-GB"/>
        </w:rPr>
        <w:t>.</w:t>
      </w:r>
      <w:r w:rsidR="00905D2B" w:rsidRPr="00B7554F">
        <w:rPr>
          <w:rStyle w:val="FootnoteReference"/>
          <w:sz w:val="20"/>
          <w:szCs w:val="20"/>
          <w:lang w:val="en-GB"/>
        </w:rPr>
        <w:footnoteReference w:id="26"/>
      </w:r>
      <w:r w:rsidR="00905D2B" w:rsidRPr="00B7554F">
        <w:rPr>
          <w:rStyle w:val="st"/>
          <w:sz w:val="20"/>
          <w:szCs w:val="20"/>
          <w:lang w:val="en-GB"/>
        </w:rPr>
        <w:t xml:space="preserve"> </w:t>
      </w:r>
      <w:r w:rsidR="000F22C5" w:rsidRPr="00B7554F">
        <w:rPr>
          <w:rStyle w:val="st"/>
          <w:sz w:val="20"/>
          <w:szCs w:val="20"/>
          <w:lang w:val="en-GB"/>
        </w:rPr>
        <w:t>Pursuant to s</w:t>
      </w:r>
      <w:r w:rsidR="00905D2B" w:rsidRPr="00B7554F">
        <w:rPr>
          <w:rStyle w:val="st"/>
          <w:sz w:val="20"/>
          <w:szCs w:val="20"/>
          <w:lang w:val="en-GB"/>
        </w:rPr>
        <w:t>ection</w:t>
      </w:r>
      <w:r w:rsidR="005B1A2A" w:rsidRPr="00B7554F">
        <w:rPr>
          <w:rStyle w:val="st"/>
          <w:sz w:val="20"/>
          <w:szCs w:val="20"/>
          <w:lang w:val="en-GB"/>
        </w:rPr>
        <w:t xml:space="preserve"> 12</w:t>
      </w:r>
      <w:r w:rsidR="00905D2B" w:rsidRPr="00B7554F">
        <w:rPr>
          <w:rStyle w:val="st"/>
          <w:sz w:val="20"/>
          <w:szCs w:val="20"/>
          <w:lang w:val="en-GB"/>
        </w:rPr>
        <w:t>(</w:t>
      </w:r>
      <w:r w:rsidR="005B1A2A" w:rsidRPr="00B7554F">
        <w:rPr>
          <w:rStyle w:val="st"/>
          <w:sz w:val="20"/>
          <w:szCs w:val="20"/>
          <w:lang w:val="en-GB"/>
        </w:rPr>
        <w:t>f</w:t>
      </w:r>
      <w:r w:rsidR="00905D2B" w:rsidRPr="00B7554F">
        <w:rPr>
          <w:rStyle w:val="st"/>
          <w:sz w:val="20"/>
          <w:szCs w:val="20"/>
          <w:lang w:val="en-GB"/>
        </w:rPr>
        <w:t>)</w:t>
      </w:r>
      <w:r w:rsidR="004A3CE0" w:rsidRPr="00B7554F">
        <w:rPr>
          <w:rStyle w:val="st"/>
          <w:sz w:val="20"/>
          <w:szCs w:val="20"/>
          <w:lang w:val="en-GB"/>
        </w:rPr>
        <w:t xml:space="preserve"> </w:t>
      </w:r>
      <w:r w:rsidR="0097358C" w:rsidRPr="00B7554F">
        <w:rPr>
          <w:rStyle w:val="st"/>
          <w:sz w:val="20"/>
          <w:szCs w:val="20"/>
          <w:lang w:val="en-GB"/>
        </w:rPr>
        <w:t>of the Resolution</w:t>
      </w:r>
      <w:r w:rsidR="00146447" w:rsidRPr="00B7554F">
        <w:rPr>
          <w:rStyle w:val="st"/>
          <w:sz w:val="20"/>
          <w:szCs w:val="20"/>
          <w:lang w:val="en-GB"/>
        </w:rPr>
        <w:t>,</w:t>
      </w:r>
      <w:r w:rsidR="0097358C" w:rsidRPr="00B7554F">
        <w:rPr>
          <w:rStyle w:val="st"/>
          <w:sz w:val="20"/>
          <w:szCs w:val="20"/>
          <w:lang w:val="en-GB"/>
        </w:rPr>
        <w:t xml:space="preserve"> </w:t>
      </w:r>
      <w:r w:rsidR="00146447" w:rsidRPr="00B7554F">
        <w:rPr>
          <w:rStyle w:val="st"/>
          <w:sz w:val="20"/>
          <w:szCs w:val="20"/>
          <w:lang w:val="en-GB"/>
        </w:rPr>
        <w:t>P</w:t>
      </w:r>
      <w:r w:rsidR="00A17917" w:rsidRPr="00B7554F">
        <w:rPr>
          <w:rStyle w:val="st"/>
          <w:sz w:val="20"/>
          <w:szCs w:val="20"/>
          <w:lang w:val="en-GB"/>
        </w:rPr>
        <w:t>arliament</w:t>
      </w:r>
      <w:r w:rsidR="000F22C5" w:rsidRPr="00B7554F">
        <w:rPr>
          <w:rStyle w:val="st"/>
          <w:sz w:val="20"/>
          <w:szCs w:val="20"/>
          <w:lang w:val="en-GB"/>
        </w:rPr>
        <w:t xml:space="preserve"> </w:t>
      </w:r>
      <w:r w:rsidR="00A17917" w:rsidRPr="00B7554F">
        <w:rPr>
          <w:rStyle w:val="st"/>
          <w:sz w:val="20"/>
          <w:szCs w:val="20"/>
          <w:lang w:val="en-GB"/>
        </w:rPr>
        <w:t>“</w:t>
      </w:r>
      <w:r w:rsidR="000F22C5" w:rsidRPr="00B7554F">
        <w:rPr>
          <w:rStyle w:val="st"/>
          <w:sz w:val="20"/>
          <w:szCs w:val="20"/>
          <w:lang w:val="en-GB"/>
        </w:rPr>
        <w:t>invites the Hungarian G</w:t>
      </w:r>
      <w:r w:rsidR="004A3CE0" w:rsidRPr="00B7554F">
        <w:rPr>
          <w:rStyle w:val="st"/>
          <w:sz w:val="20"/>
          <w:lang w:val="en-GB"/>
        </w:rPr>
        <w:t xml:space="preserve">overnment </w:t>
      </w:r>
      <w:r w:rsidR="00DF153D" w:rsidRPr="00B7554F">
        <w:rPr>
          <w:rStyle w:val="st"/>
          <w:sz w:val="20"/>
          <w:lang w:val="en-GB"/>
        </w:rPr>
        <w:t>to</w:t>
      </w:r>
      <w:r w:rsidR="00A17917" w:rsidRPr="00B7554F">
        <w:rPr>
          <w:rStyle w:val="st"/>
          <w:sz w:val="20"/>
          <w:lang w:val="en-GB"/>
        </w:rPr>
        <w:t xml:space="preserve"> start preparatory works for the decision-making on new nuclear capacities.</w:t>
      </w:r>
      <w:r w:rsidR="00914616" w:rsidRPr="00B7554F">
        <w:rPr>
          <w:rStyle w:val="FootnoteReference"/>
          <w:sz w:val="20"/>
          <w:szCs w:val="20"/>
          <w:lang w:val="en-GB"/>
        </w:rPr>
        <w:footnoteReference w:id="27"/>
      </w:r>
      <w:bookmarkStart w:id="20" w:name="_Ref499913078"/>
      <w:bookmarkEnd w:id="18"/>
      <w:bookmarkEnd w:id="19"/>
    </w:p>
    <w:p w14:paraId="4FE5D4E7" w14:textId="03DE27B4" w:rsidR="00711474" w:rsidRPr="00B7554F" w:rsidRDefault="00711474" w:rsidP="00905D2B">
      <w:pPr>
        <w:pStyle w:val="SingleTxtG"/>
        <w:numPr>
          <w:ilvl w:val="0"/>
          <w:numId w:val="3"/>
        </w:numPr>
        <w:ind w:left="1100" w:right="0" w:firstLine="0"/>
        <w:rPr>
          <w:rStyle w:val="st"/>
          <w:sz w:val="20"/>
          <w:lang w:val="en-GB"/>
        </w:rPr>
      </w:pPr>
      <w:bookmarkStart w:id="21" w:name="_Ref74155784"/>
      <w:r w:rsidRPr="00B7554F">
        <w:rPr>
          <w:rStyle w:val="st"/>
          <w:sz w:val="20"/>
          <w:lang w:val="en-GB"/>
        </w:rPr>
        <w:t xml:space="preserve">Between 15 June and 15 July 2008, the </w:t>
      </w:r>
      <w:r w:rsidR="004E0686" w:rsidRPr="00B7554F">
        <w:rPr>
          <w:rStyle w:val="st"/>
          <w:sz w:val="20"/>
          <w:lang w:val="en-GB"/>
        </w:rPr>
        <w:t xml:space="preserve">concept of the </w:t>
      </w:r>
      <w:r w:rsidRPr="00B7554F">
        <w:rPr>
          <w:rStyle w:val="st"/>
          <w:sz w:val="20"/>
          <w:lang w:val="en-GB"/>
        </w:rPr>
        <w:t xml:space="preserve">energy policy was published on the </w:t>
      </w:r>
      <w:r w:rsidR="00267730" w:rsidRPr="00B7554F">
        <w:rPr>
          <w:rStyle w:val="st"/>
          <w:sz w:val="20"/>
          <w:lang w:val="en-GB"/>
        </w:rPr>
        <w:t xml:space="preserve">competent ministry’s </w:t>
      </w:r>
      <w:r w:rsidRPr="00B7554F">
        <w:rPr>
          <w:rStyle w:val="st"/>
          <w:sz w:val="20"/>
          <w:lang w:val="en-GB"/>
        </w:rPr>
        <w:t xml:space="preserve">website </w:t>
      </w:r>
      <w:r w:rsidR="00267730" w:rsidRPr="00B7554F">
        <w:rPr>
          <w:rStyle w:val="st"/>
          <w:sz w:val="20"/>
          <w:lang w:val="en-GB"/>
        </w:rPr>
        <w:t>for commenting</w:t>
      </w:r>
      <w:r w:rsidRPr="00B7554F">
        <w:rPr>
          <w:rStyle w:val="st"/>
          <w:sz w:val="20"/>
          <w:lang w:val="en-GB"/>
        </w:rPr>
        <w:t>. After this period, three section meetings with the participation of interested experts and organizations were held.</w:t>
      </w:r>
      <w:r w:rsidR="001977D8" w:rsidRPr="00B7554F">
        <w:rPr>
          <w:rStyle w:val="FootnoteReference"/>
          <w:sz w:val="20"/>
          <w:szCs w:val="20"/>
          <w:lang w:val="en-GB"/>
        </w:rPr>
        <w:footnoteReference w:id="28"/>
      </w:r>
      <w:bookmarkEnd w:id="21"/>
    </w:p>
    <w:bookmarkEnd w:id="20"/>
    <w:p w14:paraId="329E68EF" w14:textId="77777777" w:rsidR="00274C48" w:rsidRDefault="00274C48" w:rsidP="008653D2">
      <w:pPr>
        <w:pStyle w:val="SingleTxtG"/>
        <w:ind w:right="0"/>
        <w:rPr>
          <w:rStyle w:val="st"/>
          <w:i/>
          <w:sz w:val="20"/>
          <w:lang w:val="en-GB"/>
        </w:rPr>
      </w:pPr>
    </w:p>
    <w:p w14:paraId="7ECA4ED5" w14:textId="77777777" w:rsidR="00274C48" w:rsidRDefault="00274C48" w:rsidP="008653D2">
      <w:pPr>
        <w:pStyle w:val="SingleTxtG"/>
        <w:ind w:right="0"/>
        <w:rPr>
          <w:rStyle w:val="st"/>
          <w:i/>
          <w:sz w:val="20"/>
          <w:lang w:val="en-GB"/>
        </w:rPr>
      </w:pPr>
    </w:p>
    <w:p w14:paraId="3F25917D" w14:textId="022C767D" w:rsidR="005B7AD2" w:rsidRPr="00B7554F" w:rsidRDefault="008653D2" w:rsidP="008653D2">
      <w:pPr>
        <w:pStyle w:val="SingleTxtG"/>
        <w:ind w:right="0"/>
        <w:rPr>
          <w:rStyle w:val="st"/>
          <w:sz w:val="20"/>
          <w:lang w:val="en-GB"/>
        </w:rPr>
      </w:pPr>
      <w:r w:rsidRPr="00B7554F">
        <w:rPr>
          <w:rStyle w:val="st"/>
          <w:i/>
          <w:sz w:val="20"/>
          <w:lang w:val="en-GB"/>
        </w:rPr>
        <w:t>Resolution</w:t>
      </w:r>
      <w:r w:rsidR="00732E7D" w:rsidRPr="00B7554F">
        <w:rPr>
          <w:rStyle w:val="st"/>
          <w:i/>
          <w:sz w:val="20"/>
          <w:lang w:val="en-GB"/>
        </w:rPr>
        <w:t xml:space="preserve"> </w:t>
      </w:r>
      <w:bookmarkStart w:id="22" w:name="_Ref432070225"/>
      <w:r w:rsidR="004E0686" w:rsidRPr="00B7554F">
        <w:rPr>
          <w:rStyle w:val="st"/>
          <w:i/>
          <w:sz w:val="20"/>
          <w:lang w:val="en-GB"/>
        </w:rPr>
        <w:t>25/2009</w:t>
      </w:r>
    </w:p>
    <w:p w14:paraId="1F4B2DA5" w14:textId="4EC7DF35" w:rsidR="00A76929" w:rsidRPr="00B7554F" w:rsidRDefault="0099478E" w:rsidP="009B1D54">
      <w:pPr>
        <w:pStyle w:val="SingleTxtG"/>
        <w:numPr>
          <w:ilvl w:val="0"/>
          <w:numId w:val="3"/>
        </w:numPr>
        <w:ind w:left="1100" w:right="0" w:firstLine="0"/>
        <w:rPr>
          <w:rStyle w:val="st"/>
          <w:sz w:val="20"/>
          <w:lang w:val="en-GB"/>
        </w:rPr>
      </w:pPr>
      <w:r w:rsidRPr="00B7554F">
        <w:rPr>
          <w:rStyle w:val="st"/>
          <w:sz w:val="20"/>
          <w:lang w:val="en-GB"/>
        </w:rPr>
        <w:t>In 2009</w:t>
      </w:r>
      <w:r w:rsidR="009944EF" w:rsidRPr="00B7554F">
        <w:rPr>
          <w:rStyle w:val="st"/>
          <w:sz w:val="20"/>
          <w:lang w:val="en-GB"/>
        </w:rPr>
        <w:t>,</w:t>
      </w:r>
      <w:r w:rsidRPr="00B7554F">
        <w:rPr>
          <w:rStyle w:val="st"/>
          <w:sz w:val="20"/>
          <w:lang w:val="en-GB"/>
        </w:rPr>
        <w:t xml:space="preserve"> a proposal for a parliamentary consent in principle pursuant </w:t>
      </w:r>
      <w:r w:rsidRPr="00B7554F">
        <w:rPr>
          <w:rStyle w:val="st"/>
          <w:sz w:val="20"/>
          <w:szCs w:val="20"/>
          <w:lang w:val="en-GB"/>
        </w:rPr>
        <w:t xml:space="preserve">to article 7(2) of the Atomic Energy Act was discussed by </w:t>
      </w:r>
      <w:r w:rsidR="006D65CF" w:rsidRPr="00B7554F">
        <w:rPr>
          <w:rStyle w:val="st"/>
          <w:sz w:val="20"/>
          <w:szCs w:val="20"/>
          <w:lang w:val="en-GB"/>
        </w:rPr>
        <w:t>Parliament</w:t>
      </w:r>
      <w:r w:rsidR="00F87C88" w:rsidRPr="00B7554F">
        <w:rPr>
          <w:rStyle w:val="st"/>
          <w:sz w:val="20"/>
          <w:szCs w:val="20"/>
          <w:lang w:val="en-GB"/>
        </w:rPr>
        <w:t xml:space="preserve"> and </w:t>
      </w:r>
      <w:r w:rsidR="00A76929" w:rsidRPr="00B7554F">
        <w:rPr>
          <w:rStyle w:val="st"/>
          <w:sz w:val="20"/>
          <w:szCs w:val="20"/>
          <w:lang w:val="en-GB"/>
        </w:rPr>
        <w:t xml:space="preserve">published on </w:t>
      </w:r>
      <w:r w:rsidR="006D65CF" w:rsidRPr="00B7554F">
        <w:rPr>
          <w:rStyle w:val="st"/>
          <w:sz w:val="20"/>
          <w:szCs w:val="20"/>
          <w:lang w:val="en-GB"/>
        </w:rPr>
        <w:t>its</w:t>
      </w:r>
      <w:r w:rsidR="00A76929" w:rsidRPr="00B7554F">
        <w:rPr>
          <w:rStyle w:val="st"/>
          <w:sz w:val="20"/>
          <w:szCs w:val="20"/>
          <w:lang w:val="en-GB"/>
        </w:rPr>
        <w:t xml:space="preserve"> website.</w:t>
      </w:r>
      <w:r w:rsidR="00A76929" w:rsidRPr="00B7554F">
        <w:rPr>
          <w:rStyle w:val="FootnoteReference"/>
          <w:sz w:val="20"/>
          <w:szCs w:val="20"/>
          <w:lang w:val="en-GB"/>
        </w:rPr>
        <w:footnoteReference w:id="29"/>
      </w:r>
    </w:p>
    <w:p w14:paraId="2222E67D" w14:textId="46B576A4" w:rsidR="009B1D54" w:rsidRPr="00B7554F" w:rsidRDefault="004C7DEA" w:rsidP="009B1D54">
      <w:pPr>
        <w:pStyle w:val="SingleTxtG"/>
        <w:numPr>
          <w:ilvl w:val="0"/>
          <w:numId w:val="3"/>
        </w:numPr>
        <w:ind w:left="1100" w:right="0" w:firstLine="0"/>
        <w:rPr>
          <w:rStyle w:val="st"/>
          <w:sz w:val="20"/>
          <w:lang w:val="en-GB"/>
        </w:rPr>
      </w:pPr>
      <w:r w:rsidRPr="00B7554F">
        <w:rPr>
          <w:rStyle w:val="st"/>
          <w:sz w:val="20"/>
          <w:lang w:val="en-GB"/>
        </w:rPr>
        <w:t xml:space="preserve">In April 2009, </w:t>
      </w:r>
      <w:r w:rsidR="006D65CF" w:rsidRPr="00B7554F">
        <w:rPr>
          <w:rStyle w:val="st"/>
          <w:sz w:val="20"/>
          <w:lang w:val="en-GB"/>
        </w:rPr>
        <w:t>P</w:t>
      </w:r>
      <w:r w:rsidRPr="00B7554F">
        <w:rPr>
          <w:rStyle w:val="st"/>
          <w:sz w:val="20"/>
          <w:lang w:val="en-GB"/>
        </w:rPr>
        <w:t xml:space="preserve">arliament adopted </w:t>
      </w:r>
      <w:r w:rsidR="005B1A2A" w:rsidRPr="00B7554F">
        <w:rPr>
          <w:rStyle w:val="st"/>
          <w:sz w:val="20"/>
          <w:lang w:val="en-GB"/>
        </w:rPr>
        <w:t xml:space="preserve">Parliamentary </w:t>
      </w:r>
      <w:r w:rsidR="00D524DA" w:rsidRPr="00B7554F">
        <w:rPr>
          <w:rStyle w:val="st"/>
          <w:sz w:val="20"/>
          <w:lang w:val="en-GB"/>
        </w:rPr>
        <w:t>Resolution</w:t>
      </w:r>
      <w:r w:rsidR="005B1A2A" w:rsidRPr="00B7554F">
        <w:rPr>
          <w:rStyle w:val="st"/>
          <w:sz w:val="20"/>
          <w:lang w:val="en-GB"/>
        </w:rPr>
        <w:t xml:space="preserve"> </w:t>
      </w:r>
      <w:r w:rsidR="008F1BEC" w:rsidRPr="00B7554F">
        <w:rPr>
          <w:rStyle w:val="st"/>
          <w:sz w:val="20"/>
          <w:lang w:val="en-GB"/>
        </w:rPr>
        <w:t>No. 25/2009</w:t>
      </w:r>
      <w:r w:rsidR="008A2465" w:rsidRPr="00B7554F">
        <w:rPr>
          <w:rStyle w:val="st"/>
          <w:sz w:val="20"/>
          <w:lang w:val="en-GB"/>
        </w:rPr>
        <w:t xml:space="preserve"> (IV. 2.)</w:t>
      </w:r>
      <w:r w:rsidR="00723430" w:rsidRPr="00B7554F">
        <w:rPr>
          <w:rStyle w:val="st"/>
          <w:sz w:val="20"/>
          <w:lang w:val="en-GB"/>
        </w:rPr>
        <w:t xml:space="preserve"> </w:t>
      </w:r>
      <w:r w:rsidR="00A841DC" w:rsidRPr="00B7554F">
        <w:rPr>
          <w:rStyle w:val="st"/>
          <w:sz w:val="20"/>
          <w:szCs w:val="20"/>
          <w:lang w:val="en-GB"/>
        </w:rPr>
        <w:t>Ogy (Resolution</w:t>
      </w:r>
      <w:r w:rsidR="003501CB" w:rsidRPr="00B7554F">
        <w:rPr>
          <w:rStyle w:val="st"/>
          <w:sz w:val="20"/>
          <w:szCs w:val="20"/>
          <w:lang w:val="en-GB"/>
        </w:rPr>
        <w:t xml:space="preserve"> 25/2009</w:t>
      </w:r>
      <w:r w:rsidR="00A841DC" w:rsidRPr="00B7554F">
        <w:rPr>
          <w:rStyle w:val="st"/>
          <w:sz w:val="20"/>
          <w:szCs w:val="20"/>
          <w:lang w:val="en-GB"/>
        </w:rPr>
        <w:t>)</w:t>
      </w:r>
      <w:r w:rsidR="00B82F7F" w:rsidRPr="00B7554F">
        <w:rPr>
          <w:rStyle w:val="st"/>
          <w:sz w:val="20"/>
          <w:szCs w:val="20"/>
          <w:lang w:val="en-GB"/>
        </w:rPr>
        <w:t>,</w:t>
      </w:r>
      <w:r w:rsidR="00A841DC" w:rsidRPr="00B7554F">
        <w:rPr>
          <w:rStyle w:val="st"/>
          <w:sz w:val="20"/>
          <w:szCs w:val="20"/>
          <w:lang w:val="en-GB"/>
        </w:rPr>
        <w:t xml:space="preserve"> </w:t>
      </w:r>
      <w:r w:rsidR="000D0AAD" w:rsidRPr="00B7554F">
        <w:rPr>
          <w:rStyle w:val="st"/>
          <w:sz w:val="20"/>
          <w:lang w:val="en-GB"/>
        </w:rPr>
        <w:t>giving</w:t>
      </w:r>
      <w:r w:rsidR="00F927CA" w:rsidRPr="00B7554F">
        <w:rPr>
          <w:rStyle w:val="st"/>
          <w:sz w:val="20"/>
          <w:lang w:val="en-GB"/>
        </w:rPr>
        <w:t xml:space="preserve"> </w:t>
      </w:r>
      <w:r w:rsidR="008A2465" w:rsidRPr="00B7554F">
        <w:rPr>
          <w:rStyle w:val="st"/>
          <w:sz w:val="20"/>
          <w:lang w:val="en-GB"/>
        </w:rPr>
        <w:t>its preliminary</w:t>
      </w:r>
      <w:r w:rsidR="008B5984" w:rsidRPr="00B7554F">
        <w:rPr>
          <w:rStyle w:val="st"/>
          <w:sz w:val="20"/>
          <w:szCs w:val="20"/>
          <w:lang w:val="en-GB"/>
        </w:rPr>
        <w:t xml:space="preserve"> </w:t>
      </w:r>
      <w:r w:rsidR="00C73617" w:rsidRPr="00B7554F">
        <w:rPr>
          <w:rStyle w:val="st"/>
          <w:sz w:val="20"/>
          <w:lang w:val="en-GB"/>
        </w:rPr>
        <w:t>c</w:t>
      </w:r>
      <w:r w:rsidR="008A2465" w:rsidRPr="00B7554F">
        <w:rPr>
          <w:rStyle w:val="st"/>
          <w:sz w:val="20"/>
          <w:lang w:val="en-GB"/>
        </w:rPr>
        <w:t>onsent</w:t>
      </w:r>
      <w:r w:rsidR="003A0068" w:rsidRPr="00B7554F">
        <w:rPr>
          <w:rStyle w:val="st"/>
          <w:sz w:val="20"/>
          <w:lang w:val="en-GB"/>
        </w:rPr>
        <w:t xml:space="preserve"> to start preparatory activities for new nuclear power plant block(s) on the site of the Paks nuclear power plant</w:t>
      </w:r>
      <w:r w:rsidR="00A76929" w:rsidRPr="00B7554F">
        <w:rPr>
          <w:rStyle w:val="st"/>
          <w:sz w:val="20"/>
          <w:lang w:val="en-GB"/>
        </w:rPr>
        <w:t>.</w:t>
      </w:r>
      <w:r w:rsidR="009944EF" w:rsidRPr="00B7554F">
        <w:rPr>
          <w:rStyle w:val="FootnoteReference"/>
          <w:sz w:val="20"/>
          <w:szCs w:val="20"/>
          <w:lang w:val="en-GB"/>
        </w:rPr>
        <w:footnoteReference w:id="30"/>
      </w:r>
      <w:r w:rsidR="009944EF" w:rsidRPr="00B7554F">
        <w:rPr>
          <w:rStyle w:val="st"/>
          <w:sz w:val="20"/>
          <w:szCs w:val="20"/>
          <w:lang w:val="en-GB"/>
        </w:rPr>
        <w:t xml:space="preserve"> </w:t>
      </w:r>
      <w:r w:rsidR="00A841DC" w:rsidRPr="00B7554F">
        <w:rPr>
          <w:rStyle w:val="st"/>
          <w:sz w:val="20"/>
          <w:szCs w:val="20"/>
          <w:lang w:val="en-GB"/>
        </w:rPr>
        <w:t>The</w:t>
      </w:r>
      <w:r w:rsidR="0079164A" w:rsidRPr="00B7554F">
        <w:rPr>
          <w:rStyle w:val="st"/>
          <w:sz w:val="20"/>
          <w:szCs w:val="20"/>
          <w:lang w:val="en-GB"/>
        </w:rPr>
        <w:t xml:space="preserve"> Resolution stated </w:t>
      </w:r>
      <w:r w:rsidR="00A841DC" w:rsidRPr="00B7554F">
        <w:rPr>
          <w:rStyle w:val="st"/>
          <w:sz w:val="20"/>
          <w:szCs w:val="20"/>
          <w:lang w:val="en-GB"/>
        </w:rPr>
        <w:t xml:space="preserve">it was </w:t>
      </w:r>
      <w:r w:rsidR="00B25CBF" w:rsidRPr="00B7554F">
        <w:rPr>
          <w:rStyle w:val="st"/>
          <w:sz w:val="20"/>
          <w:szCs w:val="20"/>
          <w:lang w:val="en-GB"/>
        </w:rPr>
        <w:t xml:space="preserve">“in harmony with” </w:t>
      </w:r>
      <w:r w:rsidR="004E0686" w:rsidRPr="00B7554F">
        <w:rPr>
          <w:rStyle w:val="st"/>
          <w:sz w:val="20"/>
          <w:szCs w:val="20"/>
          <w:lang w:val="en-GB"/>
        </w:rPr>
        <w:t>Resolution</w:t>
      </w:r>
      <w:r w:rsidR="003501CB" w:rsidRPr="00B7554F">
        <w:rPr>
          <w:rStyle w:val="st"/>
          <w:sz w:val="20"/>
          <w:szCs w:val="20"/>
          <w:lang w:val="en-GB"/>
        </w:rPr>
        <w:t xml:space="preserve"> 40/2008</w:t>
      </w:r>
      <w:r w:rsidR="00B25CBF" w:rsidRPr="00B7554F">
        <w:rPr>
          <w:rStyle w:val="st"/>
          <w:sz w:val="20"/>
          <w:szCs w:val="20"/>
          <w:lang w:val="en-GB"/>
        </w:rPr>
        <w:t>.</w:t>
      </w:r>
      <w:bookmarkEnd w:id="22"/>
      <w:r w:rsidR="009944EF" w:rsidRPr="00B7554F">
        <w:rPr>
          <w:rStyle w:val="FootnoteReference"/>
          <w:sz w:val="20"/>
          <w:szCs w:val="20"/>
          <w:lang w:val="en-GB"/>
        </w:rPr>
        <w:footnoteReference w:id="31"/>
      </w:r>
      <w:r w:rsidR="00A841DC" w:rsidRPr="00B7554F">
        <w:rPr>
          <w:rStyle w:val="st"/>
          <w:sz w:val="20"/>
          <w:szCs w:val="20"/>
          <w:lang w:val="en-GB"/>
        </w:rPr>
        <w:t xml:space="preserve"> </w:t>
      </w:r>
      <w:bookmarkStart w:id="23" w:name="_Ref496104054"/>
    </w:p>
    <w:p w14:paraId="2FF11131" w14:textId="0F9A46F0" w:rsidR="003A0068" w:rsidRPr="00B7554F" w:rsidRDefault="00693882" w:rsidP="009B1D54">
      <w:pPr>
        <w:pStyle w:val="SingleTxtG"/>
        <w:numPr>
          <w:ilvl w:val="0"/>
          <w:numId w:val="3"/>
        </w:numPr>
        <w:ind w:left="1100" w:right="0" w:firstLine="0"/>
        <w:rPr>
          <w:sz w:val="20"/>
          <w:szCs w:val="20"/>
          <w:lang w:val="en-GB"/>
        </w:rPr>
      </w:pPr>
      <w:bookmarkStart w:id="24" w:name="_Ref19018106"/>
      <w:r w:rsidRPr="00B7554F">
        <w:rPr>
          <w:sz w:val="20"/>
          <w:lang w:val="en-GB"/>
        </w:rPr>
        <w:t xml:space="preserve">On 28 May 2009, Energiaklub </w:t>
      </w:r>
      <w:r w:rsidR="001B3A8A" w:rsidRPr="00B7554F">
        <w:rPr>
          <w:sz w:val="20"/>
          <w:lang w:val="en-GB"/>
        </w:rPr>
        <w:t xml:space="preserve">unsuccessfully </w:t>
      </w:r>
      <w:r w:rsidR="00D22C58" w:rsidRPr="00B7554F">
        <w:rPr>
          <w:sz w:val="20"/>
          <w:szCs w:val="20"/>
          <w:lang w:val="en-GB"/>
        </w:rPr>
        <w:t>complained</w:t>
      </w:r>
      <w:r w:rsidRPr="00B7554F">
        <w:rPr>
          <w:sz w:val="20"/>
          <w:lang w:val="en-GB"/>
        </w:rPr>
        <w:t xml:space="preserve"> to the Constitutional Court alleging </w:t>
      </w:r>
      <w:r w:rsidR="00D524DA" w:rsidRPr="00B7554F">
        <w:rPr>
          <w:sz w:val="20"/>
          <w:lang w:val="en-GB"/>
        </w:rPr>
        <w:t>Resolution</w:t>
      </w:r>
      <w:r w:rsidRPr="00B7554F">
        <w:rPr>
          <w:sz w:val="20"/>
          <w:lang w:val="en-GB"/>
        </w:rPr>
        <w:t xml:space="preserve"> </w:t>
      </w:r>
      <w:r w:rsidR="003501CB" w:rsidRPr="00B7554F">
        <w:rPr>
          <w:rStyle w:val="st"/>
          <w:sz w:val="20"/>
          <w:lang w:val="en-GB"/>
        </w:rPr>
        <w:t>25/2009</w:t>
      </w:r>
      <w:r w:rsidR="003501CB" w:rsidRPr="00B7554F">
        <w:rPr>
          <w:rStyle w:val="st"/>
          <w:i/>
          <w:sz w:val="20"/>
          <w:lang w:val="en-GB"/>
        </w:rPr>
        <w:t xml:space="preserve"> </w:t>
      </w:r>
      <w:r w:rsidR="00A469FE" w:rsidRPr="00B7554F">
        <w:rPr>
          <w:sz w:val="20"/>
          <w:szCs w:val="20"/>
          <w:lang w:val="en-GB"/>
        </w:rPr>
        <w:t>was ambiguous as to</w:t>
      </w:r>
      <w:r w:rsidRPr="00B7554F">
        <w:rPr>
          <w:sz w:val="20"/>
          <w:lang w:val="en-GB"/>
        </w:rPr>
        <w:t xml:space="preserve"> whether it related to preparations of the </w:t>
      </w:r>
      <w:r w:rsidRPr="00B7554F">
        <w:rPr>
          <w:sz w:val="20"/>
          <w:szCs w:val="20"/>
          <w:lang w:val="en-GB"/>
        </w:rPr>
        <w:t xml:space="preserve">decision </w:t>
      </w:r>
      <w:r w:rsidR="00C73617" w:rsidRPr="00B7554F">
        <w:rPr>
          <w:sz w:val="20"/>
          <w:szCs w:val="20"/>
          <w:lang w:val="en-GB"/>
        </w:rPr>
        <w:t>to permit</w:t>
      </w:r>
      <w:r w:rsidR="00A81FB7" w:rsidRPr="00B7554F">
        <w:rPr>
          <w:sz w:val="20"/>
          <w:szCs w:val="20"/>
          <w:lang w:val="en-GB"/>
        </w:rPr>
        <w:t xml:space="preserve"> these units</w:t>
      </w:r>
      <w:r w:rsidR="0094111C" w:rsidRPr="00B7554F">
        <w:rPr>
          <w:sz w:val="20"/>
          <w:szCs w:val="20"/>
          <w:lang w:val="en-GB"/>
        </w:rPr>
        <w:t xml:space="preserve">, </w:t>
      </w:r>
      <w:r w:rsidRPr="00B7554F">
        <w:rPr>
          <w:sz w:val="20"/>
          <w:szCs w:val="20"/>
          <w:lang w:val="en-GB"/>
        </w:rPr>
        <w:t xml:space="preserve">or </w:t>
      </w:r>
      <w:r w:rsidR="001B3A8A" w:rsidRPr="00B7554F">
        <w:rPr>
          <w:sz w:val="20"/>
          <w:szCs w:val="20"/>
          <w:lang w:val="en-GB"/>
        </w:rPr>
        <w:t xml:space="preserve">to </w:t>
      </w:r>
      <w:r w:rsidR="00C73617" w:rsidRPr="00B7554F">
        <w:rPr>
          <w:sz w:val="20"/>
          <w:szCs w:val="20"/>
          <w:lang w:val="en-GB"/>
        </w:rPr>
        <w:t>the</w:t>
      </w:r>
      <w:r w:rsidRPr="00B7554F">
        <w:rPr>
          <w:sz w:val="20"/>
          <w:szCs w:val="20"/>
          <w:lang w:val="en-GB"/>
        </w:rPr>
        <w:t xml:space="preserve"> construction itself.</w:t>
      </w:r>
      <w:r w:rsidR="009944EF" w:rsidRPr="00B7554F">
        <w:rPr>
          <w:rStyle w:val="FootnoteReference"/>
          <w:sz w:val="20"/>
          <w:szCs w:val="20"/>
          <w:lang w:val="en-GB"/>
        </w:rPr>
        <w:footnoteReference w:id="32"/>
      </w:r>
      <w:bookmarkStart w:id="25" w:name="_Ref7000901"/>
      <w:r w:rsidRPr="00B7554F">
        <w:rPr>
          <w:sz w:val="20"/>
          <w:szCs w:val="20"/>
          <w:lang w:val="en-GB"/>
        </w:rPr>
        <w:t xml:space="preserve"> </w:t>
      </w:r>
      <w:bookmarkStart w:id="26" w:name="_Ref499818327"/>
      <w:bookmarkEnd w:id="24"/>
      <w:bookmarkEnd w:id="25"/>
    </w:p>
    <w:p w14:paraId="4E2D5F17" w14:textId="535A7AC6" w:rsidR="009B1D54" w:rsidRPr="00B7554F" w:rsidRDefault="003A0068" w:rsidP="00E42F7D">
      <w:pPr>
        <w:pStyle w:val="SingleTxtG"/>
        <w:numPr>
          <w:ilvl w:val="0"/>
          <w:numId w:val="3"/>
        </w:numPr>
        <w:ind w:left="1100" w:right="0" w:firstLine="0"/>
        <w:rPr>
          <w:sz w:val="20"/>
          <w:szCs w:val="20"/>
          <w:lang w:val="en-GB"/>
        </w:rPr>
      </w:pPr>
      <w:bookmarkStart w:id="27" w:name="_Ref19017969"/>
      <w:r w:rsidRPr="00B7554F">
        <w:rPr>
          <w:sz w:val="20"/>
          <w:szCs w:val="20"/>
          <w:lang w:val="en-GB"/>
        </w:rPr>
        <w:t>O</w:t>
      </w:r>
      <w:r w:rsidR="007561CF" w:rsidRPr="00B7554F">
        <w:rPr>
          <w:sz w:val="20"/>
          <w:szCs w:val="20"/>
          <w:lang w:val="en-GB"/>
        </w:rPr>
        <w:t xml:space="preserve">n 28 May </w:t>
      </w:r>
      <w:r w:rsidR="00032281" w:rsidRPr="00B7554F">
        <w:rPr>
          <w:sz w:val="20"/>
          <w:szCs w:val="20"/>
          <w:lang w:val="en-GB"/>
        </w:rPr>
        <w:t>2009,</w:t>
      </w:r>
      <w:r w:rsidR="00693882" w:rsidRPr="00B7554F">
        <w:rPr>
          <w:sz w:val="20"/>
          <w:szCs w:val="20"/>
          <w:lang w:val="en-GB"/>
        </w:rPr>
        <w:t xml:space="preserve"> </w:t>
      </w:r>
      <w:r w:rsidR="0049553F" w:rsidRPr="00B7554F">
        <w:rPr>
          <w:sz w:val="20"/>
          <w:szCs w:val="20"/>
          <w:lang w:val="en-GB"/>
        </w:rPr>
        <w:t>Energiaklub</w:t>
      </w:r>
      <w:r w:rsidR="00DC7F42" w:rsidRPr="00B7554F">
        <w:rPr>
          <w:sz w:val="20"/>
          <w:szCs w:val="20"/>
          <w:lang w:val="en-GB"/>
        </w:rPr>
        <w:t xml:space="preserve"> </w:t>
      </w:r>
      <w:r w:rsidR="0049553F" w:rsidRPr="00B7554F">
        <w:rPr>
          <w:sz w:val="20"/>
          <w:szCs w:val="20"/>
          <w:lang w:val="en-GB"/>
        </w:rPr>
        <w:t xml:space="preserve">filed a complaint with the Office of the </w:t>
      </w:r>
      <w:r w:rsidR="00A81FB7" w:rsidRPr="00B7554F">
        <w:rPr>
          <w:sz w:val="20"/>
          <w:szCs w:val="20"/>
          <w:lang w:val="en-GB"/>
        </w:rPr>
        <w:t xml:space="preserve">Parliamentary </w:t>
      </w:r>
      <w:r w:rsidR="0049553F" w:rsidRPr="00B7554F">
        <w:rPr>
          <w:sz w:val="20"/>
          <w:szCs w:val="20"/>
          <w:lang w:val="en-GB"/>
        </w:rPr>
        <w:t>Ombudsman for Future G</w:t>
      </w:r>
      <w:r w:rsidR="0063515D" w:rsidRPr="00B7554F">
        <w:rPr>
          <w:sz w:val="20"/>
          <w:szCs w:val="20"/>
          <w:lang w:val="en-GB"/>
        </w:rPr>
        <w:t xml:space="preserve">enerations </w:t>
      </w:r>
      <w:r w:rsidR="000D2BC9" w:rsidRPr="00B7554F">
        <w:rPr>
          <w:sz w:val="20"/>
          <w:szCs w:val="20"/>
          <w:lang w:val="en-GB"/>
        </w:rPr>
        <w:t xml:space="preserve">(Ombudsman) </w:t>
      </w:r>
      <w:r w:rsidR="0063515D" w:rsidRPr="00B7554F">
        <w:rPr>
          <w:sz w:val="20"/>
          <w:szCs w:val="20"/>
          <w:lang w:val="en-GB"/>
        </w:rPr>
        <w:t xml:space="preserve">regarding </w:t>
      </w:r>
      <w:r w:rsidR="003501CB" w:rsidRPr="00B7554F">
        <w:rPr>
          <w:sz w:val="20"/>
          <w:lang w:val="en-GB"/>
        </w:rPr>
        <w:t xml:space="preserve">Resolution </w:t>
      </w:r>
      <w:r w:rsidR="003501CB" w:rsidRPr="00B7554F">
        <w:rPr>
          <w:rStyle w:val="st"/>
          <w:sz w:val="20"/>
          <w:lang w:val="en-GB"/>
        </w:rPr>
        <w:t>25/2009</w:t>
      </w:r>
      <w:r w:rsidR="0049553F" w:rsidRPr="00B7554F">
        <w:rPr>
          <w:sz w:val="20"/>
          <w:szCs w:val="20"/>
          <w:lang w:val="en-GB"/>
        </w:rPr>
        <w:t>.</w:t>
      </w:r>
      <w:r w:rsidRPr="00B7554F">
        <w:rPr>
          <w:rStyle w:val="FootnoteReference"/>
          <w:sz w:val="20"/>
          <w:szCs w:val="20"/>
          <w:lang w:val="en-GB"/>
        </w:rPr>
        <w:footnoteReference w:id="33"/>
      </w:r>
      <w:bookmarkEnd w:id="27"/>
      <w:r w:rsidRPr="00B7554F">
        <w:rPr>
          <w:sz w:val="20"/>
          <w:szCs w:val="20"/>
          <w:lang w:val="en-GB"/>
        </w:rPr>
        <w:t xml:space="preserve"> </w:t>
      </w:r>
      <w:r w:rsidR="0049553F" w:rsidRPr="00B7554F">
        <w:rPr>
          <w:sz w:val="20"/>
          <w:szCs w:val="20"/>
          <w:lang w:val="en-GB"/>
        </w:rPr>
        <w:t xml:space="preserve"> </w:t>
      </w:r>
    </w:p>
    <w:p w14:paraId="7D49F1C3" w14:textId="53E72693" w:rsidR="003501CB" w:rsidRPr="00B7554F" w:rsidRDefault="00FB0027">
      <w:pPr>
        <w:pStyle w:val="SingleTxtG"/>
        <w:numPr>
          <w:ilvl w:val="0"/>
          <w:numId w:val="3"/>
        </w:numPr>
        <w:ind w:left="1100" w:right="0" w:firstLine="0"/>
        <w:rPr>
          <w:sz w:val="20"/>
          <w:lang w:val="en-GB"/>
        </w:rPr>
      </w:pPr>
      <w:r w:rsidRPr="00B7554F">
        <w:rPr>
          <w:sz w:val="20"/>
          <w:szCs w:val="20"/>
          <w:lang w:val="en-GB"/>
        </w:rPr>
        <w:t xml:space="preserve">On </w:t>
      </w:r>
      <w:r w:rsidR="00B8055C" w:rsidRPr="00B7554F">
        <w:rPr>
          <w:sz w:val="20"/>
          <w:szCs w:val="20"/>
          <w:lang w:val="en-GB"/>
        </w:rPr>
        <w:t>1</w:t>
      </w:r>
      <w:r w:rsidRPr="00B7554F">
        <w:rPr>
          <w:sz w:val="20"/>
          <w:szCs w:val="20"/>
          <w:lang w:val="en-GB"/>
        </w:rPr>
        <w:t>2 April 2011, t</w:t>
      </w:r>
      <w:r w:rsidR="0063515D" w:rsidRPr="00B7554F">
        <w:rPr>
          <w:sz w:val="20"/>
          <w:szCs w:val="20"/>
          <w:lang w:val="en-GB"/>
        </w:rPr>
        <w:t>he Ombudsman</w:t>
      </w:r>
      <w:r w:rsidR="0049553F" w:rsidRPr="00B7554F">
        <w:rPr>
          <w:sz w:val="20"/>
          <w:szCs w:val="20"/>
          <w:lang w:val="en-GB"/>
        </w:rPr>
        <w:t xml:space="preserve"> issued </w:t>
      </w:r>
      <w:r w:rsidR="00FA4CCD" w:rsidRPr="00B7554F">
        <w:rPr>
          <w:sz w:val="20"/>
          <w:szCs w:val="20"/>
          <w:lang w:val="en-GB"/>
        </w:rPr>
        <w:t xml:space="preserve">a </w:t>
      </w:r>
      <w:r w:rsidR="0049553F" w:rsidRPr="00B7554F">
        <w:rPr>
          <w:sz w:val="20"/>
          <w:szCs w:val="20"/>
          <w:lang w:val="en-GB"/>
        </w:rPr>
        <w:t xml:space="preserve">statement </w:t>
      </w:r>
      <w:r w:rsidR="008C6DDD" w:rsidRPr="00B7554F">
        <w:rPr>
          <w:sz w:val="20"/>
          <w:szCs w:val="20"/>
          <w:lang w:val="en-GB"/>
        </w:rPr>
        <w:t xml:space="preserve">in which it </w:t>
      </w:r>
      <w:r w:rsidR="001331DC" w:rsidRPr="00B7554F">
        <w:rPr>
          <w:sz w:val="20"/>
          <w:szCs w:val="20"/>
          <w:lang w:val="en-GB"/>
        </w:rPr>
        <w:t xml:space="preserve">found the draft resolution </w:t>
      </w:r>
      <w:r w:rsidR="00142EA7" w:rsidRPr="00B7554F">
        <w:rPr>
          <w:sz w:val="20"/>
          <w:szCs w:val="20"/>
          <w:lang w:val="en-GB"/>
        </w:rPr>
        <w:t>was not</w:t>
      </w:r>
      <w:r w:rsidR="001331DC" w:rsidRPr="00B7554F">
        <w:rPr>
          <w:sz w:val="20"/>
          <w:szCs w:val="20"/>
          <w:lang w:val="en-GB"/>
        </w:rPr>
        <w:t xml:space="preserve"> </w:t>
      </w:r>
      <w:r w:rsidR="00142EA7" w:rsidRPr="00B7554F">
        <w:rPr>
          <w:sz w:val="20"/>
          <w:szCs w:val="20"/>
          <w:lang w:val="en-GB"/>
        </w:rPr>
        <w:t>“</w:t>
      </w:r>
      <w:r w:rsidR="001331DC" w:rsidRPr="00B7554F">
        <w:rPr>
          <w:sz w:val="20"/>
          <w:szCs w:val="20"/>
          <w:lang w:val="en-GB"/>
        </w:rPr>
        <w:t>sufficiently specific and well-founded.”</w:t>
      </w:r>
      <w:r w:rsidR="001331DC" w:rsidRPr="00B7554F">
        <w:rPr>
          <w:rStyle w:val="FootnoteReference"/>
          <w:sz w:val="20"/>
          <w:szCs w:val="20"/>
          <w:lang w:val="en-GB"/>
        </w:rPr>
        <w:footnoteReference w:id="34"/>
      </w:r>
      <w:r w:rsidR="001B3A8A" w:rsidRPr="00B7554F">
        <w:rPr>
          <w:sz w:val="20"/>
          <w:szCs w:val="20"/>
          <w:lang w:val="en-GB"/>
        </w:rPr>
        <w:t xml:space="preserve"> It </w:t>
      </w:r>
      <w:bookmarkStart w:id="28" w:name="_Ref7000911"/>
      <w:r w:rsidR="006C404D" w:rsidRPr="00B7554F">
        <w:rPr>
          <w:sz w:val="20"/>
          <w:szCs w:val="20"/>
          <w:lang w:val="en-GB"/>
        </w:rPr>
        <w:t>concluded</w:t>
      </w:r>
      <w:r w:rsidR="00BE7A7B" w:rsidRPr="00B7554F">
        <w:rPr>
          <w:sz w:val="20"/>
          <w:szCs w:val="20"/>
          <w:lang w:val="en-GB"/>
        </w:rPr>
        <w:t xml:space="preserve"> </w:t>
      </w:r>
      <w:r w:rsidR="003501CB" w:rsidRPr="00B7554F">
        <w:rPr>
          <w:sz w:val="20"/>
          <w:szCs w:val="20"/>
          <w:lang w:val="en-GB"/>
        </w:rPr>
        <w:t xml:space="preserve">that </w:t>
      </w:r>
      <w:r w:rsidR="003501CB" w:rsidRPr="00B7554F">
        <w:rPr>
          <w:sz w:val="20"/>
          <w:lang w:val="en-GB"/>
        </w:rPr>
        <w:t xml:space="preserve">Resolution </w:t>
      </w:r>
      <w:r w:rsidR="003501CB" w:rsidRPr="00B7554F">
        <w:rPr>
          <w:rStyle w:val="st"/>
          <w:sz w:val="20"/>
          <w:lang w:val="en-GB"/>
        </w:rPr>
        <w:t>25/2009</w:t>
      </w:r>
      <w:r w:rsidR="003501CB" w:rsidRPr="00B7554F">
        <w:rPr>
          <w:rStyle w:val="st"/>
          <w:i/>
          <w:sz w:val="20"/>
          <w:lang w:val="en-GB"/>
        </w:rPr>
        <w:t xml:space="preserve"> </w:t>
      </w:r>
      <w:r w:rsidR="00BB26E8" w:rsidRPr="00B7554F">
        <w:rPr>
          <w:sz w:val="20"/>
          <w:szCs w:val="20"/>
          <w:lang w:val="en-GB"/>
        </w:rPr>
        <w:t xml:space="preserve"> </w:t>
      </w:r>
      <w:r w:rsidR="00202DFB" w:rsidRPr="00B7554F">
        <w:rPr>
          <w:sz w:val="20"/>
          <w:szCs w:val="20"/>
          <w:lang w:val="en-GB"/>
        </w:rPr>
        <w:t>implemented</w:t>
      </w:r>
      <w:r w:rsidR="00BB26E8" w:rsidRPr="00B7554F">
        <w:rPr>
          <w:sz w:val="20"/>
          <w:szCs w:val="20"/>
          <w:lang w:val="en-GB"/>
        </w:rPr>
        <w:t xml:space="preserve"> </w:t>
      </w:r>
      <w:r w:rsidR="000A5E38" w:rsidRPr="00B7554F">
        <w:rPr>
          <w:sz w:val="20"/>
          <w:szCs w:val="20"/>
          <w:lang w:val="en-GB"/>
        </w:rPr>
        <w:t>s</w:t>
      </w:r>
      <w:r w:rsidR="00BB26E8" w:rsidRPr="00B7554F">
        <w:rPr>
          <w:sz w:val="20"/>
          <w:szCs w:val="20"/>
          <w:lang w:val="en-GB"/>
        </w:rPr>
        <w:t>ection 12</w:t>
      </w:r>
      <w:r w:rsidR="006335FD" w:rsidRPr="00B7554F">
        <w:rPr>
          <w:sz w:val="20"/>
          <w:szCs w:val="20"/>
          <w:lang w:val="en-GB"/>
        </w:rPr>
        <w:t>(</w:t>
      </w:r>
      <w:r w:rsidR="00BB26E8" w:rsidRPr="00B7554F">
        <w:rPr>
          <w:sz w:val="20"/>
          <w:szCs w:val="20"/>
          <w:lang w:val="en-GB"/>
        </w:rPr>
        <w:t>f</w:t>
      </w:r>
      <w:r w:rsidR="006335FD" w:rsidRPr="00B7554F">
        <w:rPr>
          <w:sz w:val="20"/>
          <w:szCs w:val="20"/>
          <w:lang w:val="en-GB"/>
        </w:rPr>
        <w:t>)</w:t>
      </w:r>
      <w:r w:rsidR="00BB26E8" w:rsidRPr="00B7554F">
        <w:rPr>
          <w:sz w:val="20"/>
          <w:szCs w:val="20"/>
          <w:lang w:val="en-GB"/>
        </w:rPr>
        <w:t xml:space="preserve"> of Resolution</w:t>
      </w:r>
      <w:r w:rsidR="00960780" w:rsidRPr="00B7554F">
        <w:rPr>
          <w:sz w:val="20"/>
          <w:szCs w:val="20"/>
          <w:lang w:val="en-GB"/>
        </w:rPr>
        <w:t xml:space="preserve"> 40/2009</w:t>
      </w:r>
      <w:r w:rsidR="00A023A6" w:rsidRPr="00B7554F">
        <w:rPr>
          <w:sz w:val="20"/>
          <w:szCs w:val="20"/>
          <w:lang w:val="en-GB"/>
        </w:rPr>
        <w:t>, yet had not been prepared in accordance with that provision</w:t>
      </w:r>
      <w:r w:rsidR="00BE7A7B" w:rsidRPr="00B7554F">
        <w:rPr>
          <w:sz w:val="20"/>
          <w:szCs w:val="20"/>
          <w:lang w:val="en-GB"/>
        </w:rPr>
        <w:t>.</w:t>
      </w:r>
      <w:r w:rsidR="00AF4233" w:rsidRPr="00B7554F">
        <w:rPr>
          <w:rStyle w:val="FootnoteReference"/>
          <w:sz w:val="20"/>
          <w:szCs w:val="20"/>
          <w:lang w:val="en-GB"/>
        </w:rPr>
        <w:footnoteReference w:id="35"/>
      </w:r>
      <w:r w:rsidR="00BE7A7B" w:rsidRPr="00B7554F">
        <w:rPr>
          <w:sz w:val="20"/>
          <w:szCs w:val="20"/>
          <w:lang w:val="en-GB"/>
        </w:rPr>
        <w:t xml:space="preserve"> </w:t>
      </w:r>
      <w:r w:rsidR="00CF72A3" w:rsidRPr="00B7554F">
        <w:rPr>
          <w:sz w:val="20"/>
          <w:szCs w:val="20"/>
          <w:lang w:val="en-GB"/>
        </w:rPr>
        <w:t>It</w:t>
      </w:r>
      <w:r w:rsidR="0049553F" w:rsidRPr="00B7554F">
        <w:rPr>
          <w:sz w:val="20"/>
          <w:szCs w:val="20"/>
          <w:lang w:val="en-GB"/>
        </w:rPr>
        <w:t xml:space="preserve"> invited the Government to publish </w:t>
      </w:r>
      <w:r w:rsidR="006C404D" w:rsidRPr="00B7554F">
        <w:rPr>
          <w:sz w:val="20"/>
          <w:szCs w:val="20"/>
          <w:lang w:val="en-GB"/>
        </w:rPr>
        <w:t>the results of</w:t>
      </w:r>
      <w:r w:rsidR="00B82F7F" w:rsidRPr="00B7554F">
        <w:rPr>
          <w:sz w:val="20"/>
          <w:szCs w:val="20"/>
          <w:lang w:val="en-GB"/>
        </w:rPr>
        <w:t xml:space="preserve"> </w:t>
      </w:r>
      <w:r w:rsidR="00332C79" w:rsidRPr="00B7554F">
        <w:rPr>
          <w:sz w:val="20"/>
          <w:szCs w:val="20"/>
          <w:lang w:val="en-GB"/>
        </w:rPr>
        <w:t>environmental impact assessment</w:t>
      </w:r>
      <w:r w:rsidR="007303C7" w:rsidRPr="00B7554F">
        <w:rPr>
          <w:sz w:val="20"/>
          <w:szCs w:val="20"/>
          <w:lang w:val="en-GB"/>
        </w:rPr>
        <w:t>s</w:t>
      </w:r>
      <w:r w:rsidR="0049553F" w:rsidRPr="00B7554F">
        <w:rPr>
          <w:sz w:val="20"/>
          <w:szCs w:val="20"/>
          <w:lang w:val="en-GB"/>
        </w:rPr>
        <w:t xml:space="preserve">, if any, and </w:t>
      </w:r>
      <w:r w:rsidR="001B3A8A" w:rsidRPr="00B7554F">
        <w:rPr>
          <w:sz w:val="20"/>
          <w:szCs w:val="20"/>
          <w:lang w:val="en-GB"/>
        </w:rPr>
        <w:t>fully include the public in</w:t>
      </w:r>
      <w:r w:rsidR="0049553F" w:rsidRPr="00B7554F">
        <w:rPr>
          <w:sz w:val="20"/>
          <w:szCs w:val="20"/>
          <w:lang w:val="en-GB"/>
        </w:rPr>
        <w:t xml:space="preserve"> the</w:t>
      </w:r>
      <w:r w:rsidR="00142EA7" w:rsidRPr="00B7554F">
        <w:rPr>
          <w:sz w:val="20"/>
          <w:szCs w:val="20"/>
          <w:lang w:val="en-GB"/>
        </w:rPr>
        <w:t xml:space="preserve"> NPP extension</w:t>
      </w:r>
      <w:r w:rsidR="0049553F" w:rsidRPr="00B7554F">
        <w:rPr>
          <w:sz w:val="20"/>
          <w:lang w:val="en-GB"/>
        </w:rPr>
        <w:t xml:space="preserve"> preparatory work.</w:t>
      </w:r>
      <w:r w:rsidR="002C6B93" w:rsidRPr="00B7554F">
        <w:rPr>
          <w:rStyle w:val="FootnoteReference"/>
          <w:sz w:val="20"/>
          <w:szCs w:val="20"/>
          <w:lang w:val="en-GB"/>
        </w:rPr>
        <w:footnoteReference w:id="36"/>
      </w:r>
      <w:r w:rsidR="00CF72A3" w:rsidRPr="00B7554F">
        <w:rPr>
          <w:sz w:val="20"/>
          <w:szCs w:val="20"/>
          <w:lang w:val="en-GB"/>
        </w:rPr>
        <w:t xml:space="preserve"> </w:t>
      </w:r>
      <w:r w:rsidR="001B3A8A" w:rsidRPr="00B7554F">
        <w:rPr>
          <w:sz w:val="20"/>
          <w:szCs w:val="20"/>
          <w:lang w:val="en-GB"/>
        </w:rPr>
        <w:t xml:space="preserve">It </w:t>
      </w:r>
      <w:r w:rsidR="0049553F" w:rsidRPr="00B7554F">
        <w:rPr>
          <w:sz w:val="20"/>
          <w:lang w:val="en-GB"/>
        </w:rPr>
        <w:t>received no answer fr</w:t>
      </w:r>
      <w:r w:rsidR="000D2BC9" w:rsidRPr="00B7554F">
        <w:rPr>
          <w:sz w:val="20"/>
          <w:lang w:val="en-GB"/>
        </w:rPr>
        <w:t>om the Government</w:t>
      </w:r>
      <w:r w:rsidR="0049553F" w:rsidRPr="00B7554F">
        <w:rPr>
          <w:sz w:val="20"/>
          <w:szCs w:val="20"/>
          <w:lang w:val="en-GB"/>
        </w:rPr>
        <w:t>.</w:t>
      </w:r>
      <w:bookmarkEnd w:id="23"/>
      <w:r w:rsidR="00693882" w:rsidRPr="00B7554F">
        <w:rPr>
          <w:sz w:val="20"/>
          <w:lang w:val="en-GB"/>
        </w:rPr>
        <w:t xml:space="preserve"> </w:t>
      </w:r>
    </w:p>
    <w:p w14:paraId="1C556AFC" w14:textId="4CAFBC7C" w:rsidR="009B1D54" w:rsidRPr="00B7554F" w:rsidRDefault="00693882" w:rsidP="003501CB">
      <w:pPr>
        <w:pStyle w:val="SingleTxtG"/>
        <w:numPr>
          <w:ilvl w:val="0"/>
          <w:numId w:val="3"/>
        </w:numPr>
        <w:ind w:left="1100" w:right="0" w:firstLine="0"/>
        <w:rPr>
          <w:sz w:val="20"/>
          <w:lang w:val="en-GB"/>
        </w:rPr>
      </w:pPr>
      <w:r w:rsidRPr="00B7554F">
        <w:rPr>
          <w:sz w:val="20"/>
          <w:lang w:val="en-GB"/>
        </w:rPr>
        <w:t xml:space="preserve">Energiaklub </w:t>
      </w:r>
      <w:r w:rsidR="006C404D" w:rsidRPr="00B7554F">
        <w:rPr>
          <w:sz w:val="20"/>
          <w:lang w:val="en-GB"/>
        </w:rPr>
        <w:t xml:space="preserve">sent several letters to the </w:t>
      </w:r>
      <w:r w:rsidR="00743A87" w:rsidRPr="00B7554F">
        <w:rPr>
          <w:sz w:val="20"/>
          <w:szCs w:val="20"/>
          <w:lang w:val="en-GB"/>
        </w:rPr>
        <w:t xml:space="preserve">competent </w:t>
      </w:r>
      <w:r w:rsidR="00517BFF" w:rsidRPr="00B7554F">
        <w:rPr>
          <w:sz w:val="20"/>
          <w:szCs w:val="20"/>
          <w:lang w:val="en-GB"/>
        </w:rPr>
        <w:t>m</w:t>
      </w:r>
      <w:r w:rsidRPr="00B7554F">
        <w:rPr>
          <w:sz w:val="20"/>
          <w:szCs w:val="20"/>
          <w:lang w:val="en-GB"/>
        </w:rPr>
        <w:t xml:space="preserve">inister </w:t>
      </w:r>
      <w:r w:rsidR="001B3A8A" w:rsidRPr="00B7554F">
        <w:rPr>
          <w:sz w:val="20"/>
          <w:szCs w:val="20"/>
          <w:lang w:val="en-GB"/>
        </w:rPr>
        <w:t>asking</w:t>
      </w:r>
      <w:r w:rsidR="00517BFF" w:rsidRPr="00B7554F">
        <w:rPr>
          <w:sz w:val="20"/>
          <w:szCs w:val="20"/>
          <w:lang w:val="en-GB"/>
        </w:rPr>
        <w:t xml:space="preserve"> how the minister planned to react</w:t>
      </w:r>
      <w:r w:rsidRPr="00B7554F">
        <w:rPr>
          <w:sz w:val="20"/>
          <w:lang w:val="en-GB"/>
        </w:rPr>
        <w:t xml:space="preserve"> to the Ombudsman’s </w:t>
      </w:r>
      <w:r w:rsidR="00C012C9" w:rsidRPr="00B7554F">
        <w:rPr>
          <w:sz w:val="20"/>
          <w:szCs w:val="20"/>
          <w:lang w:val="en-GB"/>
        </w:rPr>
        <w:t>recommendations</w:t>
      </w:r>
      <w:r w:rsidR="00517BFF" w:rsidRPr="00B7554F">
        <w:rPr>
          <w:sz w:val="20"/>
          <w:lang w:val="en-GB"/>
        </w:rPr>
        <w:t xml:space="preserve"> </w:t>
      </w:r>
      <w:r w:rsidRPr="00B7554F">
        <w:rPr>
          <w:sz w:val="20"/>
          <w:lang w:val="en-GB"/>
        </w:rPr>
        <w:t xml:space="preserve">but </w:t>
      </w:r>
      <w:r w:rsidR="00E97225" w:rsidRPr="00B7554F">
        <w:rPr>
          <w:sz w:val="20"/>
          <w:szCs w:val="20"/>
          <w:lang w:val="en-GB"/>
        </w:rPr>
        <w:t xml:space="preserve">received </w:t>
      </w:r>
      <w:r w:rsidR="00142EA7" w:rsidRPr="00B7554F">
        <w:rPr>
          <w:sz w:val="20"/>
          <w:szCs w:val="20"/>
          <w:lang w:val="en-GB"/>
        </w:rPr>
        <w:t xml:space="preserve">no </w:t>
      </w:r>
      <w:r w:rsidR="00E97225" w:rsidRPr="00B7554F">
        <w:rPr>
          <w:sz w:val="20"/>
          <w:szCs w:val="20"/>
          <w:lang w:val="en-GB"/>
        </w:rPr>
        <w:t>reply</w:t>
      </w:r>
      <w:r w:rsidRPr="00B7554F">
        <w:rPr>
          <w:sz w:val="20"/>
          <w:lang w:val="en-GB"/>
        </w:rPr>
        <w:t>.</w:t>
      </w:r>
      <w:r w:rsidRPr="00B7554F">
        <w:rPr>
          <w:rStyle w:val="FootnoteReference"/>
          <w:sz w:val="20"/>
          <w:lang w:val="en-GB"/>
        </w:rPr>
        <w:footnoteReference w:id="37"/>
      </w:r>
      <w:bookmarkEnd w:id="26"/>
      <w:bookmarkEnd w:id="28"/>
    </w:p>
    <w:p w14:paraId="13F61606" w14:textId="32BF9C91" w:rsidR="00990E50" w:rsidRPr="00B7554F" w:rsidRDefault="00990E50" w:rsidP="00990E50">
      <w:pPr>
        <w:pStyle w:val="SingleTxtG"/>
        <w:ind w:right="0"/>
        <w:rPr>
          <w:i/>
          <w:iCs/>
          <w:sz w:val="20"/>
          <w:lang w:val="en-GB"/>
        </w:rPr>
      </w:pPr>
      <w:r w:rsidRPr="00B7554F">
        <w:rPr>
          <w:i/>
          <w:iCs/>
          <w:sz w:val="20"/>
          <w:lang w:val="en-GB"/>
        </w:rPr>
        <w:t>Resolution</w:t>
      </w:r>
      <w:r w:rsidR="006F532D" w:rsidRPr="00B7554F">
        <w:rPr>
          <w:i/>
          <w:iCs/>
          <w:sz w:val="20"/>
          <w:lang w:val="en-GB"/>
        </w:rPr>
        <w:t xml:space="preserve"> </w:t>
      </w:r>
      <w:r w:rsidR="003501CB" w:rsidRPr="00B7554F">
        <w:rPr>
          <w:i/>
          <w:iCs/>
          <w:sz w:val="20"/>
          <w:lang w:val="en-GB"/>
        </w:rPr>
        <w:t xml:space="preserve">77/2011 </w:t>
      </w:r>
      <w:r w:rsidR="004E0686" w:rsidRPr="00B7554F">
        <w:rPr>
          <w:i/>
          <w:iCs/>
          <w:sz w:val="20"/>
          <w:lang w:val="en-GB"/>
        </w:rPr>
        <w:t>on</w:t>
      </w:r>
      <w:r w:rsidR="004E0686" w:rsidRPr="00B7554F">
        <w:rPr>
          <w:i/>
          <w:sz w:val="20"/>
          <w:lang w:val="en-GB"/>
        </w:rPr>
        <w:t xml:space="preserve"> the national </w:t>
      </w:r>
      <w:r w:rsidR="006F532D" w:rsidRPr="00B7554F">
        <w:rPr>
          <w:i/>
          <w:sz w:val="20"/>
          <w:lang w:val="en-GB"/>
        </w:rPr>
        <w:t xml:space="preserve">energy strategy </w:t>
      </w:r>
    </w:p>
    <w:p w14:paraId="68D70730" w14:textId="0AC13301" w:rsidR="009B1D54" w:rsidRPr="00B7554F" w:rsidRDefault="003501CB" w:rsidP="003501CB">
      <w:pPr>
        <w:pStyle w:val="SingleTxtG"/>
        <w:numPr>
          <w:ilvl w:val="0"/>
          <w:numId w:val="3"/>
        </w:numPr>
        <w:ind w:left="1100" w:right="0" w:firstLine="0"/>
        <w:rPr>
          <w:rStyle w:val="st"/>
          <w:sz w:val="20"/>
          <w:lang w:val="en-GB"/>
        </w:rPr>
      </w:pPr>
      <w:r w:rsidRPr="00B7554F">
        <w:rPr>
          <w:rStyle w:val="st"/>
          <w:sz w:val="20"/>
          <w:lang w:val="en-GB"/>
        </w:rPr>
        <w:t xml:space="preserve">In 2011, the </w:t>
      </w:r>
      <w:r w:rsidR="001B3A8A" w:rsidRPr="00B7554F">
        <w:rPr>
          <w:rStyle w:val="st"/>
          <w:sz w:val="20"/>
          <w:lang w:val="en-GB"/>
        </w:rPr>
        <w:t>P</w:t>
      </w:r>
      <w:r w:rsidR="00536B89" w:rsidRPr="00B7554F">
        <w:rPr>
          <w:rStyle w:val="st"/>
          <w:sz w:val="20"/>
          <w:lang w:val="en-GB"/>
        </w:rPr>
        <w:t xml:space="preserve">arliament </w:t>
      </w:r>
      <w:r w:rsidRPr="00B7554F">
        <w:rPr>
          <w:rStyle w:val="st"/>
          <w:sz w:val="20"/>
          <w:lang w:val="en-GB"/>
        </w:rPr>
        <w:t xml:space="preserve">adopted Resolution 77/2011 approving the national </w:t>
      </w:r>
      <w:r w:rsidR="002111A3" w:rsidRPr="00B7554F">
        <w:rPr>
          <w:rStyle w:val="st"/>
          <w:sz w:val="20"/>
          <w:lang w:val="en-GB"/>
        </w:rPr>
        <w:t>e</w:t>
      </w:r>
      <w:r w:rsidR="00342285" w:rsidRPr="00B7554F">
        <w:rPr>
          <w:rStyle w:val="st"/>
          <w:sz w:val="20"/>
          <w:lang w:val="en-GB"/>
        </w:rPr>
        <w:t xml:space="preserve">nergy </w:t>
      </w:r>
      <w:r w:rsidR="002111A3" w:rsidRPr="00B7554F">
        <w:rPr>
          <w:rStyle w:val="st"/>
          <w:sz w:val="20"/>
          <w:lang w:val="en-GB"/>
        </w:rPr>
        <w:t>s</w:t>
      </w:r>
      <w:r w:rsidR="00342285" w:rsidRPr="00B7554F">
        <w:rPr>
          <w:rStyle w:val="st"/>
          <w:sz w:val="20"/>
          <w:lang w:val="en-GB"/>
        </w:rPr>
        <w:t>trategy</w:t>
      </w:r>
      <w:bookmarkStart w:id="29" w:name="_Ref499818396"/>
      <w:r w:rsidRPr="00B7554F">
        <w:rPr>
          <w:rStyle w:val="st"/>
          <w:sz w:val="20"/>
          <w:szCs w:val="20"/>
          <w:lang w:val="en-GB"/>
        </w:rPr>
        <w:t xml:space="preserve">, which </w:t>
      </w:r>
      <w:r w:rsidR="000541B1" w:rsidRPr="00B7554F">
        <w:rPr>
          <w:rStyle w:val="st"/>
          <w:sz w:val="20"/>
          <w:szCs w:val="20"/>
          <w:lang w:val="en-GB"/>
        </w:rPr>
        <w:t>modifie</w:t>
      </w:r>
      <w:r w:rsidRPr="00B7554F">
        <w:rPr>
          <w:rStyle w:val="st"/>
          <w:sz w:val="20"/>
          <w:szCs w:val="20"/>
          <w:lang w:val="en-GB"/>
        </w:rPr>
        <w:t>d</w:t>
      </w:r>
      <w:r w:rsidR="000541B1" w:rsidRPr="00B7554F">
        <w:rPr>
          <w:rStyle w:val="st"/>
          <w:sz w:val="20"/>
          <w:szCs w:val="20"/>
          <w:lang w:val="en-GB"/>
        </w:rPr>
        <w:t xml:space="preserve"> and supersede</w:t>
      </w:r>
      <w:r w:rsidRPr="00B7554F">
        <w:rPr>
          <w:rStyle w:val="st"/>
          <w:sz w:val="20"/>
          <w:szCs w:val="20"/>
          <w:lang w:val="en-GB"/>
        </w:rPr>
        <w:t>d</w:t>
      </w:r>
      <w:r w:rsidR="000541B1" w:rsidRPr="00B7554F">
        <w:rPr>
          <w:rStyle w:val="st"/>
          <w:sz w:val="20"/>
          <w:szCs w:val="20"/>
          <w:lang w:val="en-GB"/>
        </w:rPr>
        <w:t xml:space="preserve"> </w:t>
      </w:r>
      <w:r w:rsidR="004E0686" w:rsidRPr="00B7554F">
        <w:rPr>
          <w:rStyle w:val="st"/>
          <w:sz w:val="20"/>
          <w:szCs w:val="20"/>
          <w:lang w:val="en-GB"/>
        </w:rPr>
        <w:t>Resolution 40/2008</w:t>
      </w:r>
      <w:r w:rsidR="000541B1" w:rsidRPr="00B7554F">
        <w:rPr>
          <w:rStyle w:val="st"/>
          <w:sz w:val="20"/>
          <w:szCs w:val="20"/>
          <w:lang w:val="en-GB"/>
        </w:rPr>
        <w:t>.</w:t>
      </w:r>
      <w:r w:rsidR="000541B1" w:rsidRPr="00B7554F">
        <w:rPr>
          <w:rStyle w:val="FootnoteReference"/>
          <w:sz w:val="20"/>
          <w:szCs w:val="20"/>
          <w:lang w:val="en-GB"/>
        </w:rPr>
        <w:t xml:space="preserve"> </w:t>
      </w:r>
      <w:r w:rsidR="000541B1" w:rsidRPr="00B7554F">
        <w:rPr>
          <w:rStyle w:val="FootnoteReference"/>
          <w:sz w:val="20"/>
          <w:szCs w:val="20"/>
          <w:lang w:val="en-GB"/>
        </w:rPr>
        <w:footnoteReference w:id="38"/>
      </w:r>
    </w:p>
    <w:bookmarkEnd w:id="29"/>
    <w:p w14:paraId="56A8DE23" w14:textId="77777777" w:rsidR="003F3099" w:rsidRPr="00B7554F" w:rsidRDefault="003F3099" w:rsidP="00B30754">
      <w:pPr>
        <w:pStyle w:val="SingleTxtG"/>
        <w:tabs>
          <w:tab w:val="num" w:pos="1134"/>
        </w:tabs>
        <w:ind w:left="1100" w:right="0"/>
        <w:rPr>
          <w:rStyle w:val="st"/>
          <w:b/>
          <w:sz w:val="20"/>
          <w:szCs w:val="20"/>
          <w:lang w:val="en-GB"/>
        </w:rPr>
      </w:pPr>
      <w:r w:rsidRPr="00B7554F">
        <w:rPr>
          <w:rStyle w:val="st"/>
          <w:b/>
          <w:sz w:val="20"/>
          <w:szCs w:val="20"/>
          <w:lang w:val="en-GB"/>
        </w:rPr>
        <w:t>Energiaklub</w:t>
      </w:r>
      <w:r w:rsidRPr="00B7554F">
        <w:rPr>
          <w:szCs w:val="18"/>
          <w:lang w:val="en-GB"/>
        </w:rPr>
        <w:t>’</w:t>
      </w:r>
      <w:r w:rsidRPr="00B7554F">
        <w:rPr>
          <w:rStyle w:val="st"/>
          <w:b/>
          <w:sz w:val="20"/>
          <w:szCs w:val="20"/>
          <w:lang w:val="en-GB"/>
        </w:rPr>
        <w:t>s i</w:t>
      </w:r>
      <w:r w:rsidR="00B30754" w:rsidRPr="00B7554F">
        <w:rPr>
          <w:rStyle w:val="st"/>
          <w:b/>
          <w:sz w:val="20"/>
          <w:szCs w:val="20"/>
          <w:lang w:val="en-GB"/>
        </w:rPr>
        <w:t>nformation requests</w:t>
      </w:r>
    </w:p>
    <w:p w14:paraId="275ED4F6" w14:textId="77777777" w:rsidR="00B30754" w:rsidRPr="00B7554F" w:rsidRDefault="003F3099" w:rsidP="00B30754">
      <w:pPr>
        <w:pStyle w:val="SingleTxtG"/>
        <w:tabs>
          <w:tab w:val="num" w:pos="1134"/>
        </w:tabs>
        <w:ind w:left="1100" w:right="0"/>
        <w:rPr>
          <w:rStyle w:val="st"/>
          <w:b/>
          <w:sz w:val="20"/>
          <w:szCs w:val="20"/>
          <w:lang w:val="en-GB"/>
        </w:rPr>
      </w:pPr>
      <w:r w:rsidRPr="00B7554F">
        <w:rPr>
          <w:rStyle w:val="st"/>
          <w:i/>
          <w:sz w:val="20"/>
          <w:szCs w:val="20"/>
          <w:lang w:val="en-GB"/>
        </w:rPr>
        <w:t>The Teller Project</w:t>
      </w:r>
    </w:p>
    <w:p w14:paraId="7C1C9896" w14:textId="5F6289B2" w:rsidR="00B30754" w:rsidRPr="00B7554F" w:rsidRDefault="00B30754" w:rsidP="00B30754">
      <w:pPr>
        <w:pStyle w:val="SingleTxtG"/>
        <w:numPr>
          <w:ilvl w:val="0"/>
          <w:numId w:val="3"/>
        </w:numPr>
        <w:ind w:left="1100" w:right="0" w:firstLine="0"/>
        <w:rPr>
          <w:rStyle w:val="st"/>
          <w:sz w:val="20"/>
          <w:lang w:val="en-GB"/>
        </w:rPr>
      </w:pPr>
      <w:bookmarkStart w:id="30" w:name="_Ref7015946"/>
      <w:r w:rsidRPr="00B7554F">
        <w:rPr>
          <w:rStyle w:val="st"/>
          <w:sz w:val="20"/>
          <w:szCs w:val="20"/>
          <w:lang w:val="en-GB"/>
        </w:rPr>
        <w:t>On 24 June 2010, Energiaklub requested information</w:t>
      </w:r>
      <w:r w:rsidR="00E32113" w:rsidRPr="00B7554F">
        <w:rPr>
          <w:rStyle w:val="st"/>
          <w:sz w:val="20"/>
          <w:szCs w:val="20"/>
          <w:lang w:val="en-GB"/>
        </w:rPr>
        <w:t xml:space="preserve"> concerning the Teller Project</w:t>
      </w:r>
      <w:r w:rsidRPr="00B7554F">
        <w:rPr>
          <w:rStyle w:val="st"/>
          <w:sz w:val="20"/>
          <w:szCs w:val="20"/>
          <w:lang w:val="en-GB"/>
        </w:rPr>
        <w:t xml:space="preserve"> from Paks Ltd. under sections 19 and 20 of </w:t>
      </w:r>
      <w:r w:rsidRPr="00B7554F">
        <w:rPr>
          <w:sz w:val="20"/>
          <w:szCs w:val="20"/>
          <w:lang w:val="en-GB"/>
        </w:rPr>
        <w:t>the Data Protection Act.</w:t>
      </w:r>
      <w:r w:rsidRPr="00B7554F">
        <w:rPr>
          <w:rStyle w:val="FootnoteReference"/>
          <w:sz w:val="20"/>
          <w:szCs w:val="20"/>
          <w:lang w:val="en-GB"/>
        </w:rPr>
        <w:footnoteReference w:id="39"/>
      </w:r>
      <w:r w:rsidRPr="00B7554F">
        <w:rPr>
          <w:rStyle w:val="st"/>
          <w:sz w:val="20"/>
          <w:szCs w:val="20"/>
          <w:lang w:val="en-GB"/>
        </w:rPr>
        <w:t xml:space="preserve"> On 5 July</w:t>
      </w:r>
      <w:r w:rsidR="00C02634" w:rsidRPr="00B7554F">
        <w:rPr>
          <w:rStyle w:val="st"/>
          <w:sz w:val="20"/>
          <w:szCs w:val="20"/>
          <w:lang w:val="en-GB"/>
        </w:rPr>
        <w:t xml:space="preserve"> 2010</w:t>
      </w:r>
      <w:r w:rsidRPr="00B7554F">
        <w:rPr>
          <w:rStyle w:val="st"/>
          <w:sz w:val="20"/>
          <w:szCs w:val="20"/>
          <w:lang w:val="en-GB"/>
        </w:rPr>
        <w:t>, the company</w:t>
      </w:r>
      <w:r w:rsidRPr="00B7554F">
        <w:rPr>
          <w:rStyle w:val="st"/>
          <w:sz w:val="20"/>
          <w:lang w:val="en-GB"/>
        </w:rPr>
        <w:t xml:space="preserve"> refused to provide the information</w:t>
      </w:r>
      <w:r w:rsidR="007864ED" w:rsidRPr="00B7554F">
        <w:rPr>
          <w:rStyle w:val="st"/>
          <w:sz w:val="20"/>
          <w:lang w:val="en-GB"/>
        </w:rPr>
        <w:t xml:space="preserve"> based on the State Property Act</w:t>
      </w:r>
      <w:r w:rsidRPr="00B7554F">
        <w:rPr>
          <w:rStyle w:val="st"/>
          <w:sz w:val="20"/>
          <w:szCs w:val="20"/>
          <w:lang w:val="en-GB"/>
        </w:rPr>
        <w:t xml:space="preserve">, stating that information can only be requested from public authorities or organizations </w:t>
      </w:r>
      <w:r w:rsidR="00FC3F08" w:rsidRPr="00B7554F">
        <w:rPr>
          <w:rStyle w:val="st"/>
          <w:sz w:val="20"/>
          <w:szCs w:val="20"/>
          <w:lang w:val="en-GB"/>
        </w:rPr>
        <w:t>performing</w:t>
      </w:r>
      <w:r w:rsidRPr="00B7554F">
        <w:rPr>
          <w:rStyle w:val="st"/>
          <w:sz w:val="20"/>
          <w:szCs w:val="20"/>
          <w:lang w:val="en-GB"/>
        </w:rPr>
        <w:t xml:space="preserve"> public functions.</w:t>
      </w:r>
      <w:r w:rsidRPr="00B7554F">
        <w:rPr>
          <w:rStyle w:val="FootnoteReference"/>
          <w:sz w:val="20"/>
          <w:szCs w:val="20"/>
          <w:lang w:val="en-GB"/>
        </w:rPr>
        <w:footnoteReference w:id="40"/>
      </w:r>
      <w:bookmarkStart w:id="31" w:name="_Ref496104059"/>
      <w:bookmarkEnd w:id="30"/>
    </w:p>
    <w:p w14:paraId="7016ADAC" w14:textId="33206393" w:rsidR="00B30754" w:rsidRPr="00B7554F" w:rsidRDefault="00B30754" w:rsidP="00B30754">
      <w:pPr>
        <w:pStyle w:val="SingleTxtG"/>
        <w:numPr>
          <w:ilvl w:val="0"/>
          <w:numId w:val="3"/>
        </w:numPr>
        <w:ind w:left="1100" w:right="0" w:firstLine="0"/>
        <w:rPr>
          <w:rStyle w:val="st"/>
          <w:sz w:val="20"/>
          <w:lang w:val="en-GB"/>
        </w:rPr>
      </w:pPr>
      <w:r w:rsidRPr="00B7554F">
        <w:rPr>
          <w:rStyle w:val="st"/>
          <w:sz w:val="20"/>
          <w:lang w:val="en-GB"/>
        </w:rPr>
        <w:t>On 11 August 2010</w:t>
      </w:r>
      <w:r w:rsidR="00C42713" w:rsidRPr="00B7554F">
        <w:rPr>
          <w:rStyle w:val="st"/>
          <w:sz w:val="20"/>
          <w:lang w:val="en-GB"/>
        </w:rPr>
        <w:t>,</w:t>
      </w:r>
      <w:r w:rsidRPr="00B7554F">
        <w:rPr>
          <w:rStyle w:val="st"/>
          <w:sz w:val="20"/>
          <w:lang w:val="en-GB"/>
        </w:rPr>
        <w:t xml:space="preserve"> Energiaklub </w:t>
      </w:r>
      <w:r w:rsidR="00FC3F08" w:rsidRPr="00B7554F">
        <w:rPr>
          <w:rStyle w:val="st"/>
          <w:sz w:val="20"/>
          <w:lang w:val="en-GB"/>
        </w:rPr>
        <w:t>sent a repeat information request</w:t>
      </w:r>
      <w:r w:rsidRPr="00B7554F">
        <w:rPr>
          <w:rStyle w:val="st"/>
          <w:sz w:val="20"/>
          <w:lang w:val="en-GB"/>
        </w:rPr>
        <w:t xml:space="preserve">, referring to domestic jurisprudence according to which all state-owned companies are deemed to perform </w:t>
      </w:r>
      <w:r w:rsidRPr="00B7554F">
        <w:rPr>
          <w:rStyle w:val="st"/>
          <w:sz w:val="20"/>
          <w:lang w:val="en-GB"/>
        </w:rPr>
        <w:lastRenderedPageBreak/>
        <w:t>public functions.</w:t>
      </w:r>
      <w:r w:rsidRPr="00B7554F">
        <w:rPr>
          <w:rStyle w:val="FootnoteReference"/>
          <w:sz w:val="20"/>
          <w:lang w:val="en-GB"/>
        </w:rPr>
        <w:footnoteReference w:id="41"/>
      </w:r>
      <w:r w:rsidRPr="00B7554F">
        <w:rPr>
          <w:rStyle w:val="st"/>
          <w:sz w:val="20"/>
          <w:lang w:val="en-GB"/>
        </w:rPr>
        <w:t xml:space="preserve"> On 30 August 2010, Paks Ltd. again rejected the request</w:t>
      </w:r>
      <w:r w:rsidR="00F32A00" w:rsidRPr="00B7554F">
        <w:rPr>
          <w:rStyle w:val="st"/>
          <w:sz w:val="20"/>
          <w:lang w:val="en-GB"/>
        </w:rPr>
        <w:t xml:space="preserve"> based on</w:t>
      </w:r>
      <w:r w:rsidRPr="00B7554F">
        <w:rPr>
          <w:rStyle w:val="st"/>
          <w:sz w:val="20"/>
          <w:lang w:val="en-GB"/>
        </w:rPr>
        <w:t xml:space="preserve"> the State Property Act.</w:t>
      </w:r>
      <w:r w:rsidRPr="00B7554F">
        <w:rPr>
          <w:rStyle w:val="FootnoteReference"/>
          <w:sz w:val="20"/>
          <w:lang w:val="en-GB"/>
        </w:rPr>
        <w:footnoteReference w:id="42"/>
      </w:r>
      <w:r w:rsidRPr="00B7554F">
        <w:rPr>
          <w:rStyle w:val="st"/>
          <w:sz w:val="20"/>
          <w:lang w:val="en-GB"/>
        </w:rPr>
        <w:t xml:space="preserve">  </w:t>
      </w:r>
    </w:p>
    <w:p w14:paraId="31119101" w14:textId="1B7613B3" w:rsidR="00B30754" w:rsidRPr="00B7554F" w:rsidRDefault="00B30754" w:rsidP="00B30754">
      <w:pPr>
        <w:pStyle w:val="SingleTxtG"/>
        <w:numPr>
          <w:ilvl w:val="0"/>
          <w:numId w:val="3"/>
        </w:numPr>
        <w:ind w:left="1100" w:right="0" w:firstLine="0"/>
        <w:rPr>
          <w:rStyle w:val="st"/>
          <w:sz w:val="20"/>
          <w:lang w:val="en-GB"/>
        </w:rPr>
      </w:pPr>
      <w:bookmarkStart w:id="32" w:name="_Ref7000837"/>
      <w:r w:rsidRPr="00B7554F">
        <w:rPr>
          <w:rStyle w:val="st"/>
          <w:sz w:val="20"/>
          <w:lang w:val="en-GB"/>
        </w:rPr>
        <w:t xml:space="preserve">On 15 September 2010, Energiaklub challenged Paks </w:t>
      </w:r>
      <w:r w:rsidRPr="00B7554F">
        <w:rPr>
          <w:rStyle w:val="st"/>
          <w:sz w:val="20"/>
          <w:szCs w:val="20"/>
          <w:lang w:val="en-GB"/>
        </w:rPr>
        <w:t>Ltd.’s refusal in court</w:t>
      </w:r>
      <w:r w:rsidR="007864ED" w:rsidRPr="00B7554F">
        <w:rPr>
          <w:rStyle w:val="st"/>
          <w:sz w:val="20"/>
          <w:szCs w:val="20"/>
          <w:lang w:val="en-GB"/>
        </w:rPr>
        <w:t>,</w:t>
      </w:r>
      <w:r w:rsidRPr="00B7554F">
        <w:rPr>
          <w:rStyle w:val="st"/>
          <w:sz w:val="20"/>
          <w:lang w:val="en-GB"/>
        </w:rPr>
        <w:t xml:space="preserve"> </w:t>
      </w:r>
      <w:r w:rsidR="007864ED" w:rsidRPr="00B7554F">
        <w:rPr>
          <w:rStyle w:val="st"/>
          <w:sz w:val="20"/>
          <w:lang w:val="en-GB"/>
        </w:rPr>
        <w:t xml:space="preserve">which </w:t>
      </w:r>
      <w:r w:rsidRPr="00B7554F">
        <w:rPr>
          <w:rStyle w:val="st"/>
          <w:sz w:val="20"/>
          <w:lang w:val="en-GB"/>
        </w:rPr>
        <w:t>dismissed the case.</w:t>
      </w:r>
      <w:r w:rsidRPr="00B7554F">
        <w:rPr>
          <w:rStyle w:val="FootnoteReference"/>
          <w:sz w:val="20"/>
          <w:lang w:val="en-GB"/>
        </w:rPr>
        <w:footnoteReference w:id="43"/>
      </w:r>
      <w:r w:rsidRPr="00B7554F">
        <w:rPr>
          <w:rStyle w:val="st"/>
          <w:sz w:val="20"/>
          <w:lang w:val="en-GB"/>
        </w:rPr>
        <w:t xml:space="preserve"> </w:t>
      </w:r>
      <w:r w:rsidRPr="00B7554F">
        <w:rPr>
          <w:rStyle w:val="st"/>
          <w:sz w:val="20"/>
          <w:szCs w:val="20"/>
          <w:lang w:val="en-GB"/>
        </w:rPr>
        <w:t>On appeal</w:t>
      </w:r>
      <w:r w:rsidR="00F32A00" w:rsidRPr="00B7554F">
        <w:rPr>
          <w:rStyle w:val="st"/>
          <w:sz w:val="20"/>
          <w:szCs w:val="20"/>
          <w:lang w:val="en-GB"/>
        </w:rPr>
        <w:t>,</w:t>
      </w:r>
      <w:r w:rsidRPr="00B7554F">
        <w:rPr>
          <w:rStyle w:val="st"/>
          <w:sz w:val="20"/>
          <w:lang w:val="en-GB"/>
        </w:rPr>
        <w:t xml:space="preserve"> this </w:t>
      </w:r>
      <w:r w:rsidRPr="00B7554F">
        <w:rPr>
          <w:rStyle w:val="st"/>
          <w:sz w:val="20"/>
          <w:szCs w:val="20"/>
          <w:lang w:val="en-GB"/>
        </w:rPr>
        <w:t>ruling</w:t>
      </w:r>
      <w:r w:rsidRPr="00B7554F">
        <w:rPr>
          <w:rStyle w:val="st"/>
          <w:sz w:val="20"/>
          <w:lang w:val="en-GB"/>
        </w:rPr>
        <w:t xml:space="preserve"> was overturned</w:t>
      </w:r>
      <w:r w:rsidRPr="00B7554F">
        <w:rPr>
          <w:rStyle w:val="st"/>
          <w:sz w:val="20"/>
          <w:szCs w:val="20"/>
          <w:lang w:val="en-GB"/>
        </w:rPr>
        <w:t>, and an order issued</w:t>
      </w:r>
      <w:r w:rsidRPr="00B7554F">
        <w:rPr>
          <w:rStyle w:val="st"/>
          <w:sz w:val="20"/>
          <w:lang w:val="en-GB"/>
        </w:rPr>
        <w:t xml:space="preserve"> on 27 April 2011</w:t>
      </w:r>
      <w:r w:rsidRPr="00B7554F">
        <w:rPr>
          <w:rStyle w:val="st"/>
          <w:sz w:val="20"/>
          <w:szCs w:val="20"/>
          <w:lang w:val="en-GB"/>
        </w:rPr>
        <w:t xml:space="preserve"> to provide </w:t>
      </w:r>
      <w:r w:rsidRPr="00B7554F">
        <w:rPr>
          <w:rStyle w:val="st"/>
          <w:sz w:val="20"/>
          <w:lang w:val="en-GB"/>
        </w:rPr>
        <w:t>all requested information</w:t>
      </w:r>
      <w:r w:rsidR="007864ED" w:rsidRPr="00B7554F">
        <w:rPr>
          <w:rStyle w:val="st"/>
          <w:sz w:val="20"/>
          <w:lang w:val="en-GB"/>
        </w:rPr>
        <w:t xml:space="preserve"> except </w:t>
      </w:r>
      <w:r w:rsidRPr="00B7554F">
        <w:rPr>
          <w:rStyle w:val="st"/>
          <w:sz w:val="20"/>
          <w:szCs w:val="20"/>
          <w:lang w:val="en-GB"/>
        </w:rPr>
        <w:t xml:space="preserve">some </w:t>
      </w:r>
      <w:r w:rsidRPr="00B7554F">
        <w:rPr>
          <w:rStyle w:val="st"/>
          <w:sz w:val="20"/>
          <w:lang w:val="en-GB"/>
        </w:rPr>
        <w:t xml:space="preserve">technical </w:t>
      </w:r>
      <w:r w:rsidRPr="00B7554F">
        <w:rPr>
          <w:rStyle w:val="st"/>
          <w:sz w:val="20"/>
          <w:szCs w:val="20"/>
          <w:lang w:val="en-GB"/>
        </w:rPr>
        <w:t>data</w:t>
      </w:r>
      <w:r w:rsidRPr="00B7554F">
        <w:rPr>
          <w:rStyle w:val="st"/>
          <w:sz w:val="20"/>
          <w:lang w:val="en-GB"/>
        </w:rPr>
        <w:t>.</w:t>
      </w:r>
      <w:r w:rsidRPr="00B7554F">
        <w:rPr>
          <w:rStyle w:val="FootnoteReference"/>
          <w:sz w:val="20"/>
          <w:lang w:val="en-GB"/>
        </w:rPr>
        <w:footnoteReference w:id="44"/>
      </w:r>
      <w:bookmarkEnd w:id="31"/>
      <w:bookmarkEnd w:id="32"/>
    </w:p>
    <w:p w14:paraId="05F9AB5E" w14:textId="3F55E475" w:rsidR="00B30754" w:rsidRPr="00B7554F" w:rsidRDefault="00B30754" w:rsidP="001E7F44">
      <w:pPr>
        <w:pStyle w:val="SingleTxtG"/>
        <w:numPr>
          <w:ilvl w:val="0"/>
          <w:numId w:val="3"/>
        </w:numPr>
        <w:ind w:left="1100" w:right="0" w:firstLine="0"/>
        <w:rPr>
          <w:rStyle w:val="st"/>
          <w:sz w:val="20"/>
          <w:lang w:val="en-GB"/>
        </w:rPr>
      </w:pPr>
      <w:r w:rsidRPr="00B7554F">
        <w:rPr>
          <w:rStyle w:val="st"/>
          <w:sz w:val="20"/>
          <w:lang w:val="en-GB"/>
        </w:rPr>
        <w:t>On 30 May 2011, Paks Ltd</w:t>
      </w:r>
      <w:r w:rsidRPr="00B7554F">
        <w:rPr>
          <w:rStyle w:val="st"/>
          <w:sz w:val="20"/>
          <w:szCs w:val="20"/>
          <w:lang w:val="en-GB"/>
        </w:rPr>
        <w:t>.</w:t>
      </w:r>
      <w:r w:rsidRPr="00B7554F">
        <w:rPr>
          <w:rStyle w:val="st"/>
          <w:sz w:val="20"/>
          <w:lang w:val="en-GB"/>
        </w:rPr>
        <w:t xml:space="preserve"> provided some information to Energiaklub in response to the judgment.</w:t>
      </w:r>
      <w:r w:rsidRPr="00B7554F">
        <w:rPr>
          <w:rStyle w:val="FootnoteReference"/>
          <w:sz w:val="20"/>
          <w:lang w:val="en-GB"/>
        </w:rPr>
        <w:footnoteReference w:id="45"/>
      </w:r>
      <w:r w:rsidRPr="00B7554F">
        <w:rPr>
          <w:rStyle w:val="st"/>
          <w:sz w:val="20"/>
          <w:lang w:val="en-GB"/>
        </w:rPr>
        <w:t xml:space="preserve"> </w:t>
      </w:r>
      <w:r w:rsidRPr="00B7554F">
        <w:rPr>
          <w:rStyle w:val="st"/>
          <w:sz w:val="20"/>
          <w:szCs w:val="20"/>
          <w:lang w:val="en-GB"/>
        </w:rPr>
        <w:t>Energiaklub</w:t>
      </w:r>
      <w:r w:rsidRPr="00B7554F">
        <w:rPr>
          <w:rStyle w:val="st"/>
          <w:sz w:val="20"/>
          <w:lang w:val="en-GB"/>
        </w:rPr>
        <w:t xml:space="preserve"> considered information</w:t>
      </w:r>
      <w:r w:rsidR="003501CB" w:rsidRPr="00B7554F">
        <w:rPr>
          <w:rStyle w:val="st"/>
          <w:sz w:val="20"/>
          <w:lang w:val="en-GB"/>
        </w:rPr>
        <w:t xml:space="preserve"> which was not sensitive technological information </w:t>
      </w:r>
      <w:r w:rsidRPr="00B7554F">
        <w:rPr>
          <w:rStyle w:val="st"/>
          <w:sz w:val="20"/>
          <w:szCs w:val="20"/>
          <w:lang w:val="en-GB"/>
        </w:rPr>
        <w:t>had been blacked out</w:t>
      </w:r>
      <w:r w:rsidR="003501CB" w:rsidRPr="00B7554F">
        <w:rPr>
          <w:rStyle w:val="st"/>
          <w:sz w:val="20"/>
          <w:szCs w:val="20"/>
          <w:lang w:val="en-GB"/>
        </w:rPr>
        <w:t xml:space="preserve"> or was missing</w:t>
      </w:r>
      <w:r w:rsidRPr="00B7554F">
        <w:rPr>
          <w:rStyle w:val="st"/>
          <w:sz w:val="20"/>
          <w:lang w:val="en-GB"/>
        </w:rPr>
        <w:t>.</w:t>
      </w:r>
      <w:r w:rsidRPr="00B7554F">
        <w:rPr>
          <w:rStyle w:val="FootnoteReference"/>
          <w:sz w:val="20"/>
          <w:lang w:val="en-GB"/>
        </w:rPr>
        <w:footnoteReference w:id="46"/>
      </w:r>
      <w:r w:rsidRPr="00B7554F">
        <w:rPr>
          <w:rStyle w:val="st"/>
          <w:sz w:val="20"/>
          <w:lang w:val="en-GB"/>
        </w:rPr>
        <w:t xml:space="preserve"> </w:t>
      </w:r>
      <w:r w:rsidR="00F32A00" w:rsidRPr="00B7554F">
        <w:rPr>
          <w:rStyle w:val="st"/>
          <w:sz w:val="20"/>
          <w:lang w:val="en-GB"/>
        </w:rPr>
        <w:t>O</w:t>
      </w:r>
      <w:r w:rsidRPr="00B7554F">
        <w:rPr>
          <w:rStyle w:val="st"/>
          <w:sz w:val="20"/>
          <w:lang w:val="en-GB"/>
        </w:rPr>
        <w:t xml:space="preserve">n 20 July 2011, </w:t>
      </w:r>
      <w:r w:rsidRPr="00B7554F">
        <w:rPr>
          <w:rStyle w:val="st"/>
          <w:sz w:val="20"/>
          <w:szCs w:val="20"/>
          <w:lang w:val="en-GB"/>
        </w:rPr>
        <w:t xml:space="preserve">it </w:t>
      </w:r>
      <w:r w:rsidRPr="00B7554F">
        <w:rPr>
          <w:rStyle w:val="st"/>
          <w:sz w:val="20"/>
          <w:lang w:val="en-GB"/>
        </w:rPr>
        <w:t>made a new request.</w:t>
      </w:r>
      <w:r w:rsidRPr="00B7554F">
        <w:rPr>
          <w:rStyle w:val="FootnoteReference"/>
          <w:sz w:val="20"/>
          <w:lang w:val="en-GB"/>
        </w:rPr>
        <w:footnoteReference w:id="47"/>
      </w:r>
      <w:r w:rsidRPr="00B7554F">
        <w:rPr>
          <w:rStyle w:val="st"/>
          <w:sz w:val="20"/>
          <w:szCs w:val="20"/>
          <w:lang w:val="en-GB"/>
        </w:rPr>
        <w:t xml:space="preserve"> </w:t>
      </w:r>
      <w:r w:rsidRPr="00B7554F">
        <w:rPr>
          <w:rStyle w:val="st"/>
          <w:sz w:val="20"/>
          <w:lang w:val="en-GB"/>
        </w:rPr>
        <w:t>On 4 August 2011, Paks Ltd</w:t>
      </w:r>
      <w:r w:rsidRPr="00B7554F">
        <w:rPr>
          <w:rStyle w:val="st"/>
          <w:sz w:val="20"/>
          <w:szCs w:val="20"/>
          <w:lang w:val="en-GB"/>
        </w:rPr>
        <w:t>.</w:t>
      </w:r>
      <w:r w:rsidRPr="00B7554F">
        <w:rPr>
          <w:rStyle w:val="st"/>
          <w:sz w:val="20"/>
          <w:lang w:val="en-GB"/>
        </w:rPr>
        <w:t xml:space="preserve"> sent </w:t>
      </w:r>
      <w:r w:rsidRPr="00B7554F">
        <w:rPr>
          <w:rStyle w:val="st"/>
          <w:sz w:val="20"/>
          <w:szCs w:val="20"/>
          <w:lang w:val="en-GB"/>
        </w:rPr>
        <w:t>most</w:t>
      </w:r>
      <w:r w:rsidRPr="00B7554F">
        <w:rPr>
          <w:rStyle w:val="st"/>
          <w:sz w:val="20"/>
          <w:lang w:val="en-GB"/>
        </w:rPr>
        <w:t xml:space="preserve"> of the missing data, indicating it would send </w:t>
      </w:r>
      <w:r w:rsidRPr="00B7554F">
        <w:rPr>
          <w:rStyle w:val="st"/>
          <w:sz w:val="20"/>
          <w:szCs w:val="20"/>
          <w:lang w:val="en-GB"/>
        </w:rPr>
        <w:t>more in September.</w:t>
      </w:r>
      <w:r w:rsidRPr="00B7554F">
        <w:rPr>
          <w:rStyle w:val="FootnoteReference"/>
          <w:sz w:val="20"/>
          <w:lang w:val="en-GB"/>
        </w:rPr>
        <w:footnoteReference w:id="48"/>
      </w:r>
      <w:r w:rsidRPr="00B7554F">
        <w:rPr>
          <w:rStyle w:val="st"/>
          <w:sz w:val="20"/>
          <w:lang w:val="en-GB"/>
        </w:rPr>
        <w:t xml:space="preserve"> On 30 September 2011, </w:t>
      </w:r>
      <w:r w:rsidR="00F32A00" w:rsidRPr="00B7554F">
        <w:rPr>
          <w:rStyle w:val="st"/>
          <w:sz w:val="20"/>
          <w:lang w:val="en-GB"/>
        </w:rPr>
        <w:t>it</w:t>
      </w:r>
      <w:r w:rsidRPr="00B7554F">
        <w:rPr>
          <w:rStyle w:val="st"/>
          <w:sz w:val="20"/>
          <w:lang w:val="en-GB"/>
        </w:rPr>
        <w:t xml:space="preserve"> sent </w:t>
      </w:r>
      <w:r w:rsidRPr="00B7554F">
        <w:rPr>
          <w:rStyle w:val="st"/>
          <w:sz w:val="20"/>
          <w:szCs w:val="20"/>
          <w:lang w:val="en-GB"/>
        </w:rPr>
        <w:t>additional</w:t>
      </w:r>
      <w:r w:rsidRPr="00B7554F">
        <w:rPr>
          <w:rStyle w:val="st"/>
          <w:sz w:val="20"/>
          <w:lang w:val="en-GB"/>
        </w:rPr>
        <w:t xml:space="preserve"> documents</w:t>
      </w:r>
      <w:r w:rsidR="00F32A00" w:rsidRPr="00B7554F">
        <w:rPr>
          <w:rStyle w:val="st"/>
          <w:sz w:val="20"/>
          <w:szCs w:val="20"/>
          <w:lang w:val="en-GB"/>
        </w:rPr>
        <w:t xml:space="preserve"> but </w:t>
      </w:r>
      <w:r w:rsidRPr="00B7554F">
        <w:rPr>
          <w:rStyle w:val="st"/>
          <w:sz w:val="20"/>
          <w:lang w:val="en-GB"/>
        </w:rPr>
        <w:t xml:space="preserve">Energiaklub considered major documents </w:t>
      </w:r>
      <w:r w:rsidR="00B90421" w:rsidRPr="00B7554F">
        <w:rPr>
          <w:rStyle w:val="st"/>
          <w:sz w:val="20"/>
          <w:lang w:val="en-GB"/>
        </w:rPr>
        <w:t>had been</w:t>
      </w:r>
      <w:r w:rsidRPr="00B7554F">
        <w:rPr>
          <w:rStyle w:val="st"/>
          <w:sz w:val="20"/>
          <w:lang w:val="en-GB"/>
        </w:rPr>
        <w:t xml:space="preserve"> omitted.</w:t>
      </w:r>
      <w:r w:rsidRPr="00B7554F">
        <w:rPr>
          <w:rStyle w:val="FootnoteReference"/>
          <w:sz w:val="20"/>
          <w:lang w:val="en-GB"/>
        </w:rPr>
        <w:footnoteReference w:id="49"/>
      </w:r>
      <w:r w:rsidRPr="00B7554F">
        <w:rPr>
          <w:rStyle w:val="st"/>
          <w:sz w:val="20"/>
          <w:lang w:val="en-GB"/>
        </w:rPr>
        <w:t xml:space="preserve"> </w:t>
      </w:r>
      <w:r w:rsidR="00F32A00" w:rsidRPr="00B7554F">
        <w:rPr>
          <w:rStyle w:val="st"/>
          <w:sz w:val="20"/>
          <w:szCs w:val="20"/>
          <w:lang w:val="en-GB"/>
        </w:rPr>
        <w:t>On</w:t>
      </w:r>
      <w:r w:rsidRPr="00B7554F">
        <w:rPr>
          <w:rStyle w:val="st"/>
          <w:sz w:val="20"/>
          <w:lang w:val="en-GB"/>
        </w:rPr>
        <w:t xml:space="preserve"> 19 October 2011, Energiaklub requested </w:t>
      </w:r>
      <w:r w:rsidR="007864ED" w:rsidRPr="00B7554F">
        <w:rPr>
          <w:rStyle w:val="st"/>
          <w:sz w:val="20"/>
          <w:lang w:val="en-GB"/>
        </w:rPr>
        <w:t xml:space="preserve">seventeen </w:t>
      </w:r>
      <w:r w:rsidRPr="00B7554F">
        <w:rPr>
          <w:rStyle w:val="st"/>
          <w:sz w:val="20"/>
          <w:lang w:val="en-GB"/>
        </w:rPr>
        <w:t>documents.</w:t>
      </w:r>
      <w:r w:rsidRPr="00B7554F">
        <w:rPr>
          <w:rStyle w:val="FootnoteReference"/>
          <w:sz w:val="20"/>
          <w:lang w:val="en-GB"/>
        </w:rPr>
        <w:footnoteReference w:id="50"/>
      </w:r>
      <w:bookmarkStart w:id="33" w:name="_Ref496104064"/>
      <w:r w:rsidR="00F32A00" w:rsidRPr="00B7554F">
        <w:rPr>
          <w:rStyle w:val="st"/>
          <w:sz w:val="20"/>
          <w:lang w:val="en-GB"/>
        </w:rPr>
        <w:t xml:space="preserve"> </w:t>
      </w:r>
      <w:bookmarkStart w:id="34" w:name="_Ref7000847"/>
      <w:r w:rsidRPr="00B7554F">
        <w:rPr>
          <w:rStyle w:val="st"/>
          <w:sz w:val="20"/>
          <w:lang w:val="en-GB"/>
        </w:rPr>
        <w:t xml:space="preserve">On 29 November 2011, Paks Ltd. sent further information but </w:t>
      </w:r>
      <w:r w:rsidR="007864ED" w:rsidRPr="00B7554F">
        <w:rPr>
          <w:rStyle w:val="st"/>
          <w:sz w:val="20"/>
          <w:lang w:val="en-GB"/>
        </w:rPr>
        <w:t xml:space="preserve">seven </w:t>
      </w:r>
      <w:r w:rsidRPr="00B7554F">
        <w:rPr>
          <w:rStyle w:val="st"/>
          <w:sz w:val="20"/>
          <w:lang w:val="en-GB"/>
        </w:rPr>
        <w:t xml:space="preserve">of the </w:t>
      </w:r>
      <w:r w:rsidR="007864ED" w:rsidRPr="00B7554F">
        <w:rPr>
          <w:rStyle w:val="st"/>
          <w:sz w:val="20"/>
          <w:lang w:val="en-GB"/>
        </w:rPr>
        <w:t xml:space="preserve">seventeen </w:t>
      </w:r>
      <w:r w:rsidRPr="00B7554F">
        <w:rPr>
          <w:rStyle w:val="st"/>
          <w:sz w:val="20"/>
          <w:lang w:val="en-GB"/>
        </w:rPr>
        <w:t>requested documents were missing.</w:t>
      </w:r>
      <w:r w:rsidRPr="00B7554F">
        <w:rPr>
          <w:rStyle w:val="FootnoteReference"/>
          <w:sz w:val="20"/>
          <w:szCs w:val="20"/>
          <w:lang w:val="en-GB"/>
        </w:rPr>
        <w:footnoteReference w:id="51"/>
      </w:r>
      <w:r w:rsidRPr="00B7554F">
        <w:rPr>
          <w:rStyle w:val="st"/>
          <w:sz w:val="20"/>
          <w:szCs w:val="20"/>
          <w:lang w:val="en-GB"/>
        </w:rPr>
        <w:t xml:space="preserve"> On</w:t>
      </w:r>
      <w:r w:rsidRPr="00B7554F">
        <w:rPr>
          <w:rStyle w:val="st"/>
          <w:sz w:val="20"/>
          <w:lang w:val="en-GB"/>
        </w:rPr>
        <w:t xml:space="preserve"> 30 November 2011</w:t>
      </w:r>
      <w:r w:rsidR="00615DFE" w:rsidRPr="00B7554F">
        <w:rPr>
          <w:rStyle w:val="st"/>
          <w:sz w:val="20"/>
          <w:lang w:val="en-GB"/>
        </w:rPr>
        <w:t>,</w:t>
      </w:r>
      <w:r w:rsidRPr="00B7554F">
        <w:rPr>
          <w:rStyle w:val="st"/>
          <w:sz w:val="20"/>
          <w:lang w:val="en-GB"/>
        </w:rPr>
        <w:t xml:space="preserve"> Energiaklub </w:t>
      </w:r>
      <w:r w:rsidRPr="00B7554F">
        <w:rPr>
          <w:rStyle w:val="st"/>
          <w:sz w:val="20"/>
          <w:szCs w:val="20"/>
          <w:lang w:val="en-GB"/>
        </w:rPr>
        <w:t>turned again to court</w:t>
      </w:r>
      <w:r w:rsidRPr="00B7554F">
        <w:rPr>
          <w:rStyle w:val="st"/>
          <w:sz w:val="20"/>
          <w:lang w:val="en-GB"/>
        </w:rPr>
        <w:t>.</w:t>
      </w:r>
      <w:r w:rsidRPr="00B7554F">
        <w:rPr>
          <w:rStyle w:val="FootnoteReference"/>
          <w:sz w:val="20"/>
          <w:lang w:val="en-GB"/>
        </w:rPr>
        <w:footnoteReference w:id="52"/>
      </w:r>
      <w:bookmarkStart w:id="35" w:name="_Ref432067803"/>
      <w:bookmarkStart w:id="36" w:name="_Ref496104065"/>
      <w:bookmarkEnd w:id="33"/>
      <w:bookmarkEnd w:id="34"/>
    </w:p>
    <w:p w14:paraId="562FDC2F" w14:textId="10FF72A1" w:rsidR="00B30754" w:rsidRPr="00B7554F" w:rsidRDefault="00B30754" w:rsidP="00B30754">
      <w:pPr>
        <w:pStyle w:val="SingleTxtG"/>
        <w:numPr>
          <w:ilvl w:val="0"/>
          <w:numId w:val="3"/>
        </w:numPr>
        <w:ind w:left="1100" w:right="0" w:firstLine="0"/>
        <w:rPr>
          <w:rStyle w:val="st"/>
          <w:sz w:val="20"/>
          <w:lang w:val="en-GB"/>
        </w:rPr>
      </w:pPr>
      <w:bookmarkStart w:id="37" w:name="_Ref7000857"/>
      <w:r w:rsidRPr="00B7554F">
        <w:rPr>
          <w:rStyle w:val="st"/>
          <w:sz w:val="20"/>
          <w:lang w:val="en-GB"/>
        </w:rPr>
        <w:t xml:space="preserve">On 11 January 2012, the </w:t>
      </w:r>
      <w:r w:rsidRPr="00B7554F">
        <w:rPr>
          <w:rStyle w:val="st"/>
          <w:sz w:val="20"/>
          <w:szCs w:val="20"/>
          <w:lang w:val="en-GB"/>
        </w:rPr>
        <w:t>first-instance court</w:t>
      </w:r>
      <w:r w:rsidRPr="00B7554F">
        <w:rPr>
          <w:rStyle w:val="st"/>
          <w:sz w:val="20"/>
          <w:lang w:val="en-GB"/>
        </w:rPr>
        <w:t xml:space="preserve"> ordered Paks Ltd. to send all requested information</w:t>
      </w:r>
      <w:r w:rsidR="00BC0D3B" w:rsidRPr="00B7554F">
        <w:rPr>
          <w:rStyle w:val="st"/>
          <w:sz w:val="20"/>
          <w:lang w:val="en-GB"/>
        </w:rPr>
        <w:t>.</w:t>
      </w:r>
      <w:r w:rsidRPr="00B7554F">
        <w:rPr>
          <w:rStyle w:val="st"/>
          <w:sz w:val="20"/>
          <w:szCs w:val="20"/>
          <w:lang w:val="en-GB"/>
        </w:rPr>
        <w:t xml:space="preserve"> </w:t>
      </w:r>
      <w:r w:rsidRPr="00B7554F">
        <w:rPr>
          <w:rStyle w:val="st"/>
          <w:sz w:val="20"/>
          <w:lang w:val="en-GB"/>
        </w:rPr>
        <w:t xml:space="preserve">Following </w:t>
      </w:r>
      <w:r w:rsidR="001E7F44" w:rsidRPr="00B7554F">
        <w:rPr>
          <w:rStyle w:val="st"/>
          <w:sz w:val="20"/>
          <w:szCs w:val="20"/>
          <w:lang w:val="en-GB"/>
        </w:rPr>
        <w:t>several</w:t>
      </w:r>
      <w:r w:rsidRPr="00B7554F">
        <w:rPr>
          <w:rStyle w:val="st"/>
          <w:sz w:val="20"/>
          <w:lang w:val="en-GB"/>
        </w:rPr>
        <w:t xml:space="preserve"> appeal</w:t>
      </w:r>
      <w:r w:rsidR="001E7F44" w:rsidRPr="00B7554F">
        <w:rPr>
          <w:rStyle w:val="st"/>
          <w:sz w:val="20"/>
          <w:lang w:val="en-GB"/>
        </w:rPr>
        <w:t>s</w:t>
      </w:r>
      <w:r w:rsidRPr="00B7554F">
        <w:rPr>
          <w:rStyle w:val="st"/>
          <w:sz w:val="20"/>
          <w:lang w:val="en-GB"/>
        </w:rPr>
        <w:t>, on 19 June 2013</w:t>
      </w:r>
      <w:r w:rsidR="00BC0D3B" w:rsidRPr="00B7554F">
        <w:rPr>
          <w:rStyle w:val="st"/>
          <w:sz w:val="20"/>
          <w:lang w:val="en-GB"/>
        </w:rPr>
        <w:t>,</w:t>
      </w:r>
      <w:r w:rsidRPr="00B7554F">
        <w:rPr>
          <w:rStyle w:val="st"/>
          <w:sz w:val="20"/>
          <w:lang w:val="en-GB"/>
        </w:rPr>
        <w:t xml:space="preserve"> the Tolna County Court ordered Paks Ltd. to send </w:t>
      </w:r>
      <w:r w:rsidR="007864ED" w:rsidRPr="00B7554F">
        <w:rPr>
          <w:rStyle w:val="st"/>
          <w:sz w:val="20"/>
          <w:lang w:val="en-GB"/>
        </w:rPr>
        <w:t xml:space="preserve">five </w:t>
      </w:r>
      <w:r w:rsidRPr="00B7554F">
        <w:rPr>
          <w:rStyle w:val="st"/>
          <w:sz w:val="20"/>
          <w:lang w:val="en-GB"/>
        </w:rPr>
        <w:t xml:space="preserve">of the requested </w:t>
      </w:r>
      <w:r w:rsidR="007864ED" w:rsidRPr="00B7554F">
        <w:rPr>
          <w:rStyle w:val="st"/>
          <w:sz w:val="20"/>
          <w:lang w:val="en-GB"/>
        </w:rPr>
        <w:t xml:space="preserve">seven </w:t>
      </w:r>
      <w:r w:rsidRPr="00B7554F">
        <w:rPr>
          <w:rStyle w:val="st"/>
          <w:sz w:val="20"/>
          <w:lang w:val="en-GB"/>
        </w:rPr>
        <w:t>documents.</w:t>
      </w:r>
      <w:r w:rsidRPr="00B7554F">
        <w:rPr>
          <w:rStyle w:val="st"/>
          <w:sz w:val="20"/>
          <w:szCs w:val="20"/>
          <w:lang w:val="en-GB"/>
        </w:rPr>
        <w:t xml:space="preserve"> </w:t>
      </w:r>
      <w:r w:rsidRPr="00B7554F">
        <w:rPr>
          <w:rStyle w:val="st"/>
          <w:sz w:val="20"/>
          <w:lang w:val="en-GB"/>
        </w:rPr>
        <w:t xml:space="preserve">The information withheld </w:t>
      </w:r>
      <w:r w:rsidRPr="00B7554F">
        <w:rPr>
          <w:rStyle w:val="st"/>
          <w:sz w:val="20"/>
          <w:szCs w:val="20"/>
          <w:lang w:val="en-GB"/>
        </w:rPr>
        <w:t xml:space="preserve">in the remaining documents </w:t>
      </w:r>
      <w:r w:rsidRPr="00B7554F">
        <w:rPr>
          <w:rStyle w:val="st"/>
          <w:sz w:val="20"/>
          <w:lang w:val="en-GB"/>
        </w:rPr>
        <w:t xml:space="preserve">contained business secrets that were, according to the </w:t>
      </w:r>
      <w:r w:rsidRPr="00B7554F">
        <w:rPr>
          <w:rStyle w:val="st"/>
          <w:sz w:val="20"/>
          <w:szCs w:val="20"/>
          <w:lang w:val="en-GB"/>
        </w:rPr>
        <w:t>court</w:t>
      </w:r>
      <w:r w:rsidRPr="00B7554F">
        <w:rPr>
          <w:rStyle w:val="st"/>
          <w:sz w:val="20"/>
          <w:lang w:val="en-GB"/>
        </w:rPr>
        <w:t xml:space="preserve">, not possible to separate. Energiaklub </w:t>
      </w:r>
      <w:r w:rsidR="00BE49C8" w:rsidRPr="00B7554F">
        <w:rPr>
          <w:rStyle w:val="st"/>
          <w:sz w:val="20"/>
          <w:lang w:val="en-GB"/>
        </w:rPr>
        <w:t xml:space="preserve">received the five documents </w:t>
      </w:r>
      <w:r w:rsidRPr="00B7554F">
        <w:rPr>
          <w:rStyle w:val="st"/>
          <w:sz w:val="20"/>
          <w:lang w:val="en-GB"/>
        </w:rPr>
        <w:t>on 2 August 2013.</w:t>
      </w:r>
      <w:bookmarkEnd w:id="35"/>
      <w:r w:rsidRPr="00B7554F">
        <w:rPr>
          <w:rStyle w:val="FootnoteReference"/>
          <w:sz w:val="20"/>
          <w:lang w:val="en-GB"/>
        </w:rPr>
        <w:footnoteReference w:id="53"/>
      </w:r>
      <w:bookmarkStart w:id="38" w:name="_Ref432067965"/>
      <w:bookmarkEnd w:id="36"/>
      <w:bookmarkEnd w:id="37"/>
    </w:p>
    <w:p w14:paraId="051EE945" w14:textId="77777777" w:rsidR="00B30754" w:rsidRPr="00B7554F" w:rsidRDefault="003F3099" w:rsidP="00B30754">
      <w:pPr>
        <w:pStyle w:val="SingleTxtG"/>
        <w:tabs>
          <w:tab w:val="num" w:pos="1134"/>
        </w:tabs>
        <w:ind w:left="1100"/>
        <w:rPr>
          <w:rStyle w:val="st"/>
          <w:i/>
          <w:sz w:val="20"/>
          <w:szCs w:val="20"/>
          <w:lang w:val="en-GB"/>
        </w:rPr>
      </w:pPr>
      <w:r w:rsidRPr="00B7554F">
        <w:rPr>
          <w:rStyle w:val="st"/>
          <w:i/>
          <w:sz w:val="20"/>
          <w:szCs w:val="20"/>
          <w:lang w:val="en-US"/>
        </w:rPr>
        <w:t>T</w:t>
      </w:r>
      <w:r w:rsidR="00B30754" w:rsidRPr="00B7554F">
        <w:rPr>
          <w:rStyle w:val="st"/>
          <w:i/>
          <w:sz w:val="20"/>
          <w:szCs w:val="20"/>
          <w:lang w:val="en-GB"/>
        </w:rPr>
        <w:t>he Lévai Project</w:t>
      </w:r>
    </w:p>
    <w:p w14:paraId="0DE7A8A7" w14:textId="008F6F8E" w:rsidR="00B30754" w:rsidRPr="00B7554F" w:rsidRDefault="00B30754" w:rsidP="00B30754">
      <w:pPr>
        <w:pStyle w:val="SingleTxtG"/>
        <w:numPr>
          <w:ilvl w:val="0"/>
          <w:numId w:val="3"/>
        </w:numPr>
        <w:ind w:left="1100" w:right="0" w:firstLine="0"/>
        <w:rPr>
          <w:rStyle w:val="st"/>
          <w:sz w:val="20"/>
          <w:lang w:val="en-GB"/>
        </w:rPr>
      </w:pPr>
      <w:bookmarkStart w:id="39" w:name="_Ref7015963"/>
      <w:r w:rsidRPr="00B7554F">
        <w:rPr>
          <w:rStyle w:val="st"/>
          <w:sz w:val="20"/>
          <w:lang w:val="en-GB"/>
        </w:rPr>
        <w:t xml:space="preserve">On 18 January 2011, Energiaklub sent </w:t>
      </w:r>
      <w:r w:rsidRPr="00B7554F">
        <w:rPr>
          <w:rStyle w:val="st"/>
          <w:sz w:val="20"/>
          <w:szCs w:val="20"/>
          <w:lang w:val="en-GB"/>
        </w:rPr>
        <w:t>information requests</w:t>
      </w:r>
      <w:r w:rsidRPr="00B7554F">
        <w:rPr>
          <w:rStyle w:val="st"/>
          <w:sz w:val="20"/>
          <w:lang w:val="en-GB"/>
        </w:rPr>
        <w:t xml:space="preserve"> to MVM Hungarian Electricity Ltd. (MVM) concerning the </w:t>
      </w:r>
      <w:bookmarkStart w:id="40" w:name="_Hlk6997307"/>
      <w:r w:rsidR="003501CB" w:rsidRPr="00B7554F">
        <w:rPr>
          <w:rStyle w:val="st"/>
          <w:sz w:val="20"/>
          <w:lang w:val="en-GB"/>
        </w:rPr>
        <w:t>Léva</w:t>
      </w:r>
      <w:bookmarkEnd w:id="40"/>
      <w:r w:rsidR="003501CB" w:rsidRPr="00B7554F">
        <w:rPr>
          <w:rStyle w:val="st"/>
          <w:sz w:val="20"/>
          <w:lang w:val="en-GB"/>
        </w:rPr>
        <w:t xml:space="preserve">i Project, a </w:t>
      </w:r>
      <w:r w:rsidRPr="00B7554F">
        <w:rPr>
          <w:rStyle w:val="st"/>
          <w:sz w:val="20"/>
          <w:lang w:val="en-GB"/>
        </w:rPr>
        <w:t>continuation of the Teller Project.</w:t>
      </w:r>
      <w:r w:rsidRPr="00B7554F">
        <w:rPr>
          <w:rStyle w:val="FootnoteReference"/>
          <w:sz w:val="20"/>
          <w:lang w:val="en-GB"/>
        </w:rPr>
        <w:footnoteReference w:id="54"/>
      </w:r>
      <w:r w:rsidRPr="00B7554F">
        <w:rPr>
          <w:rStyle w:val="st"/>
          <w:sz w:val="20"/>
          <w:lang w:val="en-GB"/>
        </w:rPr>
        <w:t xml:space="preserve"> </w:t>
      </w:r>
      <w:bookmarkStart w:id="41" w:name="_Ref506311783"/>
      <w:bookmarkEnd w:id="38"/>
      <w:bookmarkEnd w:id="39"/>
    </w:p>
    <w:p w14:paraId="0B3DC512" w14:textId="38E9A17F" w:rsidR="00B30754" w:rsidRPr="00B7554F" w:rsidRDefault="00B30754" w:rsidP="00B30754">
      <w:pPr>
        <w:pStyle w:val="SingleTxtG"/>
        <w:numPr>
          <w:ilvl w:val="0"/>
          <w:numId w:val="3"/>
        </w:numPr>
        <w:ind w:left="1100" w:right="0" w:firstLine="0"/>
        <w:rPr>
          <w:rStyle w:val="st"/>
          <w:sz w:val="20"/>
          <w:lang w:val="en-GB"/>
        </w:rPr>
      </w:pPr>
      <w:bookmarkStart w:id="42" w:name="_Ref7015971"/>
      <w:r w:rsidRPr="00B7554F">
        <w:rPr>
          <w:rStyle w:val="st"/>
          <w:sz w:val="20"/>
          <w:lang w:val="en-GB"/>
        </w:rPr>
        <w:t xml:space="preserve">On 2 March 2011, MVM refused to provide </w:t>
      </w:r>
      <w:r w:rsidR="003501CB" w:rsidRPr="00B7554F">
        <w:rPr>
          <w:rStyle w:val="st"/>
          <w:sz w:val="20"/>
          <w:lang w:val="en-GB"/>
        </w:rPr>
        <w:t xml:space="preserve">the requested </w:t>
      </w:r>
      <w:r w:rsidRPr="00B7554F">
        <w:rPr>
          <w:rStyle w:val="st"/>
          <w:sz w:val="20"/>
          <w:lang w:val="en-GB"/>
        </w:rPr>
        <w:t>information</w:t>
      </w:r>
      <w:r w:rsidRPr="00B7554F">
        <w:rPr>
          <w:rStyle w:val="st"/>
          <w:sz w:val="20"/>
          <w:szCs w:val="20"/>
          <w:lang w:val="en-GB"/>
        </w:rPr>
        <w:t>, stating</w:t>
      </w:r>
      <w:r w:rsidRPr="00B7554F">
        <w:rPr>
          <w:rStyle w:val="st"/>
          <w:sz w:val="20"/>
          <w:lang w:val="en-GB"/>
        </w:rPr>
        <w:t xml:space="preserve"> that the Lévai Project was ongoing and the requested information </w:t>
      </w:r>
      <w:r w:rsidRPr="00B7554F">
        <w:rPr>
          <w:rStyle w:val="st"/>
          <w:sz w:val="20"/>
          <w:szCs w:val="20"/>
          <w:lang w:val="en-GB"/>
        </w:rPr>
        <w:t>was</w:t>
      </w:r>
      <w:r w:rsidRPr="00B7554F">
        <w:rPr>
          <w:rStyle w:val="st"/>
          <w:sz w:val="20"/>
          <w:lang w:val="en-GB"/>
        </w:rPr>
        <w:t xml:space="preserve"> “data under preparation” under section 19</w:t>
      </w:r>
      <w:r w:rsidR="00C51B82" w:rsidRPr="00B7554F">
        <w:rPr>
          <w:rStyle w:val="st"/>
          <w:sz w:val="20"/>
          <w:lang w:val="en-GB"/>
        </w:rPr>
        <w:t>(</w:t>
      </w:r>
      <w:r w:rsidR="00BD7BC9" w:rsidRPr="00B7554F">
        <w:rPr>
          <w:rStyle w:val="st"/>
          <w:sz w:val="20"/>
          <w:lang w:val="en-GB"/>
        </w:rPr>
        <w:t>a</w:t>
      </w:r>
      <w:r w:rsidR="00C51B82" w:rsidRPr="00B7554F">
        <w:rPr>
          <w:rStyle w:val="st"/>
          <w:sz w:val="20"/>
          <w:lang w:val="en-GB"/>
        </w:rPr>
        <w:t>)</w:t>
      </w:r>
      <w:r w:rsidRPr="00B7554F">
        <w:rPr>
          <w:rStyle w:val="st"/>
          <w:sz w:val="20"/>
          <w:lang w:val="en-GB"/>
        </w:rPr>
        <w:t xml:space="preserve">(1) of the </w:t>
      </w:r>
      <w:r w:rsidRPr="00B7554F">
        <w:rPr>
          <w:sz w:val="20"/>
          <w:szCs w:val="20"/>
          <w:lang w:val="en-GB"/>
        </w:rPr>
        <w:t xml:space="preserve">Data Protection Act (see para. </w:t>
      </w:r>
      <w:r w:rsidR="00C51B82" w:rsidRPr="00B7554F">
        <w:rPr>
          <w:sz w:val="20"/>
          <w:szCs w:val="20"/>
          <w:lang w:val="en-GB"/>
        </w:rPr>
        <w:fldChar w:fldCharType="begin"/>
      </w:r>
      <w:r w:rsidR="00C51B82" w:rsidRPr="00B7554F">
        <w:rPr>
          <w:sz w:val="20"/>
          <w:szCs w:val="20"/>
          <w:lang w:val="en-GB"/>
        </w:rPr>
        <w:instrText xml:space="preserve"> REF _Ref8895718 \r \h </w:instrText>
      </w:r>
      <w:r w:rsidR="00A6316D" w:rsidRPr="00B7554F">
        <w:rPr>
          <w:sz w:val="20"/>
          <w:szCs w:val="20"/>
          <w:lang w:val="en-GB"/>
        </w:rPr>
        <w:instrText xml:space="preserve"> \* MERGEFORMAT </w:instrText>
      </w:r>
      <w:r w:rsidR="00C51B82" w:rsidRPr="00B7554F">
        <w:rPr>
          <w:sz w:val="20"/>
          <w:szCs w:val="20"/>
          <w:lang w:val="en-GB"/>
        </w:rPr>
      </w:r>
      <w:r w:rsidR="00C51B82" w:rsidRPr="00B7554F">
        <w:rPr>
          <w:sz w:val="20"/>
          <w:szCs w:val="20"/>
          <w:lang w:val="en-GB"/>
        </w:rPr>
        <w:fldChar w:fldCharType="separate"/>
      </w:r>
      <w:r w:rsidR="00BF0EA2">
        <w:rPr>
          <w:sz w:val="20"/>
          <w:szCs w:val="20"/>
          <w:cs/>
          <w:lang w:val="en-GB"/>
        </w:rPr>
        <w:t>‎</w:t>
      </w:r>
      <w:r w:rsidR="00BF0EA2">
        <w:rPr>
          <w:sz w:val="20"/>
          <w:szCs w:val="20"/>
          <w:lang w:val="en-GB"/>
        </w:rPr>
        <w:t>21</w:t>
      </w:r>
      <w:r w:rsidR="00C51B82" w:rsidRPr="00B7554F">
        <w:rPr>
          <w:sz w:val="20"/>
          <w:szCs w:val="20"/>
          <w:lang w:val="en-GB"/>
        </w:rPr>
        <w:fldChar w:fldCharType="end"/>
      </w:r>
      <w:r w:rsidR="00C51B82" w:rsidRPr="00B7554F">
        <w:rPr>
          <w:sz w:val="20"/>
          <w:szCs w:val="20"/>
          <w:lang w:val="en-GB"/>
        </w:rPr>
        <w:t xml:space="preserve"> </w:t>
      </w:r>
      <w:r w:rsidRPr="00B7554F">
        <w:rPr>
          <w:sz w:val="20"/>
          <w:szCs w:val="20"/>
          <w:lang w:val="en-GB"/>
        </w:rPr>
        <w:t>above)</w:t>
      </w:r>
      <w:r w:rsidRPr="00B7554F">
        <w:rPr>
          <w:rStyle w:val="FootnoteReference"/>
          <w:sz w:val="20"/>
          <w:lang w:val="en-GB"/>
        </w:rPr>
        <w:footnoteReference w:id="55"/>
      </w:r>
      <w:r w:rsidRPr="00B7554F">
        <w:rPr>
          <w:rStyle w:val="st"/>
          <w:sz w:val="20"/>
          <w:lang w:val="en-GB"/>
        </w:rPr>
        <w:t xml:space="preserve"> </w:t>
      </w:r>
      <w:r w:rsidR="00643EE2" w:rsidRPr="00B7554F">
        <w:rPr>
          <w:rStyle w:val="st"/>
          <w:sz w:val="20"/>
          <w:lang w:val="en-GB"/>
        </w:rPr>
        <w:t xml:space="preserve">or </w:t>
      </w:r>
      <w:r w:rsidRPr="00B7554F">
        <w:rPr>
          <w:rStyle w:val="st"/>
          <w:sz w:val="20"/>
          <w:lang w:val="en-GB"/>
        </w:rPr>
        <w:t xml:space="preserve">business secrets within the meaning of section 19(6) of </w:t>
      </w:r>
      <w:r w:rsidRPr="00B7554F">
        <w:rPr>
          <w:rStyle w:val="st"/>
          <w:sz w:val="20"/>
          <w:szCs w:val="20"/>
          <w:lang w:val="en-GB"/>
        </w:rPr>
        <w:t xml:space="preserve">that </w:t>
      </w:r>
      <w:r w:rsidRPr="00B7554F">
        <w:rPr>
          <w:rStyle w:val="st"/>
          <w:sz w:val="20"/>
          <w:lang w:val="en-GB"/>
        </w:rPr>
        <w:t xml:space="preserve">Act </w:t>
      </w:r>
      <w:r w:rsidRPr="00B7554F">
        <w:rPr>
          <w:rStyle w:val="st"/>
          <w:sz w:val="20"/>
          <w:szCs w:val="20"/>
          <w:lang w:val="en-GB"/>
        </w:rPr>
        <w:t xml:space="preserve">(see para. </w:t>
      </w:r>
      <w:r w:rsidR="00C51B82" w:rsidRPr="00B7554F">
        <w:rPr>
          <w:rStyle w:val="st"/>
          <w:sz w:val="20"/>
          <w:szCs w:val="20"/>
          <w:lang w:val="en-GB"/>
        </w:rPr>
        <w:fldChar w:fldCharType="begin"/>
      </w:r>
      <w:r w:rsidR="00C51B82" w:rsidRPr="00B7554F">
        <w:rPr>
          <w:rStyle w:val="st"/>
          <w:sz w:val="20"/>
          <w:szCs w:val="20"/>
          <w:lang w:val="en-GB"/>
        </w:rPr>
        <w:instrText xml:space="preserve"> REF _Ref8895740 \r \h </w:instrText>
      </w:r>
      <w:r w:rsidR="00A6316D" w:rsidRPr="00B7554F">
        <w:rPr>
          <w:rStyle w:val="st"/>
          <w:sz w:val="20"/>
          <w:szCs w:val="20"/>
          <w:lang w:val="en-GB"/>
        </w:rPr>
        <w:instrText xml:space="preserve"> \* MERGEFORMAT </w:instrText>
      </w:r>
      <w:r w:rsidR="00C51B82" w:rsidRPr="00B7554F">
        <w:rPr>
          <w:rStyle w:val="st"/>
          <w:sz w:val="20"/>
          <w:szCs w:val="20"/>
          <w:lang w:val="en-GB"/>
        </w:rPr>
      </w:r>
      <w:r w:rsidR="00C51B82" w:rsidRPr="00B7554F">
        <w:rPr>
          <w:rStyle w:val="st"/>
          <w:sz w:val="20"/>
          <w:szCs w:val="20"/>
          <w:lang w:val="en-GB"/>
        </w:rPr>
        <w:fldChar w:fldCharType="separate"/>
      </w:r>
      <w:r w:rsidR="00BF0EA2">
        <w:rPr>
          <w:rStyle w:val="st"/>
          <w:sz w:val="20"/>
          <w:szCs w:val="20"/>
          <w:cs/>
          <w:lang w:val="en-GB"/>
        </w:rPr>
        <w:t>‎</w:t>
      </w:r>
      <w:r w:rsidR="00BF0EA2">
        <w:rPr>
          <w:rStyle w:val="st"/>
          <w:sz w:val="20"/>
          <w:szCs w:val="20"/>
          <w:lang w:val="en-GB"/>
        </w:rPr>
        <w:t>23</w:t>
      </w:r>
      <w:r w:rsidR="00C51B82" w:rsidRPr="00B7554F">
        <w:rPr>
          <w:rStyle w:val="st"/>
          <w:sz w:val="20"/>
          <w:szCs w:val="20"/>
          <w:lang w:val="en-GB"/>
        </w:rPr>
        <w:fldChar w:fldCharType="end"/>
      </w:r>
      <w:r w:rsidR="009126B3" w:rsidRPr="00B7554F">
        <w:rPr>
          <w:rStyle w:val="st"/>
          <w:sz w:val="20"/>
          <w:szCs w:val="20"/>
          <w:lang w:val="en-GB"/>
        </w:rPr>
        <w:t xml:space="preserve"> </w:t>
      </w:r>
      <w:r w:rsidRPr="00B7554F">
        <w:rPr>
          <w:rStyle w:val="st"/>
          <w:sz w:val="20"/>
          <w:szCs w:val="20"/>
          <w:lang w:val="en-GB"/>
        </w:rPr>
        <w:t>above)</w:t>
      </w:r>
      <w:r w:rsidR="00A95E58" w:rsidRPr="00B7554F">
        <w:rPr>
          <w:rStyle w:val="st"/>
          <w:sz w:val="20"/>
          <w:szCs w:val="20"/>
          <w:lang w:val="en-GB"/>
        </w:rPr>
        <w:t>,</w:t>
      </w:r>
      <w:r w:rsidRPr="00B7554F">
        <w:rPr>
          <w:rStyle w:val="FootnoteReference"/>
          <w:sz w:val="20"/>
          <w:szCs w:val="20"/>
          <w:lang w:val="en-GB"/>
        </w:rPr>
        <w:footnoteReference w:id="56"/>
      </w:r>
      <w:r w:rsidRPr="00B7554F">
        <w:rPr>
          <w:rStyle w:val="st"/>
          <w:sz w:val="20"/>
          <w:szCs w:val="20"/>
          <w:lang w:val="en-GB"/>
        </w:rPr>
        <w:t xml:space="preserve"> </w:t>
      </w:r>
      <w:r w:rsidR="00696EC6" w:rsidRPr="00B7554F">
        <w:rPr>
          <w:rStyle w:val="st"/>
          <w:sz w:val="20"/>
          <w:szCs w:val="20"/>
          <w:lang w:val="en-GB"/>
        </w:rPr>
        <w:t>and that</w:t>
      </w:r>
      <w:r w:rsidRPr="00B7554F">
        <w:rPr>
          <w:rStyle w:val="st"/>
          <w:sz w:val="20"/>
          <w:lang w:val="en-GB"/>
        </w:rPr>
        <w:t xml:space="preserve"> the holder of information </w:t>
      </w:r>
      <w:r w:rsidRPr="00B7554F">
        <w:rPr>
          <w:rStyle w:val="st"/>
          <w:sz w:val="20"/>
          <w:szCs w:val="20"/>
          <w:lang w:val="en-GB"/>
        </w:rPr>
        <w:t>is</w:t>
      </w:r>
      <w:r w:rsidRPr="00B7554F">
        <w:rPr>
          <w:rStyle w:val="st"/>
          <w:sz w:val="20"/>
          <w:lang w:val="en-GB"/>
        </w:rPr>
        <w:t xml:space="preserve"> not obliged to produce new and qualitative</w:t>
      </w:r>
      <w:r w:rsidR="00615DFE" w:rsidRPr="00B7554F">
        <w:rPr>
          <w:rStyle w:val="st"/>
          <w:sz w:val="20"/>
          <w:lang w:val="en-GB"/>
        </w:rPr>
        <w:t>ly</w:t>
      </w:r>
      <w:r w:rsidRPr="00B7554F">
        <w:rPr>
          <w:rStyle w:val="st"/>
          <w:sz w:val="20"/>
          <w:lang w:val="en-GB"/>
        </w:rPr>
        <w:t xml:space="preserve"> different documents solely to satisfy an information request.</w:t>
      </w:r>
      <w:r w:rsidRPr="00B7554F">
        <w:rPr>
          <w:rStyle w:val="FootnoteReference"/>
          <w:sz w:val="20"/>
          <w:lang w:val="en-GB"/>
        </w:rPr>
        <w:footnoteReference w:id="57"/>
      </w:r>
      <w:bookmarkStart w:id="43" w:name="_Ref496104071"/>
      <w:bookmarkEnd w:id="41"/>
      <w:bookmarkEnd w:id="42"/>
    </w:p>
    <w:p w14:paraId="5BBDF211" w14:textId="5BFE76CB" w:rsidR="00B30754" w:rsidRPr="00B7554F" w:rsidRDefault="00B30754" w:rsidP="00B30754">
      <w:pPr>
        <w:pStyle w:val="SingleTxtG"/>
        <w:numPr>
          <w:ilvl w:val="0"/>
          <w:numId w:val="3"/>
        </w:numPr>
        <w:ind w:left="1100" w:right="0" w:firstLine="0"/>
        <w:rPr>
          <w:sz w:val="20"/>
          <w:lang w:val="en-GB"/>
        </w:rPr>
      </w:pPr>
      <w:bookmarkStart w:id="44" w:name="_Ref7000868"/>
      <w:r w:rsidRPr="00B7554F">
        <w:rPr>
          <w:rStyle w:val="st"/>
          <w:sz w:val="20"/>
          <w:szCs w:val="20"/>
          <w:lang w:val="en-GB"/>
        </w:rPr>
        <w:t xml:space="preserve">Energiaklub successfully challenged </w:t>
      </w:r>
      <w:r w:rsidR="00BE49C8" w:rsidRPr="00B7554F">
        <w:rPr>
          <w:rStyle w:val="st"/>
          <w:sz w:val="20"/>
          <w:szCs w:val="20"/>
          <w:lang w:val="en-GB"/>
        </w:rPr>
        <w:t xml:space="preserve">the </w:t>
      </w:r>
      <w:r w:rsidRPr="00B7554F">
        <w:rPr>
          <w:rStyle w:val="st"/>
          <w:sz w:val="20"/>
          <w:szCs w:val="20"/>
          <w:lang w:val="en-GB"/>
        </w:rPr>
        <w:t xml:space="preserve">refusal in court, which </w:t>
      </w:r>
      <w:r w:rsidR="00043DF3" w:rsidRPr="00B7554F">
        <w:rPr>
          <w:rStyle w:val="st"/>
          <w:sz w:val="20"/>
          <w:szCs w:val="20"/>
          <w:lang w:val="en-GB"/>
        </w:rPr>
        <w:t xml:space="preserve">on 11 September 2011 </w:t>
      </w:r>
      <w:r w:rsidRPr="00B7554F">
        <w:rPr>
          <w:rStyle w:val="st"/>
          <w:sz w:val="20"/>
          <w:lang w:val="en-GB"/>
        </w:rPr>
        <w:t xml:space="preserve">ordered MVM to disclose the information with the possibility to </w:t>
      </w:r>
      <w:r w:rsidRPr="00B7554F">
        <w:rPr>
          <w:rStyle w:val="st"/>
          <w:sz w:val="20"/>
          <w:szCs w:val="20"/>
          <w:lang w:val="en-GB"/>
        </w:rPr>
        <w:t>black</w:t>
      </w:r>
      <w:r w:rsidRPr="00B7554F">
        <w:rPr>
          <w:rStyle w:val="st"/>
          <w:sz w:val="20"/>
          <w:lang w:val="en-GB"/>
        </w:rPr>
        <w:t xml:space="preserve"> out personal data and classified information.</w:t>
      </w:r>
      <w:r w:rsidRPr="00B7554F">
        <w:rPr>
          <w:sz w:val="20"/>
          <w:lang w:val="en-GB"/>
        </w:rPr>
        <w:t xml:space="preserve"> </w:t>
      </w:r>
      <w:r w:rsidRPr="00B7554F">
        <w:rPr>
          <w:sz w:val="20"/>
          <w:szCs w:val="20"/>
          <w:lang w:val="en-GB"/>
        </w:rPr>
        <w:t>On</w:t>
      </w:r>
      <w:r w:rsidRPr="00B7554F">
        <w:rPr>
          <w:sz w:val="20"/>
          <w:lang w:val="en-GB"/>
        </w:rPr>
        <w:t xml:space="preserve"> appeal on </w:t>
      </w:r>
      <w:r w:rsidRPr="00B7554F">
        <w:rPr>
          <w:sz w:val="20"/>
          <w:lang w:val="en-US"/>
        </w:rPr>
        <w:t>16 February 2012</w:t>
      </w:r>
      <w:r w:rsidR="005255E7" w:rsidRPr="00B7554F">
        <w:rPr>
          <w:sz w:val="20"/>
          <w:lang w:val="en-US"/>
        </w:rPr>
        <w:t>,</w:t>
      </w:r>
      <w:r w:rsidRPr="00B7554F">
        <w:rPr>
          <w:sz w:val="20"/>
          <w:lang w:val="en-US"/>
        </w:rPr>
        <w:t xml:space="preserve"> </w:t>
      </w:r>
      <w:r w:rsidR="00BE49C8" w:rsidRPr="00B7554F">
        <w:rPr>
          <w:sz w:val="20"/>
          <w:lang w:val="en-GB"/>
        </w:rPr>
        <w:t xml:space="preserve">this </w:t>
      </w:r>
      <w:r w:rsidRPr="00B7554F">
        <w:rPr>
          <w:sz w:val="20"/>
          <w:lang w:val="en-GB"/>
        </w:rPr>
        <w:t>decision</w:t>
      </w:r>
      <w:r w:rsidRPr="00B7554F">
        <w:rPr>
          <w:sz w:val="20"/>
          <w:szCs w:val="20"/>
          <w:lang w:val="en-GB"/>
        </w:rPr>
        <w:t xml:space="preserve"> was upheld</w:t>
      </w:r>
      <w:r w:rsidRPr="00B7554F">
        <w:rPr>
          <w:sz w:val="20"/>
          <w:lang w:val="en-GB"/>
        </w:rPr>
        <w:t>.</w:t>
      </w:r>
      <w:r w:rsidRPr="00B7554F">
        <w:rPr>
          <w:rStyle w:val="FootnoteReference"/>
          <w:sz w:val="20"/>
          <w:lang w:val="en-GB"/>
        </w:rPr>
        <w:footnoteReference w:id="58"/>
      </w:r>
      <w:bookmarkEnd w:id="43"/>
      <w:bookmarkEnd w:id="44"/>
    </w:p>
    <w:p w14:paraId="20FC6EAA" w14:textId="74E093C9" w:rsidR="00B30754" w:rsidRPr="00B7554F" w:rsidRDefault="00043DF3" w:rsidP="00B30754">
      <w:pPr>
        <w:pStyle w:val="SingleTxtG"/>
        <w:numPr>
          <w:ilvl w:val="0"/>
          <w:numId w:val="3"/>
        </w:numPr>
        <w:tabs>
          <w:tab w:val="num" w:pos="1134"/>
        </w:tabs>
        <w:ind w:left="1100" w:right="0" w:firstLine="0"/>
        <w:rPr>
          <w:rStyle w:val="st"/>
          <w:sz w:val="20"/>
          <w:szCs w:val="20"/>
          <w:lang w:val="en-GB"/>
        </w:rPr>
      </w:pPr>
      <w:bookmarkStart w:id="45" w:name="_Ref7015979"/>
      <w:r w:rsidRPr="00B7554F">
        <w:rPr>
          <w:rStyle w:val="st"/>
          <w:sz w:val="20"/>
          <w:lang w:val="en-GB"/>
        </w:rPr>
        <w:lastRenderedPageBreak/>
        <w:t xml:space="preserve">On 2 March 2012, </w:t>
      </w:r>
      <w:r w:rsidR="00B30754" w:rsidRPr="00B7554F">
        <w:rPr>
          <w:rStyle w:val="st"/>
          <w:sz w:val="20"/>
          <w:lang w:val="en-GB"/>
        </w:rPr>
        <w:t>MVM sent part</w:t>
      </w:r>
      <w:r w:rsidR="00696EC6" w:rsidRPr="00B7554F">
        <w:rPr>
          <w:rStyle w:val="st"/>
          <w:sz w:val="20"/>
          <w:lang w:val="en-GB"/>
        </w:rPr>
        <w:t>, but not all,</w:t>
      </w:r>
      <w:r w:rsidR="00B30754" w:rsidRPr="00B7554F">
        <w:rPr>
          <w:rStyle w:val="st"/>
          <w:sz w:val="20"/>
          <w:lang w:val="en-GB"/>
        </w:rPr>
        <w:t xml:space="preserve"> of the information.</w:t>
      </w:r>
      <w:r w:rsidR="00B30754" w:rsidRPr="00B7554F">
        <w:rPr>
          <w:rStyle w:val="FootnoteReference"/>
          <w:sz w:val="20"/>
          <w:lang w:val="en-GB"/>
        </w:rPr>
        <w:footnoteReference w:id="59"/>
      </w:r>
      <w:r w:rsidR="00B30754" w:rsidRPr="00B7554F">
        <w:rPr>
          <w:rStyle w:val="st"/>
          <w:sz w:val="20"/>
          <w:lang w:val="en-GB"/>
        </w:rPr>
        <w:t xml:space="preserve"> </w:t>
      </w:r>
      <w:r w:rsidR="00A95E58" w:rsidRPr="00B7554F">
        <w:rPr>
          <w:rStyle w:val="st"/>
          <w:sz w:val="20"/>
          <w:szCs w:val="20"/>
          <w:lang w:val="en-GB"/>
        </w:rPr>
        <w:t>On</w:t>
      </w:r>
      <w:r w:rsidR="00B30754" w:rsidRPr="00B7554F">
        <w:rPr>
          <w:rStyle w:val="st"/>
          <w:sz w:val="20"/>
          <w:lang w:val="en-GB"/>
        </w:rPr>
        <w:t xml:space="preserve"> 10 April 2012, Energiaklub sent another request concerning the </w:t>
      </w:r>
      <w:r w:rsidR="00B30754" w:rsidRPr="00B7554F">
        <w:rPr>
          <w:rStyle w:val="st"/>
          <w:sz w:val="20"/>
          <w:szCs w:val="20"/>
          <w:lang w:val="en-GB"/>
        </w:rPr>
        <w:t>missing</w:t>
      </w:r>
      <w:r w:rsidR="00B30754" w:rsidRPr="00B7554F">
        <w:rPr>
          <w:rStyle w:val="st"/>
          <w:sz w:val="20"/>
          <w:lang w:val="en-GB"/>
        </w:rPr>
        <w:t xml:space="preserve"> information</w:t>
      </w:r>
      <w:r w:rsidR="00B30754" w:rsidRPr="00B7554F">
        <w:rPr>
          <w:rStyle w:val="st"/>
          <w:sz w:val="20"/>
          <w:szCs w:val="20"/>
          <w:lang w:val="en-GB"/>
        </w:rPr>
        <w:t>,</w:t>
      </w:r>
      <w:r w:rsidR="00BE49C8" w:rsidRPr="00B7554F">
        <w:rPr>
          <w:rStyle w:val="st"/>
          <w:sz w:val="20"/>
          <w:lang w:val="en-GB"/>
        </w:rPr>
        <w:t xml:space="preserve"> updated </w:t>
      </w:r>
      <w:r w:rsidR="00B30754" w:rsidRPr="00B7554F">
        <w:rPr>
          <w:rStyle w:val="st"/>
          <w:sz w:val="20"/>
          <w:lang w:val="en-GB"/>
        </w:rPr>
        <w:t>versions of data sent previously</w:t>
      </w:r>
      <w:r w:rsidR="00B30754" w:rsidRPr="00B7554F">
        <w:rPr>
          <w:rStyle w:val="st"/>
          <w:sz w:val="20"/>
          <w:szCs w:val="20"/>
          <w:lang w:val="en-GB"/>
        </w:rPr>
        <w:t xml:space="preserve"> </w:t>
      </w:r>
      <w:r w:rsidR="00B30754" w:rsidRPr="00B7554F">
        <w:rPr>
          <w:rStyle w:val="st"/>
          <w:sz w:val="20"/>
          <w:lang w:val="en-GB"/>
        </w:rPr>
        <w:t xml:space="preserve">and contracts concluded in the </w:t>
      </w:r>
      <w:r w:rsidR="00B30754" w:rsidRPr="00B7554F">
        <w:rPr>
          <w:rStyle w:val="st"/>
          <w:sz w:val="20"/>
          <w:szCs w:val="20"/>
          <w:lang w:val="en-GB"/>
        </w:rPr>
        <w:t>interim</w:t>
      </w:r>
      <w:r w:rsidR="00B30754" w:rsidRPr="00B7554F">
        <w:rPr>
          <w:rStyle w:val="st"/>
          <w:sz w:val="20"/>
          <w:lang w:val="en-GB"/>
        </w:rPr>
        <w:t>.</w:t>
      </w:r>
      <w:r w:rsidR="00B30754" w:rsidRPr="00B7554F">
        <w:rPr>
          <w:rStyle w:val="FootnoteReference"/>
          <w:sz w:val="20"/>
          <w:lang w:val="en-GB"/>
        </w:rPr>
        <w:footnoteReference w:id="60"/>
      </w:r>
      <w:r w:rsidR="00B30754" w:rsidRPr="00B7554F">
        <w:rPr>
          <w:rStyle w:val="st"/>
          <w:sz w:val="20"/>
          <w:lang w:val="en-GB"/>
        </w:rPr>
        <w:t xml:space="preserve"> MVM provided some </w:t>
      </w:r>
      <w:r w:rsidR="00B30754" w:rsidRPr="00B7554F">
        <w:rPr>
          <w:rStyle w:val="st"/>
          <w:sz w:val="20"/>
          <w:szCs w:val="20"/>
          <w:lang w:val="en-GB"/>
        </w:rPr>
        <w:t xml:space="preserve">but not all </w:t>
      </w:r>
      <w:r w:rsidR="00B30754" w:rsidRPr="00B7554F">
        <w:rPr>
          <w:rStyle w:val="st"/>
          <w:sz w:val="20"/>
          <w:lang w:val="en-GB"/>
        </w:rPr>
        <w:t xml:space="preserve">documents, </w:t>
      </w:r>
      <w:r w:rsidR="00B30754" w:rsidRPr="00B7554F">
        <w:rPr>
          <w:rStyle w:val="st"/>
          <w:sz w:val="20"/>
          <w:szCs w:val="20"/>
          <w:lang w:val="en-GB"/>
        </w:rPr>
        <w:t>so</w:t>
      </w:r>
      <w:r w:rsidR="00B30754" w:rsidRPr="00B7554F">
        <w:rPr>
          <w:rStyle w:val="st"/>
          <w:sz w:val="20"/>
          <w:lang w:val="en-GB"/>
        </w:rPr>
        <w:t xml:space="preserve"> Energiaklub sent several further </w:t>
      </w:r>
      <w:r w:rsidR="00B30754" w:rsidRPr="00B7554F">
        <w:rPr>
          <w:rStyle w:val="st"/>
          <w:sz w:val="20"/>
          <w:szCs w:val="20"/>
          <w:lang w:val="en-GB"/>
        </w:rPr>
        <w:t>requests.</w:t>
      </w:r>
      <w:r w:rsidR="00B30754" w:rsidRPr="00B7554F">
        <w:rPr>
          <w:rStyle w:val="st"/>
          <w:sz w:val="20"/>
          <w:lang w:val="en-GB"/>
        </w:rPr>
        <w:t xml:space="preserve"> In November 2012, MVM refused to provide the </w:t>
      </w:r>
      <w:r w:rsidR="00B30754" w:rsidRPr="00B7554F">
        <w:rPr>
          <w:rStyle w:val="st"/>
          <w:sz w:val="20"/>
          <w:szCs w:val="20"/>
          <w:lang w:val="en-GB"/>
        </w:rPr>
        <w:t>remaining</w:t>
      </w:r>
      <w:r w:rsidR="00B30754" w:rsidRPr="00B7554F">
        <w:rPr>
          <w:rStyle w:val="st"/>
          <w:sz w:val="20"/>
          <w:lang w:val="en-GB"/>
        </w:rPr>
        <w:t xml:space="preserve"> documents</w:t>
      </w:r>
      <w:r w:rsidR="00B30754" w:rsidRPr="00B7554F">
        <w:rPr>
          <w:rStyle w:val="st"/>
          <w:sz w:val="20"/>
          <w:szCs w:val="20"/>
          <w:lang w:val="en-GB"/>
        </w:rPr>
        <w:t>, saying</w:t>
      </w:r>
      <w:r w:rsidR="00B30754" w:rsidRPr="00B7554F">
        <w:rPr>
          <w:rStyle w:val="st"/>
          <w:sz w:val="20"/>
          <w:lang w:val="en-GB"/>
        </w:rPr>
        <w:t xml:space="preserve"> the </w:t>
      </w:r>
      <w:r w:rsidR="00B30754" w:rsidRPr="00B7554F">
        <w:rPr>
          <w:rStyle w:val="st"/>
          <w:sz w:val="20"/>
          <w:szCs w:val="20"/>
          <w:lang w:val="en-GB"/>
        </w:rPr>
        <w:t>information constituted business secrets.</w:t>
      </w:r>
      <w:r w:rsidR="00643EE2" w:rsidRPr="00B7554F">
        <w:rPr>
          <w:rStyle w:val="st"/>
          <w:sz w:val="20"/>
          <w:szCs w:val="20"/>
          <w:lang w:val="en-GB"/>
        </w:rPr>
        <w:t xml:space="preserve"> </w:t>
      </w:r>
      <w:r w:rsidR="00B30754" w:rsidRPr="00B7554F">
        <w:rPr>
          <w:rStyle w:val="st"/>
          <w:sz w:val="20"/>
          <w:szCs w:val="20"/>
          <w:lang w:val="en-GB"/>
        </w:rPr>
        <w:t xml:space="preserve">Energiaklub applied to the National Data Protection Agency </w:t>
      </w:r>
      <w:r w:rsidR="005255E7" w:rsidRPr="00B7554F">
        <w:rPr>
          <w:rStyle w:val="st"/>
          <w:sz w:val="20"/>
          <w:szCs w:val="20"/>
          <w:lang w:val="en-GB"/>
        </w:rPr>
        <w:t xml:space="preserve">(NDPA) </w:t>
      </w:r>
      <w:r w:rsidR="00B30754" w:rsidRPr="00B7554F">
        <w:rPr>
          <w:rStyle w:val="st"/>
          <w:sz w:val="20"/>
          <w:szCs w:val="20"/>
          <w:lang w:val="en-GB"/>
        </w:rPr>
        <w:t>for advice.</w:t>
      </w:r>
      <w:r w:rsidR="00B30754" w:rsidRPr="00B7554F">
        <w:rPr>
          <w:rStyle w:val="FootnoteReference"/>
          <w:sz w:val="20"/>
          <w:szCs w:val="20"/>
          <w:lang w:val="en-GB"/>
        </w:rPr>
        <w:footnoteReference w:id="61"/>
      </w:r>
      <w:bookmarkStart w:id="46" w:name="_Ref432067968"/>
      <w:bookmarkStart w:id="47" w:name="_Ref496104073"/>
      <w:bookmarkEnd w:id="45"/>
    </w:p>
    <w:p w14:paraId="0F2E263C" w14:textId="3C07B72D" w:rsidR="00B30754" w:rsidRPr="00B7554F" w:rsidRDefault="00B30754" w:rsidP="00B30754">
      <w:pPr>
        <w:pStyle w:val="SingleTxtG"/>
        <w:numPr>
          <w:ilvl w:val="0"/>
          <w:numId w:val="3"/>
        </w:numPr>
        <w:tabs>
          <w:tab w:val="num" w:pos="1134"/>
        </w:tabs>
        <w:ind w:left="1100" w:right="0" w:firstLine="0"/>
        <w:rPr>
          <w:rStyle w:val="st"/>
          <w:sz w:val="20"/>
          <w:lang w:val="en-GB"/>
        </w:rPr>
      </w:pPr>
      <w:bookmarkStart w:id="48" w:name="_Ref7000877"/>
      <w:r w:rsidRPr="00B7554F">
        <w:rPr>
          <w:rStyle w:val="st"/>
          <w:sz w:val="20"/>
          <w:szCs w:val="20"/>
          <w:lang w:val="en-GB"/>
        </w:rPr>
        <w:t xml:space="preserve">In March 2013, the </w:t>
      </w:r>
      <w:r w:rsidR="00B71C95" w:rsidRPr="00B7554F">
        <w:rPr>
          <w:rStyle w:val="st"/>
          <w:sz w:val="20"/>
          <w:szCs w:val="20"/>
          <w:lang w:val="en-US"/>
        </w:rPr>
        <w:t>NDPA</w:t>
      </w:r>
      <w:r w:rsidRPr="00B7554F">
        <w:rPr>
          <w:rStyle w:val="st"/>
          <w:sz w:val="20"/>
          <w:szCs w:val="20"/>
          <w:lang w:val="en-GB"/>
        </w:rPr>
        <w:t xml:space="preserve"> issued a non-binding statement that MVM had to issue the remaining documents. MVM sent </w:t>
      </w:r>
      <w:r w:rsidR="00BE49C8" w:rsidRPr="00B7554F">
        <w:rPr>
          <w:rStyle w:val="st"/>
          <w:sz w:val="20"/>
          <w:szCs w:val="20"/>
          <w:lang w:val="en-GB"/>
        </w:rPr>
        <w:t xml:space="preserve">thirteen </w:t>
      </w:r>
      <w:r w:rsidRPr="00B7554F">
        <w:rPr>
          <w:rStyle w:val="st"/>
          <w:sz w:val="20"/>
          <w:szCs w:val="20"/>
          <w:lang w:val="en-GB"/>
        </w:rPr>
        <w:t xml:space="preserve">of the </w:t>
      </w:r>
      <w:r w:rsidR="00BE49C8" w:rsidRPr="00B7554F">
        <w:rPr>
          <w:rStyle w:val="st"/>
          <w:sz w:val="20"/>
          <w:szCs w:val="20"/>
          <w:lang w:val="en-GB"/>
        </w:rPr>
        <w:t xml:space="preserve">seventy-two </w:t>
      </w:r>
      <w:r w:rsidRPr="00B7554F">
        <w:rPr>
          <w:rStyle w:val="st"/>
          <w:sz w:val="20"/>
          <w:szCs w:val="20"/>
          <w:lang w:val="en-GB"/>
        </w:rPr>
        <w:t>documents</w:t>
      </w:r>
      <w:r w:rsidR="00BE49C8" w:rsidRPr="00B7554F">
        <w:rPr>
          <w:rStyle w:val="st"/>
          <w:sz w:val="20"/>
          <w:szCs w:val="20"/>
          <w:lang w:val="en-GB"/>
        </w:rPr>
        <w:t xml:space="preserve"> in autumn 2013</w:t>
      </w:r>
      <w:r w:rsidRPr="00B7554F">
        <w:rPr>
          <w:rStyle w:val="st"/>
          <w:sz w:val="20"/>
          <w:lang w:val="en-GB"/>
        </w:rPr>
        <w:t>.</w:t>
      </w:r>
      <w:bookmarkEnd w:id="46"/>
      <w:r w:rsidRPr="00B7554F">
        <w:rPr>
          <w:rStyle w:val="FootnoteReference"/>
          <w:sz w:val="20"/>
          <w:lang w:val="en-GB"/>
        </w:rPr>
        <w:footnoteReference w:id="62"/>
      </w:r>
      <w:bookmarkEnd w:id="47"/>
      <w:bookmarkEnd w:id="48"/>
    </w:p>
    <w:p w14:paraId="787D814B" w14:textId="77777777" w:rsidR="00B30754" w:rsidRPr="00B7554F" w:rsidRDefault="00433614" w:rsidP="00B30754">
      <w:pPr>
        <w:pStyle w:val="SingleTxtG"/>
        <w:tabs>
          <w:tab w:val="num" w:pos="1134"/>
        </w:tabs>
        <w:ind w:left="1100" w:right="0"/>
        <w:rPr>
          <w:rStyle w:val="st"/>
          <w:i/>
          <w:sz w:val="20"/>
          <w:szCs w:val="20"/>
          <w:lang w:val="en-GB"/>
        </w:rPr>
      </w:pPr>
      <w:r w:rsidRPr="00B7554F">
        <w:rPr>
          <w:rStyle w:val="st"/>
          <w:i/>
          <w:sz w:val="20"/>
          <w:szCs w:val="20"/>
          <w:lang w:val="en-US"/>
        </w:rPr>
        <w:t>N</w:t>
      </w:r>
      <w:r w:rsidR="00B30754" w:rsidRPr="00B7554F">
        <w:rPr>
          <w:rStyle w:val="st"/>
          <w:i/>
          <w:sz w:val="20"/>
          <w:szCs w:val="20"/>
          <w:lang w:val="en-GB"/>
        </w:rPr>
        <w:t xml:space="preserve">uclear energy governmental council </w:t>
      </w:r>
    </w:p>
    <w:p w14:paraId="01D60E9D" w14:textId="424A1FD8" w:rsidR="00F64F1E" w:rsidRPr="00B7554F" w:rsidRDefault="002438A9" w:rsidP="00D07F19">
      <w:pPr>
        <w:pStyle w:val="SingleTxtG"/>
        <w:numPr>
          <w:ilvl w:val="0"/>
          <w:numId w:val="3"/>
        </w:numPr>
        <w:tabs>
          <w:tab w:val="num" w:pos="1134"/>
        </w:tabs>
        <w:ind w:left="1100" w:right="0" w:firstLine="0"/>
        <w:rPr>
          <w:rStyle w:val="st"/>
          <w:sz w:val="20"/>
          <w:lang w:val="en-GB"/>
        </w:rPr>
      </w:pPr>
      <w:r w:rsidRPr="00B7554F">
        <w:rPr>
          <w:rStyle w:val="st"/>
          <w:sz w:val="20"/>
          <w:lang w:val="en-GB"/>
        </w:rPr>
        <w:t>Between 20 March and 2 September 2013</w:t>
      </w:r>
      <w:r w:rsidR="00B30754" w:rsidRPr="00B7554F">
        <w:rPr>
          <w:rStyle w:val="st"/>
          <w:sz w:val="20"/>
          <w:lang w:val="en-GB"/>
        </w:rPr>
        <w:t xml:space="preserve">, Energiaklub </w:t>
      </w:r>
      <w:r w:rsidRPr="00B7554F">
        <w:rPr>
          <w:rStyle w:val="st"/>
          <w:sz w:val="20"/>
          <w:lang w:val="en-GB"/>
        </w:rPr>
        <w:t xml:space="preserve">repeatedly </w:t>
      </w:r>
      <w:r w:rsidR="00B30754" w:rsidRPr="00B7554F">
        <w:rPr>
          <w:rStyle w:val="st"/>
          <w:sz w:val="20"/>
          <w:lang w:val="en-GB"/>
        </w:rPr>
        <w:t xml:space="preserve">requested information </w:t>
      </w:r>
      <w:r w:rsidR="00A80C22" w:rsidRPr="00B7554F">
        <w:rPr>
          <w:rStyle w:val="st"/>
          <w:sz w:val="20"/>
          <w:lang w:val="en-GB"/>
        </w:rPr>
        <w:t>under</w:t>
      </w:r>
      <w:r w:rsidR="00B30754" w:rsidRPr="00B7554F">
        <w:rPr>
          <w:rStyle w:val="st"/>
          <w:sz w:val="20"/>
          <w:lang w:val="en-GB"/>
        </w:rPr>
        <w:t xml:space="preserve"> section 28(1) and 29(1) of the 2011 Information </w:t>
      </w:r>
      <w:r w:rsidRPr="00B7554F">
        <w:rPr>
          <w:rStyle w:val="st"/>
          <w:sz w:val="20"/>
          <w:lang w:val="en-GB"/>
        </w:rPr>
        <w:t>Act</w:t>
      </w:r>
      <w:r w:rsidR="00B30754" w:rsidRPr="00B7554F">
        <w:rPr>
          <w:rStyle w:val="st"/>
          <w:sz w:val="20"/>
          <w:lang w:val="en-GB"/>
        </w:rPr>
        <w:t xml:space="preserve"> </w:t>
      </w:r>
      <w:r w:rsidR="00643EE2" w:rsidRPr="00B7554F">
        <w:rPr>
          <w:rStyle w:val="st"/>
          <w:sz w:val="20"/>
          <w:lang w:val="en-GB"/>
        </w:rPr>
        <w:t xml:space="preserve">on </w:t>
      </w:r>
      <w:r w:rsidR="00E225A8" w:rsidRPr="00B7554F">
        <w:rPr>
          <w:rStyle w:val="st"/>
          <w:sz w:val="20"/>
          <w:lang w:val="en-GB"/>
        </w:rPr>
        <w:t>a</w:t>
      </w:r>
      <w:r w:rsidR="00B30754" w:rsidRPr="00B7554F">
        <w:rPr>
          <w:rStyle w:val="st"/>
          <w:sz w:val="20"/>
          <w:lang w:val="en-GB"/>
        </w:rPr>
        <w:t xml:space="preserve"> nuclear energy governmental council</w:t>
      </w:r>
      <w:r w:rsidR="00B30754" w:rsidRPr="00B7554F">
        <w:rPr>
          <w:rStyle w:val="st"/>
          <w:sz w:val="20"/>
          <w:szCs w:val="20"/>
          <w:lang w:val="en-GB"/>
        </w:rPr>
        <w:t xml:space="preserve"> (</w:t>
      </w:r>
      <w:r w:rsidR="009850E4" w:rsidRPr="00B7554F">
        <w:rPr>
          <w:rStyle w:val="st"/>
          <w:sz w:val="20"/>
          <w:szCs w:val="20"/>
          <w:lang w:val="en-GB"/>
        </w:rPr>
        <w:t xml:space="preserve">the </w:t>
      </w:r>
      <w:r w:rsidR="00B30754" w:rsidRPr="00B7554F">
        <w:rPr>
          <w:rStyle w:val="st"/>
          <w:sz w:val="20"/>
          <w:szCs w:val="20"/>
          <w:lang w:val="en-GB"/>
        </w:rPr>
        <w:t>Council)</w:t>
      </w:r>
      <w:r w:rsidR="00B30754" w:rsidRPr="00B7554F">
        <w:rPr>
          <w:rStyle w:val="st"/>
          <w:sz w:val="20"/>
          <w:lang w:val="en-GB"/>
        </w:rPr>
        <w:t>.</w:t>
      </w:r>
      <w:r w:rsidR="00B30754" w:rsidRPr="00B7554F">
        <w:rPr>
          <w:rStyle w:val="FootnoteReference"/>
          <w:sz w:val="20"/>
          <w:szCs w:val="20"/>
          <w:lang w:val="en-GB"/>
        </w:rPr>
        <w:footnoteReference w:id="63"/>
      </w:r>
      <w:r w:rsidR="00B30754" w:rsidRPr="00B7554F">
        <w:rPr>
          <w:rStyle w:val="st"/>
          <w:sz w:val="20"/>
          <w:lang w:val="en-GB"/>
        </w:rPr>
        <w:t xml:space="preserve"> </w:t>
      </w:r>
      <w:r w:rsidRPr="00B7554F">
        <w:rPr>
          <w:rStyle w:val="st"/>
          <w:sz w:val="20"/>
          <w:lang w:val="en-GB"/>
        </w:rPr>
        <w:t xml:space="preserve">Energiaklub was informed that </w:t>
      </w:r>
      <w:r w:rsidR="00B30754" w:rsidRPr="00B7554F">
        <w:rPr>
          <w:rStyle w:val="st"/>
          <w:sz w:val="20"/>
          <w:lang w:val="en-GB"/>
        </w:rPr>
        <w:t xml:space="preserve">the Council had not </w:t>
      </w:r>
      <w:r w:rsidR="00A80C22" w:rsidRPr="00B7554F">
        <w:rPr>
          <w:rStyle w:val="st"/>
          <w:sz w:val="20"/>
          <w:lang w:val="en-GB"/>
        </w:rPr>
        <w:t xml:space="preserve">yet </w:t>
      </w:r>
      <w:r w:rsidR="00643EE2" w:rsidRPr="00B7554F">
        <w:rPr>
          <w:rStyle w:val="st"/>
          <w:sz w:val="20"/>
          <w:lang w:val="en-GB"/>
        </w:rPr>
        <w:t>met</w:t>
      </w:r>
      <w:r w:rsidR="004D16FD" w:rsidRPr="00B7554F">
        <w:rPr>
          <w:rStyle w:val="st"/>
          <w:sz w:val="20"/>
          <w:lang w:val="en-GB"/>
        </w:rPr>
        <w:t>,</w:t>
      </w:r>
      <w:r w:rsidR="00B30754" w:rsidRPr="00B7554F">
        <w:rPr>
          <w:rStyle w:val="FootnoteReference"/>
          <w:sz w:val="20"/>
          <w:szCs w:val="20"/>
          <w:lang w:val="en-GB"/>
        </w:rPr>
        <w:footnoteReference w:id="64"/>
      </w:r>
      <w:r w:rsidR="00B30754" w:rsidRPr="00B7554F">
        <w:rPr>
          <w:rStyle w:val="st"/>
          <w:sz w:val="20"/>
          <w:lang w:val="en-GB"/>
        </w:rPr>
        <w:t xml:space="preserve"> </w:t>
      </w:r>
      <w:r w:rsidR="004D16FD" w:rsidRPr="00B7554F">
        <w:rPr>
          <w:rStyle w:val="st"/>
          <w:sz w:val="20"/>
          <w:szCs w:val="20"/>
          <w:lang w:val="en-GB"/>
        </w:rPr>
        <w:t>that it</w:t>
      </w:r>
      <w:r w:rsidR="00B30754" w:rsidRPr="00B7554F">
        <w:rPr>
          <w:rStyle w:val="st"/>
          <w:sz w:val="20"/>
          <w:lang w:val="en-GB"/>
        </w:rPr>
        <w:t xml:space="preserve"> was a decision-preparing, not a decision-making committee</w:t>
      </w:r>
      <w:r w:rsidR="00435379" w:rsidRPr="00B7554F">
        <w:rPr>
          <w:rStyle w:val="st"/>
          <w:sz w:val="20"/>
          <w:szCs w:val="20"/>
          <w:lang w:val="en-US"/>
        </w:rPr>
        <w:t>, and that under</w:t>
      </w:r>
      <w:r w:rsidR="00435379" w:rsidRPr="00B7554F">
        <w:rPr>
          <w:rStyle w:val="st"/>
          <w:sz w:val="20"/>
          <w:lang w:val="en-US"/>
        </w:rPr>
        <w:t xml:space="preserve"> section </w:t>
      </w:r>
      <w:r w:rsidR="00B30754" w:rsidRPr="00B7554F">
        <w:rPr>
          <w:rStyle w:val="st"/>
          <w:sz w:val="20"/>
          <w:szCs w:val="20"/>
          <w:lang w:val="en-GB"/>
        </w:rPr>
        <w:t xml:space="preserve">27(5) of the 2011 Freedom of Information Act, </w:t>
      </w:r>
      <w:r w:rsidR="004D16FD" w:rsidRPr="00B7554F">
        <w:rPr>
          <w:rStyle w:val="st"/>
          <w:sz w:val="20"/>
          <w:szCs w:val="20"/>
          <w:lang w:val="en-GB"/>
        </w:rPr>
        <w:t>a</w:t>
      </w:r>
      <w:r w:rsidR="00B30754" w:rsidRPr="00B7554F">
        <w:rPr>
          <w:rStyle w:val="st"/>
          <w:sz w:val="20"/>
          <w:szCs w:val="20"/>
          <w:lang w:val="en-GB"/>
        </w:rPr>
        <w:t>uthorizations for access to information on its activities were</w:t>
      </w:r>
      <w:r w:rsidR="00B30754" w:rsidRPr="00B7554F">
        <w:rPr>
          <w:rStyle w:val="st"/>
          <w:sz w:val="20"/>
          <w:lang w:val="en-GB"/>
        </w:rPr>
        <w:t xml:space="preserve"> subject to the </w:t>
      </w:r>
      <w:r w:rsidR="00B30754" w:rsidRPr="00B7554F">
        <w:rPr>
          <w:rStyle w:val="st"/>
          <w:sz w:val="20"/>
          <w:szCs w:val="20"/>
          <w:lang w:val="en-GB"/>
        </w:rPr>
        <w:t>discretion</w:t>
      </w:r>
      <w:r w:rsidR="00B30754" w:rsidRPr="00B7554F">
        <w:rPr>
          <w:rStyle w:val="st"/>
          <w:sz w:val="20"/>
          <w:lang w:val="en-GB"/>
        </w:rPr>
        <w:t xml:space="preserve"> of the </w:t>
      </w:r>
      <w:r w:rsidR="00B30754" w:rsidRPr="00B7554F">
        <w:rPr>
          <w:rStyle w:val="st"/>
          <w:sz w:val="20"/>
          <w:szCs w:val="20"/>
          <w:lang w:val="en-GB"/>
        </w:rPr>
        <w:t>competent executive</w:t>
      </w:r>
      <w:r w:rsidR="00B30754" w:rsidRPr="00B7554F">
        <w:rPr>
          <w:rStyle w:val="st"/>
          <w:sz w:val="20"/>
          <w:lang w:val="en-GB"/>
        </w:rPr>
        <w:t xml:space="preserve"> of the </w:t>
      </w:r>
      <w:r w:rsidR="00A80C22" w:rsidRPr="00B7554F">
        <w:rPr>
          <w:rStyle w:val="st"/>
          <w:sz w:val="20"/>
          <w:lang w:val="en-GB"/>
        </w:rPr>
        <w:t xml:space="preserve">responsible </w:t>
      </w:r>
      <w:r w:rsidR="00B30754" w:rsidRPr="00B7554F">
        <w:rPr>
          <w:rStyle w:val="st"/>
          <w:sz w:val="20"/>
          <w:szCs w:val="20"/>
          <w:lang w:val="en-GB"/>
        </w:rPr>
        <w:t xml:space="preserve">body </w:t>
      </w:r>
      <w:r w:rsidR="00B30754" w:rsidRPr="00B7554F">
        <w:rPr>
          <w:rStyle w:val="st"/>
          <w:sz w:val="20"/>
          <w:lang w:val="en-GB"/>
        </w:rPr>
        <w:t>(see pa</w:t>
      </w:r>
      <w:r w:rsidR="00C143D7" w:rsidRPr="00B7554F">
        <w:rPr>
          <w:rStyle w:val="st"/>
          <w:sz w:val="20"/>
          <w:lang w:val="en-GB"/>
        </w:rPr>
        <w:t xml:space="preserve">ra </w:t>
      </w:r>
      <w:r w:rsidR="00C51B82" w:rsidRPr="00B7554F">
        <w:rPr>
          <w:rStyle w:val="st"/>
          <w:sz w:val="20"/>
          <w:lang w:val="en-GB"/>
        </w:rPr>
        <w:fldChar w:fldCharType="begin"/>
      </w:r>
      <w:r w:rsidR="00C51B82" w:rsidRPr="00B7554F">
        <w:rPr>
          <w:rStyle w:val="st"/>
          <w:sz w:val="20"/>
          <w:lang w:val="en-GB"/>
        </w:rPr>
        <w:instrText xml:space="preserve"> REF _Ref6935222 \r \h </w:instrText>
      </w:r>
      <w:r w:rsidR="00A6316D" w:rsidRPr="00B7554F">
        <w:rPr>
          <w:rStyle w:val="st"/>
          <w:sz w:val="20"/>
          <w:lang w:val="en-GB"/>
        </w:rPr>
        <w:instrText xml:space="preserve"> \* MERGEFORMAT </w:instrText>
      </w:r>
      <w:r w:rsidR="00C51B82" w:rsidRPr="00B7554F">
        <w:rPr>
          <w:rStyle w:val="st"/>
          <w:sz w:val="20"/>
          <w:lang w:val="en-GB"/>
        </w:rPr>
      </w:r>
      <w:r w:rsidR="00C51B82" w:rsidRPr="00B7554F">
        <w:rPr>
          <w:rStyle w:val="st"/>
          <w:sz w:val="20"/>
          <w:lang w:val="en-GB"/>
        </w:rPr>
        <w:fldChar w:fldCharType="separate"/>
      </w:r>
      <w:r w:rsidR="00BF0EA2">
        <w:rPr>
          <w:rStyle w:val="st"/>
          <w:sz w:val="20"/>
          <w:cs/>
          <w:lang w:val="en-GB"/>
        </w:rPr>
        <w:t>‎</w:t>
      </w:r>
      <w:r w:rsidR="00BF0EA2">
        <w:rPr>
          <w:rStyle w:val="st"/>
          <w:sz w:val="20"/>
          <w:lang w:val="en-GB"/>
        </w:rPr>
        <w:t>22</w:t>
      </w:r>
      <w:r w:rsidR="00C51B82" w:rsidRPr="00B7554F">
        <w:rPr>
          <w:rStyle w:val="st"/>
          <w:sz w:val="20"/>
          <w:lang w:val="en-GB"/>
        </w:rPr>
        <w:fldChar w:fldCharType="end"/>
      </w:r>
      <w:r w:rsidR="00C51B82" w:rsidRPr="00B7554F">
        <w:rPr>
          <w:rStyle w:val="st"/>
          <w:sz w:val="20"/>
          <w:lang w:val="en-GB"/>
        </w:rPr>
        <w:t xml:space="preserve"> </w:t>
      </w:r>
      <w:r w:rsidR="00C143D7" w:rsidRPr="00B7554F">
        <w:rPr>
          <w:rStyle w:val="st"/>
          <w:sz w:val="20"/>
          <w:lang w:val="en-GB"/>
        </w:rPr>
        <w:t>above)</w:t>
      </w:r>
      <w:r w:rsidR="00B30754" w:rsidRPr="00B7554F">
        <w:rPr>
          <w:rStyle w:val="st"/>
          <w:sz w:val="20"/>
          <w:lang w:val="en-GB"/>
        </w:rPr>
        <w:t>.</w:t>
      </w:r>
      <w:r w:rsidR="00B30754" w:rsidRPr="00B7554F">
        <w:rPr>
          <w:rStyle w:val="FootnoteReference"/>
          <w:szCs w:val="22"/>
          <w:lang w:val="en-GB"/>
        </w:rPr>
        <w:footnoteReference w:id="65"/>
      </w:r>
      <w:r w:rsidR="00E42F7D" w:rsidRPr="00B7554F">
        <w:rPr>
          <w:rStyle w:val="st"/>
          <w:sz w:val="20"/>
          <w:lang w:val="en-GB"/>
        </w:rPr>
        <w:t xml:space="preserve"> </w:t>
      </w:r>
      <w:r w:rsidR="00E225A8" w:rsidRPr="00B7554F">
        <w:rPr>
          <w:rStyle w:val="st"/>
          <w:sz w:val="20"/>
          <w:lang w:val="en-GB"/>
        </w:rPr>
        <w:t xml:space="preserve">Energiaklub was informed </w:t>
      </w:r>
      <w:bookmarkStart w:id="49" w:name="_Ref499818251"/>
      <w:r w:rsidR="00B30754" w:rsidRPr="00B7554F">
        <w:rPr>
          <w:rStyle w:val="st"/>
          <w:sz w:val="20"/>
          <w:lang w:val="en-GB"/>
        </w:rPr>
        <w:t xml:space="preserve">of its right to submit an application to the Metropolitan Court or </w:t>
      </w:r>
      <w:r w:rsidR="003501CB" w:rsidRPr="00B7554F">
        <w:rPr>
          <w:rStyle w:val="st"/>
          <w:sz w:val="20"/>
          <w:lang w:val="en-GB"/>
        </w:rPr>
        <w:t xml:space="preserve">to </w:t>
      </w:r>
      <w:r w:rsidR="00B30754" w:rsidRPr="00B7554F">
        <w:rPr>
          <w:rStyle w:val="st"/>
          <w:sz w:val="20"/>
          <w:lang w:val="en-GB"/>
        </w:rPr>
        <w:t xml:space="preserve">request an investigation from the </w:t>
      </w:r>
      <w:r w:rsidR="00A80C22" w:rsidRPr="00B7554F">
        <w:rPr>
          <w:rStyle w:val="st"/>
          <w:sz w:val="20"/>
          <w:lang w:val="en-GB"/>
        </w:rPr>
        <w:t>NDPA</w:t>
      </w:r>
      <w:r w:rsidR="00B30754" w:rsidRPr="00B7554F">
        <w:rPr>
          <w:rStyle w:val="st"/>
          <w:sz w:val="20"/>
          <w:lang w:val="en-GB"/>
        </w:rPr>
        <w:t>.</w:t>
      </w:r>
      <w:r w:rsidR="00B30754" w:rsidRPr="00B7554F">
        <w:rPr>
          <w:rStyle w:val="FootnoteReference"/>
          <w:sz w:val="20"/>
          <w:lang w:val="en-GB"/>
        </w:rPr>
        <w:footnoteReference w:id="66"/>
      </w:r>
      <w:bookmarkEnd w:id="49"/>
    </w:p>
    <w:p w14:paraId="0BFB53F6" w14:textId="77777777" w:rsidR="00F64F1E" w:rsidRPr="00B7554F" w:rsidRDefault="00F64F1E" w:rsidP="00D07F19">
      <w:pPr>
        <w:pStyle w:val="H1G"/>
        <w:numPr>
          <w:ilvl w:val="0"/>
          <w:numId w:val="4"/>
        </w:numPr>
        <w:ind w:right="0"/>
        <w:jc w:val="both"/>
        <w:rPr>
          <w:rStyle w:val="st"/>
          <w:lang w:val="en-GB"/>
        </w:rPr>
      </w:pPr>
      <w:r w:rsidRPr="00B7554F">
        <w:rPr>
          <w:lang w:val="en-GB"/>
        </w:rPr>
        <w:t>Domestic remedies and admissibility</w:t>
      </w:r>
    </w:p>
    <w:p w14:paraId="494093AC" w14:textId="4C948891" w:rsidR="001513EF" w:rsidRPr="00B7554F" w:rsidRDefault="003501CB" w:rsidP="00D36FAB">
      <w:pPr>
        <w:pStyle w:val="SingleTxtG"/>
        <w:numPr>
          <w:ilvl w:val="0"/>
          <w:numId w:val="3"/>
        </w:numPr>
        <w:tabs>
          <w:tab w:val="num" w:pos="1134"/>
        </w:tabs>
        <w:ind w:left="1100" w:right="0" w:firstLine="0"/>
        <w:rPr>
          <w:b/>
          <w:sz w:val="20"/>
          <w:szCs w:val="20"/>
          <w:lang w:val="en-GB"/>
        </w:rPr>
      </w:pPr>
      <w:r w:rsidRPr="00B7554F">
        <w:rPr>
          <w:rStyle w:val="st"/>
          <w:sz w:val="20"/>
          <w:lang w:val="en-GB"/>
        </w:rPr>
        <w:t xml:space="preserve">With respect to their information requests regarding the </w:t>
      </w:r>
      <w:r w:rsidRPr="00B7554F">
        <w:rPr>
          <w:sz w:val="20"/>
          <w:szCs w:val="20"/>
          <w:lang w:val="en-GB"/>
        </w:rPr>
        <w:t xml:space="preserve">Teller </w:t>
      </w:r>
      <w:r w:rsidRPr="00B7554F">
        <w:rPr>
          <w:rStyle w:val="st"/>
          <w:sz w:val="20"/>
          <w:szCs w:val="20"/>
          <w:lang w:val="en-GB"/>
        </w:rPr>
        <w:t xml:space="preserve">(see paras. </w:t>
      </w:r>
      <w:r w:rsidRPr="00B7554F">
        <w:rPr>
          <w:rStyle w:val="st"/>
          <w:sz w:val="20"/>
          <w:szCs w:val="20"/>
          <w:lang w:val="en-GB"/>
        </w:rPr>
        <w:fldChar w:fldCharType="begin"/>
      </w:r>
      <w:r w:rsidRPr="00B7554F">
        <w:rPr>
          <w:rStyle w:val="st"/>
          <w:sz w:val="20"/>
          <w:szCs w:val="20"/>
          <w:lang w:val="en-GB"/>
        </w:rPr>
        <w:instrText xml:space="preserve"> REF _Ref7000837 \r \h  \* MERGEFORMAT </w:instrText>
      </w:r>
      <w:r w:rsidRPr="00B7554F">
        <w:rPr>
          <w:rStyle w:val="st"/>
          <w:sz w:val="20"/>
          <w:szCs w:val="20"/>
          <w:lang w:val="en-GB"/>
        </w:rPr>
      </w:r>
      <w:r w:rsidRPr="00B7554F">
        <w:rPr>
          <w:rStyle w:val="st"/>
          <w:sz w:val="20"/>
          <w:szCs w:val="20"/>
          <w:lang w:val="en-GB"/>
        </w:rPr>
        <w:fldChar w:fldCharType="separate"/>
      </w:r>
      <w:r w:rsidR="00BF0EA2">
        <w:rPr>
          <w:rStyle w:val="st"/>
          <w:sz w:val="20"/>
          <w:szCs w:val="20"/>
          <w:cs/>
          <w:lang w:val="en-GB"/>
        </w:rPr>
        <w:t>‎</w:t>
      </w:r>
      <w:r w:rsidR="00BF0EA2">
        <w:rPr>
          <w:rStyle w:val="st"/>
          <w:sz w:val="20"/>
          <w:szCs w:val="20"/>
          <w:lang w:val="en-GB"/>
        </w:rPr>
        <w:t>43</w:t>
      </w:r>
      <w:r w:rsidRPr="00B7554F">
        <w:rPr>
          <w:rStyle w:val="st"/>
          <w:sz w:val="20"/>
          <w:szCs w:val="20"/>
          <w:lang w:val="en-GB"/>
        </w:rPr>
        <w:fldChar w:fldCharType="end"/>
      </w:r>
      <w:r w:rsidRPr="00B7554F">
        <w:rPr>
          <w:rStyle w:val="st"/>
          <w:sz w:val="20"/>
          <w:szCs w:val="20"/>
          <w:lang w:val="en-GB"/>
        </w:rPr>
        <w:t xml:space="preserve"> and </w:t>
      </w:r>
      <w:r w:rsidRPr="00B7554F">
        <w:rPr>
          <w:rStyle w:val="st"/>
          <w:sz w:val="20"/>
          <w:szCs w:val="20"/>
          <w:lang w:val="en-GB"/>
        </w:rPr>
        <w:fldChar w:fldCharType="begin"/>
      </w:r>
      <w:r w:rsidRPr="00B7554F">
        <w:rPr>
          <w:rStyle w:val="st"/>
          <w:sz w:val="20"/>
          <w:szCs w:val="20"/>
          <w:lang w:val="en-GB"/>
        </w:rPr>
        <w:instrText xml:space="preserve"> REF _Ref7000847 \r \h  \* MERGEFORMAT </w:instrText>
      </w:r>
      <w:r w:rsidRPr="00B7554F">
        <w:rPr>
          <w:rStyle w:val="st"/>
          <w:sz w:val="20"/>
          <w:szCs w:val="20"/>
          <w:lang w:val="en-GB"/>
        </w:rPr>
      </w:r>
      <w:r w:rsidRPr="00B7554F">
        <w:rPr>
          <w:rStyle w:val="st"/>
          <w:sz w:val="20"/>
          <w:szCs w:val="20"/>
          <w:lang w:val="en-GB"/>
        </w:rPr>
        <w:fldChar w:fldCharType="separate"/>
      </w:r>
      <w:r w:rsidR="00BF0EA2">
        <w:rPr>
          <w:rStyle w:val="st"/>
          <w:sz w:val="20"/>
          <w:szCs w:val="20"/>
          <w:cs/>
          <w:lang w:val="en-GB"/>
        </w:rPr>
        <w:t>‎</w:t>
      </w:r>
      <w:r w:rsidR="00BF0EA2">
        <w:rPr>
          <w:rStyle w:val="st"/>
          <w:sz w:val="20"/>
          <w:szCs w:val="20"/>
          <w:lang w:val="en-GB"/>
        </w:rPr>
        <w:t>44</w:t>
      </w:r>
      <w:r w:rsidRPr="00B7554F">
        <w:rPr>
          <w:rStyle w:val="st"/>
          <w:sz w:val="20"/>
          <w:szCs w:val="20"/>
          <w:lang w:val="en-GB"/>
        </w:rPr>
        <w:fldChar w:fldCharType="end"/>
      </w:r>
      <w:r w:rsidRPr="00B7554F">
        <w:rPr>
          <w:rStyle w:val="st"/>
          <w:sz w:val="20"/>
          <w:szCs w:val="20"/>
          <w:lang w:val="en-GB"/>
        </w:rPr>
        <w:t>-</w:t>
      </w:r>
      <w:r w:rsidRPr="00B7554F">
        <w:rPr>
          <w:rStyle w:val="st"/>
          <w:sz w:val="20"/>
          <w:szCs w:val="20"/>
          <w:lang w:val="en-GB"/>
        </w:rPr>
        <w:fldChar w:fldCharType="begin"/>
      </w:r>
      <w:r w:rsidRPr="00B7554F">
        <w:rPr>
          <w:rStyle w:val="st"/>
          <w:sz w:val="20"/>
          <w:szCs w:val="20"/>
          <w:lang w:val="en-GB"/>
        </w:rPr>
        <w:instrText xml:space="preserve"> REF _Ref7000857 \r \h  \* MERGEFORMAT </w:instrText>
      </w:r>
      <w:r w:rsidRPr="00B7554F">
        <w:rPr>
          <w:rStyle w:val="st"/>
          <w:sz w:val="20"/>
          <w:szCs w:val="20"/>
          <w:lang w:val="en-GB"/>
        </w:rPr>
      </w:r>
      <w:r w:rsidRPr="00B7554F">
        <w:rPr>
          <w:rStyle w:val="st"/>
          <w:sz w:val="20"/>
          <w:szCs w:val="20"/>
          <w:lang w:val="en-GB"/>
        </w:rPr>
        <w:fldChar w:fldCharType="separate"/>
      </w:r>
      <w:r w:rsidR="00BF0EA2">
        <w:rPr>
          <w:rStyle w:val="st"/>
          <w:sz w:val="20"/>
          <w:szCs w:val="20"/>
          <w:cs/>
          <w:lang w:val="en-GB"/>
        </w:rPr>
        <w:t>‎</w:t>
      </w:r>
      <w:r w:rsidR="00BF0EA2">
        <w:rPr>
          <w:rStyle w:val="st"/>
          <w:sz w:val="20"/>
          <w:szCs w:val="20"/>
          <w:lang w:val="en-GB"/>
        </w:rPr>
        <w:t>45</w:t>
      </w:r>
      <w:r w:rsidRPr="00B7554F">
        <w:rPr>
          <w:rStyle w:val="st"/>
          <w:sz w:val="20"/>
          <w:szCs w:val="20"/>
          <w:lang w:val="en-GB"/>
        </w:rPr>
        <w:fldChar w:fldCharType="end"/>
      </w:r>
      <w:r w:rsidRPr="00B7554F">
        <w:rPr>
          <w:rStyle w:val="st"/>
          <w:sz w:val="20"/>
          <w:szCs w:val="20"/>
          <w:lang w:val="en-GB"/>
        </w:rPr>
        <w:t xml:space="preserve"> above) and Lévai Projects (</w:t>
      </w:r>
      <w:r w:rsidRPr="00B7554F">
        <w:rPr>
          <w:sz w:val="20"/>
          <w:szCs w:val="20"/>
          <w:lang w:val="en-GB"/>
        </w:rPr>
        <w:t xml:space="preserve">see paras. </w:t>
      </w:r>
      <w:r w:rsidRPr="00B7554F">
        <w:rPr>
          <w:sz w:val="20"/>
          <w:szCs w:val="20"/>
          <w:lang w:val="en-GB"/>
        </w:rPr>
        <w:fldChar w:fldCharType="begin"/>
      </w:r>
      <w:r w:rsidRPr="00B7554F">
        <w:rPr>
          <w:sz w:val="20"/>
          <w:szCs w:val="20"/>
          <w:lang w:val="en-GB"/>
        </w:rPr>
        <w:instrText xml:space="preserve"> REF _Ref7000868 \r \h  \* MERGEFORMAT </w:instrText>
      </w:r>
      <w:r w:rsidRPr="00B7554F">
        <w:rPr>
          <w:sz w:val="20"/>
          <w:szCs w:val="20"/>
          <w:lang w:val="en-GB"/>
        </w:rPr>
      </w:r>
      <w:r w:rsidRPr="00B7554F">
        <w:rPr>
          <w:sz w:val="20"/>
          <w:szCs w:val="20"/>
          <w:lang w:val="en-GB"/>
        </w:rPr>
        <w:fldChar w:fldCharType="separate"/>
      </w:r>
      <w:r w:rsidR="00BF0EA2">
        <w:rPr>
          <w:sz w:val="20"/>
          <w:szCs w:val="20"/>
          <w:cs/>
          <w:lang w:val="en-GB"/>
        </w:rPr>
        <w:t>‎</w:t>
      </w:r>
      <w:r w:rsidR="00BF0EA2">
        <w:rPr>
          <w:sz w:val="20"/>
          <w:szCs w:val="20"/>
          <w:lang w:val="en-GB"/>
        </w:rPr>
        <w:t>48</w:t>
      </w:r>
      <w:r w:rsidRPr="00B7554F">
        <w:rPr>
          <w:sz w:val="20"/>
          <w:szCs w:val="20"/>
          <w:lang w:val="en-GB"/>
        </w:rPr>
        <w:fldChar w:fldCharType="end"/>
      </w:r>
      <w:r w:rsidRPr="00B7554F">
        <w:rPr>
          <w:sz w:val="20"/>
          <w:szCs w:val="20"/>
          <w:lang w:val="en-GB"/>
        </w:rPr>
        <w:t>-</w:t>
      </w:r>
      <w:r w:rsidRPr="00B7554F">
        <w:rPr>
          <w:sz w:val="20"/>
          <w:szCs w:val="20"/>
          <w:lang w:val="en-GB"/>
        </w:rPr>
        <w:fldChar w:fldCharType="begin"/>
      </w:r>
      <w:r w:rsidRPr="00B7554F">
        <w:rPr>
          <w:sz w:val="20"/>
          <w:szCs w:val="20"/>
          <w:lang w:val="en-GB"/>
        </w:rPr>
        <w:instrText xml:space="preserve"> REF _Ref7000877 \r \h  \* MERGEFORMAT </w:instrText>
      </w:r>
      <w:r w:rsidRPr="00B7554F">
        <w:rPr>
          <w:sz w:val="20"/>
          <w:szCs w:val="20"/>
          <w:lang w:val="en-GB"/>
        </w:rPr>
      </w:r>
      <w:r w:rsidRPr="00B7554F">
        <w:rPr>
          <w:sz w:val="20"/>
          <w:szCs w:val="20"/>
          <w:lang w:val="en-GB"/>
        </w:rPr>
        <w:fldChar w:fldCharType="separate"/>
      </w:r>
      <w:r w:rsidR="00BF0EA2">
        <w:rPr>
          <w:sz w:val="20"/>
          <w:szCs w:val="20"/>
          <w:cs/>
          <w:lang w:val="en-GB"/>
        </w:rPr>
        <w:t>‎</w:t>
      </w:r>
      <w:r w:rsidR="00BF0EA2">
        <w:rPr>
          <w:sz w:val="20"/>
          <w:szCs w:val="20"/>
          <w:lang w:val="en-GB"/>
        </w:rPr>
        <w:t>50</w:t>
      </w:r>
      <w:r w:rsidRPr="00B7554F">
        <w:rPr>
          <w:sz w:val="20"/>
          <w:szCs w:val="20"/>
          <w:lang w:val="en-GB"/>
        </w:rPr>
        <w:fldChar w:fldCharType="end"/>
      </w:r>
      <w:r w:rsidRPr="00B7554F">
        <w:rPr>
          <w:sz w:val="20"/>
          <w:szCs w:val="20"/>
          <w:lang w:val="en-GB"/>
        </w:rPr>
        <w:t xml:space="preserve"> above), </w:t>
      </w:r>
      <w:r w:rsidRPr="00B7554F">
        <w:rPr>
          <w:rStyle w:val="st"/>
          <w:sz w:val="20"/>
          <w:lang w:val="en-GB"/>
        </w:rPr>
        <w:t xml:space="preserve">the </w:t>
      </w:r>
      <w:r w:rsidR="00F64F1E" w:rsidRPr="00B7554F">
        <w:rPr>
          <w:sz w:val="20"/>
          <w:lang w:val="en-GB"/>
        </w:rPr>
        <w:t xml:space="preserve">communicants submit </w:t>
      </w:r>
      <w:r w:rsidRPr="00B7554F">
        <w:rPr>
          <w:sz w:val="20"/>
          <w:lang w:val="en-GB"/>
        </w:rPr>
        <w:t xml:space="preserve">that, while </w:t>
      </w:r>
      <w:r w:rsidR="00F64F1E" w:rsidRPr="00B7554F">
        <w:rPr>
          <w:sz w:val="20"/>
          <w:lang w:val="en-GB"/>
        </w:rPr>
        <w:t xml:space="preserve">almost all </w:t>
      </w:r>
      <w:r w:rsidRPr="00B7554F">
        <w:rPr>
          <w:sz w:val="20"/>
          <w:lang w:val="en-GB"/>
        </w:rPr>
        <w:t>review procedures they used</w:t>
      </w:r>
      <w:r w:rsidR="00F64F1E" w:rsidRPr="00B7554F">
        <w:rPr>
          <w:sz w:val="20"/>
          <w:lang w:val="en-GB"/>
        </w:rPr>
        <w:t xml:space="preserve"> were formally successful</w:t>
      </w:r>
      <w:r w:rsidR="00F64F1E" w:rsidRPr="00B7554F">
        <w:rPr>
          <w:sz w:val="20"/>
          <w:szCs w:val="20"/>
          <w:lang w:val="en-GB"/>
        </w:rPr>
        <w:t>,</w:t>
      </w:r>
      <w:r w:rsidR="00F64F1E" w:rsidRPr="00B7554F">
        <w:rPr>
          <w:sz w:val="20"/>
          <w:lang w:val="en-GB"/>
        </w:rPr>
        <w:t xml:space="preserve"> the actual implementation of these remedies failed</w:t>
      </w:r>
      <w:r w:rsidR="00F64F1E" w:rsidRPr="00B7554F">
        <w:rPr>
          <w:sz w:val="20"/>
          <w:szCs w:val="20"/>
          <w:lang w:val="en-GB"/>
        </w:rPr>
        <w:t>.</w:t>
      </w:r>
      <w:r w:rsidR="00F64F1E" w:rsidRPr="00B7554F">
        <w:rPr>
          <w:rStyle w:val="FootnoteReference"/>
          <w:sz w:val="20"/>
          <w:szCs w:val="20"/>
          <w:lang w:val="en-GB"/>
        </w:rPr>
        <w:footnoteReference w:id="67"/>
      </w:r>
      <w:r w:rsidR="002977E8" w:rsidRPr="00B7554F">
        <w:rPr>
          <w:sz w:val="20"/>
          <w:szCs w:val="20"/>
          <w:lang w:val="en-GB"/>
        </w:rPr>
        <w:t xml:space="preserve"> </w:t>
      </w:r>
      <w:r w:rsidRPr="00B7554F">
        <w:rPr>
          <w:sz w:val="20"/>
          <w:szCs w:val="20"/>
          <w:lang w:val="en-GB"/>
        </w:rPr>
        <w:t>Regarding their information request regarding</w:t>
      </w:r>
      <w:r w:rsidR="001513EF" w:rsidRPr="00B7554F">
        <w:rPr>
          <w:sz w:val="20"/>
          <w:lang w:val="en-GB"/>
        </w:rPr>
        <w:t xml:space="preserve"> the Council</w:t>
      </w:r>
      <w:r w:rsidR="00BD48E3" w:rsidRPr="00B7554F">
        <w:rPr>
          <w:sz w:val="20"/>
          <w:lang w:val="en-GB"/>
        </w:rPr>
        <w:t>,</w:t>
      </w:r>
      <w:r w:rsidR="001513EF" w:rsidRPr="00B7554F">
        <w:rPr>
          <w:sz w:val="20"/>
          <w:lang w:val="en-GB"/>
        </w:rPr>
        <w:t xml:space="preserve"> the communicant</w:t>
      </w:r>
      <w:r w:rsidR="00BD48E3" w:rsidRPr="00B7554F">
        <w:rPr>
          <w:sz w:val="20"/>
          <w:lang w:val="en-GB"/>
        </w:rPr>
        <w:t>s</w:t>
      </w:r>
      <w:r w:rsidR="001513EF" w:rsidRPr="00B7554F">
        <w:rPr>
          <w:sz w:val="20"/>
          <w:lang w:val="en-GB"/>
        </w:rPr>
        <w:t xml:space="preserve"> claim </w:t>
      </w:r>
      <w:r w:rsidR="00E917A8" w:rsidRPr="00B7554F">
        <w:rPr>
          <w:sz w:val="20"/>
          <w:lang w:val="en-GB"/>
        </w:rPr>
        <w:t xml:space="preserve">that </w:t>
      </w:r>
      <w:r w:rsidR="001513EF" w:rsidRPr="00B7554F">
        <w:rPr>
          <w:sz w:val="20"/>
          <w:lang w:val="en-GB"/>
        </w:rPr>
        <w:t>the</w:t>
      </w:r>
      <w:r w:rsidR="00BD48E3" w:rsidRPr="00B7554F">
        <w:rPr>
          <w:sz w:val="20"/>
          <w:lang w:val="en-GB"/>
        </w:rPr>
        <w:t xml:space="preserve"> formal arguments of the</w:t>
      </w:r>
      <w:r w:rsidR="001513EF" w:rsidRPr="00B7554F">
        <w:rPr>
          <w:sz w:val="20"/>
          <w:lang w:val="en-GB"/>
        </w:rPr>
        <w:t xml:space="preserve"> representative of the Prime Minister </w:t>
      </w:r>
      <w:r w:rsidR="00E917A8" w:rsidRPr="00B7554F">
        <w:rPr>
          <w:sz w:val="20"/>
          <w:lang w:val="en-GB"/>
        </w:rPr>
        <w:t>does not constitute</w:t>
      </w:r>
      <w:r w:rsidR="001513EF" w:rsidRPr="00B7554F">
        <w:rPr>
          <w:sz w:val="20"/>
          <w:lang w:val="en-GB"/>
        </w:rPr>
        <w:t xml:space="preserve"> a legal remedy.</w:t>
      </w:r>
      <w:r w:rsidR="001513EF" w:rsidRPr="00B7554F">
        <w:rPr>
          <w:rStyle w:val="FootnoteReference"/>
          <w:sz w:val="20"/>
          <w:szCs w:val="20"/>
          <w:lang w:val="en-GB"/>
        </w:rPr>
        <w:footnoteReference w:id="68"/>
      </w:r>
      <w:r w:rsidR="001513EF" w:rsidRPr="00B7554F">
        <w:rPr>
          <w:sz w:val="20"/>
          <w:lang w:val="en-GB"/>
        </w:rPr>
        <w:t xml:space="preserve"> </w:t>
      </w:r>
    </w:p>
    <w:p w14:paraId="34B42CAE" w14:textId="6BD9AC71" w:rsidR="001513EF" w:rsidRPr="00B7554F" w:rsidRDefault="009250F8" w:rsidP="00873798">
      <w:pPr>
        <w:pStyle w:val="SingleTxtG"/>
        <w:numPr>
          <w:ilvl w:val="0"/>
          <w:numId w:val="3"/>
        </w:numPr>
        <w:tabs>
          <w:tab w:val="num" w:pos="1134"/>
        </w:tabs>
        <w:ind w:left="1100" w:right="0" w:firstLine="0"/>
        <w:rPr>
          <w:b/>
          <w:sz w:val="20"/>
          <w:szCs w:val="20"/>
          <w:lang w:val="en-GB"/>
        </w:rPr>
      </w:pPr>
      <w:r w:rsidRPr="00B7554F">
        <w:rPr>
          <w:sz w:val="20"/>
          <w:szCs w:val="20"/>
          <w:lang w:val="en-GB"/>
        </w:rPr>
        <w:t>Regarding</w:t>
      </w:r>
      <w:r w:rsidR="00643EE2" w:rsidRPr="00B7554F">
        <w:rPr>
          <w:sz w:val="20"/>
          <w:szCs w:val="20"/>
          <w:lang w:val="en-GB"/>
        </w:rPr>
        <w:t xml:space="preserve"> </w:t>
      </w:r>
      <w:r w:rsidR="00E917A8" w:rsidRPr="00B7554F">
        <w:rPr>
          <w:sz w:val="20"/>
          <w:szCs w:val="20"/>
          <w:lang w:val="en-GB"/>
        </w:rPr>
        <w:t>their</w:t>
      </w:r>
      <w:r w:rsidRPr="00B7554F">
        <w:rPr>
          <w:sz w:val="20"/>
          <w:szCs w:val="20"/>
          <w:lang w:val="en-GB"/>
        </w:rPr>
        <w:t xml:space="preserve"> public participation </w:t>
      </w:r>
      <w:r w:rsidR="00643EE2" w:rsidRPr="00B7554F">
        <w:rPr>
          <w:sz w:val="20"/>
          <w:szCs w:val="20"/>
          <w:lang w:val="en-GB"/>
        </w:rPr>
        <w:t>claims</w:t>
      </w:r>
      <w:r w:rsidRPr="00B7554F">
        <w:rPr>
          <w:sz w:val="20"/>
          <w:szCs w:val="20"/>
          <w:lang w:val="en-GB"/>
        </w:rPr>
        <w:t xml:space="preserve">, the </w:t>
      </w:r>
      <w:r w:rsidRPr="00B7554F">
        <w:rPr>
          <w:sz w:val="20"/>
          <w:lang w:val="en-GB"/>
        </w:rPr>
        <w:t xml:space="preserve">communicants </w:t>
      </w:r>
      <w:r w:rsidR="00643EE2" w:rsidRPr="00B7554F">
        <w:rPr>
          <w:sz w:val="20"/>
          <w:lang w:val="en-GB"/>
        </w:rPr>
        <w:t>submit</w:t>
      </w:r>
      <w:r w:rsidRPr="00B7554F">
        <w:rPr>
          <w:sz w:val="20"/>
          <w:lang w:val="en-GB"/>
        </w:rPr>
        <w:t xml:space="preserve"> that </w:t>
      </w:r>
      <w:r w:rsidRPr="00B7554F">
        <w:rPr>
          <w:sz w:val="20"/>
          <w:szCs w:val="20"/>
          <w:lang w:val="en-GB"/>
        </w:rPr>
        <w:t>no legal remedies were available.</w:t>
      </w:r>
      <w:r w:rsidRPr="00B7554F">
        <w:rPr>
          <w:rStyle w:val="FootnoteReference"/>
          <w:sz w:val="20"/>
          <w:szCs w:val="20"/>
          <w:lang w:val="en-GB"/>
        </w:rPr>
        <w:footnoteReference w:id="69"/>
      </w:r>
      <w:r w:rsidR="001513EF" w:rsidRPr="00B7554F">
        <w:rPr>
          <w:sz w:val="20"/>
          <w:szCs w:val="20"/>
          <w:lang w:val="en-GB"/>
        </w:rPr>
        <w:t xml:space="preserve"> </w:t>
      </w:r>
      <w:r w:rsidR="00435379" w:rsidRPr="00B7554F">
        <w:rPr>
          <w:sz w:val="20"/>
          <w:szCs w:val="20"/>
          <w:lang w:val="en-GB"/>
        </w:rPr>
        <w:t>They</w:t>
      </w:r>
      <w:r w:rsidR="001513EF" w:rsidRPr="00B7554F">
        <w:rPr>
          <w:sz w:val="20"/>
          <w:szCs w:val="20"/>
          <w:lang w:val="en-GB"/>
        </w:rPr>
        <w:t xml:space="preserve"> </w:t>
      </w:r>
      <w:r w:rsidR="00435379" w:rsidRPr="00B7554F">
        <w:rPr>
          <w:sz w:val="20"/>
          <w:szCs w:val="20"/>
          <w:lang w:val="en-GB"/>
        </w:rPr>
        <w:t xml:space="preserve">refer to their challenge Constitutional Court challenge regarding </w:t>
      </w:r>
      <w:r w:rsidR="001513EF" w:rsidRPr="00B7554F">
        <w:rPr>
          <w:sz w:val="20"/>
          <w:szCs w:val="20"/>
          <w:lang w:val="en-GB"/>
        </w:rPr>
        <w:t xml:space="preserve">Resolution </w:t>
      </w:r>
      <w:r w:rsidR="00E917A8" w:rsidRPr="00B7554F">
        <w:rPr>
          <w:sz w:val="20"/>
          <w:szCs w:val="20"/>
          <w:lang w:val="en-GB"/>
        </w:rPr>
        <w:t xml:space="preserve">77/2009 </w:t>
      </w:r>
      <w:r w:rsidR="001513EF" w:rsidRPr="00B7554F">
        <w:rPr>
          <w:sz w:val="20"/>
          <w:szCs w:val="20"/>
          <w:lang w:val="en-GB"/>
        </w:rPr>
        <w:t xml:space="preserve">(see para. </w:t>
      </w:r>
      <w:r w:rsidR="001513EF" w:rsidRPr="00B7554F">
        <w:rPr>
          <w:sz w:val="20"/>
          <w:szCs w:val="20"/>
          <w:lang w:val="en-GB"/>
        </w:rPr>
        <w:fldChar w:fldCharType="begin"/>
      </w:r>
      <w:r w:rsidR="001513EF" w:rsidRPr="00B7554F">
        <w:rPr>
          <w:sz w:val="20"/>
          <w:szCs w:val="20"/>
          <w:lang w:val="en-GB"/>
        </w:rPr>
        <w:instrText xml:space="preserve"> REF _Ref19018106 \r \h  \* MERGEFORMAT </w:instrText>
      </w:r>
      <w:r w:rsidR="001513EF" w:rsidRPr="00B7554F">
        <w:rPr>
          <w:sz w:val="20"/>
          <w:szCs w:val="20"/>
          <w:lang w:val="en-GB"/>
        </w:rPr>
      </w:r>
      <w:r w:rsidR="001513EF" w:rsidRPr="00B7554F">
        <w:rPr>
          <w:sz w:val="20"/>
          <w:szCs w:val="20"/>
          <w:lang w:val="en-GB"/>
        </w:rPr>
        <w:fldChar w:fldCharType="separate"/>
      </w:r>
      <w:r w:rsidR="00BF0EA2">
        <w:rPr>
          <w:sz w:val="20"/>
          <w:szCs w:val="20"/>
          <w:cs/>
          <w:lang w:val="en-GB"/>
        </w:rPr>
        <w:t>‎</w:t>
      </w:r>
      <w:r w:rsidR="00BF0EA2">
        <w:rPr>
          <w:sz w:val="20"/>
          <w:szCs w:val="20"/>
          <w:lang w:val="en-GB"/>
        </w:rPr>
        <w:t>36</w:t>
      </w:r>
      <w:r w:rsidR="001513EF" w:rsidRPr="00B7554F">
        <w:rPr>
          <w:sz w:val="20"/>
          <w:szCs w:val="20"/>
          <w:lang w:val="en-GB"/>
        </w:rPr>
        <w:fldChar w:fldCharType="end"/>
      </w:r>
      <w:r w:rsidR="001513EF" w:rsidRPr="00B7554F">
        <w:rPr>
          <w:sz w:val="20"/>
          <w:szCs w:val="20"/>
          <w:lang w:val="en-GB"/>
        </w:rPr>
        <w:t xml:space="preserve"> above)</w:t>
      </w:r>
      <w:r w:rsidR="00435379" w:rsidRPr="00B7554F">
        <w:rPr>
          <w:bCs/>
          <w:sz w:val="20"/>
          <w:szCs w:val="20"/>
          <w:lang w:val="en-GB"/>
        </w:rPr>
        <w:t xml:space="preserve"> and</w:t>
      </w:r>
      <w:r w:rsidR="001513EF" w:rsidRPr="00B7554F">
        <w:rPr>
          <w:bCs/>
          <w:sz w:val="20"/>
          <w:lang w:val="en-GB"/>
        </w:rPr>
        <w:t xml:space="preserve"> </w:t>
      </w:r>
      <w:r w:rsidR="001513EF" w:rsidRPr="00B7554F">
        <w:rPr>
          <w:sz w:val="20"/>
          <w:lang w:val="en-GB"/>
        </w:rPr>
        <w:t>submit that there were no legal remedies to challenge the government’s inaction</w:t>
      </w:r>
      <w:r w:rsidR="00643EE2" w:rsidRPr="00B7554F">
        <w:rPr>
          <w:sz w:val="20"/>
          <w:lang w:val="en-GB"/>
        </w:rPr>
        <w:t xml:space="preserve"> regarding the Ombudsman procedure (see paras. </w:t>
      </w:r>
      <w:r w:rsidR="00643EE2" w:rsidRPr="00B7554F">
        <w:rPr>
          <w:sz w:val="20"/>
          <w:lang w:val="en-GB"/>
        </w:rPr>
        <w:fldChar w:fldCharType="begin"/>
      </w:r>
      <w:r w:rsidR="00643EE2" w:rsidRPr="00B7554F">
        <w:rPr>
          <w:sz w:val="20"/>
          <w:lang w:val="en-GB"/>
        </w:rPr>
        <w:instrText xml:space="preserve"> REF _Ref19017969 \r \h  \* MERGEFORMAT </w:instrText>
      </w:r>
      <w:r w:rsidR="00643EE2" w:rsidRPr="00B7554F">
        <w:rPr>
          <w:sz w:val="20"/>
          <w:lang w:val="en-GB"/>
        </w:rPr>
      </w:r>
      <w:r w:rsidR="00643EE2" w:rsidRPr="00B7554F">
        <w:rPr>
          <w:sz w:val="20"/>
          <w:lang w:val="en-GB"/>
        </w:rPr>
        <w:fldChar w:fldCharType="separate"/>
      </w:r>
      <w:r w:rsidR="00BF0EA2">
        <w:rPr>
          <w:sz w:val="20"/>
          <w:cs/>
          <w:lang w:val="en-GB"/>
        </w:rPr>
        <w:t>‎</w:t>
      </w:r>
      <w:r w:rsidR="00BF0EA2">
        <w:rPr>
          <w:sz w:val="20"/>
          <w:lang w:val="en-GB"/>
        </w:rPr>
        <w:t>37</w:t>
      </w:r>
      <w:r w:rsidR="00643EE2" w:rsidRPr="00B7554F">
        <w:rPr>
          <w:sz w:val="20"/>
          <w:lang w:val="en-GB"/>
        </w:rPr>
        <w:fldChar w:fldCharType="end"/>
      </w:r>
      <w:r w:rsidR="00643EE2" w:rsidRPr="00B7554F">
        <w:rPr>
          <w:sz w:val="20"/>
          <w:lang w:val="en-GB"/>
        </w:rPr>
        <w:t>-</w:t>
      </w:r>
      <w:r w:rsidR="00643EE2" w:rsidRPr="00B7554F">
        <w:rPr>
          <w:sz w:val="20"/>
          <w:lang w:val="en-GB"/>
        </w:rPr>
        <w:fldChar w:fldCharType="begin"/>
      </w:r>
      <w:r w:rsidR="00643EE2" w:rsidRPr="00B7554F">
        <w:rPr>
          <w:sz w:val="20"/>
          <w:lang w:val="en-GB"/>
        </w:rPr>
        <w:instrText xml:space="preserve"> REF _Ref7000911 \r \h  \* MERGEFORMAT </w:instrText>
      </w:r>
      <w:r w:rsidR="00643EE2" w:rsidRPr="00B7554F">
        <w:rPr>
          <w:sz w:val="20"/>
          <w:lang w:val="en-GB"/>
        </w:rPr>
      </w:r>
      <w:r w:rsidR="00643EE2" w:rsidRPr="00B7554F">
        <w:rPr>
          <w:sz w:val="20"/>
          <w:lang w:val="en-GB"/>
        </w:rPr>
        <w:fldChar w:fldCharType="separate"/>
      </w:r>
      <w:r w:rsidR="00BF0EA2">
        <w:rPr>
          <w:sz w:val="20"/>
          <w:cs/>
          <w:lang w:val="en-GB"/>
        </w:rPr>
        <w:t>‎</w:t>
      </w:r>
      <w:r w:rsidR="00BF0EA2">
        <w:rPr>
          <w:sz w:val="20"/>
          <w:lang w:val="en-GB"/>
        </w:rPr>
        <w:t>38</w:t>
      </w:r>
      <w:r w:rsidR="00643EE2" w:rsidRPr="00B7554F">
        <w:rPr>
          <w:sz w:val="20"/>
          <w:lang w:val="en-GB"/>
        </w:rPr>
        <w:fldChar w:fldCharType="end"/>
      </w:r>
      <w:r w:rsidR="00643EE2" w:rsidRPr="00B7554F">
        <w:rPr>
          <w:sz w:val="20"/>
          <w:lang w:val="en-GB"/>
        </w:rPr>
        <w:t xml:space="preserve"> above)</w:t>
      </w:r>
      <w:r w:rsidR="001513EF" w:rsidRPr="00B7554F">
        <w:rPr>
          <w:sz w:val="20"/>
          <w:lang w:val="en-GB"/>
        </w:rPr>
        <w:t>.</w:t>
      </w:r>
      <w:r w:rsidR="001513EF" w:rsidRPr="00B7554F">
        <w:rPr>
          <w:rStyle w:val="FootnoteReference"/>
          <w:sz w:val="20"/>
          <w:szCs w:val="20"/>
          <w:lang w:val="en-GB"/>
        </w:rPr>
        <w:footnoteReference w:id="70"/>
      </w:r>
    </w:p>
    <w:p w14:paraId="4BC50CC9" w14:textId="1F80CD44" w:rsidR="001513EF" w:rsidRDefault="00F5756C" w:rsidP="001513EF">
      <w:pPr>
        <w:pStyle w:val="SingleTxtG"/>
        <w:numPr>
          <w:ilvl w:val="0"/>
          <w:numId w:val="3"/>
        </w:numPr>
        <w:tabs>
          <w:tab w:val="num" w:pos="1134"/>
        </w:tabs>
        <w:ind w:left="1100" w:right="0" w:firstLine="0"/>
        <w:rPr>
          <w:sz w:val="20"/>
          <w:lang w:val="en-GB"/>
        </w:rPr>
      </w:pPr>
      <w:r w:rsidRPr="00B7554F">
        <w:rPr>
          <w:sz w:val="20"/>
          <w:szCs w:val="20"/>
          <w:lang w:val="en-GB"/>
        </w:rPr>
        <w:t xml:space="preserve">The Party concerned </w:t>
      </w:r>
      <w:r w:rsidRPr="00B7554F">
        <w:rPr>
          <w:sz w:val="20"/>
          <w:lang w:val="en-GB"/>
        </w:rPr>
        <w:t xml:space="preserve">states Energiaklub brought numerous </w:t>
      </w:r>
      <w:r w:rsidR="00E917A8" w:rsidRPr="00B7554F">
        <w:rPr>
          <w:sz w:val="20"/>
          <w:lang w:val="en-GB"/>
        </w:rPr>
        <w:t>court proceedings regarding</w:t>
      </w:r>
      <w:r w:rsidR="009250F8" w:rsidRPr="00B7554F">
        <w:rPr>
          <w:sz w:val="20"/>
          <w:lang w:val="en-GB"/>
        </w:rPr>
        <w:t xml:space="preserve"> </w:t>
      </w:r>
      <w:r w:rsidR="00E917A8" w:rsidRPr="00B7554F">
        <w:rPr>
          <w:sz w:val="20"/>
          <w:lang w:val="en-GB"/>
        </w:rPr>
        <w:t xml:space="preserve">its requests for access to information regarding </w:t>
      </w:r>
      <w:r w:rsidR="009250F8" w:rsidRPr="00B7554F">
        <w:rPr>
          <w:sz w:val="20"/>
          <w:lang w:val="en-GB"/>
        </w:rPr>
        <w:t xml:space="preserve">the </w:t>
      </w:r>
      <w:r w:rsidR="00435379" w:rsidRPr="00B7554F">
        <w:rPr>
          <w:sz w:val="20"/>
          <w:lang w:val="en-GB"/>
        </w:rPr>
        <w:t>Teller and Lévai Project</w:t>
      </w:r>
      <w:r w:rsidR="00E917A8" w:rsidRPr="00B7554F">
        <w:rPr>
          <w:sz w:val="20"/>
          <w:lang w:val="en-GB"/>
        </w:rPr>
        <w:t>s</w:t>
      </w:r>
      <w:r w:rsidR="009250F8" w:rsidRPr="00B7554F">
        <w:rPr>
          <w:sz w:val="20"/>
          <w:lang w:val="en-GB"/>
        </w:rPr>
        <w:t>.</w:t>
      </w:r>
      <w:r w:rsidR="009250F8" w:rsidRPr="00B7554F">
        <w:rPr>
          <w:rStyle w:val="FootnoteReference"/>
          <w:lang w:val="en-GB"/>
        </w:rPr>
        <w:footnoteReference w:id="71"/>
      </w:r>
      <w:r w:rsidR="001513EF" w:rsidRPr="00B7554F">
        <w:rPr>
          <w:sz w:val="20"/>
          <w:lang w:val="en-GB"/>
        </w:rPr>
        <w:t xml:space="preserve"> It does not comment specifically on domestic remedies </w:t>
      </w:r>
      <w:r w:rsidR="00435379" w:rsidRPr="00B7554F">
        <w:rPr>
          <w:sz w:val="20"/>
          <w:lang w:val="en-GB"/>
        </w:rPr>
        <w:t>regarding</w:t>
      </w:r>
      <w:r w:rsidR="001513EF" w:rsidRPr="00B7554F">
        <w:rPr>
          <w:sz w:val="20"/>
          <w:lang w:val="en-GB"/>
        </w:rPr>
        <w:t xml:space="preserve"> the communicants’ public participation allegations. </w:t>
      </w:r>
      <w:r w:rsidR="001513EF" w:rsidRPr="00B7554F">
        <w:rPr>
          <w:sz w:val="20"/>
          <w:szCs w:val="20"/>
          <w:lang w:val="en-GB"/>
        </w:rPr>
        <w:t>The</w:t>
      </w:r>
      <w:r w:rsidR="001513EF" w:rsidRPr="00B7554F">
        <w:rPr>
          <w:sz w:val="20"/>
          <w:lang w:val="en-GB"/>
        </w:rPr>
        <w:t xml:space="preserve"> Party concerned requests </w:t>
      </w:r>
      <w:r w:rsidR="001513EF" w:rsidRPr="00B7554F">
        <w:rPr>
          <w:sz w:val="20"/>
          <w:szCs w:val="20"/>
          <w:lang w:val="en-GB"/>
        </w:rPr>
        <w:t xml:space="preserve">that </w:t>
      </w:r>
      <w:r w:rsidR="001513EF" w:rsidRPr="00B7554F">
        <w:rPr>
          <w:sz w:val="20"/>
          <w:lang w:val="en-GB"/>
        </w:rPr>
        <w:t xml:space="preserve">the Committee </w:t>
      </w:r>
      <w:r w:rsidR="00E917A8" w:rsidRPr="00B7554F">
        <w:rPr>
          <w:sz w:val="20"/>
          <w:lang w:val="en-GB"/>
        </w:rPr>
        <w:t>determine the communication to be inadmissible</w:t>
      </w:r>
      <w:r w:rsidR="001513EF" w:rsidRPr="00B7554F">
        <w:rPr>
          <w:sz w:val="20"/>
          <w:lang w:val="en-GB"/>
        </w:rPr>
        <w:t>.</w:t>
      </w:r>
      <w:r w:rsidR="001513EF" w:rsidRPr="00B7554F">
        <w:rPr>
          <w:rStyle w:val="FootnoteReference"/>
          <w:sz w:val="20"/>
          <w:lang w:val="en-GB"/>
        </w:rPr>
        <w:footnoteReference w:id="72"/>
      </w:r>
      <w:r w:rsidR="001513EF" w:rsidRPr="00B7554F">
        <w:rPr>
          <w:sz w:val="20"/>
          <w:lang w:val="en-GB"/>
        </w:rPr>
        <w:t xml:space="preserve"> </w:t>
      </w:r>
    </w:p>
    <w:p w14:paraId="2B4F5B28" w14:textId="6BC62F2B" w:rsidR="008A0053" w:rsidRDefault="008A0053" w:rsidP="008A0053">
      <w:pPr>
        <w:pStyle w:val="SingleTxtG"/>
        <w:ind w:right="0"/>
        <w:rPr>
          <w:sz w:val="20"/>
          <w:lang w:val="en-GB"/>
        </w:rPr>
      </w:pPr>
    </w:p>
    <w:p w14:paraId="2D0C6C2C" w14:textId="77777777" w:rsidR="008A0053" w:rsidRPr="00B7554F" w:rsidRDefault="008A0053" w:rsidP="008A0053">
      <w:pPr>
        <w:pStyle w:val="SingleTxtG"/>
        <w:ind w:right="0"/>
        <w:rPr>
          <w:sz w:val="20"/>
          <w:lang w:val="en-GB"/>
        </w:rPr>
      </w:pPr>
    </w:p>
    <w:p w14:paraId="1004F910" w14:textId="77777777" w:rsidR="002D12E0" w:rsidRPr="00B7554F" w:rsidRDefault="00411365" w:rsidP="007C2C2E">
      <w:pPr>
        <w:pStyle w:val="H1G"/>
        <w:numPr>
          <w:ilvl w:val="0"/>
          <w:numId w:val="4"/>
        </w:numPr>
        <w:ind w:right="0"/>
        <w:rPr>
          <w:lang w:val="en-GB"/>
        </w:rPr>
      </w:pPr>
      <w:r w:rsidRPr="00B7554F">
        <w:rPr>
          <w:lang w:val="en-GB"/>
        </w:rPr>
        <w:t>S</w:t>
      </w:r>
      <w:r w:rsidR="0023575C" w:rsidRPr="00B7554F">
        <w:rPr>
          <w:lang w:val="en-GB"/>
        </w:rPr>
        <w:t>ubstantive issues</w:t>
      </w:r>
    </w:p>
    <w:p w14:paraId="372B5A58" w14:textId="3B6218E4" w:rsidR="006B2DEC" w:rsidRPr="00B7554F" w:rsidRDefault="00EE5702" w:rsidP="00E837D9">
      <w:pPr>
        <w:ind w:left="1134"/>
        <w:rPr>
          <w:b/>
          <w:sz w:val="20"/>
          <w:szCs w:val="20"/>
          <w:lang w:val="en-GB"/>
        </w:rPr>
      </w:pPr>
      <w:bookmarkStart w:id="50" w:name="_Ref500324503"/>
      <w:r w:rsidRPr="00B7554F">
        <w:rPr>
          <w:b/>
          <w:sz w:val="20"/>
          <w:szCs w:val="20"/>
          <w:lang w:val="en-GB"/>
        </w:rPr>
        <w:t>Article 2(2) – public authority</w:t>
      </w:r>
    </w:p>
    <w:p w14:paraId="48EE8BD2" w14:textId="77777777" w:rsidR="00E35A71" w:rsidRPr="00B7554F" w:rsidRDefault="00E35A71" w:rsidP="00E35A71">
      <w:pPr>
        <w:ind w:left="1134"/>
        <w:rPr>
          <w:i/>
          <w:sz w:val="20"/>
          <w:lang w:val="en-GB"/>
        </w:rPr>
      </w:pPr>
    </w:p>
    <w:p w14:paraId="0276CE6F" w14:textId="2BB345F2" w:rsidR="00E35A71" w:rsidRPr="00B7554F" w:rsidRDefault="00FF17C7" w:rsidP="00FF17C7">
      <w:pPr>
        <w:pStyle w:val="SingleTxtG"/>
        <w:numPr>
          <w:ilvl w:val="0"/>
          <w:numId w:val="3"/>
        </w:numPr>
        <w:tabs>
          <w:tab w:val="num" w:pos="1134"/>
        </w:tabs>
        <w:ind w:left="1100" w:right="0" w:firstLine="0"/>
        <w:rPr>
          <w:sz w:val="20"/>
          <w:szCs w:val="20"/>
          <w:lang w:val="en-GB"/>
        </w:rPr>
      </w:pPr>
      <w:r w:rsidRPr="00B7554F">
        <w:rPr>
          <w:sz w:val="20"/>
          <w:szCs w:val="20"/>
          <w:lang w:val="en-GB"/>
        </w:rPr>
        <w:t>The comm</w:t>
      </w:r>
      <w:r w:rsidR="0044176B" w:rsidRPr="00B7554F">
        <w:rPr>
          <w:sz w:val="20"/>
          <w:szCs w:val="20"/>
          <w:lang w:val="en-GB"/>
        </w:rPr>
        <w:t xml:space="preserve">unicants </w:t>
      </w:r>
      <w:r w:rsidRPr="00B7554F">
        <w:rPr>
          <w:sz w:val="20"/>
          <w:szCs w:val="20"/>
          <w:lang w:val="en-GB"/>
        </w:rPr>
        <w:t>point out</w:t>
      </w:r>
      <w:r w:rsidR="0044176B" w:rsidRPr="00B7554F">
        <w:rPr>
          <w:sz w:val="20"/>
          <w:szCs w:val="20"/>
          <w:lang w:val="en-GB"/>
        </w:rPr>
        <w:t xml:space="preserve"> </w:t>
      </w:r>
      <w:r w:rsidR="006B70D0" w:rsidRPr="00B7554F">
        <w:rPr>
          <w:sz w:val="20"/>
          <w:szCs w:val="20"/>
          <w:lang w:val="en-GB"/>
        </w:rPr>
        <w:t>that the courts</w:t>
      </w:r>
      <w:r w:rsidR="00435379" w:rsidRPr="00B7554F">
        <w:rPr>
          <w:sz w:val="20"/>
          <w:szCs w:val="20"/>
          <w:lang w:val="en-GB"/>
        </w:rPr>
        <w:t xml:space="preserve"> </w:t>
      </w:r>
      <w:r w:rsidR="006B70D0" w:rsidRPr="00B7554F">
        <w:rPr>
          <w:sz w:val="20"/>
          <w:szCs w:val="20"/>
          <w:lang w:val="en-GB"/>
        </w:rPr>
        <w:t xml:space="preserve">considered that Paks Ltd. and MVM </w:t>
      </w:r>
      <w:r w:rsidR="006F4DFA" w:rsidRPr="00B7554F">
        <w:rPr>
          <w:sz w:val="20"/>
          <w:szCs w:val="20"/>
          <w:lang w:val="en-GB"/>
        </w:rPr>
        <w:t>were</w:t>
      </w:r>
      <w:r w:rsidR="006B70D0" w:rsidRPr="00B7554F">
        <w:rPr>
          <w:sz w:val="20"/>
          <w:szCs w:val="20"/>
          <w:lang w:val="en-GB"/>
        </w:rPr>
        <w:t xml:space="preserve"> performing public tasks and </w:t>
      </w:r>
      <w:r w:rsidR="000E1475" w:rsidRPr="00B7554F">
        <w:rPr>
          <w:sz w:val="20"/>
          <w:szCs w:val="20"/>
          <w:lang w:val="en-GB"/>
        </w:rPr>
        <w:t xml:space="preserve">were therefore subject to </w:t>
      </w:r>
      <w:r w:rsidR="00142EA7" w:rsidRPr="00B7554F">
        <w:rPr>
          <w:sz w:val="20"/>
          <w:szCs w:val="20"/>
          <w:lang w:val="en-GB"/>
        </w:rPr>
        <w:t xml:space="preserve">information disclosure </w:t>
      </w:r>
      <w:r w:rsidR="000E1475" w:rsidRPr="00B7554F">
        <w:rPr>
          <w:sz w:val="20"/>
          <w:szCs w:val="20"/>
          <w:lang w:val="en-GB"/>
        </w:rPr>
        <w:t>requirements.</w:t>
      </w:r>
      <w:r w:rsidR="000E1475" w:rsidRPr="00B7554F">
        <w:rPr>
          <w:rStyle w:val="FootnoteReference"/>
          <w:szCs w:val="20"/>
          <w:lang w:val="en-US"/>
        </w:rPr>
        <w:footnoteReference w:id="73"/>
      </w:r>
      <w:r w:rsidR="000E1475" w:rsidRPr="00B7554F">
        <w:rPr>
          <w:sz w:val="20"/>
          <w:szCs w:val="20"/>
          <w:lang w:val="en-GB"/>
        </w:rPr>
        <w:t xml:space="preserve"> </w:t>
      </w:r>
    </w:p>
    <w:p w14:paraId="52ED80A7" w14:textId="312FC46F" w:rsidR="00722F3C" w:rsidRPr="00B7554F" w:rsidRDefault="0097227E" w:rsidP="00AF2CCD">
      <w:pPr>
        <w:pStyle w:val="SingleTxtG"/>
        <w:numPr>
          <w:ilvl w:val="0"/>
          <w:numId w:val="3"/>
        </w:numPr>
        <w:tabs>
          <w:tab w:val="num" w:pos="1134"/>
        </w:tabs>
        <w:ind w:left="1100" w:right="0" w:firstLine="0"/>
        <w:rPr>
          <w:sz w:val="20"/>
          <w:szCs w:val="20"/>
          <w:lang w:val="en-GB"/>
        </w:rPr>
      </w:pPr>
      <w:r w:rsidRPr="00B7554F">
        <w:rPr>
          <w:sz w:val="20"/>
          <w:szCs w:val="20"/>
          <w:lang w:val="en-US"/>
        </w:rPr>
        <w:t xml:space="preserve">The Party concerned </w:t>
      </w:r>
      <w:r w:rsidR="00891479" w:rsidRPr="00B7554F">
        <w:rPr>
          <w:sz w:val="20"/>
          <w:szCs w:val="20"/>
          <w:lang w:val="en-US"/>
        </w:rPr>
        <w:t>submits</w:t>
      </w:r>
      <w:r w:rsidRPr="00B7554F">
        <w:rPr>
          <w:sz w:val="20"/>
          <w:szCs w:val="20"/>
          <w:lang w:val="en-US"/>
        </w:rPr>
        <w:t xml:space="preserve"> </w:t>
      </w:r>
      <w:r w:rsidR="00E917A8" w:rsidRPr="00B7554F">
        <w:rPr>
          <w:sz w:val="20"/>
          <w:szCs w:val="20"/>
          <w:lang w:val="en-US"/>
        </w:rPr>
        <w:t xml:space="preserve">that </w:t>
      </w:r>
      <w:r w:rsidRPr="00B7554F">
        <w:rPr>
          <w:sz w:val="20"/>
          <w:szCs w:val="20"/>
          <w:lang w:val="en-US"/>
        </w:rPr>
        <w:t xml:space="preserve">the communicants’ </w:t>
      </w:r>
      <w:r w:rsidRPr="00B7554F">
        <w:rPr>
          <w:sz w:val="20"/>
        </w:rPr>
        <w:t>information requests were made to commercial companies</w:t>
      </w:r>
      <w:r w:rsidR="00B03F0C" w:rsidRPr="00B7554F">
        <w:rPr>
          <w:sz w:val="20"/>
        </w:rPr>
        <w:t xml:space="preserve"> which </w:t>
      </w:r>
      <w:r w:rsidR="00AF2CCD" w:rsidRPr="00B7554F">
        <w:rPr>
          <w:sz w:val="20"/>
          <w:szCs w:val="20"/>
          <w:lang w:val="en-GB"/>
        </w:rPr>
        <w:t>are not</w:t>
      </w:r>
      <w:r w:rsidR="00B03F0C" w:rsidRPr="00B7554F">
        <w:rPr>
          <w:sz w:val="20"/>
          <w:szCs w:val="20"/>
        </w:rPr>
        <w:t xml:space="preserve"> </w:t>
      </w:r>
      <w:r w:rsidR="00B03F0C" w:rsidRPr="00B7554F">
        <w:rPr>
          <w:sz w:val="20"/>
        </w:rPr>
        <w:t xml:space="preserve">“public authorities” </w:t>
      </w:r>
      <w:r w:rsidR="00656473" w:rsidRPr="00B7554F">
        <w:rPr>
          <w:sz w:val="20"/>
          <w:szCs w:val="20"/>
          <w:lang w:val="en-GB"/>
        </w:rPr>
        <w:t>under</w:t>
      </w:r>
      <w:r w:rsidR="00B03F0C" w:rsidRPr="00B7554F">
        <w:rPr>
          <w:sz w:val="20"/>
        </w:rPr>
        <w:t xml:space="preserve"> article 2(2)</w:t>
      </w:r>
      <w:r w:rsidR="00C7245E" w:rsidRPr="00B7554F">
        <w:rPr>
          <w:sz w:val="20"/>
        </w:rPr>
        <w:t>.</w:t>
      </w:r>
      <w:r w:rsidR="00C7245E" w:rsidRPr="00B7554F">
        <w:rPr>
          <w:rStyle w:val="FootnoteReference"/>
          <w:sz w:val="20"/>
          <w:szCs w:val="20"/>
          <w:lang w:val="en-GB"/>
        </w:rPr>
        <w:footnoteReference w:id="74"/>
      </w:r>
      <w:r w:rsidR="00C7245E" w:rsidRPr="00B7554F">
        <w:rPr>
          <w:sz w:val="20"/>
          <w:szCs w:val="20"/>
          <w:lang w:val="en-GB"/>
        </w:rPr>
        <w:t xml:space="preserve"> </w:t>
      </w:r>
      <w:r w:rsidR="00AF2CCD" w:rsidRPr="00B7554F">
        <w:rPr>
          <w:sz w:val="20"/>
          <w:szCs w:val="20"/>
          <w:lang w:val="en-US"/>
        </w:rPr>
        <w:t xml:space="preserve">It </w:t>
      </w:r>
      <w:r w:rsidR="00656473" w:rsidRPr="00B7554F">
        <w:rPr>
          <w:sz w:val="20"/>
          <w:lang w:val="en-GB"/>
        </w:rPr>
        <w:t xml:space="preserve">provides </w:t>
      </w:r>
      <w:r w:rsidR="008924C7" w:rsidRPr="00B7554F">
        <w:rPr>
          <w:sz w:val="20"/>
          <w:lang w:val="en-GB"/>
        </w:rPr>
        <w:t xml:space="preserve">that its courts </w:t>
      </w:r>
      <w:r w:rsidR="00BE63DD" w:rsidRPr="00B7554F">
        <w:rPr>
          <w:sz w:val="20"/>
          <w:lang w:val="en-GB"/>
        </w:rPr>
        <w:t xml:space="preserve">have held </w:t>
      </w:r>
      <w:r w:rsidR="008924C7" w:rsidRPr="00B7554F">
        <w:rPr>
          <w:sz w:val="20"/>
          <w:lang w:val="en-GB"/>
        </w:rPr>
        <w:t xml:space="preserve">commercial companies can be performing public duties </w:t>
      </w:r>
      <w:r w:rsidR="00BE63DD" w:rsidRPr="00B7554F">
        <w:rPr>
          <w:sz w:val="20"/>
          <w:lang w:val="en-GB"/>
        </w:rPr>
        <w:t xml:space="preserve">under section 19(1) </w:t>
      </w:r>
      <w:r w:rsidR="00AF2CCD" w:rsidRPr="00B7554F">
        <w:rPr>
          <w:sz w:val="20"/>
          <w:lang w:val="en-GB"/>
        </w:rPr>
        <w:t xml:space="preserve">of the 1992 Data Protection Act </w:t>
      </w:r>
      <w:r w:rsidR="008924C7" w:rsidRPr="00B7554F">
        <w:rPr>
          <w:sz w:val="20"/>
          <w:lang w:val="en-GB"/>
        </w:rPr>
        <w:t xml:space="preserve">and therefore </w:t>
      </w:r>
      <w:r w:rsidR="00AF2CCD" w:rsidRPr="00B7554F">
        <w:rPr>
          <w:sz w:val="20"/>
          <w:lang w:val="en-GB"/>
        </w:rPr>
        <w:t>must</w:t>
      </w:r>
      <w:r w:rsidR="008924C7" w:rsidRPr="00B7554F">
        <w:rPr>
          <w:sz w:val="20"/>
          <w:lang w:val="en-GB"/>
        </w:rPr>
        <w:t xml:space="preserve"> provide information</w:t>
      </w:r>
      <w:r w:rsidR="00873798" w:rsidRPr="00B7554F">
        <w:rPr>
          <w:sz w:val="20"/>
          <w:lang w:val="en-GB"/>
        </w:rPr>
        <w:t>,</w:t>
      </w:r>
      <w:r w:rsidR="008924C7" w:rsidRPr="00B7554F">
        <w:rPr>
          <w:rStyle w:val="FootnoteReference"/>
          <w:sz w:val="20"/>
          <w:szCs w:val="20"/>
          <w:lang w:val="en-GB"/>
        </w:rPr>
        <w:footnoteReference w:id="75"/>
      </w:r>
      <w:r w:rsidR="008924C7" w:rsidRPr="00B7554F">
        <w:rPr>
          <w:sz w:val="20"/>
          <w:lang w:val="en-GB"/>
        </w:rPr>
        <w:t xml:space="preserve"> </w:t>
      </w:r>
      <w:r w:rsidR="00873798" w:rsidRPr="00B7554F">
        <w:rPr>
          <w:sz w:val="20"/>
          <w:lang w:val="en-GB"/>
        </w:rPr>
        <w:t>but that</w:t>
      </w:r>
      <w:r w:rsidR="008924C7" w:rsidRPr="00B7554F">
        <w:rPr>
          <w:sz w:val="20"/>
          <w:lang w:val="en-GB"/>
        </w:rPr>
        <w:t xml:space="preserve"> courts have thereby created a</w:t>
      </w:r>
      <w:r w:rsidR="00873798" w:rsidRPr="00B7554F">
        <w:rPr>
          <w:sz w:val="20"/>
          <w:lang w:val="en-GB"/>
        </w:rPr>
        <w:t xml:space="preserve">n </w:t>
      </w:r>
      <w:r w:rsidR="008924C7" w:rsidRPr="00B7554F">
        <w:rPr>
          <w:sz w:val="20"/>
          <w:lang w:val="en-GB"/>
        </w:rPr>
        <w:t>interpretation that goes further than the Convention</w:t>
      </w:r>
      <w:r w:rsidR="00656473" w:rsidRPr="00B7554F">
        <w:rPr>
          <w:sz w:val="20"/>
          <w:lang w:val="en-GB"/>
        </w:rPr>
        <w:t>,</w:t>
      </w:r>
      <w:r w:rsidR="008924C7" w:rsidRPr="00B7554F">
        <w:rPr>
          <w:rStyle w:val="FootnoteReference"/>
          <w:sz w:val="20"/>
          <w:szCs w:val="20"/>
          <w:lang w:val="en-GB"/>
        </w:rPr>
        <w:footnoteReference w:id="76"/>
      </w:r>
      <w:r w:rsidR="008924C7" w:rsidRPr="00B7554F">
        <w:rPr>
          <w:sz w:val="20"/>
          <w:lang w:val="en-GB"/>
        </w:rPr>
        <w:t xml:space="preserve"> </w:t>
      </w:r>
      <w:r w:rsidR="00656473" w:rsidRPr="00B7554F">
        <w:rPr>
          <w:sz w:val="20"/>
          <w:lang w:val="en-GB"/>
        </w:rPr>
        <w:t>and</w:t>
      </w:r>
      <w:r w:rsidR="008924C7" w:rsidRPr="00B7554F">
        <w:rPr>
          <w:sz w:val="20"/>
          <w:lang w:val="en-GB"/>
        </w:rPr>
        <w:t xml:space="preserve"> that it falls beyond the Committee’s competence to examine whether commercial companies are performing public duties.</w:t>
      </w:r>
      <w:r w:rsidR="008924C7" w:rsidRPr="00B7554F">
        <w:rPr>
          <w:rStyle w:val="FootnoteReference"/>
          <w:sz w:val="20"/>
          <w:szCs w:val="20"/>
          <w:lang w:val="en-GB"/>
        </w:rPr>
        <w:footnoteReference w:id="77"/>
      </w:r>
    </w:p>
    <w:p w14:paraId="7D1808B3" w14:textId="648A1341" w:rsidR="00E917A8" w:rsidRPr="00B7554F" w:rsidRDefault="00E917A8" w:rsidP="00E917A8">
      <w:pPr>
        <w:pStyle w:val="SingleTxtG"/>
        <w:numPr>
          <w:ilvl w:val="0"/>
          <w:numId w:val="3"/>
        </w:numPr>
        <w:tabs>
          <w:tab w:val="num" w:pos="1134"/>
        </w:tabs>
        <w:ind w:left="1100" w:right="0" w:firstLine="0"/>
        <w:rPr>
          <w:sz w:val="20"/>
          <w:szCs w:val="20"/>
          <w:lang w:val="en-GB"/>
        </w:rPr>
      </w:pPr>
      <w:r w:rsidRPr="00B7554F">
        <w:rPr>
          <w:sz w:val="20"/>
          <w:szCs w:val="20"/>
          <w:lang w:val="en-GB"/>
        </w:rPr>
        <w:t>Observer Greenpeace Central and Eastern Europe submits that the Government’s full control over the Teller and Lévai Projects</w:t>
      </w:r>
      <w:r w:rsidRPr="00B7554F" w:rsidDel="00A931C9">
        <w:rPr>
          <w:sz w:val="20"/>
          <w:szCs w:val="20"/>
          <w:lang w:val="en-GB"/>
        </w:rPr>
        <w:t xml:space="preserve"> </w:t>
      </w:r>
      <w:r w:rsidRPr="00B7554F">
        <w:rPr>
          <w:sz w:val="20"/>
          <w:szCs w:val="20"/>
          <w:lang w:val="en-GB"/>
        </w:rPr>
        <w:t>supports the courts’ conclusion that Paks Ltd. and MVM were public authorities.</w:t>
      </w:r>
      <w:r w:rsidRPr="00B7554F">
        <w:rPr>
          <w:rStyle w:val="FootnoteReference"/>
          <w:sz w:val="20"/>
          <w:szCs w:val="20"/>
          <w:lang w:val="en-GB"/>
        </w:rPr>
        <w:footnoteReference w:id="78"/>
      </w:r>
    </w:p>
    <w:p w14:paraId="7C6D605B" w14:textId="108F9E55" w:rsidR="0097227E" w:rsidRPr="00B7554F" w:rsidRDefault="00EE5702" w:rsidP="0097227E">
      <w:pPr>
        <w:pStyle w:val="SingleTxtG"/>
        <w:ind w:right="0"/>
        <w:rPr>
          <w:b/>
          <w:bCs/>
          <w:sz w:val="20"/>
          <w:szCs w:val="20"/>
          <w:lang w:val="en-GB"/>
        </w:rPr>
      </w:pPr>
      <w:r w:rsidRPr="00B7554F">
        <w:rPr>
          <w:b/>
          <w:bCs/>
          <w:sz w:val="20"/>
          <w:szCs w:val="20"/>
          <w:lang w:val="en-GB"/>
        </w:rPr>
        <w:t>Article 2(3)</w:t>
      </w:r>
      <w:r w:rsidR="00656473" w:rsidRPr="00B7554F">
        <w:rPr>
          <w:b/>
          <w:bCs/>
          <w:sz w:val="20"/>
          <w:szCs w:val="20"/>
          <w:lang w:val="en-GB"/>
        </w:rPr>
        <w:t xml:space="preserve"> – </w:t>
      </w:r>
      <w:r w:rsidRPr="00B7554F">
        <w:rPr>
          <w:b/>
          <w:bCs/>
          <w:sz w:val="20"/>
          <w:szCs w:val="20"/>
          <w:lang w:val="en-GB"/>
        </w:rPr>
        <w:t>e</w:t>
      </w:r>
      <w:r w:rsidR="0097227E" w:rsidRPr="00B7554F">
        <w:rPr>
          <w:b/>
          <w:bCs/>
          <w:sz w:val="20"/>
          <w:szCs w:val="20"/>
          <w:lang w:val="en-GB"/>
        </w:rPr>
        <w:t>nvironmental information</w:t>
      </w:r>
    </w:p>
    <w:p w14:paraId="788421F4" w14:textId="6710FEB1" w:rsidR="00E917A8" w:rsidRPr="00B7554F" w:rsidRDefault="00E917A8" w:rsidP="00E917A8">
      <w:pPr>
        <w:pStyle w:val="SingleTxtG"/>
        <w:numPr>
          <w:ilvl w:val="0"/>
          <w:numId w:val="3"/>
        </w:numPr>
        <w:tabs>
          <w:tab w:val="num" w:pos="1134"/>
        </w:tabs>
        <w:ind w:left="1100" w:right="0" w:firstLine="0"/>
        <w:rPr>
          <w:sz w:val="20"/>
          <w:szCs w:val="20"/>
          <w:lang w:val="en-GB"/>
        </w:rPr>
      </w:pPr>
      <w:r w:rsidRPr="00B7554F">
        <w:rPr>
          <w:sz w:val="20"/>
          <w:szCs w:val="20"/>
          <w:lang w:val="en-GB"/>
        </w:rPr>
        <w:t>As to why their requests were framed as information requests generally, rather than environmental information requests, the communicants claim that at the time of their 2010 information requests, they did not know what information the Party concerned possessed and accordingly framed their requests more broadly.</w:t>
      </w:r>
    </w:p>
    <w:p w14:paraId="0B166D29" w14:textId="09372343" w:rsidR="0097227E" w:rsidRPr="00B7554F" w:rsidRDefault="003B1CC4" w:rsidP="00E917A8">
      <w:pPr>
        <w:pStyle w:val="SingleTxtG"/>
        <w:numPr>
          <w:ilvl w:val="0"/>
          <w:numId w:val="3"/>
        </w:numPr>
        <w:tabs>
          <w:tab w:val="num" w:pos="1134"/>
        </w:tabs>
        <w:ind w:left="1100" w:right="0" w:firstLine="0"/>
        <w:rPr>
          <w:sz w:val="20"/>
          <w:szCs w:val="20"/>
          <w:lang w:val="en-GB"/>
        </w:rPr>
      </w:pPr>
      <w:r w:rsidRPr="00B7554F">
        <w:rPr>
          <w:sz w:val="20"/>
          <w:szCs w:val="20"/>
          <w:lang w:val="en-US"/>
        </w:rPr>
        <w:t xml:space="preserve">The Party concerned </w:t>
      </w:r>
      <w:r w:rsidR="00382AB8" w:rsidRPr="00B7554F">
        <w:rPr>
          <w:sz w:val="20"/>
          <w:szCs w:val="20"/>
          <w:lang w:val="en-US"/>
        </w:rPr>
        <w:t xml:space="preserve">claims </w:t>
      </w:r>
      <w:r w:rsidR="00873798" w:rsidRPr="00B7554F">
        <w:rPr>
          <w:sz w:val="20"/>
          <w:szCs w:val="20"/>
          <w:lang w:val="en-US"/>
        </w:rPr>
        <w:t xml:space="preserve">the </w:t>
      </w:r>
      <w:r w:rsidR="00382AB8" w:rsidRPr="00B7554F">
        <w:rPr>
          <w:sz w:val="20"/>
          <w:szCs w:val="20"/>
          <w:lang w:val="en-US"/>
        </w:rPr>
        <w:t>material scope</w:t>
      </w:r>
      <w:r w:rsidR="00873798" w:rsidRPr="00B7554F">
        <w:rPr>
          <w:sz w:val="20"/>
          <w:szCs w:val="20"/>
          <w:lang w:val="en-US"/>
        </w:rPr>
        <w:t xml:space="preserve"> of article 2(3) of the Convention</w:t>
      </w:r>
      <w:r w:rsidR="00382AB8" w:rsidRPr="00B7554F">
        <w:rPr>
          <w:sz w:val="20"/>
          <w:szCs w:val="20"/>
          <w:lang w:val="en-US"/>
        </w:rPr>
        <w:t xml:space="preserve"> is reflected in article 2 of the </w:t>
      </w:r>
      <w:r w:rsidR="00E917A8" w:rsidRPr="00B7554F">
        <w:rPr>
          <w:sz w:val="20"/>
          <w:szCs w:val="20"/>
          <w:lang w:val="en-US"/>
        </w:rPr>
        <w:t xml:space="preserve">Decree on </w:t>
      </w:r>
      <w:r w:rsidR="00382AB8" w:rsidRPr="00B7554F">
        <w:rPr>
          <w:sz w:val="20"/>
          <w:szCs w:val="20"/>
          <w:lang w:val="en-US"/>
        </w:rPr>
        <w:t>Environmental Information</w:t>
      </w:r>
      <w:r w:rsidR="00656473" w:rsidRPr="00B7554F">
        <w:rPr>
          <w:sz w:val="20"/>
          <w:szCs w:val="20"/>
          <w:lang w:val="en-US"/>
        </w:rPr>
        <w:t xml:space="preserve"> Access </w:t>
      </w:r>
      <w:r w:rsidR="00382AB8" w:rsidRPr="00B7554F">
        <w:rPr>
          <w:sz w:val="20"/>
          <w:szCs w:val="20"/>
          <w:lang w:val="en-US"/>
        </w:rPr>
        <w:t>and article 12 of the Environmental Code.</w:t>
      </w:r>
      <w:r w:rsidR="00382AB8" w:rsidRPr="00B7554F">
        <w:rPr>
          <w:rStyle w:val="FootnoteReference"/>
          <w:sz w:val="20"/>
          <w:szCs w:val="20"/>
          <w:lang w:val="en-GB"/>
        </w:rPr>
        <w:footnoteReference w:id="79"/>
      </w:r>
      <w:r w:rsidR="00382AB8" w:rsidRPr="00B7554F">
        <w:rPr>
          <w:sz w:val="20"/>
          <w:szCs w:val="20"/>
          <w:lang w:val="en-US"/>
        </w:rPr>
        <w:t xml:space="preserve"> </w:t>
      </w:r>
      <w:r w:rsidR="00656473" w:rsidRPr="00B7554F">
        <w:rPr>
          <w:sz w:val="20"/>
          <w:szCs w:val="20"/>
          <w:lang w:val="en-US"/>
        </w:rPr>
        <w:t>It</w:t>
      </w:r>
      <w:r w:rsidR="00382AB8" w:rsidRPr="00B7554F">
        <w:rPr>
          <w:sz w:val="20"/>
          <w:szCs w:val="20"/>
          <w:lang w:val="en-US"/>
        </w:rPr>
        <w:t xml:space="preserve"> </w:t>
      </w:r>
      <w:r w:rsidR="00E917A8" w:rsidRPr="00B7554F">
        <w:rPr>
          <w:sz w:val="20"/>
          <w:szCs w:val="20"/>
          <w:lang w:val="en-US"/>
        </w:rPr>
        <w:t>submits that</w:t>
      </w:r>
      <w:r w:rsidR="00656473" w:rsidRPr="00B7554F">
        <w:rPr>
          <w:sz w:val="20"/>
          <w:szCs w:val="20"/>
          <w:lang w:val="en-US"/>
        </w:rPr>
        <w:t xml:space="preserve"> </w:t>
      </w:r>
      <w:r w:rsidRPr="00B7554F">
        <w:rPr>
          <w:sz w:val="20"/>
          <w:szCs w:val="20"/>
          <w:lang w:val="en-US"/>
        </w:rPr>
        <w:t>Energia</w:t>
      </w:r>
      <w:r w:rsidR="00A4281D" w:rsidRPr="00B7554F">
        <w:rPr>
          <w:sz w:val="20"/>
          <w:szCs w:val="20"/>
          <w:lang w:val="en-US"/>
        </w:rPr>
        <w:t>klub</w:t>
      </w:r>
      <w:r w:rsidRPr="00B7554F">
        <w:rPr>
          <w:sz w:val="20"/>
          <w:szCs w:val="20"/>
          <w:lang w:val="en-US"/>
        </w:rPr>
        <w:t xml:space="preserve">’s claims concerning the Teller and </w:t>
      </w:r>
      <w:r w:rsidRPr="00B7554F">
        <w:rPr>
          <w:sz w:val="20"/>
          <w:szCs w:val="20"/>
          <w:lang w:val="en-GB"/>
        </w:rPr>
        <w:t>Lévai Projects</w:t>
      </w:r>
      <w:r w:rsidRPr="00B7554F">
        <w:rPr>
          <w:sz w:val="20"/>
          <w:szCs w:val="20"/>
          <w:lang w:val="en-US"/>
        </w:rPr>
        <w:t xml:space="preserve"> were</w:t>
      </w:r>
      <w:r w:rsidR="00656473" w:rsidRPr="00B7554F">
        <w:rPr>
          <w:sz w:val="20"/>
          <w:szCs w:val="20"/>
          <w:lang w:val="en-US"/>
        </w:rPr>
        <w:t xml:space="preserve"> </w:t>
      </w:r>
      <w:r w:rsidR="00873798" w:rsidRPr="00B7554F">
        <w:rPr>
          <w:sz w:val="20"/>
          <w:szCs w:val="20"/>
          <w:lang w:val="en-US"/>
        </w:rPr>
        <w:t>not based on</w:t>
      </w:r>
      <w:r w:rsidR="00382AB8" w:rsidRPr="00B7554F">
        <w:rPr>
          <w:sz w:val="20"/>
          <w:szCs w:val="20"/>
          <w:lang w:val="en-US"/>
        </w:rPr>
        <w:t xml:space="preserve"> these provisions </w:t>
      </w:r>
      <w:r w:rsidR="00656473" w:rsidRPr="00B7554F">
        <w:rPr>
          <w:sz w:val="20"/>
          <w:szCs w:val="20"/>
          <w:lang w:val="en-US"/>
        </w:rPr>
        <w:t xml:space="preserve">nor on </w:t>
      </w:r>
      <w:r w:rsidR="00382AB8" w:rsidRPr="00B7554F">
        <w:rPr>
          <w:sz w:val="20"/>
          <w:szCs w:val="20"/>
          <w:lang w:val="en-US"/>
        </w:rPr>
        <w:t>the fact that the data was environmental information</w:t>
      </w:r>
      <w:r w:rsidR="00E917A8" w:rsidRPr="00B7554F">
        <w:rPr>
          <w:sz w:val="20"/>
          <w:szCs w:val="20"/>
          <w:lang w:val="en-US"/>
        </w:rPr>
        <w:t xml:space="preserve">. It </w:t>
      </w:r>
      <w:r w:rsidR="00382AB8" w:rsidRPr="00B7554F">
        <w:rPr>
          <w:sz w:val="20"/>
          <w:szCs w:val="20"/>
          <w:lang w:val="en-US"/>
        </w:rPr>
        <w:t xml:space="preserve">concludes that the requests </w:t>
      </w:r>
      <w:r w:rsidR="0037452E" w:rsidRPr="00B7554F">
        <w:rPr>
          <w:sz w:val="20"/>
          <w:szCs w:val="20"/>
          <w:lang w:val="en-US"/>
        </w:rPr>
        <w:t xml:space="preserve">and litigation </w:t>
      </w:r>
      <w:r w:rsidR="00382AB8" w:rsidRPr="00B7554F">
        <w:rPr>
          <w:sz w:val="20"/>
          <w:szCs w:val="20"/>
          <w:lang w:val="en-US"/>
        </w:rPr>
        <w:t xml:space="preserve">regarding the Teller and </w:t>
      </w:r>
      <w:r w:rsidR="00382AB8" w:rsidRPr="00B7554F">
        <w:rPr>
          <w:sz w:val="20"/>
          <w:szCs w:val="20"/>
          <w:lang w:val="en-GB"/>
        </w:rPr>
        <w:t>Lévai Projects do not fall within</w:t>
      </w:r>
      <w:r w:rsidRPr="00B7554F">
        <w:rPr>
          <w:sz w:val="20"/>
          <w:szCs w:val="20"/>
          <w:lang w:val="en-US"/>
        </w:rPr>
        <w:t xml:space="preserve"> the scope of the Convention</w:t>
      </w:r>
      <w:r w:rsidR="00E917A8" w:rsidRPr="00B7554F">
        <w:rPr>
          <w:sz w:val="20"/>
          <w:szCs w:val="20"/>
          <w:lang w:val="en-US"/>
        </w:rPr>
        <w:t>.</w:t>
      </w:r>
      <w:r w:rsidRPr="00B7554F">
        <w:rPr>
          <w:rStyle w:val="FootnoteReference"/>
          <w:sz w:val="20"/>
          <w:szCs w:val="20"/>
          <w:lang w:val="en-GB"/>
        </w:rPr>
        <w:footnoteReference w:id="80"/>
      </w:r>
      <w:r w:rsidR="00EA20CA" w:rsidRPr="00B7554F">
        <w:rPr>
          <w:sz w:val="20"/>
          <w:szCs w:val="20"/>
          <w:lang w:val="en-US"/>
        </w:rPr>
        <w:t xml:space="preserve"> </w:t>
      </w:r>
    </w:p>
    <w:p w14:paraId="54430DBC" w14:textId="77777777" w:rsidR="002C1CBC" w:rsidRPr="00B7554F" w:rsidRDefault="003B1CC4" w:rsidP="001F1182">
      <w:pPr>
        <w:pStyle w:val="SingleTxtG"/>
        <w:ind w:left="1100" w:right="0"/>
        <w:rPr>
          <w:sz w:val="20"/>
          <w:szCs w:val="20"/>
          <w:lang w:val="en-GB"/>
        </w:rPr>
      </w:pPr>
      <w:r w:rsidRPr="00B7554F">
        <w:rPr>
          <w:b/>
          <w:sz w:val="20"/>
          <w:lang w:val="en-GB"/>
        </w:rPr>
        <w:t>Article 4</w:t>
      </w:r>
      <w:r w:rsidR="001F1182" w:rsidRPr="00B7554F">
        <w:rPr>
          <w:b/>
          <w:sz w:val="20"/>
          <w:lang w:val="en-GB"/>
        </w:rPr>
        <w:t>(</w:t>
      </w:r>
      <w:r w:rsidRPr="00B7554F">
        <w:rPr>
          <w:b/>
          <w:sz w:val="20"/>
          <w:lang w:val="en-GB"/>
        </w:rPr>
        <w:t>2</w:t>
      </w:r>
      <w:r w:rsidR="001F1182" w:rsidRPr="00B7554F">
        <w:rPr>
          <w:b/>
          <w:sz w:val="20"/>
          <w:lang w:val="en-GB"/>
        </w:rPr>
        <w:t>)</w:t>
      </w:r>
    </w:p>
    <w:p w14:paraId="2B72B83E" w14:textId="68B9CD26" w:rsidR="00AD0A6F" w:rsidRPr="00B7554F" w:rsidRDefault="002603F8" w:rsidP="00014337">
      <w:pPr>
        <w:pStyle w:val="SingleTxtG"/>
        <w:numPr>
          <w:ilvl w:val="0"/>
          <w:numId w:val="3"/>
        </w:numPr>
        <w:tabs>
          <w:tab w:val="num" w:pos="1134"/>
        </w:tabs>
        <w:ind w:left="1100" w:right="0" w:firstLine="0"/>
        <w:rPr>
          <w:sz w:val="20"/>
          <w:lang w:val="en-GB"/>
        </w:rPr>
      </w:pPr>
      <w:r w:rsidRPr="00B7554F">
        <w:rPr>
          <w:sz w:val="20"/>
          <w:lang w:val="en-GB"/>
        </w:rPr>
        <w:t xml:space="preserve">The communicants claim </w:t>
      </w:r>
      <w:r w:rsidRPr="00B7554F">
        <w:rPr>
          <w:sz w:val="20"/>
          <w:szCs w:val="20"/>
          <w:lang w:val="en-GB"/>
        </w:rPr>
        <w:t>the delay</w:t>
      </w:r>
      <w:r w:rsidR="0037452E" w:rsidRPr="00B7554F">
        <w:rPr>
          <w:sz w:val="20"/>
          <w:szCs w:val="20"/>
          <w:lang w:val="en-GB"/>
        </w:rPr>
        <w:t xml:space="preserve"> of three years</w:t>
      </w:r>
      <w:r w:rsidRPr="00B7554F">
        <w:rPr>
          <w:sz w:val="20"/>
          <w:szCs w:val="20"/>
          <w:lang w:val="en-GB"/>
        </w:rPr>
        <w:t xml:space="preserve"> in receiving muc</w:t>
      </w:r>
      <w:r w:rsidR="00F84E6F" w:rsidRPr="00B7554F">
        <w:rPr>
          <w:sz w:val="20"/>
          <w:szCs w:val="20"/>
          <w:lang w:val="en-GB"/>
        </w:rPr>
        <w:t>h of the</w:t>
      </w:r>
      <w:r w:rsidR="0037452E" w:rsidRPr="00B7554F">
        <w:rPr>
          <w:sz w:val="20"/>
          <w:szCs w:val="20"/>
          <w:lang w:val="en-GB"/>
        </w:rPr>
        <w:t xml:space="preserve"> Teller Project</w:t>
      </w:r>
      <w:r w:rsidRPr="00B7554F">
        <w:rPr>
          <w:sz w:val="20"/>
          <w:szCs w:val="20"/>
          <w:lang w:val="en-GB"/>
        </w:rPr>
        <w:t xml:space="preserve"> informati</w:t>
      </w:r>
      <w:r w:rsidR="00995C19" w:rsidRPr="00B7554F">
        <w:rPr>
          <w:sz w:val="20"/>
          <w:szCs w:val="20"/>
          <w:lang w:val="en-GB"/>
        </w:rPr>
        <w:t xml:space="preserve">on made some </w:t>
      </w:r>
      <w:r w:rsidR="00486437" w:rsidRPr="00B7554F">
        <w:rPr>
          <w:sz w:val="20"/>
          <w:szCs w:val="20"/>
          <w:lang w:val="en-GB"/>
        </w:rPr>
        <w:t xml:space="preserve">of the </w:t>
      </w:r>
      <w:r w:rsidR="00995C19" w:rsidRPr="00B7554F">
        <w:rPr>
          <w:sz w:val="20"/>
          <w:szCs w:val="20"/>
          <w:lang w:val="en-GB"/>
        </w:rPr>
        <w:t xml:space="preserve">information </w:t>
      </w:r>
      <w:r w:rsidR="00486437" w:rsidRPr="00B7554F">
        <w:rPr>
          <w:sz w:val="20"/>
          <w:szCs w:val="20"/>
          <w:lang w:val="en-GB"/>
        </w:rPr>
        <w:t xml:space="preserve">received </w:t>
      </w:r>
      <w:r w:rsidRPr="00B7554F">
        <w:rPr>
          <w:sz w:val="20"/>
          <w:szCs w:val="20"/>
          <w:lang w:val="en-GB"/>
        </w:rPr>
        <w:t>superfluous and futile</w:t>
      </w:r>
      <w:r w:rsidR="0037452E" w:rsidRPr="00B7554F">
        <w:rPr>
          <w:sz w:val="20"/>
          <w:szCs w:val="20"/>
          <w:lang w:val="en-GB"/>
        </w:rPr>
        <w:t>,</w:t>
      </w:r>
      <w:r w:rsidR="00F84E6F" w:rsidRPr="00B7554F">
        <w:rPr>
          <w:sz w:val="20"/>
          <w:szCs w:val="20"/>
          <w:lang w:val="en-GB"/>
        </w:rPr>
        <w:t xml:space="preserve"> </w:t>
      </w:r>
      <w:r w:rsidR="0037452E" w:rsidRPr="00B7554F">
        <w:rPr>
          <w:sz w:val="20"/>
          <w:szCs w:val="20"/>
          <w:lang w:val="en-GB"/>
        </w:rPr>
        <w:t xml:space="preserve">and that they were </w:t>
      </w:r>
      <w:r w:rsidRPr="00B7554F">
        <w:rPr>
          <w:sz w:val="20"/>
          <w:lang w:val="en-GB"/>
        </w:rPr>
        <w:t xml:space="preserve">repeatedly </w:t>
      </w:r>
      <w:r w:rsidR="0057446A" w:rsidRPr="00B7554F">
        <w:rPr>
          <w:sz w:val="20"/>
          <w:szCs w:val="20"/>
          <w:lang w:val="en-GB"/>
        </w:rPr>
        <w:t>confronting</w:t>
      </w:r>
      <w:r w:rsidRPr="00B7554F">
        <w:rPr>
          <w:sz w:val="20"/>
          <w:lang w:val="en-GB"/>
        </w:rPr>
        <w:t xml:space="preserve"> false arguments and spending large resources on legal rem</w:t>
      </w:r>
      <w:r w:rsidR="00FA45C1" w:rsidRPr="00B7554F">
        <w:rPr>
          <w:sz w:val="20"/>
          <w:lang w:val="en-GB"/>
        </w:rPr>
        <w:t>edies</w:t>
      </w:r>
      <w:r w:rsidR="00FA45C1" w:rsidRPr="00B7554F">
        <w:rPr>
          <w:sz w:val="20"/>
          <w:szCs w:val="20"/>
          <w:lang w:val="en-GB"/>
        </w:rPr>
        <w:t>.</w:t>
      </w:r>
      <w:r w:rsidR="00EC59E7" w:rsidRPr="00B7554F">
        <w:rPr>
          <w:rStyle w:val="FootnoteReference"/>
          <w:szCs w:val="20"/>
          <w:lang w:val="en-GB"/>
        </w:rPr>
        <w:footnoteReference w:id="81"/>
      </w:r>
      <w:r w:rsidR="00FA45C1" w:rsidRPr="00B7554F">
        <w:rPr>
          <w:sz w:val="20"/>
          <w:szCs w:val="20"/>
          <w:lang w:val="en-GB"/>
        </w:rPr>
        <w:t xml:space="preserve"> </w:t>
      </w:r>
      <w:r w:rsidR="0037452E" w:rsidRPr="00B7554F">
        <w:rPr>
          <w:sz w:val="20"/>
          <w:lang w:val="en-GB"/>
        </w:rPr>
        <w:t>They</w:t>
      </w:r>
      <w:r w:rsidR="00FA45C1" w:rsidRPr="00B7554F">
        <w:rPr>
          <w:sz w:val="20"/>
          <w:lang w:val="en-GB"/>
        </w:rPr>
        <w:t xml:space="preserve"> </w:t>
      </w:r>
      <w:r w:rsidRPr="00B7554F">
        <w:rPr>
          <w:sz w:val="20"/>
          <w:lang w:val="en-GB"/>
        </w:rPr>
        <w:t>claim</w:t>
      </w:r>
      <w:r w:rsidR="00A5693A" w:rsidRPr="00B7554F">
        <w:rPr>
          <w:sz w:val="20"/>
          <w:lang w:val="en-GB"/>
        </w:rPr>
        <w:t xml:space="preserve"> </w:t>
      </w:r>
      <w:r w:rsidRPr="00B7554F">
        <w:rPr>
          <w:sz w:val="20"/>
          <w:lang w:val="en-GB"/>
        </w:rPr>
        <w:t xml:space="preserve">the delay in </w:t>
      </w:r>
      <w:r w:rsidR="0037452E" w:rsidRPr="00B7554F">
        <w:rPr>
          <w:sz w:val="20"/>
          <w:lang w:val="en-GB"/>
        </w:rPr>
        <w:t>accessing</w:t>
      </w:r>
      <w:r w:rsidRPr="00B7554F">
        <w:rPr>
          <w:sz w:val="20"/>
          <w:lang w:val="en-GB"/>
        </w:rPr>
        <w:t xml:space="preserve"> information</w:t>
      </w:r>
      <w:r w:rsidR="0057446A" w:rsidRPr="00B7554F">
        <w:rPr>
          <w:sz w:val="20"/>
          <w:lang w:val="en-GB"/>
        </w:rPr>
        <w:t xml:space="preserve"> </w:t>
      </w:r>
      <w:r w:rsidR="00F84E6F" w:rsidRPr="00B7554F">
        <w:rPr>
          <w:sz w:val="20"/>
          <w:lang w:val="en-GB"/>
        </w:rPr>
        <w:t xml:space="preserve">practically excluded </w:t>
      </w:r>
      <w:r w:rsidR="0057446A" w:rsidRPr="00B7554F">
        <w:rPr>
          <w:sz w:val="20"/>
          <w:lang w:val="en-GB"/>
        </w:rPr>
        <w:t xml:space="preserve">all </w:t>
      </w:r>
      <w:r w:rsidRPr="00B7554F">
        <w:rPr>
          <w:sz w:val="20"/>
          <w:lang w:val="en-GB"/>
        </w:rPr>
        <w:t xml:space="preserve">those who could have given an opinion on </w:t>
      </w:r>
      <w:r w:rsidR="007E0F97" w:rsidRPr="00B7554F">
        <w:rPr>
          <w:sz w:val="20"/>
          <w:lang w:val="en-GB"/>
        </w:rPr>
        <w:t>the Paks NPP</w:t>
      </w:r>
      <w:r w:rsidRPr="00B7554F">
        <w:rPr>
          <w:sz w:val="20"/>
          <w:lang w:val="en-GB"/>
        </w:rPr>
        <w:t xml:space="preserve"> </w:t>
      </w:r>
      <w:r w:rsidR="0037452E" w:rsidRPr="00B7554F">
        <w:rPr>
          <w:sz w:val="20"/>
          <w:lang w:val="en-GB"/>
        </w:rPr>
        <w:t xml:space="preserve">expansion plans </w:t>
      </w:r>
      <w:r w:rsidRPr="00B7554F">
        <w:rPr>
          <w:sz w:val="20"/>
          <w:lang w:val="en-GB"/>
        </w:rPr>
        <w:t xml:space="preserve">from </w:t>
      </w:r>
      <w:r w:rsidR="00EE290B" w:rsidRPr="00B7554F">
        <w:rPr>
          <w:sz w:val="20"/>
          <w:lang w:val="en-GB"/>
        </w:rPr>
        <w:t>participating in the decision-making process</w:t>
      </w:r>
      <w:r w:rsidRPr="00B7554F">
        <w:rPr>
          <w:sz w:val="20"/>
          <w:lang w:val="en-GB"/>
        </w:rPr>
        <w:t>. They submit that</w:t>
      </w:r>
      <w:r w:rsidR="00665B87" w:rsidRPr="00B7554F">
        <w:rPr>
          <w:sz w:val="20"/>
          <w:szCs w:val="20"/>
          <w:lang w:val="en-GB"/>
        </w:rPr>
        <w:t>,</w:t>
      </w:r>
      <w:r w:rsidRPr="00B7554F">
        <w:rPr>
          <w:sz w:val="20"/>
          <w:lang w:val="en-GB"/>
        </w:rPr>
        <w:t xml:space="preserve"> </w:t>
      </w:r>
      <w:r w:rsidR="00F84E6F" w:rsidRPr="00B7554F">
        <w:rPr>
          <w:sz w:val="20"/>
          <w:lang w:val="en-GB"/>
        </w:rPr>
        <w:t>when</w:t>
      </w:r>
      <w:r w:rsidRPr="00B7554F">
        <w:rPr>
          <w:sz w:val="20"/>
          <w:lang w:val="en-GB"/>
        </w:rPr>
        <w:t xml:space="preserve"> the requested information</w:t>
      </w:r>
      <w:r w:rsidR="00F84E6F" w:rsidRPr="00B7554F">
        <w:rPr>
          <w:sz w:val="20"/>
          <w:lang w:val="en-GB"/>
        </w:rPr>
        <w:t xml:space="preserve"> was received</w:t>
      </w:r>
      <w:r w:rsidR="008E0FE3" w:rsidRPr="00B7554F">
        <w:rPr>
          <w:sz w:val="20"/>
          <w:lang w:val="en-GB"/>
        </w:rPr>
        <w:t>,</w:t>
      </w:r>
      <w:r w:rsidRPr="00B7554F">
        <w:rPr>
          <w:sz w:val="20"/>
          <w:lang w:val="en-GB"/>
        </w:rPr>
        <w:t xml:space="preserve"> all </w:t>
      </w:r>
      <w:r w:rsidR="00B5646D" w:rsidRPr="00B7554F">
        <w:rPr>
          <w:sz w:val="20"/>
          <w:lang w:val="en-GB"/>
        </w:rPr>
        <w:t xml:space="preserve">issues </w:t>
      </w:r>
      <w:r w:rsidR="0037452E" w:rsidRPr="00B7554F">
        <w:rPr>
          <w:sz w:val="20"/>
          <w:lang w:val="en-GB"/>
        </w:rPr>
        <w:t xml:space="preserve">had been </w:t>
      </w:r>
      <w:r w:rsidR="00B5646D" w:rsidRPr="00B7554F">
        <w:rPr>
          <w:sz w:val="20"/>
          <w:lang w:val="en-GB"/>
        </w:rPr>
        <w:t>decided</w:t>
      </w:r>
      <w:r w:rsidR="00834F07" w:rsidRPr="00B7554F">
        <w:rPr>
          <w:sz w:val="20"/>
          <w:lang w:val="en-GB"/>
        </w:rPr>
        <w:t xml:space="preserve"> and the </w:t>
      </w:r>
      <w:r w:rsidR="00834F07" w:rsidRPr="00B7554F">
        <w:rPr>
          <w:sz w:val="20"/>
          <w:szCs w:val="20"/>
          <w:lang w:val="en-GB"/>
        </w:rPr>
        <w:t xml:space="preserve">future of </w:t>
      </w:r>
      <w:r w:rsidR="00F84E6F" w:rsidRPr="00B7554F">
        <w:rPr>
          <w:sz w:val="20"/>
          <w:szCs w:val="20"/>
          <w:lang w:val="en-GB"/>
        </w:rPr>
        <w:t xml:space="preserve">Hungary’s </w:t>
      </w:r>
      <w:r w:rsidR="00834F07" w:rsidRPr="00B7554F">
        <w:rPr>
          <w:sz w:val="20"/>
          <w:lang w:val="en-GB"/>
        </w:rPr>
        <w:t>energy policy</w:t>
      </w:r>
      <w:r w:rsidR="00834F07" w:rsidRPr="00B7554F">
        <w:rPr>
          <w:sz w:val="20"/>
          <w:szCs w:val="20"/>
          <w:lang w:val="en-GB"/>
        </w:rPr>
        <w:t xml:space="preserve"> d</w:t>
      </w:r>
      <w:r w:rsidR="00DC0B58" w:rsidRPr="00B7554F">
        <w:rPr>
          <w:sz w:val="20"/>
          <w:szCs w:val="20"/>
          <w:lang w:val="en-GB"/>
        </w:rPr>
        <w:t>etermined</w:t>
      </w:r>
      <w:r w:rsidR="00834F07" w:rsidRPr="00B7554F">
        <w:rPr>
          <w:sz w:val="20"/>
          <w:szCs w:val="20"/>
          <w:lang w:val="en-GB"/>
        </w:rPr>
        <w:t>.</w:t>
      </w:r>
      <w:r w:rsidR="00834F07" w:rsidRPr="00B7554F">
        <w:rPr>
          <w:rStyle w:val="FootnoteReference"/>
          <w:szCs w:val="20"/>
          <w:lang w:val="en-GB"/>
        </w:rPr>
        <w:footnoteReference w:id="82"/>
      </w:r>
      <w:r w:rsidRPr="00B7554F">
        <w:rPr>
          <w:sz w:val="20"/>
          <w:szCs w:val="20"/>
          <w:lang w:val="en-GB"/>
        </w:rPr>
        <w:t xml:space="preserve"> </w:t>
      </w:r>
      <w:bookmarkStart w:id="51" w:name="_Ref500334197"/>
      <w:bookmarkEnd w:id="50"/>
    </w:p>
    <w:p w14:paraId="6B12FF48" w14:textId="4A6CECF3" w:rsidR="00BD2ACC" w:rsidRPr="00B7554F" w:rsidRDefault="002B6A5C" w:rsidP="00790607">
      <w:pPr>
        <w:pStyle w:val="SingleTxtG"/>
        <w:numPr>
          <w:ilvl w:val="0"/>
          <w:numId w:val="3"/>
        </w:numPr>
        <w:tabs>
          <w:tab w:val="num" w:pos="1134"/>
        </w:tabs>
        <w:ind w:left="1100" w:right="0" w:firstLine="0"/>
        <w:rPr>
          <w:sz w:val="20"/>
          <w:lang w:val="en-GB"/>
        </w:rPr>
      </w:pPr>
      <w:bookmarkStart w:id="52" w:name="_Ref500324464"/>
      <w:bookmarkEnd w:id="51"/>
      <w:r w:rsidRPr="00B7554F">
        <w:rPr>
          <w:sz w:val="20"/>
          <w:lang w:val="en-GB"/>
        </w:rPr>
        <w:lastRenderedPageBreak/>
        <w:t>While acknowledging that all the requested information relating to the Teller Project was finally received, t</w:t>
      </w:r>
      <w:r w:rsidR="002603F8" w:rsidRPr="00B7554F">
        <w:rPr>
          <w:sz w:val="20"/>
          <w:lang w:val="en-GB"/>
        </w:rPr>
        <w:t xml:space="preserve">he communicants submit that </w:t>
      </w:r>
      <w:r w:rsidR="0037452E" w:rsidRPr="00B7554F">
        <w:rPr>
          <w:sz w:val="20"/>
          <w:lang w:val="en-GB"/>
        </w:rPr>
        <w:t xml:space="preserve">seventy-two </w:t>
      </w:r>
      <w:r w:rsidR="002603F8" w:rsidRPr="00B7554F">
        <w:rPr>
          <w:sz w:val="20"/>
          <w:lang w:val="en-GB"/>
        </w:rPr>
        <w:t>contracts</w:t>
      </w:r>
      <w:r w:rsidR="00F84E6F" w:rsidRPr="00B7554F">
        <w:rPr>
          <w:sz w:val="20"/>
          <w:lang w:val="en-GB"/>
        </w:rPr>
        <w:t xml:space="preserve"> </w:t>
      </w:r>
      <w:r w:rsidR="002603F8" w:rsidRPr="00B7554F">
        <w:rPr>
          <w:sz w:val="20"/>
          <w:lang w:val="en-GB"/>
        </w:rPr>
        <w:t>concerning the Lévai</w:t>
      </w:r>
      <w:r w:rsidR="002603F8" w:rsidRPr="00B7554F">
        <w:rPr>
          <w:sz w:val="20"/>
          <w:szCs w:val="20"/>
          <w:lang w:val="en-GB"/>
        </w:rPr>
        <w:t xml:space="preserve"> </w:t>
      </w:r>
      <w:r w:rsidR="002C7B85" w:rsidRPr="00B7554F">
        <w:rPr>
          <w:sz w:val="20"/>
          <w:szCs w:val="20"/>
          <w:lang w:val="en-GB"/>
        </w:rPr>
        <w:t>Projec</w:t>
      </w:r>
      <w:r w:rsidR="002603F8" w:rsidRPr="00B7554F">
        <w:rPr>
          <w:sz w:val="20"/>
          <w:szCs w:val="20"/>
          <w:lang w:val="en-GB"/>
        </w:rPr>
        <w:t>t</w:t>
      </w:r>
      <w:r w:rsidR="002603F8" w:rsidRPr="00B7554F">
        <w:rPr>
          <w:sz w:val="20"/>
          <w:lang w:val="en-GB"/>
        </w:rPr>
        <w:t xml:space="preserve"> </w:t>
      </w:r>
      <w:r w:rsidR="002361A3" w:rsidRPr="00B7554F">
        <w:rPr>
          <w:sz w:val="20"/>
          <w:lang w:val="en-GB"/>
        </w:rPr>
        <w:t xml:space="preserve">were </w:t>
      </w:r>
      <w:r w:rsidR="002361A3" w:rsidRPr="00B7554F">
        <w:rPr>
          <w:sz w:val="20"/>
          <w:szCs w:val="20"/>
          <w:lang w:val="en-GB"/>
        </w:rPr>
        <w:t>not</w:t>
      </w:r>
      <w:r w:rsidR="00011139" w:rsidRPr="00B7554F">
        <w:rPr>
          <w:sz w:val="20"/>
          <w:szCs w:val="20"/>
          <w:lang w:val="en-GB"/>
        </w:rPr>
        <w:t xml:space="preserve"> received despite Energiaklub’s successful litigation</w:t>
      </w:r>
      <w:r w:rsidR="002603F8" w:rsidRPr="00B7554F">
        <w:rPr>
          <w:sz w:val="20"/>
          <w:szCs w:val="20"/>
          <w:lang w:val="en-GB"/>
        </w:rPr>
        <w:t>.</w:t>
      </w:r>
      <w:r w:rsidR="00011139" w:rsidRPr="00B7554F">
        <w:rPr>
          <w:rStyle w:val="FootnoteReference"/>
          <w:szCs w:val="20"/>
          <w:lang w:val="en-GB"/>
        </w:rPr>
        <w:footnoteReference w:id="83"/>
      </w:r>
      <w:r w:rsidR="00011139" w:rsidRPr="00B7554F">
        <w:rPr>
          <w:sz w:val="20"/>
          <w:szCs w:val="20"/>
          <w:lang w:val="en-GB"/>
        </w:rPr>
        <w:t xml:space="preserve"> </w:t>
      </w:r>
      <w:r w:rsidR="002603F8" w:rsidRPr="00B7554F">
        <w:rPr>
          <w:sz w:val="20"/>
          <w:szCs w:val="20"/>
          <w:lang w:val="en-GB"/>
        </w:rPr>
        <w:t xml:space="preserve"> </w:t>
      </w:r>
      <w:bookmarkEnd w:id="52"/>
      <w:r w:rsidR="00F84E6F" w:rsidRPr="00B7554F">
        <w:rPr>
          <w:sz w:val="20"/>
          <w:szCs w:val="20"/>
          <w:lang w:val="en-GB"/>
        </w:rPr>
        <w:t xml:space="preserve">They </w:t>
      </w:r>
      <w:r w:rsidR="00011139" w:rsidRPr="00B7554F">
        <w:rPr>
          <w:sz w:val="20"/>
          <w:szCs w:val="20"/>
          <w:lang w:val="en-GB"/>
        </w:rPr>
        <w:t xml:space="preserve">submit that, after turning to the </w:t>
      </w:r>
      <w:r w:rsidR="007E0F97" w:rsidRPr="00B7554F">
        <w:rPr>
          <w:rStyle w:val="st"/>
          <w:sz w:val="20"/>
          <w:szCs w:val="20"/>
          <w:lang w:val="en-GB"/>
        </w:rPr>
        <w:t>NDPA</w:t>
      </w:r>
      <w:r w:rsidR="007E0F97" w:rsidRPr="00B7554F">
        <w:rPr>
          <w:sz w:val="20"/>
          <w:szCs w:val="20"/>
          <w:lang w:val="en-GB"/>
        </w:rPr>
        <w:t>,</w:t>
      </w:r>
      <w:r w:rsidR="00011139" w:rsidRPr="00B7554F">
        <w:rPr>
          <w:sz w:val="20"/>
          <w:szCs w:val="20"/>
          <w:lang w:val="en-GB"/>
        </w:rPr>
        <w:t xml:space="preserve"> MVM released </w:t>
      </w:r>
      <w:r w:rsidR="0037452E" w:rsidRPr="00B7554F">
        <w:rPr>
          <w:sz w:val="20"/>
          <w:szCs w:val="20"/>
          <w:lang w:val="en-GB"/>
        </w:rPr>
        <w:t>thirteen</w:t>
      </w:r>
      <w:r w:rsidR="00011139" w:rsidRPr="00B7554F">
        <w:rPr>
          <w:sz w:val="20"/>
          <w:szCs w:val="20"/>
          <w:lang w:val="en-GB"/>
        </w:rPr>
        <w:t xml:space="preserve">, leaving </w:t>
      </w:r>
      <w:r w:rsidR="0037452E" w:rsidRPr="00B7554F">
        <w:rPr>
          <w:sz w:val="20"/>
          <w:szCs w:val="20"/>
          <w:lang w:val="en-GB"/>
        </w:rPr>
        <w:t>fifty-nine un</w:t>
      </w:r>
      <w:r w:rsidR="00011139" w:rsidRPr="00B7554F">
        <w:rPr>
          <w:sz w:val="20"/>
          <w:szCs w:val="20"/>
          <w:lang w:val="en-GB"/>
        </w:rPr>
        <w:t>disclosed, four of which contain environmental information.</w:t>
      </w:r>
      <w:r w:rsidR="00011139" w:rsidRPr="00B7554F">
        <w:rPr>
          <w:rStyle w:val="FootnoteReference"/>
          <w:szCs w:val="20"/>
          <w:lang w:val="en-GB"/>
        </w:rPr>
        <w:footnoteReference w:id="84"/>
      </w:r>
    </w:p>
    <w:p w14:paraId="52D8686A" w14:textId="39E74F89" w:rsidR="00052581" w:rsidRPr="00B7554F" w:rsidRDefault="00B66679" w:rsidP="00790607">
      <w:pPr>
        <w:pStyle w:val="SingleTxtG"/>
        <w:numPr>
          <w:ilvl w:val="0"/>
          <w:numId w:val="3"/>
        </w:numPr>
        <w:tabs>
          <w:tab w:val="num" w:pos="1134"/>
        </w:tabs>
        <w:ind w:left="1100" w:right="0" w:firstLine="0"/>
        <w:rPr>
          <w:sz w:val="20"/>
          <w:szCs w:val="20"/>
          <w:lang w:val="en-GB"/>
        </w:rPr>
      </w:pPr>
      <w:r w:rsidRPr="00B7554F">
        <w:rPr>
          <w:sz w:val="20"/>
          <w:szCs w:val="20"/>
          <w:lang w:val="en-GB"/>
        </w:rPr>
        <w:t>T</w:t>
      </w:r>
      <w:r w:rsidR="002603F8" w:rsidRPr="00B7554F">
        <w:rPr>
          <w:sz w:val="20"/>
          <w:szCs w:val="20"/>
          <w:lang w:val="en-GB"/>
        </w:rPr>
        <w:t>he</w:t>
      </w:r>
      <w:r w:rsidR="002603F8" w:rsidRPr="00B7554F">
        <w:rPr>
          <w:sz w:val="20"/>
          <w:lang w:val="en-GB"/>
        </w:rPr>
        <w:t xml:space="preserve"> Party concerned claims that, following the final </w:t>
      </w:r>
      <w:r w:rsidR="00F84E6F" w:rsidRPr="00B7554F">
        <w:rPr>
          <w:sz w:val="20"/>
          <w:lang w:val="en-GB"/>
        </w:rPr>
        <w:t xml:space="preserve">court </w:t>
      </w:r>
      <w:r w:rsidR="002603F8" w:rsidRPr="00B7554F">
        <w:rPr>
          <w:sz w:val="20"/>
          <w:lang w:val="en-GB"/>
        </w:rPr>
        <w:t xml:space="preserve">decisions, Energiaklub obtained almost </w:t>
      </w:r>
      <w:r w:rsidR="002603F8" w:rsidRPr="00B7554F">
        <w:rPr>
          <w:sz w:val="20"/>
          <w:szCs w:val="20"/>
          <w:lang w:val="en-GB"/>
        </w:rPr>
        <w:t>all the documents requested in a fairly short time considering that their requests sought the release of thousands of pages</w:t>
      </w:r>
      <w:r w:rsidR="0037452E" w:rsidRPr="00B7554F">
        <w:rPr>
          <w:sz w:val="20"/>
          <w:szCs w:val="20"/>
          <w:lang w:val="en-GB"/>
        </w:rPr>
        <w:t xml:space="preserve">, </w:t>
      </w:r>
      <w:r w:rsidR="002603F8" w:rsidRPr="00B7554F">
        <w:rPr>
          <w:sz w:val="20"/>
          <w:szCs w:val="20"/>
          <w:lang w:val="en-GB"/>
        </w:rPr>
        <w:t xml:space="preserve">including information protected by intellectual property rights and confidential </w:t>
      </w:r>
      <w:r w:rsidR="00640115" w:rsidRPr="00B7554F">
        <w:rPr>
          <w:sz w:val="20"/>
          <w:szCs w:val="20"/>
          <w:lang w:val="en-GB"/>
        </w:rPr>
        <w:t>commercial information.</w:t>
      </w:r>
      <w:r w:rsidR="002B6A5C" w:rsidRPr="00B7554F">
        <w:rPr>
          <w:rStyle w:val="FootnoteReference"/>
          <w:sz w:val="20"/>
          <w:szCs w:val="20"/>
          <w:lang w:val="en-GB"/>
        </w:rPr>
        <w:footnoteReference w:id="85"/>
      </w:r>
    </w:p>
    <w:p w14:paraId="532A7CB4" w14:textId="589ABC39" w:rsidR="00B66679" w:rsidRPr="00B7554F" w:rsidRDefault="00640115" w:rsidP="00790607">
      <w:pPr>
        <w:pStyle w:val="SingleTxtG"/>
        <w:numPr>
          <w:ilvl w:val="0"/>
          <w:numId w:val="3"/>
        </w:numPr>
        <w:tabs>
          <w:tab w:val="num" w:pos="1134"/>
        </w:tabs>
        <w:ind w:left="1100" w:right="0" w:firstLine="0"/>
        <w:rPr>
          <w:sz w:val="20"/>
          <w:szCs w:val="20"/>
          <w:lang w:val="en-GB"/>
        </w:rPr>
      </w:pPr>
      <w:r w:rsidRPr="00B7554F">
        <w:rPr>
          <w:sz w:val="20"/>
          <w:szCs w:val="20"/>
          <w:lang w:val="en-GB"/>
        </w:rPr>
        <w:t xml:space="preserve"> </w:t>
      </w:r>
      <w:bookmarkStart w:id="53" w:name="_Ref500847488"/>
      <w:r w:rsidR="00052581" w:rsidRPr="00B7554F">
        <w:rPr>
          <w:sz w:val="20"/>
          <w:szCs w:val="20"/>
          <w:lang w:val="en-GB"/>
        </w:rPr>
        <w:t xml:space="preserve">With respect to the four contracts the communicants allege contain environmental information, the Party </w:t>
      </w:r>
      <w:r w:rsidR="007D3C52" w:rsidRPr="00B7554F">
        <w:rPr>
          <w:sz w:val="20"/>
          <w:szCs w:val="20"/>
          <w:lang w:val="en-GB"/>
        </w:rPr>
        <w:t xml:space="preserve">concerned claims that </w:t>
      </w:r>
      <w:r w:rsidR="007D3C52" w:rsidRPr="00B7554F">
        <w:rPr>
          <w:sz w:val="20"/>
          <w:szCs w:val="20"/>
          <w:lang w:val="en-US"/>
        </w:rPr>
        <w:t xml:space="preserve">one had been provided to Energiaklub, </w:t>
      </w:r>
      <w:r w:rsidR="00ED4310" w:rsidRPr="00B7554F">
        <w:rPr>
          <w:sz w:val="20"/>
          <w:szCs w:val="20"/>
          <w:lang w:val="en-US"/>
        </w:rPr>
        <w:t>one</w:t>
      </w:r>
      <w:r w:rsidR="007D3C52" w:rsidRPr="00B7554F">
        <w:rPr>
          <w:sz w:val="20"/>
          <w:szCs w:val="20"/>
          <w:lang w:val="en-US"/>
        </w:rPr>
        <w:t xml:space="preserve"> </w:t>
      </w:r>
      <w:r w:rsidR="005D50E8" w:rsidRPr="00B7554F">
        <w:rPr>
          <w:sz w:val="20"/>
          <w:szCs w:val="20"/>
          <w:lang w:val="en-US"/>
        </w:rPr>
        <w:t>was</w:t>
      </w:r>
      <w:r w:rsidR="007D3C52" w:rsidRPr="00B7554F">
        <w:rPr>
          <w:sz w:val="20"/>
          <w:szCs w:val="20"/>
          <w:lang w:val="en-US"/>
        </w:rPr>
        <w:t xml:space="preserve"> provided after the 2015 court decision, and </w:t>
      </w:r>
      <w:r w:rsidR="002603F8" w:rsidRPr="00B7554F">
        <w:rPr>
          <w:sz w:val="20"/>
          <w:szCs w:val="20"/>
          <w:lang w:val="en-GB"/>
        </w:rPr>
        <w:t xml:space="preserve">the other two </w:t>
      </w:r>
      <w:r w:rsidR="007D3C52" w:rsidRPr="00B7554F">
        <w:rPr>
          <w:sz w:val="20"/>
          <w:szCs w:val="20"/>
          <w:lang w:val="en-GB"/>
        </w:rPr>
        <w:t>were</w:t>
      </w:r>
      <w:r w:rsidR="007E0F97" w:rsidRPr="00B7554F">
        <w:rPr>
          <w:sz w:val="20"/>
          <w:szCs w:val="20"/>
          <w:lang w:val="en-GB"/>
        </w:rPr>
        <w:t xml:space="preserve"> </w:t>
      </w:r>
      <w:r w:rsidR="007D3C52" w:rsidRPr="00B7554F">
        <w:rPr>
          <w:sz w:val="20"/>
          <w:szCs w:val="20"/>
          <w:lang w:val="en-GB"/>
        </w:rPr>
        <w:t xml:space="preserve">not </w:t>
      </w:r>
      <w:r w:rsidR="005D50E8" w:rsidRPr="00B7554F">
        <w:rPr>
          <w:sz w:val="20"/>
          <w:szCs w:val="20"/>
          <w:lang w:val="en-GB"/>
        </w:rPr>
        <w:t>requested</w:t>
      </w:r>
      <w:bookmarkEnd w:id="53"/>
      <w:r w:rsidR="002603F8" w:rsidRPr="00B7554F">
        <w:rPr>
          <w:sz w:val="20"/>
          <w:szCs w:val="20"/>
          <w:lang w:val="en-GB"/>
        </w:rPr>
        <w:t>.</w:t>
      </w:r>
      <w:r w:rsidR="002603F8" w:rsidRPr="00B7554F">
        <w:rPr>
          <w:rStyle w:val="FootnoteReference"/>
          <w:sz w:val="20"/>
          <w:szCs w:val="20"/>
          <w:lang w:val="en-GB"/>
        </w:rPr>
        <w:footnoteReference w:id="86"/>
      </w:r>
      <w:bookmarkStart w:id="54" w:name="_Ref500334299"/>
    </w:p>
    <w:p w14:paraId="1FFEE933" w14:textId="77777777" w:rsidR="00345CEF" w:rsidRPr="00B7554F" w:rsidRDefault="00345CEF" w:rsidP="00345CEF">
      <w:pPr>
        <w:pStyle w:val="SingleTxtG"/>
        <w:ind w:right="0"/>
        <w:rPr>
          <w:b/>
          <w:bCs/>
          <w:sz w:val="20"/>
          <w:lang w:val="en-GB"/>
        </w:rPr>
      </w:pPr>
      <w:r w:rsidRPr="00B7554F">
        <w:rPr>
          <w:b/>
          <w:bCs/>
          <w:sz w:val="20"/>
          <w:lang w:val="en-GB"/>
        </w:rPr>
        <w:t>Article 4(3)(c)</w:t>
      </w:r>
    </w:p>
    <w:p w14:paraId="1144FAE9" w14:textId="2A2F675E" w:rsidR="00345CEF" w:rsidRPr="00B7554F" w:rsidRDefault="00EE290B" w:rsidP="00345CEF">
      <w:pPr>
        <w:pStyle w:val="SingleTxtG"/>
        <w:numPr>
          <w:ilvl w:val="0"/>
          <w:numId w:val="3"/>
        </w:numPr>
        <w:tabs>
          <w:tab w:val="num" w:pos="1134"/>
        </w:tabs>
        <w:ind w:left="1100" w:right="0" w:firstLine="0"/>
        <w:rPr>
          <w:sz w:val="20"/>
          <w:lang w:val="en-GB"/>
        </w:rPr>
      </w:pPr>
      <w:r w:rsidRPr="00B7554F">
        <w:rPr>
          <w:sz w:val="20"/>
          <w:lang w:val="en-GB"/>
        </w:rPr>
        <w:t>Regarding</w:t>
      </w:r>
      <w:r w:rsidR="00BD6D11" w:rsidRPr="00B7554F">
        <w:rPr>
          <w:sz w:val="20"/>
          <w:szCs w:val="20"/>
          <w:lang w:val="en-GB"/>
        </w:rPr>
        <w:t xml:space="preserve"> the L</w:t>
      </w:r>
      <w:r w:rsidR="00BE49C8" w:rsidRPr="00B7554F">
        <w:rPr>
          <w:sz w:val="20"/>
          <w:szCs w:val="20"/>
          <w:lang w:val="en-GB"/>
        </w:rPr>
        <w:t>é</w:t>
      </w:r>
      <w:r w:rsidR="00BD6D11" w:rsidRPr="00B7554F">
        <w:rPr>
          <w:sz w:val="20"/>
          <w:szCs w:val="20"/>
          <w:lang w:val="en-GB"/>
        </w:rPr>
        <w:t xml:space="preserve">vai Project, </w:t>
      </w:r>
      <w:r w:rsidRPr="00B7554F">
        <w:rPr>
          <w:sz w:val="20"/>
          <w:szCs w:val="20"/>
          <w:lang w:val="en-GB"/>
        </w:rPr>
        <w:t xml:space="preserve">the communicants submit </w:t>
      </w:r>
      <w:r w:rsidR="00BD6D11" w:rsidRPr="00B7554F">
        <w:rPr>
          <w:sz w:val="20"/>
          <w:szCs w:val="20"/>
          <w:lang w:val="en-GB"/>
        </w:rPr>
        <w:t>that</w:t>
      </w:r>
      <w:r w:rsidR="00345CEF" w:rsidRPr="00B7554F">
        <w:rPr>
          <w:sz w:val="20"/>
          <w:lang w:val="en-GB"/>
        </w:rPr>
        <w:t xml:space="preserve"> the authorities </w:t>
      </w:r>
      <w:r w:rsidR="006F14FC" w:rsidRPr="00B7554F">
        <w:rPr>
          <w:sz w:val="20"/>
          <w:lang w:val="en-GB"/>
        </w:rPr>
        <w:t xml:space="preserve">wrongfully </w:t>
      </w:r>
      <w:r w:rsidR="00BD6D11" w:rsidRPr="00B7554F">
        <w:rPr>
          <w:sz w:val="20"/>
          <w:lang w:val="en-GB"/>
        </w:rPr>
        <w:t>applied</w:t>
      </w:r>
      <w:r w:rsidR="00345CEF" w:rsidRPr="00B7554F">
        <w:rPr>
          <w:sz w:val="20"/>
          <w:szCs w:val="20"/>
          <w:lang w:val="en-GB"/>
        </w:rPr>
        <w:t xml:space="preserve"> </w:t>
      </w:r>
      <w:r w:rsidR="00915FD1" w:rsidRPr="00B7554F">
        <w:rPr>
          <w:sz w:val="20"/>
          <w:szCs w:val="20"/>
          <w:lang w:val="en-GB"/>
        </w:rPr>
        <w:t xml:space="preserve">the </w:t>
      </w:r>
      <w:r w:rsidR="00345CEF" w:rsidRPr="00B7554F">
        <w:rPr>
          <w:sz w:val="20"/>
          <w:szCs w:val="20"/>
          <w:lang w:val="en-GB"/>
        </w:rPr>
        <w:t>material</w:t>
      </w:r>
      <w:r w:rsidR="00915FD1" w:rsidRPr="00B7554F">
        <w:rPr>
          <w:sz w:val="20"/>
          <w:szCs w:val="20"/>
          <w:lang w:val="en-GB"/>
        </w:rPr>
        <w:t>s</w:t>
      </w:r>
      <w:r w:rsidR="00345CEF" w:rsidRPr="00B7554F">
        <w:rPr>
          <w:sz w:val="20"/>
          <w:lang w:val="en-GB"/>
        </w:rPr>
        <w:t xml:space="preserve"> in the course of completion </w:t>
      </w:r>
      <w:r w:rsidR="00915FD1" w:rsidRPr="00B7554F">
        <w:rPr>
          <w:sz w:val="20"/>
          <w:lang w:val="en-GB"/>
        </w:rPr>
        <w:t xml:space="preserve">exemption </w:t>
      </w:r>
      <w:r w:rsidR="00ED4310" w:rsidRPr="00B7554F">
        <w:rPr>
          <w:sz w:val="20"/>
          <w:szCs w:val="20"/>
          <w:lang w:val="en-GB"/>
        </w:rPr>
        <w:t>since</w:t>
      </w:r>
      <w:r w:rsidR="001272AB" w:rsidRPr="00B7554F">
        <w:rPr>
          <w:sz w:val="20"/>
          <w:lang w:val="en-GB"/>
        </w:rPr>
        <w:t xml:space="preserve"> the refusal was based on the entire decision-making processes</w:t>
      </w:r>
      <w:r w:rsidRPr="00B7554F">
        <w:rPr>
          <w:sz w:val="20"/>
          <w:lang w:val="en-GB"/>
        </w:rPr>
        <w:t>. They claim that</w:t>
      </w:r>
      <w:r w:rsidR="001272AB" w:rsidRPr="00B7554F">
        <w:rPr>
          <w:sz w:val="20"/>
          <w:lang w:val="en-GB"/>
        </w:rPr>
        <w:t xml:space="preserve"> </w:t>
      </w:r>
      <w:r w:rsidR="00BD6D11" w:rsidRPr="00B7554F">
        <w:rPr>
          <w:sz w:val="20"/>
          <w:szCs w:val="20"/>
          <w:lang w:val="en-GB"/>
        </w:rPr>
        <w:t>this interpretation</w:t>
      </w:r>
      <w:r w:rsidR="0058238E" w:rsidRPr="00B7554F">
        <w:rPr>
          <w:sz w:val="20"/>
          <w:lang w:val="en-GB"/>
        </w:rPr>
        <w:t xml:space="preserve"> </w:t>
      </w:r>
      <w:r w:rsidR="00BD6D11" w:rsidRPr="00B7554F">
        <w:rPr>
          <w:sz w:val="20"/>
          <w:lang w:val="en-GB"/>
        </w:rPr>
        <w:t>makes</w:t>
      </w:r>
      <w:r w:rsidR="00345CEF" w:rsidRPr="00B7554F">
        <w:rPr>
          <w:sz w:val="20"/>
          <w:lang w:val="en-GB"/>
        </w:rPr>
        <w:t xml:space="preserve"> articles 7 and 8 </w:t>
      </w:r>
      <w:r w:rsidR="00345CEF" w:rsidRPr="00B7554F">
        <w:rPr>
          <w:sz w:val="20"/>
          <w:szCs w:val="20"/>
          <w:lang w:val="en-GB"/>
        </w:rPr>
        <w:t>“futile,” because these provisions by their very nature concern preparations for future activities.</w:t>
      </w:r>
      <w:r w:rsidR="00345CEF" w:rsidRPr="00B7554F">
        <w:rPr>
          <w:rStyle w:val="FootnoteReference"/>
          <w:sz w:val="20"/>
          <w:szCs w:val="20"/>
          <w:lang w:val="en-GB"/>
        </w:rPr>
        <w:footnoteReference w:id="87"/>
      </w:r>
      <w:r w:rsidR="00345CEF" w:rsidRPr="00B7554F">
        <w:rPr>
          <w:sz w:val="20"/>
          <w:szCs w:val="20"/>
          <w:lang w:val="en-GB"/>
        </w:rPr>
        <w:t xml:space="preserve"> </w:t>
      </w:r>
      <w:r w:rsidR="0058238E" w:rsidRPr="00B7554F">
        <w:rPr>
          <w:sz w:val="20"/>
          <w:szCs w:val="20"/>
          <w:lang w:val="en-GB"/>
        </w:rPr>
        <w:t>The communicant</w:t>
      </w:r>
      <w:r w:rsidR="00ED4310" w:rsidRPr="00B7554F">
        <w:rPr>
          <w:sz w:val="20"/>
          <w:szCs w:val="20"/>
          <w:lang w:val="en-GB"/>
        </w:rPr>
        <w:t xml:space="preserve">s, citing </w:t>
      </w:r>
      <w:r w:rsidR="00ED4310" w:rsidRPr="00B7554F">
        <w:rPr>
          <w:i/>
          <w:iCs/>
          <w:sz w:val="20"/>
          <w:szCs w:val="20"/>
          <w:lang w:val="en-GB"/>
        </w:rPr>
        <w:t>The Aarhus Convention: An Implementation Guide</w:t>
      </w:r>
      <w:r w:rsidR="00ED4310" w:rsidRPr="00B7554F">
        <w:rPr>
          <w:rStyle w:val="FootnoteReference"/>
          <w:szCs w:val="20"/>
          <w:lang w:val="en-GB"/>
        </w:rPr>
        <w:footnoteReference w:id="88"/>
      </w:r>
      <w:r w:rsidR="00ED4310" w:rsidRPr="00B7554F">
        <w:rPr>
          <w:sz w:val="20"/>
          <w:szCs w:val="20"/>
          <w:lang w:val="en-GB"/>
        </w:rPr>
        <w:t xml:space="preserve"> (Implementation Guide),</w:t>
      </w:r>
      <w:r w:rsidR="00ED4310" w:rsidRPr="00B7554F">
        <w:rPr>
          <w:rStyle w:val="FootnoteReference"/>
          <w:sz w:val="20"/>
          <w:szCs w:val="20"/>
          <w:lang w:val="en-GB"/>
        </w:rPr>
        <w:footnoteReference w:id="89"/>
      </w:r>
      <w:r w:rsidR="00ED4310" w:rsidRPr="00B7554F">
        <w:rPr>
          <w:sz w:val="20"/>
          <w:szCs w:val="20"/>
          <w:lang w:val="en-GB"/>
        </w:rPr>
        <w:t xml:space="preserve"> </w:t>
      </w:r>
      <w:r w:rsidR="0058238E" w:rsidRPr="00B7554F">
        <w:rPr>
          <w:sz w:val="20"/>
          <w:szCs w:val="20"/>
          <w:lang w:val="en-GB"/>
        </w:rPr>
        <w:t>claim that, once a document</w:t>
      </w:r>
      <w:r w:rsidR="007D6B9A" w:rsidRPr="00B7554F">
        <w:rPr>
          <w:sz w:val="20"/>
          <w:szCs w:val="20"/>
          <w:lang w:val="en-GB"/>
        </w:rPr>
        <w:t xml:space="preserve"> is </w:t>
      </w:r>
      <w:r w:rsidRPr="00B7554F">
        <w:rPr>
          <w:sz w:val="20"/>
          <w:szCs w:val="20"/>
          <w:lang w:val="en-GB"/>
        </w:rPr>
        <w:t>provided</w:t>
      </w:r>
      <w:r w:rsidR="0058238E" w:rsidRPr="00B7554F">
        <w:rPr>
          <w:sz w:val="20"/>
          <w:szCs w:val="20"/>
          <w:lang w:val="en-GB"/>
        </w:rPr>
        <w:t xml:space="preserve"> to other bodies within or outside the</w:t>
      </w:r>
      <w:r w:rsidR="005D50E8" w:rsidRPr="00B7554F">
        <w:rPr>
          <w:sz w:val="20"/>
          <w:szCs w:val="20"/>
          <w:lang w:val="en-GB"/>
        </w:rPr>
        <w:t xml:space="preserve"> </w:t>
      </w:r>
      <w:r w:rsidR="0058238E" w:rsidRPr="00B7554F">
        <w:rPr>
          <w:sz w:val="20"/>
          <w:szCs w:val="20"/>
          <w:lang w:val="en-GB"/>
        </w:rPr>
        <w:t xml:space="preserve">organization in question, </w:t>
      </w:r>
      <w:r w:rsidR="006B7640" w:rsidRPr="00B7554F">
        <w:rPr>
          <w:sz w:val="20"/>
          <w:szCs w:val="20"/>
          <w:lang w:val="en-GB"/>
        </w:rPr>
        <w:t xml:space="preserve">the </w:t>
      </w:r>
      <w:r w:rsidRPr="00B7554F">
        <w:rPr>
          <w:sz w:val="20"/>
          <w:szCs w:val="20"/>
          <w:lang w:val="en-GB"/>
        </w:rPr>
        <w:t>“</w:t>
      </w:r>
      <w:r w:rsidR="006B7640" w:rsidRPr="00B7554F">
        <w:rPr>
          <w:sz w:val="20"/>
          <w:szCs w:val="20"/>
          <w:lang w:val="en-GB"/>
        </w:rPr>
        <w:t>course of completion</w:t>
      </w:r>
      <w:r w:rsidRPr="00B7554F">
        <w:rPr>
          <w:sz w:val="20"/>
          <w:szCs w:val="20"/>
          <w:lang w:val="en-GB"/>
        </w:rPr>
        <w:t>”</w:t>
      </w:r>
      <w:r w:rsidR="006B7640" w:rsidRPr="00B7554F">
        <w:rPr>
          <w:sz w:val="20"/>
          <w:szCs w:val="20"/>
          <w:lang w:val="en-GB"/>
        </w:rPr>
        <w:t xml:space="preserve"> </w:t>
      </w:r>
      <w:r w:rsidRPr="00B7554F">
        <w:rPr>
          <w:sz w:val="20"/>
          <w:szCs w:val="20"/>
          <w:lang w:val="en-GB"/>
        </w:rPr>
        <w:t xml:space="preserve">exception </w:t>
      </w:r>
      <w:r w:rsidR="006B7640" w:rsidRPr="00B7554F">
        <w:rPr>
          <w:sz w:val="20"/>
          <w:szCs w:val="20"/>
          <w:lang w:val="en-GB"/>
        </w:rPr>
        <w:t>cannot be used anymore.</w:t>
      </w:r>
      <w:r w:rsidR="006B7640" w:rsidRPr="00B7554F">
        <w:rPr>
          <w:rStyle w:val="FootnoteReference"/>
          <w:sz w:val="20"/>
          <w:szCs w:val="20"/>
          <w:lang w:val="en-GB"/>
        </w:rPr>
        <w:footnoteReference w:id="90"/>
      </w:r>
      <w:r w:rsidR="006B7640" w:rsidRPr="00B7554F">
        <w:rPr>
          <w:sz w:val="20"/>
          <w:szCs w:val="20"/>
          <w:lang w:val="en-GB"/>
        </w:rPr>
        <w:t xml:space="preserve"> </w:t>
      </w:r>
    </w:p>
    <w:p w14:paraId="1E5A64A9" w14:textId="337A0487" w:rsidR="006B7640" w:rsidRPr="00B7554F" w:rsidRDefault="006B7640" w:rsidP="006B7640">
      <w:pPr>
        <w:pStyle w:val="SingleTxtG"/>
        <w:numPr>
          <w:ilvl w:val="0"/>
          <w:numId w:val="3"/>
        </w:numPr>
        <w:tabs>
          <w:tab w:val="num" w:pos="1134"/>
        </w:tabs>
        <w:ind w:left="1100" w:right="0" w:firstLine="0"/>
        <w:rPr>
          <w:sz w:val="20"/>
          <w:lang w:val="en-GB"/>
        </w:rPr>
      </w:pPr>
      <w:r w:rsidRPr="00B7554F">
        <w:rPr>
          <w:sz w:val="20"/>
          <w:lang w:val="en-GB"/>
        </w:rPr>
        <w:t xml:space="preserve">The Party concerned submits </w:t>
      </w:r>
      <w:r w:rsidR="00EE290B" w:rsidRPr="00B7554F">
        <w:rPr>
          <w:sz w:val="20"/>
          <w:lang w:val="en-GB"/>
        </w:rPr>
        <w:t xml:space="preserve">that </w:t>
      </w:r>
      <w:r w:rsidRPr="00B7554F">
        <w:rPr>
          <w:sz w:val="20"/>
          <w:lang w:val="en-GB"/>
        </w:rPr>
        <w:t xml:space="preserve">the information requests were refused </w:t>
      </w:r>
      <w:r w:rsidR="00E80F1A" w:rsidRPr="00B7554F">
        <w:rPr>
          <w:sz w:val="20"/>
          <w:lang w:val="en-GB"/>
        </w:rPr>
        <w:t>because the</w:t>
      </w:r>
      <w:r w:rsidR="007E0F97" w:rsidRPr="00B7554F">
        <w:rPr>
          <w:sz w:val="20"/>
          <w:lang w:val="en-GB"/>
        </w:rPr>
        <w:t xml:space="preserve"> requested information</w:t>
      </w:r>
      <w:r w:rsidR="00E80F1A" w:rsidRPr="00B7554F">
        <w:rPr>
          <w:sz w:val="20"/>
          <w:lang w:val="en-GB"/>
        </w:rPr>
        <w:t xml:space="preserve"> </w:t>
      </w:r>
      <w:r w:rsidRPr="00B7554F">
        <w:rPr>
          <w:sz w:val="20"/>
          <w:lang w:val="en-GB"/>
        </w:rPr>
        <w:t>contained business secrets</w:t>
      </w:r>
      <w:r w:rsidRPr="00B7554F">
        <w:rPr>
          <w:sz w:val="20"/>
          <w:szCs w:val="20"/>
          <w:lang w:val="en-GB"/>
        </w:rPr>
        <w:t>.</w:t>
      </w:r>
      <w:r w:rsidRPr="00B7554F">
        <w:rPr>
          <w:rStyle w:val="FootnoteReference"/>
          <w:sz w:val="20"/>
          <w:szCs w:val="20"/>
          <w:lang w:val="en-GB"/>
        </w:rPr>
        <w:footnoteReference w:id="91"/>
      </w:r>
      <w:r w:rsidRPr="00B7554F">
        <w:rPr>
          <w:sz w:val="20"/>
          <w:szCs w:val="20"/>
          <w:lang w:val="en-GB"/>
        </w:rPr>
        <w:t xml:space="preserve"> </w:t>
      </w:r>
    </w:p>
    <w:p w14:paraId="0CD45AB9" w14:textId="77777777" w:rsidR="006B7640" w:rsidRPr="00B7554F" w:rsidRDefault="006B7640" w:rsidP="006B7640">
      <w:pPr>
        <w:pStyle w:val="SingleTxtG"/>
        <w:autoSpaceDE w:val="0"/>
        <w:autoSpaceDN w:val="0"/>
        <w:adjustRightInd w:val="0"/>
        <w:ind w:right="0"/>
        <w:rPr>
          <w:lang w:val="en-GB"/>
        </w:rPr>
      </w:pPr>
      <w:r w:rsidRPr="00B7554F">
        <w:rPr>
          <w:b/>
          <w:sz w:val="20"/>
          <w:lang w:val="en-GB"/>
        </w:rPr>
        <w:t>A</w:t>
      </w:r>
      <w:r w:rsidRPr="00B7554F">
        <w:rPr>
          <w:b/>
          <w:bCs/>
          <w:sz w:val="20"/>
          <w:szCs w:val="20"/>
          <w:lang w:val="en-GB"/>
        </w:rPr>
        <w:t>rticle 3(1</w:t>
      </w:r>
      <w:r w:rsidRPr="00B7554F">
        <w:rPr>
          <w:b/>
          <w:sz w:val="20"/>
          <w:lang w:val="en-GB"/>
        </w:rPr>
        <w:t xml:space="preserve">) </w:t>
      </w:r>
    </w:p>
    <w:p w14:paraId="49A92EF1" w14:textId="5B7B07A6" w:rsidR="00B66679" w:rsidRPr="00B7554F" w:rsidRDefault="006B7640" w:rsidP="00D07F19">
      <w:pPr>
        <w:pStyle w:val="SingleTxtG"/>
        <w:numPr>
          <w:ilvl w:val="0"/>
          <w:numId w:val="3"/>
        </w:numPr>
        <w:tabs>
          <w:tab w:val="num" w:pos="1134"/>
        </w:tabs>
        <w:ind w:left="1100" w:right="0" w:firstLine="0"/>
        <w:rPr>
          <w:sz w:val="20"/>
          <w:lang w:val="en-GB"/>
        </w:rPr>
      </w:pPr>
      <w:r w:rsidRPr="00B7554F">
        <w:rPr>
          <w:sz w:val="20"/>
          <w:lang w:val="en-GB"/>
        </w:rPr>
        <w:t xml:space="preserve">The </w:t>
      </w:r>
      <w:r w:rsidRPr="00B7554F">
        <w:rPr>
          <w:sz w:val="20"/>
          <w:szCs w:val="20"/>
          <w:lang w:val="en-GB"/>
        </w:rPr>
        <w:t>com</w:t>
      </w:r>
      <w:r w:rsidR="002603F8" w:rsidRPr="00B7554F">
        <w:rPr>
          <w:sz w:val="20"/>
          <w:szCs w:val="20"/>
          <w:lang w:val="en-GB"/>
        </w:rPr>
        <w:t>muni</w:t>
      </w:r>
      <w:r w:rsidR="00E7096E" w:rsidRPr="00B7554F">
        <w:rPr>
          <w:sz w:val="20"/>
          <w:szCs w:val="20"/>
          <w:lang w:val="en-GB"/>
        </w:rPr>
        <w:t xml:space="preserve">cants </w:t>
      </w:r>
      <w:r w:rsidR="0031574F" w:rsidRPr="00B7554F">
        <w:rPr>
          <w:sz w:val="20"/>
          <w:lang w:val="en-GB"/>
        </w:rPr>
        <w:t xml:space="preserve">submit </w:t>
      </w:r>
      <w:r w:rsidR="00EE290B" w:rsidRPr="00B7554F">
        <w:rPr>
          <w:sz w:val="20"/>
          <w:lang w:val="en-GB"/>
        </w:rPr>
        <w:t xml:space="preserve">that </w:t>
      </w:r>
      <w:r w:rsidR="002603F8" w:rsidRPr="00B7554F">
        <w:rPr>
          <w:sz w:val="20"/>
          <w:szCs w:val="20"/>
          <w:lang w:val="en-GB"/>
        </w:rPr>
        <w:t xml:space="preserve">their access to information cases reveal structural problems </w:t>
      </w:r>
      <w:r w:rsidR="00521967" w:rsidRPr="00B7554F">
        <w:rPr>
          <w:sz w:val="20"/>
          <w:szCs w:val="20"/>
          <w:lang w:val="en-GB"/>
        </w:rPr>
        <w:t>contravening</w:t>
      </w:r>
      <w:r w:rsidR="002603F8" w:rsidRPr="00B7554F">
        <w:rPr>
          <w:sz w:val="20"/>
          <w:szCs w:val="20"/>
          <w:lang w:val="en-GB"/>
        </w:rPr>
        <w:t xml:space="preserve"> article 3</w:t>
      </w:r>
      <w:r w:rsidR="0097227E" w:rsidRPr="00B7554F">
        <w:rPr>
          <w:sz w:val="20"/>
          <w:szCs w:val="20"/>
          <w:lang w:val="en-GB"/>
        </w:rPr>
        <w:t>(</w:t>
      </w:r>
      <w:r w:rsidR="002603F8" w:rsidRPr="00B7554F">
        <w:rPr>
          <w:sz w:val="20"/>
          <w:szCs w:val="20"/>
          <w:lang w:val="en-GB"/>
        </w:rPr>
        <w:t>1</w:t>
      </w:r>
      <w:r w:rsidR="0097227E" w:rsidRPr="00B7554F">
        <w:rPr>
          <w:sz w:val="20"/>
          <w:szCs w:val="20"/>
          <w:lang w:val="en-GB"/>
        </w:rPr>
        <w:t>)</w:t>
      </w:r>
      <w:r w:rsidR="009162D8" w:rsidRPr="00B7554F">
        <w:rPr>
          <w:sz w:val="20"/>
          <w:szCs w:val="20"/>
          <w:lang w:val="en-GB"/>
        </w:rPr>
        <w:t>,</w:t>
      </w:r>
      <w:r w:rsidR="002603F8" w:rsidRPr="00B7554F">
        <w:rPr>
          <w:sz w:val="20"/>
          <w:szCs w:val="20"/>
          <w:lang w:val="en-GB"/>
        </w:rPr>
        <w:t xml:space="preserve"> </w:t>
      </w:r>
      <w:r w:rsidR="009162D8" w:rsidRPr="00B7554F">
        <w:rPr>
          <w:sz w:val="20"/>
          <w:szCs w:val="20"/>
          <w:lang w:val="en-GB"/>
        </w:rPr>
        <w:t xml:space="preserve">and </w:t>
      </w:r>
      <w:r w:rsidR="0014751D" w:rsidRPr="00B7554F">
        <w:rPr>
          <w:sz w:val="20"/>
          <w:szCs w:val="20"/>
          <w:lang w:val="en-GB"/>
        </w:rPr>
        <w:t xml:space="preserve">that </w:t>
      </w:r>
      <w:r w:rsidR="002603F8" w:rsidRPr="00B7554F">
        <w:rPr>
          <w:sz w:val="20"/>
          <w:szCs w:val="20"/>
          <w:lang w:val="en-GB"/>
        </w:rPr>
        <w:t>institutional and procedural guarantees</w:t>
      </w:r>
      <w:r w:rsidR="00F64EB1" w:rsidRPr="00B7554F">
        <w:rPr>
          <w:sz w:val="20"/>
          <w:szCs w:val="20"/>
          <w:lang w:val="en-GB"/>
        </w:rPr>
        <w:t xml:space="preserve"> </w:t>
      </w:r>
      <w:r w:rsidR="002603F8" w:rsidRPr="00B7554F">
        <w:rPr>
          <w:sz w:val="20"/>
          <w:szCs w:val="20"/>
          <w:lang w:val="en-GB"/>
        </w:rPr>
        <w:t>to ensure expedited handling of access to information cases and effective tools</w:t>
      </w:r>
      <w:r w:rsidR="002603F8" w:rsidRPr="00B7554F">
        <w:rPr>
          <w:sz w:val="20"/>
          <w:lang w:val="en-GB"/>
        </w:rPr>
        <w:t xml:space="preserve"> for the implementation o</w:t>
      </w:r>
      <w:r w:rsidR="00F64EB1" w:rsidRPr="00B7554F">
        <w:rPr>
          <w:sz w:val="20"/>
          <w:lang w:val="en-GB"/>
        </w:rPr>
        <w:t xml:space="preserve">f </w:t>
      </w:r>
      <w:r w:rsidR="002603F8" w:rsidRPr="00B7554F">
        <w:rPr>
          <w:sz w:val="20"/>
          <w:lang w:val="en-GB"/>
        </w:rPr>
        <w:t xml:space="preserve">decisions </w:t>
      </w:r>
      <w:r w:rsidR="00F64EB1" w:rsidRPr="00B7554F">
        <w:rPr>
          <w:sz w:val="20"/>
          <w:szCs w:val="20"/>
          <w:lang w:val="en-GB"/>
        </w:rPr>
        <w:t>are lacking</w:t>
      </w:r>
      <w:r w:rsidR="002603F8" w:rsidRPr="00B7554F">
        <w:rPr>
          <w:sz w:val="20"/>
          <w:lang w:val="en-GB"/>
        </w:rPr>
        <w:t>.</w:t>
      </w:r>
      <w:r w:rsidR="002603F8" w:rsidRPr="00B7554F">
        <w:rPr>
          <w:rStyle w:val="FootnoteReference"/>
          <w:sz w:val="20"/>
          <w:lang w:val="en-GB"/>
        </w:rPr>
        <w:footnoteReference w:id="92"/>
      </w:r>
      <w:bookmarkEnd w:id="54"/>
    </w:p>
    <w:p w14:paraId="5085998D" w14:textId="19A0D4A3" w:rsidR="00B66679" w:rsidRPr="00B7554F" w:rsidRDefault="00B66679" w:rsidP="00792170">
      <w:pPr>
        <w:pStyle w:val="SingleTxtG"/>
        <w:numPr>
          <w:ilvl w:val="0"/>
          <w:numId w:val="3"/>
        </w:numPr>
        <w:tabs>
          <w:tab w:val="num" w:pos="1134"/>
        </w:tabs>
        <w:ind w:left="1100" w:right="0" w:firstLine="0"/>
        <w:rPr>
          <w:sz w:val="20"/>
          <w:lang w:val="en-GB"/>
        </w:rPr>
      </w:pPr>
      <w:r w:rsidRPr="00B7554F">
        <w:rPr>
          <w:sz w:val="20"/>
          <w:lang w:val="en-GB"/>
        </w:rPr>
        <w:t>Th</w:t>
      </w:r>
      <w:r w:rsidR="00845648" w:rsidRPr="00B7554F">
        <w:rPr>
          <w:sz w:val="20"/>
          <w:lang w:val="en-GB"/>
        </w:rPr>
        <w:t xml:space="preserve">e Party concerned </w:t>
      </w:r>
      <w:r w:rsidR="0047641A" w:rsidRPr="00B7554F">
        <w:rPr>
          <w:sz w:val="20"/>
          <w:szCs w:val="20"/>
          <w:lang w:val="en-GB"/>
        </w:rPr>
        <w:t>states</w:t>
      </w:r>
      <w:r w:rsidR="00EE290B" w:rsidRPr="00B7554F">
        <w:rPr>
          <w:sz w:val="20"/>
          <w:szCs w:val="20"/>
          <w:lang w:val="en-GB"/>
        </w:rPr>
        <w:t xml:space="preserve"> that</w:t>
      </w:r>
      <w:r w:rsidR="0047641A" w:rsidRPr="00B7554F">
        <w:rPr>
          <w:sz w:val="20"/>
          <w:lang w:val="en-GB"/>
        </w:rPr>
        <w:t xml:space="preserve"> </w:t>
      </w:r>
      <w:r w:rsidR="002603F8" w:rsidRPr="00B7554F">
        <w:rPr>
          <w:sz w:val="20"/>
          <w:lang w:val="en-GB"/>
        </w:rPr>
        <w:t xml:space="preserve">it </w:t>
      </w:r>
      <w:r w:rsidR="0066325B" w:rsidRPr="00B7554F">
        <w:rPr>
          <w:sz w:val="20"/>
          <w:lang w:val="en-GB"/>
        </w:rPr>
        <w:t>has</w:t>
      </w:r>
      <w:r w:rsidR="0014751D" w:rsidRPr="00B7554F">
        <w:rPr>
          <w:sz w:val="20"/>
          <w:szCs w:val="20"/>
          <w:lang w:val="en-GB"/>
        </w:rPr>
        <w:t xml:space="preserve"> taken adequate measures to establish and maintain a clear, transparent and consistent framework </w:t>
      </w:r>
      <w:r w:rsidR="00ED4310" w:rsidRPr="00B7554F">
        <w:rPr>
          <w:sz w:val="20"/>
          <w:szCs w:val="20"/>
          <w:lang w:val="en-GB"/>
        </w:rPr>
        <w:t>with</w:t>
      </w:r>
      <w:r w:rsidR="0014751D" w:rsidRPr="00B7554F">
        <w:rPr>
          <w:sz w:val="20"/>
          <w:szCs w:val="20"/>
          <w:lang w:val="en-GB"/>
        </w:rPr>
        <w:t xml:space="preserve"> proper enforcement measures. </w:t>
      </w:r>
      <w:r w:rsidR="0066325B" w:rsidRPr="00B7554F">
        <w:rPr>
          <w:sz w:val="20"/>
          <w:szCs w:val="20"/>
          <w:lang w:val="en-GB"/>
        </w:rPr>
        <w:t>It</w:t>
      </w:r>
      <w:r w:rsidR="00384088" w:rsidRPr="00B7554F">
        <w:rPr>
          <w:sz w:val="20"/>
          <w:szCs w:val="20"/>
          <w:lang w:val="en-GB"/>
        </w:rPr>
        <w:t xml:space="preserve"> submits that, w</w:t>
      </w:r>
      <w:r w:rsidR="0047641A" w:rsidRPr="00B7554F">
        <w:rPr>
          <w:sz w:val="20"/>
          <w:szCs w:val="20"/>
          <w:lang w:val="en-GB"/>
        </w:rPr>
        <w:t>hile</w:t>
      </w:r>
      <w:r w:rsidR="002603F8" w:rsidRPr="00B7554F">
        <w:rPr>
          <w:sz w:val="20"/>
          <w:lang w:val="en-GB"/>
        </w:rPr>
        <w:t xml:space="preserve"> inconsistent judic</w:t>
      </w:r>
      <w:r w:rsidR="0047641A" w:rsidRPr="00B7554F">
        <w:rPr>
          <w:sz w:val="20"/>
          <w:lang w:val="en-GB"/>
        </w:rPr>
        <w:t>ial decisions may have occurred</w:t>
      </w:r>
      <w:r w:rsidR="0047641A" w:rsidRPr="00B7554F">
        <w:rPr>
          <w:sz w:val="20"/>
          <w:szCs w:val="20"/>
          <w:lang w:val="en-GB"/>
        </w:rPr>
        <w:t>,</w:t>
      </w:r>
      <w:r w:rsidR="0047641A" w:rsidRPr="00B7554F">
        <w:rPr>
          <w:sz w:val="20"/>
          <w:lang w:val="en-GB"/>
        </w:rPr>
        <w:t xml:space="preserve"> </w:t>
      </w:r>
      <w:r w:rsidR="00ED4310" w:rsidRPr="00B7554F">
        <w:rPr>
          <w:sz w:val="20"/>
          <w:lang w:val="en-GB"/>
        </w:rPr>
        <w:t xml:space="preserve">most </w:t>
      </w:r>
      <w:r w:rsidR="002603F8" w:rsidRPr="00B7554F">
        <w:rPr>
          <w:sz w:val="20"/>
          <w:lang w:val="en-GB"/>
        </w:rPr>
        <w:t xml:space="preserve">of the </w:t>
      </w:r>
      <w:r w:rsidR="00384088" w:rsidRPr="00B7554F">
        <w:rPr>
          <w:sz w:val="20"/>
          <w:lang w:val="en-GB"/>
        </w:rPr>
        <w:t xml:space="preserve">requested </w:t>
      </w:r>
      <w:r w:rsidR="002603F8" w:rsidRPr="00B7554F">
        <w:rPr>
          <w:sz w:val="20"/>
          <w:lang w:val="en-GB"/>
        </w:rPr>
        <w:t xml:space="preserve">information was </w:t>
      </w:r>
      <w:r w:rsidR="00E56E47" w:rsidRPr="00B7554F">
        <w:rPr>
          <w:sz w:val="20"/>
          <w:lang w:val="en-GB"/>
        </w:rPr>
        <w:t xml:space="preserve">finally </w:t>
      </w:r>
      <w:r w:rsidR="002603F8" w:rsidRPr="00B7554F">
        <w:rPr>
          <w:sz w:val="20"/>
          <w:lang w:val="en-GB"/>
        </w:rPr>
        <w:t>made available</w:t>
      </w:r>
      <w:r w:rsidR="00832C6F" w:rsidRPr="00B7554F">
        <w:rPr>
          <w:sz w:val="20"/>
          <w:szCs w:val="20"/>
          <w:lang w:val="en-GB"/>
        </w:rPr>
        <w:t>.</w:t>
      </w:r>
      <w:r w:rsidR="00384088" w:rsidRPr="00B7554F">
        <w:rPr>
          <w:rStyle w:val="FootnoteReference"/>
          <w:sz w:val="20"/>
          <w:lang w:val="en-GB"/>
        </w:rPr>
        <w:footnoteReference w:id="93"/>
      </w:r>
      <w:r w:rsidR="00792170" w:rsidRPr="00B7554F">
        <w:rPr>
          <w:sz w:val="20"/>
          <w:lang w:val="en-GB"/>
        </w:rPr>
        <w:t xml:space="preserve"> </w:t>
      </w:r>
      <w:r w:rsidR="00E56E47" w:rsidRPr="00B7554F">
        <w:rPr>
          <w:sz w:val="20"/>
          <w:lang w:val="en-GB"/>
        </w:rPr>
        <w:t>It</w:t>
      </w:r>
      <w:r w:rsidR="006B5CB3" w:rsidRPr="00B7554F">
        <w:rPr>
          <w:sz w:val="20"/>
          <w:lang w:val="en-GB"/>
        </w:rPr>
        <w:t xml:space="preserve"> </w:t>
      </w:r>
      <w:r w:rsidR="002603F8" w:rsidRPr="00B7554F">
        <w:rPr>
          <w:sz w:val="20"/>
          <w:lang w:val="en-GB"/>
        </w:rPr>
        <w:t>refers to its 2014 National Implementatio</w:t>
      </w:r>
      <w:r w:rsidR="00845648" w:rsidRPr="00B7554F">
        <w:rPr>
          <w:sz w:val="20"/>
          <w:lang w:val="en-GB"/>
        </w:rPr>
        <w:t xml:space="preserve">n Report </w:t>
      </w:r>
      <w:r w:rsidR="00E56E47" w:rsidRPr="00B7554F">
        <w:rPr>
          <w:sz w:val="20"/>
          <w:lang w:val="en-GB"/>
        </w:rPr>
        <w:t>for</w:t>
      </w:r>
      <w:r w:rsidR="002603F8" w:rsidRPr="00B7554F">
        <w:rPr>
          <w:sz w:val="20"/>
          <w:lang w:val="en-GB"/>
        </w:rPr>
        <w:t xml:space="preserve"> </w:t>
      </w:r>
      <w:r w:rsidR="00ED4310" w:rsidRPr="00B7554F">
        <w:rPr>
          <w:sz w:val="20"/>
          <w:lang w:val="en-GB"/>
        </w:rPr>
        <w:t xml:space="preserve">legislative </w:t>
      </w:r>
      <w:r w:rsidR="002603F8" w:rsidRPr="00B7554F">
        <w:rPr>
          <w:sz w:val="20"/>
          <w:lang w:val="en-GB"/>
        </w:rPr>
        <w:t>details.</w:t>
      </w:r>
      <w:r w:rsidR="002603F8" w:rsidRPr="00B7554F">
        <w:rPr>
          <w:rStyle w:val="FootnoteReference"/>
          <w:sz w:val="20"/>
          <w:lang w:val="en-GB"/>
        </w:rPr>
        <w:footnoteReference w:id="94"/>
      </w:r>
      <w:bookmarkStart w:id="55" w:name="_Ref432072011"/>
      <w:bookmarkStart w:id="56" w:name="_Ref500334561"/>
    </w:p>
    <w:p w14:paraId="4903F5F9" w14:textId="77777777" w:rsidR="003E0298" w:rsidRDefault="003E0298" w:rsidP="00CA48E5">
      <w:pPr>
        <w:pStyle w:val="SingleTxtG"/>
        <w:ind w:left="1100" w:right="0"/>
        <w:rPr>
          <w:b/>
          <w:sz w:val="20"/>
          <w:lang w:val="en-GB"/>
        </w:rPr>
      </w:pPr>
    </w:p>
    <w:p w14:paraId="7819E4D5" w14:textId="77777777" w:rsidR="003E0298" w:rsidRDefault="003E0298" w:rsidP="00CA48E5">
      <w:pPr>
        <w:pStyle w:val="SingleTxtG"/>
        <w:ind w:left="1100" w:right="0"/>
        <w:rPr>
          <w:b/>
          <w:sz w:val="20"/>
          <w:lang w:val="en-GB"/>
        </w:rPr>
      </w:pPr>
    </w:p>
    <w:p w14:paraId="3060892B" w14:textId="380021B5" w:rsidR="00B66679" w:rsidRPr="00B7554F" w:rsidRDefault="00B66679" w:rsidP="00CA48E5">
      <w:pPr>
        <w:pStyle w:val="SingleTxtG"/>
        <w:ind w:left="1100" w:right="0"/>
        <w:rPr>
          <w:sz w:val="20"/>
          <w:lang w:val="en-GB"/>
        </w:rPr>
      </w:pPr>
      <w:r w:rsidRPr="00B7554F">
        <w:rPr>
          <w:b/>
          <w:sz w:val="20"/>
          <w:lang w:val="en-GB"/>
        </w:rPr>
        <w:lastRenderedPageBreak/>
        <w:t>Article 5</w:t>
      </w:r>
      <w:r w:rsidR="00792170" w:rsidRPr="00B7554F">
        <w:rPr>
          <w:b/>
          <w:sz w:val="20"/>
          <w:lang w:val="en-GB"/>
        </w:rPr>
        <w:t>(</w:t>
      </w:r>
      <w:r w:rsidRPr="00B7554F">
        <w:rPr>
          <w:b/>
          <w:sz w:val="20"/>
          <w:lang w:val="en-GB"/>
        </w:rPr>
        <w:t>7</w:t>
      </w:r>
      <w:r w:rsidR="00792170" w:rsidRPr="00B7554F">
        <w:rPr>
          <w:b/>
          <w:sz w:val="20"/>
          <w:lang w:val="en-GB"/>
        </w:rPr>
        <w:t>)</w:t>
      </w:r>
      <w:r w:rsidR="008A0053">
        <w:rPr>
          <w:b/>
          <w:sz w:val="20"/>
          <w:lang w:val="en-GB"/>
        </w:rPr>
        <w:t>(a)</w:t>
      </w:r>
    </w:p>
    <w:p w14:paraId="027B1363" w14:textId="4134B51F" w:rsidR="00DC29A7" w:rsidRPr="00B7554F" w:rsidRDefault="00B66679" w:rsidP="00014337">
      <w:pPr>
        <w:pStyle w:val="SingleTxtG"/>
        <w:numPr>
          <w:ilvl w:val="0"/>
          <w:numId w:val="3"/>
        </w:numPr>
        <w:tabs>
          <w:tab w:val="num" w:pos="1134"/>
        </w:tabs>
        <w:ind w:left="1100" w:right="0" w:firstLine="0"/>
        <w:rPr>
          <w:sz w:val="20"/>
          <w:lang w:val="en-GB"/>
        </w:rPr>
      </w:pPr>
      <w:r w:rsidRPr="00B7554F">
        <w:rPr>
          <w:sz w:val="20"/>
          <w:lang w:val="en-GB"/>
        </w:rPr>
        <w:t>T</w:t>
      </w:r>
      <w:r w:rsidR="00E7096E" w:rsidRPr="00B7554F">
        <w:rPr>
          <w:sz w:val="20"/>
          <w:lang w:val="en-GB"/>
        </w:rPr>
        <w:t>he communicants claim</w:t>
      </w:r>
      <w:r w:rsidR="00F60F02" w:rsidRPr="00B7554F">
        <w:rPr>
          <w:sz w:val="20"/>
          <w:lang w:val="en-GB"/>
        </w:rPr>
        <w:t xml:space="preserve"> </w:t>
      </w:r>
      <w:r w:rsidR="00EE290B" w:rsidRPr="00B7554F">
        <w:rPr>
          <w:sz w:val="20"/>
          <w:lang w:val="en-GB"/>
        </w:rPr>
        <w:t xml:space="preserve">that </w:t>
      </w:r>
      <w:r w:rsidR="002603F8" w:rsidRPr="00B7554F">
        <w:rPr>
          <w:sz w:val="20"/>
          <w:lang w:val="en-GB"/>
        </w:rPr>
        <w:t xml:space="preserve">the Party concerned failed </w:t>
      </w:r>
      <w:r w:rsidR="00A25C19" w:rsidRPr="00B7554F">
        <w:rPr>
          <w:sz w:val="20"/>
          <w:szCs w:val="20"/>
          <w:lang w:val="en-GB"/>
        </w:rPr>
        <w:t>to a</w:t>
      </w:r>
      <w:r w:rsidR="002603F8" w:rsidRPr="00B7554F">
        <w:rPr>
          <w:sz w:val="20"/>
          <w:lang w:val="en-GB"/>
        </w:rPr>
        <w:t>ctive</w:t>
      </w:r>
      <w:r w:rsidR="00A25C19" w:rsidRPr="00B7554F">
        <w:rPr>
          <w:sz w:val="20"/>
          <w:lang w:val="en-GB"/>
        </w:rPr>
        <w:t>ly</w:t>
      </w:r>
      <w:r w:rsidR="002603F8" w:rsidRPr="00B7554F">
        <w:rPr>
          <w:sz w:val="20"/>
          <w:lang w:val="en-GB"/>
        </w:rPr>
        <w:t xml:space="preserve"> </w:t>
      </w:r>
      <w:r w:rsidR="00A25C19" w:rsidRPr="00B7554F">
        <w:rPr>
          <w:sz w:val="20"/>
          <w:lang w:val="en-GB"/>
        </w:rPr>
        <w:t>disseminate information</w:t>
      </w:r>
      <w:r w:rsidR="000126BA" w:rsidRPr="00B7554F">
        <w:rPr>
          <w:sz w:val="20"/>
          <w:lang w:val="en-GB"/>
        </w:rPr>
        <w:t xml:space="preserve"> </w:t>
      </w:r>
      <w:r w:rsidR="00ED4310" w:rsidRPr="00B7554F">
        <w:rPr>
          <w:sz w:val="20"/>
          <w:lang w:val="en-GB"/>
        </w:rPr>
        <w:t>related to</w:t>
      </w:r>
      <w:r w:rsidR="000126BA" w:rsidRPr="00B7554F">
        <w:rPr>
          <w:sz w:val="20"/>
          <w:lang w:val="en-GB"/>
        </w:rPr>
        <w:t xml:space="preserve"> </w:t>
      </w:r>
      <w:r w:rsidR="002603F8" w:rsidRPr="00B7554F">
        <w:rPr>
          <w:sz w:val="20"/>
          <w:szCs w:val="20"/>
          <w:lang w:val="en-GB"/>
        </w:rPr>
        <w:t xml:space="preserve">energy </w:t>
      </w:r>
      <w:bookmarkEnd w:id="55"/>
      <w:r w:rsidR="00F417CD" w:rsidRPr="00B7554F">
        <w:rPr>
          <w:sz w:val="20"/>
          <w:szCs w:val="20"/>
          <w:lang w:val="en-GB"/>
        </w:rPr>
        <w:t>policy</w:t>
      </w:r>
      <w:r w:rsidR="00ED4310" w:rsidRPr="00B7554F">
        <w:rPr>
          <w:sz w:val="20"/>
          <w:szCs w:val="20"/>
          <w:lang w:val="en-GB"/>
        </w:rPr>
        <w:t xml:space="preserve"> plans</w:t>
      </w:r>
      <w:r w:rsidR="00F417CD" w:rsidRPr="00B7554F">
        <w:rPr>
          <w:sz w:val="20"/>
          <w:szCs w:val="20"/>
          <w:lang w:val="en-GB"/>
        </w:rPr>
        <w:t>.</w:t>
      </w:r>
      <w:r w:rsidR="00C975C3" w:rsidRPr="00B7554F">
        <w:rPr>
          <w:rStyle w:val="FootnoteReference"/>
          <w:szCs w:val="20"/>
          <w:lang w:val="en-GB"/>
        </w:rPr>
        <w:footnoteReference w:id="95"/>
      </w:r>
      <w:r w:rsidR="006B5CB3" w:rsidRPr="00B7554F">
        <w:rPr>
          <w:sz w:val="20"/>
          <w:szCs w:val="20"/>
          <w:lang w:val="en-GB"/>
        </w:rPr>
        <w:t xml:space="preserve"> </w:t>
      </w:r>
    </w:p>
    <w:p w14:paraId="46A36B7F" w14:textId="090019CE" w:rsidR="00C975C3" w:rsidRPr="00B7554F" w:rsidRDefault="004D712B" w:rsidP="0070014F">
      <w:pPr>
        <w:pStyle w:val="SingleTxtG"/>
        <w:numPr>
          <w:ilvl w:val="0"/>
          <w:numId w:val="3"/>
        </w:numPr>
        <w:tabs>
          <w:tab w:val="num" w:pos="1134"/>
        </w:tabs>
        <w:ind w:left="1100" w:right="0" w:firstLine="0"/>
        <w:rPr>
          <w:sz w:val="20"/>
          <w:lang w:val="en-GB"/>
        </w:rPr>
      </w:pPr>
      <w:r w:rsidRPr="00B7554F">
        <w:rPr>
          <w:sz w:val="20"/>
          <w:lang w:val="en-GB"/>
        </w:rPr>
        <w:t xml:space="preserve">The Party concerned contends </w:t>
      </w:r>
      <w:r w:rsidR="00EE290B" w:rsidRPr="00B7554F">
        <w:rPr>
          <w:sz w:val="20"/>
          <w:lang w:val="en-GB"/>
        </w:rPr>
        <w:t xml:space="preserve">that </w:t>
      </w:r>
      <w:r w:rsidR="00C53CD9" w:rsidRPr="00B7554F">
        <w:rPr>
          <w:sz w:val="20"/>
          <w:lang w:val="en-GB"/>
        </w:rPr>
        <w:t>decision-making process</w:t>
      </w:r>
      <w:r w:rsidR="00E64CD1" w:rsidRPr="00B7554F">
        <w:rPr>
          <w:sz w:val="20"/>
          <w:lang w:val="en-GB"/>
        </w:rPr>
        <w:t>es</w:t>
      </w:r>
      <w:r w:rsidR="00ED4310" w:rsidRPr="00B7554F">
        <w:rPr>
          <w:sz w:val="20"/>
          <w:lang w:val="en-GB"/>
        </w:rPr>
        <w:t xml:space="preserve"> on energy policy strategies</w:t>
      </w:r>
      <w:r w:rsidR="00C53CD9" w:rsidRPr="00B7554F">
        <w:rPr>
          <w:sz w:val="20"/>
          <w:lang w:val="en-GB"/>
        </w:rPr>
        <w:t xml:space="preserve"> require active dissemination</w:t>
      </w:r>
      <w:r w:rsidR="00ED4310" w:rsidRPr="00B7554F">
        <w:rPr>
          <w:sz w:val="20"/>
          <w:lang w:val="en-GB"/>
        </w:rPr>
        <w:t>,</w:t>
      </w:r>
      <w:r w:rsidR="00C53CD9" w:rsidRPr="00B7554F">
        <w:rPr>
          <w:rStyle w:val="FootnoteReference"/>
          <w:sz w:val="20"/>
          <w:szCs w:val="20"/>
          <w:lang w:val="en-GB"/>
        </w:rPr>
        <w:footnoteReference w:id="96"/>
      </w:r>
      <w:r w:rsidR="00C53CD9" w:rsidRPr="00B7554F">
        <w:rPr>
          <w:sz w:val="20"/>
          <w:lang w:val="en-GB"/>
        </w:rPr>
        <w:t xml:space="preserve"> </w:t>
      </w:r>
      <w:r w:rsidR="00ED4310" w:rsidRPr="00B7554F">
        <w:rPr>
          <w:sz w:val="20"/>
          <w:lang w:val="en-GB"/>
        </w:rPr>
        <w:t>and</w:t>
      </w:r>
      <w:r w:rsidR="00C53CD9" w:rsidRPr="00B7554F">
        <w:rPr>
          <w:sz w:val="20"/>
          <w:lang w:val="en-GB"/>
        </w:rPr>
        <w:t xml:space="preserve"> </w:t>
      </w:r>
      <w:r w:rsidR="00E56E47" w:rsidRPr="00B7554F">
        <w:rPr>
          <w:sz w:val="20"/>
          <w:lang w:val="en-GB"/>
        </w:rPr>
        <w:t xml:space="preserve">that extensive studies and analyses supporting </w:t>
      </w:r>
      <w:r w:rsidR="00EE290B" w:rsidRPr="00B7554F">
        <w:rPr>
          <w:sz w:val="20"/>
          <w:lang w:val="en-GB"/>
        </w:rPr>
        <w:t xml:space="preserve">its </w:t>
      </w:r>
      <w:r w:rsidR="00E56E47" w:rsidRPr="00B7554F">
        <w:rPr>
          <w:sz w:val="20"/>
          <w:lang w:val="en-GB"/>
        </w:rPr>
        <w:t>energy policy have been publicly available.</w:t>
      </w:r>
      <w:r w:rsidRPr="00B7554F">
        <w:rPr>
          <w:rStyle w:val="FootnoteReference"/>
          <w:sz w:val="20"/>
          <w:szCs w:val="20"/>
          <w:lang w:val="en-GB"/>
        </w:rPr>
        <w:footnoteReference w:id="97"/>
      </w:r>
      <w:r w:rsidR="002424C5" w:rsidRPr="00B7554F">
        <w:rPr>
          <w:lang w:val="en-US"/>
        </w:rPr>
        <w:t xml:space="preserve"> </w:t>
      </w:r>
    </w:p>
    <w:p w14:paraId="065FB944" w14:textId="77777777" w:rsidR="0074339A" w:rsidRPr="00B7554F" w:rsidRDefault="0074339A" w:rsidP="00C975C3">
      <w:pPr>
        <w:pStyle w:val="SingleTxtG"/>
        <w:ind w:left="1100" w:right="0"/>
        <w:rPr>
          <w:sz w:val="20"/>
          <w:lang w:val="en-GB"/>
        </w:rPr>
      </w:pPr>
      <w:r w:rsidRPr="00B7554F">
        <w:rPr>
          <w:i/>
          <w:iCs/>
          <w:sz w:val="20"/>
          <w:lang w:val="en-GB"/>
        </w:rPr>
        <w:t>2006 Thesis</w:t>
      </w:r>
    </w:p>
    <w:p w14:paraId="0603410A" w14:textId="573E88D3" w:rsidR="00960780" w:rsidRPr="00B7554F" w:rsidRDefault="00960780" w:rsidP="00960780">
      <w:pPr>
        <w:pStyle w:val="SingleTxtG"/>
        <w:numPr>
          <w:ilvl w:val="0"/>
          <w:numId w:val="3"/>
        </w:numPr>
        <w:tabs>
          <w:tab w:val="num" w:pos="1134"/>
        </w:tabs>
        <w:ind w:left="1100" w:right="0" w:firstLine="0"/>
        <w:rPr>
          <w:sz w:val="20"/>
          <w:lang w:val="en-GB"/>
        </w:rPr>
      </w:pPr>
      <w:bookmarkStart w:id="57" w:name="_Ref74071694"/>
      <w:bookmarkStart w:id="58" w:name="_Ref74071664"/>
      <w:r w:rsidRPr="00B7554F">
        <w:rPr>
          <w:sz w:val="20"/>
          <w:szCs w:val="20"/>
          <w:lang w:val="en-GB"/>
        </w:rPr>
        <w:t>The communicants claim that the public participation procedure on the 2006 Thesis is irrelevant</w:t>
      </w:r>
      <w:r w:rsidRPr="00B7554F">
        <w:rPr>
          <w:sz w:val="20"/>
          <w:lang w:val="en-GB"/>
        </w:rPr>
        <w:t xml:space="preserve">, since </w:t>
      </w:r>
      <w:r w:rsidRPr="00B7554F">
        <w:rPr>
          <w:sz w:val="20"/>
          <w:szCs w:val="20"/>
          <w:lang w:val="en-GB"/>
        </w:rPr>
        <w:t>their communication concerns the process starting in 2007, leading to Resolution 44/2008.</w:t>
      </w:r>
      <w:r w:rsidRPr="00B7554F">
        <w:rPr>
          <w:rStyle w:val="FootnoteReference"/>
          <w:sz w:val="20"/>
          <w:szCs w:val="20"/>
          <w:lang w:val="en-GB"/>
        </w:rPr>
        <w:footnoteReference w:id="98"/>
      </w:r>
      <w:bookmarkEnd w:id="57"/>
    </w:p>
    <w:p w14:paraId="21530CD1" w14:textId="5A7E990C" w:rsidR="0074339A" w:rsidRPr="00B7554F" w:rsidRDefault="00025086" w:rsidP="003A110B">
      <w:pPr>
        <w:pStyle w:val="SingleTxtG"/>
        <w:numPr>
          <w:ilvl w:val="0"/>
          <w:numId w:val="3"/>
        </w:numPr>
        <w:tabs>
          <w:tab w:val="num" w:pos="1134"/>
        </w:tabs>
        <w:ind w:left="1100" w:right="0" w:firstLine="0"/>
        <w:rPr>
          <w:sz w:val="20"/>
          <w:lang w:val="en-GB"/>
        </w:rPr>
      </w:pPr>
      <w:r w:rsidRPr="00B7554F">
        <w:rPr>
          <w:sz w:val="20"/>
          <w:szCs w:val="20"/>
          <w:lang w:val="en-GB"/>
        </w:rPr>
        <w:t xml:space="preserve">The Party concerned </w:t>
      </w:r>
      <w:r w:rsidR="0074339A" w:rsidRPr="00B7554F">
        <w:rPr>
          <w:sz w:val="20"/>
          <w:szCs w:val="20"/>
          <w:lang w:val="en-GB"/>
        </w:rPr>
        <w:t>submits</w:t>
      </w:r>
      <w:r w:rsidR="00ED4310" w:rsidRPr="00B7554F">
        <w:rPr>
          <w:sz w:val="20"/>
          <w:szCs w:val="20"/>
          <w:lang w:val="en-GB"/>
        </w:rPr>
        <w:t xml:space="preserve"> </w:t>
      </w:r>
      <w:r w:rsidR="00EE290B" w:rsidRPr="00B7554F">
        <w:rPr>
          <w:sz w:val="20"/>
          <w:szCs w:val="20"/>
          <w:lang w:val="en-GB"/>
        </w:rPr>
        <w:t xml:space="preserve">that </w:t>
      </w:r>
      <w:r w:rsidRPr="00B7554F">
        <w:rPr>
          <w:sz w:val="20"/>
          <w:szCs w:val="20"/>
          <w:lang w:val="en-GB"/>
        </w:rPr>
        <w:t xml:space="preserve">the </w:t>
      </w:r>
      <w:r w:rsidR="0074339A" w:rsidRPr="00B7554F">
        <w:rPr>
          <w:sz w:val="20"/>
          <w:szCs w:val="20"/>
          <w:lang w:val="en-GB"/>
        </w:rPr>
        <w:t>2006 Thesis</w:t>
      </w:r>
      <w:r w:rsidR="006135CF" w:rsidRPr="00B7554F">
        <w:rPr>
          <w:sz w:val="20"/>
          <w:szCs w:val="20"/>
          <w:lang w:val="en-GB"/>
        </w:rPr>
        <w:t>, which served as background to Resolution</w:t>
      </w:r>
      <w:r w:rsidR="00960780" w:rsidRPr="00B7554F">
        <w:rPr>
          <w:sz w:val="20"/>
          <w:szCs w:val="20"/>
          <w:lang w:val="en-GB"/>
        </w:rPr>
        <w:t xml:space="preserve"> 40/2008</w:t>
      </w:r>
      <w:r w:rsidR="006135CF" w:rsidRPr="00B7554F">
        <w:rPr>
          <w:sz w:val="20"/>
          <w:szCs w:val="20"/>
          <w:lang w:val="en-GB"/>
        </w:rPr>
        <w:t>,</w:t>
      </w:r>
      <w:r w:rsidR="006135CF" w:rsidRPr="00B7554F">
        <w:rPr>
          <w:rStyle w:val="FootnoteReference"/>
          <w:sz w:val="20"/>
          <w:szCs w:val="20"/>
          <w:lang w:val="en-GB"/>
        </w:rPr>
        <w:footnoteReference w:id="99"/>
      </w:r>
      <w:r w:rsidR="0074339A" w:rsidRPr="00B7554F">
        <w:rPr>
          <w:sz w:val="20"/>
          <w:szCs w:val="20"/>
          <w:lang w:val="en-GB"/>
        </w:rPr>
        <w:t xml:space="preserve"> </w:t>
      </w:r>
      <w:r w:rsidR="0031574F" w:rsidRPr="00B7554F">
        <w:rPr>
          <w:sz w:val="20"/>
          <w:szCs w:val="20"/>
          <w:lang w:val="en-GB"/>
        </w:rPr>
        <w:t>was</w:t>
      </w:r>
      <w:r w:rsidR="0074339A" w:rsidRPr="00B7554F">
        <w:rPr>
          <w:sz w:val="20"/>
          <w:szCs w:val="20"/>
          <w:lang w:val="en-GB"/>
        </w:rPr>
        <w:t xml:space="preserve"> published on the competent ministry’s website and sent to </w:t>
      </w:r>
      <w:r w:rsidR="00EE290B" w:rsidRPr="00B7554F">
        <w:rPr>
          <w:sz w:val="20"/>
          <w:szCs w:val="20"/>
          <w:lang w:val="en-GB"/>
        </w:rPr>
        <w:t>various</w:t>
      </w:r>
      <w:r w:rsidR="006135CF" w:rsidRPr="00B7554F">
        <w:rPr>
          <w:sz w:val="20"/>
          <w:szCs w:val="20"/>
          <w:lang w:val="en-GB"/>
        </w:rPr>
        <w:t xml:space="preserve"> NGOs </w:t>
      </w:r>
      <w:r w:rsidR="0074339A" w:rsidRPr="00B7554F">
        <w:rPr>
          <w:sz w:val="20"/>
          <w:szCs w:val="20"/>
          <w:lang w:val="en-GB"/>
        </w:rPr>
        <w:t>for comment.</w:t>
      </w:r>
      <w:r w:rsidR="0074339A" w:rsidRPr="00B7554F">
        <w:rPr>
          <w:rStyle w:val="FootnoteReference"/>
          <w:sz w:val="20"/>
          <w:szCs w:val="20"/>
          <w:lang w:val="en-GB"/>
        </w:rPr>
        <w:footnoteReference w:id="100"/>
      </w:r>
      <w:r w:rsidR="00DD7162" w:rsidRPr="00B7554F">
        <w:rPr>
          <w:sz w:val="20"/>
          <w:szCs w:val="20"/>
          <w:lang w:val="en-GB"/>
        </w:rPr>
        <w:t xml:space="preserve"> </w:t>
      </w:r>
      <w:bookmarkEnd w:id="58"/>
    </w:p>
    <w:p w14:paraId="759A0807" w14:textId="18B814F9" w:rsidR="004D712B" w:rsidRPr="00B7554F" w:rsidRDefault="004D712B" w:rsidP="00025086">
      <w:pPr>
        <w:pStyle w:val="SingleTxtG"/>
        <w:ind w:left="1100" w:right="0"/>
        <w:rPr>
          <w:sz w:val="20"/>
          <w:lang w:val="en-GB"/>
        </w:rPr>
      </w:pPr>
      <w:r w:rsidRPr="00B7554F">
        <w:rPr>
          <w:i/>
          <w:iCs/>
          <w:sz w:val="20"/>
          <w:lang w:val="en-GB"/>
        </w:rPr>
        <w:t>Resolution</w:t>
      </w:r>
      <w:r w:rsidR="00EE290B" w:rsidRPr="00B7554F">
        <w:rPr>
          <w:i/>
          <w:iCs/>
          <w:sz w:val="20"/>
          <w:lang w:val="en-GB"/>
        </w:rPr>
        <w:t xml:space="preserve"> 44/2008</w:t>
      </w:r>
    </w:p>
    <w:p w14:paraId="3132F80B" w14:textId="1B7FB7EF" w:rsidR="00BF219D" w:rsidRPr="00B7554F" w:rsidRDefault="00C84D82" w:rsidP="005E12D8">
      <w:pPr>
        <w:pStyle w:val="SingleTxtG"/>
        <w:numPr>
          <w:ilvl w:val="0"/>
          <w:numId w:val="3"/>
        </w:numPr>
        <w:tabs>
          <w:tab w:val="num" w:pos="1134"/>
        </w:tabs>
        <w:ind w:left="1100" w:right="0" w:firstLine="0"/>
        <w:rPr>
          <w:sz w:val="20"/>
          <w:lang w:val="en-GB"/>
        </w:rPr>
      </w:pPr>
      <w:bookmarkStart w:id="59" w:name="_Ref7453552"/>
      <w:r w:rsidRPr="00B7554F">
        <w:rPr>
          <w:sz w:val="20"/>
          <w:szCs w:val="20"/>
          <w:lang w:val="en-GB"/>
        </w:rPr>
        <w:t xml:space="preserve">The communicants contend </w:t>
      </w:r>
      <w:r w:rsidR="00EE290B" w:rsidRPr="00B7554F">
        <w:rPr>
          <w:sz w:val="20"/>
          <w:szCs w:val="20"/>
          <w:lang w:val="en-GB"/>
        </w:rPr>
        <w:t>that Resolution 44/2008</w:t>
      </w:r>
      <w:r w:rsidRPr="00B7554F">
        <w:rPr>
          <w:sz w:val="20"/>
          <w:szCs w:val="20"/>
          <w:lang w:val="en-GB"/>
        </w:rPr>
        <w:t xml:space="preserve"> was based on </w:t>
      </w:r>
      <w:r w:rsidR="00C25433" w:rsidRPr="00B7554F">
        <w:rPr>
          <w:sz w:val="20"/>
          <w:szCs w:val="20"/>
          <w:lang w:val="en-GB"/>
        </w:rPr>
        <w:t xml:space="preserve">undisclosed </w:t>
      </w:r>
      <w:r w:rsidRPr="00B7554F">
        <w:rPr>
          <w:sz w:val="20"/>
          <w:szCs w:val="20"/>
          <w:lang w:val="en-GB"/>
        </w:rPr>
        <w:t>materials from the Teller and Lévai Projects</w:t>
      </w:r>
      <w:r w:rsidR="00B328C4" w:rsidRPr="00B7554F">
        <w:rPr>
          <w:sz w:val="20"/>
          <w:szCs w:val="20"/>
          <w:lang w:val="en-GB"/>
        </w:rPr>
        <w:t>,</w:t>
      </w:r>
      <w:r w:rsidRPr="00B7554F">
        <w:rPr>
          <w:rStyle w:val="FootnoteReference"/>
          <w:szCs w:val="20"/>
          <w:lang w:val="en-GB"/>
        </w:rPr>
        <w:footnoteReference w:id="101"/>
      </w:r>
      <w:r w:rsidR="00B328C4" w:rsidRPr="00B7554F">
        <w:rPr>
          <w:sz w:val="20"/>
          <w:szCs w:val="20"/>
          <w:lang w:val="en-GB"/>
        </w:rPr>
        <w:t xml:space="preserve"> and</w:t>
      </w:r>
      <w:r w:rsidRPr="00B7554F">
        <w:rPr>
          <w:sz w:val="20"/>
          <w:szCs w:val="20"/>
          <w:lang w:val="en-GB"/>
        </w:rPr>
        <w:t xml:space="preserve"> </w:t>
      </w:r>
      <w:r w:rsidR="00D877FE" w:rsidRPr="00B7554F">
        <w:rPr>
          <w:sz w:val="20"/>
          <w:szCs w:val="20"/>
          <w:lang w:val="en-GB"/>
        </w:rPr>
        <w:t>the only information released was a draft energy policy concept published on the</w:t>
      </w:r>
      <w:r w:rsidR="00B328C4" w:rsidRPr="00B7554F">
        <w:rPr>
          <w:sz w:val="20"/>
          <w:szCs w:val="20"/>
          <w:lang w:val="en-GB"/>
        </w:rPr>
        <w:t xml:space="preserve"> competent ministry’s</w:t>
      </w:r>
      <w:r w:rsidR="00D877FE" w:rsidRPr="00B7554F">
        <w:rPr>
          <w:sz w:val="20"/>
          <w:szCs w:val="20"/>
          <w:lang w:val="en-GB"/>
        </w:rPr>
        <w:t xml:space="preserve"> website</w:t>
      </w:r>
      <w:r w:rsidR="00AE6A88" w:rsidRPr="00B7554F">
        <w:rPr>
          <w:sz w:val="20"/>
          <w:szCs w:val="20"/>
          <w:lang w:val="en-GB"/>
        </w:rPr>
        <w:t xml:space="preserve"> (see para. </w:t>
      </w:r>
      <w:r w:rsidR="00AE6A88" w:rsidRPr="00B7554F">
        <w:rPr>
          <w:sz w:val="20"/>
          <w:szCs w:val="20"/>
          <w:lang w:val="en-GB"/>
        </w:rPr>
        <w:fldChar w:fldCharType="begin"/>
      </w:r>
      <w:r w:rsidR="00AE6A88" w:rsidRPr="00B7554F">
        <w:rPr>
          <w:sz w:val="20"/>
          <w:szCs w:val="20"/>
          <w:lang w:val="en-GB"/>
        </w:rPr>
        <w:instrText xml:space="preserve"> REF _Ref74155784 \r \h </w:instrText>
      </w:r>
      <w:r w:rsidR="00B7554F">
        <w:rPr>
          <w:sz w:val="20"/>
          <w:szCs w:val="20"/>
          <w:lang w:val="en-GB"/>
        </w:rPr>
        <w:instrText xml:space="preserve"> \* MERGEFORMAT </w:instrText>
      </w:r>
      <w:r w:rsidR="00AE6A88" w:rsidRPr="00B7554F">
        <w:rPr>
          <w:sz w:val="20"/>
          <w:szCs w:val="20"/>
          <w:lang w:val="en-GB"/>
        </w:rPr>
      </w:r>
      <w:r w:rsidR="00AE6A88" w:rsidRPr="00B7554F">
        <w:rPr>
          <w:sz w:val="20"/>
          <w:szCs w:val="20"/>
          <w:lang w:val="en-GB"/>
        </w:rPr>
        <w:fldChar w:fldCharType="separate"/>
      </w:r>
      <w:r w:rsidR="00BF0EA2">
        <w:rPr>
          <w:sz w:val="20"/>
          <w:szCs w:val="20"/>
          <w:cs/>
          <w:lang w:val="en-GB"/>
        </w:rPr>
        <w:t>‎</w:t>
      </w:r>
      <w:r w:rsidR="00BF0EA2">
        <w:rPr>
          <w:sz w:val="20"/>
          <w:szCs w:val="20"/>
          <w:lang w:val="en-GB"/>
        </w:rPr>
        <w:t>33</w:t>
      </w:r>
      <w:r w:rsidR="00AE6A88" w:rsidRPr="00B7554F">
        <w:rPr>
          <w:sz w:val="20"/>
          <w:szCs w:val="20"/>
          <w:lang w:val="en-GB"/>
        </w:rPr>
        <w:fldChar w:fldCharType="end"/>
      </w:r>
      <w:r w:rsidR="00AE6A88" w:rsidRPr="00B7554F">
        <w:rPr>
          <w:sz w:val="20"/>
          <w:szCs w:val="20"/>
          <w:lang w:val="en-GB"/>
        </w:rPr>
        <w:t xml:space="preserve"> above)</w:t>
      </w:r>
      <w:r w:rsidR="00D877FE" w:rsidRPr="00B7554F">
        <w:rPr>
          <w:sz w:val="20"/>
          <w:szCs w:val="20"/>
          <w:lang w:val="en-GB"/>
        </w:rPr>
        <w:t>.</w:t>
      </w:r>
      <w:r w:rsidR="00D877FE" w:rsidRPr="00B7554F">
        <w:rPr>
          <w:rStyle w:val="FootnoteReference"/>
          <w:sz w:val="20"/>
          <w:szCs w:val="20"/>
          <w:lang w:val="en-GB"/>
        </w:rPr>
        <w:footnoteReference w:id="102"/>
      </w:r>
      <w:bookmarkEnd w:id="59"/>
      <w:r w:rsidR="00BF219D" w:rsidRPr="00B7554F">
        <w:rPr>
          <w:sz w:val="20"/>
          <w:szCs w:val="20"/>
          <w:lang w:val="en-GB"/>
        </w:rPr>
        <w:t xml:space="preserve"> </w:t>
      </w:r>
    </w:p>
    <w:p w14:paraId="0B628F72" w14:textId="644C7FBE" w:rsidR="00B66679" w:rsidRPr="00B7554F" w:rsidRDefault="00E46603" w:rsidP="00790607">
      <w:pPr>
        <w:pStyle w:val="SingleTxtG"/>
        <w:numPr>
          <w:ilvl w:val="0"/>
          <w:numId w:val="3"/>
        </w:numPr>
        <w:tabs>
          <w:tab w:val="num" w:pos="1134"/>
        </w:tabs>
        <w:ind w:left="1100" w:right="0" w:firstLine="0"/>
        <w:rPr>
          <w:sz w:val="20"/>
          <w:lang w:val="en-GB"/>
        </w:rPr>
      </w:pPr>
      <w:bookmarkStart w:id="60" w:name="_Ref74126102"/>
      <w:r w:rsidRPr="00B7554F">
        <w:rPr>
          <w:sz w:val="20"/>
          <w:szCs w:val="20"/>
          <w:lang w:val="en-GB"/>
        </w:rPr>
        <w:t xml:space="preserve">The communicants </w:t>
      </w:r>
      <w:r w:rsidR="001C7209" w:rsidRPr="00B7554F">
        <w:rPr>
          <w:sz w:val="20"/>
          <w:szCs w:val="20"/>
          <w:lang w:val="en-GB"/>
        </w:rPr>
        <w:t>allege that, according to the Ombudsman, the draft resolution</w:t>
      </w:r>
      <w:r w:rsidR="00B328C4" w:rsidRPr="00B7554F">
        <w:rPr>
          <w:sz w:val="20"/>
          <w:szCs w:val="20"/>
          <w:lang w:val="en-GB"/>
        </w:rPr>
        <w:t xml:space="preserve"> and </w:t>
      </w:r>
      <w:r w:rsidR="00BF219D" w:rsidRPr="00B7554F">
        <w:rPr>
          <w:sz w:val="20"/>
          <w:szCs w:val="20"/>
          <w:lang w:val="en-GB"/>
        </w:rPr>
        <w:t>a strategic environmental assessment</w:t>
      </w:r>
      <w:r w:rsidR="00B409BB" w:rsidRPr="00B7554F">
        <w:rPr>
          <w:sz w:val="20"/>
          <w:szCs w:val="20"/>
          <w:lang w:val="en-GB"/>
        </w:rPr>
        <w:t>,</w:t>
      </w:r>
      <w:r w:rsidR="00BF219D" w:rsidRPr="00B7554F">
        <w:rPr>
          <w:sz w:val="20"/>
          <w:szCs w:val="20"/>
          <w:lang w:val="en-GB"/>
        </w:rPr>
        <w:t xml:space="preserve"> were sent</w:t>
      </w:r>
      <w:r w:rsidR="00A12983" w:rsidRPr="00B7554F">
        <w:rPr>
          <w:sz w:val="20"/>
          <w:szCs w:val="20"/>
          <w:lang w:val="en-GB"/>
        </w:rPr>
        <w:t xml:space="preserve"> </w:t>
      </w:r>
      <w:r w:rsidRPr="00B7554F">
        <w:rPr>
          <w:sz w:val="20"/>
          <w:szCs w:val="20"/>
          <w:lang w:val="en-GB"/>
        </w:rPr>
        <w:t xml:space="preserve">to the </w:t>
      </w:r>
      <w:bookmarkEnd w:id="56"/>
      <w:r w:rsidR="004D61AB" w:rsidRPr="00B7554F">
        <w:rPr>
          <w:sz w:val="20"/>
          <w:szCs w:val="20"/>
          <w:lang w:val="en-GB"/>
        </w:rPr>
        <w:t xml:space="preserve">NEC </w:t>
      </w:r>
      <w:r w:rsidR="00BF219D" w:rsidRPr="00B7554F">
        <w:rPr>
          <w:sz w:val="20"/>
          <w:szCs w:val="20"/>
          <w:lang w:val="en-GB"/>
        </w:rPr>
        <w:t>for comments</w:t>
      </w:r>
      <w:r w:rsidR="000126BA" w:rsidRPr="00B7554F">
        <w:rPr>
          <w:rStyle w:val="FootnoteReference"/>
          <w:sz w:val="20"/>
          <w:szCs w:val="20"/>
          <w:lang w:val="en-GB"/>
        </w:rPr>
        <w:footnoteReference w:id="103"/>
      </w:r>
      <w:r w:rsidR="00F93B37" w:rsidRPr="00B7554F">
        <w:rPr>
          <w:sz w:val="20"/>
          <w:szCs w:val="20"/>
          <w:lang w:val="en-GB"/>
        </w:rPr>
        <w:t xml:space="preserve"> </w:t>
      </w:r>
      <w:r w:rsidR="00C25433" w:rsidRPr="00B7554F">
        <w:rPr>
          <w:sz w:val="20"/>
          <w:szCs w:val="20"/>
          <w:lang w:val="en-GB"/>
        </w:rPr>
        <w:t>but</w:t>
      </w:r>
      <w:r w:rsidR="00F93B37" w:rsidRPr="00B7554F">
        <w:rPr>
          <w:sz w:val="20"/>
          <w:szCs w:val="20"/>
          <w:lang w:val="en-GB"/>
        </w:rPr>
        <w:t xml:space="preserve"> that “[n]either [a] SEA nor an ‘environmental assessment’</w:t>
      </w:r>
      <w:r w:rsidR="00B328C4" w:rsidRPr="00B7554F">
        <w:rPr>
          <w:sz w:val="20"/>
          <w:szCs w:val="20"/>
          <w:lang w:val="en-GB"/>
        </w:rPr>
        <w:t>…</w:t>
      </w:r>
      <w:r w:rsidR="00F93B37" w:rsidRPr="00B7554F">
        <w:rPr>
          <w:sz w:val="20"/>
          <w:szCs w:val="20"/>
          <w:lang w:val="en-GB"/>
        </w:rPr>
        <w:t>was ever made available”</w:t>
      </w:r>
      <w:r w:rsidR="00052279" w:rsidRPr="00B7554F">
        <w:rPr>
          <w:sz w:val="20"/>
          <w:szCs w:val="20"/>
          <w:lang w:val="en-GB"/>
        </w:rPr>
        <w:t xml:space="preserve"> to the public</w:t>
      </w:r>
      <w:r w:rsidR="00B328C4" w:rsidRPr="00B7554F">
        <w:rPr>
          <w:sz w:val="20"/>
          <w:szCs w:val="20"/>
          <w:lang w:val="en-GB"/>
        </w:rPr>
        <w:t>.</w:t>
      </w:r>
      <w:r w:rsidR="00F93B37" w:rsidRPr="00B7554F">
        <w:rPr>
          <w:rStyle w:val="FootnoteReference"/>
          <w:sz w:val="20"/>
          <w:szCs w:val="20"/>
          <w:lang w:val="en-GB"/>
        </w:rPr>
        <w:t xml:space="preserve"> </w:t>
      </w:r>
      <w:r w:rsidR="00F93B37" w:rsidRPr="00B7554F">
        <w:rPr>
          <w:rStyle w:val="FootnoteReference"/>
          <w:sz w:val="20"/>
          <w:szCs w:val="20"/>
          <w:lang w:val="en-GB"/>
        </w:rPr>
        <w:footnoteReference w:id="104"/>
      </w:r>
      <w:bookmarkEnd w:id="60"/>
    </w:p>
    <w:p w14:paraId="48326E25" w14:textId="1961B5B8" w:rsidR="00DD7162" w:rsidRPr="00B7554F" w:rsidRDefault="00226D3B" w:rsidP="000E746D">
      <w:pPr>
        <w:pStyle w:val="SingleTxtG"/>
        <w:numPr>
          <w:ilvl w:val="0"/>
          <w:numId w:val="3"/>
        </w:numPr>
        <w:tabs>
          <w:tab w:val="num" w:pos="1134"/>
        </w:tabs>
        <w:ind w:left="1100" w:right="0" w:firstLine="0"/>
        <w:rPr>
          <w:sz w:val="20"/>
          <w:szCs w:val="20"/>
          <w:lang w:val="en-GB"/>
        </w:rPr>
      </w:pPr>
      <w:r w:rsidRPr="00B7554F">
        <w:rPr>
          <w:sz w:val="20"/>
          <w:szCs w:val="20"/>
          <w:lang w:val="en-GB"/>
        </w:rPr>
        <w:t>The</w:t>
      </w:r>
      <w:r w:rsidRPr="00B7554F">
        <w:rPr>
          <w:sz w:val="20"/>
          <w:lang w:val="en-GB"/>
        </w:rPr>
        <w:t xml:space="preserve"> Party concerned states the draft </w:t>
      </w:r>
      <w:r w:rsidR="00EE290B" w:rsidRPr="00B7554F">
        <w:rPr>
          <w:sz w:val="20"/>
          <w:lang w:val="en-GB"/>
        </w:rPr>
        <w:t>2008-2020 energy policy</w:t>
      </w:r>
      <w:r w:rsidRPr="00B7554F">
        <w:rPr>
          <w:sz w:val="20"/>
          <w:lang w:val="en-GB"/>
        </w:rPr>
        <w:t xml:space="preserve"> </w:t>
      </w:r>
      <w:r w:rsidR="00B328C4" w:rsidRPr="00B7554F">
        <w:rPr>
          <w:sz w:val="20"/>
          <w:lang w:val="en-GB"/>
        </w:rPr>
        <w:t>and</w:t>
      </w:r>
      <w:r w:rsidRPr="00B7554F">
        <w:rPr>
          <w:sz w:val="20"/>
          <w:lang w:val="en-GB"/>
        </w:rPr>
        <w:t xml:space="preserve"> an </w:t>
      </w:r>
      <w:r w:rsidR="00B328C4" w:rsidRPr="00B7554F">
        <w:rPr>
          <w:sz w:val="20"/>
          <w:lang w:val="en-GB"/>
        </w:rPr>
        <w:t>“</w:t>
      </w:r>
      <w:r w:rsidRPr="00B7554F">
        <w:rPr>
          <w:sz w:val="20"/>
          <w:lang w:val="en-GB"/>
        </w:rPr>
        <w:t>environmental assessment</w:t>
      </w:r>
      <w:r w:rsidR="00B328C4" w:rsidRPr="00B7554F">
        <w:rPr>
          <w:sz w:val="20"/>
          <w:lang w:val="en-GB"/>
        </w:rPr>
        <w:t>” were sent</w:t>
      </w:r>
      <w:r w:rsidRPr="00B7554F">
        <w:rPr>
          <w:sz w:val="20"/>
          <w:lang w:val="en-GB"/>
        </w:rPr>
        <w:t xml:space="preserve"> to the NEC, which provided NGOs an opportunity to comment on “the document,” and that subsequently “the documents” were made available on the websites of </w:t>
      </w:r>
      <w:r w:rsidR="00F46D27" w:rsidRPr="00B7554F">
        <w:rPr>
          <w:sz w:val="20"/>
          <w:lang w:val="en-GB"/>
        </w:rPr>
        <w:t xml:space="preserve">the </w:t>
      </w:r>
      <w:r w:rsidRPr="00B7554F">
        <w:rPr>
          <w:sz w:val="20"/>
          <w:lang w:val="en-GB"/>
        </w:rPr>
        <w:t>ministry</w:t>
      </w:r>
      <w:r w:rsidR="00F46D27" w:rsidRPr="00B7554F">
        <w:rPr>
          <w:sz w:val="20"/>
          <w:lang w:val="en-GB"/>
        </w:rPr>
        <w:t xml:space="preserve">, with an opportunity for public comment, </w:t>
      </w:r>
      <w:r w:rsidRPr="00B7554F">
        <w:rPr>
          <w:sz w:val="20"/>
          <w:lang w:val="en-GB"/>
        </w:rPr>
        <w:t>and the parliament</w:t>
      </w:r>
      <w:bookmarkStart w:id="61" w:name="_Ref74123735"/>
      <w:r w:rsidR="00DD7162" w:rsidRPr="00B7554F">
        <w:rPr>
          <w:sz w:val="20"/>
          <w:szCs w:val="20"/>
          <w:lang w:val="en-GB"/>
        </w:rPr>
        <w:t>.</w:t>
      </w:r>
      <w:r w:rsidRPr="00B7554F">
        <w:rPr>
          <w:rStyle w:val="FootnoteReference"/>
          <w:sz w:val="20"/>
          <w:lang w:val="en-GB"/>
        </w:rPr>
        <w:footnoteReference w:id="105"/>
      </w:r>
      <w:bookmarkEnd w:id="61"/>
      <w:r w:rsidR="00827824" w:rsidRPr="00B7554F">
        <w:rPr>
          <w:sz w:val="20"/>
          <w:szCs w:val="20"/>
          <w:lang w:val="en-GB"/>
        </w:rPr>
        <w:t xml:space="preserve"> </w:t>
      </w:r>
    </w:p>
    <w:p w14:paraId="51B84C12" w14:textId="08AF884E" w:rsidR="004A63F0" w:rsidRPr="00B7554F" w:rsidRDefault="00B328C4" w:rsidP="004A63F0">
      <w:pPr>
        <w:pStyle w:val="SingleTxtG"/>
        <w:numPr>
          <w:ilvl w:val="0"/>
          <w:numId w:val="3"/>
        </w:numPr>
        <w:tabs>
          <w:tab w:val="num" w:pos="1134"/>
        </w:tabs>
        <w:ind w:left="1100" w:right="0" w:firstLine="0"/>
        <w:rPr>
          <w:sz w:val="20"/>
          <w:szCs w:val="20"/>
          <w:lang w:val="en-GB"/>
        </w:rPr>
      </w:pPr>
      <w:r w:rsidRPr="00B7554F">
        <w:rPr>
          <w:sz w:val="20"/>
          <w:szCs w:val="20"/>
          <w:lang w:val="en-GB"/>
        </w:rPr>
        <w:t>The</w:t>
      </w:r>
      <w:r w:rsidR="004A63F0" w:rsidRPr="00B7554F">
        <w:rPr>
          <w:sz w:val="20"/>
          <w:szCs w:val="20"/>
          <w:lang w:val="en-GB"/>
        </w:rPr>
        <w:t xml:space="preserve"> Party concerned </w:t>
      </w:r>
      <w:r w:rsidR="00486257" w:rsidRPr="00B7554F">
        <w:rPr>
          <w:sz w:val="20"/>
          <w:szCs w:val="20"/>
          <w:lang w:val="en-GB"/>
        </w:rPr>
        <w:t>claims</w:t>
      </w:r>
      <w:r w:rsidR="00DD7162" w:rsidRPr="00B7554F">
        <w:rPr>
          <w:sz w:val="20"/>
          <w:szCs w:val="20"/>
          <w:lang w:val="en-GB"/>
        </w:rPr>
        <w:t xml:space="preserve"> </w:t>
      </w:r>
      <w:r w:rsidR="004A63F0" w:rsidRPr="00B7554F">
        <w:rPr>
          <w:sz w:val="20"/>
          <w:szCs w:val="20"/>
          <w:lang w:val="en-GB"/>
        </w:rPr>
        <w:t xml:space="preserve">that no </w:t>
      </w:r>
      <w:r w:rsidR="00D74EC6" w:rsidRPr="00B7554F">
        <w:rPr>
          <w:sz w:val="20"/>
          <w:szCs w:val="20"/>
          <w:lang w:val="en-GB"/>
        </w:rPr>
        <w:t>SEA</w:t>
      </w:r>
      <w:r w:rsidR="004A63F0" w:rsidRPr="00B7554F">
        <w:rPr>
          <w:sz w:val="20"/>
          <w:szCs w:val="20"/>
          <w:lang w:val="en-GB"/>
        </w:rPr>
        <w:t xml:space="preserve"> was undertaken </w:t>
      </w:r>
      <w:r w:rsidRPr="00B7554F">
        <w:rPr>
          <w:sz w:val="20"/>
          <w:szCs w:val="20"/>
          <w:lang w:val="en-GB"/>
        </w:rPr>
        <w:t>on</w:t>
      </w:r>
      <w:r w:rsidR="004A63F0" w:rsidRPr="00B7554F">
        <w:rPr>
          <w:sz w:val="20"/>
          <w:szCs w:val="20"/>
          <w:lang w:val="en-GB"/>
        </w:rPr>
        <w:t xml:space="preserve"> </w:t>
      </w:r>
      <w:r w:rsidR="00EE290B" w:rsidRPr="00B7554F">
        <w:rPr>
          <w:sz w:val="20"/>
          <w:szCs w:val="20"/>
          <w:lang w:val="en-GB"/>
        </w:rPr>
        <w:t>Resolution 44/2008</w:t>
      </w:r>
      <w:r w:rsidR="00AC07C3" w:rsidRPr="00B7554F">
        <w:rPr>
          <w:sz w:val="20"/>
          <w:szCs w:val="20"/>
          <w:lang w:val="en-GB"/>
        </w:rPr>
        <w:t>,</w:t>
      </w:r>
      <w:r w:rsidR="00486257" w:rsidRPr="00B7554F">
        <w:rPr>
          <w:rStyle w:val="FootnoteReference"/>
          <w:sz w:val="20"/>
          <w:szCs w:val="20"/>
          <w:lang w:val="en-GB"/>
        </w:rPr>
        <w:footnoteReference w:id="106"/>
      </w:r>
      <w:r w:rsidR="004A63F0" w:rsidRPr="00B7554F">
        <w:rPr>
          <w:sz w:val="20"/>
          <w:szCs w:val="20"/>
          <w:lang w:val="en-GB"/>
        </w:rPr>
        <w:t xml:space="preserve"> </w:t>
      </w:r>
      <w:r w:rsidR="00052279" w:rsidRPr="00B7554F">
        <w:rPr>
          <w:sz w:val="20"/>
          <w:szCs w:val="20"/>
          <w:lang w:val="en-GB"/>
        </w:rPr>
        <w:t>nor was this</w:t>
      </w:r>
      <w:r w:rsidRPr="00B7554F">
        <w:rPr>
          <w:sz w:val="20"/>
          <w:szCs w:val="20"/>
          <w:lang w:val="en-GB"/>
        </w:rPr>
        <w:t xml:space="preserve"> legally</w:t>
      </w:r>
      <w:r w:rsidR="004A63F0" w:rsidRPr="00B7554F">
        <w:rPr>
          <w:sz w:val="20"/>
          <w:szCs w:val="20"/>
          <w:lang w:val="en-GB"/>
        </w:rPr>
        <w:t xml:space="preserve"> required.</w:t>
      </w:r>
      <w:r w:rsidR="00486257" w:rsidRPr="00B7554F">
        <w:rPr>
          <w:rStyle w:val="FootnoteReference"/>
          <w:sz w:val="20"/>
          <w:szCs w:val="20"/>
          <w:lang w:val="en-GB"/>
        </w:rPr>
        <w:footnoteReference w:id="107"/>
      </w:r>
    </w:p>
    <w:p w14:paraId="264B2515" w14:textId="4E37F4B4" w:rsidR="004D712B" w:rsidRPr="00B7554F" w:rsidRDefault="004D712B" w:rsidP="004D712B">
      <w:pPr>
        <w:pStyle w:val="SingleTxtG"/>
        <w:ind w:right="0"/>
        <w:rPr>
          <w:i/>
          <w:iCs/>
          <w:sz w:val="20"/>
          <w:szCs w:val="20"/>
          <w:lang w:val="en-GB"/>
        </w:rPr>
      </w:pPr>
      <w:r w:rsidRPr="00B7554F">
        <w:rPr>
          <w:i/>
          <w:sz w:val="20"/>
          <w:lang w:val="en-GB"/>
        </w:rPr>
        <w:t>Resolution</w:t>
      </w:r>
      <w:r w:rsidR="00EE290B" w:rsidRPr="00B7554F">
        <w:rPr>
          <w:i/>
          <w:iCs/>
          <w:sz w:val="20"/>
          <w:szCs w:val="20"/>
          <w:lang w:val="en-GB"/>
        </w:rPr>
        <w:t xml:space="preserve"> 25/2009</w:t>
      </w:r>
    </w:p>
    <w:p w14:paraId="74EBAAD8" w14:textId="0825E737" w:rsidR="0094628E" w:rsidRPr="00B7554F" w:rsidRDefault="00B66679" w:rsidP="00EE290B">
      <w:pPr>
        <w:pStyle w:val="SingleTxtG"/>
        <w:numPr>
          <w:ilvl w:val="0"/>
          <w:numId w:val="3"/>
        </w:numPr>
        <w:tabs>
          <w:tab w:val="num" w:pos="1134"/>
        </w:tabs>
        <w:ind w:left="1100" w:right="0" w:firstLine="0"/>
        <w:rPr>
          <w:sz w:val="20"/>
          <w:szCs w:val="20"/>
          <w:lang w:val="en-GB"/>
        </w:rPr>
      </w:pPr>
      <w:bookmarkStart w:id="62" w:name="_Ref74070400"/>
      <w:r w:rsidRPr="00B7554F">
        <w:rPr>
          <w:sz w:val="20"/>
          <w:szCs w:val="20"/>
          <w:lang w:val="en-GB"/>
        </w:rPr>
        <w:t>T</w:t>
      </w:r>
      <w:r w:rsidR="00E83F2B" w:rsidRPr="00B7554F">
        <w:rPr>
          <w:sz w:val="20"/>
          <w:szCs w:val="20"/>
          <w:lang w:val="en-GB"/>
        </w:rPr>
        <w:t xml:space="preserve">he communicants </w:t>
      </w:r>
      <w:r w:rsidR="00276162" w:rsidRPr="00B7554F">
        <w:rPr>
          <w:sz w:val="20"/>
          <w:szCs w:val="20"/>
          <w:lang w:val="en-GB"/>
        </w:rPr>
        <w:t xml:space="preserve">submit </w:t>
      </w:r>
      <w:r w:rsidR="00CA2739" w:rsidRPr="00B7554F">
        <w:rPr>
          <w:sz w:val="20"/>
          <w:szCs w:val="20"/>
          <w:lang w:val="en-GB"/>
        </w:rPr>
        <w:t>t</w:t>
      </w:r>
      <w:r w:rsidR="00EE290B" w:rsidRPr="00B7554F">
        <w:rPr>
          <w:sz w:val="20"/>
          <w:szCs w:val="20"/>
          <w:lang w:val="en-GB"/>
        </w:rPr>
        <w:t>hat</w:t>
      </w:r>
      <w:r w:rsidR="00CA2739" w:rsidRPr="00B7554F">
        <w:rPr>
          <w:sz w:val="20"/>
          <w:szCs w:val="20"/>
          <w:lang w:val="en-GB"/>
        </w:rPr>
        <w:t xml:space="preserve"> Resolution</w:t>
      </w:r>
      <w:r w:rsidR="00EE290B" w:rsidRPr="00B7554F">
        <w:rPr>
          <w:sz w:val="20"/>
          <w:szCs w:val="20"/>
          <w:lang w:val="en-GB"/>
        </w:rPr>
        <w:t xml:space="preserve"> 25/2009</w:t>
      </w:r>
      <w:r w:rsidR="00CA2739" w:rsidRPr="00B7554F">
        <w:rPr>
          <w:sz w:val="20"/>
          <w:szCs w:val="20"/>
          <w:lang w:val="en-GB"/>
        </w:rPr>
        <w:t xml:space="preserve"> was based on </w:t>
      </w:r>
      <w:r w:rsidR="003F4B82" w:rsidRPr="00B7554F">
        <w:rPr>
          <w:sz w:val="20"/>
          <w:szCs w:val="20"/>
          <w:lang w:val="en-GB"/>
        </w:rPr>
        <w:t>materials from the Teller and Lévai Projects</w:t>
      </w:r>
      <w:r w:rsidR="00B57BB5" w:rsidRPr="00B7554F">
        <w:rPr>
          <w:sz w:val="20"/>
          <w:szCs w:val="20"/>
          <w:lang w:val="en-GB"/>
        </w:rPr>
        <w:t>,</w:t>
      </w:r>
      <w:r w:rsidR="0094628E" w:rsidRPr="00B7554F">
        <w:rPr>
          <w:rStyle w:val="FootnoteReference"/>
          <w:sz w:val="20"/>
          <w:szCs w:val="20"/>
          <w:lang w:val="en-GB"/>
        </w:rPr>
        <w:footnoteReference w:id="108"/>
      </w:r>
      <w:r w:rsidR="003F4B82" w:rsidRPr="00B7554F">
        <w:rPr>
          <w:sz w:val="20"/>
          <w:szCs w:val="20"/>
          <w:lang w:val="en-GB"/>
        </w:rPr>
        <w:t xml:space="preserve"> </w:t>
      </w:r>
      <w:r w:rsidR="00B57BB5" w:rsidRPr="00B7554F">
        <w:rPr>
          <w:sz w:val="20"/>
          <w:szCs w:val="20"/>
          <w:lang w:val="en-GB"/>
        </w:rPr>
        <w:t xml:space="preserve">but </w:t>
      </w:r>
      <w:r w:rsidR="009C78F8" w:rsidRPr="00B7554F">
        <w:rPr>
          <w:sz w:val="20"/>
          <w:szCs w:val="20"/>
          <w:lang w:val="en-GB"/>
        </w:rPr>
        <w:t xml:space="preserve">that </w:t>
      </w:r>
      <w:r w:rsidR="00616A16" w:rsidRPr="00B7554F">
        <w:rPr>
          <w:sz w:val="20"/>
          <w:szCs w:val="20"/>
          <w:lang w:val="en-GB"/>
        </w:rPr>
        <w:t>no document</w:t>
      </w:r>
      <w:r w:rsidR="005E7699" w:rsidRPr="00B7554F">
        <w:rPr>
          <w:sz w:val="20"/>
          <w:szCs w:val="20"/>
          <w:lang w:val="en-GB"/>
        </w:rPr>
        <w:t xml:space="preserve">s </w:t>
      </w:r>
      <w:r w:rsidR="00616A16" w:rsidRPr="00B7554F">
        <w:rPr>
          <w:sz w:val="20"/>
          <w:szCs w:val="20"/>
          <w:lang w:val="en-GB"/>
        </w:rPr>
        <w:t>w</w:t>
      </w:r>
      <w:r w:rsidR="005E7699" w:rsidRPr="00B7554F">
        <w:rPr>
          <w:sz w:val="20"/>
          <w:szCs w:val="20"/>
          <w:lang w:val="en-GB"/>
        </w:rPr>
        <w:t>ere</w:t>
      </w:r>
      <w:r w:rsidR="00616A16" w:rsidRPr="00B7554F">
        <w:rPr>
          <w:sz w:val="20"/>
          <w:szCs w:val="20"/>
          <w:lang w:val="en-GB"/>
        </w:rPr>
        <w:t xml:space="preserve"> published</w:t>
      </w:r>
      <w:r w:rsidR="00E35C0C" w:rsidRPr="00B7554F">
        <w:rPr>
          <w:sz w:val="20"/>
          <w:szCs w:val="20"/>
          <w:lang w:val="en-GB"/>
        </w:rPr>
        <w:t xml:space="preserve"> prior to </w:t>
      </w:r>
      <w:r w:rsidR="00EE290B" w:rsidRPr="00B7554F">
        <w:rPr>
          <w:sz w:val="20"/>
          <w:szCs w:val="20"/>
          <w:lang w:val="en-GB"/>
        </w:rPr>
        <w:t xml:space="preserve">the </w:t>
      </w:r>
      <w:r w:rsidR="00F278E2" w:rsidRPr="00B7554F">
        <w:rPr>
          <w:sz w:val="20"/>
          <w:szCs w:val="20"/>
          <w:lang w:val="en-GB"/>
        </w:rPr>
        <w:t>proposal</w:t>
      </w:r>
      <w:r w:rsidR="00EE290B" w:rsidRPr="00B7554F">
        <w:rPr>
          <w:sz w:val="20"/>
          <w:szCs w:val="20"/>
          <w:lang w:val="en-GB"/>
        </w:rPr>
        <w:t xml:space="preserve"> for the Resolution</w:t>
      </w:r>
      <w:r w:rsidR="00616A16" w:rsidRPr="00B7554F">
        <w:rPr>
          <w:rStyle w:val="FootnoteReference"/>
          <w:sz w:val="20"/>
          <w:szCs w:val="20"/>
          <w:lang w:val="en-GB"/>
        </w:rPr>
        <w:footnoteReference w:id="109"/>
      </w:r>
      <w:bookmarkEnd w:id="62"/>
      <w:r w:rsidR="00616A16" w:rsidRPr="00B7554F">
        <w:rPr>
          <w:sz w:val="20"/>
          <w:szCs w:val="20"/>
          <w:lang w:val="en-GB"/>
        </w:rPr>
        <w:t xml:space="preserve"> </w:t>
      </w:r>
      <w:bookmarkStart w:id="63" w:name="_Ref74070408"/>
      <w:r w:rsidR="00F278E2" w:rsidRPr="00B7554F">
        <w:rPr>
          <w:sz w:val="20"/>
          <w:szCs w:val="20"/>
          <w:lang w:val="en-GB"/>
        </w:rPr>
        <w:t>and that</w:t>
      </w:r>
      <w:r w:rsidR="00C14F01" w:rsidRPr="00B7554F">
        <w:rPr>
          <w:sz w:val="20"/>
          <w:szCs w:val="20"/>
          <w:lang w:val="en-GB"/>
        </w:rPr>
        <w:t xml:space="preserve"> </w:t>
      </w:r>
      <w:r w:rsidR="005E7699" w:rsidRPr="00B7554F">
        <w:rPr>
          <w:sz w:val="20"/>
          <w:szCs w:val="20"/>
          <w:lang w:val="en-GB"/>
        </w:rPr>
        <w:t>the</w:t>
      </w:r>
      <w:r w:rsidR="00C14F01" w:rsidRPr="00B7554F">
        <w:rPr>
          <w:sz w:val="20"/>
          <w:szCs w:val="20"/>
          <w:lang w:val="en-GB"/>
        </w:rPr>
        <w:t xml:space="preserve"> proposal</w:t>
      </w:r>
      <w:r w:rsidR="00B57BB5" w:rsidRPr="00B7554F">
        <w:rPr>
          <w:sz w:val="20"/>
          <w:szCs w:val="20"/>
          <w:lang w:val="en-GB"/>
        </w:rPr>
        <w:t xml:space="preserve">, which was a one-and-a-half-page justification without </w:t>
      </w:r>
      <w:r w:rsidR="00B57BB5" w:rsidRPr="00B7554F">
        <w:rPr>
          <w:sz w:val="20"/>
          <w:szCs w:val="20"/>
          <w:lang w:val="en-GB"/>
        </w:rPr>
        <w:lastRenderedPageBreak/>
        <w:t>background studies,</w:t>
      </w:r>
      <w:r w:rsidR="00B57BB5" w:rsidRPr="00B7554F">
        <w:rPr>
          <w:rStyle w:val="FootnoteReference"/>
          <w:sz w:val="20"/>
          <w:szCs w:val="20"/>
          <w:lang w:val="en-GB"/>
        </w:rPr>
        <w:footnoteReference w:id="110"/>
      </w:r>
      <w:r w:rsidR="00C14F01" w:rsidRPr="00B7554F">
        <w:rPr>
          <w:sz w:val="20"/>
          <w:szCs w:val="20"/>
          <w:lang w:val="en-GB"/>
        </w:rPr>
        <w:t xml:space="preserve"> </w:t>
      </w:r>
      <w:r w:rsidR="005E7699" w:rsidRPr="00B7554F">
        <w:rPr>
          <w:sz w:val="20"/>
          <w:szCs w:val="20"/>
          <w:lang w:val="en-GB"/>
        </w:rPr>
        <w:t>only</w:t>
      </w:r>
      <w:r w:rsidR="00B57BB5" w:rsidRPr="00B7554F">
        <w:rPr>
          <w:sz w:val="20"/>
          <w:szCs w:val="20"/>
          <w:lang w:val="en-GB"/>
        </w:rPr>
        <w:t xml:space="preserve"> </w:t>
      </w:r>
      <w:r w:rsidR="005E7699" w:rsidRPr="00B7554F">
        <w:rPr>
          <w:sz w:val="20"/>
          <w:szCs w:val="20"/>
          <w:lang w:val="en-GB"/>
        </w:rPr>
        <w:t xml:space="preserve">became public </w:t>
      </w:r>
      <w:r w:rsidR="00EE290B" w:rsidRPr="00B7554F">
        <w:rPr>
          <w:sz w:val="20"/>
          <w:szCs w:val="20"/>
          <w:lang w:val="en-GB"/>
        </w:rPr>
        <w:t xml:space="preserve">a </w:t>
      </w:r>
      <w:r w:rsidR="005E7699" w:rsidRPr="00B7554F">
        <w:rPr>
          <w:sz w:val="20"/>
          <w:szCs w:val="20"/>
          <w:lang w:val="en-GB"/>
        </w:rPr>
        <w:t>few weeks before the actual parliamentary procedure.</w:t>
      </w:r>
      <w:r w:rsidR="005E7699" w:rsidRPr="00B7554F">
        <w:rPr>
          <w:rStyle w:val="FootnoteReference"/>
          <w:sz w:val="20"/>
          <w:szCs w:val="20"/>
          <w:lang w:val="en-GB"/>
        </w:rPr>
        <w:footnoteReference w:id="111"/>
      </w:r>
      <w:r w:rsidR="005E7699" w:rsidRPr="00B7554F">
        <w:rPr>
          <w:sz w:val="20"/>
          <w:szCs w:val="20"/>
          <w:lang w:val="en-GB"/>
        </w:rPr>
        <w:t xml:space="preserve"> </w:t>
      </w:r>
      <w:r w:rsidR="00B57BB5" w:rsidRPr="00B7554F">
        <w:rPr>
          <w:sz w:val="20"/>
          <w:szCs w:val="20"/>
          <w:lang w:val="en-GB"/>
        </w:rPr>
        <w:t xml:space="preserve"> </w:t>
      </w:r>
      <w:bookmarkEnd w:id="63"/>
    </w:p>
    <w:p w14:paraId="10060494" w14:textId="040D4CC7" w:rsidR="002424C5" w:rsidRPr="00B7554F" w:rsidRDefault="002424C5" w:rsidP="002424C5">
      <w:pPr>
        <w:pStyle w:val="SingleTxtG"/>
        <w:numPr>
          <w:ilvl w:val="0"/>
          <w:numId w:val="3"/>
        </w:numPr>
        <w:tabs>
          <w:tab w:val="num" w:pos="1134"/>
        </w:tabs>
        <w:ind w:left="1100" w:right="0" w:firstLine="0"/>
        <w:rPr>
          <w:sz w:val="20"/>
          <w:szCs w:val="20"/>
          <w:lang w:val="en-GB"/>
        </w:rPr>
      </w:pPr>
      <w:r w:rsidRPr="00B7554F">
        <w:rPr>
          <w:sz w:val="20"/>
          <w:szCs w:val="20"/>
          <w:lang w:val="en-GB"/>
        </w:rPr>
        <w:t xml:space="preserve">The Party concerned submits </w:t>
      </w:r>
      <w:r w:rsidR="00D36828" w:rsidRPr="00B7554F">
        <w:rPr>
          <w:sz w:val="20"/>
          <w:szCs w:val="20"/>
          <w:lang w:val="en-GB"/>
        </w:rPr>
        <w:t xml:space="preserve">the </w:t>
      </w:r>
      <w:r w:rsidR="00F278E2" w:rsidRPr="00B7554F">
        <w:rPr>
          <w:sz w:val="20"/>
          <w:szCs w:val="20"/>
          <w:lang w:val="en-GB"/>
        </w:rPr>
        <w:t>proposal</w:t>
      </w:r>
      <w:r w:rsidRPr="00B7554F">
        <w:rPr>
          <w:sz w:val="20"/>
          <w:szCs w:val="20"/>
          <w:lang w:val="en-GB"/>
        </w:rPr>
        <w:t xml:space="preserve"> </w:t>
      </w:r>
      <w:r w:rsidR="00EE290B" w:rsidRPr="00B7554F">
        <w:rPr>
          <w:sz w:val="20"/>
          <w:szCs w:val="20"/>
          <w:lang w:val="en-GB"/>
        </w:rPr>
        <w:t xml:space="preserve">for the Resolution </w:t>
      </w:r>
      <w:r w:rsidRPr="00B7554F">
        <w:rPr>
          <w:sz w:val="20"/>
          <w:szCs w:val="20"/>
          <w:lang w:val="en-GB"/>
        </w:rPr>
        <w:t xml:space="preserve">was discussed by </w:t>
      </w:r>
      <w:r w:rsidR="00FA0BBB" w:rsidRPr="00B7554F">
        <w:rPr>
          <w:sz w:val="20"/>
          <w:szCs w:val="20"/>
          <w:lang w:val="en-GB"/>
        </w:rPr>
        <w:t xml:space="preserve">two </w:t>
      </w:r>
      <w:r w:rsidRPr="00B7554F">
        <w:rPr>
          <w:sz w:val="20"/>
          <w:szCs w:val="20"/>
          <w:lang w:val="en-GB"/>
        </w:rPr>
        <w:t xml:space="preserve">parliamentary committees and published on the </w:t>
      </w:r>
      <w:r w:rsidR="00F278E2" w:rsidRPr="00B7554F">
        <w:rPr>
          <w:sz w:val="20"/>
          <w:szCs w:val="20"/>
          <w:lang w:val="en-GB"/>
        </w:rPr>
        <w:t>P</w:t>
      </w:r>
      <w:r w:rsidRPr="00B7554F">
        <w:rPr>
          <w:sz w:val="20"/>
          <w:szCs w:val="20"/>
          <w:lang w:val="en-GB"/>
        </w:rPr>
        <w:t>arliament’s website.</w:t>
      </w:r>
      <w:r w:rsidRPr="00B7554F">
        <w:rPr>
          <w:rStyle w:val="FootnoteReference"/>
          <w:sz w:val="20"/>
          <w:szCs w:val="20"/>
          <w:lang w:val="en-GB"/>
        </w:rPr>
        <w:footnoteReference w:id="112"/>
      </w:r>
      <w:r w:rsidRPr="00B7554F">
        <w:rPr>
          <w:sz w:val="20"/>
          <w:szCs w:val="20"/>
          <w:lang w:val="en-GB"/>
        </w:rPr>
        <w:t xml:space="preserve"> </w:t>
      </w:r>
    </w:p>
    <w:p w14:paraId="297D5A35" w14:textId="77777777" w:rsidR="003E0298" w:rsidRDefault="003E0298" w:rsidP="00CA48E5">
      <w:pPr>
        <w:pStyle w:val="SingleTxtG"/>
        <w:tabs>
          <w:tab w:val="num" w:pos="1134"/>
        </w:tabs>
        <w:autoSpaceDE w:val="0"/>
        <w:autoSpaceDN w:val="0"/>
        <w:adjustRightInd w:val="0"/>
        <w:ind w:left="1100" w:right="0"/>
        <w:rPr>
          <w:b/>
          <w:bCs/>
          <w:sz w:val="20"/>
          <w:lang w:val="en-GB"/>
        </w:rPr>
      </w:pPr>
    </w:p>
    <w:p w14:paraId="025EB3C0" w14:textId="146CB58B" w:rsidR="006A5317" w:rsidRPr="00B7554F" w:rsidRDefault="00B66679" w:rsidP="00CA48E5">
      <w:pPr>
        <w:pStyle w:val="SingleTxtG"/>
        <w:tabs>
          <w:tab w:val="num" w:pos="1134"/>
        </w:tabs>
        <w:autoSpaceDE w:val="0"/>
        <w:autoSpaceDN w:val="0"/>
        <w:adjustRightInd w:val="0"/>
        <w:ind w:left="1100" w:right="0"/>
        <w:rPr>
          <w:rStyle w:val="FootnoteReference"/>
          <w:b/>
          <w:bCs/>
          <w:sz w:val="20"/>
          <w:vertAlign w:val="baseline"/>
          <w:lang w:val="en-GB"/>
        </w:rPr>
      </w:pPr>
      <w:r w:rsidRPr="00B7554F">
        <w:rPr>
          <w:b/>
          <w:bCs/>
          <w:sz w:val="20"/>
          <w:lang w:val="en-GB"/>
        </w:rPr>
        <w:t xml:space="preserve">Article 7 </w:t>
      </w:r>
      <w:r w:rsidR="006A5317" w:rsidRPr="00B7554F">
        <w:rPr>
          <w:b/>
          <w:bCs/>
          <w:sz w:val="20"/>
          <w:szCs w:val="20"/>
          <w:lang w:val="en-GB"/>
        </w:rPr>
        <w:t xml:space="preserve">– </w:t>
      </w:r>
      <w:r w:rsidR="00225ED7" w:rsidRPr="00B7554F">
        <w:rPr>
          <w:b/>
          <w:bCs/>
          <w:sz w:val="20"/>
          <w:lang w:val="en-GB"/>
        </w:rPr>
        <w:t>a</w:t>
      </w:r>
      <w:r w:rsidR="006A5317" w:rsidRPr="00B7554F">
        <w:rPr>
          <w:b/>
          <w:bCs/>
          <w:sz w:val="20"/>
          <w:lang w:val="en-GB"/>
        </w:rPr>
        <w:t>pplicability</w:t>
      </w:r>
      <w:r w:rsidR="006A5317" w:rsidRPr="00B7554F">
        <w:rPr>
          <w:b/>
          <w:bCs/>
          <w:sz w:val="20"/>
          <w:szCs w:val="20"/>
          <w:lang w:val="en-GB"/>
        </w:rPr>
        <w:t xml:space="preserve"> </w:t>
      </w:r>
    </w:p>
    <w:p w14:paraId="2F7849D2" w14:textId="18ABAC07" w:rsidR="001F5110" w:rsidRPr="00B7554F" w:rsidRDefault="00B66679" w:rsidP="00B7554F">
      <w:pPr>
        <w:pStyle w:val="SingleTxtG"/>
        <w:numPr>
          <w:ilvl w:val="0"/>
          <w:numId w:val="3"/>
        </w:numPr>
        <w:tabs>
          <w:tab w:val="num" w:pos="1134"/>
        </w:tabs>
        <w:ind w:left="1100" w:right="0" w:firstLine="0"/>
        <w:rPr>
          <w:sz w:val="20"/>
          <w:lang w:val="en-GB"/>
        </w:rPr>
      </w:pPr>
      <w:bookmarkStart w:id="64" w:name="_Ref18326780"/>
      <w:r w:rsidRPr="00B7554F">
        <w:rPr>
          <w:sz w:val="20"/>
          <w:lang w:val="en-GB"/>
        </w:rPr>
        <w:t>Th</w:t>
      </w:r>
      <w:r w:rsidR="002603F8" w:rsidRPr="00B7554F">
        <w:rPr>
          <w:sz w:val="20"/>
          <w:lang w:val="en-GB"/>
        </w:rPr>
        <w:t xml:space="preserve">e communicants </w:t>
      </w:r>
      <w:bookmarkStart w:id="65" w:name="_Ref7433494"/>
      <w:r w:rsidR="00D36828" w:rsidRPr="00B7554F">
        <w:rPr>
          <w:sz w:val="20"/>
          <w:szCs w:val="20"/>
          <w:lang w:val="en-GB"/>
        </w:rPr>
        <w:t xml:space="preserve">cite six factors which </w:t>
      </w:r>
      <w:r w:rsidR="001F5110" w:rsidRPr="00B7554F">
        <w:rPr>
          <w:sz w:val="20"/>
          <w:szCs w:val="20"/>
          <w:lang w:val="en-GB"/>
        </w:rPr>
        <w:t>they</w:t>
      </w:r>
      <w:r w:rsidR="00D36828" w:rsidRPr="00B7554F">
        <w:rPr>
          <w:sz w:val="20"/>
          <w:szCs w:val="20"/>
          <w:lang w:val="en-GB"/>
        </w:rPr>
        <w:t xml:space="preserve"> claim</w:t>
      </w:r>
      <w:r w:rsidR="001F5110" w:rsidRPr="00B7554F">
        <w:rPr>
          <w:sz w:val="20"/>
          <w:szCs w:val="20"/>
          <w:lang w:val="en-GB"/>
        </w:rPr>
        <w:t xml:space="preserve"> </w:t>
      </w:r>
      <w:r w:rsidR="00D36828" w:rsidRPr="00B7554F">
        <w:rPr>
          <w:sz w:val="20"/>
          <w:szCs w:val="20"/>
          <w:lang w:val="en-GB"/>
        </w:rPr>
        <w:t xml:space="preserve">support </w:t>
      </w:r>
      <w:r w:rsidR="009526A4" w:rsidRPr="00B7554F">
        <w:rPr>
          <w:sz w:val="20"/>
          <w:szCs w:val="20"/>
          <w:lang w:val="en-GB"/>
        </w:rPr>
        <w:t xml:space="preserve">their </w:t>
      </w:r>
      <w:r w:rsidR="001F5110" w:rsidRPr="00B7554F">
        <w:rPr>
          <w:sz w:val="20"/>
          <w:szCs w:val="20"/>
          <w:lang w:val="en-GB"/>
        </w:rPr>
        <w:t>allegations</w:t>
      </w:r>
      <w:r w:rsidR="003C6B03" w:rsidRPr="00B7554F">
        <w:rPr>
          <w:sz w:val="20"/>
          <w:szCs w:val="20"/>
          <w:lang w:val="en-GB"/>
        </w:rPr>
        <w:t xml:space="preserve"> that Resolutions </w:t>
      </w:r>
      <w:r w:rsidR="00225ED7" w:rsidRPr="00B7554F">
        <w:rPr>
          <w:sz w:val="20"/>
          <w:szCs w:val="20"/>
          <w:lang w:val="en-GB"/>
        </w:rPr>
        <w:t xml:space="preserve">40/2008, 25/2009 and 77/2011 </w:t>
      </w:r>
      <w:r w:rsidR="003C6B03" w:rsidRPr="00B7554F">
        <w:rPr>
          <w:sz w:val="20"/>
          <w:szCs w:val="20"/>
          <w:lang w:val="en-GB"/>
        </w:rPr>
        <w:t>fall under article 7</w:t>
      </w:r>
      <w:r w:rsidR="00D36828" w:rsidRPr="00B7554F">
        <w:rPr>
          <w:sz w:val="20"/>
          <w:szCs w:val="20"/>
          <w:lang w:val="en-GB"/>
        </w:rPr>
        <w:t xml:space="preserve">, namely that </w:t>
      </w:r>
      <w:r w:rsidR="00F278E2" w:rsidRPr="00B7554F">
        <w:rPr>
          <w:sz w:val="20"/>
          <w:szCs w:val="20"/>
          <w:lang w:val="en-GB"/>
        </w:rPr>
        <w:t>the</w:t>
      </w:r>
      <w:r w:rsidR="00D36828" w:rsidRPr="00B7554F">
        <w:rPr>
          <w:sz w:val="20"/>
          <w:szCs w:val="20"/>
          <w:lang w:val="en-GB"/>
        </w:rPr>
        <w:t xml:space="preserve"> resolutions</w:t>
      </w:r>
      <w:r w:rsidR="00F278E2" w:rsidRPr="00B7554F">
        <w:rPr>
          <w:sz w:val="20"/>
          <w:lang w:val="en-GB"/>
        </w:rPr>
        <w:t xml:space="preserve"> p</w:t>
      </w:r>
      <w:bookmarkEnd w:id="64"/>
      <w:bookmarkEnd w:id="65"/>
      <w:r w:rsidR="00D36828" w:rsidRPr="00B7554F">
        <w:rPr>
          <w:sz w:val="20"/>
          <w:lang w:val="en-GB"/>
        </w:rPr>
        <w:t xml:space="preserve">receded the </w:t>
      </w:r>
      <w:r w:rsidR="00A03DDA" w:rsidRPr="00B7554F">
        <w:rPr>
          <w:sz w:val="20"/>
          <w:lang w:val="en-GB"/>
        </w:rPr>
        <w:t xml:space="preserve">decisions on the actual </w:t>
      </w:r>
      <w:r w:rsidR="00D36828" w:rsidRPr="00B7554F">
        <w:rPr>
          <w:sz w:val="20"/>
          <w:lang w:val="en-GB"/>
        </w:rPr>
        <w:t>projec</w:t>
      </w:r>
      <w:r w:rsidR="00F278E2" w:rsidRPr="00B7554F">
        <w:rPr>
          <w:sz w:val="20"/>
          <w:lang w:val="en-GB"/>
        </w:rPr>
        <w:t>t</w:t>
      </w:r>
      <w:r w:rsidR="00D36828" w:rsidRPr="00B7554F">
        <w:rPr>
          <w:sz w:val="20"/>
          <w:lang w:val="en-GB"/>
        </w:rPr>
        <w:t xml:space="preserve"> (time)</w:t>
      </w:r>
      <w:r w:rsidR="00F278E2" w:rsidRPr="00B7554F">
        <w:rPr>
          <w:sz w:val="20"/>
          <w:szCs w:val="20"/>
          <w:lang w:val="en-GB"/>
        </w:rPr>
        <w:t>, d</w:t>
      </w:r>
      <w:r w:rsidR="00D36828" w:rsidRPr="00B7554F">
        <w:rPr>
          <w:sz w:val="20"/>
          <w:lang w:val="en-GB"/>
        </w:rPr>
        <w:t>etermined the extension should be at Paks NPP without specifying the exact location (location)</w:t>
      </w:r>
      <w:r w:rsidR="00F278E2" w:rsidRPr="00B7554F">
        <w:rPr>
          <w:sz w:val="20"/>
          <w:lang w:val="en-GB"/>
        </w:rPr>
        <w:t>, c</w:t>
      </w:r>
      <w:r w:rsidR="00AE3614" w:rsidRPr="00B7554F">
        <w:rPr>
          <w:sz w:val="20"/>
          <w:lang w:val="en-GB"/>
        </w:rPr>
        <w:t xml:space="preserve">reated the background upon which technical details, design and responsible entities </w:t>
      </w:r>
      <w:r w:rsidR="00AE3614" w:rsidRPr="00B7554F">
        <w:rPr>
          <w:sz w:val="20"/>
          <w:szCs w:val="20"/>
          <w:lang w:val="en-GB"/>
        </w:rPr>
        <w:t>could</w:t>
      </w:r>
      <w:r w:rsidR="00AE3614" w:rsidRPr="00B7554F">
        <w:rPr>
          <w:sz w:val="20"/>
          <w:lang w:val="en-GB"/>
        </w:rPr>
        <w:t xml:space="preserve"> be discussed (subject)</w:t>
      </w:r>
      <w:r w:rsidR="00F278E2" w:rsidRPr="00B7554F">
        <w:rPr>
          <w:sz w:val="20"/>
          <w:lang w:val="en-GB"/>
        </w:rPr>
        <w:t xml:space="preserve">, </w:t>
      </w:r>
      <w:r w:rsidR="001F5110" w:rsidRPr="00B7554F">
        <w:rPr>
          <w:sz w:val="20"/>
          <w:lang w:val="en-GB"/>
        </w:rPr>
        <w:t>were first step</w:t>
      </w:r>
      <w:r w:rsidR="00F278E2" w:rsidRPr="00B7554F">
        <w:rPr>
          <w:sz w:val="20"/>
          <w:lang w:val="en-GB"/>
        </w:rPr>
        <w:t>s</w:t>
      </w:r>
      <w:r w:rsidR="001F5110" w:rsidRPr="00B7554F">
        <w:rPr>
          <w:sz w:val="20"/>
          <w:lang w:val="en-GB"/>
        </w:rPr>
        <w:t xml:space="preserve"> of a tiered decision-making procedure (stage)</w:t>
      </w:r>
      <w:r w:rsidR="00F278E2" w:rsidRPr="00B7554F">
        <w:rPr>
          <w:sz w:val="20"/>
          <w:lang w:val="en-GB"/>
        </w:rPr>
        <w:t xml:space="preserve">, </w:t>
      </w:r>
      <w:r w:rsidR="001F5110" w:rsidRPr="00B7554F">
        <w:rPr>
          <w:sz w:val="20"/>
          <w:lang w:val="en-GB"/>
        </w:rPr>
        <w:t>were preceded by scientific and policy developments, namely the Teller and Lévai</w:t>
      </w:r>
      <w:r w:rsidR="001F5110" w:rsidRPr="00B7554F">
        <w:rPr>
          <w:sz w:val="20"/>
          <w:szCs w:val="20"/>
          <w:lang w:val="en-GB"/>
        </w:rPr>
        <w:t xml:space="preserve"> Projects</w:t>
      </w:r>
      <w:r w:rsidR="001F5110" w:rsidRPr="00B7554F">
        <w:rPr>
          <w:sz w:val="20"/>
          <w:lang w:val="en-GB"/>
        </w:rPr>
        <w:t xml:space="preserve"> (nature of the decision</w:t>
      </w:r>
      <w:r w:rsidR="001F5110" w:rsidRPr="00B7554F">
        <w:rPr>
          <w:sz w:val="20"/>
          <w:szCs w:val="20"/>
          <w:lang w:val="en-GB"/>
        </w:rPr>
        <w:t>)</w:t>
      </w:r>
      <w:r w:rsidR="003C6B03" w:rsidRPr="00B7554F">
        <w:rPr>
          <w:sz w:val="20"/>
          <w:szCs w:val="20"/>
          <w:lang w:val="en-GB"/>
        </w:rPr>
        <w:t xml:space="preserve"> </w:t>
      </w:r>
      <w:r w:rsidR="003C6B03" w:rsidRPr="00B7554F">
        <w:rPr>
          <w:sz w:val="20"/>
          <w:lang w:val="en-GB"/>
        </w:rPr>
        <w:t>and</w:t>
      </w:r>
      <w:r w:rsidR="003C6B03" w:rsidRPr="00B7554F">
        <w:rPr>
          <w:sz w:val="20"/>
          <w:lang w:val="en-GB"/>
        </w:rPr>
        <w:tab/>
      </w:r>
      <w:bookmarkStart w:id="66" w:name="_Ref74484665"/>
      <w:r w:rsidR="001F5110" w:rsidRPr="00B7554F">
        <w:rPr>
          <w:sz w:val="20"/>
          <w:lang w:val="en-GB"/>
        </w:rPr>
        <w:t xml:space="preserve">concerned </w:t>
      </w:r>
      <w:r w:rsidR="00F278E2" w:rsidRPr="00B7554F">
        <w:rPr>
          <w:sz w:val="20"/>
          <w:lang w:val="en-GB"/>
        </w:rPr>
        <w:t xml:space="preserve">key </w:t>
      </w:r>
      <w:r w:rsidR="001F5110" w:rsidRPr="00B7554F">
        <w:rPr>
          <w:sz w:val="20"/>
          <w:lang w:val="en-GB"/>
        </w:rPr>
        <w:t>environmental protection</w:t>
      </w:r>
      <w:r w:rsidR="00F278E2" w:rsidRPr="00B7554F">
        <w:rPr>
          <w:sz w:val="20"/>
          <w:lang w:val="en-GB"/>
        </w:rPr>
        <w:t xml:space="preserve"> is</w:t>
      </w:r>
      <w:r w:rsidR="00476978" w:rsidRPr="00B7554F">
        <w:rPr>
          <w:sz w:val="20"/>
          <w:lang w:val="en-GB"/>
        </w:rPr>
        <w:t>s</w:t>
      </w:r>
      <w:r w:rsidR="00F278E2" w:rsidRPr="00B7554F">
        <w:rPr>
          <w:sz w:val="20"/>
          <w:lang w:val="en-GB"/>
        </w:rPr>
        <w:t>ues</w:t>
      </w:r>
      <w:r w:rsidR="001F5110" w:rsidRPr="00B7554F">
        <w:rPr>
          <w:sz w:val="20"/>
          <w:lang w:val="en-GB"/>
        </w:rPr>
        <w:t xml:space="preserve"> (environmental nature).</w:t>
      </w:r>
      <w:r w:rsidR="006B3543" w:rsidRPr="00B7554F">
        <w:rPr>
          <w:rStyle w:val="FootnoteReference"/>
          <w:szCs w:val="20"/>
          <w:lang w:val="en-GB"/>
        </w:rPr>
        <w:footnoteReference w:id="113"/>
      </w:r>
      <w:bookmarkEnd w:id="66"/>
    </w:p>
    <w:p w14:paraId="34B4BB19" w14:textId="4956336F" w:rsidR="00144FB8" w:rsidRPr="00B7554F" w:rsidRDefault="00476978" w:rsidP="00144FB8">
      <w:pPr>
        <w:pStyle w:val="SingleTxtG"/>
        <w:numPr>
          <w:ilvl w:val="0"/>
          <w:numId w:val="3"/>
        </w:numPr>
        <w:tabs>
          <w:tab w:val="num" w:pos="1134"/>
        </w:tabs>
        <w:ind w:left="1100" w:right="0" w:firstLine="0"/>
        <w:rPr>
          <w:sz w:val="20"/>
          <w:szCs w:val="20"/>
          <w:lang w:val="en-GB"/>
        </w:rPr>
      </w:pPr>
      <w:r w:rsidRPr="00B7554F">
        <w:rPr>
          <w:sz w:val="20"/>
          <w:szCs w:val="20"/>
          <w:lang w:val="en-GB"/>
        </w:rPr>
        <w:t>T</w:t>
      </w:r>
      <w:r w:rsidR="00144FB8" w:rsidRPr="00B7554F">
        <w:rPr>
          <w:sz w:val="20"/>
          <w:szCs w:val="20"/>
          <w:lang w:val="en-GB"/>
        </w:rPr>
        <w:t xml:space="preserve">he communicants claim the </w:t>
      </w:r>
      <w:r w:rsidR="009B0C0C" w:rsidRPr="00B7554F">
        <w:rPr>
          <w:sz w:val="20"/>
          <w:szCs w:val="20"/>
          <w:lang w:val="en-GB"/>
        </w:rPr>
        <w:t>g</w:t>
      </w:r>
      <w:r w:rsidR="00144FB8" w:rsidRPr="00B7554F">
        <w:rPr>
          <w:sz w:val="20"/>
          <w:szCs w:val="20"/>
          <w:lang w:val="en-GB"/>
        </w:rPr>
        <w:t xml:space="preserve">overnment </w:t>
      </w:r>
      <w:r w:rsidR="009526A4" w:rsidRPr="00B7554F">
        <w:rPr>
          <w:sz w:val="20"/>
          <w:szCs w:val="20"/>
          <w:lang w:val="en-GB"/>
        </w:rPr>
        <w:t xml:space="preserve">is </w:t>
      </w:r>
      <w:r w:rsidR="00225ED7" w:rsidRPr="00B7554F">
        <w:rPr>
          <w:sz w:val="20"/>
          <w:szCs w:val="20"/>
          <w:lang w:val="en-GB"/>
        </w:rPr>
        <w:t>“</w:t>
      </w:r>
      <w:r w:rsidR="00144FB8" w:rsidRPr="00B7554F">
        <w:rPr>
          <w:sz w:val="20"/>
          <w:szCs w:val="20"/>
          <w:lang w:val="en-GB"/>
        </w:rPr>
        <w:t>responsible</w:t>
      </w:r>
      <w:r w:rsidR="00225ED7" w:rsidRPr="00B7554F">
        <w:rPr>
          <w:sz w:val="20"/>
          <w:szCs w:val="20"/>
          <w:lang w:val="en-GB"/>
        </w:rPr>
        <w:t>”</w:t>
      </w:r>
      <w:r w:rsidR="00144FB8" w:rsidRPr="00B7554F">
        <w:rPr>
          <w:sz w:val="20"/>
          <w:szCs w:val="20"/>
          <w:lang w:val="en-GB"/>
        </w:rPr>
        <w:t xml:space="preserve"> </w:t>
      </w:r>
      <w:r w:rsidR="009B0C0C" w:rsidRPr="00B7554F">
        <w:rPr>
          <w:sz w:val="20"/>
          <w:szCs w:val="20"/>
          <w:lang w:val="en-GB"/>
        </w:rPr>
        <w:t xml:space="preserve">to </w:t>
      </w:r>
      <w:r w:rsidRPr="00B7554F">
        <w:rPr>
          <w:sz w:val="20"/>
          <w:szCs w:val="20"/>
          <w:lang w:val="en-GB"/>
        </w:rPr>
        <w:t>P</w:t>
      </w:r>
      <w:r w:rsidR="009B0C0C" w:rsidRPr="00B7554F">
        <w:rPr>
          <w:sz w:val="20"/>
          <w:szCs w:val="20"/>
          <w:lang w:val="en-GB"/>
        </w:rPr>
        <w:t xml:space="preserve">arliament </w:t>
      </w:r>
      <w:r w:rsidR="009526A4" w:rsidRPr="00B7554F">
        <w:rPr>
          <w:sz w:val="20"/>
          <w:szCs w:val="20"/>
          <w:lang w:val="en-GB"/>
        </w:rPr>
        <w:t>under</w:t>
      </w:r>
      <w:r w:rsidR="00144FB8" w:rsidRPr="00B7554F">
        <w:rPr>
          <w:sz w:val="20"/>
          <w:szCs w:val="20"/>
          <w:lang w:val="en-GB"/>
        </w:rPr>
        <w:t xml:space="preserve"> article 15 of the Fundamental Law, </w:t>
      </w:r>
      <w:r w:rsidR="00C66E70" w:rsidRPr="00B7554F">
        <w:rPr>
          <w:sz w:val="20"/>
          <w:szCs w:val="20"/>
          <w:lang w:val="en-GB"/>
        </w:rPr>
        <w:t xml:space="preserve">and </w:t>
      </w:r>
      <w:r w:rsidR="005E6B95" w:rsidRPr="00B7554F">
        <w:rPr>
          <w:sz w:val="20"/>
          <w:szCs w:val="20"/>
          <w:lang w:val="en-GB"/>
        </w:rPr>
        <w:t xml:space="preserve">that </w:t>
      </w:r>
      <w:r w:rsidRPr="00B7554F">
        <w:rPr>
          <w:sz w:val="20"/>
          <w:szCs w:val="20"/>
          <w:lang w:val="en-GB"/>
        </w:rPr>
        <w:t>P</w:t>
      </w:r>
      <w:r w:rsidR="005E6B95" w:rsidRPr="00B7554F">
        <w:rPr>
          <w:sz w:val="20"/>
          <w:szCs w:val="20"/>
          <w:lang w:val="en-GB"/>
        </w:rPr>
        <w:t>arliament approved the resolutions proposed by the government</w:t>
      </w:r>
      <w:r w:rsidR="009526A4" w:rsidRPr="00B7554F">
        <w:rPr>
          <w:sz w:val="20"/>
          <w:szCs w:val="20"/>
          <w:lang w:val="en-GB"/>
        </w:rPr>
        <w:t>.</w:t>
      </w:r>
      <w:r w:rsidR="006D2146" w:rsidRPr="00B7554F">
        <w:rPr>
          <w:rStyle w:val="FootnoteReference"/>
          <w:szCs w:val="20"/>
          <w:lang w:val="en-GB"/>
        </w:rPr>
        <w:footnoteReference w:id="114"/>
      </w:r>
      <w:r w:rsidR="00144FB8" w:rsidRPr="00B7554F">
        <w:rPr>
          <w:sz w:val="20"/>
          <w:szCs w:val="20"/>
          <w:lang w:val="en-GB"/>
        </w:rPr>
        <w:t xml:space="preserve"> The communicants </w:t>
      </w:r>
      <w:r w:rsidR="005E6B95" w:rsidRPr="00B7554F">
        <w:rPr>
          <w:sz w:val="20"/>
          <w:szCs w:val="20"/>
          <w:lang w:val="en-GB"/>
        </w:rPr>
        <w:t xml:space="preserve">claim that </w:t>
      </w:r>
      <w:r w:rsidR="00671534" w:rsidRPr="00B7554F">
        <w:rPr>
          <w:sz w:val="20"/>
          <w:szCs w:val="20"/>
          <w:lang w:val="en-GB"/>
        </w:rPr>
        <w:t xml:space="preserve">article 46(1) of </w:t>
      </w:r>
      <w:r w:rsidR="005E6B95" w:rsidRPr="00B7554F">
        <w:rPr>
          <w:sz w:val="20"/>
          <w:szCs w:val="20"/>
          <w:lang w:val="en-GB"/>
        </w:rPr>
        <w:t xml:space="preserve">the 1987 </w:t>
      </w:r>
      <w:r w:rsidRPr="00B7554F">
        <w:rPr>
          <w:sz w:val="20"/>
          <w:szCs w:val="20"/>
          <w:lang w:val="en-GB"/>
        </w:rPr>
        <w:t>Legislation Act</w:t>
      </w:r>
      <w:r w:rsidR="009526A4" w:rsidRPr="00B7554F">
        <w:rPr>
          <w:sz w:val="20"/>
          <w:szCs w:val="20"/>
          <w:lang w:val="en-GB"/>
        </w:rPr>
        <w:t xml:space="preserve">, </w:t>
      </w:r>
      <w:r w:rsidR="005E6B95" w:rsidRPr="00B7554F">
        <w:rPr>
          <w:sz w:val="20"/>
          <w:szCs w:val="20"/>
          <w:lang w:val="en-GB"/>
        </w:rPr>
        <w:t xml:space="preserve">in force at the time of </w:t>
      </w:r>
      <w:r w:rsidR="00225ED7" w:rsidRPr="00B7554F">
        <w:rPr>
          <w:sz w:val="20"/>
          <w:szCs w:val="20"/>
          <w:lang w:val="en-GB"/>
        </w:rPr>
        <w:t>Resolutions 40/2008 and 25/2009</w:t>
      </w:r>
      <w:r w:rsidR="009526A4" w:rsidRPr="00B7554F">
        <w:rPr>
          <w:sz w:val="20"/>
          <w:szCs w:val="20"/>
          <w:lang w:val="en-GB"/>
        </w:rPr>
        <w:t>,</w:t>
      </w:r>
      <w:r w:rsidR="005E6B95" w:rsidRPr="00B7554F">
        <w:rPr>
          <w:sz w:val="20"/>
          <w:szCs w:val="20"/>
          <w:lang w:val="en-GB"/>
        </w:rPr>
        <w:t xml:space="preserve"> </w:t>
      </w:r>
      <w:r w:rsidR="00671534" w:rsidRPr="00B7554F">
        <w:rPr>
          <w:sz w:val="20"/>
          <w:szCs w:val="20"/>
          <w:lang w:val="en-GB"/>
        </w:rPr>
        <w:t xml:space="preserve">clearly </w:t>
      </w:r>
      <w:r w:rsidR="005E6B95" w:rsidRPr="00B7554F">
        <w:rPr>
          <w:sz w:val="20"/>
          <w:szCs w:val="20"/>
          <w:lang w:val="en-GB"/>
        </w:rPr>
        <w:t xml:space="preserve">provided that </w:t>
      </w:r>
      <w:r w:rsidRPr="00B7554F">
        <w:rPr>
          <w:sz w:val="20"/>
          <w:szCs w:val="20"/>
          <w:lang w:val="en-GB"/>
        </w:rPr>
        <w:t>P</w:t>
      </w:r>
      <w:r w:rsidR="00144FB8" w:rsidRPr="00B7554F">
        <w:rPr>
          <w:sz w:val="20"/>
          <w:szCs w:val="20"/>
          <w:lang w:val="en-GB"/>
        </w:rPr>
        <w:t xml:space="preserve">arliament </w:t>
      </w:r>
      <w:r w:rsidR="009239E5" w:rsidRPr="00B7554F">
        <w:rPr>
          <w:sz w:val="20"/>
          <w:szCs w:val="20"/>
          <w:lang w:val="en-GB"/>
        </w:rPr>
        <w:t xml:space="preserve">“shall </w:t>
      </w:r>
      <w:r w:rsidR="00144FB8" w:rsidRPr="00B7554F">
        <w:rPr>
          <w:sz w:val="20"/>
          <w:szCs w:val="20"/>
          <w:lang w:val="en-GB"/>
        </w:rPr>
        <w:t>regulate</w:t>
      </w:r>
      <w:r w:rsidR="007351D2" w:rsidRPr="00B7554F">
        <w:rPr>
          <w:sz w:val="20"/>
          <w:szCs w:val="20"/>
          <w:lang w:val="en-GB"/>
        </w:rPr>
        <w:t>…</w:t>
      </w:r>
      <w:r w:rsidR="00144FB8" w:rsidRPr="00B7554F">
        <w:rPr>
          <w:sz w:val="20"/>
          <w:szCs w:val="20"/>
          <w:lang w:val="en-GB"/>
        </w:rPr>
        <w:t>the plans that belong to their tasks in decisions</w:t>
      </w:r>
      <w:r w:rsidR="009239E5" w:rsidRPr="00B7554F">
        <w:rPr>
          <w:sz w:val="20"/>
          <w:szCs w:val="20"/>
          <w:lang w:val="en-GB"/>
        </w:rPr>
        <w:t>”</w:t>
      </w:r>
      <w:r w:rsidR="009526A4" w:rsidRPr="00B7554F">
        <w:rPr>
          <w:sz w:val="20"/>
          <w:szCs w:val="20"/>
          <w:lang w:val="en-GB"/>
        </w:rPr>
        <w:t>.</w:t>
      </w:r>
      <w:r w:rsidR="00144FB8" w:rsidRPr="00B7554F">
        <w:rPr>
          <w:rStyle w:val="FootnoteReference"/>
          <w:szCs w:val="20"/>
          <w:lang w:val="en-GB"/>
        </w:rPr>
        <w:footnoteReference w:id="115"/>
      </w:r>
      <w:r w:rsidR="00144FB8" w:rsidRPr="00B7554F">
        <w:rPr>
          <w:sz w:val="20"/>
          <w:szCs w:val="20"/>
          <w:lang w:val="en-GB"/>
        </w:rPr>
        <w:t xml:space="preserve"> </w:t>
      </w:r>
    </w:p>
    <w:p w14:paraId="147A730E" w14:textId="51BD5F08" w:rsidR="006264A5" w:rsidRPr="00B7554F" w:rsidRDefault="00144FB8" w:rsidP="00D07F19">
      <w:pPr>
        <w:pStyle w:val="SingleTxtG"/>
        <w:numPr>
          <w:ilvl w:val="0"/>
          <w:numId w:val="3"/>
        </w:numPr>
        <w:tabs>
          <w:tab w:val="num" w:pos="1134"/>
        </w:tabs>
        <w:ind w:left="1100" w:right="0" w:firstLine="0"/>
        <w:rPr>
          <w:sz w:val="20"/>
          <w:lang w:val="en-GB"/>
        </w:rPr>
      </w:pPr>
      <w:bookmarkStart w:id="67" w:name="_Ref7441800"/>
      <w:r w:rsidRPr="00B7554F">
        <w:rPr>
          <w:sz w:val="20"/>
          <w:szCs w:val="20"/>
          <w:lang w:val="en-GB"/>
        </w:rPr>
        <w:t>The P</w:t>
      </w:r>
      <w:r w:rsidR="00D36828" w:rsidRPr="00B7554F">
        <w:rPr>
          <w:sz w:val="20"/>
          <w:szCs w:val="20"/>
          <w:lang w:val="en-GB"/>
        </w:rPr>
        <w:t xml:space="preserve">arty concerned submits </w:t>
      </w:r>
      <w:r w:rsidR="00225ED7" w:rsidRPr="00B7554F">
        <w:rPr>
          <w:sz w:val="20"/>
          <w:szCs w:val="20"/>
          <w:lang w:val="en-GB"/>
        </w:rPr>
        <w:t>that Resolutions 40/</w:t>
      </w:r>
      <w:r w:rsidR="00225ED7" w:rsidRPr="00B7554F">
        <w:rPr>
          <w:sz w:val="20"/>
          <w:lang w:val="en-GB"/>
        </w:rPr>
        <w:t xml:space="preserve">2008, </w:t>
      </w:r>
      <w:r w:rsidR="00225ED7" w:rsidRPr="00B7554F">
        <w:rPr>
          <w:sz w:val="20"/>
          <w:szCs w:val="20"/>
          <w:lang w:val="en-GB"/>
        </w:rPr>
        <w:t>25/</w:t>
      </w:r>
      <w:r w:rsidR="00225ED7" w:rsidRPr="00B7554F">
        <w:rPr>
          <w:sz w:val="20"/>
          <w:lang w:val="en-GB"/>
        </w:rPr>
        <w:t xml:space="preserve">2009 and </w:t>
      </w:r>
      <w:r w:rsidR="00225ED7" w:rsidRPr="00B7554F">
        <w:rPr>
          <w:sz w:val="20"/>
          <w:szCs w:val="20"/>
          <w:lang w:val="en-GB"/>
        </w:rPr>
        <w:t>77/</w:t>
      </w:r>
      <w:r w:rsidR="00225ED7" w:rsidRPr="00B7554F">
        <w:rPr>
          <w:sz w:val="20"/>
          <w:lang w:val="en-GB"/>
        </w:rPr>
        <w:t>2011</w:t>
      </w:r>
      <w:r w:rsidR="00225ED7" w:rsidRPr="00B7554F">
        <w:rPr>
          <w:sz w:val="20"/>
          <w:szCs w:val="20"/>
          <w:lang w:val="en-GB"/>
        </w:rPr>
        <w:t xml:space="preserve"> </w:t>
      </w:r>
      <w:r w:rsidR="00D36828" w:rsidRPr="00B7554F">
        <w:rPr>
          <w:sz w:val="20"/>
          <w:lang w:val="en-GB"/>
        </w:rPr>
        <w:t xml:space="preserve">are neither plans, programmes nor policies but </w:t>
      </w:r>
      <w:r w:rsidR="00D36828" w:rsidRPr="00B7554F">
        <w:rPr>
          <w:sz w:val="20"/>
          <w:szCs w:val="20"/>
          <w:lang w:val="en-GB"/>
        </w:rPr>
        <w:t>pure</w:t>
      </w:r>
      <w:r w:rsidR="00D36828" w:rsidRPr="00B7554F">
        <w:rPr>
          <w:sz w:val="20"/>
          <w:lang w:val="en-GB"/>
        </w:rPr>
        <w:t xml:space="preserve"> political statements </w:t>
      </w:r>
      <w:r w:rsidR="007351D2" w:rsidRPr="00B7554F">
        <w:rPr>
          <w:sz w:val="20"/>
          <w:lang w:val="en-GB"/>
        </w:rPr>
        <w:t>without</w:t>
      </w:r>
      <w:r w:rsidR="00D36828" w:rsidRPr="00B7554F">
        <w:rPr>
          <w:sz w:val="20"/>
          <w:lang w:val="en-GB"/>
        </w:rPr>
        <w:t xml:space="preserve"> legal consequences</w:t>
      </w:r>
      <w:r w:rsidR="007351D2" w:rsidRPr="00B7554F">
        <w:rPr>
          <w:sz w:val="20"/>
          <w:lang w:val="en-GB"/>
        </w:rPr>
        <w:t>,</w:t>
      </w:r>
      <w:r w:rsidR="00D36828" w:rsidRPr="00B7554F">
        <w:rPr>
          <w:rStyle w:val="FootnoteReference"/>
          <w:sz w:val="20"/>
          <w:lang w:val="en-GB"/>
        </w:rPr>
        <w:footnoteReference w:id="116"/>
      </w:r>
      <w:r w:rsidR="007351D2" w:rsidRPr="00B7554F">
        <w:rPr>
          <w:sz w:val="20"/>
          <w:lang w:val="en-GB"/>
        </w:rPr>
        <w:t xml:space="preserve"> </w:t>
      </w:r>
      <w:r w:rsidR="00DB1152" w:rsidRPr="00B7554F">
        <w:rPr>
          <w:sz w:val="20"/>
          <w:lang w:val="en-GB"/>
        </w:rPr>
        <w:t xml:space="preserve">and that energy strategy documents are adopted by </w:t>
      </w:r>
      <w:r w:rsidR="007351D2" w:rsidRPr="00B7554F">
        <w:rPr>
          <w:sz w:val="20"/>
          <w:lang w:val="en-GB"/>
        </w:rPr>
        <w:t>non-binding normative and individual resolutions</w:t>
      </w:r>
      <w:r w:rsidR="007351D2" w:rsidRPr="00B7554F" w:rsidDel="007351D2">
        <w:rPr>
          <w:sz w:val="20"/>
          <w:lang w:val="en-GB"/>
        </w:rPr>
        <w:t xml:space="preserve"> </w:t>
      </w:r>
      <w:r w:rsidR="00DB1152" w:rsidRPr="00B7554F">
        <w:rPr>
          <w:sz w:val="20"/>
          <w:lang w:val="en-GB"/>
        </w:rPr>
        <w:t xml:space="preserve">(see paras. </w:t>
      </w:r>
      <w:r w:rsidR="00DB1152" w:rsidRPr="00B7554F">
        <w:rPr>
          <w:sz w:val="20"/>
          <w:lang w:val="en-GB"/>
        </w:rPr>
        <w:fldChar w:fldCharType="begin"/>
      </w:r>
      <w:r w:rsidR="00DB1152" w:rsidRPr="00B7554F">
        <w:rPr>
          <w:sz w:val="20"/>
          <w:lang w:val="en-GB"/>
        </w:rPr>
        <w:instrText xml:space="preserve"> REF _Ref19538726 \r \h </w:instrText>
      </w:r>
      <w:r w:rsidR="0051447C" w:rsidRPr="00B7554F">
        <w:rPr>
          <w:sz w:val="20"/>
          <w:lang w:val="en-GB"/>
        </w:rPr>
        <w:instrText xml:space="preserve"> \* MERGEFORMAT </w:instrText>
      </w:r>
      <w:r w:rsidR="00DB1152" w:rsidRPr="00B7554F">
        <w:rPr>
          <w:sz w:val="20"/>
          <w:lang w:val="en-GB"/>
        </w:rPr>
      </w:r>
      <w:r w:rsidR="00DB1152" w:rsidRPr="00B7554F">
        <w:rPr>
          <w:sz w:val="20"/>
          <w:lang w:val="en-GB"/>
        </w:rPr>
        <w:fldChar w:fldCharType="separate"/>
      </w:r>
      <w:r w:rsidR="00BF0EA2">
        <w:rPr>
          <w:sz w:val="20"/>
          <w:cs/>
          <w:lang w:val="en-GB"/>
        </w:rPr>
        <w:t>‎</w:t>
      </w:r>
      <w:r w:rsidR="00BF0EA2">
        <w:rPr>
          <w:sz w:val="20"/>
          <w:lang w:val="en-GB"/>
        </w:rPr>
        <w:t>27</w:t>
      </w:r>
      <w:r w:rsidR="00DB1152" w:rsidRPr="00B7554F">
        <w:rPr>
          <w:sz w:val="20"/>
          <w:lang w:val="en-GB"/>
        </w:rPr>
        <w:fldChar w:fldCharType="end"/>
      </w:r>
      <w:r w:rsidR="00DB1152" w:rsidRPr="00B7554F">
        <w:rPr>
          <w:sz w:val="20"/>
          <w:lang w:val="en-GB"/>
        </w:rPr>
        <w:t>-</w:t>
      </w:r>
      <w:r w:rsidR="00DB1152" w:rsidRPr="00B7554F">
        <w:rPr>
          <w:sz w:val="20"/>
          <w:lang w:val="en-GB"/>
        </w:rPr>
        <w:fldChar w:fldCharType="begin"/>
      </w:r>
      <w:r w:rsidR="00DB1152" w:rsidRPr="00B7554F">
        <w:rPr>
          <w:sz w:val="20"/>
          <w:lang w:val="en-GB"/>
        </w:rPr>
        <w:instrText xml:space="preserve"> REF _Ref19538736 \r \h </w:instrText>
      </w:r>
      <w:r w:rsidR="0051447C" w:rsidRPr="00B7554F">
        <w:rPr>
          <w:sz w:val="20"/>
          <w:lang w:val="en-GB"/>
        </w:rPr>
        <w:instrText xml:space="preserve"> \* MERGEFORMAT </w:instrText>
      </w:r>
      <w:r w:rsidR="00DB1152" w:rsidRPr="00B7554F">
        <w:rPr>
          <w:sz w:val="20"/>
          <w:lang w:val="en-GB"/>
        </w:rPr>
      </w:r>
      <w:r w:rsidR="00DB1152" w:rsidRPr="00B7554F">
        <w:rPr>
          <w:sz w:val="20"/>
          <w:lang w:val="en-GB"/>
        </w:rPr>
        <w:fldChar w:fldCharType="separate"/>
      </w:r>
      <w:r w:rsidR="00BF0EA2">
        <w:rPr>
          <w:sz w:val="20"/>
          <w:cs/>
          <w:lang w:val="en-GB"/>
        </w:rPr>
        <w:t>‎</w:t>
      </w:r>
      <w:r w:rsidR="00BF0EA2">
        <w:rPr>
          <w:sz w:val="20"/>
          <w:lang w:val="en-GB"/>
        </w:rPr>
        <w:t>28</w:t>
      </w:r>
      <w:r w:rsidR="00DB1152" w:rsidRPr="00B7554F">
        <w:rPr>
          <w:sz w:val="20"/>
          <w:lang w:val="en-GB"/>
        </w:rPr>
        <w:fldChar w:fldCharType="end"/>
      </w:r>
      <w:r w:rsidR="00DB1152" w:rsidRPr="00B7554F">
        <w:rPr>
          <w:sz w:val="20"/>
          <w:lang w:val="en-GB"/>
        </w:rPr>
        <w:t xml:space="preserve"> above).</w:t>
      </w:r>
      <w:r w:rsidR="00DB1152" w:rsidRPr="00B7554F">
        <w:rPr>
          <w:rStyle w:val="FootnoteReference"/>
          <w:sz w:val="20"/>
          <w:szCs w:val="20"/>
          <w:lang w:val="en-GB"/>
        </w:rPr>
        <w:footnoteReference w:id="117"/>
      </w:r>
      <w:bookmarkEnd w:id="67"/>
    </w:p>
    <w:p w14:paraId="389CAE6D" w14:textId="54D34C14" w:rsidR="00D36828" w:rsidRPr="00B7554F" w:rsidRDefault="006B3543" w:rsidP="00F13AD2">
      <w:pPr>
        <w:pStyle w:val="SingleTxtG"/>
        <w:numPr>
          <w:ilvl w:val="0"/>
          <w:numId w:val="3"/>
        </w:numPr>
        <w:tabs>
          <w:tab w:val="num" w:pos="1134"/>
        </w:tabs>
        <w:ind w:left="1100" w:right="0" w:firstLine="0"/>
        <w:rPr>
          <w:sz w:val="20"/>
          <w:lang w:val="en-GB"/>
        </w:rPr>
      </w:pPr>
      <w:bookmarkStart w:id="68" w:name="_Ref19781925"/>
      <w:r w:rsidRPr="00B7554F">
        <w:rPr>
          <w:sz w:val="20"/>
          <w:lang w:val="en-GB"/>
        </w:rPr>
        <w:t>The Party concerned observes that the Convention lacks definition</w:t>
      </w:r>
      <w:r w:rsidR="005611CA" w:rsidRPr="00B7554F">
        <w:rPr>
          <w:sz w:val="20"/>
          <w:lang w:val="en-GB"/>
        </w:rPr>
        <w:t>s</w:t>
      </w:r>
      <w:r w:rsidRPr="00B7554F">
        <w:rPr>
          <w:sz w:val="20"/>
          <w:lang w:val="en-GB"/>
        </w:rPr>
        <w:t xml:space="preserve"> of </w:t>
      </w:r>
      <w:r w:rsidR="00F46D27" w:rsidRPr="00B7554F">
        <w:rPr>
          <w:sz w:val="20"/>
          <w:lang w:val="en-GB"/>
        </w:rPr>
        <w:t xml:space="preserve">a </w:t>
      </w:r>
      <w:r w:rsidR="00D21A43" w:rsidRPr="00B7554F">
        <w:rPr>
          <w:sz w:val="20"/>
          <w:lang w:val="en-GB"/>
        </w:rPr>
        <w:t>“</w:t>
      </w:r>
      <w:r w:rsidRPr="00B7554F">
        <w:rPr>
          <w:sz w:val="20"/>
          <w:lang w:val="en-GB"/>
        </w:rPr>
        <w:t>plan</w:t>
      </w:r>
      <w:r w:rsidR="00D21A43" w:rsidRPr="00B7554F">
        <w:rPr>
          <w:sz w:val="20"/>
          <w:lang w:val="en-GB"/>
        </w:rPr>
        <w:t>”,</w:t>
      </w:r>
      <w:r w:rsidRPr="00B7554F">
        <w:rPr>
          <w:sz w:val="20"/>
          <w:lang w:val="en-GB"/>
        </w:rPr>
        <w:t xml:space="preserve"> </w:t>
      </w:r>
      <w:r w:rsidR="00D21A43" w:rsidRPr="00B7554F">
        <w:rPr>
          <w:sz w:val="20"/>
          <w:lang w:val="en-GB"/>
        </w:rPr>
        <w:t>“</w:t>
      </w:r>
      <w:r w:rsidRPr="00B7554F">
        <w:rPr>
          <w:sz w:val="20"/>
          <w:lang w:val="en-GB"/>
        </w:rPr>
        <w:t>programme</w:t>
      </w:r>
      <w:r w:rsidR="00D21A43" w:rsidRPr="00B7554F">
        <w:rPr>
          <w:sz w:val="20"/>
          <w:lang w:val="en-GB"/>
        </w:rPr>
        <w:t>”</w:t>
      </w:r>
      <w:r w:rsidR="007351D2" w:rsidRPr="00B7554F">
        <w:rPr>
          <w:sz w:val="20"/>
          <w:lang w:val="en-GB"/>
        </w:rPr>
        <w:t xml:space="preserve"> </w:t>
      </w:r>
      <w:r w:rsidR="000A5426" w:rsidRPr="00B7554F">
        <w:rPr>
          <w:sz w:val="20"/>
          <w:lang w:val="en-GB"/>
        </w:rPr>
        <w:t xml:space="preserve">or </w:t>
      </w:r>
      <w:r w:rsidR="00D21A43" w:rsidRPr="00B7554F">
        <w:rPr>
          <w:sz w:val="20"/>
          <w:lang w:val="en-GB"/>
        </w:rPr>
        <w:t>“</w:t>
      </w:r>
      <w:r w:rsidR="000A5426" w:rsidRPr="00B7554F">
        <w:rPr>
          <w:sz w:val="20"/>
          <w:lang w:val="en-GB"/>
        </w:rPr>
        <w:t>policy</w:t>
      </w:r>
      <w:r w:rsidR="00D21A43" w:rsidRPr="00B7554F">
        <w:rPr>
          <w:sz w:val="20"/>
          <w:lang w:val="en-GB"/>
        </w:rPr>
        <w:t>”</w:t>
      </w:r>
      <w:r w:rsidR="000A5426" w:rsidRPr="00B7554F">
        <w:rPr>
          <w:sz w:val="20"/>
          <w:lang w:val="en-GB"/>
        </w:rPr>
        <w:t xml:space="preserve"> relating to the environment.</w:t>
      </w:r>
      <w:r w:rsidR="000A5426" w:rsidRPr="00B7554F">
        <w:rPr>
          <w:rStyle w:val="FootnoteReference"/>
          <w:sz w:val="20"/>
          <w:lang w:val="en-GB"/>
        </w:rPr>
        <w:footnoteReference w:id="118"/>
      </w:r>
      <w:r w:rsidR="003E6FC8" w:rsidRPr="00B7554F">
        <w:rPr>
          <w:sz w:val="20"/>
          <w:lang w:val="en-GB"/>
        </w:rPr>
        <w:t xml:space="preserve"> </w:t>
      </w:r>
      <w:r w:rsidR="00D21A43" w:rsidRPr="00B7554F">
        <w:rPr>
          <w:sz w:val="20"/>
          <w:lang w:val="en-GB"/>
        </w:rPr>
        <w:t>It</w:t>
      </w:r>
      <w:r w:rsidRPr="00B7554F">
        <w:rPr>
          <w:sz w:val="20"/>
          <w:lang w:val="en-GB"/>
        </w:rPr>
        <w:t xml:space="preserve"> </w:t>
      </w:r>
      <w:r w:rsidR="000A5426" w:rsidRPr="00B7554F">
        <w:rPr>
          <w:sz w:val="20"/>
          <w:lang w:val="en-GB"/>
        </w:rPr>
        <w:t>submits the</w:t>
      </w:r>
      <w:r w:rsidRPr="00B7554F">
        <w:rPr>
          <w:sz w:val="20"/>
          <w:lang w:val="en-GB"/>
        </w:rPr>
        <w:t xml:space="preserve"> definitions in article 2</w:t>
      </w:r>
      <w:r w:rsidR="000A5426" w:rsidRPr="00B7554F">
        <w:rPr>
          <w:sz w:val="20"/>
          <w:lang w:val="en-GB"/>
        </w:rPr>
        <w:t>(</w:t>
      </w:r>
      <w:r w:rsidRPr="00B7554F">
        <w:rPr>
          <w:sz w:val="20"/>
          <w:lang w:val="en-GB"/>
        </w:rPr>
        <w:t>a</w:t>
      </w:r>
      <w:r w:rsidR="000A5426" w:rsidRPr="00B7554F">
        <w:rPr>
          <w:sz w:val="20"/>
          <w:lang w:val="en-GB"/>
        </w:rPr>
        <w:t>)</w:t>
      </w:r>
      <w:r w:rsidRPr="00B7554F">
        <w:rPr>
          <w:sz w:val="20"/>
          <w:lang w:val="en-GB"/>
        </w:rPr>
        <w:t xml:space="preserve"> of </w:t>
      </w:r>
      <w:r w:rsidR="000A5426" w:rsidRPr="00B7554F">
        <w:rPr>
          <w:sz w:val="20"/>
          <w:lang w:val="en-GB"/>
        </w:rPr>
        <w:t xml:space="preserve">the SEA </w:t>
      </w:r>
      <w:r w:rsidRPr="00B7554F">
        <w:rPr>
          <w:sz w:val="20"/>
          <w:lang w:val="en-GB"/>
        </w:rPr>
        <w:t>Directive</w:t>
      </w:r>
      <w:r w:rsidR="000A5426" w:rsidRPr="00B7554F">
        <w:rPr>
          <w:rStyle w:val="FootnoteReference"/>
          <w:sz w:val="20"/>
          <w:lang w:val="en-GB"/>
        </w:rPr>
        <w:footnoteReference w:id="119"/>
      </w:r>
      <w:r w:rsidRPr="00B7554F">
        <w:rPr>
          <w:sz w:val="20"/>
          <w:lang w:val="en-GB"/>
        </w:rPr>
        <w:t xml:space="preserve"> and article 2</w:t>
      </w:r>
      <w:r w:rsidR="000A5426" w:rsidRPr="00B7554F">
        <w:rPr>
          <w:sz w:val="20"/>
          <w:lang w:val="en-GB"/>
        </w:rPr>
        <w:t>(</w:t>
      </w:r>
      <w:r w:rsidRPr="00B7554F">
        <w:rPr>
          <w:sz w:val="20"/>
          <w:lang w:val="en-GB"/>
        </w:rPr>
        <w:t>5</w:t>
      </w:r>
      <w:r w:rsidR="000A5426" w:rsidRPr="00B7554F">
        <w:rPr>
          <w:sz w:val="20"/>
          <w:lang w:val="en-GB"/>
        </w:rPr>
        <w:t>)</w:t>
      </w:r>
      <w:r w:rsidRPr="00B7554F">
        <w:rPr>
          <w:sz w:val="20"/>
          <w:lang w:val="en-GB"/>
        </w:rPr>
        <w:t xml:space="preserve"> of the </w:t>
      </w:r>
      <w:r w:rsidR="006264A5" w:rsidRPr="00B7554F">
        <w:rPr>
          <w:sz w:val="20"/>
          <w:lang w:val="en-GB"/>
        </w:rPr>
        <w:t xml:space="preserve">Kyiv </w:t>
      </w:r>
      <w:r w:rsidRPr="00B7554F">
        <w:rPr>
          <w:sz w:val="20"/>
          <w:lang w:val="en-GB"/>
        </w:rPr>
        <w:t>Protocol</w:t>
      </w:r>
      <w:r w:rsidR="006264A5" w:rsidRPr="00B7554F">
        <w:rPr>
          <w:rStyle w:val="FootnoteReference"/>
          <w:sz w:val="20"/>
          <w:lang w:val="en-GB"/>
        </w:rPr>
        <w:footnoteReference w:id="120"/>
      </w:r>
      <w:r w:rsidRPr="00B7554F">
        <w:rPr>
          <w:sz w:val="20"/>
          <w:lang w:val="en-GB"/>
        </w:rPr>
        <w:t xml:space="preserve">  </w:t>
      </w:r>
      <w:r w:rsidR="007351D2" w:rsidRPr="00B7554F">
        <w:rPr>
          <w:sz w:val="20"/>
          <w:lang w:val="en-GB"/>
        </w:rPr>
        <w:t xml:space="preserve">are relevant, </w:t>
      </w:r>
      <w:r w:rsidRPr="00B7554F">
        <w:rPr>
          <w:sz w:val="20"/>
          <w:lang w:val="en-GB"/>
        </w:rPr>
        <w:t>which state that plans or programmes are</w:t>
      </w:r>
      <w:r w:rsidR="007351D2" w:rsidRPr="00B7554F">
        <w:rPr>
          <w:sz w:val="20"/>
          <w:lang w:val="en-GB"/>
        </w:rPr>
        <w:t>,</w:t>
      </w:r>
      <w:r w:rsidRPr="00B7554F">
        <w:rPr>
          <w:sz w:val="20"/>
          <w:lang w:val="en-GB"/>
        </w:rPr>
        <w:t xml:space="preserve"> inter alia</w:t>
      </w:r>
      <w:r w:rsidR="007351D2" w:rsidRPr="00B7554F">
        <w:rPr>
          <w:sz w:val="20"/>
          <w:lang w:val="en-GB"/>
        </w:rPr>
        <w:t>,</w:t>
      </w:r>
      <w:r w:rsidRPr="00B7554F">
        <w:rPr>
          <w:sz w:val="20"/>
          <w:lang w:val="en-GB"/>
        </w:rPr>
        <w:t xml:space="preserve"> “subject to preparation and/or adoption by an authority” or “prepared by an authority for adoption” through a formal or legislative procedure by a parliament or a government and “required by legislative, regulatory or administrative provisions”.</w:t>
      </w:r>
      <w:r w:rsidR="000A5426" w:rsidRPr="00B7554F">
        <w:rPr>
          <w:rStyle w:val="FootnoteReference"/>
          <w:sz w:val="20"/>
          <w:lang w:val="en-GB"/>
        </w:rPr>
        <w:footnoteReference w:id="121"/>
      </w:r>
      <w:r w:rsidR="000A5426" w:rsidRPr="00B7554F">
        <w:rPr>
          <w:sz w:val="20"/>
          <w:lang w:val="en-GB"/>
        </w:rPr>
        <w:t xml:space="preserve"> </w:t>
      </w:r>
      <w:r w:rsidR="005611CA" w:rsidRPr="00B7554F">
        <w:rPr>
          <w:sz w:val="20"/>
          <w:lang w:val="en-GB"/>
        </w:rPr>
        <w:t>It</w:t>
      </w:r>
      <w:r w:rsidR="000A5426" w:rsidRPr="00B7554F">
        <w:rPr>
          <w:sz w:val="20"/>
          <w:lang w:val="en-GB"/>
        </w:rPr>
        <w:t xml:space="preserve"> claims the Resolutions</w:t>
      </w:r>
      <w:r w:rsidR="00CA09CA" w:rsidRPr="00B7554F">
        <w:rPr>
          <w:sz w:val="20"/>
          <w:lang w:val="en-GB"/>
        </w:rPr>
        <w:t xml:space="preserve"> do not fulfil these criteria because parliamentary resolutions </w:t>
      </w:r>
      <w:r w:rsidR="0050196F" w:rsidRPr="00B7554F">
        <w:rPr>
          <w:sz w:val="20"/>
          <w:lang w:val="en-GB"/>
        </w:rPr>
        <w:t xml:space="preserve">are </w:t>
      </w:r>
      <w:r w:rsidR="00CA09CA" w:rsidRPr="00B7554F">
        <w:rPr>
          <w:sz w:val="20"/>
          <w:lang w:val="en-GB"/>
        </w:rPr>
        <w:t>not adopted through a legislative procedure and not required by legislative, regulatory or administrative provisions</w:t>
      </w:r>
      <w:r w:rsidR="00C204E2" w:rsidRPr="00B7554F">
        <w:rPr>
          <w:sz w:val="20"/>
          <w:lang w:val="en-GB"/>
        </w:rPr>
        <w:t>,</w:t>
      </w:r>
      <w:r w:rsidR="00CA09CA" w:rsidRPr="00B7554F">
        <w:rPr>
          <w:rStyle w:val="FootnoteReference"/>
          <w:sz w:val="20"/>
          <w:lang w:val="en-GB"/>
        </w:rPr>
        <w:footnoteReference w:id="122"/>
      </w:r>
      <w:r w:rsidR="0025439F" w:rsidRPr="00B7554F">
        <w:rPr>
          <w:sz w:val="20"/>
          <w:lang w:val="en-GB"/>
        </w:rPr>
        <w:t xml:space="preserve"> </w:t>
      </w:r>
      <w:r w:rsidR="00C204E2" w:rsidRPr="00B7554F">
        <w:rPr>
          <w:sz w:val="20"/>
          <w:lang w:val="en-GB"/>
        </w:rPr>
        <w:t xml:space="preserve">and </w:t>
      </w:r>
      <w:r w:rsidR="0025439F" w:rsidRPr="00B7554F">
        <w:rPr>
          <w:sz w:val="20"/>
          <w:lang w:val="en-GB"/>
        </w:rPr>
        <w:t xml:space="preserve">that </w:t>
      </w:r>
      <w:r w:rsidR="00C204E2" w:rsidRPr="00B7554F">
        <w:rPr>
          <w:sz w:val="20"/>
          <w:lang w:val="en-GB"/>
        </w:rPr>
        <w:t xml:space="preserve">this </w:t>
      </w:r>
      <w:r w:rsidR="0025439F" w:rsidRPr="00B7554F">
        <w:rPr>
          <w:sz w:val="20"/>
          <w:lang w:val="en-GB"/>
        </w:rPr>
        <w:t>interpretation is consistent with the Implementation Guide.</w:t>
      </w:r>
      <w:r w:rsidR="0025439F" w:rsidRPr="00B7554F">
        <w:rPr>
          <w:rStyle w:val="FootnoteReference"/>
          <w:sz w:val="20"/>
          <w:lang w:val="en-GB"/>
        </w:rPr>
        <w:footnoteReference w:id="123"/>
      </w:r>
      <w:bookmarkEnd w:id="68"/>
    </w:p>
    <w:p w14:paraId="37C102C7" w14:textId="4812E1C2" w:rsidR="005F2317" w:rsidRPr="00B7554F" w:rsidRDefault="005611CA" w:rsidP="0061204C">
      <w:pPr>
        <w:pStyle w:val="SingleTxtG"/>
        <w:numPr>
          <w:ilvl w:val="0"/>
          <w:numId w:val="3"/>
        </w:numPr>
        <w:tabs>
          <w:tab w:val="num" w:pos="1134"/>
        </w:tabs>
        <w:ind w:left="1100" w:right="0" w:firstLine="0"/>
        <w:rPr>
          <w:sz w:val="20"/>
          <w:lang w:val="en-GB"/>
        </w:rPr>
      </w:pPr>
      <w:r w:rsidRPr="00B7554F">
        <w:rPr>
          <w:sz w:val="20"/>
          <w:lang w:val="en-GB"/>
        </w:rPr>
        <w:lastRenderedPageBreak/>
        <w:t>Concerning</w:t>
      </w:r>
      <w:r w:rsidR="005F2317" w:rsidRPr="00B7554F">
        <w:rPr>
          <w:sz w:val="20"/>
          <w:szCs w:val="20"/>
          <w:lang w:val="en-GB"/>
        </w:rPr>
        <w:t xml:space="preserve"> </w:t>
      </w:r>
      <w:r w:rsidR="00D21A43" w:rsidRPr="00B7554F">
        <w:rPr>
          <w:sz w:val="20"/>
          <w:szCs w:val="20"/>
          <w:lang w:val="en-GB"/>
        </w:rPr>
        <w:t>“</w:t>
      </w:r>
      <w:r w:rsidR="00F03B69" w:rsidRPr="00B7554F">
        <w:rPr>
          <w:sz w:val="20"/>
          <w:szCs w:val="20"/>
          <w:lang w:val="en-GB"/>
        </w:rPr>
        <w:t>time</w:t>
      </w:r>
      <w:r w:rsidR="00D21A43" w:rsidRPr="00B7554F">
        <w:rPr>
          <w:sz w:val="20"/>
          <w:szCs w:val="20"/>
          <w:lang w:val="en-GB"/>
        </w:rPr>
        <w:t>”</w:t>
      </w:r>
      <w:r w:rsidR="00F03B69" w:rsidRPr="00B7554F">
        <w:rPr>
          <w:sz w:val="20"/>
          <w:szCs w:val="20"/>
          <w:lang w:val="en-GB"/>
        </w:rPr>
        <w:t xml:space="preserve"> </w:t>
      </w:r>
      <w:r w:rsidR="00F03B69" w:rsidRPr="00B7554F">
        <w:rPr>
          <w:sz w:val="20"/>
          <w:lang w:val="en-GB"/>
        </w:rPr>
        <w:t>(see para.</w:t>
      </w:r>
      <w:r w:rsidR="00D21A43" w:rsidRPr="00B7554F">
        <w:rPr>
          <w:sz w:val="20"/>
          <w:lang w:val="en-GB"/>
        </w:rPr>
        <w:t xml:space="preserve"> </w:t>
      </w:r>
      <w:r w:rsidR="00D21A43" w:rsidRPr="00B7554F">
        <w:rPr>
          <w:sz w:val="20"/>
          <w:lang w:val="en-GB"/>
        </w:rPr>
        <w:fldChar w:fldCharType="begin"/>
      </w:r>
      <w:r w:rsidR="00D21A43" w:rsidRPr="00B7554F">
        <w:rPr>
          <w:sz w:val="20"/>
          <w:lang w:val="en-GB"/>
        </w:rPr>
        <w:instrText xml:space="preserve"> REF _Ref74484665 \r \h </w:instrText>
      </w:r>
      <w:r w:rsidR="00B7554F">
        <w:rPr>
          <w:sz w:val="20"/>
          <w:lang w:val="en-GB"/>
        </w:rPr>
        <w:instrText xml:space="preserve"> \* MERGEFORMAT </w:instrText>
      </w:r>
      <w:r w:rsidR="00D21A43" w:rsidRPr="00B7554F">
        <w:rPr>
          <w:sz w:val="20"/>
          <w:lang w:val="en-GB"/>
        </w:rPr>
      </w:r>
      <w:r w:rsidR="00D21A43" w:rsidRPr="00B7554F">
        <w:rPr>
          <w:sz w:val="20"/>
          <w:lang w:val="en-GB"/>
        </w:rPr>
        <w:fldChar w:fldCharType="separate"/>
      </w:r>
      <w:r w:rsidR="00BF0EA2">
        <w:rPr>
          <w:sz w:val="20"/>
          <w:cs/>
          <w:lang w:val="en-GB"/>
        </w:rPr>
        <w:t>‎</w:t>
      </w:r>
      <w:r w:rsidR="00BF0EA2">
        <w:rPr>
          <w:sz w:val="20"/>
          <w:lang w:val="en-GB"/>
        </w:rPr>
        <w:t>78</w:t>
      </w:r>
      <w:r w:rsidR="00D21A43" w:rsidRPr="00B7554F">
        <w:rPr>
          <w:sz w:val="20"/>
          <w:lang w:val="en-GB"/>
        </w:rPr>
        <w:fldChar w:fldCharType="end"/>
      </w:r>
      <w:r w:rsidR="00D21A43" w:rsidRPr="00B7554F">
        <w:rPr>
          <w:sz w:val="20"/>
          <w:lang w:val="en-GB"/>
        </w:rPr>
        <w:t xml:space="preserve"> </w:t>
      </w:r>
      <w:r w:rsidR="00F03B69" w:rsidRPr="00B7554F">
        <w:rPr>
          <w:sz w:val="20"/>
          <w:lang w:val="en-GB"/>
        </w:rPr>
        <w:t>above)</w:t>
      </w:r>
      <w:r w:rsidR="0087789A" w:rsidRPr="00B7554F">
        <w:rPr>
          <w:sz w:val="20"/>
          <w:szCs w:val="20"/>
          <w:lang w:val="en-GB"/>
        </w:rPr>
        <w:t>,</w:t>
      </w:r>
      <w:r w:rsidR="005F2317" w:rsidRPr="00B7554F">
        <w:rPr>
          <w:sz w:val="20"/>
          <w:szCs w:val="20"/>
          <w:lang w:val="en-GB"/>
        </w:rPr>
        <w:t xml:space="preserve"> the Party concerned notes </w:t>
      </w:r>
      <w:r w:rsidR="0050196F" w:rsidRPr="00B7554F">
        <w:rPr>
          <w:sz w:val="20"/>
          <w:szCs w:val="20"/>
          <w:lang w:val="en-GB"/>
        </w:rPr>
        <w:t>that</w:t>
      </w:r>
      <w:r w:rsidR="005F2317" w:rsidRPr="00B7554F">
        <w:rPr>
          <w:sz w:val="20"/>
          <w:szCs w:val="20"/>
          <w:lang w:val="en-GB"/>
        </w:rPr>
        <w:t xml:space="preserve"> the </w:t>
      </w:r>
      <w:r w:rsidR="00D21A43" w:rsidRPr="00B7554F">
        <w:rPr>
          <w:sz w:val="20"/>
          <w:szCs w:val="20"/>
          <w:lang w:val="en-GB"/>
        </w:rPr>
        <w:t>R</w:t>
      </w:r>
      <w:r w:rsidR="005F2317" w:rsidRPr="00B7554F">
        <w:rPr>
          <w:sz w:val="20"/>
          <w:szCs w:val="20"/>
          <w:lang w:val="en-GB"/>
        </w:rPr>
        <w:t>esolutions are necessary but insufficient conditions prior to the decision on the project.</w:t>
      </w:r>
      <w:r w:rsidR="005F2317" w:rsidRPr="00B7554F">
        <w:rPr>
          <w:rStyle w:val="FootnoteReference"/>
          <w:sz w:val="20"/>
          <w:szCs w:val="20"/>
          <w:lang w:val="en-GB"/>
        </w:rPr>
        <w:footnoteReference w:id="124"/>
      </w:r>
      <w:r w:rsidR="00C204E2" w:rsidRPr="00B7554F">
        <w:rPr>
          <w:sz w:val="20"/>
          <w:szCs w:val="20"/>
          <w:lang w:val="en-GB"/>
        </w:rPr>
        <w:t xml:space="preserve"> </w:t>
      </w:r>
      <w:bookmarkStart w:id="69" w:name="_Ref7441810"/>
      <w:r w:rsidR="005F2317" w:rsidRPr="00B7554F">
        <w:rPr>
          <w:sz w:val="20"/>
          <w:lang w:val="en-GB"/>
        </w:rPr>
        <w:t xml:space="preserve">Regarding </w:t>
      </w:r>
      <w:r w:rsidR="00D21A43" w:rsidRPr="00B7554F">
        <w:rPr>
          <w:sz w:val="20"/>
          <w:lang w:val="en-GB"/>
        </w:rPr>
        <w:t>“</w:t>
      </w:r>
      <w:r w:rsidR="00F03B69" w:rsidRPr="00B7554F">
        <w:rPr>
          <w:sz w:val="20"/>
          <w:lang w:val="en-GB"/>
        </w:rPr>
        <w:t>location</w:t>
      </w:r>
      <w:r w:rsidR="00D21A43" w:rsidRPr="00B7554F">
        <w:rPr>
          <w:sz w:val="20"/>
          <w:lang w:val="en-GB"/>
        </w:rPr>
        <w:t>”</w:t>
      </w:r>
      <w:r w:rsidR="000E7D98" w:rsidRPr="00B7554F">
        <w:rPr>
          <w:sz w:val="20"/>
          <w:lang w:val="en-GB"/>
        </w:rPr>
        <w:t xml:space="preserve">, </w:t>
      </w:r>
      <w:r w:rsidR="00C204E2" w:rsidRPr="00B7554F">
        <w:rPr>
          <w:sz w:val="20"/>
          <w:szCs w:val="20"/>
          <w:lang w:val="en-GB"/>
        </w:rPr>
        <w:t>it</w:t>
      </w:r>
      <w:r w:rsidR="005F2317" w:rsidRPr="00B7554F">
        <w:rPr>
          <w:sz w:val="20"/>
          <w:szCs w:val="20"/>
          <w:lang w:val="en-GB"/>
        </w:rPr>
        <w:t xml:space="preserve"> submits that none of the </w:t>
      </w:r>
      <w:r w:rsidR="00D21A43" w:rsidRPr="00B7554F">
        <w:rPr>
          <w:sz w:val="20"/>
          <w:szCs w:val="20"/>
          <w:lang w:val="en-GB"/>
        </w:rPr>
        <w:t>R</w:t>
      </w:r>
      <w:r w:rsidR="005F2317" w:rsidRPr="00B7554F">
        <w:rPr>
          <w:sz w:val="20"/>
          <w:szCs w:val="20"/>
          <w:lang w:val="en-GB"/>
        </w:rPr>
        <w:t xml:space="preserve">esolutions decided the location, which </w:t>
      </w:r>
      <w:r w:rsidR="00C204E2" w:rsidRPr="00B7554F">
        <w:rPr>
          <w:sz w:val="20"/>
          <w:szCs w:val="20"/>
          <w:lang w:val="en-GB"/>
        </w:rPr>
        <w:t>is</w:t>
      </w:r>
      <w:r w:rsidR="005F2317" w:rsidRPr="00B7554F">
        <w:rPr>
          <w:sz w:val="20"/>
          <w:szCs w:val="20"/>
          <w:lang w:val="en-GB"/>
        </w:rPr>
        <w:t xml:space="preserve"> decided </w:t>
      </w:r>
      <w:r w:rsidR="0050196F" w:rsidRPr="00B7554F">
        <w:rPr>
          <w:sz w:val="20"/>
          <w:szCs w:val="20"/>
          <w:lang w:val="en-GB"/>
        </w:rPr>
        <w:t>later</w:t>
      </w:r>
      <w:r w:rsidR="005F2317" w:rsidRPr="00B7554F">
        <w:rPr>
          <w:sz w:val="20"/>
          <w:szCs w:val="20"/>
          <w:lang w:val="en-GB"/>
        </w:rPr>
        <w:t>.</w:t>
      </w:r>
      <w:r w:rsidR="00E61129" w:rsidRPr="00B7554F">
        <w:rPr>
          <w:rStyle w:val="FootnoteReference"/>
          <w:sz w:val="20"/>
          <w:szCs w:val="20"/>
          <w:lang w:val="en-GB"/>
        </w:rPr>
        <w:footnoteReference w:id="125"/>
      </w:r>
      <w:bookmarkEnd w:id="69"/>
    </w:p>
    <w:p w14:paraId="02945E0B" w14:textId="6156A2C1" w:rsidR="00D36828" w:rsidRPr="00B7554F" w:rsidRDefault="00D36828" w:rsidP="00D36828">
      <w:pPr>
        <w:pStyle w:val="SingleTxtG"/>
        <w:ind w:left="1100" w:right="0"/>
        <w:rPr>
          <w:i/>
          <w:sz w:val="20"/>
          <w:lang w:val="en-GB"/>
        </w:rPr>
      </w:pPr>
      <w:r w:rsidRPr="00B7554F">
        <w:rPr>
          <w:i/>
          <w:sz w:val="20"/>
          <w:lang w:val="en-GB"/>
        </w:rPr>
        <w:t>Resolution</w:t>
      </w:r>
      <w:r w:rsidR="0061204C" w:rsidRPr="00B7554F">
        <w:rPr>
          <w:i/>
          <w:sz w:val="20"/>
          <w:lang w:val="en-GB"/>
        </w:rPr>
        <w:t xml:space="preserve"> 45/2008</w:t>
      </w:r>
    </w:p>
    <w:p w14:paraId="10E885FE" w14:textId="58BCB4AB" w:rsidR="006B3543" w:rsidRPr="00B7554F" w:rsidRDefault="00B66679" w:rsidP="006B3543">
      <w:pPr>
        <w:pStyle w:val="SingleTxtG"/>
        <w:numPr>
          <w:ilvl w:val="0"/>
          <w:numId w:val="3"/>
        </w:numPr>
        <w:tabs>
          <w:tab w:val="num" w:pos="1134"/>
        </w:tabs>
        <w:ind w:left="1100" w:right="0" w:firstLine="0"/>
        <w:rPr>
          <w:sz w:val="20"/>
          <w:lang w:val="en-GB"/>
        </w:rPr>
      </w:pPr>
      <w:r w:rsidRPr="00B7554F">
        <w:rPr>
          <w:rStyle w:val="st"/>
          <w:sz w:val="20"/>
          <w:lang w:val="en-GB"/>
        </w:rPr>
        <w:t xml:space="preserve">The </w:t>
      </w:r>
      <w:r w:rsidR="009F3FA1" w:rsidRPr="00B7554F">
        <w:rPr>
          <w:sz w:val="20"/>
          <w:lang w:val="en-GB"/>
        </w:rPr>
        <w:t xml:space="preserve">communicants submit </w:t>
      </w:r>
      <w:r w:rsidR="0061204C" w:rsidRPr="00B7554F">
        <w:rPr>
          <w:sz w:val="20"/>
          <w:lang w:val="en-GB"/>
        </w:rPr>
        <w:t>that</w:t>
      </w:r>
      <w:r w:rsidR="006B3543" w:rsidRPr="00B7554F">
        <w:rPr>
          <w:sz w:val="20"/>
          <w:lang w:val="en-GB"/>
        </w:rPr>
        <w:t xml:space="preserve"> </w:t>
      </w:r>
      <w:r w:rsidR="002603F8" w:rsidRPr="00B7554F">
        <w:rPr>
          <w:sz w:val="20"/>
          <w:lang w:val="en-GB"/>
        </w:rPr>
        <w:t xml:space="preserve">Resolution </w:t>
      </w:r>
      <w:r w:rsidR="0061204C" w:rsidRPr="00B7554F">
        <w:rPr>
          <w:sz w:val="20"/>
          <w:lang w:val="en-GB"/>
        </w:rPr>
        <w:t xml:space="preserve">45/2008 </w:t>
      </w:r>
      <w:r w:rsidR="003A5EB5" w:rsidRPr="00B7554F">
        <w:rPr>
          <w:sz w:val="20"/>
          <w:lang w:val="en-GB"/>
        </w:rPr>
        <w:t xml:space="preserve">is a </w:t>
      </w:r>
      <w:r w:rsidR="002603F8" w:rsidRPr="00B7554F">
        <w:rPr>
          <w:sz w:val="20"/>
          <w:lang w:val="en-GB"/>
        </w:rPr>
        <w:t>policy</w:t>
      </w:r>
      <w:r w:rsidR="00C204E2" w:rsidRPr="00B7554F">
        <w:rPr>
          <w:sz w:val="20"/>
          <w:lang w:val="en-GB"/>
        </w:rPr>
        <w:t>.</w:t>
      </w:r>
      <w:r w:rsidR="006B3543" w:rsidRPr="00B7554F">
        <w:rPr>
          <w:rStyle w:val="FootnoteReference"/>
          <w:szCs w:val="20"/>
          <w:lang w:val="en-GB"/>
        </w:rPr>
        <w:footnoteReference w:id="126"/>
      </w:r>
      <w:r w:rsidR="006B3543" w:rsidRPr="00B7554F">
        <w:rPr>
          <w:sz w:val="20"/>
          <w:lang w:val="en-GB"/>
        </w:rPr>
        <w:t xml:space="preserve"> </w:t>
      </w:r>
      <w:r w:rsidR="00C204E2" w:rsidRPr="00B7554F">
        <w:rPr>
          <w:sz w:val="20"/>
          <w:lang w:val="en-GB"/>
        </w:rPr>
        <w:t xml:space="preserve">They claim </w:t>
      </w:r>
      <w:r w:rsidR="00A13A1E" w:rsidRPr="00B7554F">
        <w:rPr>
          <w:sz w:val="20"/>
          <w:lang w:val="en-GB"/>
        </w:rPr>
        <w:t xml:space="preserve">that section 12(f) of the Resolution determined the conditions needed for giving the consent pursuant to article 7(2) of the Atomic Energy Act and therefore should have served as basis </w:t>
      </w:r>
      <w:r w:rsidR="00C204E2" w:rsidRPr="00B7554F">
        <w:rPr>
          <w:sz w:val="20"/>
          <w:lang w:val="en-GB"/>
        </w:rPr>
        <w:t xml:space="preserve">for </w:t>
      </w:r>
      <w:r w:rsidR="0061204C" w:rsidRPr="00B7554F">
        <w:rPr>
          <w:sz w:val="20"/>
          <w:lang w:val="en-GB"/>
        </w:rPr>
        <w:t xml:space="preserve"> </w:t>
      </w:r>
      <w:r w:rsidR="00A13A1E" w:rsidRPr="00B7554F">
        <w:rPr>
          <w:sz w:val="20"/>
          <w:lang w:val="en-GB"/>
        </w:rPr>
        <w:t>Resolution</w:t>
      </w:r>
      <w:r w:rsidR="0061204C" w:rsidRPr="00B7554F">
        <w:rPr>
          <w:sz w:val="20"/>
          <w:lang w:val="en-GB"/>
        </w:rPr>
        <w:t xml:space="preserve"> 25/2009</w:t>
      </w:r>
      <w:r w:rsidR="00C16A73" w:rsidRPr="00B7554F">
        <w:rPr>
          <w:sz w:val="20"/>
          <w:lang w:val="en-GB"/>
        </w:rPr>
        <w:t>.</w:t>
      </w:r>
      <w:r w:rsidR="00A13A1E" w:rsidRPr="00B7554F">
        <w:rPr>
          <w:rStyle w:val="FootnoteReference"/>
          <w:szCs w:val="20"/>
          <w:lang w:val="en-GB"/>
        </w:rPr>
        <w:footnoteReference w:id="127"/>
      </w:r>
    </w:p>
    <w:p w14:paraId="43692B61" w14:textId="6FF06F7D" w:rsidR="0025439F" w:rsidRPr="00B7554F" w:rsidRDefault="00B56C7D" w:rsidP="006B3543">
      <w:pPr>
        <w:pStyle w:val="SingleTxtG"/>
        <w:numPr>
          <w:ilvl w:val="0"/>
          <w:numId w:val="3"/>
        </w:numPr>
        <w:tabs>
          <w:tab w:val="num" w:pos="1134"/>
        </w:tabs>
        <w:ind w:left="1100" w:right="0" w:firstLine="0"/>
        <w:rPr>
          <w:sz w:val="20"/>
          <w:lang w:val="en-GB"/>
        </w:rPr>
      </w:pPr>
      <w:r w:rsidRPr="00B7554F">
        <w:rPr>
          <w:sz w:val="20"/>
          <w:lang w:val="en-GB"/>
        </w:rPr>
        <w:t>T</w:t>
      </w:r>
      <w:r w:rsidR="0025439F" w:rsidRPr="00B7554F">
        <w:rPr>
          <w:sz w:val="20"/>
          <w:lang w:val="en-GB"/>
        </w:rPr>
        <w:t>he Party concer</w:t>
      </w:r>
      <w:r w:rsidRPr="00B7554F">
        <w:rPr>
          <w:sz w:val="20"/>
          <w:lang w:val="en-GB"/>
        </w:rPr>
        <w:t xml:space="preserve">ned </w:t>
      </w:r>
      <w:r w:rsidR="0061204C" w:rsidRPr="00B7554F">
        <w:rPr>
          <w:sz w:val="20"/>
          <w:lang w:val="en-GB"/>
        </w:rPr>
        <w:t>submits</w:t>
      </w:r>
      <w:r w:rsidRPr="00B7554F">
        <w:rPr>
          <w:sz w:val="20"/>
          <w:lang w:val="en-GB"/>
        </w:rPr>
        <w:t xml:space="preserve"> </w:t>
      </w:r>
      <w:r w:rsidR="0061204C" w:rsidRPr="00B7554F">
        <w:rPr>
          <w:sz w:val="20"/>
          <w:lang w:val="en-GB"/>
        </w:rPr>
        <w:t>that Resolution 40/2008</w:t>
      </w:r>
      <w:r w:rsidR="0025439F" w:rsidRPr="00B7554F">
        <w:rPr>
          <w:sz w:val="20"/>
          <w:lang w:val="en-GB"/>
        </w:rPr>
        <w:t xml:space="preserve"> </w:t>
      </w:r>
      <w:r w:rsidR="005611CA" w:rsidRPr="00B7554F">
        <w:rPr>
          <w:sz w:val="20"/>
          <w:lang w:val="en-GB"/>
        </w:rPr>
        <w:t>may be</w:t>
      </w:r>
      <w:r w:rsidR="0025439F" w:rsidRPr="00B7554F">
        <w:rPr>
          <w:sz w:val="20"/>
          <w:lang w:val="en-GB"/>
        </w:rPr>
        <w:t xml:space="preserve"> a policy but that this was </w:t>
      </w:r>
      <w:r w:rsidR="005611CA" w:rsidRPr="00B7554F">
        <w:rPr>
          <w:sz w:val="20"/>
          <w:lang w:val="en-GB"/>
        </w:rPr>
        <w:t>un</w:t>
      </w:r>
      <w:r w:rsidR="0025439F" w:rsidRPr="00B7554F">
        <w:rPr>
          <w:sz w:val="20"/>
          <w:lang w:val="en-GB"/>
        </w:rPr>
        <w:t xml:space="preserve">clear due to </w:t>
      </w:r>
      <w:r w:rsidR="0061204C" w:rsidRPr="00B7554F">
        <w:rPr>
          <w:sz w:val="20"/>
          <w:lang w:val="en-GB"/>
        </w:rPr>
        <w:t xml:space="preserve">the Convention’s </w:t>
      </w:r>
      <w:r w:rsidR="0025439F" w:rsidRPr="00B7554F">
        <w:rPr>
          <w:sz w:val="20"/>
          <w:lang w:val="en-GB"/>
        </w:rPr>
        <w:t xml:space="preserve">lack of </w:t>
      </w:r>
      <w:r w:rsidR="0061204C" w:rsidRPr="00B7554F">
        <w:rPr>
          <w:sz w:val="20"/>
          <w:lang w:val="en-GB"/>
        </w:rPr>
        <w:t xml:space="preserve">a </w:t>
      </w:r>
      <w:r w:rsidR="0025439F" w:rsidRPr="00B7554F">
        <w:rPr>
          <w:sz w:val="20"/>
          <w:lang w:val="en-GB"/>
        </w:rPr>
        <w:t>definition.</w:t>
      </w:r>
      <w:r w:rsidR="0025439F" w:rsidRPr="00B7554F">
        <w:rPr>
          <w:rStyle w:val="FootnoteReference"/>
          <w:sz w:val="20"/>
          <w:lang w:val="en-GB"/>
        </w:rPr>
        <w:footnoteReference w:id="128"/>
      </w:r>
    </w:p>
    <w:p w14:paraId="34B20B5F" w14:textId="75F1F429" w:rsidR="006B3543" w:rsidRPr="00B7554F" w:rsidRDefault="006B3543" w:rsidP="006B3543">
      <w:pPr>
        <w:pStyle w:val="SingleTxtG"/>
        <w:ind w:left="1100" w:right="0"/>
        <w:rPr>
          <w:i/>
          <w:iCs/>
          <w:sz w:val="20"/>
          <w:lang w:val="en-GB"/>
        </w:rPr>
      </w:pPr>
      <w:r w:rsidRPr="00B7554F">
        <w:rPr>
          <w:i/>
          <w:iCs/>
          <w:sz w:val="20"/>
          <w:lang w:val="en-GB"/>
        </w:rPr>
        <w:t>Resolution</w:t>
      </w:r>
      <w:r w:rsidR="0061204C" w:rsidRPr="00B7554F">
        <w:rPr>
          <w:i/>
          <w:iCs/>
          <w:sz w:val="20"/>
          <w:lang w:val="en-GB"/>
        </w:rPr>
        <w:t xml:space="preserve"> 25/2009</w:t>
      </w:r>
    </w:p>
    <w:p w14:paraId="2D6AFAE7" w14:textId="18AD15B4" w:rsidR="00144FB8" w:rsidRPr="00B7554F" w:rsidRDefault="006B3543" w:rsidP="006B3543">
      <w:pPr>
        <w:pStyle w:val="SingleTxtG"/>
        <w:numPr>
          <w:ilvl w:val="0"/>
          <w:numId w:val="3"/>
        </w:numPr>
        <w:tabs>
          <w:tab w:val="num" w:pos="1134"/>
        </w:tabs>
        <w:ind w:left="1100" w:right="0" w:firstLine="0"/>
        <w:rPr>
          <w:sz w:val="20"/>
          <w:lang w:val="en-GB"/>
        </w:rPr>
      </w:pPr>
      <w:r w:rsidRPr="00B7554F">
        <w:rPr>
          <w:sz w:val="20"/>
          <w:lang w:val="en-GB"/>
        </w:rPr>
        <w:t xml:space="preserve">The communicants claim </w:t>
      </w:r>
      <w:r w:rsidR="0061204C" w:rsidRPr="00B7554F">
        <w:rPr>
          <w:sz w:val="20"/>
          <w:lang w:val="en-GB"/>
        </w:rPr>
        <w:t>that</w:t>
      </w:r>
      <w:r w:rsidRPr="00B7554F">
        <w:rPr>
          <w:sz w:val="20"/>
          <w:lang w:val="en-GB"/>
        </w:rPr>
        <w:t xml:space="preserve"> Res</w:t>
      </w:r>
      <w:r w:rsidR="002603F8" w:rsidRPr="00B7554F">
        <w:rPr>
          <w:sz w:val="20"/>
          <w:lang w:val="en-GB"/>
        </w:rPr>
        <w:t xml:space="preserve">olution </w:t>
      </w:r>
      <w:r w:rsidR="0061204C" w:rsidRPr="00B7554F">
        <w:rPr>
          <w:sz w:val="20"/>
          <w:lang w:val="en-GB"/>
        </w:rPr>
        <w:t xml:space="preserve">25/2009 </w:t>
      </w:r>
      <w:r w:rsidR="00C12ECF" w:rsidRPr="00B7554F">
        <w:rPr>
          <w:sz w:val="20"/>
          <w:szCs w:val="20"/>
          <w:lang w:val="en-GB"/>
        </w:rPr>
        <w:t>is</w:t>
      </w:r>
      <w:r w:rsidR="002603F8" w:rsidRPr="00B7554F">
        <w:rPr>
          <w:sz w:val="20"/>
          <w:lang w:val="en-GB"/>
        </w:rPr>
        <w:t xml:space="preserve"> a </w:t>
      </w:r>
      <w:r w:rsidR="00C204E2" w:rsidRPr="00B7554F">
        <w:rPr>
          <w:sz w:val="20"/>
          <w:lang w:val="en-GB"/>
        </w:rPr>
        <w:t>plan under</w:t>
      </w:r>
      <w:r w:rsidR="002603F8" w:rsidRPr="00B7554F">
        <w:rPr>
          <w:sz w:val="20"/>
          <w:lang w:val="en-GB"/>
        </w:rPr>
        <w:t xml:space="preserve"> article 7 of the Convention. </w:t>
      </w:r>
      <w:r w:rsidR="00C204E2" w:rsidRPr="00B7554F">
        <w:rPr>
          <w:sz w:val="20"/>
          <w:szCs w:val="20"/>
          <w:lang w:val="en-GB"/>
        </w:rPr>
        <w:t>They</w:t>
      </w:r>
      <w:r w:rsidR="00004F92" w:rsidRPr="00B7554F">
        <w:rPr>
          <w:sz w:val="20"/>
          <w:szCs w:val="20"/>
          <w:lang w:val="en-GB"/>
        </w:rPr>
        <w:t xml:space="preserve"> </w:t>
      </w:r>
      <w:r w:rsidR="008F2086" w:rsidRPr="00B7554F">
        <w:rPr>
          <w:sz w:val="20"/>
          <w:szCs w:val="20"/>
          <w:lang w:val="en-GB"/>
        </w:rPr>
        <w:t>state</w:t>
      </w:r>
      <w:r w:rsidR="005611CA" w:rsidRPr="00B7554F">
        <w:rPr>
          <w:sz w:val="20"/>
          <w:szCs w:val="20"/>
          <w:lang w:val="en-GB"/>
        </w:rPr>
        <w:t>,</w:t>
      </w:r>
      <w:r w:rsidR="00004F92" w:rsidRPr="00B7554F">
        <w:rPr>
          <w:sz w:val="20"/>
          <w:szCs w:val="20"/>
          <w:lang w:val="en-GB"/>
        </w:rPr>
        <w:t xml:space="preserve"> </w:t>
      </w:r>
      <w:r w:rsidR="00E61129" w:rsidRPr="00B7554F">
        <w:rPr>
          <w:sz w:val="20"/>
          <w:szCs w:val="20"/>
          <w:lang w:val="en-GB"/>
        </w:rPr>
        <w:t>firstly</w:t>
      </w:r>
      <w:r w:rsidR="005611CA" w:rsidRPr="00B7554F">
        <w:rPr>
          <w:sz w:val="20"/>
          <w:szCs w:val="20"/>
          <w:lang w:val="en-GB"/>
        </w:rPr>
        <w:t>,</w:t>
      </w:r>
      <w:r w:rsidR="00E61129" w:rsidRPr="00B7554F">
        <w:rPr>
          <w:sz w:val="20"/>
          <w:szCs w:val="20"/>
          <w:lang w:val="en-GB"/>
        </w:rPr>
        <w:t xml:space="preserve"> </w:t>
      </w:r>
      <w:r w:rsidR="00004F92" w:rsidRPr="00B7554F">
        <w:rPr>
          <w:sz w:val="20"/>
          <w:szCs w:val="20"/>
          <w:lang w:val="en-GB"/>
        </w:rPr>
        <w:t>that</w:t>
      </w:r>
      <w:r w:rsidR="0015776B" w:rsidRPr="00B7554F">
        <w:rPr>
          <w:sz w:val="20"/>
          <w:szCs w:val="20"/>
          <w:lang w:val="en-GB"/>
        </w:rPr>
        <w:t xml:space="preserve"> </w:t>
      </w:r>
      <w:r w:rsidR="00E61129" w:rsidRPr="00B7554F">
        <w:rPr>
          <w:sz w:val="20"/>
          <w:lang w:val="en-GB"/>
        </w:rPr>
        <w:t>the Resolution is not a project-level decision, as the EIA procedur</w:t>
      </w:r>
      <w:r w:rsidR="0061204C" w:rsidRPr="00B7554F">
        <w:rPr>
          <w:sz w:val="20"/>
          <w:lang w:val="en-GB"/>
        </w:rPr>
        <w:t>e</w:t>
      </w:r>
      <w:r w:rsidR="00C204E2" w:rsidRPr="00B7554F">
        <w:rPr>
          <w:sz w:val="20"/>
          <w:lang w:val="en-GB"/>
        </w:rPr>
        <w:t xml:space="preserve"> started afterwards</w:t>
      </w:r>
      <w:r w:rsidR="0061204C" w:rsidRPr="00B7554F">
        <w:rPr>
          <w:sz w:val="20"/>
          <w:lang w:val="en-GB"/>
        </w:rPr>
        <w:t xml:space="preserve">; </w:t>
      </w:r>
      <w:r w:rsidR="00C204E2" w:rsidRPr="00B7554F">
        <w:rPr>
          <w:sz w:val="20"/>
          <w:szCs w:val="20"/>
          <w:lang w:val="en-GB"/>
        </w:rPr>
        <w:t>s</w:t>
      </w:r>
      <w:r w:rsidR="00E61129" w:rsidRPr="00B7554F">
        <w:rPr>
          <w:sz w:val="20"/>
          <w:szCs w:val="20"/>
          <w:lang w:val="en-GB"/>
        </w:rPr>
        <w:t>econdly, that the Resolution was required by article 7(2) of the Atomic Energy Act</w:t>
      </w:r>
      <w:r w:rsidR="000E18EE" w:rsidRPr="00B7554F">
        <w:rPr>
          <w:sz w:val="20"/>
          <w:szCs w:val="20"/>
          <w:lang w:val="en-GB"/>
        </w:rPr>
        <w:t xml:space="preserve"> </w:t>
      </w:r>
      <w:r w:rsidR="00E61129" w:rsidRPr="00B7554F">
        <w:rPr>
          <w:sz w:val="20"/>
          <w:szCs w:val="20"/>
          <w:lang w:val="en-GB"/>
        </w:rPr>
        <w:t xml:space="preserve">(see para. </w:t>
      </w:r>
      <w:r w:rsidR="00E61129" w:rsidRPr="00B7554F">
        <w:rPr>
          <w:sz w:val="20"/>
          <w:szCs w:val="20"/>
          <w:lang w:val="en-GB"/>
        </w:rPr>
        <w:fldChar w:fldCharType="begin"/>
      </w:r>
      <w:r w:rsidR="00E61129" w:rsidRPr="00B7554F">
        <w:rPr>
          <w:sz w:val="20"/>
          <w:szCs w:val="20"/>
          <w:lang w:val="en-GB"/>
        </w:rPr>
        <w:instrText xml:space="preserve"> REF _Ref496603300 \r \h  \* MERGEFORMAT </w:instrText>
      </w:r>
      <w:r w:rsidR="00E61129" w:rsidRPr="00B7554F">
        <w:rPr>
          <w:sz w:val="20"/>
          <w:szCs w:val="20"/>
          <w:lang w:val="en-GB"/>
        </w:rPr>
      </w:r>
      <w:r w:rsidR="00E61129" w:rsidRPr="00B7554F">
        <w:rPr>
          <w:sz w:val="20"/>
          <w:szCs w:val="20"/>
          <w:lang w:val="en-GB"/>
        </w:rPr>
        <w:fldChar w:fldCharType="separate"/>
      </w:r>
      <w:r w:rsidR="00BF0EA2">
        <w:rPr>
          <w:sz w:val="20"/>
          <w:szCs w:val="20"/>
          <w:cs/>
          <w:lang w:val="en-GB"/>
        </w:rPr>
        <w:t>‎</w:t>
      </w:r>
      <w:r w:rsidR="00BF0EA2">
        <w:rPr>
          <w:sz w:val="20"/>
          <w:szCs w:val="20"/>
          <w:lang w:val="en-GB"/>
        </w:rPr>
        <w:t>24</w:t>
      </w:r>
      <w:r w:rsidR="00E61129" w:rsidRPr="00B7554F">
        <w:rPr>
          <w:sz w:val="20"/>
          <w:szCs w:val="20"/>
          <w:lang w:val="en-GB"/>
        </w:rPr>
        <w:fldChar w:fldCharType="end"/>
      </w:r>
      <w:r w:rsidR="00E61129" w:rsidRPr="00B7554F">
        <w:rPr>
          <w:sz w:val="20"/>
          <w:szCs w:val="20"/>
          <w:lang w:val="en-GB"/>
        </w:rPr>
        <w:t xml:space="preserve"> above</w:t>
      </w:r>
      <w:r w:rsidR="00144FB8" w:rsidRPr="00B7554F">
        <w:rPr>
          <w:sz w:val="20"/>
          <w:szCs w:val="20"/>
          <w:lang w:val="en-GB"/>
        </w:rPr>
        <w:t>)</w:t>
      </w:r>
      <w:r w:rsidR="0061204C" w:rsidRPr="00B7554F">
        <w:rPr>
          <w:sz w:val="20"/>
          <w:szCs w:val="20"/>
          <w:lang w:val="en-GB"/>
        </w:rPr>
        <w:t>;</w:t>
      </w:r>
      <w:r w:rsidR="00144FB8" w:rsidRPr="00B7554F">
        <w:rPr>
          <w:sz w:val="20"/>
          <w:szCs w:val="20"/>
          <w:lang w:val="en-GB"/>
        </w:rPr>
        <w:t xml:space="preserve"> thirdly</w:t>
      </w:r>
      <w:r w:rsidR="00C204E2" w:rsidRPr="00B7554F">
        <w:rPr>
          <w:sz w:val="20"/>
          <w:szCs w:val="20"/>
          <w:lang w:val="en-GB"/>
        </w:rPr>
        <w:t>,</w:t>
      </w:r>
      <w:r w:rsidR="00144FB8" w:rsidRPr="00B7554F">
        <w:rPr>
          <w:sz w:val="20"/>
          <w:szCs w:val="20"/>
          <w:lang w:val="en-GB"/>
        </w:rPr>
        <w:t xml:space="preserve"> that </w:t>
      </w:r>
      <w:r w:rsidR="005611CA" w:rsidRPr="00B7554F">
        <w:rPr>
          <w:sz w:val="20"/>
          <w:szCs w:val="20"/>
          <w:lang w:val="en-GB"/>
        </w:rPr>
        <w:t>it</w:t>
      </w:r>
      <w:r w:rsidR="00144FB8" w:rsidRPr="00B7554F">
        <w:rPr>
          <w:sz w:val="20"/>
          <w:szCs w:val="20"/>
          <w:lang w:val="en-GB"/>
        </w:rPr>
        <w:t xml:space="preserve"> </w:t>
      </w:r>
      <w:r w:rsidR="00C204E2" w:rsidRPr="00B7554F">
        <w:rPr>
          <w:sz w:val="20"/>
          <w:szCs w:val="20"/>
          <w:lang w:val="en-GB"/>
        </w:rPr>
        <w:t>is</w:t>
      </w:r>
      <w:r w:rsidR="008F2086" w:rsidRPr="00B7554F">
        <w:rPr>
          <w:sz w:val="20"/>
          <w:lang w:val="en-GB"/>
        </w:rPr>
        <w:t xml:space="preserve"> a “decision in principle</w:t>
      </w:r>
      <w:r w:rsidR="005611CA" w:rsidRPr="00B7554F">
        <w:rPr>
          <w:sz w:val="20"/>
          <w:lang w:val="en-GB"/>
        </w:rPr>
        <w:t>”, with</w:t>
      </w:r>
      <w:r w:rsidR="000E18EE" w:rsidRPr="00B7554F">
        <w:rPr>
          <w:sz w:val="20"/>
          <w:lang w:val="en-GB"/>
        </w:rPr>
        <w:t xml:space="preserve"> further permitting envisaged for the specific project</w:t>
      </w:r>
      <w:r w:rsidR="0061204C" w:rsidRPr="00B7554F">
        <w:rPr>
          <w:sz w:val="20"/>
          <w:lang w:val="en-GB"/>
        </w:rPr>
        <w:t>;</w:t>
      </w:r>
      <w:r w:rsidR="008F2086" w:rsidRPr="00B7554F">
        <w:rPr>
          <w:sz w:val="20"/>
          <w:szCs w:val="20"/>
          <w:lang w:val="en-GB"/>
        </w:rPr>
        <w:t xml:space="preserve"> </w:t>
      </w:r>
      <w:r w:rsidR="00560C94" w:rsidRPr="00B7554F">
        <w:rPr>
          <w:sz w:val="20"/>
          <w:szCs w:val="20"/>
          <w:lang w:val="en-GB"/>
        </w:rPr>
        <w:t xml:space="preserve">and lastly, that it </w:t>
      </w:r>
      <w:r w:rsidR="00B56C7D" w:rsidRPr="00B7554F">
        <w:rPr>
          <w:sz w:val="20"/>
          <w:szCs w:val="20"/>
          <w:lang w:val="en-GB"/>
        </w:rPr>
        <w:t>relates</w:t>
      </w:r>
      <w:r w:rsidR="00144FB8" w:rsidRPr="00B7554F">
        <w:rPr>
          <w:sz w:val="20"/>
          <w:szCs w:val="20"/>
          <w:lang w:val="en-GB"/>
        </w:rPr>
        <w:t xml:space="preserve"> to the environment.</w:t>
      </w:r>
      <w:r w:rsidR="00144FB8" w:rsidRPr="00B7554F">
        <w:rPr>
          <w:rStyle w:val="FootnoteReference"/>
          <w:sz w:val="20"/>
          <w:lang w:val="en-GB"/>
        </w:rPr>
        <w:footnoteReference w:id="129"/>
      </w:r>
      <w:r w:rsidR="00144FB8" w:rsidRPr="00B7554F">
        <w:rPr>
          <w:sz w:val="20"/>
          <w:szCs w:val="20"/>
          <w:lang w:val="en-GB"/>
        </w:rPr>
        <w:t xml:space="preserve"> </w:t>
      </w:r>
      <w:bookmarkStart w:id="70" w:name="_Ref496538491"/>
    </w:p>
    <w:bookmarkEnd w:id="70"/>
    <w:p w14:paraId="7C283D04" w14:textId="20AFEC43" w:rsidR="00381FC9" w:rsidRPr="00B7554F" w:rsidRDefault="00B66679" w:rsidP="006B6C7F">
      <w:pPr>
        <w:pStyle w:val="SingleTxtG"/>
        <w:numPr>
          <w:ilvl w:val="0"/>
          <w:numId w:val="3"/>
        </w:numPr>
        <w:tabs>
          <w:tab w:val="num" w:pos="1134"/>
        </w:tabs>
        <w:ind w:left="1100" w:right="0" w:firstLine="0"/>
        <w:rPr>
          <w:sz w:val="20"/>
          <w:lang w:val="en-GB"/>
        </w:rPr>
      </w:pPr>
      <w:r w:rsidRPr="00B7554F">
        <w:rPr>
          <w:sz w:val="20"/>
          <w:szCs w:val="20"/>
          <w:lang w:val="en-GB"/>
        </w:rPr>
        <w:t>T</w:t>
      </w:r>
      <w:r w:rsidR="008E785A" w:rsidRPr="00B7554F">
        <w:rPr>
          <w:sz w:val="20"/>
          <w:szCs w:val="20"/>
          <w:lang w:val="en-GB"/>
        </w:rPr>
        <w:t xml:space="preserve">he Party concerned </w:t>
      </w:r>
      <w:r w:rsidR="0061204C" w:rsidRPr="00B7554F">
        <w:rPr>
          <w:sz w:val="20"/>
          <w:szCs w:val="20"/>
          <w:lang w:val="en-GB"/>
        </w:rPr>
        <w:t>submits</w:t>
      </w:r>
      <w:r w:rsidR="00144FB8" w:rsidRPr="00B7554F">
        <w:rPr>
          <w:sz w:val="20"/>
          <w:szCs w:val="20"/>
          <w:lang w:val="en-GB"/>
        </w:rPr>
        <w:t xml:space="preserve"> </w:t>
      </w:r>
      <w:r w:rsidR="0061204C" w:rsidRPr="00B7554F">
        <w:rPr>
          <w:sz w:val="20"/>
          <w:szCs w:val="20"/>
          <w:lang w:val="en-GB"/>
        </w:rPr>
        <w:t>that Resolution 25/2009</w:t>
      </w:r>
      <w:r w:rsidR="00144FB8" w:rsidRPr="00B7554F">
        <w:rPr>
          <w:sz w:val="20"/>
          <w:szCs w:val="20"/>
          <w:lang w:val="en-GB"/>
        </w:rPr>
        <w:t xml:space="preserve"> has a completely different nature and legal basis than Resolutions</w:t>
      </w:r>
      <w:r w:rsidR="0061204C" w:rsidRPr="00B7554F">
        <w:rPr>
          <w:sz w:val="20"/>
          <w:szCs w:val="20"/>
          <w:lang w:val="en-GB"/>
        </w:rPr>
        <w:t xml:space="preserve"> 40/2008 and 77/2011</w:t>
      </w:r>
      <w:r w:rsidR="00144FB8" w:rsidRPr="00B7554F">
        <w:rPr>
          <w:sz w:val="20"/>
          <w:szCs w:val="20"/>
          <w:lang w:val="en-GB"/>
        </w:rPr>
        <w:t>.</w:t>
      </w:r>
      <w:r w:rsidR="000B0317" w:rsidRPr="00B7554F">
        <w:rPr>
          <w:rStyle w:val="FootnoteReference"/>
          <w:sz w:val="20"/>
          <w:lang w:val="en-GB"/>
        </w:rPr>
        <w:footnoteReference w:id="130"/>
      </w:r>
      <w:r w:rsidR="000B0317" w:rsidRPr="00B7554F">
        <w:rPr>
          <w:sz w:val="20"/>
          <w:lang w:val="en-GB"/>
        </w:rPr>
        <w:t xml:space="preserve"> </w:t>
      </w:r>
      <w:r w:rsidR="00144FB8" w:rsidRPr="00B7554F">
        <w:rPr>
          <w:sz w:val="20"/>
          <w:lang w:val="en-GB"/>
        </w:rPr>
        <w:t xml:space="preserve">It concedes that </w:t>
      </w:r>
      <w:r w:rsidR="0061204C" w:rsidRPr="00B7554F">
        <w:rPr>
          <w:sz w:val="20"/>
          <w:lang w:val="en-GB"/>
        </w:rPr>
        <w:t xml:space="preserve">the </w:t>
      </w:r>
      <w:r w:rsidR="00144FB8" w:rsidRPr="00B7554F">
        <w:rPr>
          <w:sz w:val="20"/>
          <w:lang w:val="en-GB"/>
        </w:rPr>
        <w:t xml:space="preserve">preparatory work </w:t>
      </w:r>
      <w:r w:rsidR="0061204C" w:rsidRPr="00B7554F">
        <w:rPr>
          <w:sz w:val="20"/>
          <w:lang w:val="en-GB"/>
        </w:rPr>
        <w:t xml:space="preserve">for </w:t>
      </w:r>
      <w:r w:rsidR="00144FB8" w:rsidRPr="00B7554F">
        <w:rPr>
          <w:sz w:val="20"/>
          <w:lang w:val="en-GB"/>
        </w:rPr>
        <w:t>nuclear power projects can</w:t>
      </w:r>
      <w:r w:rsidR="005611CA" w:rsidRPr="00B7554F">
        <w:rPr>
          <w:sz w:val="20"/>
          <w:lang w:val="en-GB"/>
        </w:rPr>
        <w:t xml:space="preserve"> </w:t>
      </w:r>
      <w:r w:rsidR="006B6C7F" w:rsidRPr="00B7554F">
        <w:rPr>
          <w:sz w:val="20"/>
          <w:lang w:val="en-GB"/>
        </w:rPr>
        <w:t xml:space="preserve">only be commenced if the </w:t>
      </w:r>
      <w:r w:rsidR="00560C94" w:rsidRPr="00B7554F">
        <w:rPr>
          <w:sz w:val="20"/>
          <w:lang w:val="en-GB"/>
        </w:rPr>
        <w:t>P</w:t>
      </w:r>
      <w:r w:rsidR="006B6C7F" w:rsidRPr="00B7554F">
        <w:rPr>
          <w:sz w:val="20"/>
          <w:lang w:val="en-GB"/>
        </w:rPr>
        <w:t>arliament gives its consent in principle</w:t>
      </w:r>
      <w:r w:rsidR="00352237" w:rsidRPr="00B7554F">
        <w:rPr>
          <w:sz w:val="20"/>
          <w:lang w:val="en-GB"/>
        </w:rPr>
        <w:t xml:space="preserve"> </w:t>
      </w:r>
      <w:r w:rsidR="00560C94" w:rsidRPr="00B7554F">
        <w:rPr>
          <w:sz w:val="20"/>
          <w:lang w:val="en-GB"/>
        </w:rPr>
        <w:t xml:space="preserve">but states </w:t>
      </w:r>
      <w:r w:rsidR="006B6C7F" w:rsidRPr="00B7554F">
        <w:rPr>
          <w:sz w:val="20"/>
          <w:lang w:val="en-GB"/>
        </w:rPr>
        <w:t xml:space="preserve">that the two-sentence long </w:t>
      </w:r>
      <w:r w:rsidR="00560C94" w:rsidRPr="00B7554F">
        <w:rPr>
          <w:sz w:val="20"/>
          <w:lang w:val="en-GB"/>
        </w:rPr>
        <w:t>R</w:t>
      </w:r>
      <w:r w:rsidR="006B6C7F" w:rsidRPr="00B7554F">
        <w:rPr>
          <w:sz w:val="20"/>
          <w:lang w:val="en-GB"/>
        </w:rPr>
        <w:t xml:space="preserve">esolution was neither </w:t>
      </w:r>
      <w:r w:rsidR="000561E1" w:rsidRPr="00B7554F">
        <w:rPr>
          <w:sz w:val="20"/>
          <w:lang w:val="en-GB"/>
        </w:rPr>
        <w:t>adopted through a legislative procedure nor sets the framework for development consent</w:t>
      </w:r>
      <w:r w:rsidR="000561E1" w:rsidRPr="00B7554F">
        <w:rPr>
          <w:sz w:val="20"/>
          <w:szCs w:val="20"/>
          <w:lang w:val="en-GB"/>
        </w:rPr>
        <w:t>.</w:t>
      </w:r>
      <w:r w:rsidR="002603F8" w:rsidRPr="00B7554F">
        <w:rPr>
          <w:rStyle w:val="FootnoteReference"/>
          <w:sz w:val="20"/>
          <w:szCs w:val="20"/>
          <w:lang w:val="en-GB"/>
        </w:rPr>
        <w:footnoteReference w:id="131"/>
      </w:r>
      <w:r w:rsidR="003759C2" w:rsidRPr="00B7554F">
        <w:rPr>
          <w:sz w:val="20"/>
          <w:szCs w:val="20"/>
          <w:lang w:val="en-GB"/>
        </w:rPr>
        <w:t xml:space="preserve"> </w:t>
      </w:r>
      <w:r w:rsidR="008250C8" w:rsidRPr="00B7554F">
        <w:rPr>
          <w:sz w:val="20"/>
          <w:szCs w:val="20"/>
          <w:lang w:val="en-GB"/>
        </w:rPr>
        <w:t xml:space="preserve">It contends </w:t>
      </w:r>
      <w:r w:rsidR="0061204C" w:rsidRPr="00B7554F">
        <w:rPr>
          <w:sz w:val="20"/>
          <w:szCs w:val="20"/>
          <w:lang w:val="en-GB"/>
        </w:rPr>
        <w:t xml:space="preserve">that </w:t>
      </w:r>
      <w:r w:rsidR="003759C2" w:rsidRPr="00B7554F">
        <w:rPr>
          <w:sz w:val="20"/>
          <w:szCs w:val="20"/>
          <w:lang w:val="en-GB"/>
        </w:rPr>
        <w:t xml:space="preserve">the Ombudsman erred </w:t>
      </w:r>
      <w:r w:rsidR="00560C94" w:rsidRPr="00B7554F">
        <w:rPr>
          <w:sz w:val="20"/>
          <w:szCs w:val="20"/>
          <w:lang w:val="en-GB"/>
        </w:rPr>
        <w:t xml:space="preserve">in </w:t>
      </w:r>
      <w:r w:rsidR="00D543C0" w:rsidRPr="00B7554F">
        <w:rPr>
          <w:sz w:val="20"/>
          <w:szCs w:val="20"/>
          <w:lang w:val="en-GB"/>
        </w:rPr>
        <w:t>determining that</w:t>
      </w:r>
      <w:r w:rsidR="00767CBD" w:rsidRPr="00B7554F">
        <w:rPr>
          <w:sz w:val="20"/>
          <w:szCs w:val="20"/>
          <w:lang w:val="en-GB"/>
        </w:rPr>
        <w:t xml:space="preserve"> the Resolution</w:t>
      </w:r>
      <w:r w:rsidR="008250C8" w:rsidRPr="00B7554F">
        <w:rPr>
          <w:sz w:val="20"/>
          <w:szCs w:val="20"/>
          <w:lang w:val="en-GB"/>
        </w:rPr>
        <w:t xml:space="preserve"> </w:t>
      </w:r>
      <w:r w:rsidR="003759C2" w:rsidRPr="00B7554F">
        <w:rPr>
          <w:sz w:val="20"/>
          <w:szCs w:val="20"/>
          <w:lang w:val="en-GB"/>
        </w:rPr>
        <w:t>was the implementation of the task determi</w:t>
      </w:r>
      <w:r w:rsidR="00767CBD" w:rsidRPr="00B7554F">
        <w:rPr>
          <w:sz w:val="20"/>
          <w:szCs w:val="20"/>
          <w:lang w:val="en-GB"/>
        </w:rPr>
        <w:t xml:space="preserve">ned in </w:t>
      </w:r>
      <w:r w:rsidR="006B6C7F" w:rsidRPr="00B7554F">
        <w:rPr>
          <w:sz w:val="20"/>
          <w:szCs w:val="20"/>
          <w:lang w:val="en-GB"/>
        </w:rPr>
        <w:t>Resolution</w:t>
      </w:r>
      <w:r w:rsidR="008250C8" w:rsidRPr="00B7554F">
        <w:rPr>
          <w:sz w:val="20"/>
          <w:szCs w:val="20"/>
          <w:lang w:val="en-GB"/>
        </w:rPr>
        <w:t xml:space="preserve"> </w:t>
      </w:r>
      <w:r w:rsidR="0061204C" w:rsidRPr="00B7554F">
        <w:rPr>
          <w:sz w:val="20"/>
          <w:szCs w:val="20"/>
          <w:lang w:val="en-GB"/>
        </w:rPr>
        <w:t xml:space="preserve">40/2008 </w:t>
      </w:r>
      <w:r w:rsidR="008250C8" w:rsidRPr="00B7554F">
        <w:rPr>
          <w:sz w:val="20"/>
          <w:szCs w:val="20"/>
          <w:lang w:val="en-GB"/>
        </w:rPr>
        <w:t xml:space="preserve">and </w:t>
      </w:r>
      <w:r w:rsidR="00767CBD" w:rsidRPr="00B7554F">
        <w:rPr>
          <w:sz w:val="20"/>
          <w:szCs w:val="20"/>
          <w:lang w:val="en-GB"/>
        </w:rPr>
        <w:t xml:space="preserve">required a </w:t>
      </w:r>
      <w:r w:rsidR="006B6C7F" w:rsidRPr="00B7554F">
        <w:rPr>
          <w:sz w:val="20"/>
          <w:szCs w:val="20"/>
          <w:lang w:val="en-GB"/>
        </w:rPr>
        <w:t>SEA</w:t>
      </w:r>
      <w:r w:rsidR="00767CBD" w:rsidRPr="00B7554F">
        <w:rPr>
          <w:sz w:val="20"/>
          <w:szCs w:val="20"/>
          <w:lang w:val="en-GB"/>
        </w:rPr>
        <w:t>.</w:t>
      </w:r>
      <w:r w:rsidR="0043284C" w:rsidRPr="00B7554F">
        <w:rPr>
          <w:rStyle w:val="FootnoteReference"/>
          <w:szCs w:val="20"/>
          <w:lang w:val="en-GB"/>
        </w:rPr>
        <w:footnoteReference w:id="132"/>
      </w:r>
      <w:r w:rsidR="00DA5035" w:rsidRPr="00B7554F">
        <w:rPr>
          <w:sz w:val="20"/>
          <w:szCs w:val="20"/>
          <w:lang w:val="en-GB"/>
        </w:rPr>
        <w:t xml:space="preserve"> </w:t>
      </w:r>
      <w:bookmarkStart w:id="71" w:name="_Ref506038768"/>
    </w:p>
    <w:p w14:paraId="0E0B2E6B" w14:textId="77777777" w:rsidR="008A0053" w:rsidRDefault="008A0053" w:rsidP="00B7554F">
      <w:pPr>
        <w:pStyle w:val="SingleTxtG"/>
        <w:ind w:right="0"/>
        <w:rPr>
          <w:b/>
          <w:bCs/>
          <w:iCs/>
          <w:sz w:val="20"/>
          <w:szCs w:val="20"/>
          <w:lang w:val="en-GB"/>
        </w:rPr>
      </w:pPr>
    </w:p>
    <w:p w14:paraId="15568F5B" w14:textId="35014D9C" w:rsidR="00381FC9" w:rsidRPr="00B7554F" w:rsidRDefault="006A5317" w:rsidP="00B7554F">
      <w:pPr>
        <w:pStyle w:val="SingleTxtG"/>
        <w:ind w:right="0"/>
        <w:rPr>
          <w:b/>
          <w:sz w:val="20"/>
          <w:lang w:val="en-GB"/>
        </w:rPr>
      </w:pPr>
      <w:r w:rsidRPr="00B7554F">
        <w:rPr>
          <w:b/>
          <w:bCs/>
          <w:iCs/>
          <w:sz w:val="20"/>
          <w:szCs w:val="20"/>
          <w:lang w:val="en-GB"/>
        </w:rPr>
        <w:t>Article 7 –</w:t>
      </w:r>
      <w:r w:rsidR="00F46D27" w:rsidRPr="00B7554F">
        <w:rPr>
          <w:b/>
          <w:bCs/>
          <w:iCs/>
          <w:sz w:val="20"/>
          <w:szCs w:val="20"/>
          <w:lang w:val="en-GB"/>
        </w:rPr>
        <w:t xml:space="preserve"> opportunities</w:t>
      </w:r>
      <w:r w:rsidR="00F46D27" w:rsidRPr="00B7554F">
        <w:rPr>
          <w:b/>
          <w:sz w:val="20"/>
          <w:lang w:val="en-GB"/>
        </w:rPr>
        <w:t xml:space="preserve"> for p</w:t>
      </w:r>
      <w:r w:rsidR="00381FC9" w:rsidRPr="00B7554F">
        <w:rPr>
          <w:b/>
          <w:sz w:val="20"/>
          <w:lang w:val="en-GB"/>
        </w:rPr>
        <w:t xml:space="preserve">ublic participation </w:t>
      </w:r>
    </w:p>
    <w:p w14:paraId="34C64796" w14:textId="77777777" w:rsidR="00C16A73" w:rsidRPr="00B7554F" w:rsidRDefault="00C16A73" w:rsidP="00B7554F">
      <w:pPr>
        <w:pStyle w:val="SingleTxtG"/>
        <w:ind w:right="0"/>
        <w:rPr>
          <w:i/>
          <w:sz w:val="20"/>
          <w:lang w:val="en-GB"/>
        </w:rPr>
      </w:pPr>
      <w:r w:rsidRPr="00B7554F">
        <w:rPr>
          <w:i/>
          <w:iCs/>
          <w:sz w:val="20"/>
          <w:szCs w:val="20"/>
          <w:lang w:val="en-GB"/>
        </w:rPr>
        <w:t>2006 Thesis</w:t>
      </w:r>
    </w:p>
    <w:p w14:paraId="00DEAD4A" w14:textId="31747914" w:rsidR="008E3CD1" w:rsidRPr="00B7554F" w:rsidRDefault="008E3CD1" w:rsidP="008E3CD1">
      <w:pPr>
        <w:pStyle w:val="SingleTxtG"/>
        <w:numPr>
          <w:ilvl w:val="0"/>
          <w:numId w:val="3"/>
        </w:numPr>
        <w:tabs>
          <w:tab w:val="num" w:pos="1134"/>
        </w:tabs>
        <w:ind w:left="1100" w:right="0" w:firstLine="0"/>
        <w:rPr>
          <w:sz w:val="20"/>
          <w:lang w:val="en-GB"/>
        </w:rPr>
      </w:pPr>
      <w:r w:rsidRPr="00B7554F">
        <w:rPr>
          <w:sz w:val="20"/>
          <w:szCs w:val="20"/>
          <w:lang w:val="en-GB"/>
        </w:rPr>
        <w:t xml:space="preserve">The communicants </w:t>
      </w:r>
      <w:r w:rsidR="0061204C" w:rsidRPr="00B7554F">
        <w:rPr>
          <w:sz w:val="20"/>
          <w:szCs w:val="20"/>
          <w:lang w:val="en-GB"/>
        </w:rPr>
        <w:t xml:space="preserve">contend that public participation on the </w:t>
      </w:r>
      <w:r w:rsidR="000E746D" w:rsidRPr="00B7554F">
        <w:rPr>
          <w:sz w:val="20"/>
          <w:szCs w:val="20"/>
          <w:lang w:val="en-GB"/>
        </w:rPr>
        <w:t>2006</w:t>
      </w:r>
      <w:r w:rsidRPr="00B7554F">
        <w:rPr>
          <w:sz w:val="20"/>
          <w:szCs w:val="20"/>
          <w:lang w:val="en-GB"/>
        </w:rPr>
        <w:t xml:space="preserve"> </w:t>
      </w:r>
      <w:r w:rsidR="0061204C" w:rsidRPr="00B7554F">
        <w:rPr>
          <w:sz w:val="20"/>
          <w:szCs w:val="20"/>
          <w:lang w:val="en-GB"/>
        </w:rPr>
        <w:t xml:space="preserve">Thesis </w:t>
      </w:r>
      <w:r w:rsidRPr="00B7554F">
        <w:rPr>
          <w:sz w:val="20"/>
          <w:szCs w:val="20"/>
          <w:lang w:val="en-GB"/>
        </w:rPr>
        <w:t>is irrelevant</w:t>
      </w:r>
      <w:r w:rsidR="0061204C" w:rsidRPr="00B7554F">
        <w:rPr>
          <w:sz w:val="20"/>
          <w:szCs w:val="20"/>
          <w:lang w:val="en-GB"/>
        </w:rPr>
        <w:t xml:space="preserve"> to their claim</w:t>
      </w:r>
      <w:r w:rsidR="000E746D" w:rsidRPr="00B7554F">
        <w:rPr>
          <w:sz w:val="20"/>
          <w:szCs w:val="20"/>
          <w:lang w:val="en-GB"/>
        </w:rPr>
        <w:t xml:space="preserve"> (see para. </w:t>
      </w:r>
      <w:r w:rsidR="000E746D" w:rsidRPr="00B7554F">
        <w:rPr>
          <w:sz w:val="20"/>
          <w:szCs w:val="20"/>
          <w:lang w:val="en-GB"/>
        </w:rPr>
        <w:fldChar w:fldCharType="begin"/>
      </w:r>
      <w:r w:rsidR="000E746D" w:rsidRPr="00B7554F">
        <w:rPr>
          <w:sz w:val="20"/>
          <w:szCs w:val="20"/>
          <w:lang w:val="en-GB"/>
        </w:rPr>
        <w:instrText xml:space="preserve"> REF _Ref74071694 \r \h </w:instrText>
      </w:r>
      <w:r w:rsidR="00B7554F">
        <w:rPr>
          <w:sz w:val="20"/>
          <w:szCs w:val="20"/>
          <w:lang w:val="en-GB"/>
        </w:rPr>
        <w:instrText xml:space="preserve"> \* MERGEFORMAT </w:instrText>
      </w:r>
      <w:r w:rsidR="000E746D" w:rsidRPr="00B7554F">
        <w:rPr>
          <w:sz w:val="20"/>
          <w:szCs w:val="20"/>
          <w:lang w:val="en-GB"/>
        </w:rPr>
      </w:r>
      <w:r w:rsidR="000E746D" w:rsidRPr="00B7554F">
        <w:rPr>
          <w:sz w:val="20"/>
          <w:szCs w:val="20"/>
          <w:lang w:val="en-GB"/>
        </w:rPr>
        <w:fldChar w:fldCharType="separate"/>
      </w:r>
      <w:r w:rsidR="00BF0EA2">
        <w:rPr>
          <w:sz w:val="20"/>
          <w:szCs w:val="20"/>
          <w:cs/>
          <w:lang w:val="en-GB"/>
        </w:rPr>
        <w:t>‎</w:t>
      </w:r>
      <w:r w:rsidR="00BF0EA2">
        <w:rPr>
          <w:sz w:val="20"/>
          <w:szCs w:val="20"/>
          <w:lang w:val="en-GB"/>
        </w:rPr>
        <w:t>70</w:t>
      </w:r>
      <w:r w:rsidR="000E746D" w:rsidRPr="00B7554F">
        <w:rPr>
          <w:sz w:val="20"/>
          <w:szCs w:val="20"/>
          <w:lang w:val="en-GB"/>
        </w:rPr>
        <w:fldChar w:fldCharType="end"/>
      </w:r>
      <w:r w:rsidR="000E746D" w:rsidRPr="00B7554F">
        <w:rPr>
          <w:sz w:val="20"/>
          <w:szCs w:val="20"/>
          <w:lang w:val="en-GB"/>
        </w:rPr>
        <w:t xml:space="preserve"> above).</w:t>
      </w:r>
    </w:p>
    <w:p w14:paraId="077374AD" w14:textId="600213CF" w:rsidR="0061204C" w:rsidRPr="00B7554F" w:rsidRDefault="0061204C" w:rsidP="0061204C">
      <w:pPr>
        <w:pStyle w:val="SingleTxtG"/>
        <w:numPr>
          <w:ilvl w:val="0"/>
          <w:numId w:val="3"/>
        </w:numPr>
        <w:tabs>
          <w:tab w:val="num" w:pos="1134"/>
        </w:tabs>
        <w:ind w:left="1100" w:right="0" w:firstLine="0"/>
        <w:rPr>
          <w:sz w:val="20"/>
          <w:lang w:val="en-GB"/>
        </w:rPr>
      </w:pPr>
      <w:r w:rsidRPr="00B7554F">
        <w:rPr>
          <w:sz w:val="20"/>
          <w:szCs w:val="20"/>
          <w:lang w:val="en-GB"/>
        </w:rPr>
        <w:t xml:space="preserve">Regarding public participation on the 2008-2020 energy policy, the Party concerned submits that in 2005-2006 it had already provided adequate public participation during the preparation of the 2006 Thesis (see para. </w:t>
      </w:r>
      <w:r w:rsidRPr="00B7554F">
        <w:rPr>
          <w:sz w:val="20"/>
          <w:szCs w:val="20"/>
          <w:lang w:val="en-GB"/>
        </w:rPr>
        <w:fldChar w:fldCharType="begin"/>
      </w:r>
      <w:r w:rsidRPr="00B7554F">
        <w:rPr>
          <w:sz w:val="20"/>
          <w:szCs w:val="20"/>
          <w:lang w:val="en-GB"/>
        </w:rPr>
        <w:instrText xml:space="preserve"> REF _Ref74071664 \r \h </w:instrText>
      </w:r>
      <w:r w:rsidR="00B7554F">
        <w:rPr>
          <w:sz w:val="20"/>
          <w:szCs w:val="20"/>
          <w:lang w:val="en-GB"/>
        </w:rPr>
        <w:instrText xml:space="preserve"> \* MERGEFORMAT </w:instrText>
      </w:r>
      <w:r w:rsidRPr="00B7554F">
        <w:rPr>
          <w:sz w:val="20"/>
          <w:szCs w:val="20"/>
          <w:lang w:val="en-GB"/>
        </w:rPr>
      </w:r>
      <w:r w:rsidRPr="00B7554F">
        <w:rPr>
          <w:sz w:val="20"/>
          <w:szCs w:val="20"/>
          <w:lang w:val="en-GB"/>
        </w:rPr>
        <w:fldChar w:fldCharType="separate"/>
      </w:r>
      <w:r w:rsidR="00BF0EA2">
        <w:rPr>
          <w:sz w:val="20"/>
          <w:szCs w:val="20"/>
          <w:cs/>
          <w:lang w:val="en-GB"/>
        </w:rPr>
        <w:t>‎</w:t>
      </w:r>
      <w:r w:rsidR="00BF0EA2">
        <w:rPr>
          <w:sz w:val="20"/>
          <w:szCs w:val="20"/>
          <w:lang w:val="en-GB"/>
        </w:rPr>
        <w:t>70</w:t>
      </w:r>
      <w:r w:rsidRPr="00B7554F">
        <w:rPr>
          <w:sz w:val="20"/>
          <w:szCs w:val="20"/>
          <w:lang w:val="en-GB"/>
        </w:rPr>
        <w:fldChar w:fldCharType="end"/>
      </w:r>
      <w:r w:rsidRPr="00B7554F">
        <w:rPr>
          <w:sz w:val="20"/>
          <w:szCs w:val="20"/>
          <w:lang w:val="en-GB"/>
        </w:rPr>
        <w:t xml:space="preserve"> above).</w:t>
      </w:r>
    </w:p>
    <w:p w14:paraId="75FECEBB" w14:textId="323F2EC7" w:rsidR="00FD05E5" w:rsidRPr="00B7554F" w:rsidRDefault="00FD05E5" w:rsidP="00FD05E5">
      <w:pPr>
        <w:pStyle w:val="SingleTxtG"/>
        <w:ind w:left="1100" w:right="0"/>
        <w:rPr>
          <w:i/>
          <w:iCs/>
          <w:sz w:val="20"/>
          <w:lang w:val="en-GB"/>
        </w:rPr>
      </w:pPr>
      <w:r w:rsidRPr="00B7554F">
        <w:rPr>
          <w:i/>
          <w:sz w:val="20"/>
          <w:lang w:val="en-GB"/>
        </w:rPr>
        <w:t>Resolution</w:t>
      </w:r>
      <w:r w:rsidRPr="00B7554F">
        <w:rPr>
          <w:i/>
          <w:iCs/>
          <w:sz w:val="20"/>
          <w:szCs w:val="20"/>
          <w:lang w:val="en-GB"/>
        </w:rPr>
        <w:t xml:space="preserve"> 40/2008</w:t>
      </w:r>
    </w:p>
    <w:bookmarkEnd w:id="71"/>
    <w:p w14:paraId="7A794439" w14:textId="3AEDD75A" w:rsidR="00FD05E5" w:rsidRPr="00B7554F" w:rsidRDefault="00FD05E5" w:rsidP="00FD05E5">
      <w:pPr>
        <w:pStyle w:val="SingleTxtG"/>
        <w:numPr>
          <w:ilvl w:val="0"/>
          <w:numId w:val="3"/>
        </w:numPr>
        <w:tabs>
          <w:tab w:val="num" w:pos="1134"/>
        </w:tabs>
        <w:ind w:left="1100" w:right="0" w:firstLine="0"/>
        <w:rPr>
          <w:lang w:val="en-US"/>
        </w:rPr>
      </w:pPr>
      <w:r w:rsidRPr="00B7554F">
        <w:rPr>
          <w:sz w:val="20"/>
          <w:szCs w:val="20"/>
          <w:lang w:val="en-GB"/>
        </w:rPr>
        <w:t>Th</w:t>
      </w:r>
      <w:r w:rsidRPr="00B7554F">
        <w:rPr>
          <w:sz w:val="20"/>
          <w:lang w:val="en-GB"/>
        </w:rPr>
        <w:t xml:space="preserve">e communicants submit public participation with respect to Resolution 40/2008 was limited to </w:t>
      </w:r>
      <w:r w:rsidRPr="00B7554F">
        <w:rPr>
          <w:sz w:val="20"/>
          <w:szCs w:val="20"/>
          <w:lang w:val="en-GB"/>
        </w:rPr>
        <w:t>the draft</w:t>
      </w:r>
      <w:r w:rsidRPr="00B7554F">
        <w:rPr>
          <w:sz w:val="20"/>
          <w:lang w:val="en-GB"/>
        </w:rPr>
        <w:t xml:space="preserve"> energy policy paper which was only annexed to the final resolution and this was also the only document published</w:t>
      </w:r>
      <w:r w:rsidRPr="00B7554F">
        <w:rPr>
          <w:sz w:val="20"/>
          <w:szCs w:val="20"/>
          <w:lang w:val="en-GB"/>
        </w:rPr>
        <w:t xml:space="preserve"> on the website of the competent ministry for commenting between 15 June and 15 July of 2007.</w:t>
      </w:r>
      <w:r w:rsidRPr="00B7554F">
        <w:rPr>
          <w:rStyle w:val="FootnoteReference"/>
          <w:szCs w:val="20"/>
          <w:lang w:val="en-GB"/>
        </w:rPr>
        <w:footnoteReference w:id="133"/>
      </w:r>
      <w:r w:rsidRPr="00B7554F">
        <w:rPr>
          <w:sz w:val="20"/>
          <w:lang w:val="en-GB"/>
        </w:rPr>
        <w:t xml:space="preserve"> </w:t>
      </w:r>
      <w:r w:rsidRPr="00B7554F">
        <w:rPr>
          <w:sz w:val="20"/>
          <w:szCs w:val="20"/>
          <w:lang w:val="en-GB"/>
        </w:rPr>
        <w:t xml:space="preserve"> The communicants contend, however, </w:t>
      </w:r>
      <w:r w:rsidRPr="00B7554F">
        <w:rPr>
          <w:sz w:val="20"/>
          <w:szCs w:val="20"/>
          <w:lang w:val="en-GB"/>
        </w:rPr>
        <w:lastRenderedPageBreak/>
        <w:t>that the Resolution was based on studies, analyses and materials resulting from the Teller Project, none of which was provided.</w:t>
      </w:r>
      <w:r w:rsidRPr="00B7554F">
        <w:rPr>
          <w:rStyle w:val="FootnoteReference"/>
          <w:szCs w:val="20"/>
          <w:lang w:val="en-GB"/>
        </w:rPr>
        <w:footnoteReference w:id="134"/>
      </w:r>
      <w:r w:rsidRPr="00B7554F">
        <w:rPr>
          <w:sz w:val="20"/>
          <w:lang w:val="en-GB"/>
        </w:rPr>
        <w:t xml:space="preserve"> </w:t>
      </w:r>
    </w:p>
    <w:p w14:paraId="193B3240" w14:textId="311C9CAD" w:rsidR="00FD05E5" w:rsidRPr="00B7554F" w:rsidRDefault="00FD05E5" w:rsidP="00FD05E5">
      <w:pPr>
        <w:pStyle w:val="SingleTxtG"/>
        <w:numPr>
          <w:ilvl w:val="0"/>
          <w:numId w:val="3"/>
        </w:numPr>
        <w:tabs>
          <w:tab w:val="num" w:pos="1134"/>
        </w:tabs>
        <w:ind w:left="1100" w:right="0" w:firstLine="0"/>
        <w:rPr>
          <w:sz w:val="20"/>
          <w:lang w:val="en-GB"/>
        </w:rPr>
      </w:pPr>
      <w:r w:rsidRPr="00B7554F">
        <w:rPr>
          <w:sz w:val="20"/>
          <w:szCs w:val="20"/>
          <w:lang w:val="en-GB"/>
        </w:rPr>
        <w:t>The communicant states that, while three section meetings were held by the ministry with the participation of interested members of the public after the commenting period,</w:t>
      </w:r>
      <w:r w:rsidRPr="00B7554F">
        <w:rPr>
          <w:rStyle w:val="FootnoteReference"/>
          <w:sz w:val="20"/>
          <w:szCs w:val="20"/>
          <w:lang w:val="en-GB"/>
        </w:rPr>
        <w:footnoteReference w:id="135"/>
      </w:r>
      <w:r w:rsidRPr="00B7554F">
        <w:rPr>
          <w:sz w:val="20"/>
          <w:szCs w:val="20"/>
          <w:lang w:val="en-GB"/>
        </w:rPr>
        <w:t xml:space="preserve"> the actual resolution, which was approved by the Parliament, and to which the energy policy paper was attached as an annex only, was never discussed in the public participation process, which was limited to the energy policy paper only.</w:t>
      </w:r>
      <w:r w:rsidRPr="00B7554F">
        <w:rPr>
          <w:rStyle w:val="FootnoteReference"/>
          <w:sz w:val="20"/>
          <w:szCs w:val="20"/>
          <w:lang w:val="en-GB"/>
        </w:rPr>
        <w:footnoteReference w:id="136"/>
      </w:r>
      <w:r w:rsidRPr="00B7554F">
        <w:rPr>
          <w:sz w:val="20"/>
          <w:lang w:val="en-GB"/>
        </w:rPr>
        <w:t xml:space="preserve"> </w:t>
      </w:r>
      <w:r w:rsidRPr="00B7554F">
        <w:rPr>
          <w:sz w:val="20"/>
          <w:szCs w:val="20"/>
          <w:lang w:val="en-GB"/>
        </w:rPr>
        <w:t xml:space="preserve"> The communicants submit further that the preparation of the final text of the energy policy and decision-making structure were not clear and that it was unclear whether any comments were taken into account and how those were included in the text.</w:t>
      </w:r>
      <w:r w:rsidRPr="00B7554F">
        <w:rPr>
          <w:rStyle w:val="FootnoteReference"/>
          <w:sz w:val="20"/>
          <w:szCs w:val="20"/>
          <w:lang w:val="en-GB"/>
        </w:rPr>
        <w:footnoteReference w:id="137"/>
      </w:r>
      <w:r w:rsidRPr="00B7554F">
        <w:rPr>
          <w:sz w:val="20"/>
          <w:lang w:val="en-GB"/>
        </w:rPr>
        <w:t xml:space="preserve"> </w:t>
      </w:r>
    </w:p>
    <w:p w14:paraId="0F037853" w14:textId="3DCD90F3" w:rsidR="00FD05E5" w:rsidRPr="00B7554F" w:rsidRDefault="00FD05E5" w:rsidP="00FD05E5">
      <w:pPr>
        <w:pStyle w:val="SingleTxtG"/>
        <w:numPr>
          <w:ilvl w:val="0"/>
          <w:numId w:val="3"/>
        </w:numPr>
        <w:tabs>
          <w:tab w:val="num" w:pos="1134"/>
        </w:tabs>
        <w:ind w:left="1100" w:right="0" w:firstLine="0"/>
        <w:rPr>
          <w:sz w:val="20"/>
          <w:szCs w:val="20"/>
          <w:lang w:val="en-GB"/>
        </w:rPr>
      </w:pPr>
      <w:r w:rsidRPr="00B7554F">
        <w:rPr>
          <w:sz w:val="20"/>
          <w:lang w:val="en-GB"/>
        </w:rPr>
        <w:t>The communicants further claim that the environmental assessment was never provided to the public</w:t>
      </w:r>
      <w:r w:rsidRPr="00B7554F">
        <w:rPr>
          <w:sz w:val="20"/>
          <w:szCs w:val="20"/>
          <w:lang w:val="en-GB"/>
        </w:rPr>
        <w:t>.</w:t>
      </w:r>
      <w:r w:rsidRPr="00B7554F">
        <w:rPr>
          <w:rStyle w:val="FootnoteReference"/>
          <w:sz w:val="20"/>
          <w:szCs w:val="20"/>
          <w:lang w:val="en-GB"/>
        </w:rPr>
        <w:footnoteReference w:id="138"/>
      </w:r>
      <w:r w:rsidRPr="00B7554F">
        <w:rPr>
          <w:sz w:val="20"/>
          <w:szCs w:val="20"/>
          <w:lang w:val="en-GB"/>
        </w:rPr>
        <w:t xml:space="preserve"> The communicants submit that the NEC cannot be considered a body to facilitate public participation but is rather an advisory agency of the government.</w:t>
      </w:r>
      <w:r w:rsidRPr="00B7554F">
        <w:rPr>
          <w:rStyle w:val="FootnoteReference"/>
          <w:sz w:val="20"/>
          <w:szCs w:val="20"/>
          <w:lang w:val="en-GB"/>
        </w:rPr>
        <w:footnoteReference w:id="139"/>
      </w:r>
      <w:r w:rsidRPr="00B7554F">
        <w:rPr>
          <w:sz w:val="20"/>
          <w:szCs w:val="20"/>
          <w:lang w:val="en-GB"/>
        </w:rPr>
        <w:t xml:space="preserve"> The communicants add that there are no legal requirements for NEC’s positions to be taken into account by the government.</w:t>
      </w:r>
      <w:r w:rsidRPr="00B7554F">
        <w:rPr>
          <w:rStyle w:val="FootnoteReference"/>
          <w:sz w:val="20"/>
          <w:szCs w:val="20"/>
          <w:lang w:val="en-GB"/>
        </w:rPr>
        <w:footnoteReference w:id="140"/>
      </w:r>
    </w:p>
    <w:p w14:paraId="132BCF0A" w14:textId="0C7E36F4" w:rsidR="00FD05E5" w:rsidRPr="00B7554F" w:rsidRDefault="00FD05E5" w:rsidP="00FD05E5">
      <w:pPr>
        <w:pStyle w:val="SingleTxtG"/>
        <w:numPr>
          <w:ilvl w:val="0"/>
          <w:numId w:val="3"/>
        </w:numPr>
        <w:tabs>
          <w:tab w:val="num" w:pos="1134"/>
        </w:tabs>
        <w:ind w:left="1100" w:right="0" w:firstLine="0"/>
        <w:rPr>
          <w:i/>
          <w:iCs/>
          <w:sz w:val="20"/>
          <w:szCs w:val="20"/>
          <w:lang w:val="en-GB"/>
        </w:rPr>
      </w:pPr>
      <w:bookmarkStart w:id="72" w:name="_Ref500346086"/>
      <w:r w:rsidRPr="00B7554F">
        <w:rPr>
          <w:sz w:val="20"/>
          <w:szCs w:val="20"/>
          <w:lang w:val="en-GB"/>
        </w:rPr>
        <w:t>The</w:t>
      </w:r>
      <w:r w:rsidRPr="00B7554F">
        <w:rPr>
          <w:sz w:val="20"/>
          <w:lang w:val="en-GB"/>
        </w:rPr>
        <w:t xml:space="preserve"> Party concerned states that the draft 2008-2020 energy policy was sent, along with an environmental assessment, to the NEC for comments, which provided the NGO members of the NEC an opportunity to comment. It submits that subsequently the documents were made available on the websites of the ministry and the parliament.</w:t>
      </w:r>
      <w:r w:rsidRPr="00B7554F">
        <w:rPr>
          <w:rStyle w:val="FootnoteReference"/>
          <w:sz w:val="20"/>
          <w:lang w:val="en-GB"/>
        </w:rPr>
        <w:footnoteReference w:id="141"/>
      </w:r>
      <w:r w:rsidRPr="00B7554F">
        <w:rPr>
          <w:sz w:val="20"/>
          <w:lang w:val="en-GB"/>
        </w:rPr>
        <w:t xml:space="preserve"> </w:t>
      </w:r>
      <w:r w:rsidRPr="00B7554F">
        <w:rPr>
          <w:sz w:val="20"/>
          <w:szCs w:val="20"/>
          <w:lang w:val="en-GB"/>
        </w:rPr>
        <w:t xml:space="preserve">The Party concerned observes that the NEC partially consists of delegates from NGOs, and disagrees with the communicant’s assertion that this body </w:t>
      </w:r>
      <w:bookmarkEnd w:id="72"/>
      <w:r w:rsidRPr="00B7554F">
        <w:rPr>
          <w:sz w:val="20"/>
          <w:szCs w:val="20"/>
          <w:lang w:val="en-GB"/>
        </w:rPr>
        <w:t>cannot be regarded as a body to facilitate public participation.</w:t>
      </w:r>
      <w:r w:rsidRPr="00B7554F">
        <w:rPr>
          <w:rStyle w:val="FootnoteReference"/>
          <w:sz w:val="20"/>
          <w:szCs w:val="20"/>
          <w:lang w:val="en-GB"/>
        </w:rPr>
        <w:t xml:space="preserve"> </w:t>
      </w:r>
      <w:r w:rsidRPr="00B7554F">
        <w:rPr>
          <w:rStyle w:val="FootnoteReference"/>
          <w:sz w:val="20"/>
          <w:szCs w:val="20"/>
          <w:lang w:val="en-GB"/>
        </w:rPr>
        <w:footnoteReference w:id="142"/>
      </w:r>
    </w:p>
    <w:p w14:paraId="12B25FAB" w14:textId="7C85C391" w:rsidR="00FD05E5" w:rsidRPr="00B7554F" w:rsidRDefault="00FD05E5" w:rsidP="00FD05E5">
      <w:pPr>
        <w:pStyle w:val="SingleTxtG"/>
        <w:numPr>
          <w:ilvl w:val="0"/>
          <w:numId w:val="3"/>
        </w:numPr>
        <w:tabs>
          <w:tab w:val="num" w:pos="1134"/>
        </w:tabs>
        <w:ind w:left="1100" w:right="0" w:firstLine="0"/>
        <w:rPr>
          <w:i/>
          <w:iCs/>
          <w:sz w:val="20"/>
          <w:szCs w:val="20"/>
          <w:lang w:val="en-GB"/>
        </w:rPr>
      </w:pPr>
      <w:r w:rsidRPr="00B7554F">
        <w:rPr>
          <w:sz w:val="20"/>
          <w:lang w:val="en-GB"/>
        </w:rPr>
        <w:t xml:space="preserve">The Party concerned submits no SEA was prepared for the Resolution, as this was not required under </w:t>
      </w:r>
      <w:r w:rsidRPr="00B7554F">
        <w:rPr>
          <w:sz w:val="20"/>
          <w:szCs w:val="20"/>
          <w:lang w:val="en-GB"/>
        </w:rPr>
        <w:t>law</w:t>
      </w:r>
      <w:r w:rsidRPr="00B7554F">
        <w:rPr>
          <w:sz w:val="20"/>
          <w:lang w:val="en-GB"/>
        </w:rPr>
        <w:t xml:space="preserve"> and that it is beyond the competence of the Committee to assess whether </w:t>
      </w:r>
      <w:r w:rsidRPr="00B7554F">
        <w:rPr>
          <w:sz w:val="20"/>
          <w:szCs w:val="20"/>
          <w:lang w:val="en-GB"/>
        </w:rPr>
        <w:t xml:space="preserve">a </w:t>
      </w:r>
      <w:r w:rsidRPr="00B7554F">
        <w:rPr>
          <w:sz w:val="20"/>
          <w:lang w:val="en-GB"/>
        </w:rPr>
        <w:t>SEA was carried out</w:t>
      </w:r>
      <w:r w:rsidRPr="00B7554F">
        <w:rPr>
          <w:sz w:val="20"/>
          <w:szCs w:val="20"/>
          <w:lang w:val="en-GB"/>
        </w:rPr>
        <w:t>.</w:t>
      </w:r>
      <w:r w:rsidRPr="00B7554F">
        <w:rPr>
          <w:rStyle w:val="FootnoteReference"/>
          <w:sz w:val="20"/>
          <w:szCs w:val="20"/>
          <w:lang w:val="en-GB"/>
        </w:rPr>
        <w:footnoteReference w:id="143"/>
      </w:r>
    </w:p>
    <w:p w14:paraId="600CDCF7" w14:textId="32AC818B" w:rsidR="00FD05E5" w:rsidRPr="00B7554F" w:rsidRDefault="00FD05E5" w:rsidP="00FD05E5">
      <w:pPr>
        <w:pStyle w:val="SingleTxtG"/>
        <w:ind w:left="1100" w:right="0"/>
        <w:rPr>
          <w:i/>
          <w:iCs/>
          <w:sz w:val="20"/>
          <w:szCs w:val="20"/>
          <w:lang w:val="en-GB"/>
        </w:rPr>
      </w:pPr>
      <w:r w:rsidRPr="00B7554F">
        <w:rPr>
          <w:i/>
          <w:iCs/>
          <w:sz w:val="20"/>
          <w:szCs w:val="20"/>
          <w:lang w:val="en-GB"/>
        </w:rPr>
        <w:t>Resolution</w:t>
      </w:r>
      <w:r w:rsidR="006A4095" w:rsidRPr="00B7554F">
        <w:rPr>
          <w:i/>
          <w:iCs/>
          <w:sz w:val="20"/>
          <w:szCs w:val="20"/>
          <w:lang w:val="en-GB"/>
        </w:rPr>
        <w:t xml:space="preserve"> 25/2009</w:t>
      </w:r>
    </w:p>
    <w:p w14:paraId="359CD79A" w14:textId="69D557EC" w:rsidR="006A4095" w:rsidRPr="00B7554F" w:rsidRDefault="00FD05E5" w:rsidP="006A4095">
      <w:pPr>
        <w:pStyle w:val="SingleTxtG"/>
        <w:numPr>
          <w:ilvl w:val="0"/>
          <w:numId w:val="3"/>
        </w:numPr>
        <w:tabs>
          <w:tab w:val="num" w:pos="1134"/>
        </w:tabs>
        <w:ind w:left="1100" w:right="0" w:firstLine="0"/>
        <w:rPr>
          <w:sz w:val="20"/>
          <w:szCs w:val="20"/>
          <w:lang w:val="en-US"/>
        </w:rPr>
      </w:pPr>
      <w:r w:rsidRPr="00B7554F">
        <w:rPr>
          <w:sz w:val="20"/>
          <w:szCs w:val="20"/>
          <w:lang w:val="en-GB"/>
        </w:rPr>
        <w:t xml:space="preserve">The communicants submit </w:t>
      </w:r>
      <w:r w:rsidRPr="00B7554F">
        <w:rPr>
          <w:sz w:val="20"/>
          <w:lang w:val="en-GB"/>
        </w:rPr>
        <w:t xml:space="preserve">the </w:t>
      </w:r>
      <w:r w:rsidR="006A4095" w:rsidRPr="00B7554F">
        <w:rPr>
          <w:sz w:val="20"/>
          <w:lang w:val="en-GB"/>
        </w:rPr>
        <w:t>proposal for</w:t>
      </w:r>
      <w:r w:rsidRPr="00B7554F">
        <w:rPr>
          <w:sz w:val="20"/>
          <w:lang w:val="en-GB"/>
        </w:rPr>
        <w:t xml:space="preserve"> Resolution </w:t>
      </w:r>
      <w:r w:rsidR="006A4095" w:rsidRPr="00B7554F">
        <w:rPr>
          <w:sz w:val="20"/>
          <w:lang w:val="en-GB"/>
        </w:rPr>
        <w:t xml:space="preserve">25/2009 </w:t>
      </w:r>
      <w:r w:rsidR="006A4095" w:rsidRPr="00B7554F">
        <w:rPr>
          <w:sz w:val="20"/>
          <w:szCs w:val="20"/>
          <w:lang w:val="en-GB"/>
        </w:rPr>
        <w:t xml:space="preserve">was published on the parliament’s website only </w:t>
      </w:r>
      <w:r w:rsidRPr="00B7554F">
        <w:rPr>
          <w:sz w:val="20"/>
          <w:lang w:val="en-GB"/>
        </w:rPr>
        <w:t>a few weeks before</w:t>
      </w:r>
      <w:r w:rsidR="006A4095" w:rsidRPr="00B7554F">
        <w:rPr>
          <w:sz w:val="20"/>
          <w:lang w:val="en-GB"/>
        </w:rPr>
        <w:t xml:space="preserve"> its adoption and </w:t>
      </w:r>
      <w:r w:rsidR="006A4095" w:rsidRPr="00B7554F">
        <w:rPr>
          <w:sz w:val="20"/>
          <w:szCs w:val="20"/>
          <w:lang w:val="en-GB"/>
        </w:rPr>
        <w:t>that the proposal was accompanied by a one-and-a-half page justification only.</w:t>
      </w:r>
      <w:r w:rsidR="006A4095" w:rsidRPr="00B7554F">
        <w:rPr>
          <w:rStyle w:val="FootnoteReference"/>
          <w:sz w:val="20"/>
          <w:szCs w:val="20"/>
          <w:lang w:val="en-GB"/>
        </w:rPr>
        <w:footnoteReference w:id="144"/>
      </w:r>
    </w:p>
    <w:p w14:paraId="6885D242" w14:textId="37E65EC6" w:rsidR="00FD05E5" w:rsidRPr="00B7554F" w:rsidRDefault="006A4095" w:rsidP="006A4095">
      <w:pPr>
        <w:pStyle w:val="SingleTxtG"/>
        <w:numPr>
          <w:ilvl w:val="0"/>
          <w:numId w:val="3"/>
        </w:numPr>
        <w:tabs>
          <w:tab w:val="num" w:pos="1134"/>
        </w:tabs>
        <w:ind w:left="1100" w:right="0" w:firstLine="0"/>
        <w:rPr>
          <w:sz w:val="20"/>
          <w:lang w:val="en-US"/>
        </w:rPr>
      </w:pPr>
      <w:r w:rsidRPr="00B7554F">
        <w:rPr>
          <w:sz w:val="20"/>
          <w:lang w:val="en-GB"/>
        </w:rPr>
        <w:t xml:space="preserve"> The communicants contend that</w:t>
      </w:r>
      <w:r w:rsidR="00FD05E5" w:rsidRPr="00B7554F">
        <w:rPr>
          <w:sz w:val="20"/>
          <w:lang w:val="en-GB"/>
        </w:rPr>
        <w:t xml:space="preserve"> only after the </w:t>
      </w:r>
      <w:r w:rsidRPr="00B7554F">
        <w:rPr>
          <w:sz w:val="20"/>
          <w:szCs w:val="20"/>
          <w:lang w:val="en-GB"/>
        </w:rPr>
        <w:t>R</w:t>
      </w:r>
      <w:r w:rsidR="00FD05E5" w:rsidRPr="00B7554F">
        <w:rPr>
          <w:sz w:val="20"/>
          <w:szCs w:val="20"/>
          <w:lang w:val="en-GB"/>
        </w:rPr>
        <w:t>esolution’s adoption</w:t>
      </w:r>
      <w:r w:rsidR="00FD05E5" w:rsidRPr="00B7554F">
        <w:rPr>
          <w:sz w:val="20"/>
          <w:lang w:val="en-GB"/>
        </w:rPr>
        <w:t xml:space="preserve"> did it become clear that </w:t>
      </w:r>
      <w:r w:rsidRPr="00B7554F">
        <w:rPr>
          <w:sz w:val="20"/>
          <w:lang w:val="en-GB"/>
        </w:rPr>
        <w:t xml:space="preserve">it </w:t>
      </w:r>
      <w:r w:rsidR="00FD05E5" w:rsidRPr="00B7554F">
        <w:rPr>
          <w:sz w:val="20"/>
          <w:lang w:val="en-GB"/>
        </w:rPr>
        <w:t>was based on  documents produced in the framework of the Teller</w:t>
      </w:r>
      <w:r w:rsidR="00FD05E5" w:rsidRPr="00B7554F">
        <w:rPr>
          <w:sz w:val="20"/>
          <w:szCs w:val="20"/>
          <w:lang w:val="en-GB"/>
        </w:rPr>
        <w:t xml:space="preserve"> Project.</w:t>
      </w:r>
      <w:r w:rsidR="00FD05E5" w:rsidRPr="00B7554F">
        <w:rPr>
          <w:rStyle w:val="FootnoteReference"/>
          <w:sz w:val="20"/>
          <w:szCs w:val="20"/>
          <w:lang w:val="en-GB"/>
        </w:rPr>
        <w:footnoteReference w:id="145"/>
      </w:r>
      <w:r w:rsidR="00FD05E5" w:rsidRPr="00B7554F">
        <w:rPr>
          <w:sz w:val="20"/>
          <w:szCs w:val="20"/>
          <w:lang w:val="en-GB"/>
        </w:rPr>
        <w:t xml:space="preserve"> Because</w:t>
      </w:r>
      <w:r w:rsidR="00FD05E5" w:rsidRPr="00B7554F">
        <w:rPr>
          <w:sz w:val="20"/>
          <w:lang w:val="en-GB"/>
        </w:rPr>
        <w:t xml:space="preserve"> this information was only disclosed after Energiaklub’s </w:t>
      </w:r>
      <w:r w:rsidR="00FD05E5" w:rsidRPr="00B7554F">
        <w:rPr>
          <w:sz w:val="20"/>
          <w:szCs w:val="20"/>
          <w:lang w:val="en-GB"/>
        </w:rPr>
        <w:t xml:space="preserve">long litigation, the </w:t>
      </w:r>
      <w:r w:rsidR="00FD05E5" w:rsidRPr="00B7554F">
        <w:rPr>
          <w:sz w:val="20"/>
          <w:lang w:val="en-GB"/>
        </w:rPr>
        <w:t>public had no opportunity to</w:t>
      </w:r>
      <w:r w:rsidRPr="00B7554F">
        <w:rPr>
          <w:sz w:val="20"/>
          <w:lang w:val="en-GB"/>
        </w:rPr>
        <w:t xml:space="preserve"> effectively</w:t>
      </w:r>
      <w:r w:rsidR="00FD05E5" w:rsidRPr="00B7554F">
        <w:rPr>
          <w:sz w:val="20"/>
          <w:lang w:val="en-GB"/>
        </w:rPr>
        <w:t xml:space="preserve"> participate in the preparation of the Resolution</w:t>
      </w:r>
      <w:r w:rsidR="00FD05E5" w:rsidRPr="00B7554F">
        <w:rPr>
          <w:sz w:val="20"/>
          <w:szCs w:val="20"/>
          <w:lang w:val="en-GB"/>
        </w:rPr>
        <w:t>.</w:t>
      </w:r>
      <w:r w:rsidR="00FD05E5" w:rsidRPr="00B7554F">
        <w:rPr>
          <w:rStyle w:val="FootnoteReference"/>
          <w:sz w:val="20"/>
          <w:lang w:val="en-GB"/>
        </w:rPr>
        <w:footnoteReference w:id="146"/>
      </w:r>
    </w:p>
    <w:p w14:paraId="628695D2" w14:textId="6EADC91A" w:rsidR="00FD05E5" w:rsidRPr="00B7554F" w:rsidRDefault="00FD05E5" w:rsidP="00FD05E5">
      <w:pPr>
        <w:pStyle w:val="SingleTxtG"/>
        <w:numPr>
          <w:ilvl w:val="0"/>
          <w:numId w:val="3"/>
        </w:numPr>
        <w:tabs>
          <w:tab w:val="num" w:pos="1134"/>
        </w:tabs>
        <w:ind w:left="1100" w:right="0" w:firstLine="0"/>
        <w:rPr>
          <w:sz w:val="20"/>
          <w:szCs w:val="20"/>
          <w:lang w:val="en-GB"/>
        </w:rPr>
      </w:pPr>
      <w:r w:rsidRPr="00B7554F">
        <w:rPr>
          <w:sz w:val="20"/>
          <w:szCs w:val="20"/>
          <w:lang w:val="en-GB"/>
        </w:rPr>
        <w:lastRenderedPageBreak/>
        <w:t xml:space="preserve">The Party concerned submits </w:t>
      </w:r>
      <w:r w:rsidR="006A4095" w:rsidRPr="00B7554F">
        <w:rPr>
          <w:sz w:val="20"/>
          <w:szCs w:val="20"/>
          <w:lang w:val="en-GB"/>
        </w:rPr>
        <w:t xml:space="preserve">that </w:t>
      </w:r>
      <w:r w:rsidRPr="00B7554F">
        <w:rPr>
          <w:sz w:val="20"/>
          <w:szCs w:val="20"/>
          <w:lang w:val="en-GB"/>
        </w:rPr>
        <w:t xml:space="preserve">the proposal for Resolution </w:t>
      </w:r>
      <w:r w:rsidR="006A4095" w:rsidRPr="00B7554F">
        <w:rPr>
          <w:sz w:val="20"/>
          <w:szCs w:val="20"/>
          <w:lang w:val="en-GB"/>
        </w:rPr>
        <w:t xml:space="preserve">25/2009 </w:t>
      </w:r>
      <w:r w:rsidRPr="00B7554F">
        <w:rPr>
          <w:sz w:val="20"/>
          <w:szCs w:val="20"/>
          <w:lang w:val="en-US"/>
        </w:rPr>
        <w:t xml:space="preserve">was </w:t>
      </w:r>
      <w:r w:rsidRPr="00B7554F">
        <w:rPr>
          <w:sz w:val="20"/>
          <w:szCs w:val="20"/>
          <w:lang w:val="en-GB"/>
        </w:rPr>
        <w:t xml:space="preserve">published on the parliament’s website and </w:t>
      </w:r>
      <w:r w:rsidRPr="00B7554F">
        <w:rPr>
          <w:sz w:val="20"/>
          <w:szCs w:val="20"/>
          <w:lang w:val="en-US"/>
        </w:rPr>
        <w:t>disc</w:t>
      </w:r>
      <w:r w:rsidRPr="00B7554F">
        <w:rPr>
          <w:sz w:val="20"/>
          <w:szCs w:val="20"/>
          <w:lang w:val="en-GB"/>
        </w:rPr>
        <w:t>ussed by parliamentary committees, some of which included the participation of interested stakeholders.</w:t>
      </w:r>
      <w:r w:rsidRPr="00B7554F">
        <w:rPr>
          <w:rStyle w:val="FootnoteReference"/>
          <w:sz w:val="20"/>
          <w:szCs w:val="20"/>
          <w:lang w:val="en-GB"/>
        </w:rPr>
        <w:footnoteReference w:id="147"/>
      </w:r>
      <w:r w:rsidRPr="00B7554F">
        <w:rPr>
          <w:sz w:val="20"/>
          <w:szCs w:val="20"/>
          <w:lang w:val="en-GB"/>
        </w:rPr>
        <w:t xml:space="preserve"> </w:t>
      </w:r>
    </w:p>
    <w:p w14:paraId="1B65AB7D" w14:textId="15574760" w:rsidR="007B0F77" w:rsidRPr="00B7554F" w:rsidRDefault="007B0F77" w:rsidP="00830B39">
      <w:pPr>
        <w:pStyle w:val="SingleTxtG"/>
        <w:ind w:left="1100" w:right="0"/>
        <w:rPr>
          <w:i/>
          <w:iCs/>
          <w:sz w:val="20"/>
          <w:lang w:val="en-US"/>
        </w:rPr>
      </w:pPr>
      <w:r w:rsidRPr="00B7554F">
        <w:rPr>
          <w:i/>
          <w:iCs/>
          <w:sz w:val="20"/>
          <w:lang w:val="en-US"/>
        </w:rPr>
        <w:t>Resolution</w:t>
      </w:r>
      <w:r w:rsidR="00F46D27" w:rsidRPr="00B7554F">
        <w:rPr>
          <w:i/>
          <w:iCs/>
          <w:sz w:val="20"/>
          <w:lang w:val="en-US"/>
        </w:rPr>
        <w:t xml:space="preserve"> 77/2011</w:t>
      </w:r>
    </w:p>
    <w:p w14:paraId="267089FE" w14:textId="01FD76DF" w:rsidR="00381FC9" w:rsidRPr="00B7554F" w:rsidRDefault="00146447" w:rsidP="00267730">
      <w:pPr>
        <w:pStyle w:val="SingleTxtG"/>
        <w:numPr>
          <w:ilvl w:val="0"/>
          <w:numId w:val="3"/>
        </w:numPr>
        <w:tabs>
          <w:tab w:val="num" w:pos="1134"/>
        </w:tabs>
        <w:ind w:left="1100" w:right="0" w:firstLine="0"/>
        <w:rPr>
          <w:sz w:val="20"/>
          <w:szCs w:val="20"/>
          <w:lang w:val="en-GB"/>
        </w:rPr>
      </w:pPr>
      <w:r w:rsidRPr="00B7554F">
        <w:rPr>
          <w:sz w:val="20"/>
          <w:szCs w:val="20"/>
          <w:lang w:val="en-GB"/>
        </w:rPr>
        <w:t>The</w:t>
      </w:r>
      <w:r w:rsidR="000E746D" w:rsidRPr="00B7554F">
        <w:rPr>
          <w:sz w:val="20"/>
          <w:szCs w:val="20"/>
          <w:lang w:val="en-GB"/>
        </w:rPr>
        <w:t xml:space="preserve"> communicant </w:t>
      </w:r>
      <w:r w:rsidR="00F46D27" w:rsidRPr="00B7554F">
        <w:rPr>
          <w:sz w:val="20"/>
          <w:szCs w:val="20"/>
          <w:lang w:val="en-GB"/>
        </w:rPr>
        <w:t>claims</w:t>
      </w:r>
      <w:r w:rsidR="000E746D" w:rsidRPr="00B7554F">
        <w:rPr>
          <w:sz w:val="20"/>
          <w:szCs w:val="20"/>
          <w:lang w:val="en-GB"/>
        </w:rPr>
        <w:t xml:space="preserve"> that </w:t>
      </w:r>
      <w:r w:rsidR="00F46D27" w:rsidRPr="00B7554F">
        <w:rPr>
          <w:sz w:val="20"/>
          <w:szCs w:val="20"/>
          <w:lang w:val="en-GB"/>
        </w:rPr>
        <w:t xml:space="preserve">the </w:t>
      </w:r>
      <w:r w:rsidR="000E746D" w:rsidRPr="00B7554F">
        <w:rPr>
          <w:sz w:val="20"/>
          <w:szCs w:val="20"/>
          <w:lang w:val="en-GB"/>
        </w:rPr>
        <w:t xml:space="preserve">public participation </w:t>
      </w:r>
      <w:r w:rsidRPr="00B7554F">
        <w:rPr>
          <w:sz w:val="20"/>
          <w:szCs w:val="20"/>
          <w:lang w:val="en-GB"/>
        </w:rPr>
        <w:t>on</w:t>
      </w:r>
      <w:r w:rsidR="000E746D" w:rsidRPr="00B7554F">
        <w:rPr>
          <w:sz w:val="20"/>
          <w:szCs w:val="20"/>
          <w:lang w:val="en-GB"/>
        </w:rPr>
        <w:t xml:space="preserve"> Resolution </w:t>
      </w:r>
      <w:r w:rsidR="00F46D27" w:rsidRPr="00B7554F">
        <w:rPr>
          <w:sz w:val="20"/>
          <w:szCs w:val="20"/>
          <w:lang w:val="en-GB"/>
        </w:rPr>
        <w:t xml:space="preserve">77/2011 </w:t>
      </w:r>
      <w:r w:rsidR="000E746D" w:rsidRPr="00B7554F">
        <w:rPr>
          <w:sz w:val="20"/>
          <w:szCs w:val="20"/>
          <w:lang w:val="en-GB"/>
        </w:rPr>
        <w:t xml:space="preserve">was </w:t>
      </w:r>
      <w:r w:rsidR="00F46D27" w:rsidRPr="00B7554F">
        <w:rPr>
          <w:sz w:val="20"/>
          <w:szCs w:val="20"/>
          <w:lang w:val="en-GB"/>
        </w:rPr>
        <w:t xml:space="preserve">also </w:t>
      </w:r>
      <w:r w:rsidR="000E746D" w:rsidRPr="00B7554F">
        <w:rPr>
          <w:sz w:val="20"/>
          <w:szCs w:val="20"/>
          <w:lang w:val="en-GB"/>
        </w:rPr>
        <w:t>flawed</w:t>
      </w:r>
      <w:r w:rsidRPr="00B7554F">
        <w:rPr>
          <w:sz w:val="20"/>
          <w:szCs w:val="20"/>
          <w:lang w:val="en-GB"/>
        </w:rPr>
        <w:t>.</w:t>
      </w:r>
      <w:r w:rsidR="000E746D" w:rsidRPr="00B7554F">
        <w:rPr>
          <w:rStyle w:val="FootnoteReference"/>
          <w:sz w:val="20"/>
          <w:lang w:val="en-GB"/>
        </w:rPr>
        <w:footnoteReference w:id="148"/>
      </w:r>
      <w:r w:rsidR="000E746D" w:rsidRPr="00B7554F">
        <w:rPr>
          <w:sz w:val="20"/>
          <w:lang w:val="en-GB"/>
        </w:rPr>
        <w:t xml:space="preserve"> </w:t>
      </w:r>
      <w:r w:rsidR="000E746D" w:rsidRPr="00B7554F">
        <w:rPr>
          <w:sz w:val="20"/>
          <w:szCs w:val="20"/>
          <w:lang w:val="en-GB"/>
        </w:rPr>
        <w:t xml:space="preserve"> </w:t>
      </w:r>
      <w:bookmarkStart w:id="73" w:name="_Ref499891292"/>
    </w:p>
    <w:bookmarkEnd w:id="73"/>
    <w:p w14:paraId="466A95DD" w14:textId="084DE91C" w:rsidR="00381FC9" w:rsidRPr="00B7554F" w:rsidRDefault="00146447" w:rsidP="00267730">
      <w:pPr>
        <w:pStyle w:val="SingleTxtG"/>
        <w:numPr>
          <w:ilvl w:val="0"/>
          <w:numId w:val="3"/>
        </w:numPr>
        <w:tabs>
          <w:tab w:val="num" w:pos="1134"/>
        </w:tabs>
        <w:ind w:left="1100" w:right="0" w:firstLine="0"/>
        <w:rPr>
          <w:sz w:val="20"/>
          <w:lang w:val="en-GB"/>
        </w:rPr>
      </w:pPr>
      <w:r w:rsidRPr="00B7554F">
        <w:rPr>
          <w:sz w:val="20"/>
          <w:szCs w:val="20"/>
          <w:lang w:val="en-GB"/>
        </w:rPr>
        <w:t>The</w:t>
      </w:r>
      <w:r w:rsidR="000E746D" w:rsidRPr="00B7554F">
        <w:rPr>
          <w:sz w:val="20"/>
          <w:szCs w:val="20"/>
          <w:lang w:val="en-GB"/>
        </w:rPr>
        <w:t xml:space="preserve"> Party concerned </w:t>
      </w:r>
      <w:r w:rsidR="00F46D27" w:rsidRPr="00B7554F">
        <w:rPr>
          <w:sz w:val="20"/>
          <w:szCs w:val="20"/>
          <w:lang w:val="en-GB"/>
        </w:rPr>
        <w:t>refutes the communicants’ claims regarding Resolution 77/2011 and states that a full SEA with public participation was carried out</w:t>
      </w:r>
      <w:r w:rsidR="006717BB" w:rsidRPr="00B7554F">
        <w:rPr>
          <w:sz w:val="20"/>
          <w:szCs w:val="20"/>
          <w:lang w:val="en-GB"/>
        </w:rPr>
        <w:t>.</w:t>
      </w:r>
      <w:r w:rsidR="006717BB" w:rsidRPr="00B7554F">
        <w:rPr>
          <w:rStyle w:val="FootnoteReference"/>
          <w:sz w:val="20"/>
          <w:lang w:val="en-GB"/>
        </w:rPr>
        <w:footnoteReference w:id="149"/>
      </w:r>
      <w:r w:rsidR="006717BB" w:rsidRPr="00B7554F">
        <w:rPr>
          <w:sz w:val="20"/>
          <w:lang w:val="en-GB"/>
        </w:rPr>
        <w:t xml:space="preserve"> </w:t>
      </w:r>
    </w:p>
    <w:p w14:paraId="6FD20E7D" w14:textId="48FA6C62" w:rsidR="00E75D1A" w:rsidRDefault="00E75D1A" w:rsidP="00014337">
      <w:pPr>
        <w:ind w:left="1134"/>
        <w:rPr>
          <w:b/>
          <w:sz w:val="20"/>
          <w:lang w:val="en-GB"/>
        </w:rPr>
      </w:pPr>
    </w:p>
    <w:p w14:paraId="4A1CD03B" w14:textId="77777777" w:rsidR="003E0298" w:rsidRPr="00B7554F" w:rsidRDefault="003E0298" w:rsidP="00014337">
      <w:pPr>
        <w:ind w:left="1134"/>
        <w:rPr>
          <w:b/>
          <w:sz w:val="20"/>
          <w:lang w:val="en-GB"/>
        </w:rPr>
      </w:pPr>
    </w:p>
    <w:p w14:paraId="6882BAD6" w14:textId="77777777" w:rsidR="00E75D1A" w:rsidRPr="00B7554F" w:rsidRDefault="00E75D1A" w:rsidP="00014337">
      <w:pPr>
        <w:pStyle w:val="SingleTxtG"/>
        <w:tabs>
          <w:tab w:val="num" w:pos="1134"/>
        </w:tabs>
        <w:autoSpaceDE w:val="0"/>
        <w:autoSpaceDN w:val="0"/>
        <w:adjustRightInd w:val="0"/>
        <w:ind w:right="0"/>
        <w:rPr>
          <w:sz w:val="28"/>
          <w:lang w:val="en-GB"/>
        </w:rPr>
      </w:pPr>
      <w:r w:rsidRPr="00B7554F">
        <w:rPr>
          <w:b/>
          <w:sz w:val="28"/>
          <w:lang w:val="en-GB"/>
        </w:rPr>
        <w:t>III.</w:t>
      </w:r>
      <w:r w:rsidRPr="00B7554F">
        <w:rPr>
          <w:b/>
          <w:sz w:val="28"/>
          <w:lang w:val="en-GB"/>
        </w:rPr>
        <w:tab/>
        <w:t>Consideration and evaluation by the Committee</w:t>
      </w:r>
    </w:p>
    <w:p w14:paraId="7A468406" w14:textId="77777777" w:rsidR="00381FC9" w:rsidRPr="00B7554F" w:rsidRDefault="00381FC9" w:rsidP="00381FC9">
      <w:pPr>
        <w:pStyle w:val="SingleTxtG"/>
        <w:ind w:right="0"/>
        <w:rPr>
          <w:sz w:val="20"/>
          <w:szCs w:val="20"/>
          <w:lang w:val="en-GB"/>
        </w:rPr>
      </w:pPr>
    </w:p>
    <w:p w14:paraId="7E43C3AD" w14:textId="77777777" w:rsidR="00381FC9" w:rsidRPr="00B7554F" w:rsidRDefault="00381FC9" w:rsidP="00014337">
      <w:pPr>
        <w:pStyle w:val="SingleTxtG"/>
        <w:numPr>
          <w:ilvl w:val="0"/>
          <w:numId w:val="3"/>
        </w:numPr>
        <w:tabs>
          <w:tab w:val="num" w:pos="1134"/>
        </w:tabs>
        <w:ind w:left="1100" w:right="0" w:firstLine="0"/>
        <w:rPr>
          <w:sz w:val="20"/>
          <w:lang w:val="en-GB"/>
        </w:rPr>
      </w:pPr>
      <w:r w:rsidRPr="00B7554F">
        <w:rPr>
          <w:sz w:val="20"/>
          <w:lang w:val="en-GB"/>
        </w:rPr>
        <w:t>Hungary ratified</w:t>
      </w:r>
      <w:r w:rsidR="009A15EB" w:rsidRPr="00B7554F">
        <w:rPr>
          <w:sz w:val="20"/>
          <w:lang w:val="en-GB"/>
        </w:rPr>
        <w:t xml:space="preserve"> the Convention on 3 July 2001. The Convention entered into force for Hungary on 30 October 2001, the date of the Convention’s general entry into force.</w:t>
      </w:r>
      <w:r w:rsidRPr="00B7554F">
        <w:rPr>
          <w:sz w:val="20"/>
          <w:szCs w:val="20"/>
          <w:lang w:val="en-GB"/>
        </w:rPr>
        <w:t xml:space="preserve"> </w:t>
      </w:r>
    </w:p>
    <w:p w14:paraId="12452027" w14:textId="77777777" w:rsidR="008A0053" w:rsidRDefault="008A0053" w:rsidP="008B2B11">
      <w:pPr>
        <w:pStyle w:val="SingleTxtG"/>
        <w:ind w:left="1100" w:right="0"/>
        <w:rPr>
          <w:b/>
          <w:sz w:val="20"/>
          <w:szCs w:val="20"/>
          <w:lang w:val="en-GB"/>
        </w:rPr>
      </w:pPr>
    </w:p>
    <w:p w14:paraId="1801DD2B" w14:textId="2DAAF350" w:rsidR="008B2B11" w:rsidRPr="00B7554F" w:rsidRDefault="008B2B11" w:rsidP="008B2B11">
      <w:pPr>
        <w:pStyle w:val="SingleTxtG"/>
        <w:ind w:left="1100" w:right="0"/>
        <w:rPr>
          <w:b/>
          <w:sz w:val="20"/>
          <w:szCs w:val="20"/>
          <w:lang w:val="en-GB"/>
        </w:rPr>
      </w:pPr>
      <w:r w:rsidRPr="00B7554F">
        <w:rPr>
          <w:b/>
          <w:sz w:val="20"/>
          <w:szCs w:val="20"/>
          <w:lang w:val="en-GB"/>
        </w:rPr>
        <w:t xml:space="preserve">Admissibility </w:t>
      </w:r>
    </w:p>
    <w:p w14:paraId="1A8E8122" w14:textId="70627E69" w:rsidR="008B2B11" w:rsidRPr="00B7554F" w:rsidRDefault="008B2B11" w:rsidP="007669C4">
      <w:pPr>
        <w:pStyle w:val="SingleTxtG"/>
        <w:numPr>
          <w:ilvl w:val="0"/>
          <w:numId w:val="3"/>
        </w:numPr>
        <w:tabs>
          <w:tab w:val="num" w:pos="1134"/>
        </w:tabs>
        <w:ind w:left="1100" w:right="0" w:firstLine="0"/>
        <w:rPr>
          <w:sz w:val="20"/>
          <w:lang w:val="en-GB"/>
        </w:rPr>
      </w:pPr>
      <w:r w:rsidRPr="00B7554F">
        <w:rPr>
          <w:sz w:val="20"/>
          <w:szCs w:val="20"/>
          <w:lang w:val="en-GB"/>
        </w:rPr>
        <w:t>With respect to their allegations under article 4, the</w:t>
      </w:r>
      <w:r w:rsidRPr="00B7554F">
        <w:rPr>
          <w:sz w:val="20"/>
          <w:lang w:val="en-GB"/>
        </w:rPr>
        <w:t xml:space="preserve"> communicants used domestic remedies regarding their information requests to MVM and Paks Ltd. but </w:t>
      </w:r>
      <w:r w:rsidRPr="00B7554F">
        <w:rPr>
          <w:sz w:val="20"/>
          <w:szCs w:val="20"/>
          <w:lang w:val="en-GB"/>
        </w:rPr>
        <w:t xml:space="preserve">not regarding </w:t>
      </w:r>
      <w:r w:rsidRPr="00B7554F">
        <w:rPr>
          <w:sz w:val="20"/>
          <w:lang w:val="en-GB"/>
        </w:rPr>
        <w:t>the Council. As regards their allegations under article 7, the communicants sought recourse with the Ombudsman for Future Generations and explained that further domestic remedies with respect to these claims do not exist, none of which has been rebutted with supporting arguments by the Party concerned.</w:t>
      </w:r>
    </w:p>
    <w:p w14:paraId="67FCA5E7" w14:textId="77777777"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In the light of the above, the Committee finds the communication to be admissible, save for the allegations concerning the information requests regarding the Council, which is inadmissible under paragraphs 20 (d) and 21 of the annex to decision I/7 for a failure to exhaust available domestic remedies.</w:t>
      </w:r>
    </w:p>
    <w:p w14:paraId="1A51758A" w14:textId="77777777" w:rsidR="008A0053" w:rsidRDefault="008A0053" w:rsidP="008B2B11">
      <w:pPr>
        <w:pStyle w:val="SingleTxtG"/>
        <w:ind w:left="1100" w:right="0"/>
        <w:rPr>
          <w:b/>
          <w:bCs/>
          <w:sz w:val="20"/>
          <w:szCs w:val="20"/>
          <w:lang w:val="en-GB"/>
        </w:rPr>
      </w:pPr>
    </w:p>
    <w:p w14:paraId="627583BB" w14:textId="226F13A5" w:rsidR="008B2B11" w:rsidRPr="00B7554F" w:rsidRDefault="008B2B11" w:rsidP="008B2B11">
      <w:pPr>
        <w:pStyle w:val="SingleTxtG"/>
        <w:ind w:left="1100" w:right="0"/>
        <w:rPr>
          <w:b/>
          <w:bCs/>
          <w:sz w:val="20"/>
          <w:szCs w:val="20"/>
          <w:lang w:val="en-GB"/>
        </w:rPr>
      </w:pPr>
      <w:r w:rsidRPr="00B7554F">
        <w:rPr>
          <w:b/>
          <w:bCs/>
          <w:sz w:val="20"/>
          <w:szCs w:val="20"/>
          <w:lang w:val="en-GB"/>
        </w:rPr>
        <w:t>Scope of the Committee’s considerations</w:t>
      </w:r>
    </w:p>
    <w:p w14:paraId="514B7D97" w14:textId="1491D764" w:rsidR="008B2B11" w:rsidRPr="004B0706" w:rsidRDefault="008B2B11" w:rsidP="004B0706">
      <w:pPr>
        <w:pStyle w:val="SingleTxtG"/>
        <w:numPr>
          <w:ilvl w:val="0"/>
          <w:numId w:val="3"/>
        </w:numPr>
        <w:tabs>
          <w:tab w:val="num" w:pos="1134"/>
        </w:tabs>
        <w:ind w:left="1100" w:right="0" w:firstLine="0"/>
        <w:rPr>
          <w:sz w:val="20"/>
          <w:lang w:val="en-GB"/>
        </w:rPr>
      </w:pPr>
      <w:r w:rsidRPr="004B0706">
        <w:rPr>
          <w:sz w:val="20"/>
          <w:lang w:val="en-GB"/>
        </w:rPr>
        <w:t>The Committee will not examine the decision-making on the 2011 Resolution, since the communicant</w:t>
      </w:r>
      <w:r w:rsidR="00E87211" w:rsidRPr="004B0706">
        <w:rPr>
          <w:sz w:val="20"/>
          <w:lang w:val="en-GB"/>
        </w:rPr>
        <w:t>s</w:t>
      </w:r>
      <w:r w:rsidRPr="004B0706">
        <w:rPr>
          <w:sz w:val="20"/>
          <w:lang w:val="en-GB"/>
        </w:rPr>
        <w:t xml:space="preserve"> do not allege breaches of the Convention with respect to the 2011 Resolution in the communication, but only in their subsequent correspondence to the Committee. </w:t>
      </w:r>
    </w:p>
    <w:p w14:paraId="036AA790" w14:textId="77777777" w:rsidR="008A0053" w:rsidRDefault="008A0053" w:rsidP="008B2B11">
      <w:pPr>
        <w:pStyle w:val="SingleTxtG"/>
        <w:autoSpaceDE w:val="0"/>
        <w:autoSpaceDN w:val="0"/>
        <w:adjustRightInd w:val="0"/>
        <w:ind w:left="1100" w:right="0"/>
        <w:rPr>
          <w:b/>
          <w:sz w:val="20"/>
          <w:lang w:val="en-GB"/>
        </w:rPr>
      </w:pPr>
    </w:p>
    <w:p w14:paraId="581DEFD5" w14:textId="4216E562" w:rsidR="008B2B11" w:rsidRPr="00B7554F" w:rsidRDefault="008B2B11" w:rsidP="008B2B11">
      <w:pPr>
        <w:pStyle w:val="SingleTxtG"/>
        <w:autoSpaceDE w:val="0"/>
        <w:autoSpaceDN w:val="0"/>
        <w:adjustRightInd w:val="0"/>
        <w:ind w:left="1100" w:right="0"/>
        <w:rPr>
          <w:b/>
          <w:sz w:val="20"/>
          <w:lang w:val="en-GB"/>
        </w:rPr>
      </w:pPr>
      <w:r w:rsidRPr="00B7554F">
        <w:rPr>
          <w:b/>
          <w:sz w:val="20"/>
          <w:lang w:val="en-GB"/>
        </w:rPr>
        <w:t xml:space="preserve">Article 4(1) </w:t>
      </w:r>
    </w:p>
    <w:p w14:paraId="0F86A063" w14:textId="0D986C19"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In their communication, the communicants refer to various requests that they made to Paks Ltd and MVM for environmental information regarding the Teller and Levai projects. Of these requests, the Committee focuses on those for which the communicants have demonstrated that they used domestic remedies, namely the requests of 22 June and 11 August 2010 to Paks Ltd seeking information on the Teller project and the request of 18 January 2011 to MVM seeking information on the Levai project.</w:t>
      </w:r>
    </w:p>
    <w:p w14:paraId="3AC3BFEB" w14:textId="77777777"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 xml:space="preserve">Article 4 applies to requests for “environmental information”, as defined in article 2(3) of the Convention, held by a “public authority”, as set out in article 2(2) of the </w:t>
      </w:r>
      <w:r w:rsidRPr="00B7554F">
        <w:rPr>
          <w:sz w:val="20"/>
          <w:lang w:val="en-GB"/>
        </w:rPr>
        <w:lastRenderedPageBreak/>
        <w:t xml:space="preserve">Convention. The Committee thus examines below whether article 2(2) and article 2(3) apply to the communicants’ 22 June and 11 August 2010 information requests to Paks Ltd and their 18 January 2011 request to MVM. </w:t>
      </w:r>
    </w:p>
    <w:p w14:paraId="501A8FDA" w14:textId="77777777" w:rsidR="003E0298" w:rsidRDefault="003E0298" w:rsidP="008B2B11">
      <w:pPr>
        <w:pStyle w:val="SingleTxtG"/>
        <w:ind w:left="1100" w:right="0"/>
        <w:rPr>
          <w:i/>
          <w:iCs/>
          <w:sz w:val="20"/>
          <w:lang w:val="en-GB"/>
        </w:rPr>
      </w:pPr>
    </w:p>
    <w:p w14:paraId="02A67EEE" w14:textId="4E6D3F19" w:rsidR="008B2B11" w:rsidRPr="00B7554F" w:rsidRDefault="008B2B11" w:rsidP="008B2B11">
      <w:pPr>
        <w:pStyle w:val="SingleTxtG"/>
        <w:ind w:left="1100" w:right="0"/>
        <w:rPr>
          <w:i/>
          <w:iCs/>
          <w:sz w:val="20"/>
          <w:lang w:val="en-GB"/>
        </w:rPr>
      </w:pPr>
      <w:r w:rsidRPr="00B7554F">
        <w:rPr>
          <w:i/>
          <w:iCs/>
          <w:sz w:val="20"/>
          <w:lang w:val="en-GB"/>
        </w:rPr>
        <w:t>Article 2(2) – public authority</w:t>
      </w:r>
    </w:p>
    <w:p w14:paraId="29F0CFA4" w14:textId="052D4970" w:rsidR="008B2B11" w:rsidRPr="00E87211" w:rsidRDefault="008B2B11" w:rsidP="00E87211">
      <w:pPr>
        <w:pStyle w:val="SingleTxtG"/>
        <w:numPr>
          <w:ilvl w:val="0"/>
          <w:numId w:val="3"/>
        </w:numPr>
        <w:tabs>
          <w:tab w:val="num" w:pos="1134"/>
        </w:tabs>
        <w:ind w:left="1100" w:right="0" w:firstLine="0"/>
        <w:rPr>
          <w:sz w:val="20"/>
          <w:lang w:val="en-GB"/>
        </w:rPr>
      </w:pPr>
      <w:r w:rsidRPr="00E87211">
        <w:rPr>
          <w:sz w:val="20"/>
          <w:lang w:val="en-GB"/>
        </w:rPr>
        <w:t xml:space="preserve">The parties do not dispute that Paks Ltd. </w:t>
      </w:r>
      <w:r w:rsidRPr="008818E0">
        <w:rPr>
          <w:sz w:val="20"/>
          <w:szCs w:val="20"/>
          <w:lang w:val="en-GB"/>
        </w:rPr>
        <w:t>and MVM</w:t>
      </w:r>
      <w:r w:rsidRPr="00E87211">
        <w:rPr>
          <w:sz w:val="20"/>
          <w:lang w:val="en-GB"/>
        </w:rPr>
        <w:t xml:space="preserve"> are commercial companies. Accordingly, it is clear they do not fall within the definition of public authority under article 2(2)(a). Nor is there clear evidence before the Committee that Paks Ltd. and MVM are performing public administrative functions pursuant to national legislation. Accordingly, article 2(2)(b) is also inapplicable to these entities. </w:t>
      </w:r>
      <w:r w:rsidRPr="00E87211">
        <w:rPr>
          <w:sz w:val="20"/>
          <w:szCs w:val="20"/>
          <w:lang w:val="en-GB"/>
        </w:rPr>
        <w:t xml:space="preserve">The question thus arises if Paks Ltd. </w:t>
      </w:r>
      <w:r w:rsidR="006043D2">
        <w:rPr>
          <w:sz w:val="20"/>
          <w:szCs w:val="20"/>
          <w:lang w:val="en-GB"/>
        </w:rPr>
        <w:t>a</w:t>
      </w:r>
      <w:r w:rsidRPr="00E87211">
        <w:rPr>
          <w:sz w:val="20"/>
          <w:szCs w:val="20"/>
          <w:lang w:val="en-GB"/>
        </w:rPr>
        <w:t>nd MVM fall under article 2(2)(c)</w:t>
      </w:r>
      <w:r w:rsidRPr="00E87211">
        <w:rPr>
          <w:sz w:val="20"/>
          <w:shd w:val="clear" w:color="auto" w:fill="FFFFFF"/>
          <w:lang w:val="en-GB"/>
        </w:rPr>
        <w:t>.</w:t>
      </w:r>
    </w:p>
    <w:p w14:paraId="165A94A8" w14:textId="5EB849C6" w:rsidR="008B2B11" w:rsidRPr="00B7554F" w:rsidRDefault="008B2B11" w:rsidP="008B2B11">
      <w:pPr>
        <w:pStyle w:val="SingleTxtG"/>
        <w:ind w:right="0"/>
        <w:rPr>
          <w:iCs/>
          <w:sz w:val="20"/>
          <w:u w:val="single"/>
          <w:lang w:val="en-GB"/>
        </w:rPr>
      </w:pPr>
      <w:r w:rsidRPr="00B7554F">
        <w:rPr>
          <w:iCs/>
          <w:sz w:val="20"/>
          <w:u w:val="single"/>
          <w:lang w:val="en-GB"/>
        </w:rPr>
        <w:t>Public responsibilities or functions, or provide public services</w:t>
      </w:r>
    </w:p>
    <w:p w14:paraId="2C05AED9" w14:textId="77777777" w:rsidR="008B2B11" w:rsidRPr="00B7554F" w:rsidRDefault="008B2B11" w:rsidP="008B2B11">
      <w:pPr>
        <w:pStyle w:val="SingleTxtG"/>
        <w:numPr>
          <w:ilvl w:val="0"/>
          <w:numId w:val="3"/>
        </w:numPr>
        <w:tabs>
          <w:tab w:val="num" w:pos="1134"/>
        </w:tabs>
        <w:autoSpaceDE w:val="0"/>
        <w:autoSpaceDN w:val="0"/>
        <w:adjustRightInd w:val="0"/>
        <w:ind w:left="1100" w:right="0" w:firstLine="0"/>
        <w:rPr>
          <w:i/>
          <w:sz w:val="20"/>
          <w:lang w:val="en-GB"/>
        </w:rPr>
      </w:pPr>
      <w:bookmarkStart w:id="74" w:name="_Ref19631440"/>
      <w:r w:rsidRPr="00B7554F">
        <w:rPr>
          <w:sz w:val="20"/>
          <w:lang w:val="en-GB"/>
        </w:rPr>
        <w:t>The courts of the Party concerned have found that both Paks Ltd. and MVM perform public responsibilities or services. As these courts observed, the Paks NPP is the only NPP in Hungary and plays a significant role in electricity production.</w:t>
      </w:r>
      <w:r w:rsidRPr="00B7554F">
        <w:rPr>
          <w:rStyle w:val="FootnoteReference"/>
          <w:sz w:val="20"/>
          <w:lang w:val="en-GB"/>
        </w:rPr>
        <w:t xml:space="preserve"> </w:t>
      </w:r>
      <w:r w:rsidRPr="00B7554F">
        <w:rPr>
          <w:rStyle w:val="FootnoteReference"/>
          <w:sz w:val="20"/>
          <w:lang w:val="en-GB"/>
        </w:rPr>
        <w:footnoteReference w:id="150"/>
      </w:r>
      <w:r w:rsidRPr="00B7554F">
        <w:rPr>
          <w:sz w:val="20"/>
          <w:lang w:val="en-GB"/>
        </w:rPr>
        <w:t xml:space="preserve"> A court of the Party concerned further found that its conclusion that Paks Ltd. performed public duties was supported by the Atomic Act and “the provisions of the highly protected social interest [that] prevails in the peaceful uses of nuclear energy; the strict legal regime [that] governs the peaceful uses of nuclear energy; the system of governance and regulation and also the related responsibilities of the Government and the Parliament, the MVM Paks NPP Ltd. – through its role in electricity production.”</w:t>
      </w:r>
      <w:r w:rsidRPr="00B7554F">
        <w:rPr>
          <w:rStyle w:val="FootnoteReference"/>
          <w:sz w:val="20"/>
          <w:lang w:val="en-GB"/>
        </w:rPr>
        <w:footnoteReference w:id="151"/>
      </w:r>
      <w:r w:rsidRPr="00B7554F">
        <w:rPr>
          <w:sz w:val="20"/>
          <w:lang w:val="en-GB"/>
        </w:rPr>
        <w:t xml:space="preserve"> The Committee agrees that these characteristics demonstrate that Paks Ltd. and MVM indeed have public responsibilities or functions, or provide public services.</w:t>
      </w:r>
      <w:r w:rsidRPr="00B7554F">
        <w:rPr>
          <w:sz w:val="20"/>
          <w:szCs w:val="20"/>
          <w:lang w:val="en-GB"/>
        </w:rPr>
        <w:t xml:space="preserve"> </w:t>
      </w:r>
      <w:bookmarkEnd w:id="74"/>
    </w:p>
    <w:p w14:paraId="71118F0C" w14:textId="77777777" w:rsidR="008B2B11" w:rsidRPr="00B7554F" w:rsidRDefault="008B2B11" w:rsidP="008B2B11">
      <w:pPr>
        <w:pStyle w:val="SingleTxtG"/>
        <w:autoSpaceDE w:val="0"/>
        <w:autoSpaceDN w:val="0"/>
        <w:adjustRightInd w:val="0"/>
        <w:ind w:left="1100" w:right="0"/>
        <w:rPr>
          <w:iCs/>
          <w:sz w:val="20"/>
          <w:u w:val="single"/>
          <w:lang w:val="en-GB"/>
        </w:rPr>
      </w:pPr>
      <w:r w:rsidRPr="00B7554F">
        <w:rPr>
          <w:iCs/>
          <w:sz w:val="20"/>
          <w:u w:val="single"/>
          <w:lang w:val="en-GB"/>
        </w:rPr>
        <w:t>In relation to the environment</w:t>
      </w:r>
    </w:p>
    <w:p w14:paraId="49A9C5DB" w14:textId="77777777"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szCs w:val="20"/>
          <w:lang w:val="en-GB"/>
        </w:rPr>
        <w:t>The phrase</w:t>
      </w:r>
      <w:r w:rsidRPr="00B7554F">
        <w:rPr>
          <w:sz w:val="20"/>
          <w:lang w:val="en-GB"/>
        </w:rPr>
        <w:t xml:space="preserve"> “in relation to the environment</w:t>
      </w:r>
      <w:r w:rsidRPr="00B7554F">
        <w:rPr>
          <w:sz w:val="20"/>
          <w:szCs w:val="20"/>
          <w:lang w:val="en-GB"/>
        </w:rPr>
        <w:t>”</w:t>
      </w:r>
      <w:r w:rsidRPr="00B7554F">
        <w:rPr>
          <w:sz w:val="20"/>
          <w:lang w:val="en-GB"/>
        </w:rPr>
        <w:t xml:space="preserve"> should be interpreted in a manner consistent with the objectives of the Convention. As nuclear power stations are clearly an activity within the scope of the Convention (paragraph 1 of </w:t>
      </w:r>
      <w:r w:rsidRPr="00B7554F">
        <w:rPr>
          <w:sz w:val="20"/>
          <w:szCs w:val="20"/>
          <w:lang w:val="en-GB"/>
        </w:rPr>
        <w:t>annex</w:t>
      </w:r>
      <w:r w:rsidRPr="00B7554F">
        <w:rPr>
          <w:sz w:val="20"/>
          <w:lang w:val="en-GB"/>
        </w:rPr>
        <w:t xml:space="preserve"> I to the Convention), entities engaged in activities involving nuclear power stations, such as the construction of new reactors as in the present case, that are providing a public service, do so “in relation to the environment.” </w:t>
      </w:r>
    </w:p>
    <w:p w14:paraId="11183E33" w14:textId="77777777" w:rsidR="008B2B11" w:rsidRPr="00B7554F" w:rsidRDefault="008B2B11" w:rsidP="008B2B11">
      <w:pPr>
        <w:pStyle w:val="SingleTxtG"/>
        <w:ind w:right="0"/>
        <w:rPr>
          <w:iCs/>
          <w:sz w:val="20"/>
          <w:u w:val="single"/>
          <w:lang w:val="en-GB"/>
        </w:rPr>
      </w:pPr>
      <w:r w:rsidRPr="00B7554F">
        <w:rPr>
          <w:iCs/>
          <w:sz w:val="20"/>
          <w:u w:val="single"/>
          <w:lang w:val="en-GB"/>
        </w:rPr>
        <w:t>Under the control of a body or person falling within subparagraphs (a) or (b)</w:t>
      </w:r>
    </w:p>
    <w:p w14:paraId="6A16E39F" w14:textId="33620CED"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 xml:space="preserve">The Party concerned states that Paks Ltd. is a corporation fully owned by MVM Ltd, a corporation 99.91% of </w:t>
      </w:r>
      <w:r w:rsidRPr="00B7554F">
        <w:rPr>
          <w:sz w:val="20"/>
          <w:szCs w:val="20"/>
          <w:lang w:val="en-GB"/>
        </w:rPr>
        <w:t>whose</w:t>
      </w:r>
      <w:r w:rsidRPr="00B7554F">
        <w:rPr>
          <w:sz w:val="20"/>
          <w:lang w:val="en-GB"/>
        </w:rPr>
        <w:t xml:space="preserve"> shares </w:t>
      </w:r>
      <w:r w:rsidRPr="00B7554F">
        <w:rPr>
          <w:sz w:val="20"/>
          <w:szCs w:val="20"/>
          <w:lang w:val="en-GB"/>
        </w:rPr>
        <w:t>are</w:t>
      </w:r>
      <w:r w:rsidRPr="00B7554F">
        <w:rPr>
          <w:sz w:val="20"/>
          <w:lang w:val="en-GB"/>
        </w:rPr>
        <w:t xml:space="preserve"> held by MNV Ltd, a fully state-owned corporation.</w:t>
      </w:r>
      <w:r w:rsidRPr="00B7554F">
        <w:rPr>
          <w:rStyle w:val="FootnoteReference"/>
          <w:sz w:val="20"/>
          <w:lang w:val="en-GB"/>
        </w:rPr>
        <w:footnoteReference w:id="152"/>
      </w:r>
      <w:r w:rsidRPr="00B7554F">
        <w:rPr>
          <w:sz w:val="20"/>
          <w:szCs w:val="20"/>
          <w:lang w:val="en-GB"/>
        </w:rPr>
        <w:t xml:space="preserve"> </w:t>
      </w:r>
      <w:r w:rsidRPr="00B7554F">
        <w:rPr>
          <w:sz w:val="20"/>
          <w:lang w:val="en-GB"/>
        </w:rPr>
        <w:t>On this fact alone, it is clear that both MVM and Paks Ltd</w:t>
      </w:r>
      <w:r w:rsidRPr="00B7554F">
        <w:rPr>
          <w:sz w:val="20"/>
          <w:szCs w:val="20"/>
          <w:lang w:val="en-GB"/>
        </w:rPr>
        <w:t>.</w:t>
      </w:r>
      <w:r w:rsidRPr="00B7554F">
        <w:rPr>
          <w:sz w:val="20"/>
          <w:lang w:val="en-GB"/>
        </w:rPr>
        <w:t xml:space="preserve"> are under the control of a body falling within article 2(2)(a) of the Convention. </w:t>
      </w:r>
    </w:p>
    <w:p w14:paraId="0B273457" w14:textId="77777777" w:rsidR="008B2B11" w:rsidRPr="00B7554F" w:rsidRDefault="008B2B11" w:rsidP="008B2B11">
      <w:pPr>
        <w:pStyle w:val="SingleTxtG"/>
        <w:numPr>
          <w:ilvl w:val="0"/>
          <w:numId w:val="3"/>
        </w:numPr>
        <w:tabs>
          <w:tab w:val="num" w:pos="1134"/>
        </w:tabs>
        <w:ind w:left="1100" w:right="0" w:firstLine="0"/>
        <w:rPr>
          <w:sz w:val="20"/>
          <w:lang w:val="en-GB"/>
        </w:rPr>
      </w:pPr>
      <w:bookmarkStart w:id="75" w:name="_Ref72329599"/>
      <w:r w:rsidRPr="00B7554F">
        <w:rPr>
          <w:sz w:val="20"/>
          <w:lang w:val="en-GB"/>
        </w:rPr>
        <w:t>The Committee accordingly finds that Paks Ltd. and MVM are public authorities within the scope of article 2(2)(c)) and are therefore subject to the requirements of article 4 of the Convention.</w:t>
      </w:r>
      <w:bookmarkEnd w:id="75"/>
    </w:p>
    <w:p w14:paraId="3759AEF1" w14:textId="77777777" w:rsidR="00274C48" w:rsidRDefault="00274C48" w:rsidP="008B2B11">
      <w:pPr>
        <w:pStyle w:val="SingleTxtG"/>
        <w:ind w:left="1100" w:right="0"/>
        <w:rPr>
          <w:bCs/>
          <w:i/>
          <w:iCs/>
          <w:sz w:val="20"/>
          <w:lang w:val="en-GB"/>
        </w:rPr>
      </w:pPr>
    </w:p>
    <w:p w14:paraId="7A0F9E75" w14:textId="38809179" w:rsidR="008B2B11" w:rsidRPr="00B7554F" w:rsidRDefault="008B2B11" w:rsidP="008B2B11">
      <w:pPr>
        <w:pStyle w:val="SingleTxtG"/>
        <w:ind w:left="1100" w:right="0"/>
        <w:rPr>
          <w:bCs/>
          <w:i/>
          <w:iCs/>
          <w:sz w:val="20"/>
          <w:lang w:val="en-GB"/>
        </w:rPr>
      </w:pPr>
      <w:r w:rsidRPr="00B7554F">
        <w:rPr>
          <w:bCs/>
          <w:i/>
          <w:iCs/>
          <w:sz w:val="20"/>
          <w:lang w:val="en-GB"/>
        </w:rPr>
        <w:t>Article 2(3) – environmental information</w:t>
      </w:r>
    </w:p>
    <w:p w14:paraId="443ED8D4" w14:textId="77777777" w:rsidR="008B2B11" w:rsidRPr="00B7554F" w:rsidRDefault="008B2B11" w:rsidP="008B2B11">
      <w:pPr>
        <w:pStyle w:val="SingleTxtG"/>
        <w:numPr>
          <w:ilvl w:val="0"/>
          <w:numId w:val="3"/>
        </w:numPr>
        <w:tabs>
          <w:tab w:val="num" w:pos="1134"/>
        </w:tabs>
        <w:ind w:left="1100" w:right="0" w:firstLine="0"/>
        <w:rPr>
          <w:sz w:val="20"/>
          <w:lang w:val="en-GB"/>
        </w:rPr>
      </w:pPr>
      <w:bookmarkStart w:id="76" w:name="_Ref72329633"/>
      <w:bookmarkStart w:id="77" w:name="_Hlk523405601"/>
      <w:r w:rsidRPr="00B7554F">
        <w:rPr>
          <w:sz w:val="20"/>
          <w:lang w:val="en-GB"/>
        </w:rPr>
        <w:t xml:space="preserve">At this point, it is not necessary to examine in detail whether each </w:t>
      </w:r>
      <w:r w:rsidRPr="00B7554F">
        <w:rPr>
          <w:sz w:val="20"/>
          <w:szCs w:val="20"/>
          <w:lang w:val="en-GB"/>
        </w:rPr>
        <w:t>piece</w:t>
      </w:r>
      <w:r w:rsidRPr="00B7554F">
        <w:rPr>
          <w:sz w:val="20"/>
          <w:lang w:val="en-GB"/>
        </w:rPr>
        <w:t xml:space="preserve"> of information requested </w:t>
      </w:r>
      <w:r w:rsidRPr="00B7554F">
        <w:rPr>
          <w:sz w:val="20"/>
          <w:szCs w:val="20"/>
          <w:lang w:val="en-GB"/>
        </w:rPr>
        <w:t xml:space="preserve">is </w:t>
      </w:r>
      <w:r w:rsidRPr="00B7554F">
        <w:rPr>
          <w:sz w:val="20"/>
          <w:lang w:val="en-GB"/>
        </w:rPr>
        <w:t xml:space="preserve">“environmental information” </w:t>
      </w:r>
      <w:r w:rsidRPr="00B7554F">
        <w:rPr>
          <w:sz w:val="20"/>
          <w:szCs w:val="20"/>
          <w:lang w:val="en-GB"/>
        </w:rPr>
        <w:t>within the meaning of article 2(3)(b) of</w:t>
      </w:r>
      <w:r w:rsidRPr="00B7554F">
        <w:rPr>
          <w:sz w:val="20"/>
          <w:lang w:val="en-GB"/>
        </w:rPr>
        <w:t xml:space="preserve"> the Convention in order to establish the applicability of article 4 to Energiaklub’s information requests. Rather, it is sufficient if at least part of the requested information </w:t>
      </w:r>
      <w:r w:rsidRPr="00B7554F">
        <w:rPr>
          <w:sz w:val="20"/>
          <w:szCs w:val="20"/>
          <w:lang w:val="en-GB"/>
        </w:rPr>
        <w:t xml:space="preserve">falls </w:t>
      </w:r>
      <w:r w:rsidRPr="00B7554F">
        <w:rPr>
          <w:sz w:val="20"/>
          <w:szCs w:val="20"/>
          <w:lang w:val="en-GB"/>
        </w:rPr>
        <w:lastRenderedPageBreak/>
        <w:t>within this provision.</w:t>
      </w:r>
      <w:r w:rsidRPr="00B7554F">
        <w:rPr>
          <w:rStyle w:val="FootnoteReference"/>
          <w:sz w:val="20"/>
          <w:lang w:val="en-GB"/>
        </w:rPr>
        <w:footnoteReference w:id="153"/>
      </w:r>
      <w:r w:rsidRPr="00B7554F">
        <w:rPr>
          <w:sz w:val="20"/>
          <w:lang w:val="en-GB"/>
        </w:rPr>
        <w:t xml:space="preserve"> In this regard, the Committee notes that the studies and analyses requested by Energiaklub, such as the feasibility study, waste strategy, as well as the “preparation of specific chapters concerning new units of the environmental licensing documentation (with option)”</w:t>
      </w:r>
      <w:r w:rsidRPr="00B7554F">
        <w:rPr>
          <w:rStyle w:val="FootnoteReference"/>
          <w:lang w:val="en-GB"/>
        </w:rPr>
        <w:footnoteReference w:id="154"/>
      </w:r>
      <w:r w:rsidRPr="00B7554F">
        <w:rPr>
          <w:sz w:val="20"/>
          <w:lang w:val="en-GB"/>
        </w:rPr>
        <w:t xml:space="preserve"> may include information on “the state of elements of the environment, such as air and atmosphere, water, soil, land”, etc., under article 2(3)(a). Such information may also fall under article 2(3)(b) as cost-benefit and other economic analyses and assumptions used in environmental decision-making. Finally, such information can also concern “the state of human health and safety, conditions of human life... inasmuch as they are or may be affected by the state of the elements of the environment”. </w:t>
      </w:r>
    </w:p>
    <w:p w14:paraId="3A110D44" w14:textId="77777777" w:rsidR="008B2B11" w:rsidRPr="00B7554F" w:rsidRDefault="008B2B11" w:rsidP="008B2B11">
      <w:pPr>
        <w:pStyle w:val="SingleTxtG"/>
        <w:numPr>
          <w:ilvl w:val="0"/>
          <w:numId w:val="3"/>
        </w:numPr>
        <w:tabs>
          <w:tab w:val="num" w:pos="1134"/>
        </w:tabs>
        <w:ind w:left="1100" w:right="0" w:firstLine="0"/>
        <w:rPr>
          <w:sz w:val="20"/>
          <w:lang w:val="en-GB"/>
        </w:rPr>
      </w:pPr>
      <w:bookmarkStart w:id="78" w:name="_Ref74500975"/>
      <w:r w:rsidRPr="00B7554F">
        <w:rPr>
          <w:sz w:val="20"/>
          <w:lang w:val="en-GB"/>
        </w:rPr>
        <w:t>Accordingly, the Committee considers that at least some of the requested information was environmental information within the meaning of article 2(</w:t>
      </w:r>
      <w:r w:rsidRPr="00B7554F">
        <w:rPr>
          <w:sz w:val="20"/>
          <w:szCs w:val="20"/>
          <w:lang w:val="en-GB"/>
        </w:rPr>
        <w:t>3)(b) and thus subject to the requirements of article 4 of the Convention.</w:t>
      </w:r>
      <w:bookmarkEnd w:id="76"/>
      <w:bookmarkEnd w:id="78"/>
    </w:p>
    <w:bookmarkEnd w:id="77"/>
    <w:p w14:paraId="6E5B1C16" w14:textId="77777777" w:rsidR="003E0298" w:rsidRDefault="003E0298" w:rsidP="008B2B11">
      <w:pPr>
        <w:pStyle w:val="SingleTxtG"/>
        <w:ind w:left="1100" w:right="0"/>
        <w:rPr>
          <w:b/>
          <w:bCs/>
          <w:sz w:val="20"/>
          <w:lang w:val="en-GB"/>
        </w:rPr>
      </w:pPr>
    </w:p>
    <w:p w14:paraId="3B36B1C9" w14:textId="260D7C02" w:rsidR="008B2B11" w:rsidRPr="00B7554F" w:rsidRDefault="008B2B11" w:rsidP="008B2B11">
      <w:pPr>
        <w:pStyle w:val="SingleTxtG"/>
        <w:ind w:left="1100" w:right="0"/>
        <w:rPr>
          <w:b/>
          <w:bCs/>
          <w:sz w:val="20"/>
          <w:lang w:val="en-GB"/>
        </w:rPr>
      </w:pPr>
      <w:r w:rsidRPr="00B7554F">
        <w:rPr>
          <w:b/>
          <w:bCs/>
          <w:sz w:val="20"/>
          <w:lang w:val="en-GB"/>
        </w:rPr>
        <w:t>Article 4(1) in conjunction with article 2(2) – information regarding the Teller project</w:t>
      </w:r>
    </w:p>
    <w:p w14:paraId="3C4F3BD2" w14:textId="77777777"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 xml:space="preserve">On 5 July and 30 August 2010, Paks refused Energiaklub’s information requests in their entirety on the ground that Paks did not perform public responsibilities. </w:t>
      </w:r>
    </w:p>
    <w:p w14:paraId="46B6ABEC" w14:textId="25314254" w:rsidR="008B2B11" w:rsidRPr="00B7554F" w:rsidRDefault="00E87211" w:rsidP="008B2B11">
      <w:pPr>
        <w:pStyle w:val="SingleTxtG"/>
        <w:numPr>
          <w:ilvl w:val="0"/>
          <w:numId w:val="3"/>
        </w:numPr>
        <w:tabs>
          <w:tab w:val="num" w:pos="1134"/>
        </w:tabs>
        <w:ind w:left="1100" w:right="0" w:firstLine="0"/>
        <w:rPr>
          <w:sz w:val="20"/>
          <w:lang w:val="en-GB"/>
        </w:rPr>
      </w:pPr>
      <w:bookmarkStart w:id="79" w:name="_Ref74495164"/>
      <w:bookmarkStart w:id="80" w:name="_Ref73823455"/>
      <w:r>
        <w:rPr>
          <w:sz w:val="20"/>
          <w:lang w:val="en-GB"/>
        </w:rPr>
        <w:t>Since</w:t>
      </w:r>
      <w:r w:rsidR="008B2B11" w:rsidRPr="00B7554F">
        <w:rPr>
          <w:sz w:val="20"/>
          <w:lang w:val="en-GB"/>
        </w:rPr>
        <w:t xml:space="preserve"> article 4 applied to Energiaklub’s information requests, the Committee considers that Paks’ refusal of the information requests on the ground that the company did not perform public responsibilities would have been a breach of article 4(1) in conjunction with article 2(2) of the Convention.</w:t>
      </w:r>
      <w:bookmarkEnd w:id="79"/>
      <w:r w:rsidR="008B2B11" w:rsidRPr="00B7554F">
        <w:rPr>
          <w:sz w:val="20"/>
          <w:lang w:val="en-GB"/>
        </w:rPr>
        <w:t xml:space="preserve"> </w:t>
      </w:r>
    </w:p>
    <w:p w14:paraId="68EE6542" w14:textId="3F7C4D2A"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 xml:space="preserve">The Committee notes, however, that the courts of the Party concerned subsequently held that Paks Ltd. did indeed perform public responsibilities and ordered the company to disclose the requested information. The Committee thus considers that the issue was remedied through domestic procedures prior to the submission of the communication. </w:t>
      </w:r>
    </w:p>
    <w:p w14:paraId="1CAF7DBB" w14:textId="6C393CAF" w:rsidR="008B2B11" w:rsidRPr="00B7554F" w:rsidRDefault="008B2B11" w:rsidP="008B2B11">
      <w:pPr>
        <w:pStyle w:val="SingleTxtG"/>
        <w:numPr>
          <w:ilvl w:val="0"/>
          <w:numId w:val="3"/>
        </w:numPr>
        <w:tabs>
          <w:tab w:val="num" w:pos="1134"/>
        </w:tabs>
        <w:ind w:left="1100" w:right="0" w:firstLine="0"/>
        <w:rPr>
          <w:sz w:val="20"/>
          <w:lang w:val="en-GB"/>
        </w:rPr>
      </w:pPr>
      <w:bookmarkStart w:id="81" w:name="_Ref74500889"/>
      <w:r w:rsidRPr="00B7554F">
        <w:rPr>
          <w:sz w:val="20"/>
          <w:lang w:val="en-GB"/>
        </w:rPr>
        <w:t>Given the foregoing, the Committee finds that, based on the evidence before it, the Party concerned is not in noncompliance with article 4(1) in conjunction with article 2(2) of the Convention.</w:t>
      </w:r>
      <w:bookmarkEnd w:id="80"/>
      <w:bookmarkEnd w:id="81"/>
      <w:r w:rsidRPr="00B7554F">
        <w:rPr>
          <w:sz w:val="20"/>
          <w:lang w:val="en-GB"/>
        </w:rPr>
        <w:t xml:space="preserve"> </w:t>
      </w:r>
    </w:p>
    <w:p w14:paraId="13771FDD" w14:textId="77777777" w:rsidR="008B2B11" w:rsidRPr="00B7554F" w:rsidRDefault="008B2B11" w:rsidP="008B2B11">
      <w:pPr>
        <w:pStyle w:val="SingleTxtG"/>
        <w:ind w:left="1100" w:right="0"/>
        <w:rPr>
          <w:sz w:val="20"/>
          <w:lang w:val="en-GB"/>
        </w:rPr>
      </w:pPr>
    </w:p>
    <w:p w14:paraId="5C0E2C36" w14:textId="6A23EBF8" w:rsidR="008B2B11" w:rsidRPr="00B7554F" w:rsidRDefault="008B2B11" w:rsidP="008B2B11">
      <w:pPr>
        <w:pStyle w:val="SingleTxtG"/>
        <w:autoSpaceDE w:val="0"/>
        <w:autoSpaceDN w:val="0"/>
        <w:adjustRightInd w:val="0"/>
        <w:ind w:left="1100" w:right="0"/>
        <w:rPr>
          <w:b/>
          <w:sz w:val="20"/>
          <w:lang w:val="en-GB"/>
        </w:rPr>
      </w:pPr>
      <w:r w:rsidRPr="00B7554F">
        <w:rPr>
          <w:b/>
          <w:bCs/>
          <w:sz w:val="20"/>
          <w:lang w:val="en-GB"/>
        </w:rPr>
        <w:t>Ar</w:t>
      </w:r>
      <w:r w:rsidRPr="00B7554F">
        <w:rPr>
          <w:b/>
          <w:sz w:val="20"/>
          <w:lang w:val="en-GB"/>
        </w:rPr>
        <w:t xml:space="preserve">ticle 4(1) in conjunction with article 4(3)(c) and article 4(4)(d) – information regarding the Teller project </w:t>
      </w:r>
    </w:p>
    <w:p w14:paraId="26C30609" w14:textId="7B1C1CEC" w:rsidR="008B2B11" w:rsidRPr="00B7554F" w:rsidRDefault="008B2B11" w:rsidP="008B2B11">
      <w:pPr>
        <w:pStyle w:val="SingleTxtG"/>
        <w:numPr>
          <w:ilvl w:val="0"/>
          <w:numId w:val="3"/>
        </w:numPr>
        <w:tabs>
          <w:tab w:val="num" w:pos="1134"/>
        </w:tabs>
        <w:ind w:left="1100" w:right="0" w:firstLine="0"/>
        <w:rPr>
          <w:sz w:val="20"/>
          <w:lang w:val="en-GB"/>
        </w:rPr>
      </w:pPr>
      <w:bookmarkStart w:id="82" w:name="_Ref19631445"/>
      <w:r w:rsidRPr="00B7554F">
        <w:rPr>
          <w:sz w:val="20"/>
          <w:lang w:val="en-GB"/>
        </w:rPr>
        <w:t xml:space="preserve">On 2 March 2011, MVM refused Energiaklub’s 18 January 2010 information request on the ground that the requested information are “decision-preparing” data regarding an ongoing project and also constitute trade secrets. </w:t>
      </w:r>
    </w:p>
    <w:p w14:paraId="22CB48C2" w14:textId="77777777" w:rsidR="008B2B11" w:rsidRPr="00B7554F" w:rsidRDefault="008B2B11" w:rsidP="008B2B11">
      <w:pPr>
        <w:pStyle w:val="SingleTxtG"/>
        <w:ind w:left="1100" w:right="0"/>
        <w:rPr>
          <w:i/>
          <w:iCs/>
          <w:sz w:val="20"/>
          <w:lang w:val="en-GB"/>
        </w:rPr>
      </w:pPr>
      <w:r w:rsidRPr="00B7554F">
        <w:rPr>
          <w:i/>
          <w:iCs/>
          <w:sz w:val="20"/>
          <w:lang w:val="en-GB"/>
        </w:rPr>
        <w:t>Materials in the course of completion – article 4(3)(c)</w:t>
      </w:r>
    </w:p>
    <w:p w14:paraId="6BB30ADF" w14:textId="4BAC485C" w:rsidR="008B2B11" w:rsidRPr="00B7554F" w:rsidRDefault="008B2B11" w:rsidP="008B2B11">
      <w:pPr>
        <w:pStyle w:val="SingleTxtG"/>
        <w:numPr>
          <w:ilvl w:val="0"/>
          <w:numId w:val="3"/>
        </w:numPr>
        <w:tabs>
          <w:tab w:val="num" w:pos="1134"/>
        </w:tabs>
        <w:ind w:left="1100" w:right="0" w:firstLine="0"/>
        <w:rPr>
          <w:sz w:val="20"/>
          <w:lang w:val="en-GB"/>
        </w:rPr>
      </w:pPr>
      <w:bookmarkStart w:id="83" w:name="_Ref74495178"/>
      <w:r w:rsidRPr="00B7554F">
        <w:rPr>
          <w:sz w:val="20"/>
          <w:lang w:val="en-GB"/>
        </w:rPr>
        <w:t>The Committee makes clear that the phrase “materials in the course of completion” in article 4(3)(c) of the Convention relates to the process of preparation of information or a document and not to an entire decision-making process for the purpose of which given information or documentation has been prepared.</w:t>
      </w:r>
      <w:r w:rsidRPr="00B7554F">
        <w:rPr>
          <w:rStyle w:val="FootnoteReference"/>
          <w:sz w:val="20"/>
          <w:lang w:val="en-GB"/>
        </w:rPr>
        <w:footnoteReference w:id="155"/>
      </w:r>
      <w:r w:rsidRPr="00B7554F">
        <w:rPr>
          <w:sz w:val="20"/>
          <w:lang w:val="en-GB"/>
        </w:rPr>
        <w:t xml:space="preserve"> Accordingly, </w:t>
      </w:r>
      <w:r w:rsidRPr="00B7554F">
        <w:rPr>
          <w:sz w:val="20"/>
          <w:szCs w:val="20"/>
          <w:lang w:val="en-GB"/>
        </w:rPr>
        <w:t xml:space="preserve">MVM’s refusal to provide information merely because the entire </w:t>
      </w:r>
      <w:r w:rsidRPr="00B7554F">
        <w:rPr>
          <w:sz w:val="20"/>
          <w:lang w:val="en-GB"/>
        </w:rPr>
        <w:t>Lévai</w:t>
      </w:r>
      <w:r w:rsidRPr="00B7554F">
        <w:rPr>
          <w:sz w:val="20"/>
          <w:szCs w:val="20"/>
          <w:lang w:val="en-GB"/>
        </w:rPr>
        <w:t xml:space="preserve"> Project was ongoing at the time would have been a breach of article 4(1) in conjunction with 4(3)(c) of the Convention.</w:t>
      </w:r>
      <w:bookmarkEnd w:id="83"/>
      <w:r w:rsidRPr="00B7554F">
        <w:rPr>
          <w:sz w:val="20"/>
          <w:szCs w:val="20"/>
          <w:lang w:val="en-GB"/>
        </w:rPr>
        <w:t xml:space="preserve"> </w:t>
      </w:r>
    </w:p>
    <w:p w14:paraId="4EB50964" w14:textId="2E8220B7"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szCs w:val="20"/>
          <w:lang w:val="en-GB"/>
        </w:rPr>
        <w:t xml:space="preserve">However, the domestic courts subsequently ordered that the requested information be disclosed. The </w:t>
      </w:r>
      <w:bookmarkEnd w:id="82"/>
      <w:r w:rsidRPr="00B7554F">
        <w:rPr>
          <w:sz w:val="20"/>
          <w:szCs w:val="20"/>
          <w:lang w:val="en-GB"/>
        </w:rPr>
        <w:t xml:space="preserve">Committee accordingly </w:t>
      </w:r>
      <w:r w:rsidRPr="00B7554F">
        <w:rPr>
          <w:sz w:val="20"/>
          <w:lang w:val="en-GB"/>
        </w:rPr>
        <w:t xml:space="preserve">considers that the issue was remedied through domestic procedures prior to the submission of the communication. </w:t>
      </w:r>
    </w:p>
    <w:p w14:paraId="12362F40" w14:textId="7A7BFC8B" w:rsidR="008B2B11" w:rsidRPr="00B7554F" w:rsidRDefault="008B2B11" w:rsidP="008B2B11">
      <w:pPr>
        <w:pStyle w:val="SingleTxtG"/>
        <w:numPr>
          <w:ilvl w:val="0"/>
          <w:numId w:val="3"/>
        </w:numPr>
        <w:tabs>
          <w:tab w:val="num" w:pos="1134"/>
        </w:tabs>
        <w:ind w:left="1100" w:right="0" w:firstLine="0"/>
        <w:rPr>
          <w:sz w:val="20"/>
          <w:lang w:val="en-GB"/>
        </w:rPr>
      </w:pPr>
      <w:bookmarkStart w:id="84" w:name="_Ref74500883"/>
      <w:r w:rsidRPr="00B7554F">
        <w:rPr>
          <w:sz w:val="20"/>
          <w:lang w:val="en-GB"/>
        </w:rPr>
        <w:lastRenderedPageBreak/>
        <w:t>Given the foregoing, the Committee finds that, based on the evidence before it, the Party concerned is not in noncompliance with article 4(1) in conjunction with article 4(3)(c) of the Convention.</w:t>
      </w:r>
      <w:bookmarkEnd w:id="84"/>
      <w:r w:rsidRPr="00B7554F">
        <w:rPr>
          <w:sz w:val="20"/>
          <w:lang w:val="en-GB"/>
        </w:rPr>
        <w:t xml:space="preserve"> </w:t>
      </w:r>
    </w:p>
    <w:p w14:paraId="43BF6FA2" w14:textId="0D39AF33" w:rsidR="008B2B11" w:rsidRPr="00B7554F" w:rsidRDefault="008B2B11" w:rsidP="008B2B11">
      <w:pPr>
        <w:pStyle w:val="SingleTxtG"/>
        <w:ind w:left="1100" w:right="0"/>
        <w:rPr>
          <w:i/>
          <w:iCs/>
          <w:sz w:val="20"/>
          <w:lang w:val="en-GB"/>
        </w:rPr>
      </w:pPr>
      <w:r w:rsidRPr="00B7554F">
        <w:rPr>
          <w:i/>
          <w:iCs/>
          <w:sz w:val="20"/>
          <w:lang w:val="en-GB"/>
        </w:rPr>
        <w:t>Commercial confidentiality – article 4(4)d)</w:t>
      </w:r>
    </w:p>
    <w:p w14:paraId="222A7B56" w14:textId="77777777"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 xml:space="preserve">While article 4(4)(d) provides for the protection of the confidentiality of commercial and industrial information, that exemption from disclosure must be applied restrictively taking into account the public interest in disclosure. Moreover, information on emissions which is relevant for the protection of the environment must be disclosed. </w:t>
      </w:r>
    </w:p>
    <w:p w14:paraId="52CA51C8" w14:textId="56F04B0E" w:rsidR="008B2B11" w:rsidRPr="00B7554F" w:rsidRDefault="008B2B11" w:rsidP="008B2B11">
      <w:pPr>
        <w:pStyle w:val="SingleTxtG"/>
        <w:numPr>
          <w:ilvl w:val="0"/>
          <w:numId w:val="3"/>
        </w:numPr>
        <w:tabs>
          <w:tab w:val="num" w:pos="1134"/>
        </w:tabs>
        <w:ind w:left="1100" w:right="0" w:firstLine="0"/>
        <w:rPr>
          <w:sz w:val="20"/>
          <w:lang w:val="en-GB"/>
        </w:rPr>
      </w:pPr>
      <w:bookmarkStart w:id="85" w:name="_Ref74495193"/>
      <w:r w:rsidRPr="00B7554F">
        <w:rPr>
          <w:sz w:val="20"/>
          <w:lang w:val="en-GB"/>
        </w:rPr>
        <w:t>In the light of the above, the Committee considers that MVM’s refusal of Energiaklub’s request in its entirety on the ground that the requested information was “trade secrets” would have been a breach of article 4(1) in conjunction with article 4(4)(d) of the Convention.</w:t>
      </w:r>
      <w:bookmarkEnd w:id="85"/>
    </w:p>
    <w:p w14:paraId="36B040B2" w14:textId="2FA477B8" w:rsidR="008B2B11" w:rsidRPr="00B7554F" w:rsidRDefault="008B2B11" w:rsidP="008B2B11">
      <w:pPr>
        <w:pStyle w:val="SingleTxtG"/>
        <w:numPr>
          <w:ilvl w:val="0"/>
          <w:numId w:val="3"/>
        </w:numPr>
        <w:tabs>
          <w:tab w:val="num" w:pos="1134"/>
        </w:tabs>
        <w:ind w:left="1100" w:right="0" w:firstLine="0"/>
        <w:rPr>
          <w:sz w:val="20"/>
          <w:lang w:val="en-GB"/>
        </w:rPr>
      </w:pPr>
      <w:bookmarkStart w:id="86" w:name="_Ref73823466"/>
      <w:r w:rsidRPr="00B7554F">
        <w:rPr>
          <w:sz w:val="20"/>
          <w:szCs w:val="20"/>
          <w:lang w:val="en-GB"/>
        </w:rPr>
        <w:t xml:space="preserve">However, since the decisions of the domestic courts subsequently held that, subject to some limited redactions, the requested information should be disclosed, the Committee </w:t>
      </w:r>
      <w:r w:rsidRPr="00B7554F">
        <w:rPr>
          <w:sz w:val="20"/>
          <w:lang w:val="en-GB"/>
        </w:rPr>
        <w:t xml:space="preserve">considers that the issue was remedied through domestic procedures prior to the submission of the communication. </w:t>
      </w:r>
    </w:p>
    <w:p w14:paraId="22AEBABE" w14:textId="53919ADF" w:rsidR="008B2B11" w:rsidRPr="00B7554F" w:rsidRDefault="008B2B11" w:rsidP="008B2B11">
      <w:pPr>
        <w:pStyle w:val="SingleTxtG"/>
        <w:numPr>
          <w:ilvl w:val="0"/>
          <w:numId w:val="3"/>
        </w:numPr>
        <w:tabs>
          <w:tab w:val="num" w:pos="1134"/>
        </w:tabs>
        <w:ind w:left="1100" w:right="0" w:firstLine="0"/>
        <w:rPr>
          <w:sz w:val="20"/>
          <w:lang w:val="en-GB"/>
        </w:rPr>
      </w:pPr>
      <w:bookmarkStart w:id="87" w:name="_Ref74495290"/>
      <w:r w:rsidRPr="00B7554F">
        <w:rPr>
          <w:sz w:val="20"/>
          <w:lang w:val="en-GB"/>
        </w:rPr>
        <w:t>Given the foregoing, the Committee thus finds that, based on the evidence before it, the Party concerned is not in non-compliance with article 4(1) in conjunction with article 4(4)(d) of the Convention.</w:t>
      </w:r>
      <w:bookmarkEnd w:id="86"/>
      <w:bookmarkEnd w:id="87"/>
    </w:p>
    <w:p w14:paraId="7CABDBBF" w14:textId="77777777" w:rsidR="008A0053" w:rsidRDefault="008A0053" w:rsidP="008B2B11">
      <w:pPr>
        <w:pStyle w:val="SingleTxtG"/>
        <w:ind w:left="1100" w:right="0"/>
        <w:rPr>
          <w:b/>
          <w:bCs/>
          <w:sz w:val="20"/>
          <w:lang w:val="en-GB"/>
        </w:rPr>
      </w:pPr>
    </w:p>
    <w:p w14:paraId="243EC8D7" w14:textId="0106CB24" w:rsidR="008B2B11" w:rsidRPr="00B7554F" w:rsidRDefault="008B2B11" w:rsidP="008B2B11">
      <w:pPr>
        <w:pStyle w:val="SingleTxtG"/>
        <w:ind w:left="1100" w:right="0"/>
        <w:rPr>
          <w:b/>
          <w:bCs/>
          <w:sz w:val="20"/>
          <w:lang w:val="en-GB"/>
        </w:rPr>
      </w:pPr>
      <w:r w:rsidRPr="00B7554F">
        <w:rPr>
          <w:b/>
          <w:bCs/>
          <w:sz w:val="20"/>
          <w:lang w:val="en-GB"/>
        </w:rPr>
        <w:t>Articles 4(2) and (7) and 9(4)</w:t>
      </w:r>
    </w:p>
    <w:p w14:paraId="17ABB454" w14:textId="7849A758"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W</w:t>
      </w:r>
      <w:r w:rsidRPr="00B7554F">
        <w:rPr>
          <w:rStyle w:val="st"/>
          <w:sz w:val="20"/>
          <w:szCs w:val="20"/>
          <w:lang w:val="en-GB"/>
        </w:rPr>
        <w:t>hile</w:t>
      </w:r>
      <w:r w:rsidRPr="00B7554F">
        <w:rPr>
          <w:rStyle w:val="st"/>
          <w:sz w:val="20"/>
          <w:lang w:val="en-GB"/>
        </w:rPr>
        <w:t xml:space="preserve"> Paks Ltd</w:t>
      </w:r>
      <w:r w:rsidRPr="00B7554F">
        <w:rPr>
          <w:rStyle w:val="st"/>
          <w:sz w:val="20"/>
          <w:szCs w:val="20"/>
          <w:lang w:val="en-GB"/>
        </w:rPr>
        <w:t>.</w:t>
      </w:r>
      <w:r w:rsidRPr="00B7554F">
        <w:rPr>
          <w:rStyle w:val="st"/>
          <w:sz w:val="20"/>
          <w:lang w:val="en-GB"/>
        </w:rPr>
        <w:t xml:space="preserve"> and MVM did not provide the requested information regarding the Teller and </w:t>
      </w:r>
      <w:r w:rsidRPr="00B7554F">
        <w:rPr>
          <w:sz w:val="20"/>
          <w:lang w:val="en-GB"/>
        </w:rPr>
        <w:t>Lévai</w:t>
      </w:r>
      <w:r w:rsidRPr="00B7554F">
        <w:rPr>
          <w:sz w:val="20"/>
          <w:szCs w:val="20"/>
          <w:lang w:val="en-GB"/>
        </w:rPr>
        <w:t xml:space="preserve"> Projects, </w:t>
      </w:r>
      <w:r w:rsidRPr="00B7554F">
        <w:rPr>
          <w:rStyle w:val="st"/>
          <w:sz w:val="20"/>
          <w:lang w:val="en-GB"/>
        </w:rPr>
        <w:t>they both replied to the information requests, albeit by way of reasoned refusals, within the timeframe envisaged in article 4(2) and (7) of the Convention, that is, within one month or no more than two months in the case of voluminous or complex requests. Accordingly, the Committee does not find the Party concerned to be in non-compliance with article 4(2) or 4(7) of the Convention.</w:t>
      </w:r>
      <w:r w:rsidRPr="00B7554F">
        <w:rPr>
          <w:sz w:val="20"/>
          <w:lang w:val="en-GB"/>
        </w:rPr>
        <w:t xml:space="preserve"> </w:t>
      </w:r>
    </w:p>
    <w:p w14:paraId="3131B449" w14:textId="181746E1"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Regarding the time that it took after the courts ordered Paks Ltd. and MVM to disclose the requested information, the Committee notes that this is a matter of adequate and effective remedies under article 9(4) of the Convention rather than the timeframe for responding to information requests under article 4(2).</w:t>
      </w:r>
    </w:p>
    <w:p w14:paraId="5ADE3015" w14:textId="6DBB5E51" w:rsidR="008B2B11" w:rsidRPr="00B7554F" w:rsidRDefault="00E87211" w:rsidP="008B2B11">
      <w:pPr>
        <w:pStyle w:val="SingleTxtG"/>
        <w:numPr>
          <w:ilvl w:val="0"/>
          <w:numId w:val="3"/>
        </w:numPr>
        <w:tabs>
          <w:tab w:val="num" w:pos="1134"/>
        </w:tabs>
        <w:ind w:left="1100" w:right="0" w:firstLine="0"/>
        <w:rPr>
          <w:sz w:val="20"/>
          <w:lang w:val="en-GB"/>
        </w:rPr>
      </w:pPr>
      <w:r>
        <w:rPr>
          <w:sz w:val="20"/>
          <w:lang w:val="en-GB"/>
        </w:rPr>
        <w:t>On this point</w:t>
      </w:r>
      <w:r w:rsidR="008B2B11" w:rsidRPr="00B7554F">
        <w:rPr>
          <w:sz w:val="20"/>
          <w:lang w:val="en-GB"/>
        </w:rPr>
        <w:t xml:space="preserve">, the communicant in its letter of 10 April 2012 to MVM regarding the Levai project refers to the communicant’s entitlement to seek enforcement of the court’s judgment of 2 March 2012. On the same date, however, it requested additional information that was not part of its original information request. </w:t>
      </w:r>
    </w:p>
    <w:p w14:paraId="18E76E1F" w14:textId="77777777"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Similarly, in its letter of 20 July 2011, Energiaklub not only requested Paks Ltd. to provide the outstanding information that it considered to be covered by the court’s judgment but also various additional information that was not part of its original request.</w:t>
      </w:r>
    </w:p>
    <w:p w14:paraId="01786299" w14:textId="4D79F18B"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 xml:space="preserve">Given the overlapping of the old and new information requests, </w:t>
      </w:r>
      <w:r w:rsidR="00E87211" w:rsidRPr="00B7554F">
        <w:rPr>
          <w:sz w:val="20"/>
          <w:lang w:val="en-GB"/>
        </w:rPr>
        <w:t xml:space="preserve">on the basis of the information before </w:t>
      </w:r>
      <w:r w:rsidR="00E87211">
        <w:rPr>
          <w:sz w:val="20"/>
          <w:lang w:val="en-GB"/>
        </w:rPr>
        <w:t xml:space="preserve">it </w:t>
      </w:r>
      <w:r w:rsidRPr="00B7554F">
        <w:rPr>
          <w:sz w:val="20"/>
          <w:lang w:val="en-GB"/>
        </w:rPr>
        <w:t xml:space="preserve">the Committee is not in a position to determine the timeframes in which the full set of the information stemming from the original requests were actually provided. Moreover, since the communicant did not seek to enforce the courts’ judgments in either case, the Committee is also not in a position to determine whether the legal framework of the Party concerned would have provided for adequate and effective remedy to enforce the courts’ judgments ordering the disclosure of the requested information. </w:t>
      </w:r>
    </w:p>
    <w:p w14:paraId="026B3811" w14:textId="18EA620F" w:rsidR="008B2B11" w:rsidRPr="00B7554F" w:rsidRDefault="008B2B11" w:rsidP="008B2B11">
      <w:pPr>
        <w:pStyle w:val="SingleTxtG"/>
        <w:numPr>
          <w:ilvl w:val="0"/>
          <w:numId w:val="3"/>
        </w:numPr>
        <w:tabs>
          <w:tab w:val="num" w:pos="1134"/>
        </w:tabs>
        <w:ind w:left="1100" w:right="0" w:firstLine="0"/>
        <w:rPr>
          <w:sz w:val="20"/>
          <w:lang w:val="en-GB"/>
        </w:rPr>
      </w:pPr>
      <w:bookmarkStart w:id="88" w:name="_Ref73823478"/>
      <w:r w:rsidRPr="00B7554F">
        <w:rPr>
          <w:sz w:val="20"/>
          <w:lang w:val="en-GB"/>
        </w:rPr>
        <w:t>In the light of the foregoing, the Committee does not find the Party concerned to be in noncompliance with articles 4(2), (7) or 9(4) of the Convention.</w:t>
      </w:r>
      <w:bookmarkEnd w:id="88"/>
    </w:p>
    <w:p w14:paraId="6652854B" w14:textId="77777777" w:rsidR="008B2B11" w:rsidRPr="00B7554F" w:rsidRDefault="008B2B11" w:rsidP="008B2B11">
      <w:pPr>
        <w:pStyle w:val="SingleTxtG"/>
        <w:ind w:right="0"/>
        <w:rPr>
          <w:b/>
          <w:bCs/>
          <w:sz w:val="20"/>
          <w:lang w:val="en-GB"/>
        </w:rPr>
      </w:pPr>
    </w:p>
    <w:p w14:paraId="21213AF4" w14:textId="77777777" w:rsidR="00BF0EA2" w:rsidRDefault="00BF0EA2" w:rsidP="008B2B11">
      <w:pPr>
        <w:pStyle w:val="SingleTxtG"/>
        <w:ind w:left="1100" w:right="0"/>
        <w:rPr>
          <w:b/>
          <w:sz w:val="20"/>
          <w:lang w:val="en-GB"/>
        </w:rPr>
      </w:pPr>
    </w:p>
    <w:p w14:paraId="06D07E87" w14:textId="681A2D04" w:rsidR="008B2B11" w:rsidRPr="00B7554F" w:rsidRDefault="008B2B11" w:rsidP="008B2B11">
      <w:pPr>
        <w:pStyle w:val="SingleTxtG"/>
        <w:ind w:left="1100" w:right="0"/>
        <w:rPr>
          <w:b/>
          <w:sz w:val="20"/>
          <w:lang w:val="en-GB"/>
        </w:rPr>
      </w:pPr>
      <w:r w:rsidRPr="00B7554F">
        <w:rPr>
          <w:b/>
          <w:sz w:val="20"/>
          <w:lang w:val="en-GB"/>
        </w:rPr>
        <w:t>Article 5(7)(a)</w:t>
      </w:r>
    </w:p>
    <w:p w14:paraId="0792B7F8" w14:textId="5F27BA90" w:rsidR="008B2B11" w:rsidRPr="00B7554F" w:rsidRDefault="008B2B11" w:rsidP="008B2B11">
      <w:pPr>
        <w:pStyle w:val="SingleTxtG"/>
        <w:numPr>
          <w:ilvl w:val="0"/>
          <w:numId w:val="3"/>
        </w:numPr>
        <w:tabs>
          <w:tab w:val="num" w:pos="1134"/>
        </w:tabs>
        <w:ind w:left="1100" w:right="0" w:firstLine="0"/>
        <w:rPr>
          <w:sz w:val="20"/>
          <w:szCs w:val="20"/>
          <w:lang w:val="en-US"/>
        </w:rPr>
      </w:pPr>
      <w:r w:rsidRPr="00B7554F">
        <w:rPr>
          <w:sz w:val="20"/>
          <w:szCs w:val="20"/>
          <w:lang w:val="en-GB"/>
        </w:rPr>
        <w:t>It is vital that a Party give the public</w:t>
      </w:r>
      <w:r w:rsidRPr="00B7554F">
        <w:rPr>
          <w:sz w:val="20"/>
          <w:lang w:val="en-GB"/>
        </w:rPr>
        <w:t xml:space="preserve"> all facts and analyses of facts it considers relevant and important in framing major environmental policy proposals, as well as when plans and programmes relating to the environment are being prepared and discussed. </w:t>
      </w:r>
      <w:r w:rsidRPr="00B7554F">
        <w:rPr>
          <w:sz w:val="20"/>
          <w:szCs w:val="20"/>
          <w:lang w:val="en-GB"/>
        </w:rPr>
        <w:t>There</w:t>
      </w:r>
      <w:r w:rsidRPr="00B7554F">
        <w:rPr>
          <w:sz w:val="20"/>
          <w:lang w:val="en-GB"/>
        </w:rPr>
        <w:t xml:space="preserve"> is in this respect </w:t>
      </w:r>
      <w:r w:rsidRPr="00B7554F">
        <w:rPr>
          <w:sz w:val="20"/>
          <w:szCs w:val="20"/>
          <w:lang w:val="en-GB"/>
        </w:rPr>
        <w:t>a key</w:t>
      </w:r>
      <w:r w:rsidRPr="00B7554F">
        <w:rPr>
          <w:sz w:val="20"/>
          <w:lang w:val="en-GB"/>
        </w:rPr>
        <w:t xml:space="preserve"> interrelationship between the requirements of article 5(7)(a) and article 7 of the Convention, as the publication of facts and analyses of facts under </w:t>
      </w:r>
      <w:r w:rsidRPr="00B7554F">
        <w:rPr>
          <w:sz w:val="20"/>
          <w:szCs w:val="20"/>
          <w:lang w:val="en-GB"/>
        </w:rPr>
        <w:t>the former</w:t>
      </w:r>
      <w:r w:rsidRPr="00B7554F">
        <w:rPr>
          <w:sz w:val="20"/>
          <w:lang w:val="en-GB"/>
        </w:rPr>
        <w:t xml:space="preserve"> helps ensure the public has the relevant information it needs to make its participation in the related</w:t>
      </w:r>
      <w:r w:rsidRPr="00B7554F">
        <w:rPr>
          <w:sz w:val="20"/>
          <w:szCs w:val="20"/>
          <w:lang w:val="en-US"/>
        </w:rPr>
        <w:t xml:space="preserve"> decision-making under article 7 effective.</w:t>
      </w:r>
      <w:r w:rsidRPr="00B7554F" w:rsidDel="002428D3">
        <w:rPr>
          <w:sz w:val="20"/>
          <w:szCs w:val="20"/>
          <w:lang w:val="en-US"/>
        </w:rPr>
        <w:t xml:space="preserve"> </w:t>
      </w:r>
    </w:p>
    <w:p w14:paraId="22A85E0B" w14:textId="2361A68F"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sz w:val="20"/>
          <w:szCs w:val="20"/>
          <w:lang w:val="en-GB"/>
        </w:rPr>
        <w:t xml:space="preserve">The communicant claims that the Party concerned </w:t>
      </w:r>
      <w:r w:rsidR="00E87211">
        <w:rPr>
          <w:sz w:val="20"/>
          <w:szCs w:val="20"/>
          <w:lang w:val="en-GB"/>
        </w:rPr>
        <w:t xml:space="preserve">did not </w:t>
      </w:r>
      <w:r w:rsidRPr="00B7554F">
        <w:rPr>
          <w:sz w:val="20"/>
          <w:szCs w:val="20"/>
          <w:lang w:val="en-GB"/>
        </w:rPr>
        <w:t>comply with article 5(7)(a) with respect to Resolutions 40/2008 and 25/2009 by failing to publish, and denying access, to the “studies, analysis and materials resulting from Teller and Levai projects”.</w:t>
      </w:r>
      <w:r w:rsidRPr="00B7554F">
        <w:rPr>
          <w:sz w:val="20"/>
          <w:szCs w:val="20"/>
          <w:vertAlign w:val="superscript"/>
          <w:lang w:val="en-GB"/>
        </w:rPr>
        <w:footnoteReference w:id="156"/>
      </w:r>
      <w:r w:rsidRPr="00B7554F">
        <w:rPr>
          <w:sz w:val="20"/>
          <w:szCs w:val="20"/>
          <w:lang w:val="en-GB"/>
        </w:rPr>
        <w:t xml:space="preserve"> </w:t>
      </w:r>
    </w:p>
    <w:p w14:paraId="302C8145" w14:textId="743F8693" w:rsidR="008B2B11" w:rsidRPr="00B7554F" w:rsidRDefault="008B2B11" w:rsidP="008B2B11">
      <w:pPr>
        <w:pStyle w:val="SingleTxtG"/>
        <w:numPr>
          <w:ilvl w:val="0"/>
          <w:numId w:val="3"/>
        </w:numPr>
        <w:tabs>
          <w:tab w:val="num" w:pos="1134"/>
        </w:tabs>
        <w:ind w:left="1100" w:right="0" w:firstLine="0"/>
        <w:rPr>
          <w:b/>
          <w:sz w:val="20"/>
          <w:lang w:val="en-GB"/>
        </w:rPr>
      </w:pPr>
      <w:bookmarkStart w:id="89" w:name="_Ref73391759"/>
      <w:r w:rsidRPr="00B7554F">
        <w:rPr>
          <w:sz w:val="20"/>
          <w:szCs w:val="20"/>
          <w:lang w:val="en-GB"/>
        </w:rPr>
        <w:t xml:space="preserve">Article 5(7)(a) requires each Party to proactively disclose the facts and analyses of facts which it considers relevant and important in “framing” the proposal. </w:t>
      </w:r>
      <w:r w:rsidR="00E87211">
        <w:rPr>
          <w:sz w:val="20"/>
          <w:szCs w:val="20"/>
          <w:lang w:val="en-GB"/>
        </w:rPr>
        <w:t>In determining</w:t>
      </w:r>
      <w:r w:rsidRPr="00B7554F">
        <w:rPr>
          <w:sz w:val="20"/>
          <w:szCs w:val="20"/>
          <w:lang w:val="en-GB"/>
        </w:rPr>
        <w:t xml:space="preserve"> whether particular information “frames” a policy proposal, the Committee points out that “framing” refers to information that supports or underpins the decision-making on the policy proposal </w:t>
      </w:r>
      <w:r w:rsidRPr="00B7554F">
        <w:rPr>
          <w:i/>
          <w:iCs/>
          <w:sz w:val="20"/>
          <w:szCs w:val="20"/>
          <w:lang w:val="en-GB"/>
        </w:rPr>
        <w:t>prior</w:t>
      </w:r>
      <w:r w:rsidRPr="00B7554F">
        <w:rPr>
          <w:sz w:val="20"/>
          <w:szCs w:val="20"/>
          <w:lang w:val="en-GB"/>
        </w:rPr>
        <w:t xml:space="preserve"> to that decision being taken. It does not refer to analyses and other environmental information generated </w:t>
      </w:r>
      <w:r w:rsidRPr="00B7554F">
        <w:rPr>
          <w:i/>
          <w:iCs/>
          <w:sz w:val="20"/>
          <w:szCs w:val="20"/>
          <w:lang w:val="en-GB"/>
        </w:rPr>
        <w:t>as a result</w:t>
      </w:r>
      <w:r w:rsidRPr="00B7554F">
        <w:rPr>
          <w:sz w:val="20"/>
          <w:szCs w:val="20"/>
          <w:lang w:val="en-GB"/>
        </w:rPr>
        <w:t xml:space="preserve"> of that environmental policy proposal. In the present case, the Levai project was implemented as a result of Resolution 25/2009. Studies, analyses and materials preparing during the Levai project can thus not have  “framed” either Resolution 40/2008 or Resolution 25/2009.</w:t>
      </w:r>
      <w:bookmarkEnd w:id="89"/>
    </w:p>
    <w:p w14:paraId="36681387" w14:textId="5DE70C72" w:rsidR="008B2B11" w:rsidRPr="00B7554F" w:rsidRDefault="008B2B11" w:rsidP="008B2B11">
      <w:pPr>
        <w:pStyle w:val="SingleTxtG"/>
        <w:numPr>
          <w:ilvl w:val="0"/>
          <w:numId w:val="3"/>
        </w:numPr>
        <w:tabs>
          <w:tab w:val="num" w:pos="1134"/>
        </w:tabs>
        <w:ind w:left="1100" w:right="0" w:firstLine="0"/>
        <w:rPr>
          <w:b/>
          <w:sz w:val="20"/>
          <w:lang w:val="en-GB"/>
        </w:rPr>
      </w:pPr>
      <w:r w:rsidRPr="00B7554F">
        <w:rPr>
          <w:sz w:val="20"/>
          <w:szCs w:val="20"/>
          <w:lang w:val="en-GB"/>
        </w:rPr>
        <w:t>With respect to the Teller project, it is the Committee’s understanding that the purpose of that project was to examine the feasibility of a new NPP and that the studies and analyses prepared during the Teller project indeed fed into the decision-making on Resolution 25/2009.</w:t>
      </w:r>
      <w:r w:rsidRPr="00B7554F">
        <w:rPr>
          <w:rStyle w:val="FootnoteReference"/>
          <w:szCs w:val="20"/>
          <w:lang w:val="en-GB"/>
        </w:rPr>
        <w:footnoteReference w:id="157"/>
      </w:r>
      <w:r w:rsidRPr="00B7554F">
        <w:rPr>
          <w:sz w:val="20"/>
          <w:szCs w:val="20"/>
          <w:lang w:val="en-GB"/>
        </w:rPr>
        <w:t xml:space="preserve"> That does not mean however that article 5(7)(a) required the proactive disclosure of all studies, analyses and materials generated by that project</w:t>
      </w:r>
      <w:r w:rsidR="00E87211">
        <w:rPr>
          <w:sz w:val="20"/>
          <w:szCs w:val="20"/>
          <w:lang w:val="en-GB"/>
        </w:rPr>
        <w:t>,</w:t>
      </w:r>
      <w:r w:rsidRPr="00B7554F">
        <w:rPr>
          <w:sz w:val="20"/>
          <w:szCs w:val="20"/>
          <w:lang w:val="en-GB"/>
        </w:rPr>
        <w:t xml:space="preserve"> but only the information that, because of its relevance and importance, frames the proposal. This </w:t>
      </w:r>
      <w:r w:rsidR="006043D2" w:rsidRPr="00B7554F">
        <w:rPr>
          <w:sz w:val="20"/>
          <w:szCs w:val="20"/>
          <w:lang w:val="en-GB"/>
        </w:rPr>
        <w:t>w</w:t>
      </w:r>
      <w:r w:rsidR="006043D2">
        <w:rPr>
          <w:sz w:val="20"/>
          <w:szCs w:val="20"/>
          <w:lang w:val="en-GB"/>
        </w:rPr>
        <w:t>ould</w:t>
      </w:r>
      <w:r w:rsidR="006043D2" w:rsidRPr="00B7554F">
        <w:rPr>
          <w:sz w:val="20"/>
          <w:szCs w:val="20"/>
          <w:lang w:val="en-GB"/>
        </w:rPr>
        <w:t xml:space="preserve"> </w:t>
      </w:r>
      <w:r w:rsidRPr="00B7554F">
        <w:rPr>
          <w:sz w:val="20"/>
          <w:szCs w:val="20"/>
          <w:lang w:val="en-GB"/>
        </w:rPr>
        <w:t>depend on the central relevance of that information to the decision-making. For example, such information will usually be mentioned in the explanatory memorandum or other official justification for the proposal, even if not in the text of the proposal itself. On this point, the communicant refers only very generally to the “studies, analysis and material” resulting from the Teller project, without pointing the Committee to any particular analysis that from the text of the Resolution, or any accompanying materials, that it claims framed the Resolution and thus, in its view, should have been proactively disclosed under article 5(7)(a) of the Convention.</w:t>
      </w:r>
    </w:p>
    <w:p w14:paraId="51C1E541" w14:textId="03D81F38" w:rsidR="008B2B11" w:rsidRPr="00B7554F" w:rsidRDefault="008B2B11" w:rsidP="008B2B11">
      <w:pPr>
        <w:pStyle w:val="SingleTxtG"/>
        <w:numPr>
          <w:ilvl w:val="0"/>
          <w:numId w:val="3"/>
        </w:numPr>
        <w:tabs>
          <w:tab w:val="num" w:pos="1134"/>
        </w:tabs>
        <w:ind w:left="1100" w:right="0" w:firstLine="0"/>
        <w:rPr>
          <w:b/>
          <w:sz w:val="20"/>
          <w:lang w:val="en-GB"/>
        </w:rPr>
      </w:pPr>
      <w:r w:rsidRPr="00B7554F">
        <w:rPr>
          <w:sz w:val="20"/>
          <w:szCs w:val="20"/>
          <w:lang w:val="en-GB"/>
        </w:rPr>
        <w:t xml:space="preserve">The Committee thus finds that while, as pointed out in paragraphs </w:t>
      </w:r>
      <w:r w:rsidRPr="00B7554F">
        <w:rPr>
          <w:sz w:val="20"/>
          <w:szCs w:val="20"/>
          <w:lang w:val="en-GB"/>
        </w:rPr>
        <w:fldChar w:fldCharType="begin"/>
      </w:r>
      <w:r w:rsidRPr="00B7554F">
        <w:rPr>
          <w:sz w:val="20"/>
          <w:szCs w:val="20"/>
          <w:lang w:val="en-GB"/>
        </w:rPr>
        <w:instrText xml:space="preserve"> REF _Ref74495164 \r \h </w:instrText>
      </w:r>
      <w:r w:rsidR="00B7554F">
        <w:rPr>
          <w:sz w:val="20"/>
          <w:szCs w:val="20"/>
          <w:lang w:val="en-GB"/>
        </w:rPr>
        <w:instrText xml:space="preserve"> \* MERGEFORMAT </w:instrText>
      </w:r>
      <w:r w:rsidRPr="00B7554F">
        <w:rPr>
          <w:sz w:val="20"/>
          <w:szCs w:val="20"/>
          <w:lang w:val="en-GB"/>
        </w:rPr>
      </w:r>
      <w:r w:rsidRPr="00B7554F">
        <w:rPr>
          <w:sz w:val="20"/>
          <w:szCs w:val="20"/>
          <w:lang w:val="en-GB"/>
        </w:rPr>
        <w:fldChar w:fldCharType="separate"/>
      </w:r>
      <w:r w:rsidR="00BF0EA2">
        <w:rPr>
          <w:sz w:val="20"/>
          <w:szCs w:val="20"/>
          <w:cs/>
          <w:lang w:val="en-GB"/>
        </w:rPr>
        <w:t>‎</w:t>
      </w:r>
      <w:r w:rsidR="00BF0EA2">
        <w:rPr>
          <w:sz w:val="20"/>
          <w:szCs w:val="20"/>
          <w:lang w:val="en-GB"/>
        </w:rPr>
        <w:t>113</w:t>
      </w:r>
      <w:r w:rsidRPr="00B7554F">
        <w:rPr>
          <w:sz w:val="20"/>
          <w:szCs w:val="20"/>
          <w:lang w:val="en-GB"/>
        </w:rPr>
        <w:fldChar w:fldCharType="end"/>
      </w:r>
      <w:r w:rsidRPr="00B7554F">
        <w:rPr>
          <w:sz w:val="20"/>
          <w:szCs w:val="20"/>
          <w:lang w:val="en-GB"/>
        </w:rPr>
        <w:t xml:space="preserve">, </w:t>
      </w:r>
      <w:r w:rsidRPr="00B7554F">
        <w:rPr>
          <w:sz w:val="20"/>
          <w:szCs w:val="20"/>
          <w:lang w:val="en-GB"/>
        </w:rPr>
        <w:fldChar w:fldCharType="begin"/>
      </w:r>
      <w:r w:rsidRPr="00B7554F">
        <w:rPr>
          <w:sz w:val="20"/>
          <w:szCs w:val="20"/>
          <w:lang w:val="en-GB"/>
        </w:rPr>
        <w:instrText xml:space="preserve"> REF _Ref74495178 \r \h </w:instrText>
      </w:r>
      <w:r w:rsidR="00B7554F">
        <w:rPr>
          <w:sz w:val="20"/>
          <w:szCs w:val="20"/>
          <w:lang w:val="en-GB"/>
        </w:rPr>
        <w:instrText xml:space="preserve"> \* MERGEFORMAT </w:instrText>
      </w:r>
      <w:r w:rsidRPr="00B7554F">
        <w:rPr>
          <w:sz w:val="20"/>
          <w:szCs w:val="20"/>
          <w:lang w:val="en-GB"/>
        </w:rPr>
      </w:r>
      <w:r w:rsidRPr="00B7554F">
        <w:rPr>
          <w:sz w:val="20"/>
          <w:szCs w:val="20"/>
          <w:lang w:val="en-GB"/>
        </w:rPr>
        <w:fldChar w:fldCharType="separate"/>
      </w:r>
      <w:r w:rsidR="00BF0EA2">
        <w:rPr>
          <w:sz w:val="20"/>
          <w:szCs w:val="20"/>
          <w:cs/>
          <w:lang w:val="en-GB"/>
        </w:rPr>
        <w:t>‎</w:t>
      </w:r>
      <w:r w:rsidR="00BF0EA2">
        <w:rPr>
          <w:sz w:val="20"/>
          <w:szCs w:val="20"/>
          <w:lang w:val="en-GB"/>
        </w:rPr>
        <w:t>117</w:t>
      </w:r>
      <w:r w:rsidRPr="00B7554F">
        <w:rPr>
          <w:sz w:val="20"/>
          <w:szCs w:val="20"/>
          <w:lang w:val="en-GB"/>
        </w:rPr>
        <w:fldChar w:fldCharType="end"/>
      </w:r>
      <w:r w:rsidRPr="00B7554F">
        <w:rPr>
          <w:sz w:val="20"/>
          <w:szCs w:val="20"/>
          <w:lang w:val="en-GB"/>
        </w:rPr>
        <w:t xml:space="preserve"> and </w:t>
      </w:r>
      <w:r w:rsidRPr="00B7554F">
        <w:rPr>
          <w:sz w:val="20"/>
          <w:szCs w:val="20"/>
          <w:lang w:val="en-GB"/>
        </w:rPr>
        <w:fldChar w:fldCharType="begin"/>
      </w:r>
      <w:r w:rsidRPr="00B7554F">
        <w:rPr>
          <w:sz w:val="20"/>
          <w:szCs w:val="20"/>
          <w:lang w:val="en-GB"/>
        </w:rPr>
        <w:instrText xml:space="preserve"> REF _Ref74495193 \r \h </w:instrText>
      </w:r>
      <w:r w:rsidR="00B7554F">
        <w:rPr>
          <w:sz w:val="20"/>
          <w:szCs w:val="20"/>
          <w:lang w:val="en-GB"/>
        </w:rPr>
        <w:instrText xml:space="preserve"> \* MERGEFORMAT </w:instrText>
      </w:r>
      <w:r w:rsidRPr="00B7554F">
        <w:rPr>
          <w:sz w:val="20"/>
          <w:szCs w:val="20"/>
          <w:lang w:val="en-GB"/>
        </w:rPr>
      </w:r>
      <w:r w:rsidRPr="00B7554F">
        <w:rPr>
          <w:sz w:val="20"/>
          <w:szCs w:val="20"/>
          <w:lang w:val="en-GB"/>
        </w:rPr>
        <w:fldChar w:fldCharType="separate"/>
      </w:r>
      <w:r w:rsidR="00BF0EA2">
        <w:rPr>
          <w:sz w:val="20"/>
          <w:szCs w:val="20"/>
          <w:cs/>
          <w:lang w:val="en-GB"/>
        </w:rPr>
        <w:t>‎</w:t>
      </w:r>
      <w:r w:rsidR="00BF0EA2">
        <w:rPr>
          <w:sz w:val="20"/>
          <w:szCs w:val="20"/>
          <w:lang w:val="en-GB"/>
        </w:rPr>
        <w:t>121</w:t>
      </w:r>
      <w:r w:rsidRPr="00B7554F">
        <w:rPr>
          <w:sz w:val="20"/>
          <w:szCs w:val="20"/>
          <w:lang w:val="en-GB"/>
        </w:rPr>
        <w:fldChar w:fldCharType="end"/>
      </w:r>
      <w:r w:rsidRPr="00B7554F">
        <w:rPr>
          <w:sz w:val="20"/>
          <w:szCs w:val="20"/>
          <w:lang w:val="en-GB"/>
        </w:rPr>
        <w:t xml:space="preserve">  above, the studies, analys</w:t>
      </w:r>
      <w:r w:rsidR="008818E0">
        <w:rPr>
          <w:sz w:val="20"/>
          <w:szCs w:val="20"/>
          <w:lang w:val="en-GB"/>
        </w:rPr>
        <w:t>e</w:t>
      </w:r>
      <w:r w:rsidRPr="00B7554F">
        <w:rPr>
          <w:sz w:val="20"/>
          <w:szCs w:val="20"/>
          <w:lang w:val="en-GB"/>
        </w:rPr>
        <w:t xml:space="preserve">s and materials resulting from the Teller and Levai projects should have been disclosed upon request under article 4(1), the allegation regarding article 5(7)(a) is unsubstantiated. </w:t>
      </w:r>
    </w:p>
    <w:p w14:paraId="1684C5D5" w14:textId="77777777" w:rsidR="008B2B11" w:rsidRPr="00B7554F" w:rsidRDefault="008B2B11" w:rsidP="008B2B11">
      <w:pPr>
        <w:pStyle w:val="SingleTxtG"/>
        <w:autoSpaceDE w:val="0"/>
        <w:autoSpaceDN w:val="0"/>
        <w:adjustRightInd w:val="0"/>
        <w:ind w:left="1100" w:right="0"/>
        <w:rPr>
          <w:b/>
          <w:sz w:val="20"/>
          <w:lang w:val="en-GB"/>
        </w:rPr>
      </w:pPr>
    </w:p>
    <w:p w14:paraId="7EA64056" w14:textId="3B9A9C15" w:rsidR="008B2B11" w:rsidRPr="00B7554F" w:rsidRDefault="008B2B11" w:rsidP="003E0298">
      <w:pPr>
        <w:pStyle w:val="SingleTxtG"/>
        <w:autoSpaceDE w:val="0"/>
        <w:autoSpaceDN w:val="0"/>
        <w:adjustRightInd w:val="0"/>
        <w:ind w:left="533" w:right="0" w:firstLine="567"/>
        <w:rPr>
          <w:b/>
          <w:sz w:val="20"/>
          <w:lang w:val="en-GB"/>
        </w:rPr>
      </w:pPr>
      <w:r w:rsidRPr="00B7554F">
        <w:rPr>
          <w:b/>
          <w:sz w:val="20"/>
          <w:lang w:val="en-GB"/>
        </w:rPr>
        <w:t xml:space="preserve">Article 7 </w:t>
      </w:r>
      <w:r w:rsidRPr="00B7554F">
        <w:rPr>
          <w:b/>
          <w:sz w:val="20"/>
          <w:szCs w:val="20"/>
          <w:lang w:val="en-GB"/>
        </w:rPr>
        <w:t xml:space="preserve">– </w:t>
      </w:r>
      <w:r w:rsidRPr="00B7554F">
        <w:rPr>
          <w:b/>
          <w:sz w:val="20"/>
          <w:lang w:val="en-GB"/>
        </w:rPr>
        <w:t>Resolutions 40/2008 and 25/2009</w:t>
      </w:r>
    </w:p>
    <w:p w14:paraId="4AFF19C7" w14:textId="481AD8BA" w:rsidR="008B2B11" w:rsidRPr="00B7554F" w:rsidRDefault="00E87211" w:rsidP="008B2B11">
      <w:pPr>
        <w:pStyle w:val="SingleTxtG"/>
        <w:numPr>
          <w:ilvl w:val="0"/>
          <w:numId w:val="3"/>
        </w:numPr>
        <w:tabs>
          <w:tab w:val="num" w:pos="1134"/>
        </w:tabs>
        <w:ind w:left="1100" w:right="0" w:firstLine="0"/>
        <w:rPr>
          <w:sz w:val="20"/>
          <w:lang w:val="en-GB"/>
        </w:rPr>
      </w:pPr>
      <w:r w:rsidRPr="00B7554F">
        <w:rPr>
          <w:sz w:val="20"/>
          <w:lang w:val="en-GB"/>
        </w:rPr>
        <w:t xml:space="preserve">The Committee </w:t>
      </w:r>
      <w:r>
        <w:rPr>
          <w:sz w:val="20"/>
          <w:lang w:val="en-GB"/>
        </w:rPr>
        <w:t>considers that when adopting Resolutions 40/2008 and 25/2009, the Parliament of the Party concerned did not act in a legislative capacity as under article 2(2) of the Convention. T</w:t>
      </w:r>
      <w:r w:rsidR="008B2B11" w:rsidRPr="00B7554F">
        <w:rPr>
          <w:sz w:val="20"/>
          <w:szCs w:val="20"/>
          <w:lang w:val="en-GB"/>
        </w:rPr>
        <w:t xml:space="preserve">he Committee notes that </w:t>
      </w:r>
      <w:r w:rsidR="008B2B11" w:rsidRPr="00B7554F">
        <w:rPr>
          <w:sz w:val="20"/>
          <w:lang w:val="en-GB"/>
        </w:rPr>
        <w:t xml:space="preserve">the Party concerned </w:t>
      </w:r>
      <w:r>
        <w:rPr>
          <w:sz w:val="20"/>
          <w:lang w:val="en-GB"/>
        </w:rPr>
        <w:t xml:space="preserve">also </w:t>
      </w:r>
      <w:r w:rsidR="008B2B11" w:rsidRPr="00B7554F">
        <w:rPr>
          <w:sz w:val="20"/>
          <w:lang w:val="en-GB"/>
        </w:rPr>
        <w:t xml:space="preserve">accepts that, in adopting </w:t>
      </w:r>
      <w:r>
        <w:rPr>
          <w:sz w:val="20"/>
          <w:lang w:val="en-GB"/>
        </w:rPr>
        <w:t xml:space="preserve">these </w:t>
      </w:r>
      <w:r w:rsidR="008818E0">
        <w:rPr>
          <w:sz w:val="20"/>
          <w:lang w:val="en-GB"/>
        </w:rPr>
        <w:t>R</w:t>
      </w:r>
      <w:r>
        <w:rPr>
          <w:sz w:val="20"/>
          <w:lang w:val="en-GB"/>
        </w:rPr>
        <w:t>esolutions</w:t>
      </w:r>
      <w:r w:rsidR="008B2B11" w:rsidRPr="00B7554F">
        <w:rPr>
          <w:sz w:val="20"/>
          <w:lang w:val="en-GB"/>
        </w:rPr>
        <w:t xml:space="preserve">, the Parliament was not “acting in a legislative capacity” (see para. </w:t>
      </w:r>
      <w:r w:rsidR="008B2B11" w:rsidRPr="00B7554F">
        <w:rPr>
          <w:sz w:val="20"/>
          <w:lang w:val="en-GB"/>
        </w:rPr>
        <w:fldChar w:fldCharType="begin"/>
      </w:r>
      <w:r w:rsidR="008B2B11" w:rsidRPr="00B7554F">
        <w:rPr>
          <w:sz w:val="20"/>
          <w:lang w:val="en-GB"/>
        </w:rPr>
        <w:instrText xml:space="preserve"> REF _Ref19781925 \r \h  \* MERGEFORMAT </w:instrText>
      </w:r>
      <w:r w:rsidR="008B2B11" w:rsidRPr="00B7554F">
        <w:rPr>
          <w:sz w:val="20"/>
          <w:lang w:val="en-GB"/>
        </w:rPr>
      </w:r>
      <w:r w:rsidR="008B2B11" w:rsidRPr="00B7554F">
        <w:rPr>
          <w:sz w:val="20"/>
          <w:lang w:val="en-GB"/>
        </w:rPr>
        <w:fldChar w:fldCharType="separate"/>
      </w:r>
      <w:r w:rsidR="00BF0EA2">
        <w:rPr>
          <w:sz w:val="20"/>
          <w:cs/>
          <w:lang w:val="en-GB"/>
        </w:rPr>
        <w:t>‎</w:t>
      </w:r>
      <w:r w:rsidR="00BF0EA2">
        <w:rPr>
          <w:sz w:val="20"/>
          <w:lang w:val="en-GB"/>
        </w:rPr>
        <w:t>81</w:t>
      </w:r>
      <w:r w:rsidR="008B2B11" w:rsidRPr="00B7554F">
        <w:rPr>
          <w:sz w:val="20"/>
          <w:lang w:val="en-GB"/>
        </w:rPr>
        <w:fldChar w:fldCharType="end"/>
      </w:r>
      <w:r w:rsidR="008B2B11" w:rsidRPr="00B7554F">
        <w:rPr>
          <w:sz w:val="20"/>
          <w:lang w:val="en-GB"/>
        </w:rPr>
        <w:t xml:space="preserve"> above). The Committee examines whether the Resolutions are within the scope of article 7 of the Convention below.</w:t>
      </w:r>
    </w:p>
    <w:p w14:paraId="378CCEEB" w14:textId="77777777"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lastRenderedPageBreak/>
        <w:t xml:space="preserve">Article 7 of the Convention does not define a “plan”, “programme” or “policy” relating to the environment. </w:t>
      </w:r>
      <w:r w:rsidRPr="00B7554F">
        <w:rPr>
          <w:sz w:val="20"/>
          <w:szCs w:val="20"/>
          <w:lang w:val="en-GB"/>
        </w:rPr>
        <w:t>When</w:t>
      </w:r>
      <w:r w:rsidRPr="00B7554F">
        <w:rPr>
          <w:sz w:val="20"/>
          <w:lang w:val="en-GB"/>
        </w:rPr>
        <w:t xml:space="preserve"> determining how to categorize a document under the Convention, the document’s substance, legal functions and effects</w:t>
      </w:r>
      <w:r w:rsidRPr="00B7554F">
        <w:rPr>
          <w:sz w:val="20"/>
          <w:szCs w:val="20"/>
          <w:lang w:val="en-GB"/>
        </w:rPr>
        <w:t xml:space="preserve"> must be evaluated</w:t>
      </w:r>
      <w:r w:rsidRPr="00B7554F">
        <w:rPr>
          <w:sz w:val="20"/>
          <w:lang w:val="en-GB"/>
        </w:rPr>
        <w:t>, rather than its label in domestic law</w:t>
      </w:r>
      <w:r w:rsidRPr="00B7554F">
        <w:rPr>
          <w:sz w:val="20"/>
          <w:szCs w:val="20"/>
          <w:lang w:val="en-GB"/>
        </w:rPr>
        <w:t>.</w:t>
      </w:r>
      <w:r w:rsidRPr="00B7554F">
        <w:rPr>
          <w:rStyle w:val="FootnoteReference"/>
          <w:sz w:val="20"/>
          <w:szCs w:val="20"/>
          <w:lang w:val="en-GB"/>
        </w:rPr>
        <w:footnoteReference w:id="158"/>
      </w:r>
    </w:p>
    <w:p w14:paraId="2FEAEF3B" w14:textId="0BF94308" w:rsidR="008B2B11" w:rsidRPr="00B7554F" w:rsidRDefault="008B2B11" w:rsidP="008B2B11">
      <w:pPr>
        <w:pStyle w:val="SingleTxtG"/>
        <w:numPr>
          <w:ilvl w:val="0"/>
          <w:numId w:val="3"/>
        </w:numPr>
        <w:tabs>
          <w:tab w:val="num" w:pos="1134"/>
        </w:tabs>
        <w:ind w:left="1100" w:right="0" w:firstLine="0"/>
        <w:rPr>
          <w:sz w:val="20"/>
          <w:szCs w:val="20"/>
          <w:lang w:val="en-GB"/>
        </w:rPr>
      </w:pPr>
      <w:bookmarkStart w:id="90" w:name="_Ref73363019"/>
      <w:bookmarkStart w:id="91" w:name="_Ref73819965"/>
      <w:bookmarkStart w:id="92" w:name="_Ref19800040"/>
      <w:r w:rsidRPr="00B7554F">
        <w:rPr>
          <w:sz w:val="20"/>
          <w:szCs w:val="20"/>
          <w:lang w:val="en-GB"/>
        </w:rPr>
        <w:t>A</w:t>
      </w:r>
      <w:r w:rsidRPr="00B7554F">
        <w:rPr>
          <w:sz w:val="20"/>
          <w:lang w:val="en-GB"/>
        </w:rPr>
        <w:t xml:space="preserve"> typical plan or programme</w:t>
      </w:r>
      <w:r w:rsidRPr="00B7554F">
        <w:rPr>
          <w:sz w:val="20"/>
          <w:szCs w:val="20"/>
          <w:lang w:val="en-GB"/>
        </w:rPr>
        <w:t xml:space="preserve"> (a) is often regulated by legislative, regulatory or administrative provisions,</w:t>
      </w:r>
      <w:r w:rsidRPr="00B7554F">
        <w:rPr>
          <w:sz w:val="20"/>
          <w:lang w:val="en-GB"/>
        </w:rPr>
        <w:t xml:space="preserve"> (b) has the legal nature of a general act (often adopted finally by a legislative branch), (</w:t>
      </w:r>
      <w:r w:rsidRPr="00B7554F">
        <w:rPr>
          <w:sz w:val="20"/>
          <w:szCs w:val="20"/>
          <w:lang w:val="en-GB"/>
        </w:rPr>
        <w:t>c</w:t>
      </w:r>
      <w:r w:rsidRPr="00B7554F">
        <w:rPr>
          <w:sz w:val="20"/>
          <w:lang w:val="en-GB"/>
        </w:rPr>
        <w:t>) is initiated by a public authority, which (</w:t>
      </w:r>
      <w:r w:rsidRPr="00B7554F">
        <w:rPr>
          <w:sz w:val="20"/>
          <w:szCs w:val="20"/>
          <w:lang w:val="en-GB"/>
        </w:rPr>
        <w:t>d</w:t>
      </w:r>
      <w:r w:rsidRPr="00B7554F">
        <w:rPr>
          <w:sz w:val="20"/>
          <w:lang w:val="en-GB"/>
        </w:rPr>
        <w:t>) provides an organised and coordinated system that sets, often in a binding way, the framework for certain categories of specific activities (development projects), and which (</w:t>
      </w:r>
      <w:r w:rsidRPr="00B7554F">
        <w:rPr>
          <w:sz w:val="20"/>
          <w:szCs w:val="20"/>
          <w:lang w:val="en-GB"/>
        </w:rPr>
        <w:t>e</w:t>
      </w:r>
      <w:r w:rsidRPr="00B7554F">
        <w:rPr>
          <w:sz w:val="20"/>
          <w:lang w:val="en-GB"/>
        </w:rPr>
        <w:t>) usually is not sufficient for any individual activity to be undertaken without an individual permitting decision.</w:t>
      </w:r>
      <w:r w:rsidRPr="00B7554F">
        <w:rPr>
          <w:rStyle w:val="FootnoteReference"/>
          <w:sz w:val="20"/>
          <w:lang w:val="en-GB"/>
        </w:rPr>
        <w:footnoteReference w:id="159"/>
      </w:r>
      <w:bookmarkEnd w:id="90"/>
      <w:r w:rsidRPr="00B7554F">
        <w:rPr>
          <w:sz w:val="20"/>
          <w:lang w:val="en-GB"/>
        </w:rPr>
        <w:t xml:space="preserve"> </w:t>
      </w:r>
      <w:bookmarkStart w:id="93" w:name="_Ref500865190"/>
      <w:bookmarkEnd w:id="91"/>
    </w:p>
    <w:bookmarkEnd w:id="92"/>
    <w:p w14:paraId="62E86673" w14:textId="77777777"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lang w:val="en-GB"/>
        </w:rPr>
        <w:t xml:space="preserve">The </w:t>
      </w:r>
      <w:r w:rsidRPr="00B7554F">
        <w:rPr>
          <w:sz w:val="20"/>
          <w:szCs w:val="20"/>
          <w:lang w:val="en-US"/>
        </w:rPr>
        <w:t xml:space="preserve">Committee points out that the scope of plans and programmes under article 7 of the Convention is not limited to those “which are likely to have a significant impact on the environment” but instead includes any plan or programme “relating to the environment”. </w:t>
      </w:r>
    </w:p>
    <w:p w14:paraId="08AF3694" w14:textId="77777777"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sz w:val="20"/>
          <w:szCs w:val="20"/>
          <w:lang w:val="en-GB"/>
        </w:rPr>
        <w:t>The term “policies” applies to other kinds of strategic documents, subject to preparation and/or adoption by an authority.</w:t>
      </w:r>
      <w:r w:rsidRPr="00B7554F">
        <w:rPr>
          <w:rStyle w:val="FootnoteReference"/>
          <w:sz w:val="20"/>
          <w:szCs w:val="20"/>
          <w:lang w:val="en-GB"/>
        </w:rPr>
        <w:footnoteReference w:id="160"/>
      </w:r>
    </w:p>
    <w:p w14:paraId="44CD755A" w14:textId="1CA6E6C6" w:rsidR="008B2B11" w:rsidRPr="00B7554F" w:rsidRDefault="008B2B11" w:rsidP="008B2B11">
      <w:pPr>
        <w:pStyle w:val="SingleTxtG"/>
        <w:numPr>
          <w:ilvl w:val="0"/>
          <w:numId w:val="3"/>
        </w:numPr>
        <w:tabs>
          <w:tab w:val="num" w:pos="1134"/>
        </w:tabs>
        <w:ind w:left="1100" w:right="0" w:firstLine="0"/>
        <w:rPr>
          <w:i/>
          <w:iCs/>
          <w:sz w:val="20"/>
          <w:lang w:val="en-GB"/>
        </w:rPr>
      </w:pPr>
      <w:r w:rsidRPr="00B7554F">
        <w:rPr>
          <w:sz w:val="20"/>
          <w:szCs w:val="20"/>
          <w:lang w:val="en-GB"/>
        </w:rPr>
        <w:t xml:space="preserve">The Committee makes clear that the characteristics of a plan or programme listed in paragraph </w:t>
      </w:r>
      <w:r w:rsidRPr="00B7554F">
        <w:rPr>
          <w:sz w:val="20"/>
          <w:szCs w:val="20"/>
          <w:lang w:val="en-GB"/>
        </w:rPr>
        <w:fldChar w:fldCharType="begin"/>
      </w:r>
      <w:r w:rsidRPr="00B7554F">
        <w:rPr>
          <w:sz w:val="20"/>
          <w:szCs w:val="20"/>
          <w:lang w:val="en-GB"/>
        </w:rPr>
        <w:instrText xml:space="preserve"> REF _Ref73819965 \r \h </w:instrText>
      </w:r>
      <w:r w:rsidR="00B7554F">
        <w:rPr>
          <w:sz w:val="20"/>
          <w:szCs w:val="20"/>
          <w:lang w:val="en-GB"/>
        </w:rPr>
        <w:instrText xml:space="preserve"> \* MERGEFORMAT </w:instrText>
      </w:r>
      <w:r w:rsidRPr="00B7554F">
        <w:rPr>
          <w:sz w:val="20"/>
          <w:szCs w:val="20"/>
          <w:lang w:val="en-GB"/>
        </w:rPr>
      </w:r>
      <w:r w:rsidRPr="00B7554F">
        <w:rPr>
          <w:sz w:val="20"/>
          <w:szCs w:val="20"/>
          <w:lang w:val="en-GB"/>
        </w:rPr>
        <w:fldChar w:fldCharType="separate"/>
      </w:r>
      <w:r w:rsidR="00BF0EA2">
        <w:rPr>
          <w:sz w:val="20"/>
          <w:szCs w:val="20"/>
          <w:cs/>
          <w:lang w:val="en-GB"/>
        </w:rPr>
        <w:t>‎</w:t>
      </w:r>
      <w:r w:rsidR="00BF0EA2">
        <w:rPr>
          <w:sz w:val="20"/>
          <w:szCs w:val="20"/>
          <w:lang w:val="en-GB"/>
        </w:rPr>
        <w:t>137</w:t>
      </w:r>
      <w:r w:rsidRPr="00B7554F">
        <w:rPr>
          <w:sz w:val="20"/>
          <w:szCs w:val="20"/>
          <w:lang w:val="en-GB"/>
        </w:rPr>
        <w:fldChar w:fldCharType="end"/>
      </w:r>
      <w:r w:rsidRPr="00B7554F">
        <w:rPr>
          <w:sz w:val="20"/>
          <w:szCs w:val="20"/>
          <w:lang w:val="en-GB"/>
        </w:rPr>
        <w:t xml:space="preserve"> are those which are “typical”. They are neither exhaustive nor elements which must each be satisfied in order to come within the scope of article 7.</w:t>
      </w:r>
    </w:p>
    <w:p w14:paraId="5EA43B74" w14:textId="77777777" w:rsidR="008A0053" w:rsidRDefault="008A0053" w:rsidP="008B2B11">
      <w:pPr>
        <w:pStyle w:val="SingleTxtG"/>
        <w:shd w:val="clear" w:color="auto" w:fill="FFFFFF"/>
        <w:ind w:left="1100" w:right="0"/>
        <w:rPr>
          <w:b/>
          <w:bCs/>
          <w:sz w:val="20"/>
          <w:szCs w:val="20"/>
          <w:lang w:val="en-GB"/>
        </w:rPr>
      </w:pPr>
    </w:p>
    <w:p w14:paraId="191BD045" w14:textId="126598D1" w:rsidR="008B2B11" w:rsidRPr="00B7554F" w:rsidRDefault="008B2B11" w:rsidP="008B2B11">
      <w:pPr>
        <w:pStyle w:val="SingleTxtG"/>
        <w:shd w:val="clear" w:color="auto" w:fill="FFFFFF"/>
        <w:ind w:left="1100" w:right="0"/>
        <w:rPr>
          <w:b/>
          <w:bCs/>
          <w:sz w:val="20"/>
          <w:szCs w:val="20"/>
          <w:lang w:val="en-GB"/>
        </w:rPr>
      </w:pPr>
      <w:r w:rsidRPr="00B7554F">
        <w:rPr>
          <w:b/>
          <w:bCs/>
          <w:sz w:val="20"/>
          <w:szCs w:val="20"/>
          <w:lang w:val="en-GB"/>
        </w:rPr>
        <w:t>Resolution 40/2008</w:t>
      </w:r>
    </w:p>
    <w:p w14:paraId="5B11A0FC" w14:textId="77777777" w:rsidR="008B2B11" w:rsidRPr="00B7554F" w:rsidRDefault="008B2B11" w:rsidP="008B2B11">
      <w:pPr>
        <w:pStyle w:val="SingleTxtG"/>
        <w:shd w:val="clear" w:color="auto" w:fill="FFFFFF"/>
        <w:ind w:left="1100" w:right="0"/>
        <w:rPr>
          <w:i/>
          <w:iCs/>
          <w:sz w:val="20"/>
          <w:lang w:val="en-GB"/>
        </w:rPr>
      </w:pPr>
      <w:r w:rsidRPr="00B7554F">
        <w:rPr>
          <w:i/>
          <w:iCs/>
          <w:sz w:val="20"/>
          <w:szCs w:val="20"/>
          <w:lang w:val="en-GB"/>
        </w:rPr>
        <w:t xml:space="preserve">Plan, programme or policy relating to the environment </w:t>
      </w:r>
    </w:p>
    <w:p w14:paraId="4E59CD0C" w14:textId="5576E0B1" w:rsidR="008B2B11" w:rsidRPr="00B7554F" w:rsidRDefault="008B2B11" w:rsidP="008B2B11">
      <w:pPr>
        <w:pStyle w:val="SingleTxtG"/>
        <w:numPr>
          <w:ilvl w:val="0"/>
          <w:numId w:val="3"/>
        </w:numPr>
        <w:shd w:val="clear" w:color="auto" w:fill="FFFFFF"/>
        <w:tabs>
          <w:tab w:val="num" w:pos="1134"/>
        </w:tabs>
        <w:ind w:left="1100" w:right="0" w:firstLine="0"/>
        <w:rPr>
          <w:sz w:val="20"/>
          <w:lang w:val="en-GB"/>
        </w:rPr>
      </w:pPr>
      <w:r w:rsidRPr="00B7554F">
        <w:rPr>
          <w:sz w:val="20"/>
          <w:szCs w:val="20"/>
        </w:rPr>
        <w:t xml:space="preserve">The communicants submit that Resolution </w:t>
      </w:r>
      <w:r w:rsidRPr="00B7554F">
        <w:rPr>
          <w:sz w:val="20"/>
          <w:szCs w:val="20"/>
          <w:lang w:val="en-US"/>
        </w:rPr>
        <w:t xml:space="preserve">40/2008 </w:t>
      </w:r>
      <w:r w:rsidRPr="00B7554F">
        <w:rPr>
          <w:sz w:val="20"/>
          <w:szCs w:val="20"/>
        </w:rPr>
        <w:t xml:space="preserve">is a policy decision within the scope of article 7. The Party concerned accepts that Resolution </w:t>
      </w:r>
      <w:r w:rsidRPr="00B7554F">
        <w:rPr>
          <w:sz w:val="20"/>
          <w:szCs w:val="20"/>
          <w:lang w:val="en-US"/>
        </w:rPr>
        <w:t>40/2008</w:t>
      </w:r>
      <w:r w:rsidRPr="00B7554F">
        <w:rPr>
          <w:sz w:val="20"/>
          <w:lang w:val="en-US"/>
        </w:rPr>
        <w:t xml:space="preserve"> </w:t>
      </w:r>
      <w:r w:rsidRPr="00B7554F">
        <w:rPr>
          <w:sz w:val="20"/>
          <w:szCs w:val="20"/>
        </w:rPr>
        <w:t>could constitute a policy under article 7, while noting that the lack of a definition of the Convention means the issue is not clear.</w:t>
      </w:r>
      <w:r w:rsidRPr="00B7554F">
        <w:rPr>
          <w:sz w:val="20"/>
          <w:szCs w:val="20"/>
          <w:lang w:val="en-US"/>
        </w:rPr>
        <w:t xml:space="preserve"> </w:t>
      </w:r>
      <w:r w:rsidRPr="00B7554F">
        <w:rPr>
          <w:sz w:val="20"/>
          <w:szCs w:val="20"/>
          <w:lang w:val="en-GB"/>
        </w:rPr>
        <w:t>The Committee examines below whether Resolution 40/2008 is a plan, programme or policy under article 7 of the Convention or otherwise outside the scope of that provision.</w:t>
      </w:r>
    </w:p>
    <w:p w14:paraId="67C9C0E9" w14:textId="1664CA15" w:rsidR="008B2B11" w:rsidRPr="00B7554F" w:rsidRDefault="008818E0" w:rsidP="008B2B11">
      <w:pPr>
        <w:pStyle w:val="SingleTxtG"/>
        <w:numPr>
          <w:ilvl w:val="0"/>
          <w:numId w:val="3"/>
        </w:numPr>
        <w:ind w:left="1100" w:right="0" w:firstLine="0"/>
        <w:rPr>
          <w:sz w:val="20"/>
          <w:szCs w:val="20"/>
          <w:lang w:val="en-GB"/>
        </w:rPr>
      </w:pPr>
      <w:r>
        <w:rPr>
          <w:sz w:val="20"/>
          <w:szCs w:val="20"/>
          <w:lang w:val="en-US"/>
        </w:rPr>
        <w:t>In determining</w:t>
      </w:r>
      <w:r w:rsidR="008B2B11" w:rsidRPr="00B7554F">
        <w:rPr>
          <w:sz w:val="20"/>
          <w:szCs w:val="20"/>
          <w:lang w:val="en-US"/>
        </w:rPr>
        <w:t xml:space="preserve"> whether Resolution 40/2008 is a plan or programme, with respect to the characteristics listed in paragraph </w:t>
      </w:r>
      <w:r w:rsidR="008B2B11" w:rsidRPr="00B7554F">
        <w:rPr>
          <w:sz w:val="20"/>
          <w:szCs w:val="20"/>
          <w:lang w:val="en-GB"/>
        </w:rPr>
        <w:fldChar w:fldCharType="begin"/>
      </w:r>
      <w:r w:rsidR="008B2B11" w:rsidRPr="00B7554F">
        <w:rPr>
          <w:sz w:val="20"/>
          <w:szCs w:val="20"/>
          <w:lang w:val="en-GB"/>
        </w:rPr>
        <w:instrText xml:space="preserve"> REF _Ref73363019 \r \h  \* MERGEFORMAT </w:instrText>
      </w:r>
      <w:r w:rsidR="008B2B11" w:rsidRPr="00B7554F">
        <w:rPr>
          <w:sz w:val="20"/>
          <w:szCs w:val="20"/>
          <w:lang w:val="en-GB"/>
        </w:rPr>
      </w:r>
      <w:r w:rsidR="008B2B11" w:rsidRPr="00B7554F">
        <w:rPr>
          <w:sz w:val="20"/>
          <w:szCs w:val="20"/>
          <w:lang w:val="en-GB"/>
        </w:rPr>
        <w:fldChar w:fldCharType="separate"/>
      </w:r>
      <w:r w:rsidR="00BF0EA2">
        <w:rPr>
          <w:sz w:val="20"/>
          <w:szCs w:val="20"/>
          <w:cs/>
          <w:lang w:val="en-GB"/>
        </w:rPr>
        <w:t>‎</w:t>
      </w:r>
      <w:r w:rsidR="00BF0EA2">
        <w:rPr>
          <w:sz w:val="20"/>
          <w:szCs w:val="20"/>
          <w:lang w:val="en-GB"/>
        </w:rPr>
        <w:t>137</w:t>
      </w:r>
      <w:r w:rsidR="008B2B11" w:rsidRPr="00B7554F">
        <w:rPr>
          <w:sz w:val="20"/>
          <w:szCs w:val="20"/>
          <w:lang w:val="en-GB"/>
        </w:rPr>
        <w:fldChar w:fldCharType="end"/>
      </w:r>
      <w:r w:rsidR="008B2B11" w:rsidRPr="00B7554F">
        <w:rPr>
          <w:sz w:val="20"/>
          <w:szCs w:val="20"/>
          <w:lang w:val="en-GB"/>
        </w:rPr>
        <w:t xml:space="preserve"> above</w:t>
      </w:r>
      <w:r w:rsidR="008B2B11" w:rsidRPr="00B7554F">
        <w:rPr>
          <w:sz w:val="20"/>
          <w:szCs w:val="20"/>
          <w:lang w:val="en-US"/>
        </w:rPr>
        <w:t xml:space="preserve"> the Committee notes that: (a) the preparation of the Resolution was regulated by </w:t>
      </w:r>
      <w:r w:rsidR="008B2B11" w:rsidRPr="00B7554F">
        <w:rPr>
          <w:sz w:val="20"/>
          <w:szCs w:val="20"/>
          <w:lang w:val="en-GB"/>
        </w:rPr>
        <w:t xml:space="preserve">legislative provisions (namely articles 43(1) and 44(2)(a) of the Environmental Code); (b) it has </w:t>
      </w:r>
      <w:r w:rsidR="008B2B11" w:rsidRPr="00B7554F">
        <w:rPr>
          <w:sz w:val="20"/>
          <w:lang w:val="en-GB"/>
        </w:rPr>
        <w:t>the legal nature of a general act; and (</w:t>
      </w:r>
      <w:r w:rsidR="008B2B11" w:rsidRPr="00B7554F">
        <w:rPr>
          <w:sz w:val="20"/>
          <w:szCs w:val="20"/>
          <w:lang w:val="en-GB"/>
        </w:rPr>
        <w:t>c</w:t>
      </w:r>
      <w:r w:rsidR="008B2B11" w:rsidRPr="00B7554F">
        <w:rPr>
          <w:sz w:val="20"/>
          <w:lang w:val="en-GB"/>
        </w:rPr>
        <w:t>) it was initiated by a public authority (the Ministry of Economy and Technology).</w:t>
      </w:r>
    </w:p>
    <w:p w14:paraId="41FA95A4" w14:textId="2FAF4A1D" w:rsidR="008B2B11" w:rsidRPr="00B7554F" w:rsidRDefault="008B2B11" w:rsidP="008B2B11">
      <w:pPr>
        <w:pStyle w:val="SingleTxtG"/>
        <w:numPr>
          <w:ilvl w:val="0"/>
          <w:numId w:val="3"/>
        </w:numPr>
        <w:ind w:left="1100" w:right="0" w:firstLine="0"/>
        <w:rPr>
          <w:sz w:val="20"/>
          <w:szCs w:val="20"/>
          <w:lang w:val="en-US"/>
        </w:rPr>
      </w:pPr>
      <w:r w:rsidRPr="00B7554F">
        <w:rPr>
          <w:sz w:val="20"/>
          <w:szCs w:val="20"/>
          <w:lang w:val="en-US"/>
        </w:rPr>
        <w:t>Resolution 44/2008 repealed Resolution 21/1993 of 9 April 1993 on the Hungarian energy policy. In turn, Resolution 44/2008 was repealed in 2011 by Resolution 77/2011 on the National Energy Strategy. Resolution 44/2008 thus appears to have been one in a series of strategic energy documents.</w:t>
      </w:r>
    </w:p>
    <w:p w14:paraId="454B9D1A" w14:textId="00A051B7" w:rsidR="008B2B11" w:rsidRPr="00B7554F" w:rsidRDefault="008B2B11" w:rsidP="008B2B11">
      <w:pPr>
        <w:pStyle w:val="SingleTxtG"/>
        <w:numPr>
          <w:ilvl w:val="0"/>
          <w:numId w:val="3"/>
        </w:numPr>
        <w:ind w:left="1100" w:right="0" w:firstLine="0"/>
        <w:rPr>
          <w:sz w:val="20"/>
          <w:szCs w:val="20"/>
          <w:lang w:val="en-GB"/>
        </w:rPr>
      </w:pPr>
      <w:r w:rsidRPr="00B7554F">
        <w:rPr>
          <w:sz w:val="20"/>
          <w:szCs w:val="20"/>
          <w:lang w:val="en-US"/>
        </w:rPr>
        <w:t xml:space="preserve">However, while the content of Resolution 44/2008 supports the view that it is a document of a strategic nature, in contrast to point (d) in </w:t>
      </w:r>
      <w:r w:rsidRPr="00B7554F">
        <w:rPr>
          <w:sz w:val="20"/>
          <w:szCs w:val="20"/>
          <w:lang w:val="en-GB"/>
        </w:rPr>
        <w:t xml:space="preserve">paragraph </w:t>
      </w:r>
      <w:r w:rsidRPr="00B7554F">
        <w:rPr>
          <w:sz w:val="20"/>
          <w:szCs w:val="20"/>
          <w:lang w:val="en-GB"/>
        </w:rPr>
        <w:fldChar w:fldCharType="begin"/>
      </w:r>
      <w:r w:rsidRPr="00B7554F">
        <w:rPr>
          <w:sz w:val="20"/>
          <w:szCs w:val="20"/>
          <w:lang w:val="en-GB"/>
        </w:rPr>
        <w:instrText xml:space="preserve"> REF _Ref73363019 \r \h  \* MERGEFORMAT </w:instrText>
      </w:r>
      <w:r w:rsidRPr="00B7554F">
        <w:rPr>
          <w:sz w:val="20"/>
          <w:szCs w:val="20"/>
          <w:lang w:val="en-GB"/>
        </w:rPr>
      </w:r>
      <w:r w:rsidRPr="00B7554F">
        <w:rPr>
          <w:sz w:val="20"/>
          <w:szCs w:val="20"/>
          <w:lang w:val="en-GB"/>
        </w:rPr>
        <w:fldChar w:fldCharType="separate"/>
      </w:r>
      <w:r w:rsidR="00BF0EA2">
        <w:rPr>
          <w:sz w:val="20"/>
          <w:szCs w:val="20"/>
          <w:cs/>
          <w:lang w:val="en-GB"/>
        </w:rPr>
        <w:t>‎</w:t>
      </w:r>
      <w:r w:rsidR="00BF0EA2">
        <w:rPr>
          <w:sz w:val="20"/>
          <w:szCs w:val="20"/>
          <w:lang w:val="en-GB"/>
        </w:rPr>
        <w:t>137</w:t>
      </w:r>
      <w:r w:rsidRPr="00B7554F">
        <w:rPr>
          <w:sz w:val="20"/>
          <w:szCs w:val="20"/>
          <w:lang w:val="en-GB"/>
        </w:rPr>
        <w:fldChar w:fldCharType="end"/>
      </w:r>
      <w:r w:rsidRPr="00B7554F">
        <w:rPr>
          <w:sz w:val="20"/>
          <w:szCs w:val="20"/>
          <w:lang w:val="en-GB"/>
        </w:rPr>
        <w:t xml:space="preserve"> above </w:t>
      </w:r>
      <w:r w:rsidRPr="00B7554F">
        <w:rPr>
          <w:sz w:val="20"/>
          <w:szCs w:val="20"/>
          <w:lang w:val="en-US"/>
        </w:rPr>
        <w:t>its content does not appear to provide</w:t>
      </w:r>
      <w:r w:rsidRPr="00B7554F">
        <w:rPr>
          <w:sz w:val="20"/>
          <w:lang w:val="en-GB"/>
        </w:rPr>
        <w:t xml:space="preserve"> an organised and coordinated system that sets the framework for certain categories of specific activities (development projects). With respect to the Resolution’s legal effects, the Committee understands that, under the legal framework of the Party concerned, a resolution adopted by the Parliament is not binding on the Government since it is not </w:t>
      </w:r>
      <w:r w:rsidRPr="00B7554F">
        <w:rPr>
          <w:sz w:val="20"/>
          <w:lang w:val="en-GB"/>
        </w:rPr>
        <w:lastRenderedPageBreak/>
        <w:t>subordinate to the Parliament according to the Fundamental Law.</w:t>
      </w:r>
      <w:r w:rsidRPr="00B7554F">
        <w:rPr>
          <w:rStyle w:val="FootnoteReference"/>
          <w:sz w:val="20"/>
          <w:szCs w:val="20"/>
          <w:lang w:val="en-GB"/>
        </w:rPr>
        <w:footnoteReference w:id="161"/>
      </w:r>
      <w:r w:rsidRPr="00B7554F">
        <w:rPr>
          <w:sz w:val="20"/>
          <w:lang w:val="en-GB"/>
        </w:rPr>
        <w:t xml:space="preserve"> Given the foregoing, the Committee considers that, in line with the view of both the communicants and the Party concerned, Resolution 44/2008 is policy, and not a plan or programme.</w:t>
      </w:r>
    </w:p>
    <w:p w14:paraId="00D6D733" w14:textId="71457581" w:rsidR="008B2B11" w:rsidRPr="00B7554F" w:rsidRDefault="008818E0" w:rsidP="008B2B11">
      <w:pPr>
        <w:pStyle w:val="SingleTxtG"/>
        <w:numPr>
          <w:ilvl w:val="0"/>
          <w:numId w:val="3"/>
        </w:numPr>
        <w:ind w:left="1100" w:right="0" w:firstLine="0"/>
        <w:rPr>
          <w:sz w:val="20"/>
          <w:szCs w:val="20"/>
          <w:lang w:val="en-GB"/>
        </w:rPr>
      </w:pPr>
      <w:r>
        <w:rPr>
          <w:sz w:val="20"/>
          <w:szCs w:val="20"/>
          <w:lang w:val="en-US"/>
        </w:rPr>
        <w:t>In examining</w:t>
      </w:r>
      <w:r w:rsidR="008B2B11" w:rsidRPr="00B7554F">
        <w:rPr>
          <w:sz w:val="20"/>
          <w:szCs w:val="20"/>
          <w:lang w:val="en-US"/>
        </w:rPr>
        <w:t xml:space="preserve"> whether Resolution 44/2008 is “relating to the environment”, the Committee notes that phrases such as “environmental sustainability”, “environmentally-friendly” and other express references to “the environment” appear multiple times throughout the document. The Resolution also addresses environmental matters such as nuclear waste, greenhouse gases and pollution emissions. The Committee thus considers that it is clear that the Resolution is “relating to the environment” within the meaning of article 7.</w:t>
      </w:r>
    </w:p>
    <w:p w14:paraId="4D0A7074" w14:textId="1CBBA483" w:rsidR="008B2B11" w:rsidRPr="00B7554F" w:rsidRDefault="008B2B11" w:rsidP="008B2B11">
      <w:pPr>
        <w:pStyle w:val="SingleTxtG"/>
        <w:numPr>
          <w:ilvl w:val="0"/>
          <w:numId w:val="3"/>
        </w:numPr>
        <w:ind w:left="1100" w:right="0" w:firstLine="0"/>
        <w:rPr>
          <w:sz w:val="20"/>
          <w:szCs w:val="20"/>
          <w:lang w:val="en-GB"/>
        </w:rPr>
      </w:pPr>
      <w:r w:rsidRPr="00B7554F">
        <w:rPr>
          <w:sz w:val="20"/>
          <w:lang w:val="en-GB"/>
        </w:rPr>
        <w:t xml:space="preserve">In the light of the foregoing, the Committee considers that Resolution 44/2008 is a policy relating to the environment within the scope of article 7 of the Convention. </w:t>
      </w:r>
    </w:p>
    <w:p w14:paraId="2489036F" w14:textId="77777777" w:rsidR="008B2B11" w:rsidRPr="00B7554F" w:rsidRDefault="008B2B11" w:rsidP="008B2B11">
      <w:pPr>
        <w:pStyle w:val="SingleTxtG"/>
        <w:ind w:left="1100" w:right="0"/>
        <w:rPr>
          <w:i/>
          <w:iCs/>
          <w:sz w:val="20"/>
          <w:szCs w:val="20"/>
          <w:lang w:val="en-GB"/>
        </w:rPr>
      </w:pPr>
      <w:r w:rsidRPr="00B7554F">
        <w:rPr>
          <w:i/>
          <w:iCs/>
          <w:sz w:val="20"/>
          <w:lang w:val="en-GB"/>
        </w:rPr>
        <w:t xml:space="preserve">Opportunities for public participation </w:t>
      </w:r>
    </w:p>
    <w:p w14:paraId="375590D7" w14:textId="77777777"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US"/>
        </w:rPr>
        <w:t xml:space="preserve">Pursuant to the final sentence of article 7, to the extent appropriate, each Party shall endeavour to provide opportunities for public participation in the preparation of policies relating to the environment. </w:t>
      </w:r>
    </w:p>
    <w:p w14:paraId="68A267F0" w14:textId="10B9C044"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US"/>
        </w:rPr>
        <w:t xml:space="preserve">It is evident from the wording of article 7, final sentence, that the obligation to provide for public participation in policies is </w:t>
      </w:r>
      <w:r w:rsidR="008818E0">
        <w:rPr>
          <w:sz w:val="20"/>
          <w:szCs w:val="20"/>
          <w:lang w:val="en-US"/>
        </w:rPr>
        <w:t>somewhat “softer”</w:t>
      </w:r>
      <w:r w:rsidRPr="00B7554F">
        <w:rPr>
          <w:sz w:val="20"/>
          <w:szCs w:val="20"/>
          <w:lang w:val="en-US"/>
        </w:rPr>
        <w:t xml:space="preserve"> than that regarding plans and programmes. The Convention does however impose certain minimum obligations with respect to the opportunities for the public to participate in the preparation of policies. Of these, the following are of particular relevance to the present case. </w:t>
      </w:r>
    </w:p>
    <w:p w14:paraId="397A483E" w14:textId="0467E93F"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US"/>
        </w:rPr>
        <w:t>First, article 7, final sentence, refers to “the public” in general. Thus, it would not suffice if the opportunities to participate in the preparation of a policy were only provided to selected stakeholders. On this point, the Committee recalls its findings on communication ACCC/C/2010/51 (Romania) in which it stressed that:</w:t>
      </w:r>
    </w:p>
    <w:p w14:paraId="23323523" w14:textId="77777777" w:rsidR="008B2B11" w:rsidRPr="00B7554F" w:rsidRDefault="008B2B11" w:rsidP="008B2B11">
      <w:pPr>
        <w:pStyle w:val="SingleTxtG"/>
        <w:shd w:val="clear" w:color="auto" w:fill="FFFFFF"/>
        <w:ind w:left="1701" w:right="0"/>
        <w:rPr>
          <w:sz w:val="20"/>
          <w:szCs w:val="20"/>
          <w:lang w:val="en-GB"/>
        </w:rPr>
      </w:pPr>
      <w:r w:rsidRPr="00B7554F">
        <w:rPr>
          <w:sz w:val="20"/>
          <w:szCs w:val="20"/>
          <w:lang w:val="en-GB"/>
        </w:rPr>
        <w:t xml:space="preserve">“the inclusion of representatives of NGOs and “stakeholders” in a closed advisory group cannot be considered as public participation under the Convention. Furthermore, whatever the definition of the “public concerned” in the law of a Party </w:t>
      </w:r>
      <w:r w:rsidRPr="00B7554F">
        <w:rPr>
          <w:sz w:val="20"/>
          <w:szCs w:val="20"/>
          <w:lang w:val="en-US"/>
        </w:rPr>
        <w:t>to</w:t>
      </w:r>
      <w:r w:rsidRPr="00B7554F">
        <w:rPr>
          <w:sz w:val="20"/>
          <w:szCs w:val="20"/>
          <w:lang w:val="en-GB"/>
        </w:rPr>
        <w:t xml:space="preserve"> the Convention, it must meet the following criteria under the Convention: it must include both NGOs and individual members of the public; and it must be based on objective criteria and not on discretionary power to pick individual representatives of certain groups. In this context, participation in closed advisory groups cannot be considered as public participation meeting the requirements of the Convention.”</w:t>
      </w:r>
    </w:p>
    <w:p w14:paraId="582D458C" w14:textId="77777777"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While those findings concerned a plan or programme under article 7, the Committee considers the above statement to be equally applicable to all public participation under 6, 7 or 8 of the Convention, including public participation on policies relating to the environment.</w:t>
      </w:r>
    </w:p>
    <w:p w14:paraId="5BD1F0C9" w14:textId="349E551A"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 xml:space="preserve">Second, as noted in paragraph </w:t>
      </w:r>
      <w:r w:rsidRPr="00B7554F">
        <w:rPr>
          <w:sz w:val="20"/>
          <w:szCs w:val="20"/>
          <w:lang w:val="en-GB"/>
        </w:rPr>
        <w:fldChar w:fldCharType="begin"/>
      </w:r>
      <w:r w:rsidRPr="00B7554F">
        <w:rPr>
          <w:sz w:val="20"/>
          <w:szCs w:val="20"/>
          <w:lang w:val="en-GB"/>
        </w:rPr>
        <w:instrText xml:space="preserve"> REF _Ref73391759 \r \h  \* MERGEFORMAT </w:instrText>
      </w:r>
      <w:r w:rsidRPr="00B7554F">
        <w:rPr>
          <w:sz w:val="20"/>
          <w:szCs w:val="20"/>
          <w:lang w:val="en-GB"/>
        </w:rPr>
      </w:r>
      <w:r w:rsidRPr="00B7554F">
        <w:rPr>
          <w:sz w:val="20"/>
          <w:szCs w:val="20"/>
          <w:lang w:val="en-GB"/>
        </w:rPr>
        <w:fldChar w:fldCharType="separate"/>
      </w:r>
      <w:r w:rsidR="00BF0EA2">
        <w:rPr>
          <w:sz w:val="20"/>
          <w:szCs w:val="20"/>
          <w:cs/>
          <w:lang w:val="en-GB"/>
        </w:rPr>
        <w:t>‎</w:t>
      </w:r>
      <w:r w:rsidR="00BF0EA2">
        <w:rPr>
          <w:sz w:val="20"/>
          <w:szCs w:val="20"/>
          <w:lang w:val="en-GB"/>
        </w:rPr>
        <w:t>132</w:t>
      </w:r>
      <w:r w:rsidRPr="00B7554F">
        <w:rPr>
          <w:sz w:val="20"/>
          <w:szCs w:val="20"/>
          <w:lang w:val="en-GB"/>
        </w:rPr>
        <w:fldChar w:fldCharType="end"/>
      </w:r>
      <w:r w:rsidRPr="00B7554F">
        <w:rPr>
          <w:sz w:val="20"/>
          <w:szCs w:val="20"/>
          <w:lang w:val="en-GB"/>
        </w:rPr>
        <w:t xml:space="preserve"> above, article 5(7)(a) requires each Party to proactively disclose the facts and analyses of facts which it considers relevant and important in “framing” major environmental policy proposals.  </w:t>
      </w:r>
    </w:p>
    <w:p w14:paraId="200F4290" w14:textId="0FE39F39"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In the present case, it is clear that Resolution 44/2008, which sets out the Party concerned’s national energy policy for the period 2008-2020, constitutes a major environmental policy proposal.</w:t>
      </w:r>
    </w:p>
    <w:p w14:paraId="0479453D" w14:textId="66F81932"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sz w:val="20"/>
          <w:szCs w:val="20"/>
          <w:lang w:val="en-GB"/>
        </w:rPr>
        <w:t xml:space="preserve">The Party concerned submits that the draft energy policy 2007-2020 (as it was known prior to the Resolution’s 2008 adoption) </w:t>
      </w:r>
      <w:r w:rsidR="00DB0FF3">
        <w:rPr>
          <w:sz w:val="20"/>
          <w:szCs w:val="20"/>
          <w:lang w:val="en-GB"/>
        </w:rPr>
        <w:t>with</w:t>
      </w:r>
      <w:r w:rsidRPr="00B7554F">
        <w:rPr>
          <w:sz w:val="20"/>
          <w:szCs w:val="20"/>
          <w:lang w:val="en-GB"/>
        </w:rPr>
        <w:t xml:space="preserve"> the environmental assessment required under article 43(1) of the Environmental Code was sent to the National Environmental Council (NEC) for its comments in accordance with article 44(2)(a) of the Environmental Code. It contends that the NGOs that participate</w:t>
      </w:r>
      <w:r w:rsidR="00DB0FF3">
        <w:rPr>
          <w:sz w:val="20"/>
          <w:szCs w:val="20"/>
          <w:lang w:val="en-GB"/>
        </w:rPr>
        <w:t>d</w:t>
      </w:r>
      <w:r w:rsidRPr="00B7554F">
        <w:rPr>
          <w:sz w:val="20"/>
          <w:szCs w:val="20"/>
          <w:lang w:val="en-GB"/>
        </w:rPr>
        <w:t xml:space="preserve"> in the NEC therefore had an opportunity to comment </w:t>
      </w:r>
      <w:r w:rsidRPr="00B7554F">
        <w:rPr>
          <w:sz w:val="20"/>
          <w:szCs w:val="20"/>
          <w:lang w:val="en-GB"/>
        </w:rPr>
        <w:lastRenderedPageBreak/>
        <w:t>on the document.</w:t>
      </w:r>
      <w:r w:rsidRPr="00B7554F">
        <w:rPr>
          <w:rStyle w:val="FootnoteReference"/>
          <w:sz w:val="20"/>
          <w:szCs w:val="20"/>
          <w:lang w:val="en-GB"/>
        </w:rPr>
        <w:footnoteReference w:id="162"/>
      </w:r>
      <w:r w:rsidRPr="00B7554F">
        <w:rPr>
          <w:sz w:val="20"/>
          <w:szCs w:val="20"/>
          <w:lang w:val="en-GB"/>
        </w:rPr>
        <w:t xml:space="preserve"> </w:t>
      </w:r>
      <w:r w:rsidR="00DB0FF3">
        <w:rPr>
          <w:sz w:val="20"/>
          <w:szCs w:val="20"/>
          <w:lang w:val="en-GB"/>
        </w:rPr>
        <w:t>On this point, t</w:t>
      </w:r>
      <w:r w:rsidRPr="00B7554F">
        <w:rPr>
          <w:sz w:val="20"/>
          <w:szCs w:val="20"/>
          <w:lang w:val="en-GB"/>
        </w:rPr>
        <w:t xml:space="preserve">he Committee </w:t>
      </w:r>
      <w:r w:rsidR="00DB0FF3">
        <w:rPr>
          <w:sz w:val="20"/>
          <w:szCs w:val="20"/>
          <w:lang w:val="en-GB"/>
        </w:rPr>
        <w:t>repeats</w:t>
      </w:r>
      <w:r w:rsidRPr="00B7554F">
        <w:rPr>
          <w:sz w:val="20"/>
          <w:szCs w:val="20"/>
          <w:lang w:val="en-GB"/>
        </w:rPr>
        <w:t xml:space="preserve"> that, in line with the findings on communication ACCC/C/2010/51 (Romania) cited above, the involvement of a selection of NGOs in the NEC cannot itself be considered as public participation meeting the requirements of the Convention.</w:t>
      </w:r>
    </w:p>
    <w:p w14:paraId="3B61EE1B" w14:textId="44DA0C87"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sz w:val="20"/>
          <w:szCs w:val="20"/>
          <w:lang w:val="en-GB"/>
        </w:rPr>
        <w:t>It is common ground between the parties, however, that the concept of the 2007-2020 energy policy was then published on the website for the Ministry for Economy and Transport for the public’s comments from 15 June to 15 July 2007. Thereafter, three section meetings were held with the participation of interested experts and organizations.</w:t>
      </w:r>
    </w:p>
    <w:p w14:paraId="36F85D72" w14:textId="4CD53D0E"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sz w:val="20"/>
          <w:szCs w:val="20"/>
          <w:lang w:val="en-GB"/>
        </w:rPr>
        <w:t>Subsequently, on 4 February 2008, the draft energy policy 2007-2020, by then in the form of a draft resolution, and a background document (though not the environmental assessment) were made available on the Parliament’s website. The draft resolution was discussed in a number of parliamentary committees and any member of the public could take part in those committee sessions and make comments. The Party concerned points for example to the minutes of the Committee on Economy and IT which record the comments received from various NGOs during the Committee session at which the draft resolution was discussed. It also provides the text of the draft Resolution identifying the revisions made to its text in the light of the NGOs’ comments.</w:t>
      </w:r>
    </w:p>
    <w:p w14:paraId="7125BDDF" w14:textId="2B941BA0"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Based on the above, the Committee considers that the public in general, and not just selected stakeholders, had the opportunity to comment on the draft 2007-2020 energy policy during the periods that it was posted on the websites of the Ministry, and later of the Parliament, and also to participate in the relevant parliamentary committees. The marked-up version of Resolution 44/2008 put before the Committee demonstrates that a number of revisions were made to the draft Resolution to take into account the comments received from the public.</w:t>
      </w:r>
      <w:r w:rsidRPr="00B7554F">
        <w:rPr>
          <w:rStyle w:val="FootnoteReference"/>
          <w:szCs w:val="20"/>
          <w:lang w:val="en-GB"/>
        </w:rPr>
        <w:footnoteReference w:id="163"/>
      </w:r>
      <w:r w:rsidRPr="00B7554F">
        <w:rPr>
          <w:sz w:val="20"/>
          <w:szCs w:val="20"/>
          <w:lang w:val="en-GB"/>
        </w:rPr>
        <w:t xml:space="preserve"> This has not been disputed by the communicants. </w:t>
      </w:r>
    </w:p>
    <w:p w14:paraId="4FF1FD96" w14:textId="6BF4A549"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 xml:space="preserve">The Committee next turns to consider the information that was made available to the public during the preparation of the 2008-2020 energy policy, recalling that article 5(7)(a) requires Parties to publish the facts and analysis of facts which it considered relevant and important in framing that policy. </w:t>
      </w:r>
    </w:p>
    <w:p w14:paraId="64CDFBF2" w14:textId="5D1AF894"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Besides the texts of the various versions of the draft 2007-2020 energy policy (which following the Resolution’s 2008 adoption, became the 2008-2020 energy policy), the Committee considers that at least two further documents have been put before it that must be considered relevant and important in framing the 2008-2020 energy policy. First, the “Background document on the draft Parliamentary Resolution no H/4858 on the energy policy concept for the period 2007-2020”</w:t>
      </w:r>
      <w:r w:rsidRPr="00B7554F">
        <w:rPr>
          <w:rStyle w:val="FootnoteReference"/>
          <w:szCs w:val="20"/>
          <w:lang w:val="en-GB"/>
        </w:rPr>
        <w:footnoteReference w:id="164"/>
      </w:r>
      <w:r w:rsidRPr="00B7554F">
        <w:rPr>
          <w:sz w:val="20"/>
          <w:szCs w:val="20"/>
          <w:lang w:val="en-GB"/>
        </w:rPr>
        <w:t xml:space="preserve"> that was put before the Parliament and</w:t>
      </w:r>
      <w:r w:rsidR="00DB0FF3">
        <w:rPr>
          <w:sz w:val="20"/>
          <w:szCs w:val="20"/>
          <w:lang w:val="en-GB"/>
        </w:rPr>
        <w:t>,</w:t>
      </w:r>
      <w:r w:rsidRPr="00B7554F">
        <w:rPr>
          <w:sz w:val="20"/>
          <w:szCs w:val="20"/>
          <w:lang w:val="en-GB"/>
        </w:rPr>
        <w:t xml:space="preserve"> second, the environmental assessment dated 5 June 2007</w:t>
      </w:r>
      <w:r w:rsidRPr="00B7554F">
        <w:rPr>
          <w:rStyle w:val="FootnoteReference"/>
          <w:szCs w:val="20"/>
          <w:lang w:val="en-GB"/>
        </w:rPr>
        <w:footnoteReference w:id="165"/>
      </w:r>
      <w:r w:rsidRPr="00B7554F">
        <w:rPr>
          <w:sz w:val="20"/>
          <w:szCs w:val="20"/>
          <w:lang w:val="en-GB"/>
        </w:rPr>
        <w:t xml:space="preserve"> that was required to be prepared under article 43(1) of the Environmental Code.</w:t>
      </w:r>
    </w:p>
    <w:p w14:paraId="4D476554" w14:textId="3914A1FA"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The “Background document”</w:t>
      </w:r>
      <w:r w:rsidRPr="00B7554F">
        <w:rPr>
          <w:rStyle w:val="FootnoteReference"/>
          <w:szCs w:val="20"/>
          <w:lang w:val="en-GB"/>
        </w:rPr>
        <w:footnoteReference w:id="166"/>
      </w:r>
      <w:r w:rsidRPr="00B7554F">
        <w:rPr>
          <w:sz w:val="20"/>
          <w:szCs w:val="20"/>
          <w:lang w:val="en-GB"/>
        </w:rPr>
        <w:t xml:space="preserve"> put before the Parliament was, and still is, available to the public on the Parliament’s website. </w:t>
      </w:r>
    </w:p>
    <w:p w14:paraId="47072F5E" w14:textId="1D1DB7EF"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 xml:space="preserve">In contrast, the Committee understands that the environmental assessment required under article 43(1) of the Environmental Code was not made available to the public during the preparation of the draft 2007-2020 energy policy (which became Resolution 44/2008 on the 2008-2020 Energy Policy). </w:t>
      </w:r>
    </w:p>
    <w:p w14:paraId="79B0F98B" w14:textId="57BE78D9"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lastRenderedPageBreak/>
        <w:t xml:space="preserve">The Committee welcomes that article 43(1) of the Environmental Code requires draft legislation and “concepts” related to the environment are subject to mandatory environmental assessment. </w:t>
      </w:r>
    </w:p>
    <w:p w14:paraId="156245E1" w14:textId="262552F6"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 xml:space="preserve">However, since the environmental assessment was a legal requirement for the preparation of the draft 2007-2020 energy policy, the Committee considers that the assessment constitutes an “analysis of facts” that the Party concerned “considered to be relevant and important in framing” the 2007-2020 energy policy. Pursuant to article 5(7)(a) of the Convention, the environmental assessment should thus have been made available to the public during the preparation of the draft 2007-2020 energy policy, not least so that the public could effectively exercise their opportunities to participate under article 7, final sentence, of the Convention. </w:t>
      </w:r>
    </w:p>
    <w:p w14:paraId="761F904B" w14:textId="08D885F4"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szCs w:val="20"/>
          <w:lang w:val="en-GB"/>
        </w:rPr>
        <w:t xml:space="preserve">Based on the foregoing, the Committee </w:t>
      </w:r>
      <w:r w:rsidR="00DB0FF3">
        <w:rPr>
          <w:sz w:val="20"/>
          <w:szCs w:val="20"/>
          <w:lang w:val="en-GB"/>
        </w:rPr>
        <w:t>finds</w:t>
      </w:r>
      <w:r w:rsidRPr="00B7554F">
        <w:rPr>
          <w:sz w:val="20"/>
          <w:szCs w:val="20"/>
          <w:lang w:val="en-GB"/>
        </w:rPr>
        <w:t xml:space="preserve"> that, by </w:t>
      </w:r>
      <w:r w:rsidR="00DB0FF3">
        <w:rPr>
          <w:sz w:val="20"/>
          <w:szCs w:val="20"/>
          <w:lang w:val="en-GB"/>
        </w:rPr>
        <w:t xml:space="preserve">not </w:t>
      </w:r>
      <w:r w:rsidRPr="00B7554F">
        <w:rPr>
          <w:sz w:val="20"/>
          <w:szCs w:val="20"/>
          <w:lang w:val="en-GB"/>
        </w:rPr>
        <w:t>publish</w:t>
      </w:r>
      <w:r w:rsidR="00DB0FF3">
        <w:rPr>
          <w:sz w:val="20"/>
          <w:szCs w:val="20"/>
          <w:lang w:val="en-GB"/>
        </w:rPr>
        <w:t>ing</w:t>
      </w:r>
      <w:r w:rsidRPr="00B7554F">
        <w:rPr>
          <w:sz w:val="20"/>
          <w:szCs w:val="20"/>
          <w:lang w:val="en-GB"/>
        </w:rPr>
        <w:t xml:space="preserve"> th</w:t>
      </w:r>
      <w:r w:rsidR="006043D2">
        <w:rPr>
          <w:sz w:val="20"/>
          <w:szCs w:val="20"/>
          <w:lang w:val="en-GB"/>
        </w:rPr>
        <w:t>e</w:t>
      </w:r>
      <w:r w:rsidRPr="00B7554F">
        <w:rPr>
          <w:sz w:val="20"/>
          <w:szCs w:val="20"/>
          <w:lang w:val="en-GB"/>
        </w:rPr>
        <w:t xml:space="preserve"> environmental assessment of the draft 2007-2020 energy policy prepared under article 43(1) of the Environmental Code, the Party concerned failed to comply with article 7, final sentence, in conjunction with article 5(7)(a) of the Convention.</w:t>
      </w:r>
    </w:p>
    <w:bookmarkEnd w:id="93"/>
    <w:p w14:paraId="33EF78FE" w14:textId="77777777" w:rsidR="008B2B11" w:rsidRPr="00B7554F" w:rsidRDefault="008B2B11" w:rsidP="008B2B11">
      <w:pPr>
        <w:pStyle w:val="SingleTxtG"/>
        <w:ind w:left="1100" w:right="0"/>
        <w:rPr>
          <w:b/>
          <w:bCs/>
          <w:sz w:val="20"/>
          <w:szCs w:val="20"/>
          <w:lang w:val="en-GB"/>
        </w:rPr>
      </w:pPr>
    </w:p>
    <w:p w14:paraId="050189E9" w14:textId="2D3D4EDC" w:rsidR="008B2B11" w:rsidRPr="00B7554F" w:rsidRDefault="008B2B11" w:rsidP="008B2B11">
      <w:pPr>
        <w:pStyle w:val="SingleTxtG"/>
        <w:ind w:left="1100" w:right="0"/>
        <w:rPr>
          <w:b/>
          <w:bCs/>
          <w:sz w:val="20"/>
          <w:szCs w:val="20"/>
          <w:lang w:val="en-GB"/>
        </w:rPr>
      </w:pPr>
      <w:r w:rsidRPr="00B7554F">
        <w:rPr>
          <w:b/>
          <w:bCs/>
          <w:sz w:val="20"/>
          <w:szCs w:val="20"/>
          <w:lang w:val="en-GB"/>
        </w:rPr>
        <w:t>Resolution 25/2009</w:t>
      </w:r>
    </w:p>
    <w:p w14:paraId="271456C2" w14:textId="7F28591C"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sz w:val="20"/>
          <w:szCs w:val="20"/>
          <w:lang w:val="en-GB"/>
        </w:rPr>
        <w:t xml:space="preserve">In contrast, to </w:t>
      </w:r>
      <w:r w:rsidRPr="00B7554F">
        <w:rPr>
          <w:sz w:val="20"/>
          <w:lang w:val="en-GB"/>
        </w:rPr>
        <w:t>Resolution</w:t>
      </w:r>
      <w:r w:rsidRPr="00B7554F">
        <w:rPr>
          <w:sz w:val="20"/>
          <w:szCs w:val="20"/>
          <w:lang w:val="en-GB"/>
        </w:rPr>
        <w:t xml:space="preserve"> 40/2008, </w:t>
      </w:r>
      <w:r w:rsidRPr="00B7554F">
        <w:rPr>
          <w:rStyle w:val="st"/>
          <w:sz w:val="20"/>
          <w:szCs w:val="20"/>
          <w:lang w:val="en-GB"/>
        </w:rPr>
        <w:t xml:space="preserve">Resolution 25/2009 does not </w:t>
      </w:r>
      <w:r w:rsidRPr="00B7554F">
        <w:rPr>
          <w:sz w:val="20"/>
          <w:szCs w:val="20"/>
          <w:lang w:val="en-GB"/>
        </w:rPr>
        <w:t>have the character of a plan, programme or policy under article 7 of the Convention. The Committee agrees with the Party concerned that it appears to have an entirely different character than either Resolution 40/2008 or Resolution 77/2011.</w:t>
      </w:r>
    </w:p>
    <w:p w14:paraId="52512346" w14:textId="58745546" w:rsidR="008B2B11" w:rsidRPr="00B7554F" w:rsidRDefault="008B2B11" w:rsidP="008B2B11">
      <w:pPr>
        <w:pStyle w:val="SingleTxtG"/>
        <w:numPr>
          <w:ilvl w:val="0"/>
          <w:numId w:val="3"/>
        </w:numPr>
        <w:tabs>
          <w:tab w:val="num" w:pos="1134"/>
        </w:tabs>
        <w:ind w:left="1100" w:right="0" w:firstLine="0"/>
        <w:rPr>
          <w:rStyle w:val="st"/>
          <w:sz w:val="20"/>
          <w:szCs w:val="20"/>
          <w:lang w:val="en-GB"/>
        </w:rPr>
      </w:pPr>
      <w:r w:rsidRPr="00B7554F">
        <w:rPr>
          <w:rStyle w:val="st"/>
          <w:sz w:val="20"/>
          <w:szCs w:val="20"/>
          <w:lang w:val="en-GB"/>
        </w:rPr>
        <w:t>Resolution 25/</w:t>
      </w:r>
      <w:r w:rsidRPr="00B7554F">
        <w:rPr>
          <w:rStyle w:val="st"/>
          <w:sz w:val="20"/>
          <w:lang w:val="en-GB"/>
        </w:rPr>
        <w:t xml:space="preserve">2009 </w:t>
      </w:r>
      <w:r w:rsidRPr="00B7554F">
        <w:rPr>
          <w:sz w:val="20"/>
          <w:szCs w:val="20"/>
          <w:lang w:val="en-GB"/>
        </w:rPr>
        <w:t>concerns a specific project and does not provide a general framework. W</w:t>
      </w:r>
      <w:r w:rsidRPr="00B7554F">
        <w:rPr>
          <w:rStyle w:val="st"/>
          <w:sz w:val="20"/>
          <w:szCs w:val="20"/>
          <w:lang w:val="en-GB"/>
        </w:rPr>
        <w:t xml:space="preserve">hilst Resolution 25/2009 is therefore not a plan, programme or policy under article 7, it is related to Resolution 40/2008 and the decision-making on </w:t>
      </w:r>
      <w:r w:rsidRPr="00B7554F">
        <w:rPr>
          <w:rStyle w:val="st"/>
          <w:sz w:val="20"/>
          <w:lang w:val="en-GB"/>
        </w:rPr>
        <w:t>possible new units at the Paks nuclear power plant</w:t>
      </w:r>
      <w:r w:rsidRPr="00B7554F">
        <w:rPr>
          <w:rStyle w:val="st"/>
          <w:sz w:val="20"/>
          <w:szCs w:val="20"/>
          <w:lang w:val="en-GB"/>
        </w:rPr>
        <w:t xml:space="preserve"> in critical respects. </w:t>
      </w:r>
    </w:p>
    <w:p w14:paraId="0DC30342" w14:textId="5D3CCB9F"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rStyle w:val="st"/>
          <w:sz w:val="20"/>
          <w:szCs w:val="20"/>
          <w:lang w:val="en-GB"/>
        </w:rPr>
        <w:t xml:space="preserve">Firstly, it is one of the actions that the Government had been invited </w:t>
      </w:r>
      <w:r w:rsidR="00DB0FF3">
        <w:rPr>
          <w:rStyle w:val="st"/>
          <w:sz w:val="20"/>
          <w:szCs w:val="20"/>
          <w:lang w:val="en-GB"/>
        </w:rPr>
        <w:t xml:space="preserve">to take </w:t>
      </w:r>
      <w:r w:rsidRPr="00B7554F">
        <w:rPr>
          <w:rStyle w:val="st"/>
          <w:sz w:val="20"/>
          <w:szCs w:val="20"/>
          <w:lang w:val="en-GB"/>
        </w:rPr>
        <w:t xml:space="preserve">by the Parliament, in section 12(f) of Resolution 40/2008, </w:t>
      </w:r>
      <w:r w:rsidRPr="00B7554F">
        <w:rPr>
          <w:sz w:val="20"/>
          <w:szCs w:val="20"/>
          <w:lang w:val="en-GB"/>
        </w:rPr>
        <w:t xml:space="preserve">namely to make a proposal on the necessity of the investment in new nuclear capacities to the Parliament. The interrelatedness of these two acts is further borne out by the express reference in Resolution 25/2009 to Resolution 40/2008, with which Resolution 25/2009 states itself to be “in harmony”. </w:t>
      </w:r>
    </w:p>
    <w:p w14:paraId="0D60B1C1" w14:textId="005C88C7" w:rsidR="008B2B11" w:rsidRPr="00B7554F" w:rsidRDefault="00414FE9" w:rsidP="008B2B11">
      <w:pPr>
        <w:pStyle w:val="SingleTxtG"/>
        <w:numPr>
          <w:ilvl w:val="0"/>
          <w:numId w:val="3"/>
        </w:numPr>
        <w:tabs>
          <w:tab w:val="num" w:pos="1134"/>
        </w:tabs>
        <w:ind w:left="1100" w:right="0" w:firstLine="0"/>
        <w:rPr>
          <w:sz w:val="20"/>
          <w:szCs w:val="20"/>
          <w:lang w:val="en-GB"/>
        </w:rPr>
      </w:pPr>
      <w:r>
        <w:rPr>
          <w:sz w:val="20"/>
          <w:szCs w:val="20"/>
          <w:lang w:val="en-GB"/>
        </w:rPr>
        <w:t>Secon</w:t>
      </w:r>
      <w:r w:rsidR="006043D2">
        <w:rPr>
          <w:sz w:val="20"/>
          <w:szCs w:val="20"/>
          <w:lang w:val="en-GB"/>
        </w:rPr>
        <w:t>d</w:t>
      </w:r>
      <w:r>
        <w:rPr>
          <w:sz w:val="20"/>
          <w:szCs w:val="20"/>
          <w:lang w:val="en-GB"/>
        </w:rPr>
        <w:t>ly</w:t>
      </w:r>
      <w:r w:rsidR="008B2B11" w:rsidRPr="00B7554F">
        <w:rPr>
          <w:sz w:val="20"/>
          <w:szCs w:val="20"/>
          <w:lang w:val="en-GB"/>
        </w:rPr>
        <w:t>, as the parties agree, Resolution 25/2009 was a necessary condition for commencing the preparatory works under article 7(2) of the Atomic Act, conferring the right to commence further decisions to issue permits of various kinds (e.g. siting, environmental, and later construction and operating permits).</w:t>
      </w:r>
      <w:r w:rsidR="008B2B11" w:rsidRPr="00B7554F">
        <w:rPr>
          <w:rStyle w:val="FootnoteReference"/>
          <w:szCs w:val="20"/>
          <w:lang w:val="en-GB"/>
        </w:rPr>
        <w:footnoteReference w:id="167"/>
      </w:r>
      <w:r w:rsidR="008B2B11" w:rsidRPr="00B7554F">
        <w:rPr>
          <w:sz w:val="20"/>
          <w:szCs w:val="20"/>
          <w:lang w:val="en-GB"/>
        </w:rPr>
        <w:t xml:space="preserve"> This means that Resolution 25/2009 was not merely instrumental for, but crucially linked to these subsequent decision-making processes for the possible new units at Paks NPP. </w:t>
      </w:r>
    </w:p>
    <w:p w14:paraId="518FE41F" w14:textId="0C88997A"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sz w:val="20"/>
          <w:szCs w:val="20"/>
          <w:lang w:val="en-GB"/>
        </w:rPr>
        <w:t xml:space="preserve">While noting that the specific siting decision would be subject to a downstream procedure, the Committee considers that Resolution 25/2009 established the general location, at least, as being at the site of the Paks NPP. Should the government or authorities have wished to commence preparatory activities at another location, they would have required a new resolution under article 7(2) of the Atomic Act. </w:t>
      </w:r>
    </w:p>
    <w:p w14:paraId="182F5D25" w14:textId="43A7E601"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sz w:val="20"/>
          <w:szCs w:val="20"/>
          <w:lang w:val="en-GB"/>
        </w:rPr>
        <w:t>In the light of the foregoing, the Committee considers that in some respects Resolution 25/2009 appears to have the nature of a decision in a multi-stage decision-making procedure subject to article 6 of the Convention. However, the communicants did not raise article 6 in their communication and the Committee accordingly has not received submissions from either party on the possible application of article 6 to Resolution 25/2009. The Committee is thus not in a position to make a finding on this point.</w:t>
      </w:r>
    </w:p>
    <w:p w14:paraId="6C150CC9" w14:textId="6AAF317A" w:rsidR="008B2B11" w:rsidRPr="00B7554F" w:rsidRDefault="008B2B11" w:rsidP="008B2B11">
      <w:pPr>
        <w:pStyle w:val="SingleTxtG"/>
        <w:numPr>
          <w:ilvl w:val="0"/>
          <w:numId w:val="3"/>
        </w:numPr>
        <w:tabs>
          <w:tab w:val="num" w:pos="1134"/>
        </w:tabs>
        <w:ind w:left="1100" w:right="0" w:firstLine="0"/>
        <w:rPr>
          <w:sz w:val="20"/>
          <w:szCs w:val="20"/>
          <w:lang w:val="en-GB"/>
        </w:rPr>
      </w:pPr>
      <w:r w:rsidRPr="00B7554F">
        <w:rPr>
          <w:sz w:val="20"/>
          <w:szCs w:val="20"/>
          <w:lang w:val="en-GB"/>
        </w:rPr>
        <w:lastRenderedPageBreak/>
        <w:t xml:space="preserve">Based on the foregoing, </w:t>
      </w:r>
      <w:r w:rsidR="00414FE9">
        <w:rPr>
          <w:sz w:val="20"/>
          <w:szCs w:val="20"/>
          <w:lang w:val="en-GB"/>
        </w:rPr>
        <w:t xml:space="preserve">without excluding that article 6 of the Convention could be applicable to Resolution 25/2009, </w:t>
      </w:r>
      <w:r w:rsidRPr="00B7554F">
        <w:rPr>
          <w:sz w:val="20"/>
          <w:szCs w:val="20"/>
          <w:lang w:val="en-GB"/>
        </w:rPr>
        <w:t xml:space="preserve">since Resolution 25/2009 is clearly not a plan, programme or policy under article 7 of the Convention, the Committee finds that the Party concerned has not failed to meet the requirements of article 7 with respect to that Resolution.  </w:t>
      </w:r>
    </w:p>
    <w:p w14:paraId="7E986BA2" w14:textId="77777777" w:rsidR="008B2B11" w:rsidRPr="00B7554F" w:rsidRDefault="008B2B11" w:rsidP="00B7554F">
      <w:pPr>
        <w:pStyle w:val="SingleTxtG"/>
        <w:ind w:left="1100" w:right="0"/>
        <w:rPr>
          <w:b/>
          <w:sz w:val="20"/>
          <w:lang w:val="en-GB"/>
        </w:rPr>
      </w:pPr>
    </w:p>
    <w:p w14:paraId="3866265B" w14:textId="77777777" w:rsidR="008B2B11" w:rsidRPr="00B7554F" w:rsidRDefault="008B2B11" w:rsidP="008B2B11">
      <w:pPr>
        <w:pStyle w:val="SingleTxtG"/>
        <w:ind w:left="1100" w:right="0"/>
        <w:rPr>
          <w:b/>
          <w:bCs/>
          <w:sz w:val="20"/>
          <w:lang w:val="en-GB"/>
        </w:rPr>
      </w:pPr>
      <w:r w:rsidRPr="00B7554F">
        <w:rPr>
          <w:b/>
          <w:bCs/>
          <w:sz w:val="20"/>
          <w:lang w:val="en-GB"/>
        </w:rPr>
        <w:t>Article 3(1)</w:t>
      </w:r>
    </w:p>
    <w:p w14:paraId="41DA3851" w14:textId="7CDA6AF1"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 xml:space="preserve">The </w:t>
      </w:r>
      <w:r w:rsidRPr="00B7554F">
        <w:rPr>
          <w:sz w:val="20"/>
          <w:szCs w:val="20"/>
          <w:lang w:val="en-GB"/>
        </w:rPr>
        <w:t xml:space="preserve">communicants </w:t>
      </w:r>
      <w:r w:rsidRPr="00B7554F">
        <w:rPr>
          <w:sz w:val="20"/>
          <w:szCs w:val="20"/>
          <w:lang w:val="en-US"/>
        </w:rPr>
        <w:t xml:space="preserve">allege that </w:t>
      </w:r>
      <w:r w:rsidRPr="00B7554F">
        <w:rPr>
          <w:sz w:val="20"/>
          <w:szCs w:val="20"/>
          <w:lang w:val="en-GB"/>
        </w:rPr>
        <w:t xml:space="preserve">their access to information cases reveal structural problems in the Party </w:t>
      </w:r>
      <w:r w:rsidRPr="00AA0FAF">
        <w:rPr>
          <w:sz w:val="20"/>
          <w:szCs w:val="20"/>
          <w:lang w:val="en-GB"/>
        </w:rPr>
        <w:t xml:space="preserve">concerned in contravention of article 3(1). </w:t>
      </w:r>
      <w:r w:rsidR="00AA0FAF" w:rsidRPr="004B0706">
        <w:rPr>
          <w:sz w:val="20"/>
          <w:lang w:val="en-GB"/>
        </w:rPr>
        <w:t>Having</w:t>
      </w:r>
      <w:r w:rsidR="00414FE9" w:rsidRPr="00AA0FAF">
        <w:rPr>
          <w:sz w:val="20"/>
          <w:szCs w:val="20"/>
          <w:lang w:val="en-GB"/>
        </w:rPr>
        <w:t xml:space="preserve"> </w:t>
      </w:r>
      <w:r w:rsidRPr="004B0706">
        <w:rPr>
          <w:sz w:val="20"/>
          <w:lang w:val="en-GB"/>
        </w:rPr>
        <w:t>found in paragraphs</w:t>
      </w:r>
      <w:r w:rsidR="007669C4" w:rsidRPr="004B0706">
        <w:rPr>
          <w:sz w:val="20"/>
          <w:lang w:val="en-GB"/>
        </w:rPr>
        <w:t xml:space="preserve">  </w:t>
      </w:r>
      <w:r w:rsidR="007669C4" w:rsidRPr="004B0706">
        <w:rPr>
          <w:sz w:val="20"/>
          <w:lang w:val="en-GB"/>
        </w:rPr>
        <w:fldChar w:fldCharType="begin"/>
      </w:r>
      <w:r w:rsidR="007669C4" w:rsidRPr="004B0706">
        <w:rPr>
          <w:sz w:val="20"/>
          <w:lang w:val="en-GB"/>
        </w:rPr>
        <w:instrText xml:space="preserve"> REF _Ref74500889 \r \h </w:instrText>
      </w:r>
      <w:r w:rsidR="00B7554F" w:rsidRPr="004B0706">
        <w:rPr>
          <w:sz w:val="20"/>
          <w:lang w:val="en-GB"/>
        </w:rPr>
        <w:instrText xml:space="preserve"> \* MERGEFORMAT </w:instrText>
      </w:r>
      <w:r w:rsidR="007669C4" w:rsidRPr="004B0706">
        <w:rPr>
          <w:sz w:val="20"/>
          <w:lang w:val="en-GB"/>
        </w:rPr>
      </w:r>
      <w:r w:rsidR="007669C4" w:rsidRPr="004B0706">
        <w:rPr>
          <w:sz w:val="20"/>
          <w:lang w:val="en-GB"/>
        </w:rPr>
        <w:fldChar w:fldCharType="separate"/>
      </w:r>
      <w:r w:rsidR="00BF0EA2">
        <w:rPr>
          <w:sz w:val="20"/>
          <w:cs/>
          <w:lang w:val="en-GB"/>
        </w:rPr>
        <w:t>‎</w:t>
      </w:r>
      <w:r w:rsidR="00BF0EA2">
        <w:rPr>
          <w:sz w:val="20"/>
          <w:lang w:val="en-GB"/>
        </w:rPr>
        <w:t>115</w:t>
      </w:r>
      <w:r w:rsidR="007669C4" w:rsidRPr="004B0706">
        <w:rPr>
          <w:sz w:val="20"/>
          <w:lang w:val="en-GB"/>
        </w:rPr>
        <w:fldChar w:fldCharType="end"/>
      </w:r>
      <w:r w:rsidR="007669C4" w:rsidRPr="00AA0FAF">
        <w:rPr>
          <w:sz w:val="20"/>
          <w:lang w:val="en-GB"/>
        </w:rPr>
        <w:t xml:space="preserve">,  </w:t>
      </w:r>
      <w:r w:rsidR="007669C4" w:rsidRPr="004B0706">
        <w:rPr>
          <w:sz w:val="20"/>
          <w:lang w:val="en-GB"/>
        </w:rPr>
        <w:fldChar w:fldCharType="begin"/>
      </w:r>
      <w:r w:rsidR="007669C4" w:rsidRPr="004B0706">
        <w:rPr>
          <w:sz w:val="20"/>
          <w:lang w:val="en-GB"/>
        </w:rPr>
        <w:instrText xml:space="preserve"> REF _Ref74500883 \r \h </w:instrText>
      </w:r>
      <w:r w:rsidR="00B7554F" w:rsidRPr="004B0706">
        <w:rPr>
          <w:sz w:val="20"/>
          <w:lang w:val="en-GB"/>
        </w:rPr>
        <w:instrText xml:space="preserve"> \* MERGEFORMAT </w:instrText>
      </w:r>
      <w:r w:rsidR="007669C4" w:rsidRPr="004B0706">
        <w:rPr>
          <w:sz w:val="20"/>
          <w:lang w:val="en-GB"/>
        </w:rPr>
      </w:r>
      <w:r w:rsidR="007669C4" w:rsidRPr="004B0706">
        <w:rPr>
          <w:sz w:val="20"/>
          <w:lang w:val="en-GB"/>
        </w:rPr>
        <w:fldChar w:fldCharType="separate"/>
      </w:r>
      <w:r w:rsidR="00BF0EA2">
        <w:rPr>
          <w:sz w:val="20"/>
          <w:cs/>
          <w:lang w:val="en-GB"/>
        </w:rPr>
        <w:t>‎</w:t>
      </w:r>
      <w:r w:rsidR="00BF0EA2">
        <w:rPr>
          <w:sz w:val="20"/>
          <w:lang w:val="en-GB"/>
        </w:rPr>
        <w:t>119</w:t>
      </w:r>
      <w:r w:rsidR="007669C4" w:rsidRPr="004B0706">
        <w:rPr>
          <w:sz w:val="20"/>
          <w:lang w:val="en-GB"/>
        </w:rPr>
        <w:fldChar w:fldCharType="end"/>
      </w:r>
      <w:r w:rsidR="007669C4" w:rsidRPr="00AA0FAF">
        <w:rPr>
          <w:sz w:val="20"/>
          <w:lang w:val="en-GB"/>
        </w:rPr>
        <w:t xml:space="preserve">, </w:t>
      </w:r>
      <w:r w:rsidR="007669C4" w:rsidRPr="004B0706">
        <w:rPr>
          <w:sz w:val="20"/>
          <w:lang w:val="en-GB"/>
        </w:rPr>
        <w:fldChar w:fldCharType="begin"/>
      </w:r>
      <w:r w:rsidR="007669C4" w:rsidRPr="004B0706">
        <w:rPr>
          <w:sz w:val="20"/>
          <w:lang w:val="en-GB"/>
        </w:rPr>
        <w:instrText xml:space="preserve"> REF _Ref74495290 \r \h </w:instrText>
      </w:r>
      <w:r w:rsidR="00B7554F" w:rsidRPr="004B0706">
        <w:rPr>
          <w:sz w:val="20"/>
          <w:lang w:val="en-GB"/>
        </w:rPr>
        <w:instrText xml:space="preserve"> \* MERGEFORMAT </w:instrText>
      </w:r>
      <w:r w:rsidR="007669C4" w:rsidRPr="004B0706">
        <w:rPr>
          <w:sz w:val="20"/>
          <w:lang w:val="en-GB"/>
        </w:rPr>
      </w:r>
      <w:r w:rsidR="007669C4" w:rsidRPr="004B0706">
        <w:rPr>
          <w:sz w:val="20"/>
          <w:lang w:val="en-GB"/>
        </w:rPr>
        <w:fldChar w:fldCharType="separate"/>
      </w:r>
      <w:r w:rsidR="00BF0EA2">
        <w:rPr>
          <w:sz w:val="20"/>
          <w:cs/>
          <w:lang w:val="en-GB"/>
        </w:rPr>
        <w:t>‎</w:t>
      </w:r>
      <w:r w:rsidR="00BF0EA2">
        <w:rPr>
          <w:sz w:val="20"/>
          <w:lang w:val="en-GB"/>
        </w:rPr>
        <w:t>123</w:t>
      </w:r>
      <w:r w:rsidR="007669C4" w:rsidRPr="004B0706">
        <w:rPr>
          <w:sz w:val="20"/>
          <w:lang w:val="en-GB"/>
        </w:rPr>
        <w:fldChar w:fldCharType="end"/>
      </w:r>
      <w:r w:rsidR="007669C4" w:rsidRPr="00AA0FAF">
        <w:rPr>
          <w:sz w:val="20"/>
          <w:lang w:val="en-GB"/>
        </w:rPr>
        <w:t xml:space="preserve"> </w:t>
      </w:r>
      <w:r w:rsidRPr="004B0706">
        <w:rPr>
          <w:sz w:val="20"/>
          <w:lang w:val="en-GB"/>
        </w:rPr>
        <w:t xml:space="preserve">and </w:t>
      </w:r>
      <w:r w:rsidRPr="004B0706">
        <w:rPr>
          <w:sz w:val="20"/>
          <w:lang w:val="en-GB"/>
        </w:rPr>
        <w:fldChar w:fldCharType="begin"/>
      </w:r>
      <w:r w:rsidRPr="004B0706">
        <w:rPr>
          <w:sz w:val="20"/>
          <w:lang w:val="en-GB"/>
        </w:rPr>
        <w:instrText xml:space="preserve"> REF _Ref73823478 \r \h </w:instrText>
      </w:r>
      <w:r w:rsidR="00B7554F" w:rsidRPr="004B0706">
        <w:rPr>
          <w:sz w:val="20"/>
          <w:lang w:val="en-GB"/>
        </w:rPr>
        <w:instrText xml:space="preserve"> \* MERGEFORMAT </w:instrText>
      </w:r>
      <w:r w:rsidRPr="004B0706">
        <w:rPr>
          <w:sz w:val="20"/>
          <w:lang w:val="en-GB"/>
        </w:rPr>
      </w:r>
      <w:r w:rsidRPr="004B0706">
        <w:rPr>
          <w:sz w:val="20"/>
          <w:lang w:val="en-GB"/>
        </w:rPr>
        <w:fldChar w:fldCharType="separate"/>
      </w:r>
      <w:r w:rsidR="00BF0EA2">
        <w:rPr>
          <w:sz w:val="20"/>
          <w:cs/>
          <w:lang w:val="en-GB"/>
        </w:rPr>
        <w:t>‎</w:t>
      </w:r>
      <w:r w:rsidR="00BF0EA2">
        <w:rPr>
          <w:sz w:val="20"/>
          <w:lang w:val="en-GB"/>
        </w:rPr>
        <w:t>129</w:t>
      </w:r>
      <w:r w:rsidRPr="004B0706">
        <w:rPr>
          <w:sz w:val="20"/>
          <w:lang w:val="en-GB"/>
        </w:rPr>
        <w:fldChar w:fldCharType="end"/>
      </w:r>
      <w:r w:rsidRPr="00AA0FAF">
        <w:rPr>
          <w:sz w:val="20"/>
          <w:lang w:val="en-GB"/>
        </w:rPr>
        <w:t xml:space="preserve"> above that the Party concerned is not in noncompliance with</w:t>
      </w:r>
      <w:r w:rsidRPr="00B7554F">
        <w:rPr>
          <w:sz w:val="20"/>
          <w:lang w:val="en-GB"/>
        </w:rPr>
        <w:t xml:space="preserve"> article 4(1), 4(2) or 4(7) of the Convention, </w:t>
      </w:r>
      <w:r w:rsidR="00414FE9">
        <w:rPr>
          <w:sz w:val="20"/>
          <w:lang w:val="en-GB"/>
        </w:rPr>
        <w:t>it</w:t>
      </w:r>
      <w:r w:rsidRPr="00B7554F">
        <w:rPr>
          <w:sz w:val="20"/>
          <w:lang w:val="en-GB"/>
        </w:rPr>
        <w:t xml:space="preserve"> considers the allegation that the Party concerned has failed to comply with the requirements of article 3(1) of the Convention in the circumstances of this case to be unsubstantiated.</w:t>
      </w:r>
    </w:p>
    <w:p w14:paraId="6BAF4B4C" w14:textId="77777777" w:rsidR="008B2B11" w:rsidRPr="00B7554F" w:rsidRDefault="008B2B11" w:rsidP="008B2B11">
      <w:pPr>
        <w:pStyle w:val="HChG"/>
        <w:tabs>
          <w:tab w:val="num" w:pos="1134"/>
        </w:tabs>
        <w:ind w:left="1985" w:right="0"/>
        <w:rPr>
          <w:lang w:val="en-GB"/>
        </w:rPr>
      </w:pPr>
      <w:r w:rsidRPr="00B7554F">
        <w:rPr>
          <w:lang w:val="en-GB"/>
        </w:rPr>
        <w:t>IV.</w:t>
      </w:r>
      <w:r w:rsidRPr="00B7554F">
        <w:rPr>
          <w:lang w:val="en-GB"/>
        </w:rPr>
        <w:tab/>
        <w:t>Conclusions and recommendations</w:t>
      </w:r>
    </w:p>
    <w:p w14:paraId="3EE89493" w14:textId="77777777" w:rsidR="008B2B11" w:rsidRPr="00B7554F" w:rsidRDefault="008B2B11" w:rsidP="008B2B11">
      <w:pPr>
        <w:pStyle w:val="SingleTxtG"/>
        <w:numPr>
          <w:ilvl w:val="0"/>
          <w:numId w:val="3"/>
        </w:numPr>
        <w:tabs>
          <w:tab w:val="num" w:pos="1134"/>
        </w:tabs>
        <w:ind w:left="1100" w:right="0" w:firstLine="0"/>
        <w:rPr>
          <w:sz w:val="20"/>
          <w:lang w:val="en-GB"/>
        </w:rPr>
      </w:pPr>
      <w:r w:rsidRPr="00B7554F">
        <w:rPr>
          <w:sz w:val="20"/>
          <w:lang w:val="en-GB"/>
        </w:rPr>
        <w:t>Having considered the above, the Committee adopts the findings and recommendations set out in the following paragraphs.</w:t>
      </w:r>
    </w:p>
    <w:p w14:paraId="7B98AFE1" w14:textId="77777777" w:rsidR="008B2B11" w:rsidRPr="00B7554F" w:rsidRDefault="008B2B11" w:rsidP="008B2B11">
      <w:pPr>
        <w:pStyle w:val="H1G"/>
        <w:numPr>
          <w:ilvl w:val="0"/>
          <w:numId w:val="5"/>
        </w:numPr>
        <w:tabs>
          <w:tab w:val="num" w:pos="1134"/>
          <w:tab w:val="num" w:pos="1276"/>
        </w:tabs>
        <w:ind w:left="1134" w:right="0" w:firstLine="0"/>
        <w:rPr>
          <w:lang w:val="en-GB"/>
        </w:rPr>
      </w:pPr>
      <w:r w:rsidRPr="00B7554F">
        <w:rPr>
          <w:lang w:val="en-GB"/>
        </w:rPr>
        <w:t>Main findings with regard to non-compliance</w:t>
      </w:r>
    </w:p>
    <w:p w14:paraId="3CFDCD07" w14:textId="51A77B8D" w:rsidR="008B2B11" w:rsidRPr="00B7554F" w:rsidRDefault="008B2B11" w:rsidP="008B2B11">
      <w:pPr>
        <w:pStyle w:val="SingleTxtG"/>
        <w:numPr>
          <w:ilvl w:val="0"/>
          <w:numId w:val="3"/>
        </w:numPr>
        <w:shd w:val="clear" w:color="auto" w:fill="FFFFFF"/>
        <w:tabs>
          <w:tab w:val="num" w:pos="1134"/>
        </w:tabs>
        <w:ind w:left="1100" w:right="0" w:firstLine="0"/>
        <w:rPr>
          <w:sz w:val="20"/>
          <w:szCs w:val="20"/>
          <w:lang w:val="en-GB"/>
        </w:rPr>
      </w:pPr>
      <w:r w:rsidRPr="00B7554F">
        <w:rPr>
          <w:sz w:val="20"/>
          <w:lang w:val="en-GB"/>
        </w:rPr>
        <w:t xml:space="preserve">The Committee finds that, </w:t>
      </w:r>
      <w:r w:rsidRPr="00B7554F">
        <w:rPr>
          <w:sz w:val="20"/>
          <w:szCs w:val="20"/>
          <w:lang w:val="en-GB"/>
        </w:rPr>
        <w:t xml:space="preserve">by </w:t>
      </w:r>
      <w:r w:rsidR="00414FE9">
        <w:rPr>
          <w:sz w:val="20"/>
          <w:szCs w:val="20"/>
          <w:lang w:val="en-GB"/>
        </w:rPr>
        <w:t xml:space="preserve">not </w:t>
      </w:r>
      <w:r w:rsidRPr="00B7554F">
        <w:rPr>
          <w:sz w:val="20"/>
          <w:szCs w:val="20"/>
          <w:lang w:val="en-GB"/>
        </w:rPr>
        <w:t>publish</w:t>
      </w:r>
      <w:r w:rsidR="00414FE9">
        <w:rPr>
          <w:sz w:val="20"/>
          <w:szCs w:val="20"/>
          <w:lang w:val="en-GB"/>
        </w:rPr>
        <w:t>ing</w:t>
      </w:r>
      <w:r w:rsidRPr="00B7554F">
        <w:rPr>
          <w:sz w:val="20"/>
          <w:szCs w:val="20"/>
          <w:lang w:val="en-GB"/>
        </w:rPr>
        <w:t xml:space="preserve"> the environmental assessment of the draft 2007-2020 energy policy prepared under article 43(1) of the Environmental Code, the Party concerned failed to comply with article 7, final sentence, in conjunction with article 5(7)(a) of the Convention.</w:t>
      </w:r>
    </w:p>
    <w:p w14:paraId="6FAF629A" w14:textId="77777777" w:rsidR="008B2B11" w:rsidRPr="00B7554F" w:rsidRDefault="008B2B11" w:rsidP="008B2B11">
      <w:pPr>
        <w:pStyle w:val="H1G"/>
        <w:numPr>
          <w:ilvl w:val="0"/>
          <w:numId w:val="5"/>
        </w:numPr>
        <w:tabs>
          <w:tab w:val="num" w:pos="1134"/>
          <w:tab w:val="num" w:pos="1276"/>
        </w:tabs>
        <w:ind w:left="1134" w:right="0" w:firstLine="0"/>
        <w:rPr>
          <w:lang w:val="en-GB"/>
        </w:rPr>
      </w:pPr>
      <w:r w:rsidRPr="00B7554F">
        <w:rPr>
          <w:lang w:val="en-GB"/>
        </w:rPr>
        <w:t>Recommendations</w:t>
      </w:r>
    </w:p>
    <w:p w14:paraId="36669EB7" w14:textId="44B02220" w:rsidR="008B2B11" w:rsidRPr="00B7554F" w:rsidRDefault="008B2B11" w:rsidP="008B2B11">
      <w:pPr>
        <w:pStyle w:val="SingleTxtG"/>
        <w:numPr>
          <w:ilvl w:val="0"/>
          <w:numId w:val="3"/>
        </w:numPr>
        <w:tabs>
          <w:tab w:val="num" w:pos="1134"/>
        </w:tabs>
        <w:ind w:left="1100" w:right="0" w:firstLine="0"/>
        <w:rPr>
          <w:u w:val="single"/>
          <w:lang w:val="en-GB"/>
        </w:rPr>
      </w:pPr>
      <w:r w:rsidRPr="00B7554F">
        <w:rPr>
          <w:rStyle w:val="st"/>
          <w:sz w:val="20"/>
          <w:lang w:val="en-GB"/>
        </w:rPr>
        <w:t xml:space="preserve">The Committee pursuant to paragraph 35 of the annex to decision I/7 of the Meeting of the Parties, [and noting the agreement of the Party concerned that the Committee take the measures request in paragraph 36(b) of the annex to decision I/7,] recommends that the Party concerned </w:t>
      </w:r>
      <w:r w:rsidRPr="00B7554F">
        <w:rPr>
          <w:sz w:val="20"/>
          <w:lang w:val="en-GB"/>
        </w:rPr>
        <w:t xml:space="preserve">takes the necessary legislative, regulatory, administrative and practical measures to ensure that environmental assessments of policies relating to the environment prepared under article 43(1) of the Environmental Code, or any legislation that supersedes it, are made available to the public so that they can </w:t>
      </w:r>
      <w:r w:rsidRPr="00B7554F">
        <w:rPr>
          <w:sz w:val="20"/>
          <w:szCs w:val="20"/>
          <w:lang w:val="en-GB"/>
        </w:rPr>
        <w:t>effectively exercise their opportunities to participate under article 7, final sentence, of the Convention.</w:t>
      </w:r>
      <w:r w:rsidRPr="00B7554F">
        <w:rPr>
          <w:sz w:val="20"/>
          <w:lang w:val="en-GB"/>
        </w:rPr>
        <w:t xml:space="preserve"> </w:t>
      </w:r>
    </w:p>
    <w:p w14:paraId="050F43E5" w14:textId="77777777" w:rsidR="008B2B11" w:rsidRPr="00B7554F" w:rsidRDefault="008B2B11" w:rsidP="00263469">
      <w:pPr>
        <w:pStyle w:val="SingleTxtG"/>
        <w:ind w:left="1100" w:right="0"/>
        <w:rPr>
          <w:b/>
          <w:sz w:val="20"/>
          <w:szCs w:val="20"/>
          <w:lang w:val="en-GB"/>
        </w:rPr>
      </w:pPr>
    </w:p>
    <w:p w14:paraId="4BF350E6" w14:textId="35F1FC44" w:rsidR="008E0394" w:rsidRPr="00014337" w:rsidRDefault="008E0394" w:rsidP="00302EC1">
      <w:pPr>
        <w:pStyle w:val="SingleTxtG"/>
        <w:ind w:left="1100" w:right="0"/>
        <w:jc w:val="center"/>
        <w:rPr>
          <w:u w:val="single"/>
          <w:lang w:val="en-GB"/>
        </w:rPr>
      </w:pPr>
      <w:r w:rsidRPr="00B7554F">
        <w:rPr>
          <w:sz w:val="20"/>
          <w:lang w:val="en-GB"/>
        </w:rPr>
        <w:t>_______________</w:t>
      </w:r>
    </w:p>
    <w:sectPr w:rsidR="008E0394" w:rsidRPr="00014337" w:rsidSect="0040071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EF4B" w14:textId="77777777" w:rsidR="003B2E15" w:rsidRDefault="003B2E15"/>
  </w:endnote>
  <w:endnote w:type="continuationSeparator" w:id="0">
    <w:p w14:paraId="64C3C149" w14:textId="77777777" w:rsidR="003B2E15" w:rsidRDefault="003B2E15"/>
  </w:endnote>
  <w:endnote w:type="continuationNotice" w:id="1">
    <w:p w14:paraId="22318950" w14:textId="77777777" w:rsidR="003B2E15" w:rsidRDefault="003B2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FA23" w14:textId="77777777" w:rsidR="004266D1" w:rsidRPr="0023575C" w:rsidRDefault="004266D1"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12</w:t>
    </w:r>
    <w:r w:rsidRPr="002357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AD6C" w14:textId="77777777" w:rsidR="004266D1" w:rsidRPr="0023575C" w:rsidRDefault="004266D1"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6</w:t>
    </w:r>
    <w:r w:rsidRPr="002357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A0A4" w14:textId="213B9FB9" w:rsidR="004266D1" w:rsidRPr="0023575C" w:rsidRDefault="004266D1">
    <w:pPr>
      <w:pStyle w:val="Footer"/>
      <w:rPr>
        <w:sz w:val="20"/>
      </w:rPr>
    </w:pPr>
    <w:r>
      <w:rPr>
        <w:noProof/>
        <w:lang w:val="fr-FR" w:eastAsia="fr-FR"/>
      </w:rPr>
      <w:drawing>
        <wp:anchor distT="0" distB="0" distL="114300" distR="114300" simplePos="0" relativeHeight="251657728" behindDoc="0" locked="1" layoutInCell="1" allowOverlap="1" wp14:anchorId="0D7BA309" wp14:editId="598B5B59">
          <wp:simplePos x="0" y="0"/>
          <wp:positionH relativeFrom="column">
            <wp:posOffset>5148580</wp:posOffset>
          </wp:positionH>
          <wp:positionV relativeFrom="paragraph">
            <wp:posOffset>-114935</wp:posOffset>
          </wp:positionV>
          <wp:extent cx="930275" cy="230505"/>
          <wp:effectExtent l="0" t="0" r="0" b="0"/>
          <wp:wrapNone/>
          <wp:docPr id="1" name="Bild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3F32F" w14:textId="77777777" w:rsidR="003B2E15" w:rsidRPr="000B175B" w:rsidRDefault="003B2E15" w:rsidP="000B175B">
      <w:pPr>
        <w:tabs>
          <w:tab w:val="right" w:pos="2155"/>
        </w:tabs>
        <w:spacing w:after="80"/>
        <w:ind w:left="680"/>
        <w:rPr>
          <w:u w:val="single"/>
        </w:rPr>
      </w:pPr>
      <w:r>
        <w:rPr>
          <w:u w:val="single"/>
        </w:rPr>
        <w:tab/>
      </w:r>
    </w:p>
  </w:footnote>
  <w:footnote w:type="continuationSeparator" w:id="0">
    <w:p w14:paraId="2932D8B4" w14:textId="77777777" w:rsidR="003B2E15" w:rsidRPr="00FC68B7" w:rsidRDefault="003B2E15" w:rsidP="00FC68B7">
      <w:pPr>
        <w:tabs>
          <w:tab w:val="left" w:pos="2155"/>
        </w:tabs>
        <w:spacing w:after="80"/>
        <w:ind w:left="680"/>
        <w:rPr>
          <w:u w:val="single"/>
        </w:rPr>
      </w:pPr>
      <w:r>
        <w:rPr>
          <w:u w:val="single"/>
        </w:rPr>
        <w:tab/>
      </w:r>
    </w:p>
  </w:footnote>
  <w:footnote w:type="continuationNotice" w:id="1">
    <w:p w14:paraId="67242313" w14:textId="77777777" w:rsidR="003B2E15" w:rsidRDefault="003B2E15"/>
  </w:footnote>
  <w:footnote w:id="2">
    <w:p w14:paraId="5B2A3C7A" w14:textId="77777777" w:rsidR="004266D1" w:rsidRPr="00B7554F" w:rsidRDefault="004266D1" w:rsidP="00ED11D2">
      <w:pPr>
        <w:pStyle w:val="FootnoteText"/>
        <w:tabs>
          <w:tab w:val="clear" w:pos="1021"/>
          <w:tab w:val="right" w:pos="709"/>
        </w:tabs>
        <w:ind w:right="0" w:firstLine="0"/>
        <w:jc w:val="both"/>
        <w:rPr>
          <w:szCs w:val="18"/>
          <w:lang w:val="en-GB"/>
        </w:rPr>
      </w:pPr>
      <w:r w:rsidRPr="00B7554F">
        <w:rPr>
          <w:rStyle w:val="FootnoteReference"/>
          <w:szCs w:val="18"/>
          <w:lang w:val="en-GB"/>
        </w:rPr>
        <w:footnoteRef/>
      </w:r>
      <w:r w:rsidRPr="00B7554F">
        <w:rPr>
          <w:szCs w:val="18"/>
          <w:lang w:val="en-GB"/>
        </w:rPr>
        <w:t xml:space="preserve"> This section summarizes only the main facts, evidence and issues considered to be relevant to the question of compliance, as presented to and considered by the Committee.</w:t>
      </w:r>
    </w:p>
  </w:footnote>
  <w:footnote w:id="3">
    <w:p w14:paraId="7E5EF49A" w14:textId="77777777" w:rsidR="004266D1" w:rsidRPr="00B7554F" w:rsidRDefault="004266D1" w:rsidP="003F498A">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annex 1, p. 8.</w:t>
      </w:r>
    </w:p>
  </w:footnote>
  <w:footnote w:id="4">
    <w:p w14:paraId="2D7062AA" w14:textId="62AF9DD1" w:rsidR="004266D1" w:rsidRPr="00B7554F" w:rsidRDefault="004266D1" w:rsidP="00ED11D2">
      <w:pPr>
        <w:pStyle w:val="FootnoteText"/>
        <w:ind w:right="0" w:firstLine="0"/>
        <w:rPr>
          <w:lang w:val="fr-CH"/>
        </w:rPr>
      </w:pPr>
      <w:r w:rsidRPr="00B7554F">
        <w:rPr>
          <w:rStyle w:val="FootnoteReference"/>
          <w:szCs w:val="18"/>
          <w:lang w:val="en-GB"/>
        </w:rPr>
        <w:footnoteRef/>
      </w:r>
      <w:r w:rsidRPr="00B7554F">
        <w:rPr>
          <w:lang w:val="fr-CH"/>
        </w:rPr>
        <w:t xml:space="preserve"> </w:t>
      </w:r>
      <w:r w:rsidRPr="00B7554F">
        <w:rPr>
          <w:szCs w:val="18"/>
          <w:lang w:val="fr-CH"/>
        </w:rPr>
        <w:t>Ibid.,</w:t>
      </w:r>
      <w:r w:rsidRPr="00B7554F">
        <w:rPr>
          <w:lang w:val="fr-CH"/>
        </w:rPr>
        <w:t xml:space="preserve"> p. 9.</w:t>
      </w:r>
    </w:p>
  </w:footnote>
  <w:footnote w:id="5">
    <w:p w14:paraId="4B85DBD7" w14:textId="77777777" w:rsidR="004266D1" w:rsidRPr="00B7554F" w:rsidRDefault="004266D1" w:rsidP="0033141D">
      <w:pPr>
        <w:pStyle w:val="FootnoteText"/>
        <w:ind w:right="0" w:firstLine="0"/>
        <w:rPr>
          <w:lang w:val="en-GB"/>
        </w:rPr>
      </w:pPr>
      <w:r w:rsidRPr="00B7554F">
        <w:rPr>
          <w:rStyle w:val="FootnoteReference"/>
          <w:szCs w:val="18"/>
          <w:lang w:val="en-GB"/>
        </w:rPr>
        <w:footnoteRef/>
      </w:r>
      <w:r w:rsidRPr="00B7554F">
        <w:rPr>
          <w:lang w:val="en-GB"/>
        </w:rPr>
        <w:t xml:space="preserve"> Communication, annex 10, p. 14.</w:t>
      </w:r>
    </w:p>
  </w:footnote>
  <w:footnote w:id="6">
    <w:p w14:paraId="694F96E7" w14:textId="06464926" w:rsidR="004266D1" w:rsidRPr="00B7554F" w:rsidRDefault="004266D1" w:rsidP="00E22AD9">
      <w:pPr>
        <w:pStyle w:val="FootnoteText"/>
        <w:ind w:right="0" w:firstLine="0"/>
        <w:rPr>
          <w:lang w:val="en-GB"/>
        </w:rPr>
      </w:pPr>
      <w:r w:rsidRPr="00B7554F">
        <w:rPr>
          <w:rStyle w:val="FootnoteReference"/>
          <w:szCs w:val="18"/>
          <w:lang w:val="en-GB"/>
        </w:rPr>
        <w:footnoteRef/>
      </w:r>
      <w:r w:rsidRPr="00B7554F">
        <w:rPr>
          <w:szCs w:val="18"/>
          <w:lang w:val="en-GB"/>
        </w:rPr>
        <w:t xml:space="preserve"> Ibid.</w:t>
      </w:r>
    </w:p>
  </w:footnote>
  <w:footnote w:id="7">
    <w:p w14:paraId="2D5D06EB" w14:textId="5170F1B3" w:rsidR="004266D1" w:rsidRPr="00B7554F" w:rsidRDefault="004266D1" w:rsidP="00BC2C91">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to questions, 9 March 2016, pp. 93-94.</w:t>
      </w:r>
    </w:p>
  </w:footnote>
  <w:footnote w:id="8">
    <w:p w14:paraId="64DF2788" w14:textId="77777777" w:rsidR="004266D1" w:rsidRPr="00B7554F" w:rsidRDefault="004266D1">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Party’s response to the communication, annex, p. 160.</w:t>
      </w:r>
    </w:p>
  </w:footnote>
  <w:footnote w:id="9">
    <w:p w14:paraId="5FFC7528" w14:textId="77777777" w:rsidR="004266D1" w:rsidRPr="00B7554F" w:rsidRDefault="004266D1" w:rsidP="002250B6">
      <w:pPr>
        <w:pStyle w:val="FootnoteText"/>
        <w:rPr>
          <w:lang w:val="fr-CH"/>
        </w:rPr>
      </w:pPr>
      <w:r w:rsidRPr="00B7554F">
        <w:rPr>
          <w:lang w:val="en-GB"/>
        </w:rPr>
        <w:tab/>
      </w:r>
      <w:r w:rsidRPr="00B7554F">
        <w:rPr>
          <w:lang w:val="en-GB"/>
        </w:rPr>
        <w:tab/>
      </w:r>
      <w:r w:rsidRPr="00B7554F">
        <w:rPr>
          <w:rStyle w:val="FootnoteReference"/>
          <w:lang w:val="en-GB"/>
        </w:rPr>
        <w:footnoteRef/>
      </w:r>
      <w:r w:rsidRPr="00B7554F">
        <w:rPr>
          <w:lang w:val="fr-CH"/>
        </w:rPr>
        <w:t xml:space="preserve"> </w:t>
      </w:r>
      <w:r w:rsidRPr="00B7554F">
        <w:rPr>
          <w:szCs w:val="18"/>
          <w:lang w:val="fr-CH"/>
        </w:rPr>
        <w:t>Communication</w:t>
      </w:r>
      <w:r w:rsidRPr="00B7554F">
        <w:rPr>
          <w:lang w:val="fr-CH"/>
        </w:rPr>
        <w:t>, annexes 2-3, p. 2.</w:t>
      </w:r>
    </w:p>
  </w:footnote>
  <w:footnote w:id="10">
    <w:p w14:paraId="732756D2" w14:textId="77777777" w:rsidR="004266D1" w:rsidRPr="00B7554F" w:rsidRDefault="004266D1" w:rsidP="00E22AD9">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annex 10, p. 3.</w:t>
      </w:r>
    </w:p>
  </w:footnote>
  <w:footnote w:id="11">
    <w:p w14:paraId="303BCB2F" w14:textId="74F53106" w:rsidR="004266D1" w:rsidRPr="00B7554F" w:rsidRDefault="004266D1">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annex 1, pp. 8-9.</w:t>
      </w:r>
    </w:p>
  </w:footnote>
  <w:footnote w:id="12">
    <w:p w14:paraId="00EE8B91" w14:textId="77777777" w:rsidR="004266D1" w:rsidRPr="00B7554F" w:rsidRDefault="004266D1" w:rsidP="00CE69FF">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annex 8, p. 6.</w:t>
      </w:r>
    </w:p>
  </w:footnote>
  <w:footnote w:id="13">
    <w:p w14:paraId="5A6CE3B6" w14:textId="77777777" w:rsidR="004266D1" w:rsidRPr="00B7554F" w:rsidRDefault="004266D1" w:rsidP="008A4D5D">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annex 10, p. 14.</w:t>
      </w:r>
    </w:p>
  </w:footnote>
  <w:footnote w:id="14">
    <w:p w14:paraId="1E689323" w14:textId="77777777" w:rsidR="004266D1" w:rsidRPr="00B7554F" w:rsidRDefault="004266D1" w:rsidP="008A1776">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annex 1, pp. 8-9.</w:t>
      </w:r>
    </w:p>
  </w:footnote>
  <w:footnote w:id="15">
    <w:p w14:paraId="2CE178BD" w14:textId="7D669A94" w:rsidR="004266D1" w:rsidRPr="00B7554F" w:rsidRDefault="004266D1" w:rsidP="00274AB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9 March 2016, para. 35.</w:t>
      </w:r>
    </w:p>
  </w:footnote>
  <w:footnote w:id="16">
    <w:p w14:paraId="60E1A806" w14:textId="77777777" w:rsidR="004266D1" w:rsidRPr="00B7554F" w:rsidRDefault="004266D1" w:rsidP="00920CD3">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9 and annex 12, p. 17.</w:t>
      </w:r>
    </w:p>
  </w:footnote>
  <w:footnote w:id="17">
    <w:p w14:paraId="4BF7E551" w14:textId="77777777" w:rsidR="004266D1" w:rsidRPr="00B7554F" w:rsidRDefault="004266D1" w:rsidP="00BA0BEF">
      <w:pPr>
        <w:pStyle w:val="FootnoteText"/>
        <w:ind w:right="0" w:firstLine="0"/>
        <w:rPr>
          <w:lang w:val="en-GB"/>
        </w:rPr>
      </w:pPr>
      <w:r w:rsidRPr="00B7554F">
        <w:rPr>
          <w:rStyle w:val="FootnoteReference"/>
          <w:szCs w:val="18"/>
          <w:lang w:val="en-GB"/>
        </w:rPr>
        <w:footnoteRef/>
      </w:r>
      <w:r w:rsidRPr="00B7554F">
        <w:rPr>
          <w:lang w:val="en-GB"/>
        </w:rPr>
        <w:t xml:space="preserve"> Communication, annex 12, pp. 17-18.</w:t>
      </w:r>
    </w:p>
  </w:footnote>
  <w:footnote w:id="18">
    <w:p w14:paraId="07F58AFC" w14:textId="64451314" w:rsidR="004266D1" w:rsidRPr="00B7554F" w:rsidRDefault="004266D1" w:rsidP="009E484A">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9 March 2016, para. 32.</w:t>
      </w:r>
    </w:p>
  </w:footnote>
  <w:footnote w:id="19">
    <w:p w14:paraId="71E19D71" w14:textId="33707945" w:rsidR="004266D1" w:rsidRPr="00B7554F" w:rsidRDefault="004266D1" w:rsidP="007A6C3F">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32.</w:t>
      </w:r>
    </w:p>
  </w:footnote>
  <w:footnote w:id="20">
    <w:p w14:paraId="01A38837" w14:textId="7CE92275" w:rsidR="004266D1" w:rsidRPr="00B7554F" w:rsidRDefault="004266D1" w:rsidP="00105F91">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33.</w:t>
      </w:r>
    </w:p>
  </w:footnote>
  <w:footnote w:id="21">
    <w:p w14:paraId="79AD449F" w14:textId="72D9CFCD" w:rsidR="004266D1" w:rsidRPr="00B7554F" w:rsidRDefault="004266D1" w:rsidP="00B7554F">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response to the communication, para. 26; Party’s reply to questions, 29 November 2016, para. 12; and Party’s comments on the communicant’s comments, 12 December 2016, para. 7.</w:t>
      </w:r>
    </w:p>
  </w:footnote>
  <w:footnote w:id="22">
    <w:p w14:paraId="230A1DD8" w14:textId="77777777" w:rsidR="004266D1" w:rsidRPr="00B7554F" w:rsidRDefault="004266D1" w:rsidP="003E7766">
      <w:pPr>
        <w:pStyle w:val="FootnoteText"/>
        <w:ind w:right="0" w:firstLine="0"/>
        <w:rPr>
          <w:szCs w:val="18"/>
          <w:lang w:val="es-ES"/>
        </w:rPr>
      </w:pPr>
      <w:r w:rsidRPr="00B7554F">
        <w:rPr>
          <w:rStyle w:val="FootnoteReference"/>
          <w:szCs w:val="18"/>
          <w:lang w:val="en-GB"/>
        </w:rPr>
        <w:footnoteRef/>
      </w:r>
      <w:r w:rsidRPr="00B7554F">
        <w:rPr>
          <w:szCs w:val="18"/>
          <w:lang w:val="en-GB"/>
        </w:rPr>
        <w:t xml:space="preserve"> Party’s response to the communication, para. </w:t>
      </w:r>
      <w:r w:rsidRPr="00B7554F">
        <w:rPr>
          <w:szCs w:val="18"/>
          <w:lang w:val="es-ES"/>
        </w:rPr>
        <w:t>26.</w:t>
      </w:r>
    </w:p>
  </w:footnote>
  <w:footnote w:id="23">
    <w:p w14:paraId="7071B88E" w14:textId="2905E622" w:rsidR="004266D1" w:rsidRPr="00B7554F" w:rsidRDefault="004266D1" w:rsidP="0043365F">
      <w:pPr>
        <w:pStyle w:val="FootnoteText"/>
        <w:ind w:right="0" w:firstLine="0"/>
        <w:rPr>
          <w:lang w:val="es-ES"/>
        </w:rPr>
      </w:pPr>
      <w:r w:rsidRPr="00B7554F">
        <w:rPr>
          <w:rStyle w:val="FootnoteReference"/>
          <w:szCs w:val="18"/>
          <w:lang w:val="en-GB"/>
        </w:rPr>
        <w:footnoteRef/>
      </w:r>
      <w:r w:rsidRPr="00B7554F">
        <w:rPr>
          <w:lang w:val="es-ES"/>
        </w:rPr>
        <w:t xml:space="preserve">  Party’s reply, 29 November 2016, para. 19.</w:t>
      </w:r>
    </w:p>
  </w:footnote>
  <w:footnote w:id="24">
    <w:p w14:paraId="55C215F9" w14:textId="625A672A" w:rsidR="004266D1" w:rsidRPr="00B7554F" w:rsidRDefault="004266D1" w:rsidP="003C7933">
      <w:pPr>
        <w:pStyle w:val="FootnoteText"/>
        <w:ind w:right="0" w:firstLine="0"/>
        <w:rPr>
          <w:lang w:val="es-ES"/>
        </w:rPr>
      </w:pPr>
      <w:r w:rsidRPr="00B7554F">
        <w:rPr>
          <w:rStyle w:val="FootnoteReference"/>
          <w:szCs w:val="18"/>
          <w:lang w:val="en-GB"/>
        </w:rPr>
        <w:footnoteRef/>
      </w:r>
      <w:r w:rsidRPr="00B7554F">
        <w:rPr>
          <w:lang w:val="es-ES"/>
        </w:rPr>
        <w:t xml:space="preserve">  </w:t>
      </w:r>
      <w:r w:rsidRPr="00B7554F">
        <w:rPr>
          <w:szCs w:val="18"/>
          <w:lang w:val="es-ES"/>
        </w:rPr>
        <w:t>Ibid.,</w:t>
      </w:r>
      <w:r w:rsidRPr="00B7554F">
        <w:rPr>
          <w:lang w:val="es-ES"/>
        </w:rPr>
        <w:t xml:space="preserve"> para. 20.</w:t>
      </w:r>
    </w:p>
  </w:footnote>
  <w:footnote w:id="25">
    <w:p w14:paraId="11D1CB00" w14:textId="22D56FAA" w:rsidR="004266D1" w:rsidRPr="00B7554F" w:rsidRDefault="004266D1" w:rsidP="00972451">
      <w:pPr>
        <w:pStyle w:val="FootnoteText"/>
        <w:ind w:right="0" w:firstLine="0"/>
        <w:rPr>
          <w:szCs w:val="18"/>
          <w:lang w:val="en-GB"/>
        </w:rPr>
      </w:pPr>
      <w:r w:rsidRPr="00B7554F">
        <w:rPr>
          <w:rStyle w:val="FootnoteReference"/>
          <w:szCs w:val="18"/>
          <w:lang w:val="en-GB"/>
        </w:rPr>
        <w:footnoteRef/>
      </w:r>
      <w:r w:rsidRPr="004B0706">
        <w:rPr>
          <w:lang w:val="es-ES"/>
        </w:rPr>
        <w:t xml:space="preserve">  Ibid., para. </w:t>
      </w:r>
      <w:r w:rsidRPr="00B7554F">
        <w:rPr>
          <w:szCs w:val="18"/>
          <w:lang w:val="en-GB"/>
        </w:rPr>
        <w:t>21.</w:t>
      </w:r>
    </w:p>
  </w:footnote>
  <w:footnote w:id="26">
    <w:p w14:paraId="386574CD" w14:textId="1CEA60D6" w:rsidR="004266D1" w:rsidRPr="00B7554F" w:rsidRDefault="004266D1" w:rsidP="00905D2B">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9, and Party’s response to the communication, para. 27.</w:t>
      </w:r>
    </w:p>
  </w:footnote>
  <w:footnote w:id="27">
    <w:p w14:paraId="288C5346" w14:textId="6691B075" w:rsidR="004266D1" w:rsidRPr="00B7554F" w:rsidRDefault="004266D1" w:rsidP="00ED11D2">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29 November 2016, annex 1, pp. 2-3.</w:t>
      </w:r>
    </w:p>
  </w:footnote>
  <w:footnote w:id="28">
    <w:p w14:paraId="45EFEEBD" w14:textId="7E2B539D" w:rsidR="004266D1" w:rsidRPr="00B7554F" w:rsidRDefault="004266D1" w:rsidP="001977D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to questions, 9 March 2016, p. 15.</w:t>
      </w:r>
    </w:p>
  </w:footnote>
  <w:footnote w:id="29">
    <w:p w14:paraId="20A6A20D" w14:textId="5F33A971" w:rsidR="004266D1" w:rsidRPr="00B7554F" w:rsidRDefault="004266D1" w:rsidP="00A76929">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9 March 2016, para. 51.</w:t>
      </w:r>
    </w:p>
  </w:footnote>
  <w:footnote w:id="30">
    <w:p w14:paraId="33A39AF3" w14:textId="77777777" w:rsidR="004266D1" w:rsidRPr="00B7554F" w:rsidRDefault="004266D1" w:rsidP="009944EF">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response to the communication, para. 28.</w:t>
      </w:r>
    </w:p>
  </w:footnote>
  <w:footnote w:id="31">
    <w:p w14:paraId="267C2808" w14:textId="77777777" w:rsidR="004266D1" w:rsidRPr="00B7554F" w:rsidRDefault="004266D1" w:rsidP="009944EF">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9, and annexes 5-6, p. 2.</w:t>
      </w:r>
    </w:p>
  </w:footnote>
  <w:footnote w:id="32">
    <w:p w14:paraId="041886E3" w14:textId="77777777" w:rsidR="004266D1" w:rsidRPr="00B7554F" w:rsidRDefault="004266D1" w:rsidP="009944EF">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to questions, 23 September 2014, paras. 2-3.</w:t>
      </w:r>
    </w:p>
  </w:footnote>
  <w:footnote w:id="33">
    <w:p w14:paraId="3790D411" w14:textId="5BF8342F" w:rsidR="004266D1" w:rsidRPr="00B7554F" w:rsidRDefault="004266D1" w:rsidP="003A006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5.</w:t>
      </w:r>
    </w:p>
  </w:footnote>
  <w:footnote w:id="34">
    <w:p w14:paraId="7162F45D" w14:textId="5BF6CAA3" w:rsidR="004266D1" w:rsidRPr="00B7554F" w:rsidRDefault="004266D1" w:rsidP="001331DC">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9 March 2016, p. 14.</w:t>
      </w:r>
    </w:p>
  </w:footnote>
  <w:footnote w:id="35">
    <w:p w14:paraId="7C459422" w14:textId="25C8A7B5" w:rsidR="004266D1" w:rsidRPr="00B7554F" w:rsidRDefault="004266D1">
      <w:pPr>
        <w:pStyle w:val="FootnoteText"/>
        <w:rPr>
          <w:szCs w:val="18"/>
          <w:lang w:val="en-GB"/>
        </w:rPr>
      </w:pPr>
      <w:r w:rsidRPr="00B7554F">
        <w:rPr>
          <w:szCs w:val="18"/>
          <w:lang w:val="en-GB"/>
        </w:rPr>
        <w:tab/>
      </w:r>
      <w:r w:rsidRPr="00B7554F">
        <w:rPr>
          <w:szCs w:val="18"/>
          <w:lang w:val="en-GB"/>
        </w:rPr>
        <w:tab/>
      </w:r>
      <w:r w:rsidRPr="00B7554F">
        <w:rPr>
          <w:rStyle w:val="FootnoteReference"/>
          <w:szCs w:val="18"/>
          <w:lang w:val="en-GB"/>
        </w:rPr>
        <w:footnoteRef/>
      </w:r>
      <w:r w:rsidRPr="00B7554F">
        <w:rPr>
          <w:szCs w:val="18"/>
          <w:lang w:val="en-GB"/>
        </w:rPr>
        <w:t xml:space="preserve"> Ibid., p. 13, and Party’s reply, 9 March 2016, para. 82.</w:t>
      </w:r>
    </w:p>
  </w:footnote>
  <w:footnote w:id="36">
    <w:p w14:paraId="7E0A3B3E" w14:textId="4D175FA9" w:rsidR="004266D1" w:rsidRPr="00B7554F" w:rsidRDefault="004266D1" w:rsidP="002C6B93">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23 September 2014, para. 5; and Party’s reply, 9 March 2016, para. 82.</w:t>
      </w:r>
    </w:p>
  </w:footnote>
  <w:footnote w:id="37">
    <w:p w14:paraId="698FB1B5" w14:textId="4BAF2CD5" w:rsidR="004266D1" w:rsidRPr="00B7554F" w:rsidRDefault="004266D1" w:rsidP="00ED11D2">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10 and communicants’ reply, 23 September 2014, paras. 5-6.</w:t>
      </w:r>
    </w:p>
  </w:footnote>
  <w:footnote w:id="38">
    <w:p w14:paraId="27C9D919" w14:textId="19E4CDDA" w:rsidR="004266D1" w:rsidRPr="00B7554F" w:rsidRDefault="004266D1" w:rsidP="000541B1">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response to the communication, para. 30. </w:t>
      </w:r>
    </w:p>
  </w:footnote>
  <w:footnote w:id="39">
    <w:p w14:paraId="79B690F6" w14:textId="7777777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3, and annex 7, p. 2.</w:t>
      </w:r>
    </w:p>
  </w:footnote>
  <w:footnote w:id="40">
    <w:p w14:paraId="6BE420E7" w14:textId="7777777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3, and annex 7, p. 3.</w:t>
      </w:r>
    </w:p>
  </w:footnote>
  <w:footnote w:id="41">
    <w:p w14:paraId="0F18F6CE" w14:textId="7777777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4, and annex 7, pp. 4-5.</w:t>
      </w:r>
    </w:p>
  </w:footnote>
  <w:footnote w:id="42">
    <w:p w14:paraId="4BC0F0D6" w14:textId="7777777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4, and annex 7, pp. 6-7.</w:t>
      </w:r>
    </w:p>
  </w:footnote>
  <w:footnote w:id="43">
    <w:p w14:paraId="215930EC" w14:textId="6D4288BC" w:rsidR="004266D1" w:rsidRPr="004B0706" w:rsidRDefault="004266D1" w:rsidP="00B30754">
      <w:pPr>
        <w:pStyle w:val="FootnoteText"/>
        <w:ind w:right="0" w:firstLine="0"/>
        <w:rPr>
          <w:lang w:val="en-US"/>
        </w:rPr>
      </w:pPr>
      <w:r w:rsidRPr="00B7554F">
        <w:rPr>
          <w:rStyle w:val="FootnoteReference"/>
          <w:szCs w:val="18"/>
          <w:lang w:val="en-GB"/>
        </w:rPr>
        <w:footnoteRef/>
      </w:r>
      <w:r w:rsidRPr="004B0706">
        <w:rPr>
          <w:lang w:val="en-US"/>
        </w:rPr>
        <w:t xml:space="preserve"> Ibid.</w:t>
      </w:r>
    </w:p>
  </w:footnote>
  <w:footnote w:id="44">
    <w:p w14:paraId="75B69E94" w14:textId="77777777" w:rsidR="004266D1" w:rsidRPr="004B0706" w:rsidRDefault="004266D1" w:rsidP="00B30754">
      <w:pPr>
        <w:pStyle w:val="FootnoteText"/>
        <w:ind w:right="0" w:firstLine="0"/>
        <w:rPr>
          <w:lang w:val="en-US"/>
        </w:rPr>
      </w:pPr>
      <w:r w:rsidRPr="00B7554F">
        <w:rPr>
          <w:rStyle w:val="FootnoteReference"/>
          <w:szCs w:val="18"/>
          <w:lang w:val="en-GB"/>
        </w:rPr>
        <w:footnoteRef/>
      </w:r>
      <w:r w:rsidRPr="004B0706">
        <w:rPr>
          <w:lang w:val="en-US"/>
        </w:rPr>
        <w:t xml:space="preserve"> Communication, p. 5.</w:t>
      </w:r>
    </w:p>
  </w:footnote>
  <w:footnote w:id="45">
    <w:p w14:paraId="79EE9397" w14:textId="1A57D53A" w:rsidR="004266D1" w:rsidRPr="004B0706" w:rsidRDefault="004266D1" w:rsidP="00B30754">
      <w:pPr>
        <w:pStyle w:val="FootnoteText"/>
        <w:ind w:right="0" w:firstLine="0"/>
        <w:rPr>
          <w:lang w:val="en-US"/>
        </w:rPr>
      </w:pPr>
      <w:r w:rsidRPr="00B7554F">
        <w:rPr>
          <w:rStyle w:val="FootnoteReference"/>
          <w:szCs w:val="18"/>
          <w:lang w:val="en-GB"/>
        </w:rPr>
        <w:footnoteRef/>
      </w:r>
      <w:r w:rsidRPr="004B0706">
        <w:rPr>
          <w:lang w:val="en-US"/>
        </w:rPr>
        <w:t xml:space="preserve"> Ibid.</w:t>
      </w:r>
    </w:p>
  </w:footnote>
  <w:footnote w:id="46">
    <w:p w14:paraId="50A10390" w14:textId="77777777" w:rsidR="004266D1" w:rsidRPr="004B0706" w:rsidRDefault="004266D1" w:rsidP="00B30754">
      <w:pPr>
        <w:pStyle w:val="FootnoteText"/>
        <w:ind w:right="0" w:firstLine="0"/>
        <w:rPr>
          <w:lang w:val="en-US"/>
        </w:rPr>
      </w:pPr>
      <w:r w:rsidRPr="00B7554F">
        <w:rPr>
          <w:rStyle w:val="FootnoteReference"/>
          <w:szCs w:val="18"/>
          <w:lang w:val="en-GB"/>
        </w:rPr>
        <w:footnoteRef/>
      </w:r>
      <w:r w:rsidRPr="004B0706">
        <w:rPr>
          <w:lang w:val="en-US"/>
        </w:rPr>
        <w:t xml:space="preserve"> Communication, pp. 5-6.</w:t>
      </w:r>
    </w:p>
  </w:footnote>
  <w:footnote w:id="47">
    <w:p w14:paraId="4C1280F5" w14:textId="77777777" w:rsidR="004266D1" w:rsidRPr="004B0706" w:rsidRDefault="004266D1" w:rsidP="00B30754">
      <w:pPr>
        <w:pStyle w:val="FootnoteText"/>
        <w:ind w:right="0" w:firstLine="0"/>
        <w:rPr>
          <w:lang w:val="en-US"/>
        </w:rPr>
      </w:pPr>
      <w:r w:rsidRPr="00B7554F">
        <w:rPr>
          <w:rStyle w:val="FootnoteReference"/>
          <w:szCs w:val="18"/>
          <w:lang w:val="en-GB"/>
        </w:rPr>
        <w:footnoteRef/>
      </w:r>
      <w:r w:rsidRPr="004B0706">
        <w:rPr>
          <w:lang w:val="en-US"/>
        </w:rPr>
        <w:t xml:space="preserve"> Communication, p. 5, and annex 7, pp. 8-9.</w:t>
      </w:r>
    </w:p>
  </w:footnote>
  <w:footnote w:id="48">
    <w:p w14:paraId="7CEA0214" w14:textId="77777777" w:rsidR="004266D1" w:rsidRPr="004B0706" w:rsidRDefault="004266D1" w:rsidP="00B30754">
      <w:pPr>
        <w:pStyle w:val="FootnoteText"/>
        <w:ind w:right="0" w:firstLine="0"/>
        <w:rPr>
          <w:lang w:val="en-US"/>
        </w:rPr>
      </w:pPr>
      <w:r w:rsidRPr="00B7554F">
        <w:rPr>
          <w:rStyle w:val="FootnoteReference"/>
          <w:szCs w:val="18"/>
          <w:lang w:val="en-GB"/>
        </w:rPr>
        <w:footnoteRef/>
      </w:r>
      <w:r w:rsidRPr="004B0706">
        <w:rPr>
          <w:lang w:val="en-US"/>
        </w:rPr>
        <w:t xml:space="preserve"> Communication, p. 6, and annex 7, pp. 10-11.</w:t>
      </w:r>
    </w:p>
  </w:footnote>
  <w:footnote w:id="49">
    <w:p w14:paraId="385EB99E" w14:textId="77777777" w:rsidR="004266D1" w:rsidRPr="004B0706" w:rsidRDefault="004266D1" w:rsidP="00B30754">
      <w:pPr>
        <w:pStyle w:val="FootnoteText"/>
        <w:ind w:right="0" w:firstLine="0"/>
        <w:rPr>
          <w:lang w:val="en-US"/>
        </w:rPr>
      </w:pPr>
      <w:r w:rsidRPr="00B7554F">
        <w:rPr>
          <w:rStyle w:val="FootnoteReference"/>
          <w:szCs w:val="18"/>
          <w:lang w:val="en-GB"/>
        </w:rPr>
        <w:footnoteRef/>
      </w:r>
      <w:r w:rsidRPr="004B0706">
        <w:rPr>
          <w:lang w:val="en-US"/>
        </w:rPr>
        <w:t xml:space="preserve"> Communication, p. 6.</w:t>
      </w:r>
    </w:p>
  </w:footnote>
  <w:footnote w:id="50">
    <w:p w14:paraId="2503C215" w14:textId="77777777" w:rsidR="004266D1" w:rsidRPr="004B0706" w:rsidRDefault="004266D1" w:rsidP="00B30754">
      <w:pPr>
        <w:pStyle w:val="FootnoteText"/>
        <w:ind w:right="0" w:firstLine="0"/>
        <w:rPr>
          <w:lang w:val="en-GB"/>
        </w:rPr>
      </w:pPr>
      <w:r w:rsidRPr="00B7554F">
        <w:rPr>
          <w:rStyle w:val="FootnoteReference"/>
          <w:szCs w:val="18"/>
          <w:lang w:val="en-GB"/>
        </w:rPr>
        <w:footnoteRef/>
      </w:r>
      <w:r w:rsidRPr="004B0706">
        <w:rPr>
          <w:lang w:val="en-GB"/>
        </w:rPr>
        <w:t xml:space="preserve"> Communication, p. 6 and annex 7, pp. 12-14.</w:t>
      </w:r>
    </w:p>
  </w:footnote>
  <w:footnote w:id="51">
    <w:p w14:paraId="1C3977BF" w14:textId="7777777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6 and annex 7, pp. 15-16.</w:t>
      </w:r>
    </w:p>
  </w:footnote>
  <w:footnote w:id="52">
    <w:p w14:paraId="63B3A53D" w14:textId="77777777" w:rsidR="004266D1" w:rsidRPr="004B0706" w:rsidRDefault="004266D1" w:rsidP="00B30754">
      <w:pPr>
        <w:pStyle w:val="FootnoteText"/>
        <w:ind w:right="0" w:firstLine="0"/>
        <w:rPr>
          <w:lang w:val="en-US"/>
        </w:rPr>
      </w:pPr>
      <w:r w:rsidRPr="00B7554F">
        <w:rPr>
          <w:rStyle w:val="FootnoteReference"/>
          <w:szCs w:val="18"/>
          <w:lang w:val="en-GB"/>
        </w:rPr>
        <w:footnoteRef/>
      </w:r>
      <w:r w:rsidRPr="004B0706">
        <w:rPr>
          <w:lang w:val="en-US"/>
        </w:rPr>
        <w:t xml:space="preserve"> Communication, p. 6.</w:t>
      </w:r>
    </w:p>
  </w:footnote>
  <w:footnote w:id="53">
    <w:p w14:paraId="3A28661F" w14:textId="369BD07D" w:rsidR="004266D1" w:rsidRPr="00B7554F" w:rsidRDefault="004266D1" w:rsidP="00B30754">
      <w:pPr>
        <w:pStyle w:val="FootnoteText"/>
        <w:ind w:right="0" w:firstLine="0"/>
        <w:rPr>
          <w:lang w:val="en-GB"/>
        </w:rPr>
      </w:pPr>
      <w:r w:rsidRPr="00B7554F">
        <w:rPr>
          <w:rStyle w:val="FootnoteReference"/>
          <w:szCs w:val="18"/>
          <w:lang w:val="en-GB"/>
        </w:rPr>
        <w:footnoteRef/>
      </w:r>
      <w:r w:rsidRPr="00B7554F">
        <w:rPr>
          <w:lang w:val="en-GB"/>
        </w:rPr>
        <w:t xml:space="preserve"> </w:t>
      </w:r>
      <w:r w:rsidRPr="00B7554F">
        <w:rPr>
          <w:szCs w:val="18"/>
          <w:lang w:val="en-GB"/>
        </w:rPr>
        <w:t>Ibid</w:t>
      </w:r>
      <w:r w:rsidRPr="00B7554F">
        <w:rPr>
          <w:lang w:val="en-GB"/>
        </w:rPr>
        <w:t xml:space="preserve">. </w:t>
      </w:r>
    </w:p>
  </w:footnote>
  <w:footnote w:id="54">
    <w:p w14:paraId="3AE28B4E" w14:textId="129A0AA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pp. 6-7 and annex 7, pp. 17-18.</w:t>
      </w:r>
    </w:p>
  </w:footnote>
  <w:footnote w:id="55">
    <w:p w14:paraId="45AD9AE9" w14:textId="77777777" w:rsidR="004266D1" w:rsidRPr="00B7554F" w:rsidRDefault="004266D1" w:rsidP="00B30754">
      <w:pPr>
        <w:pStyle w:val="FootnoteText"/>
        <w:ind w:right="0" w:firstLine="0"/>
        <w:rPr>
          <w:lang w:val="en-GB"/>
        </w:rPr>
      </w:pPr>
      <w:r w:rsidRPr="00B7554F">
        <w:rPr>
          <w:rStyle w:val="FootnoteReference"/>
          <w:lang w:val="en-GB"/>
        </w:rPr>
        <w:footnoteRef/>
      </w:r>
      <w:r w:rsidRPr="00B7554F">
        <w:rPr>
          <w:lang w:val="en-GB"/>
        </w:rPr>
        <w:t xml:space="preserve"> </w:t>
      </w:r>
      <w:r w:rsidRPr="00B7554F">
        <w:rPr>
          <w:szCs w:val="18"/>
          <w:lang w:val="en-GB"/>
        </w:rPr>
        <w:t>Communication p. 7 and annex 7, p. 19.</w:t>
      </w:r>
    </w:p>
  </w:footnote>
  <w:footnote w:id="56">
    <w:p w14:paraId="301CC83E" w14:textId="77777777" w:rsidR="004266D1" w:rsidRPr="00B7554F" w:rsidRDefault="004266D1" w:rsidP="00B30754">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annex 7, p. 19.</w:t>
      </w:r>
    </w:p>
  </w:footnote>
  <w:footnote w:id="57">
    <w:p w14:paraId="5B3AC611" w14:textId="77777777" w:rsidR="004266D1" w:rsidRPr="00B7554F" w:rsidRDefault="004266D1" w:rsidP="00B30754">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p. 7 and annex 7, p. 19</w:t>
      </w:r>
    </w:p>
  </w:footnote>
  <w:footnote w:id="58">
    <w:p w14:paraId="7B27EC13" w14:textId="0CF73ACE" w:rsidR="004266D1" w:rsidRPr="00B7554F" w:rsidRDefault="004266D1" w:rsidP="00B30754">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p. 7.</w:t>
      </w:r>
    </w:p>
  </w:footnote>
  <w:footnote w:id="59">
    <w:p w14:paraId="45989076" w14:textId="0397B300" w:rsidR="004266D1" w:rsidRPr="008A0053" w:rsidRDefault="004266D1" w:rsidP="00B30754">
      <w:pPr>
        <w:pStyle w:val="FootnoteText"/>
        <w:ind w:right="0" w:firstLine="0"/>
        <w:rPr>
          <w:szCs w:val="18"/>
          <w:lang w:val="en-GB"/>
        </w:rPr>
      </w:pPr>
      <w:r w:rsidRPr="00B7554F">
        <w:rPr>
          <w:rStyle w:val="FootnoteReference"/>
          <w:szCs w:val="18"/>
          <w:lang w:val="en-GB"/>
        </w:rPr>
        <w:footnoteRef/>
      </w:r>
      <w:r w:rsidRPr="008A0053">
        <w:rPr>
          <w:szCs w:val="18"/>
          <w:lang w:val="en-GB"/>
        </w:rPr>
        <w:t xml:space="preserve"> Ibid.</w:t>
      </w:r>
    </w:p>
  </w:footnote>
  <w:footnote w:id="60">
    <w:p w14:paraId="08EAC694" w14:textId="7777777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7, and annex 7, p. 20-21.</w:t>
      </w:r>
    </w:p>
  </w:footnote>
  <w:footnote w:id="61">
    <w:p w14:paraId="31B13A73" w14:textId="6DBAC962"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8.</w:t>
      </w:r>
    </w:p>
  </w:footnote>
  <w:footnote w:id="62">
    <w:p w14:paraId="0A54762D" w14:textId="3A9767D5"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8, and communicants’ reply, 9 March 2016, p. 18.</w:t>
      </w:r>
    </w:p>
  </w:footnote>
  <w:footnote w:id="63">
    <w:p w14:paraId="65464149" w14:textId="7777777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pp. 8-9, and annex 9, pp. 2-3, and 6-7.</w:t>
      </w:r>
    </w:p>
  </w:footnote>
  <w:footnote w:id="64">
    <w:p w14:paraId="53437C6A" w14:textId="7777777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8, and annex 9, pp. 4-5, and 8-11.</w:t>
      </w:r>
    </w:p>
  </w:footnote>
  <w:footnote w:id="65">
    <w:p w14:paraId="5F08C1C0" w14:textId="77777777" w:rsidR="004266D1" w:rsidRPr="00B7554F" w:rsidRDefault="004266D1" w:rsidP="00B3075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8, and annex 9, pp. 4-5 and 10-11.</w:t>
      </w:r>
    </w:p>
  </w:footnote>
  <w:footnote w:id="66">
    <w:p w14:paraId="6DFDDB62" w14:textId="77777777" w:rsidR="004266D1" w:rsidRPr="00B7554F" w:rsidRDefault="004266D1" w:rsidP="00B30754">
      <w:pPr>
        <w:pStyle w:val="FootnoteText"/>
        <w:ind w:right="0" w:firstLine="0"/>
        <w:rPr>
          <w:szCs w:val="18"/>
          <w:lang w:val="fr-CH"/>
        </w:rPr>
      </w:pPr>
      <w:r w:rsidRPr="00B7554F">
        <w:rPr>
          <w:rStyle w:val="FootnoteReference"/>
          <w:szCs w:val="18"/>
          <w:lang w:val="en-GB"/>
        </w:rPr>
        <w:footnoteRef/>
      </w:r>
      <w:r w:rsidRPr="00B7554F">
        <w:rPr>
          <w:szCs w:val="18"/>
          <w:lang w:val="fr-CH"/>
        </w:rPr>
        <w:t xml:space="preserve"> Communication, annex 9, p. 11.</w:t>
      </w:r>
    </w:p>
  </w:footnote>
  <w:footnote w:id="67">
    <w:p w14:paraId="3ED62960" w14:textId="77777777" w:rsidR="004266D1" w:rsidRPr="00B7554F" w:rsidRDefault="004266D1" w:rsidP="00F64F1E">
      <w:pPr>
        <w:pStyle w:val="FootnoteText"/>
        <w:ind w:right="0" w:firstLine="0"/>
        <w:rPr>
          <w:lang w:val="fr-FR"/>
        </w:rPr>
      </w:pPr>
      <w:r w:rsidRPr="00B7554F">
        <w:rPr>
          <w:rStyle w:val="FootnoteReference"/>
          <w:szCs w:val="18"/>
          <w:lang w:val="en-GB"/>
        </w:rPr>
        <w:footnoteRef/>
      </w:r>
      <w:r w:rsidRPr="00B7554F">
        <w:rPr>
          <w:lang w:val="fr-FR"/>
        </w:rPr>
        <w:t xml:space="preserve"> Communication, p. 14.</w:t>
      </w:r>
    </w:p>
  </w:footnote>
  <w:footnote w:id="68">
    <w:p w14:paraId="2842CA4A" w14:textId="32AFEEF1" w:rsidR="004266D1" w:rsidRPr="00B7554F" w:rsidRDefault="004266D1" w:rsidP="00FB2F2A">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23 September 2014, annex, pp. 1-2.</w:t>
      </w:r>
    </w:p>
  </w:footnote>
  <w:footnote w:id="69">
    <w:p w14:paraId="24576D76" w14:textId="6E1D57E7" w:rsidR="004266D1" w:rsidRPr="00B7554F" w:rsidRDefault="004266D1" w:rsidP="009250F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4.</w:t>
      </w:r>
    </w:p>
  </w:footnote>
  <w:footnote w:id="70">
    <w:p w14:paraId="65169130" w14:textId="5F193C19" w:rsidR="004266D1" w:rsidRPr="00B7554F" w:rsidRDefault="004266D1" w:rsidP="001513EF">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paras. 2-6.</w:t>
      </w:r>
    </w:p>
  </w:footnote>
  <w:footnote w:id="71">
    <w:p w14:paraId="44514AEF" w14:textId="6B68C6A6" w:rsidR="004266D1" w:rsidRPr="00B7554F" w:rsidRDefault="004266D1">
      <w:pPr>
        <w:pStyle w:val="FootnoteText"/>
        <w:rPr>
          <w:lang w:val="en-GB"/>
        </w:rPr>
      </w:pPr>
      <w:r w:rsidRPr="00B7554F">
        <w:tab/>
      </w:r>
      <w:r w:rsidRPr="00B7554F">
        <w:tab/>
      </w:r>
      <w:r w:rsidRPr="00B7554F">
        <w:rPr>
          <w:rStyle w:val="FootnoteReference"/>
        </w:rPr>
        <w:footnoteRef/>
      </w:r>
      <w:r w:rsidRPr="00B7554F">
        <w:t xml:space="preserve"> </w:t>
      </w:r>
      <w:r w:rsidRPr="00B7554F">
        <w:rPr>
          <w:szCs w:val="18"/>
          <w:lang w:val="en-GB"/>
        </w:rPr>
        <w:t>Party’s response to the communication</w:t>
      </w:r>
      <w:r w:rsidRPr="00B7554F">
        <w:rPr>
          <w:lang w:val="en-GB"/>
        </w:rPr>
        <w:t>, paras. 12 and 15.</w:t>
      </w:r>
    </w:p>
  </w:footnote>
  <w:footnote w:id="72">
    <w:p w14:paraId="4482E0BC" w14:textId="226DA26C" w:rsidR="004266D1" w:rsidRPr="00B7554F" w:rsidRDefault="004266D1" w:rsidP="001513EF">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20.</w:t>
      </w:r>
    </w:p>
  </w:footnote>
  <w:footnote w:id="73">
    <w:p w14:paraId="70899617" w14:textId="5D7734F0" w:rsidR="004266D1" w:rsidRPr="00B7554F" w:rsidRDefault="004266D1" w:rsidP="000E1475">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Communicants’ reply, 9 March 2016, pp. 2 and 11.</w:t>
      </w:r>
    </w:p>
  </w:footnote>
  <w:footnote w:id="74">
    <w:p w14:paraId="39709F6C" w14:textId="77777777" w:rsidR="004266D1" w:rsidRPr="00B7554F" w:rsidRDefault="004266D1" w:rsidP="00C7245E">
      <w:pPr>
        <w:pStyle w:val="FootnoteText"/>
        <w:ind w:right="0" w:firstLine="0"/>
        <w:rPr>
          <w:lang w:val="en-GB"/>
        </w:rPr>
      </w:pPr>
      <w:r w:rsidRPr="00B7554F">
        <w:rPr>
          <w:rStyle w:val="FootnoteReference"/>
          <w:szCs w:val="18"/>
          <w:lang w:val="en-GB"/>
        </w:rPr>
        <w:footnoteRef/>
      </w:r>
      <w:r w:rsidRPr="00B7554F">
        <w:rPr>
          <w:szCs w:val="18"/>
          <w:lang w:val="en-GB"/>
        </w:rPr>
        <w:t xml:space="preserve"> Party’s response to the communication, para. 10</w:t>
      </w:r>
      <w:r w:rsidRPr="00B7554F">
        <w:rPr>
          <w:lang w:val="en-GB"/>
        </w:rPr>
        <w:t>.</w:t>
      </w:r>
    </w:p>
  </w:footnote>
  <w:footnote w:id="75">
    <w:p w14:paraId="3624BC73" w14:textId="54AD71C6" w:rsidR="004266D1" w:rsidRPr="00B7554F" w:rsidRDefault="004266D1" w:rsidP="008924C7">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11, and Party’s reply, 9 March 2016, paras. 16-25.</w:t>
      </w:r>
    </w:p>
  </w:footnote>
  <w:footnote w:id="76">
    <w:p w14:paraId="3A5E6956" w14:textId="35316B58" w:rsidR="004266D1" w:rsidRPr="00B7554F" w:rsidRDefault="004266D1" w:rsidP="008924C7">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response to the communication, para. 11, and Party’s reply, 9 March 2016, para. 15.</w:t>
      </w:r>
    </w:p>
  </w:footnote>
  <w:footnote w:id="77">
    <w:p w14:paraId="52FBCEC0" w14:textId="4136BDDE" w:rsidR="004266D1" w:rsidRPr="00B7554F" w:rsidRDefault="004266D1" w:rsidP="008924C7">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9 March 2016, para. 29.</w:t>
      </w:r>
    </w:p>
  </w:footnote>
  <w:footnote w:id="78">
    <w:p w14:paraId="1E12B6D0" w14:textId="54C55538" w:rsidR="004266D1" w:rsidRPr="00B7554F" w:rsidRDefault="004266D1" w:rsidP="00E917A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Observer statement at Committee’s 50</w:t>
      </w:r>
      <w:r w:rsidRPr="00B7554F">
        <w:rPr>
          <w:szCs w:val="18"/>
          <w:vertAlign w:val="superscript"/>
          <w:lang w:val="en-GB"/>
        </w:rPr>
        <w:t>th</w:t>
      </w:r>
      <w:r w:rsidRPr="00B7554F">
        <w:rPr>
          <w:szCs w:val="18"/>
          <w:lang w:val="en-GB"/>
        </w:rPr>
        <w:t xml:space="preserve"> meeting (Greenpeace Central and Eastern Europe), 9 October 2015, p. 2.</w:t>
      </w:r>
    </w:p>
  </w:footnote>
  <w:footnote w:id="79">
    <w:p w14:paraId="6736D892" w14:textId="77777777" w:rsidR="004266D1" w:rsidRPr="00B7554F" w:rsidRDefault="004266D1" w:rsidP="00382AB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response to the communication, para. 56.</w:t>
      </w:r>
    </w:p>
  </w:footnote>
  <w:footnote w:id="80">
    <w:p w14:paraId="32CA4096" w14:textId="2A638772" w:rsidR="004266D1" w:rsidRPr="00B7554F" w:rsidRDefault="004266D1" w:rsidP="003B1CC4">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w:t>
      </w:r>
    </w:p>
  </w:footnote>
  <w:footnote w:id="81">
    <w:p w14:paraId="3BE313CB" w14:textId="6C1ECFF4" w:rsidR="004266D1" w:rsidRPr="00B7554F" w:rsidRDefault="004266D1" w:rsidP="00EC59E7">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Communication, pp. 11-12</w:t>
      </w:r>
    </w:p>
  </w:footnote>
  <w:footnote w:id="82">
    <w:p w14:paraId="117B1E47" w14:textId="77777777" w:rsidR="004266D1" w:rsidRPr="00B7554F" w:rsidRDefault="004266D1">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Communication, p. 12.</w:t>
      </w:r>
    </w:p>
  </w:footnote>
  <w:footnote w:id="83">
    <w:p w14:paraId="3B4540DE" w14:textId="751CA977" w:rsidR="004266D1" w:rsidRPr="00B7554F" w:rsidRDefault="004266D1" w:rsidP="00011139">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Communicants’ reply, 9 March 2016, p. 17.</w:t>
      </w:r>
    </w:p>
  </w:footnote>
  <w:footnote w:id="84">
    <w:p w14:paraId="6AD64B87" w14:textId="679E34BC" w:rsidR="004266D1" w:rsidRPr="00B7554F" w:rsidRDefault="004266D1" w:rsidP="00011139">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Ibid., pp. 17-18.</w:t>
      </w:r>
    </w:p>
  </w:footnote>
  <w:footnote w:id="85">
    <w:p w14:paraId="3A1C73CD" w14:textId="77777777" w:rsidR="004266D1" w:rsidRPr="00B7554F" w:rsidRDefault="004266D1" w:rsidP="002B6A5C">
      <w:pPr>
        <w:pStyle w:val="FootnoteText"/>
        <w:ind w:right="0" w:firstLine="0"/>
        <w:rPr>
          <w:lang w:val="en-GB"/>
        </w:rPr>
      </w:pPr>
      <w:r w:rsidRPr="00B7554F">
        <w:rPr>
          <w:rStyle w:val="FootnoteReference"/>
          <w:szCs w:val="18"/>
          <w:lang w:val="en-GB"/>
        </w:rPr>
        <w:footnoteRef/>
      </w:r>
      <w:r w:rsidRPr="00B7554F">
        <w:rPr>
          <w:szCs w:val="18"/>
          <w:lang w:val="en-GB"/>
        </w:rPr>
        <w:t xml:space="preserve"> Party’s response to the communication, para. </w:t>
      </w:r>
      <w:r w:rsidRPr="00B7554F">
        <w:rPr>
          <w:lang w:val="en-GB"/>
        </w:rPr>
        <w:t>54.</w:t>
      </w:r>
    </w:p>
  </w:footnote>
  <w:footnote w:id="86">
    <w:p w14:paraId="70935FC1" w14:textId="0920D136" w:rsidR="004266D1" w:rsidRPr="004B0706" w:rsidRDefault="004266D1" w:rsidP="002603F8">
      <w:pPr>
        <w:pStyle w:val="FootnoteText"/>
        <w:ind w:right="0" w:firstLine="0"/>
        <w:rPr>
          <w:lang w:val="en-GB"/>
        </w:rPr>
      </w:pPr>
      <w:r w:rsidRPr="00B7554F">
        <w:rPr>
          <w:rStyle w:val="FootnoteReference"/>
          <w:szCs w:val="18"/>
          <w:lang w:val="en-GB"/>
        </w:rPr>
        <w:footnoteRef/>
      </w:r>
      <w:r w:rsidRPr="00B7554F">
        <w:rPr>
          <w:szCs w:val="18"/>
          <w:lang w:val="en-GB"/>
        </w:rPr>
        <w:t xml:space="preserve"> Party’s comments on the communicants’ reply, 21 April 2016, para. </w:t>
      </w:r>
      <w:r w:rsidRPr="004B0706">
        <w:rPr>
          <w:lang w:val="en-GB"/>
        </w:rPr>
        <w:t>24.</w:t>
      </w:r>
    </w:p>
  </w:footnote>
  <w:footnote w:id="87">
    <w:p w14:paraId="60CD589C" w14:textId="77777777" w:rsidR="004266D1" w:rsidRPr="004B0706" w:rsidRDefault="004266D1" w:rsidP="00345CEF">
      <w:pPr>
        <w:pStyle w:val="FootnoteText"/>
        <w:ind w:right="0" w:firstLine="0"/>
        <w:rPr>
          <w:lang w:val="en-GB"/>
        </w:rPr>
      </w:pPr>
      <w:r w:rsidRPr="00B7554F">
        <w:rPr>
          <w:rStyle w:val="FootnoteReference"/>
          <w:szCs w:val="18"/>
          <w:lang w:val="en-GB"/>
        </w:rPr>
        <w:footnoteRef/>
      </w:r>
      <w:r w:rsidRPr="004B0706">
        <w:rPr>
          <w:lang w:val="en-GB"/>
        </w:rPr>
        <w:t xml:space="preserve"> Communication, p. 12</w:t>
      </w:r>
    </w:p>
  </w:footnote>
  <w:footnote w:id="88">
    <w:p w14:paraId="4C02EAB8" w14:textId="77777777" w:rsidR="004266D1" w:rsidRPr="004B0706" w:rsidRDefault="004266D1" w:rsidP="00ED4310">
      <w:pPr>
        <w:pStyle w:val="FootnoteText"/>
        <w:ind w:left="2268"/>
        <w:rPr>
          <w:lang w:val="en-GB"/>
        </w:rPr>
      </w:pPr>
      <w:r w:rsidRPr="00B7554F">
        <w:rPr>
          <w:rStyle w:val="FootnoteReference"/>
        </w:rPr>
        <w:footnoteRef/>
      </w:r>
      <w:r w:rsidRPr="004B0706">
        <w:rPr>
          <w:lang w:val="en-GB"/>
        </w:rPr>
        <w:t xml:space="preserve">Aarhus Convention: An </w:t>
      </w:r>
      <w:r w:rsidRPr="00B7554F">
        <w:t>Implementation Guide</w:t>
      </w:r>
      <w:r w:rsidRPr="004B0706">
        <w:rPr>
          <w:lang w:val="en-GB"/>
        </w:rPr>
        <w:t>, second edition, 2014, United</w:t>
      </w:r>
    </w:p>
    <w:p w14:paraId="26F36911" w14:textId="77777777" w:rsidR="004266D1" w:rsidRPr="00B7554F" w:rsidRDefault="004266D1" w:rsidP="00ED4310">
      <w:pPr>
        <w:pStyle w:val="FootnoteText"/>
        <w:ind w:left="2268"/>
        <w:rPr>
          <w:szCs w:val="18"/>
          <w:lang w:val="en-GB"/>
        </w:rPr>
      </w:pPr>
      <w:r w:rsidRPr="00B7554F">
        <w:rPr>
          <w:szCs w:val="18"/>
          <w:lang w:val="en-GB"/>
        </w:rPr>
        <w:t>Nations publication, Sales No. E.13.II.E.3</w:t>
      </w:r>
      <w:r w:rsidRPr="00B7554F">
        <w:rPr>
          <w:lang w:val="en-GB"/>
        </w:rPr>
        <w:t>.</w:t>
      </w:r>
    </w:p>
  </w:footnote>
  <w:footnote w:id="89">
    <w:p w14:paraId="5AAAAEDD" w14:textId="77777777" w:rsidR="004266D1" w:rsidRPr="00B7554F" w:rsidRDefault="004266D1" w:rsidP="00ED4310">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13.</w:t>
      </w:r>
    </w:p>
  </w:footnote>
  <w:footnote w:id="90">
    <w:p w14:paraId="1F676B9A" w14:textId="77777777" w:rsidR="004266D1" w:rsidRPr="00B7554F" w:rsidRDefault="004266D1" w:rsidP="006B7640">
      <w:pPr>
        <w:pStyle w:val="FootnoteText"/>
        <w:ind w:right="0" w:firstLine="0"/>
        <w:rPr>
          <w:lang w:val="en-GB"/>
        </w:rPr>
      </w:pPr>
      <w:r w:rsidRPr="00B7554F">
        <w:rPr>
          <w:rStyle w:val="FootnoteReference"/>
          <w:szCs w:val="18"/>
          <w:lang w:val="en-GB"/>
        </w:rPr>
        <w:footnoteRef/>
      </w:r>
      <w:r w:rsidRPr="00B7554F">
        <w:rPr>
          <w:lang w:val="en-GB"/>
        </w:rPr>
        <w:t xml:space="preserve"> Communication, pp. 12-13</w:t>
      </w:r>
    </w:p>
  </w:footnote>
  <w:footnote w:id="91">
    <w:p w14:paraId="3DDA485B" w14:textId="77777777" w:rsidR="004266D1" w:rsidRPr="00B7554F" w:rsidRDefault="004266D1" w:rsidP="006B7640">
      <w:pPr>
        <w:pStyle w:val="FootnoteText"/>
        <w:ind w:right="0" w:firstLine="0"/>
        <w:rPr>
          <w:lang w:val="en-GB"/>
        </w:rPr>
      </w:pPr>
      <w:r w:rsidRPr="00B7554F">
        <w:rPr>
          <w:rStyle w:val="FootnoteReference"/>
          <w:szCs w:val="18"/>
          <w:lang w:val="en-GB"/>
        </w:rPr>
        <w:footnoteRef/>
      </w:r>
      <w:r w:rsidRPr="00B7554F">
        <w:rPr>
          <w:lang w:val="en-GB"/>
        </w:rPr>
        <w:t xml:space="preserve"> Party’s response to the communication, para. 55.</w:t>
      </w:r>
    </w:p>
  </w:footnote>
  <w:footnote w:id="92">
    <w:p w14:paraId="515F219F" w14:textId="3B07F4F9" w:rsidR="004266D1" w:rsidRPr="00B7554F" w:rsidRDefault="004266D1" w:rsidP="002603F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Communication, p. 13.</w:t>
      </w:r>
    </w:p>
  </w:footnote>
  <w:footnote w:id="93">
    <w:p w14:paraId="278CDDED" w14:textId="2950563B" w:rsidR="004266D1" w:rsidRPr="00B7554F" w:rsidRDefault="004266D1" w:rsidP="0038408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response to the communication, paras. 51-52</w:t>
      </w:r>
    </w:p>
  </w:footnote>
  <w:footnote w:id="94">
    <w:p w14:paraId="18C07D75" w14:textId="4B06B240" w:rsidR="004266D1" w:rsidRPr="00B7554F" w:rsidRDefault="004266D1" w:rsidP="002603F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53.</w:t>
      </w:r>
    </w:p>
  </w:footnote>
  <w:footnote w:id="95">
    <w:p w14:paraId="2B99B6E4" w14:textId="5AF10C7A" w:rsidR="004266D1" w:rsidRPr="00B7554F" w:rsidRDefault="004266D1" w:rsidP="00C975C3">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C</w:t>
      </w:r>
      <w:r w:rsidRPr="00B7554F">
        <w:rPr>
          <w:szCs w:val="18"/>
          <w:lang w:val="en-GB"/>
        </w:rPr>
        <w:t>ommunicants’ reply, 9 March 2016, p. 19.</w:t>
      </w:r>
    </w:p>
  </w:footnote>
  <w:footnote w:id="96">
    <w:p w14:paraId="430A03F2" w14:textId="77777777" w:rsidR="004266D1" w:rsidRPr="00B7554F" w:rsidRDefault="004266D1" w:rsidP="00C53CD9">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response to the communication, para. 57.</w:t>
      </w:r>
    </w:p>
  </w:footnote>
  <w:footnote w:id="97">
    <w:p w14:paraId="724640D0" w14:textId="6C788C3E" w:rsidR="004266D1" w:rsidRPr="00B7554F" w:rsidRDefault="004266D1" w:rsidP="004D712B">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24.</w:t>
      </w:r>
    </w:p>
  </w:footnote>
  <w:footnote w:id="98">
    <w:p w14:paraId="45E2C82B" w14:textId="77777777" w:rsidR="004266D1" w:rsidRPr="00B7554F" w:rsidRDefault="004266D1" w:rsidP="00960780">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comments on Party’s reply, 3 December 2016, p. 2.</w:t>
      </w:r>
    </w:p>
  </w:footnote>
  <w:footnote w:id="99">
    <w:p w14:paraId="0CA5EC36" w14:textId="77777777" w:rsidR="004266D1" w:rsidRPr="00B7554F" w:rsidRDefault="004266D1" w:rsidP="006135CF">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paras. 17-18, and Party’s comments on the communicants’ comments, 12 December 2016, paras. 5-8.</w:t>
      </w:r>
    </w:p>
  </w:footnote>
  <w:footnote w:id="100">
    <w:p w14:paraId="0C316CF8" w14:textId="67A92440" w:rsidR="004266D1" w:rsidRPr="00B7554F" w:rsidRDefault="004266D1" w:rsidP="0074339A">
      <w:pPr>
        <w:pStyle w:val="FootnoteText"/>
        <w:ind w:firstLine="0"/>
        <w:rPr>
          <w:szCs w:val="18"/>
          <w:lang w:val="en-GB"/>
        </w:rPr>
      </w:pPr>
      <w:r w:rsidRPr="00B7554F">
        <w:rPr>
          <w:rStyle w:val="FootnoteReference"/>
          <w:szCs w:val="18"/>
          <w:lang w:val="en-GB"/>
        </w:rPr>
        <w:footnoteRef/>
      </w:r>
      <w:r w:rsidRPr="00B7554F">
        <w:rPr>
          <w:szCs w:val="18"/>
          <w:lang w:val="en-GB"/>
        </w:rPr>
        <w:t xml:space="preserve"> Party’s reply, 25 November 2016, paras. 13-15.</w:t>
      </w:r>
    </w:p>
  </w:footnote>
  <w:footnote w:id="101">
    <w:p w14:paraId="24DE9CD2" w14:textId="1E7D5DE3" w:rsidR="004266D1" w:rsidRPr="00B7554F" w:rsidRDefault="004266D1" w:rsidP="00C84D82">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w:t>
      </w:r>
      <w:r w:rsidRPr="00B7554F">
        <w:rPr>
          <w:szCs w:val="18"/>
          <w:lang w:val="en-GB"/>
        </w:rPr>
        <w:t>Communicants’ reply, 9 March 2016, pp. 16 and 18-19.</w:t>
      </w:r>
    </w:p>
  </w:footnote>
  <w:footnote w:id="102">
    <w:p w14:paraId="027DAF55" w14:textId="17A19EF4" w:rsidR="004266D1" w:rsidRPr="00B7554F" w:rsidRDefault="004266D1" w:rsidP="00D877FE">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 15.</w:t>
      </w:r>
    </w:p>
  </w:footnote>
  <w:footnote w:id="103">
    <w:p w14:paraId="2ABC13C4" w14:textId="2E5BA8FE" w:rsidR="004266D1" w:rsidRPr="00B7554F" w:rsidRDefault="004266D1" w:rsidP="000126BA">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 16.</w:t>
      </w:r>
    </w:p>
  </w:footnote>
  <w:footnote w:id="104">
    <w:p w14:paraId="0C4F0F6A" w14:textId="6AF36043" w:rsidR="004266D1" w:rsidRPr="00B7554F" w:rsidRDefault="004266D1" w:rsidP="00F93B37">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comments on Party’s reply, 3 December 2016, p. 1.</w:t>
      </w:r>
    </w:p>
  </w:footnote>
  <w:footnote w:id="105">
    <w:p w14:paraId="6D25FD4A" w14:textId="69CEC9E9" w:rsidR="004266D1" w:rsidRPr="00B7554F" w:rsidRDefault="004266D1" w:rsidP="00226D3B">
      <w:pPr>
        <w:pStyle w:val="FootnoteText"/>
        <w:ind w:right="0" w:firstLine="0"/>
        <w:rPr>
          <w:lang w:val="en-GB"/>
        </w:rPr>
      </w:pPr>
      <w:r w:rsidRPr="00B7554F">
        <w:rPr>
          <w:rStyle w:val="FootnoteReference"/>
          <w:lang w:val="en-GB"/>
        </w:rPr>
        <w:footnoteRef/>
      </w:r>
      <w:r w:rsidRPr="00B7554F">
        <w:rPr>
          <w:lang w:val="en-GB"/>
        </w:rPr>
        <w:t xml:space="preserve"> Party’s reply, 9 March 2016, para. 50, </w:t>
      </w:r>
      <w:r w:rsidRPr="00B7554F">
        <w:rPr>
          <w:szCs w:val="18"/>
          <w:lang w:val="en-GB"/>
        </w:rPr>
        <w:t>and Party’s reply, 25 November 2016, para. 19.</w:t>
      </w:r>
    </w:p>
  </w:footnote>
  <w:footnote w:id="106">
    <w:p w14:paraId="1AD5D41D" w14:textId="2EA42CC0" w:rsidR="004266D1" w:rsidRPr="00B7554F" w:rsidRDefault="004266D1" w:rsidP="00486257">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25 November 2016, para. 1, and Party’s comments on communicants’ comments, 9 December 2016, para. 1.</w:t>
      </w:r>
    </w:p>
  </w:footnote>
  <w:footnote w:id="107">
    <w:p w14:paraId="18371D33" w14:textId="00317D2E" w:rsidR="004266D1" w:rsidRPr="00B7554F" w:rsidRDefault="004266D1" w:rsidP="00486257">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25 November 2016, paras. 1-2 and 5.</w:t>
      </w:r>
    </w:p>
  </w:footnote>
  <w:footnote w:id="108">
    <w:p w14:paraId="518822FC" w14:textId="15C0CA53" w:rsidR="004266D1" w:rsidRPr="00B7554F" w:rsidRDefault="004266D1" w:rsidP="0094628E">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C</w:t>
      </w:r>
      <w:r w:rsidRPr="00B7554F">
        <w:rPr>
          <w:szCs w:val="18"/>
          <w:lang w:val="en-GB"/>
        </w:rPr>
        <w:t>ommunicants’ reply, 9 March 2016, p. 16.</w:t>
      </w:r>
    </w:p>
  </w:footnote>
  <w:footnote w:id="109">
    <w:p w14:paraId="6EB30758" w14:textId="4F5BD668" w:rsidR="004266D1" w:rsidRPr="00B7554F" w:rsidRDefault="004266D1" w:rsidP="00616A16">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Ibid.</w:t>
      </w:r>
      <w:r w:rsidRPr="00B7554F">
        <w:rPr>
          <w:szCs w:val="18"/>
          <w:lang w:val="en-GB"/>
        </w:rPr>
        <w:t>, pp. 16, 18 and 19.</w:t>
      </w:r>
    </w:p>
  </w:footnote>
  <w:footnote w:id="110">
    <w:p w14:paraId="603754FE" w14:textId="77777777" w:rsidR="004266D1" w:rsidRPr="00B7554F" w:rsidRDefault="004266D1" w:rsidP="00B57BB5">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C</w:t>
      </w:r>
      <w:r w:rsidRPr="00B7554F">
        <w:rPr>
          <w:szCs w:val="18"/>
          <w:lang w:val="en-GB"/>
        </w:rPr>
        <w:t>ommunicants’ comments on Party’s reply, 24 March 2016, p. 3.</w:t>
      </w:r>
    </w:p>
  </w:footnote>
  <w:footnote w:id="111">
    <w:p w14:paraId="652DA717" w14:textId="201E9FDB" w:rsidR="004266D1" w:rsidRPr="00B7554F" w:rsidRDefault="004266D1" w:rsidP="005E7699">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w:t>
      </w:r>
      <w:r w:rsidRPr="00B7554F">
        <w:rPr>
          <w:lang w:val="en-GB"/>
        </w:rPr>
        <w:t>C</w:t>
      </w:r>
      <w:r w:rsidRPr="00B7554F">
        <w:rPr>
          <w:szCs w:val="18"/>
          <w:lang w:val="en-GB"/>
        </w:rPr>
        <w:t>ommunicants’ reply, 9 March 2016, p. 18.</w:t>
      </w:r>
    </w:p>
  </w:footnote>
  <w:footnote w:id="112">
    <w:p w14:paraId="59F2B702" w14:textId="32D71B04" w:rsidR="004266D1" w:rsidRPr="00B7554F" w:rsidRDefault="004266D1" w:rsidP="002424C5">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9 March 2016, para. 51.</w:t>
      </w:r>
    </w:p>
  </w:footnote>
  <w:footnote w:id="113">
    <w:p w14:paraId="02BE8F6C" w14:textId="555676CC" w:rsidR="004266D1" w:rsidRPr="00B7554F" w:rsidRDefault="004266D1" w:rsidP="006B3543">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w:t>
      </w:r>
      <w:r w:rsidRPr="00B7554F">
        <w:rPr>
          <w:szCs w:val="18"/>
          <w:lang w:val="en-GB"/>
        </w:rPr>
        <w:t>Ibid., pp. 14-15.</w:t>
      </w:r>
    </w:p>
  </w:footnote>
  <w:footnote w:id="114">
    <w:p w14:paraId="6390DC9A" w14:textId="71184932" w:rsidR="004266D1" w:rsidRPr="00B7554F" w:rsidRDefault="004266D1" w:rsidP="006D2146">
      <w:pPr>
        <w:pStyle w:val="FootnoteText"/>
        <w:rPr>
          <w:szCs w:val="18"/>
          <w:lang w:val="en-GB"/>
        </w:rPr>
      </w:pPr>
      <w:r w:rsidRPr="00B7554F">
        <w:rPr>
          <w:szCs w:val="18"/>
          <w:lang w:val="en-GB"/>
        </w:rPr>
        <w:tab/>
      </w:r>
      <w:r w:rsidRPr="00B7554F">
        <w:rPr>
          <w:szCs w:val="18"/>
          <w:lang w:val="en-GB"/>
        </w:rPr>
        <w:tab/>
      </w:r>
      <w:r w:rsidRPr="00B7554F">
        <w:rPr>
          <w:rStyle w:val="FootnoteReference"/>
          <w:szCs w:val="18"/>
          <w:lang w:val="en-GB"/>
        </w:rPr>
        <w:footnoteRef/>
      </w:r>
      <w:r w:rsidRPr="00B7554F">
        <w:rPr>
          <w:szCs w:val="18"/>
          <w:lang w:val="en-GB"/>
        </w:rPr>
        <w:t xml:space="preserve"> Communicants’ comments on the Party’s response, 24 March 2016, p 2.</w:t>
      </w:r>
    </w:p>
  </w:footnote>
  <w:footnote w:id="115">
    <w:p w14:paraId="476BECE5" w14:textId="2D0BE0C3" w:rsidR="004266D1" w:rsidRPr="00B7554F" w:rsidRDefault="004266D1" w:rsidP="00144FB8">
      <w:pPr>
        <w:pStyle w:val="FootnoteText"/>
        <w:rPr>
          <w:szCs w:val="18"/>
          <w:lang w:val="en-GB"/>
        </w:rPr>
      </w:pPr>
      <w:r w:rsidRPr="00B7554F">
        <w:rPr>
          <w:szCs w:val="18"/>
          <w:lang w:val="en-GB"/>
        </w:rPr>
        <w:tab/>
      </w:r>
      <w:r w:rsidRPr="00B7554F">
        <w:rPr>
          <w:szCs w:val="18"/>
          <w:lang w:val="en-GB"/>
        </w:rPr>
        <w:tab/>
      </w:r>
      <w:r w:rsidRPr="00B7554F">
        <w:rPr>
          <w:rStyle w:val="FootnoteReference"/>
          <w:szCs w:val="18"/>
          <w:lang w:val="en-GB"/>
        </w:rPr>
        <w:footnoteRef/>
      </w:r>
      <w:r w:rsidRPr="00B7554F">
        <w:rPr>
          <w:szCs w:val="18"/>
          <w:lang w:val="en-GB"/>
        </w:rPr>
        <w:t xml:space="preserve"> Ibid., pp. 2-3.</w:t>
      </w:r>
    </w:p>
  </w:footnote>
  <w:footnote w:id="116">
    <w:p w14:paraId="126BDBB8" w14:textId="095241E9" w:rsidR="004266D1" w:rsidRPr="00B7554F" w:rsidRDefault="004266D1" w:rsidP="00D3682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9 March 2016, para. 45.</w:t>
      </w:r>
    </w:p>
  </w:footnote>
  <w:footnote w:id="117">
    <w:p w14:paraId="4ED8E31B" w14:textId="33FD6050" w:rsidR="004266D1" w:rsidRPr="00B7554F" w:rsidRDefault="004266D1" w:rsidP="00DB1152">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paras. 32-33.</w:t>
      </w:r>
    </w:p>
  </w:footnote>
  <w:footnote w:id="118">
    <w:p w14:paraId="585BB023" w14:textId="1A64A67F" w:rsidR="004266D1" w:rsidRPr="00B7554F" w:rsidRDefault="004266D1" w:rsidP="000A5426">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39.</w:t>
      </w:r>
    </w:p>
  </w:footnote>
  <w:footnote w:id="119">
    <w:p w14:paraId="50811B96" w14:textId="77777777" w:rsidR="004266D1" w:rsidRPr="00B7554F" w:rsidRDefault="004266D1" w:rsidP="000A5426">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Directive </w:t>
      </w:r>
      <w:r w:rsidRPr="00B7554F">
        <w:rPr>
          <w:lang w:val="en-GB"/>
        </w:rPr>
        <w:t>2001/42/EC of the European Parliament and of the Council of 27 June 2001 on the assessment of the effects of certain plans and programmes on the environment</w:t>
      </w:r>
      <w:r w:rsidRPr="00B7554F">
        <w:rPr>
          <w:szCs w:val="18"/>
          <w:lang w:val="en-GB"/>
        </w:rPr>
        <w:t>.</w:t>
      </w:r>
    </w:p>
  </w:footnote>
  <w:footnote w:id="120">
    <w:p w14:paraId="040C206A" w14:textId="77777777" w:rsidR="004266D1" w:rsidRPr="00B7554F" w:rsidRDefault="004266D1" w:rsidP="006264A5">
      <w:pPr>
        <w:pStyle w:val="FootnoteText"/>
        <w:ind w:right="0" w:firstLine="0"/>
        <w:rPr>
          <w:lang w:val="en-GB"/>
        </w:rPr>
      </w:pPr>
      <w:r w:rsidRPr="00B7554F">
        <w:rPr>
          <w:rStyle w:val="FootnoteReference"/>
          <w:szCs w:val="18"/>
          <w:lang w:val="en-GB"/>
        </w:rPr>
        <w:footnoteRef/>
      </w:r>
      <w:r w:rsidRPr="00B7554F">
        <w:rPr>
          <w:szCs w:val="18"/>
          <w:lang w:val="en-GB"/>
        </w:rPr>
        <w:t xml:space="preserve"> </w:t>
      </w:r>
      <w:r w:rsidRPr="00B7554F">
        <w:rPr>
          <w:lang w:val="en-GB"/>
        </w:rPr>
        <w:t>Protocol on Strategic Environmental Assessment to the Convention on Environmental Impact Assessment in a Transboundary Context, Kjiv, 21 May 2003</w:t>
      </w:r>
      <w:r w:rsidRPr="00B7554F">
        <w:rPr>
          <w:szCs w:val="18"/>
          <w:lang w:val="en-GB"/>
        </w:rPr>
        <w:t>.</w:t>
      </w:r>
    </w:p>
  </w:footnote>
  <w:footnote w:id="121">
    <w:p w14:paraId="60442A98" w14:textId="6311CE71" w:rsidR="004266D1" w:rsidRPr="00B7554F" w:rsidRDefault="004266D1" w:rsidP="000A5426">
      <w:pPr>
        <w:pStyle w:val="FootnoteText"/>
        <w:ind w:right="0" w:firstLine="0"/>
        <w:rPr>
          <w:lang w:val="en-GB"/>
        </w:rPr>
      </w:pPr>
      <w:r w:rsidRPr="00B7554F">
        <w:rPr>
          <w:rStyle w:val="FootnoteReference"/>
          <w:lang w:val="en-GB"/>
        </w:rPr>
        <w:footnoteRef/>
      </w:r>
      <w:r w:rsidRPr="00B7554F">
        <w:rPr>
          <w:lang w:val="en-GB"/>
        </w:rPr>
        <w:t xml:space="preserve"> </w:t>
      </w:r>
      <w:r w:rsidRPr="00B7554F">
        <w:rPr>
          <w:szCs w:val="18"/>
          <w:lang w:val="en-GB"/>
        </w:rPr>
        <w:t>Party’s reply, 9 March 2016, paras. 39-41.</w:t>
      </w:r>
    </w:p>
  </w:footnote>
  <w:footnote w:id="122">
    <w:p w14:paraId="3222E9E1" w14:textId="225409EA" w:rsidR="004266D1" w:rsidRPr="00B7554F" w:rsidRDefault="004266D1" w:rsidP="00CA09CA">
      <w:pPr>
        <w:pStyle w:val="FootnoteText"/>
        <w:ind w:right="0" w:firstLine="0"/>
        <w:rPr>
          <w:lang w:val="en-GB"/>
        </w:rPr>
      </w:pPr>
      <w:r w:rsidRPr="00B7554F">
        <w:rPr>
          <w:rStyle w:val="FootnoteReference"/>
          <w:lang w:val="en-GB"/>
        </w:rPr>
        <w:footnoteRef/>
      </w:r>
      <w:r w:rsidRPr="00B7554F">
        <w:rPr>
          <w:lang w:val="en-GB"/>
        </w:rPr>
        <w:t xml:space="preserve"> </w:t>
      </w:r>
      <w:r w:rsidRPr="00B7554F">
        <w:rPr>
          <w:szCs w:val="18"/>
          <w:lang w:val="en-GB"/>
        </w:rPr>
        <w:t>Ibid., para. 42.</w:t>
      </w:r>
    </w:p>
  </w:footnote>
  <w:footnote w:id="123">
    <w:p w14:paraId="00731C5B" w14:textId="77777777" w:rsidR="004266D1" w:rsidRPr="00B7554F" w:rsidRDefault="004266D1" w:rsidP="0025439F">
      <w:pPr>
        <w:pStyle w:val="FootnoteText"/>
        <w:ind w:right="0" w:firstLine="0"/>
        <w:rPr>
          <w:lang w:val="en-GB"/>
        </w:rPr>
      </w:pPr>
      <w:r w:rsidRPr="00B7554F">
        <w:rPr>
          <w:rStyle w:val="FootnoteReference"/>
          <w:lang w:val="en-GB"/>
        </w:rPr>
        <w:footnoteRef/>
      </w:r>
      <w:r w:rsidRPr="00B7554F">
        <w:rPr>
          <w:lang w:val="en-GB"/>
        </w:rPr>
        <w:t xml:space="preserve"> </w:t>
      </w:r>
      <w:r w:rsidRPr="00B7554F">
        <w:rPr>
          <w:szCs w:val="18"/>
          <w:lang w:val="en-GB"/>
        </w:rPr>
        <w:t>Party’s comments on the communicants’ reply, 21 April 2016, paras. 12-13.</w:t>
      </w:r>
    </w:p>
  </w:footnote>
  <w:footnote w:id="124">
    <w:p w14:paraId="5B138AB3" w14:textId="0D0D1D31" w:rsidR="004266D1" w:rsidRPr="00B7554F" w:rsidRDefault="004266D1" w:rsidP="005F2317">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14.</w:t>
      </w:r>
    </w:p>
  </w:footnote>
  <w:footnote w:id="125">
    <w:p w14:paraId="17BCE559" w14:textId="7EEC5479" w:rsidR="004266D1" w:rsidRPr="00B7554F" w:rsidRDefault="004266D1" w:rsidP="00E61129">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15.</w:t>
      </w:r>
    </w:p>
  </w:footnote>
  <w:footnote w:id="126">
    <w:p w14:paraId="44B750FD" w14:textId="043E7266" w:rsidR="004266D1" w:rsidRPr="00B7554F" w:rsidRDefault="004266D1" w:rsidP="006B3543">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w:t>
      </w:r>
      <w:r w:rsidRPr="00B7554F">
        <w:rPr>
          <w:szCs w:val="18"/>
          <w:lang w:val="en-GB"/>
        </w:rPr>
        <w:t>Communicants’ reply, 9 March 2016, p. 15.</w:t>
      </w:r>
    </w:p>
  </w:footnote>
  <w:footnote w:id="127">
    <w:p w14:paraId="47AAC297" w14:textId="4B71B059" w:rsidR="004266D1" w:rsidRPr="00B7554F" w:rsidRDefault="004266D1" w:rsidP="00A13A1E">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w:t>
      </w:r>
      <w:r w:rsidRPr="00B7554F">
        <w:rPr>
          <w:szCs w:val="18"/>
          <w:lang w:val="en-GB"/>
        </w:rPr>
        <w:t>Ibid., p. 13.</w:t>
      </w:r>
    </w:p>
  </w:footnote>
  <w:footnote w:id="128">
    <w:p w14:paraId="7CF7FC09" w14:textId="6387330D" w:rsidR="004266D1" w:rsidRPr="00B7554F" w:rsidRDefault="004266D1" w:rsidP="0025439F">
      <w:pPr>
        <w:pStyle w:val="FootnoteText"/>
        <w:ind w:firstLine="0"/>
        <w:rPr>
          <w:lang w:val="en-GB"/>
        </w:rPr>
      </w:pPr>
      <w:r w:rsidRPr="00B7554F">
        <w:rPr>
          <w:rStyle w:val="FootnoteReference"/>
          <w:lang w:val="en-GB"/>
        </w:rPr>
        <w:footnoteRef/>
      </w:r>
      <w:r w:rsidRPr="00B7554F">
        <w:rPr>
          <w:lang w:val="en-GB"/>
        </w:rPr>
        <w:t xml:space="preserve"> Party’s reply</w:t>
      </w:r>
      <w:r w:rsidRPr="00B7554F">
        <w:rPr>
          <w:szCs w:val="18"/>
          <w:lang w:val="en-GB"/>
        </w:rPr>
        <w:t>, 25 November 2016, para. 4.</w:t>
      </w:r>
    </w:p>
  </w:footnote>
  <w:footnote w:id="129">
    <w:p w14:paraId="60BDD2A0" w14:textId="27D187DF" w:rsidR="004266D1" w:rsidRPr="00B7554F" w:rsidRDefault="004266D1" w:rsidP="00144FB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9 March 2016, p. 15.</w:t>
      </w:r>
    </w:p>
  </w:footnote>
  <w:footnote w:id="130">
    <w:p w14:paraId="6D461CC3" w14:textId="2C562F8F" w:rsidR="004266D1" w:rsidRPr="00B7554F" w:rsidRDefault="004266D1" w:rsidP="000B0317">
      <w:pPr>
        <w:pStyle w:val="FootnoteText"/>
        <w:ind w:firstLine="0"/>
        <w:rPr>
          <w:lang w:val="en-GB"/>
        </w:rPr>
      </w:pPr>
      <w:r w:rsidRPr="00B7554F">
        <w:rPr>
          <w:rStyle w:val="FootnoteReference"/>
          <w:lang w:val="en-GB"/>
        </w:rPr>
        <w:footnoteRef/>
      </w:r>
      <w:r w:rsidRPr="00B7554F">
        <w:rPr>
          <w:lang w:val="en-GB"/>
        </w:rPr>
        <w:t xml:space="preserve"> Party’s reply</w:t>
      </w:r>
      <w:r w:rsidRPr="00B7554F">
        <w:rPr>
          <w:szCs w:val="18"/>
          <w:lang w:val="en-GB"/>
        </w:rPr>
        <w:t>, 9 March 2016, para. 43.</w:t>
      </w:r>
    </w:p>
  </w:footnote>
  <w:footnote w:id="131">
    <w:p w14:paraId="2FE3D0B5" w14:textId="016B479C" w:rsidR="004266D1" w:rsidRPr="00B7554F" w:rsidRDefault="004266D1" w:rsidP="002603F8">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Ibid., para. 43.</w:t>
      </w:r>
    </w:p>
  </w:footnote>
  <w:footnote w:id="132">
    <w:p w14:paraId="51CA85EC" w14:textId="1D721378" w:rsidR="004266D1" w:rsidRPr="00B7554F" w:rsidRDefault="004266D1" w:rsidP="0043284C">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w:t>
      </w:r>
      <w:r w:rsidRPr="00B7554F">
        <w:rPr>
          <w:szCs w:val="18"/>
          <w:lang w:val="en-GB"/>
        </w:rPr>
        <w:t>Ibid., para. 82.</w:t>
      </w:r>
    </w:p>
  </w:footnote>
  <w:footnote w:id="133">
    <w:p w14:paraId="602E930C" w14:textId="77777777" w:rsidR="004266D1" w:rsidRPr="00B7554F" w:rsidRDefault="004266D1" w:rsidP="00FD05E5">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w:t>
      </w:r>
      <w:r w:rsidRPr="00B7554F">
        <w:rPr>
          <w:szCs w:val="18"/>
          <w:lang w:val="en-GB"/>
        </w:rPr>
        <w:t>Communicants’ reply to Committee’s questions, 9 March 2016, p. 15.</w:t>
      </w:r>
    </w:p>
  </w:footnote>
  <w:footnote w:id="134">
    <w:p w14:paraId="75CC1390" w14:textId="77777777" w:rsidR="004266D1" w:rsidRPr="00B7554F" w:rsidRDefault="004266D1" w:rsidP="00FD05E5">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w:t>
      </w:r>
      <w:r w:rsidRPr="00B7554F">
        <w:rPr>
          <w:szCs w:val="18"/>
          <w:lang w:val="en-GB"/>
        </w:rPr>
        <w:t>Communicants’ reply to Committee’s questions, 9 March 2016, pp. 16 and 18.</w:t>
      </w:r>
    </w:p>
  </w:footnote>
  <w:footnote w:id="135">
    <w:p w14:paraId="31178435" w14:textId="77777777" w:rsidR="004266D1" w:rsidRPr="00B7554F" w:rsidRDefault="004266D1" w:rsidP="00FD05E5">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to Committee’s questions, 9 March 2016, p. 15.</w:t>
      </w:r>
    </w:p>
  </w:footnote>
  <w:footnote w:id="136">
    <w:p w14:paraId="6E37B9B2" w14:textId="77777777" w:rsidR="004266D1" w:rsidRPr="00B7554F" w:rsidRDefault="004266D1" w:rsidP="00FD05E5">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w:t>
      </w:r>
      <w:r w:rsidRPr="00B7554F">
        <w:rPr>
          <w:szCs w:val="18"/>
          <w:lang w:val="en-GB"/>
        </w:rPr>
        <w:t>Communicants’ reply to Committee’s questions, 9 March 2016, p. 16.</w:t>
      </w:r>
    </w:p>
  </w:footnote>
  <w:footnote w:id="137">
    <w:p w14:paraId="6ADBD6B3" w14:textId="77777777" w:rsidR="004266D1" w:rsidRPr="00B7554F" w:rsidRDefault="004266D1" w:rsidP="00FD05E5">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w:t>
      </w:r>
      <w:r w:rsidRPr="00B7554F">
        <w:rPr>
          <w:szCs w:val="18"/>
          <w:lang w:val="en-GB"/>
        </w:rPr>
        <w:t>Communicants’ reply to Committee’s questions, 9 March 2016, p. 16.</w:t>
      </w:r>
    </w:p>
  </w:footnote>
  <w:footnote w:id="138">
    <w:p w14:paraId="0EC886BE" w14:textId="77777777" w:rsidR="004266D1" w:rsidRPr="00B7554F" w:rsidRDefault="004266D1" w:rsidP="00FD05E5">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to Committee’s questions, 9 March 2016, p. 16, and communicants’ comments on the Party’s reply to questions, 3 December 2016, p. 1.</w:t>
      </w:r>
    </w:p>
  </w:footnote>
  <w:footnote w:id="139">
    <w:p w14:paraId="3DE5E849" w14:textId="77777777" w:rsidR="004266D1" w:rsidRPr="00B7554F" w:rsidRDefault="004266D1" w:rsidP="00FD05E5">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comments on the Party’s reply to questions, 3 December 2016, p. 1.</w:t>
      </w:r>
    </w:p>
  </w:footnote>
  <w:footnote w:id="140">
    <w:p w14:paraId="380D1A60" w14:textId="77777777" w:rsidR="004266D1" w:rsidRPr="00B7554F" w:rsidRDefault="004266D1" w:rsidP="00FD05E5">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comments on the Party’s reply to questions, 3 December 2016, pp. 1-2.</w:t>
      </w:r>
    </w:p>
  </w:footnote>
  <w:footnote w:id="141">
    <w:p w14:paraId="69B9B741" w14:textId="77777777" w:rsidR="004266D1" w:rsidRPr="00B7554F" w:rsidRDefault="004266D1" w:rsidP="00FD05E5">
      <w:pPr>
        <w:pStyle w:val="FootnoteText"/>
        <w:ind w:right="0" w:firstLine="0"/>
        <w:rPr>
          <w:lang w:val="fr-CH"/>
        </w:rPr>
      </w:pPr>
      <w:r w:rsidRPr="00B7554F">
        <w:rPr>
          <w:rStyle w:val="FootnoteReference"/>
          <w:lang w:val="en-GB"/>
        </w:rPr>
        <w:footnoteRef/>
      </w:r>
      <w:r w:rsidRPr="00B7554F">
        <w:rPr>
          <w:lang w:val="en-GB"/>
        </w:rPr>
        <w:t xml:space="preserve"> Party’s reply to Committee’s questions, 9 March 2016, para. </w:t>
      </w:r>
      <w:r w:rsidRPr="00B7554F">
        <w:rPr>
          <w:lang w:val="fr-CH"/>
        </w:rPr>
        <w:t>50.</w:t>
      </w:r>
    </w:p>
  </w:footnote>
  <w:footnote w:id="142">
    <w:p w14:paraId="14B8256A" w14:textId="77777777" w:rsidR="004266D1" w:rsidRPr="00B7554F" w:rsidRDefault="004266D1" w:rsidP="00FD05E5">
      <w:pPr>
        <w:pStyle w:val="FootnoteText"/>
        <w:ind w:right="0" w:firstLine="0"/>
        <w:rPr>
          <w:lang w:val="en-GB"/>
        </w:rPr>
      </w:pPr>
      <w:r w:rsidRPr="00B7554F">
        <w:rPr>
          <w:rStyle w:val="FootnoteReference"/>
          <w:lang w:val="en-GB"/>
        </w:rPr>
        <w:footnoteRef/>
      </w:r>
      <w:r w:rsidRPr="00B7554F">
        <w:rPr>
          <w:lang w:val="fr-CH"/>
        </w:rPr>
        <w:t xml:space="preserve"> Party’s comments on communicants’ comments, 12 December 2016, paras. </w:t>
      </w:r>
      <w:r w:rsidRPr="00B7554F">
        <w:rPr>
          <w:lang w:val="en-GB"/>
        </w:rPr>
        <w:t>3-6 and annexes 1 and 2.</w:t>
      </w:r>
    </w:p>
  </w:footnote>
  <w:footnote w:id="143">
    <w:p w14:paraId="777FFD17" w14:textId="77777777" w:rsidR="004266D1" w:rsidRPr="00B7554F" w:rsidRDefault="004266D1" w:rsidP="00FD05E5">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to Committee’s questions, 25 November 2016, paras. 1 and 6.</w:t>
      </w:r>
    </w:p>
  </w:footnote>
  <w:footnote w:id="144">
    <w:p w14:paraId="15B6762E" w14:textId="77777777" w:rsidR="004266D1" w:rsidRPr="00B7554F" w:rsidRDefault="004266D1" w:rsidP="006A4095">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C</w:t>
      </w:r>
      <w:r w:rsidRPr="00B7554F">
        <w:rPr>
          <w:szCs w:val="18"/>
          <w:lang w:val="en-GB"/>
        </w:rPr>
        <w:t>ommunicants’ comments on the reply of the Party concerned, 24 March 2016, pp. 3-4.</w:t>
      </w:r>
    </w:p>
  </w:footnote>
  <w:footnote w:id="145">
    <w:p w14:paraId="041D544B" w14:textId="77777777" w:rsidR="004266D1" w:rsidRPr="00B7554F" w:rsidRDefault="004266D1" w:rsidP="00FD05E5">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C</w:t>
      </w:r>
      <w:r w:rsidRPr="00B7554F">
        <w:rPr>
          <w:szCs w:val="18"/>
          <w:lang w:val="en-GB"/>
        </w:rPr>
        <w:t>ommunicants’ reply to Committee’s questions, 9 March 2016, p. 16.</w:t>
      </w:r>
    </w:p>
  </w:footnote>
  <w:footnote w:id="146">
    <w:p w14:paraId="74377B50" w14:textId="77777777" w:rsidR="004266D1" w:rsidRPr="00B7554F" w:rsidRDefault="004266D1" w:rsidP="00FD05E5">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to Committee’s questions, 9 March 2016, p. 16.</w:t>
      </w:r>
    </w:p>
  </w:footnote>
  <w:footnote w:id="147">
    <w:p w14:paraId="21C72DA8" w14:textId="77777777" w:rsidR="004266D1" w:rsidRPr="00B7554F" w:rsidRDefault="004266D1" w:rsidP="00FD05E5">
      <w:pPr>
        <w:pStyle w:val="FootnoteText"/>
        <w:ind w:right="0" w:firstLine="0"/>
        <w:rPr>
          <w:lang w:val="en-GB"/>
        </w:rPr>
      </w:pPr>
      <w:r w:rsidRPr="00B7554F">
        <w:rPr>
          <w:rStyle w:val="FootnoteReference"/>
          <w:lang w:val="en-GB"/>
        </w:rPr>
        <w:footnoteRef/>
      </w:r>
      <w:r w:rsidRPr="00B7554F">
        <w:rPr>
          <w:lang w:val="en-GB"/>
        </w:rPr>
        <w:t xml:space="preserve"> Party’s reply to Committee’s questions, 9 March 2016, para. 51.</w:t>
      </w:r>
    </w:p>
  </w:footnote>
  <w:footnote w:id="148">
    <w:p w14:paraId="030871D2" w14:textId="071FB8D4" w:rsidR="004266D1" w:rsidRPr="00B7554F" w:rsidRDefault="004266D1" w:rsidP="000E746D">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Communicants’ reply, 9 March 2016, pp. 16-17.</w:t>
      </w:r>
    </w:p>
  </w:footnote>
  <w:footnote w:id="149">
    <w:p w14:paraId="33E1B0A9" w14:textId="55044E6A" w:rsidR="004266D1" w:rsidRPr="00B7554F" w:rsidRDefault="004266D1" w:rsidP="006717BB">
      <w:pPr>
        <w:pStyle w:val="FootnoteText"/>
        <w:ind w:right="0" w:firstLine="0"/>
        <w:rPr>
          <w:lang w:val="en-GB"/>
        </w:rPr>
      </w:pPr>
      <w:r w:rsidRPr="00B7554F">
        <w:rPr>
          <w:rStyle w:val="FootnoteReference"/>
          <w:lang w:val="en-GB"/>
        </w:rPr>
        <w:footnoteRef/>
      </w:r>
      <w:r w:rsidRPr="00B7554F">
        <w:rPr>
          <w:lang w:val="en-GB"/>
        </w:rPr>
        <w:t xml:space="preserve"> Party’s reply, 9 March 2016, paras. 53 and 55.</w:t>
      </w:r>
    </w:p>
  </w:footnote>
  <w:footnote w:id="150">
    <w:p w14:paraId="4AB9011A" w14:textId="77777777" w:rsidR="004266D1" w:rsidRPr="00B7554F" w:rsidRDefault="004266D1" w:rsidP="008B2B11">
      <w:pPr>
        <w:pStyle w:val="FootnoteText"/>
        <w:ind w:right="0" w:firstLine="0"/>
        <w:rPr>
          <w:lang w:val="en-GB"/>
        </w:rPr>
      </w:pPr>
      <w:r w:rsidRPr="00B7554F">
        <w:rPr>
          <w:rStyle w:val="FootnoteReference"/>
          <w:lang w:val="en-GB"/>
        </w:rPr>
        <w:footnoteRef/>
      </w:r>
      <w:r w:rsidRPr="00B7554F">
        <w:rPr>
          <w:szCs w:val="18"/>
          <w:lang w:val="en-GB"/>
        </w:rPr>
        <w:t xml:space="preserve"> Party’s reply to the Committee’s questions, 9 March 2016, paras. 20 and 22</w:t>
      </w:r>
      <w:r w:rsidRPr="00B7554F">
        <w:rPr>
          <w:lang w:val="en-GB"/>
        </w:rPr>
        <w:t>.</w:t>
      </w:r>
    </w:p>
  </w:footnote>
  <w:footnote w:id="151">
    <w:p w14:paraId="366C3277" w14:textId="77777777" w:rsidR="004266D1" w:rsidRPr="00B7554F" w:rsidRDefault="004266D1" w:rsidP="008B2B11">
      <w:pPr>
        <w:pStyle w:val="FootnoteText"/>
        <w:ind w:right="0" w:firstLine="0"/>
        <w:rPr>
          <w:lang w:val="en-GB"/>
        </w:rPr>
      </w:pPr>
      <w:r w:rsidRPr="00B7554F">
        <w:rPr>
          <w:rStyle w:val="FootnoteReference"/>
          <w:lang w:val="en-GB"/>
        </w:rPr>
        <w:footnoteRef/>
      </w:r>
      <w:r w:rsidRPr="00B7554F">
        <w:rPr>
          <w:szCs w:val="18"/>
          <w:lang w:val="en-GB"/>
        </w:rPr>
        <w:t xml:space="preserve"> Party’s reply to the Committee’s questions, 9 March 2016, paras. </w:t>
      </w:r>
      <w:r w:rsidRPr="00B7554F">
        <w:rPr>
          <w:lang w:val="en-GB"/>
        </w:rPr>
        <w:t>.</w:t>
      </w:r>
    </w:p>
  </w:footnote>
  <w:footnote w:id="152">
    <w:p w14:paraId="6FD8C7E9" w14:textId="77777777" w:rsidR="004266D1" w:rsidRPr="00B7554F" w:rsidRDefault="004266D1" w:rsidP="008B2B11">
      <w:pPr>
        <w:pStyle w:val="FootnoteText"/>
        <w:ind w:firstLine="0"/>
        <w:rPr>
          <w:lang w:val="en-GB"/>
        </w:rPr>
      </w:pPr>
      <w:r w:rsidRPr="00B7554F">
        <w:rPr>
          <w:rStyle w:val="FootnoteReference"/>
          <w:lang w:val="en-GB"/>
        </w:rPr>
        <w:footnoteRef/>
      </w:r>
      <w:r w:rsidRPr="00B7554F">
        <w:rPr>
          <w:lang w:val="en-GB"/>
        </w:rPr>
        <w:t xml:space="preserve"> </w:t>
      </w:r>
      <w:r w:rsidRPr="00B7554F">
        <w:rPr>
          <w:szCs w:val="18"/>
          <w:lang w:val="en-GB"/>
        </w:rPr>
        <w:t>Party’s response to the communication</w:t>
      </w:r>
      <w:r w:rsidRPr="00B7554F">
        <w:rPr>
          <w:lang w:val="en-GB"/>
        </w:rPr>
        <w:t>, para. 9.</w:t>
      </w:r>
    </w:p>
  </w:footnote>
  <w:footnote w:id="153">
    <w:p w14:paraId="6A7A16D3" w14:textId="3C61A924" w:rsidR="004266D1" w:rsidRPr="00B7554F" w:rsidRDefault="004266D1" w:rsidP="008B2B11">
      <w:pPr>
        <w:pStyle w:val="FootnoteText"/>
        <w:ind w:right="45"/>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See ACCC/C/2013/89 (Slovakia), </w:t>
      </w:r>
      <w:r w:rsidRPr="00B7554F">
        <w:rPr>
          <w:szCs w:val="18"/>
          <w:lang w:val="en-GB"/>
        </w:rPr>
        <w:t>(</w:t>
      </w:r>
      <w:r w:rsidRPr="00B7554F">
        <w:rPr>
          <w:lang w:val="en-GB"/>
        </w:rPr>
        <w:t>ECE/MP.PP/C.1/2017/13</w:t>
      </w:r>
      <w:r w:rsidRPr="00B7554F">
        <w:rPr>
          <w:szCs w:val="18"/>
          <w:lang w:val="en-GB"/>
        </w:rPr>
        <w:t>),</w:t>
      </w:r>
      <w:r w:rsidRPr="00B7554F">
        <w:rPr>
          <w:lang w:val="en-GB"/>
        </w:rPr>
        <w:t xml:space="preserve"> para. 83.</w:t>
      </w:r>
    </w:p>
  </w:footnote>
  <w:footnote w:id="154">
    <w:p w14:paraId="68CA8D1E" w14:textId="77777777" w:rsidR="004266D1" w:rsidRPr="00B7554F" w:rsidRDefault="004266D1" w:rsidP="008B2B11">
      <w:pPr>
        <w:pStyle w:val="FootnoteText"/>
      </w:pPr>
      <w:r w:rsidRPr="00B7554F">
        <w:tab/>
      </w:r>
      <w:r w:rsidRPr="00B7554F">
        <w:tab/>
      </w:r>
      <w:r w:rsidRPr="00B7554F">
        <w:rPr>
          <w:rStyle w:val="FootnoteReference"/>
        </w:rPr>
        <w:footnoteRef/>
      </w:r>
      <w:r w:rsidRPr="00B7554F">
        <w:t xml:space="preserve"> </w:t>
      </w:r>
      <w:r w:rsidRPr="00B7554F">
        <w:rPr>
          <w:sz w:val="20"/>
          <w:lang w:val="en-GB"/>
        </w:rPr>
        <w:t>Communicants’ reply to the Committee’s questions, 9 March 2016, annex, item 25.</w:t>
      </w:r>
    </w:p>
  </w:footnote>
  <w:footnote w:id="155">
    <w:p w14:paraId="3D94AA64" w14:textId="77777777" w:rsidR="004266D1" w:rsidRPr="00B7554F" w:rsidRDefault="004266D1" w:rsidP="008B2B11">
      <w:pPr>
        <w:pStyle w:val="FootnoteText"/>
        <w:ind w:right="0" w:firstLine="0"/>
        <w:rPr>
          <w:lang w:val="en-GB"/>
        </w:rPr>
      </w:pPr>
      <w:r w:rsidRPr="00B7554F">
        <w:rPr>
          <w:rStyle w:val="FootnoteReference"/>
          <w:lang w:val="en-GB"/>
        </w:rPr>
        <w:footnoteRef/>
      </w:r>
      <w:r w:rsidRPr="00B7554F">
        <w:rPr>
          <w:lang w:val="en-GB"/>
        </w:rPr>
        <w:t xml:space="preserve"> </w:t>
      </w:r>
      <w:r w:rsidRPr="00B7554F">
        <w:rPr>
          <w:szCs w:val="18"/>
          <w:lang w:val="en-GB"/>
        </w:rPr>
        <w:t xml:space="preserve">See findings on </w:t>
      </w:r>
      <w:r w:rsidRPr="00B7554F">
        <w:rPr>
          <w:sz w:val="20"/>
          <w:szCs w:val="20"/>
          <w:lang w:val="en-GB"/>
        </w:rPr>
        <w:t>ACCC/C/2010/51 (Romania),</w:t>
      </w:r>
      <w:r w:rsidRPr="00B7554F">
        <w:rPr>
          <w:szCs w:val="18"/>
          <w:lang w:val="en-GB"/>
        </w:rPr>
        <w:t xml:space="preserve"> (ECE/MP.PP/C.1/2014/6/Add.3), </w:t>
      </w:r>
      <w:r w:rsidRPr="00B7554F">
        <w:rPr>
          <w:lang w:val="en-GB"/>
        </w:rPr>
        <w:t>para 29.</w:t>
      </w:r>
    </w:p>
  </w:footnote>
  <w:footnote w:id="156">
    <w:p w14:paraId="0B5986CA" w14:textId="77777777" w:rsidR="004266D1" w:rsidRPr="00B7554F" w:rsidRDefault="004266D1" w:rsidP="008B2B11">
      <w:pPr>
        <w:pStyle w:val="FootnoteText"/>
        <w:rPr>
          <w:lang w:val="en-US"/>
        </w:rPr>
      </w:pPr>
      <w:r w:rsidRPr="00B7554F">
        <w:tab/>
      </w:r>
      <w:r w:rsidRPr="00B7554F">
        <w:tab/>
      </w:r>
      <w:r w:rsidRPr="00B7554F">
        <w:rPr>
          <w:rStyle w:val="FootnoteReference"/>
        </w:rPr>
        <w:footnoteRef/>
      </w:r>
      <w:r w:rsidRPr="00B7554F">
        <w:t xml:space="preserve"> </w:t>
      </w:r>
      <w:r w:rsidRPr="00B7554F">
        <w:rPr>
          <w:lang w:val="en-US"/>
        </w:rPr>
        <w:t>Communicant’s reply to Committee’s questions, 9 March 2016, p. 19.</w:t>
      </w:r>
    </w:p>
  </w:footnote>
  <w:footnote w:id="157">
    <w:p w14:paraId="0494994D" w14:textId="77777777" w:rsidR="004266D1" w:rsidRPr="00B7554F" w:rsidRDefault="004266D1" w:rsidP="008B2B11">
      <w:pPr>
        <w:pStyle w:val="FootnoteText"/>
        <w:rPr>
          <w:lang w:val="en-US"/>
        </w:rPr>
      </w:pPr>
      <w:r w:rsidRPr="00B7554F">
        <w:tab/>
      </w:r>
      <w:r w:rsidRPr="00B7554F">
        <w:tab/>
      </w:r>
      <w:r w:rsidRPr="00B7554F">
        <w:rPr>
          <w:rStyle w:val="FootnoteReference"/>
        </w:rPr>
        <w:footnoteRef/>
      </w:r>
      <w:r w:rsidRPr="00B7554F">
        <w:t xml:space="preserve"> </w:t>
      </w:r>
      <w:r w:rsidRPr="00B7554F">
        <w:rPr>
          <w:lang w:val="en-US"/>
        </w:rPr>
        <w:t>See Paks website, para. 2, https://www.paks2.hu/web/paks-2-en/background-of-the-project</w:t>
      </w:r>
    </w:p>
  </w:footnote>
  <w:footnote w:id="158">
    <w:p w14:paraId="53C9CF00" w14:textId="77777777" w:rsidR="004266D1" w:rsidRPr="00B7554F" w:rsidRDefault="004266D1" w:rsidP="008B2B11">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See the Committee’s findings on communication ACCC/C/2005/11 (Belgium) (ECE/MP.PP/C.1/2006/4/Add.2), para. 29.</w:t>
      </w:r>
    </w:p>
  </w:footnote>
  <w:footnote w:id="159">
    <w:p w14:paraId="00171D67" w14:textId="77777777" w:rsidR="004266D1" w:rsidRPr="00B7554F" w:rsidRDefault="004266D1" w:rsidP="008B2B11">
      <w:pPr>
        <w:pStyle w:val="FootnoteText"/>
        <w:ind w:right="0" w:firstLine="0"/>
        <w:rPr>
          <w:lang w:val="en-GB"/>
        </w:rPr>
      </w:pPr>
      <w:r w:rsidRPr="00B7554F">
        <w:rPr>
          <w:rStyle w:val="FootnoteReference"/>
          <w:lang w:val="en-GB"/>
        </w:rPr>
        <w:footnoteRef/>
      </w:r>
      <w:r w:rsidRPr="00B7554F">
        <w:rPr>
          <w:lang w:val="en-GB"/>
        </w:rPr>
        <w:t xml:space="preserve"> </w:t>
      </w:r>
      <w:r w:rsidRPr="00B7554F">
        <w:rPr>
          <w:szCs w:val="18"/>
          <w:lang w:val="en-GB"/>
        </w:rPr>
        <w:t xml:space="preserve">See findings on ACCC/C/2013/88 (Kazakhstan) (ECE/MP.PP/C.1/2017/12), para. 125, and </w:t>
      </w:r>
      <w:r w:rsidRPr="00B7554F">
        <w:rPr>
          <w:lang w:val="en-GB"/>
        </w:rPr>
        <w:t>the Maastricht Recommendations, para. 154</w:t>
      </w:r>
      <w:r w:rsidRPr="00B7554F">
        <w:rPr>
          <w:szCs w:val="18"/>
          <w:lang w:val="en-GB"/>
        </w:rPr>
        <w:t>.</w:t>
      </w:r>
    </w:p>
  </w:footnote>
  <w:footnote w:id="160">
    <w:p w14:paraId="11CFA933" w14:textId="77777777" w:rsidR="004266D1" w:rsidRPr="00B7554F" w:rsidRDefault="004266D1" w:rsidP="008B2B11">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See the Maastricht Recommendations, paras. 154-156.</w:t>
      </w:r>
    </w:p>
  </w:footnote>
  <w:footnote w:id="161">
    <w:p w14:paraId="669AC685" w14:textId="77777777" w:rsidR="004266D1" w:rsidRPr="00B7554F" w:rsidRDefault="004266D1" w:rsidP="008B2B11">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to Committee’s questions, 9 March 2016, paras. 32-34.</w:t>
      </w:r>
    </w:p>
  </w:footnote>
  <w:footnote w:id="162">
    <w:p w14:paraId="5ABEBE44" w14:textId="77777777" w:rsidR="004266D1" w:rsidRPr="00B7554F" w:rsidRDefault="004266D1" w:rsidP="008B2B11">
      <w:pPr>
        <w:pStyle w:val="FootnoteText"/>
        <w:ind w:right="0" w:firstLine="0"/>
        <w:rPr>
          <w:szCs w:val="18"/>
          <w:lang w:val="en-GB"/>
        </w:rPr>
      </w:pPr>
      <w:r w:rsidRPr="00B7554F">
        <w:rPr>
          <w:rStyle w:val="FootnoteReference"/>
          <w:szCs w:val="18"/>
          <w:lang w:val="en-GB"/>
        </w:rPr>
        <w:footnoteRef/>
      </w:r>
      <w:r w:rsidRPr="00B7554F">
        <w:rPr>
          <w:szCs w:val="18"/>
          <w:lang w:val="en-GB"/>
        </w:rPr>
        <w:t xml:space="preserve"> Party’s reply to Committee’s questions, 9 March 2016, para. 50, and Party’s reply to Committee’s questions, 29 November 2016, para. 19.</w:t>
      </w:r>
    </w:p>
  </w:footnote>
  <w:footnote w:id="163">
    <w:p w14:paraId="6296182F" w14:textId="77777777" w:rsidR="004266D1" w:rsidRPr="00B7554F" w:rsidRDefault="004266D1" w:rsidP="008B2B11">
      <w:pPr>
        <w:pStyle w:val="FootnoteText"/>
        <w:rPr>
          <w:lang w:val="en-US"/>
        </w:rPr>
      </w:pPr>
      <w:r w:rsidRPr="00B7554F">
        <w:tab/>
      </w:r>
      <w:r w:rsidRPr="00B7554F">
        <w:tab/>
      </w:r>
      <w:r w:rsidRPr="00B7554F">
        <w:rPr>
          <w:rStyle w:val="FootnoteReference"/>
        </w:rPr>
        <w:footnoteRef/>
      </w:r>
      <w:r w:rsidRPr="00B7554F">
        <w:t xml:space="preserve"> </w:t>
      </w:r>
      <w:r w:rsidRPr="00B7554F">
        <w:rPr>
          <w:lang w:val="en-US"/>
        </w:rPr>
        <w:t>Party’s reply to Committee’s questions, 7 May 2021, annex 8.</w:t>
      </w:r>
    </w:p>
  </w:footnote>
  <w:footnote w:id="164">
    <w:p w14:paraId="332AA8FA" w14:textId="77777777" w:rsidR="004266D1" w:rsidRPr="00B7554F" w:rsidRDefault="004266D1" w:rsidP="008B2B11">
      <w:pPr>
        <w:pStyle w:val="FootnoteText"/>
        <w:rPr>
          <w:lang w:val="en-US"/>
        </w:rPr>
      </w:pPr>
      <w:r w:rsidRPr="00B7554F">
        <w:tab/>
      </w:r>
      <w:r w:rsidRPr="00B7554F">
        <w:tab/>
      </w:r>
      <w:r w:rsidRPr="00B7554F">
        <w:rPr>
          <w:rStyle w:val="FootnoteReference"/>
        </w:rPr>
        <w:footnoteRef/>
      </w:r>
      <w:r w:rsidRPr="00B7554F">
        <w:t xml:space="preserve"> </w:t>
      </w:r>
      <w:r w:rsidRPr="00B7554F">
        <w:rPr>
          <w:lang w:val="en-US"/>
        </w:rPr>
        <w:t>Party’s reply to Committee’s questions, 7 May 2021, annex 3b.</w:t>
      </w:r>
    </w:p>
  </w:footnote>
  <w:footnote w:id="165">
    <w:p w14:paraId="06A159DD" w14:textId="77777777" w:rsidR="004266D1" w:rsidRPr="00B7554F" w:rsidRDefault="004266D1" w:rsidP="008B2B11">
      <w:pPr>
        <w:pStyle w:val="FootnoteText"/>
        <w:rPr>
          <w:lang w:val="en-US"/>
        </w:rPr>
      </w:pPr>
      <w:r w:rsidRPr="00B7554F">
        <w:tab/>
      </w:r>
      <w:r w:rsidRPr="00B7554F">
        <w:tab/>
      </w:r>
      <w:r w:rsidRPr="00B7554F">
        <w:rPr>
          <w:rStyle w:val="FootnoteReference"/>
        </w:rPr>
        <w:footnoteRef/>
      </w:r>
      <w:r w:rsidRPr="00B7554F">
        <w:t xml:space="preserve"> </w:t>
      </w:r>
      <w:r w:rsidRPr="00B7554F">
        <w:rPr>
          <w:lang w:val="en-US"/>
        </w:rPr>
        <w:t>Party’s reply to Committee’s questions, 7 May 2021, annexes 1 and 2.</w:t>
      </w:r>
    </w:p>
  </w:footnote>
  <w:footnote w:id="166">
    <w:p w14:paraId="77011AFE" w14:textId="77777777" w:rsidR="004266D1" w:rsidRPr="00B7554F" w:rsidRDefault="004266D1" w:rsidP="008B2B11">
      <w:pPr>
        <w:pStyle w:val="FootnoteText"/>
        <w:rPr>
          <w:lang w:val="en-US"/>
        </w:rPr>
      </w:pPr>
      <w:r w:rsidRPr="00B7554F">
        <w:tab/>
      </w:r>
      <w:r w:rsidRPr="00B7554F">
        <w:tab/>
      </w:r>
      <w:r w:rsidRPr="00B7554F">
        <w:rPr>
          <w:rStyle w:val="FootnoteReference"/>
        </w:rPr>
        <w:footnoteRef/>
      </w:r>
      <w:r w:rsidRPr="00B7554F">
        <w:t xml:space="preserve"> </w:t>
      </w:r>
      <w:r w:rsidRPr="00B7554F">
        <w:rPr>
          <w:lang w:val="en-US"/>
        </w:rPr>
        <w:t>Party’s reply to Committee’s questions, 7 May 2021, annex 3b.</w:t>
      </w:r>
    </w:p>
  </w:footnote>
  <w:footnote w:id="167">
    <w:p w14:paraId="00758CD2" w14:textId="77777777" w:rsidR="004266D1" w:rsidRPr="008A2077" w:rsidRDefault="004266D1" w:rsidP="008B2B11">
      <w:pPr>
        <w:pStyle w:val="FootnoteText"/>
        <w:rPr>
          <w:lang w:val="en-GB"/>
        </w:rPr>
      </w:pPr>
      <w:r w:rsidRPr="00B7554F">
        <w:rPr>
          <w:lang w:val="en-GB"/>
        </w:rPr>
        <w:tab/>
      </w:r>
      <w:r w:rsidRPr="00B7554F">
        <w:rPr>
          <w:lang w:val="en-GB"/>
        </w:rPr>
        <w:tab/>
      </w:r>
      <w:r w:rsidRPr="00B7554F">
        <w:rPr>
          <w:rStyle w:val="FootnoteReference"/>
          <w:lang w:val="en-GB"/>
        </w:rPr>
        <w:footnoteRef/>
      </w:r>
      <w:r w:rsidRPr="00B7554F">
        <w:rPr>
          <w:lang w:val="en-GB"/>
        </w:rPr>
        <w:t xml:space="preserve"> Reply to the Committee’s questions, 9 March 2016,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346C" w14:textId="77777777" w:rsidR="004266D1" w:rsidRPr="00F56A6B" w:rsidRDefault="004266D1" w:rsidP="003E5A96">
    <w:pPr>
      <w:pStyle w:val="Header"/>
      <w:jc w:val="right"/>
    </w:pPr>
    <w:r>
      <w:rPr>
        <w:b w:val="0"/>
      </w:rPr>
      <w:t>ACCC/C/2012/77 (United Kingdom)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E8EF" w14:textId="77777777" w:rsidR="004266D1" w:rsidRPr="00F56A6B" w:rsidRDefault="004266D1" w:rsidP="006970FF">
    <w:pPr>
      <w:pStyle w:val="Header"/>
      <w:jc w:val="right"/>
    </w:pPr>
    <w:r>
      <w:rPr>
        <w:b w:val="0"/>
      </w:rPr>
      <w:t>ACCC/C/2014/105 (Hungary)</w:t>
    </w:r>
  </w:p>
  <w:p w14:paraId="6F663EBD" w14:textId="20EE201E" w:rsidR="004266D1" w:rsidRPr="00F56A6B" w:rsidRDefault="008A0053" w:rsidP="003E5A96">
    <w:pPr>
      <w:pStyle w:val="Header"/>
      <w:jc w:val="right"/>
    </w:pPr>
    <w:r>
      <w:rPr>
        <w:b w:val="0"/>
      </w:rPr>
      <w:t>Draft findings for the 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4611" w14:textId="77777777" w:rsidR="004266D1" w:rsidRDefault="004266D1" w:rsidP="00E32978">
    <w:pPr>
      <w:pStyle w:val="Header"/>
      <w:jc w:val="right"/>
      <w:rPr>
        <w:b w:val="0"/>
      </w:rPr>
    </w:pPr>
    <w:r>
      <w:rPr>
        <w:b w:val="0"/>
      </w:rPr>
      <w:t>ACCC/C/2014/105 (Hungary)</w:t>
    </w:r>
  </w:p>
  <w:p w14:paraId="3892F31C" w14:textId="1E1CB6B8" w:rsidR="004266D1" w:rsidRPr="00E32978" w:rsidRDefault="008A0053" w:rsidP="00587BB7">
    <w:pPr>
      <w:pStyle w:val="Header"/>
      <w:jc w:val="right"/>
      <w:rPr>
        <w:b w:val="0"/>
      </w:rPr>
    </w:pPr>
    <w:r>
      <w:rPr>
        <w:b w:val="0"/>
      </w:rPr>
      <w:t>Draft findings for the parties’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5CC"/>
    <w:multiLevelType w:val="hybridMultilevel"/>
    <w:tmpl w:val="95EC0686"/>
    <w:lvl w:ilvl="0" w:tplc="B234EB9C">
      <w:start w:val="1"/>
      <w:numFmt w:val="decimal"/>
      <w:lvlText w:val="%1."/>
      <w:lvlJc w:val="left"/>
      <w:pPr>
        <w:tabs>
          <w:tab w:val="num" w:pos="1853"/>
        </w:tabs>
        <w:ind w:left="1853"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15:restartNumberingAfterBreak="0">
    <w:nsid w:val="021462CE"/>
    <w:multiLevelType w:val="hybridMultilevel"/>
    <w:tmpl w:val="DCC88202"/>
    <w:lvl w:ilvl="0" w:tplc="6A3E5EC4">
      <w:start w:val="1"/>
      <w:numFmt w:val="lowerLetter"/>
      <w:lvlText w:val="(%1)"/>
      <w:lvlJc w:val="left"/>
      <w:pPr>
        <w:ind w:left="1689" w:hanging="360"/>
      </w:pPr>
      <w:rPr>
        <w:rFonts w:hint="default"/>
      </w:rPr>
    </w:lvl>
    <w:lvl w:ilvl="1" w:tplc="04050019">
      <w:start w:val="1"/>
      <w:numFmt w:val="lowerLetter"/>
      <w:lvlText w:val="%2."/>
      <w:lvlJc w:val="left"/>
      <w:pPr>
        <w:ind w:left="2409" w:hanging="360"/>
      </w:pPr>
    </w:lvl>
    <w:lvl w:ilvl="2" w:tplc="0405001B">
      <w:start w:val="1"/>
      <w:numFmt w:val="lowerRoman"/>
      <w:lvlText w:val="%3."/>
      <w:lvlJc w:val="right"/>
      <w:pPr>
        <w:ind w:left="3129" w:hanging="180"/>
      </w:pPr>
    </w:lvl>
    <w:lvl w:ilvl="3" w:tplc="0405000F" w:tentative="1">
      <w:start w:val="1"/>
      <w:numFmt w:val="decimal"/>
      <w:lvlText w:val="%4."/>
      <w:lvlJc w:val="left"/>
      <w:pPr>
        <w:ind w:left="3849" w:hanging="360"/>
      </w:pPr>
    </w:lvl>
    <w:lvl w:ilvl="4" w:tplc="04050019" w:tentative="1">
      <w:start w:val="1"/>
      <w:numFmt w:val="lowerLetter"/>
      <w:lvlText w:val="%5."/>
      <w:lvlJc w:val="left"/>
      <w:pPr>
        <w:ind w:left="4569" w:hanging="360"/>
      </w:pPr>
    </w:lvl>
    <w:lvl w:ilvl="5" w:tplc="0405001B" w:tentative="1">
      <w:start w:val="1"/>
      <w:numFmt w:val="lowerRoman"/>
      <w:lvlText w:val="%6."/>
      <w:lvlJc w:val="right"/>
      <w:pPr>
        <w:ind w:left="5289" w:hanging="180"/>
      </w:pPr>
    </w:lvl>
    <w:lvl w:ilvl="6" w:tplc="0405000F" w:tentative="1">
      <w:start w:val="1"/>
      <w:numFmt w:val="decimal"/>
      <w:lvlText w:val="%7."/>
      <w:lvlJc w:val="left"/>
      <w:pPr>
        <w:ind w:left="6009" w:hanging="360"/>
      </w:pPr>
    </w:lvl>
    <w:lvl w:ilvl="7" w:tplc="04050019" w:tentative="1">
      <w:start w:val="1"/>
      <w:numFmt w:val="lowerLetter"/>
      <w:lvlText w:val="%8."/>
      <w:lvlJc w:val="left"/>
      <w:pPr>
        <w:ind w:left="6729" w:hanging="360"/>
      </w:pPr>
    </w:lvl>
    <w:lvl w:ilvl="8" w:tplc="0405001B" w:tentative="1">
      <w:start w:val="1"/>
      <w:numFmt w:val="lowerRoman"/>
      <w:lvlText w:val="%9."/>
      <w:lvlJc w:val="right"/>
      <w:pPr>
        <w:ind w:left="7449" w:hanging="180"/>
      </w:pPr>
    </w:lvl>
  </w:abstractNum>
  <w:abstractNum w:abstractNumId="2" w15:restartNumberingAfterBreak="0">
    <w:nsid w:val="028A104F"/>
    <w:multiLevelType w:val="hybridMultilevel"/>
    <w:tmpl w:val="DCC88202"/>
    <w:lvl w:ilvl="0" w:tplc="6A3E5EC4">
      <w:start w:val="1"/>
      <w:numFmt w:val="lowerLetter"/>
      <w:lvlText w:val="(%1)"/>
      <w:lvlJc w:val="left"/>
      <w:pPr>
        <w:ind w:left="1689" w:hanging="360"/>
      </w:pPr>
      <w:rPr>
        <w:rFonts w:hint="default"/>
      </w:rPr>
    </w:lvl>
    <w:lvl w:ilvl="1" w:tplc="04050019">
      <w:start w:val="1"/>
      <w:numFmt w:val="lowerLetter"/>
      <w:lvlText w:val="%2."/>
      <w:lvlJc w:val="left"/>
      <w:pPr>
        <w:ind w:left="2409" w:hanging="360"/>
      </w:pPr>
    </w:lvl>
    <w:lvl w:ilvl="2" w:tplc="0405001B">
      <w:start w:val="1"/>
      <w:numFmt w:val="lowerRoman"/>
      <w:lvlText w:val="%3."/>
      <w:lvlJc w:val="right"/>
      <w:pPr>
        <w:ind w:left="3129" w:hanging="180"/>
      </w:pPr>
    </w:lvl>
    <w:lvl w:ilvl="3" w:tplc="0405000F" w:tentative="1">
      <w:start w:val="1"/>
      <w:numFmt w:val="decimal"/>
      <w:lvlText w:val="%4."/>
      <w:lvlJc w:val="left"/>
      <w:pPr>
        <w:ind w:left="3849" w:hanging="360"/>
      </w:pPr>
    </w:lvl>
    <w:lvl w:ilvl="4" w:tplc="04050019" w:tentative="1">
      <w:start w:val="1"/>
      <w:numFmt w:val="lowerLetter"/>
      <w:lvlText w:val="%5."/>
      <w:lvlJc w:val="left"/>
      <w:pPr>
        <w:ind w:left="4569" w:hanging="360"/>
      </w:pPr>
    </w:lvl>
    <w:lvl w:ilvl="5" w:tplc="0405001B" w:tentative="1">
      <w:start w:val="1"/>
      <w:numFmt w:val="lowerRoman"/>
      <w:lvlText w:val="%6."/>
      <w:lvlJc w:val="right"/>
      <w:pPr>
        <w:ind w:left="5289" w:hanging="180"/>
      </w:pPr>
    </w:lvl>
    <w:lvl w:ilvl="6" w:tplc="0405000F" w:tentative="1">
      <w:start w:val="1"/>
      <w:numFmt w:val="decimal"/>
      <w:lvlText w:val="%7."/>
      <w:lvlJc w:val="left"/>
      <w:pPr>
        <w:ind w:left="6009" w:hanging="360"/>
      </w:pPr>
    </w:lvl>
    <w:lvl w:ilvl="7" w:tplc="04050019" w:tentative="1">
      <w:start w:val="1"/>
      <w:numFmt w:val="lowerLetter"/>
      <w:lvlText w:val="%8."/>
      <w:lvlJc w:val="left"/>
      <w:pPr>
        <w:ind w:left="6729" w:hanging="360"/>
      </w:pPr>
    </w:lvl>
    <w:lvl w:ilvl="8" w:tplc="0405001B" w:tentative="1">
      <w:start w:val="1"/>
      <w:numFmt w:val="lowerRoman"/>
      <w:lvlText w:val="%9."/>
      <w:lvlJc w:val="right"/>
      <w:pPr>
        <w:ind w:left="7449" w:hanging="180"/>
      </w:pPr>
    </w:lvl>
  </w:abstractNum>
  <w:abstractNum w:abstractNumId="3" w15:restartNumberingAfterBreak="0">
    <w:nsid w:val="02E54A4B"/>
    <w:multiLevelType w:val="hybridMultilevel"/>
    <w:tmpl w:val="D548B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D42FC"/>
    <w:multiLevelType w:val="hybridMultilevel"/>
    <w:tmpl w:val="125EE84A"/>
    <w:lvl w:ilvl="0" w:tplc="1688C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944D2"/>
    <w:multiLevelType w:val="hybridMultilevel"/>
    <w:tmpl w:val="7C949D42"/>
    <w:lvl w:ilvl="0" w:tplc="0809000F">
      <w:start w:val="9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46C20AA"/>
    <w:multiLevelType w:val="hybridMultilevel"/>
    <w:tmpl w:val="1D0A5748"/>
    <w:lvl w:ilvl="0" w:tplc="9430697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5021207"/>
    <w:multiLevelType w:val="hybridMultilevel"/>
    <w:tmpl w:val="998C248E"/>
    <w:lvl w:ilvl="0" w:tplc="6A3E5EC4">
      <w:start w:val="1"/>
      <w:numFmt w:val="lowerLetter"/>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8" w15:restartNumberingAfterBreak="0">
    <w:nsid w:val="183D1574"/>
    <w:multiLevelType w:val="hybridMultilevel"/>
    <w:tmpl w:val="7F067D6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1CCF5BD0"/>
    <w:multiLevelType w:val="hybridMultilevel"/>
    <w:tmpl w:val="EAD0F414"/>
    <w:lvl w:ilvl="0" w:tplc="32344D04">
      <w:start w:val="1992"/>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0" w15:restartNumberingAfterBreak="0">
    <w:nsid w:val="245B0295"/>
    <w:multiLevelType w:val="hybridMultilevel"/>
    <w:tmpl w:val="70E200F4"/>
    <w:lvl w:ilvl="0" w:tplc="7F8A4D9A">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1" w15:restartNumberingAfterBreak="0">
    <w:nsid w:val="2EB75777"/>
    <w:multiLevelType w:val="hybridMultilevel"/>
    <w:tmpl w:val="2330579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37EF066C"/>
    <w:multiLevelType w:val="hybridMultilevel"/>
    <w:tmpl w:val="83FE3706"/>
    <w:lvl w:ilvl="0" w:tplc="B234EB9C">
      <w:start w:val="1"/>
      <w:numFmt w:val="decimal"/>
      <w:lvlText w:val="%1."/>
      <w:lvlJc w:val="left"/>
      <w:pPr>
        <w:tabs>
          <w:tab w:val="num" w:pos="1853"/>
        </w:tabs>
        <w:ind w:left="1853"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4" w15:restartNumberingAfterBreak="0">
    <w:nsid w:val="3C4B5A3A"/>
    <w:multiLevelType w:val="hybridMultilevel"/>
    <w:tmpl w:val="5A54AA68"/>
    <w:lvl w:ilvl="0" w:tplc="34F89090">
      <w:start w:val="1"/>
      <w:numFmt w:val="upperLetter"/>
      <w:lvlText w:val="%1."/>
      <w:lvlJc w:val="left"/>
      <w:pPr>
        <w:tabs>
          <w:tab w:val="num" w:pos="1200"/>
        </w:tabs>
        <w:ind w:left="1200" w:hanging="525"/>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15:restartNumberingAfterBreak="0">
    <w:nsid w:val="43111415"/>
    <w:multiLevelType w:val="hybridMultilevel"/>
    <w:tmpl w:val="95EC0686"/>
    <w:lvl w:ilvl="0" w:tplc="B234EB9C">
      <w:start w:val="1"/>
      <w:numFmt w:val="decimal"/>
      <w:lvlText w:val="%1."/>
      <w:lvlJc w:val="left"/>
      <w:pPr>
        <w:tabs>
          <w:tab w:val="num" w:pos="1746"/>
        </w:tabs>
        <w:ind w:left="1746"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49DB27BC"/>
    <w:multiLevelType w:val="hybridMultilevel"/>
    <w:tmpl w:val="063A2F70"/>
    <w:lvl w:ilvl="0" w:tplc="88663CAA">
      <w:start w:val="1"/>
      <w:numFmt w:val="bullet"/>
      <w:lvlText w:val=""/>
      <w:lvlJc w:val="left"/>
      <w:pPr>
        <w:tabs>
          <w:tab w:val="num" w:pos="1853"/>
        </w:tabs>
        <w:ind w:left="1853" w:hanging="576"/>
      </w:pPr>
      <w:rPr>
        <w:rFonts w:ascii="Symbol" w:hAnsi="Symbol"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52F134BF"/>
    <w:multiLevelType w:val="hybridMultilevel"/>
    <w:tmpl w:val="77989E90"/>
    <w:lvl w:ilvl="0" w:tplc="9776FECC">
      <w:start w:val="1"/>
      <w:numFmt w:val="decimal"/>
      <w:lvlText w:val="%1."/>
      <w:lvlJc w:val="left"/>
      <w:pPr>
        <w:tabs>
          <w:tab w:val="num" w:pos="1569"/>
        </w:tabs>
        <w:ind w:left="1569"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15:restartNumberingAfterBreak="0">
    <w:nsid w:val="57D2604F"/>
    <w:multiLevelType w:val="hybridMultilevel"/>
    <w:tmpl w:val="1E504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595C9A"/>
    <w:multiLevelType w:val="hybridMultilevel"/>
    <w:tmpl w:val="385C9470"/>
    <w:lvl w:ilvl="0" w:tplc="34F89090">
      <w:start w:val="1"/>
      <w:numFmt w:val="upperLetter"/>
      <w:lvlText w:val="%1."/>
      <w:lvlJc w:val="left"/>
      <w:pPr>
        <w:tabs>
          <w:tab w:val="num" w:pos="1200"/>
        </w:tabs>
        <w:ind w:left="1200" w:hanging="525"/>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5C223C07"/>
    <w:multiLevelType w:val="hybridMultilevel"/>
    <w:tmpl w:val="279863D2"/>
    <w:lvl w:ilvl="0" w:tplc="F07C6DB2">
      <w:start w:val="1"/>
      <w:numFmt w:val="decimal"/>
      <w:lvlText w:val="%1."/>
      <w:lvlJc w:val="left"/>
      <w:pPr>
        <w:tabs>
          <w:tab w:val="num" w:pos="1746"/>
        </w:tabs>
        <w:ind w:left="1746" w:hanging="576"/>
      </w:pPr>
      <w:rPr>
        <w:rFonts w:hint="default"/>
        <w:color w:val="auto"/>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5E732D6A"/>
    <w:multiLevelType w:val="hybridMultilevel"/>
    <w:tmpl w:val="F394026E"/>
    <w:lvl w:ilvl="0" w:tplc="C2C49078">
      <w:start w:val="1"/>
      <w:numFmt w:val="decimal"/>
      <w:lvlText w:val="%1."/>
      <w:lvlJc w:val="left"/>
      <w:pPr>
        <w:tabs>
          <w:tab w:val="num" w:pos="1746"/>
        </w:tabs>
        <w:ind w:left="1746" w:hanging="576"/>
      </w:pPr>
      <w:rPr>
        <w:rFonts w:hint="default"/>
        <w:b w:val="0"/>
        <w:bCs/>
        <w:i w:val="0"/>
        <w:iCs/>
        <w:color w:val="auto"/>
        <w:sz w:val="20"/>
        <w:szCs w:val="20"/>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86BC4E5A">
      <w:start w:val="1"/>
      <w:numFmt w:val="lowerLetter"/>
      <w:lvlText w:val="(%4)"/>
      <w:lvlJc w:val="left"/>
      <w:pPr>
        <w:ind w:left="3654" w:hanging="360"/>
      </w:pPr>
      <w:rPr>
        <w:rFonts w:hint="default"/>
      </w:r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46849"/>
    <w:multiLevelType w:val="hybridMultilevel"/>
    <w:tmpl w:val="86CA6434"/>
    <w:lvl w:ilvl="0" w:tplc="B234EB9C">
      <w:start w:val="1"/>
      <w:numFmt w:val="decimal"/>
      <w:lvlText w:val="%1."/>
      <w:lvlJc w:val="left"/>
      <w:pPr>
        <w:tabs>
          <w:tab w:val="num" w:pos="1853"/>
        </w:tabs>
        <w:ind w:left="1853"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15:restartNumberingAfterBreak="0">
    <w:nsid w:val="6B101017"/>
    <w:multiLevelType w:val="hybridMultilevel"/>
    <w:tmpl w:val="95EC0686"/>
    <w:lvl w:ilvl="0" w:tplc="B234EB9C">
      <w:start w:val="1"/>
      <w:numFmt w:val="decimal"/>
      <w:lvlText w:val="%1."/>
      <w:lvlJc w:val="left"/>
      <w:pPr>
        <w:tabs>
          <w:tab w:val="num" w:pos="1853"/>
        </w:tabs>
        <w:ind w:left="1853"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7002457F"/>
    <w:multiLevelType w:val="hybridMultilevel"/>
    <w:tmpl w:val="23D29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7518A"/>
    <w:multiLevelType w:val="hybridMultilevel"/>
    <w:tmpl w:val="184CA554"/>
    <w:lvl w:ilvl="0" w:tplc="B234EB9C">
      <w:start w:val="1"/>
      <w:numFmt w:val="decimal"/>
      <w:lvlText w:val="%1."/>
      <w:lvlJc w:val="left"/>
      <w:pPr>
        <w:tabs>
          <w:tab w:val="num" w:pos="1853"/>
        </w:tabs>
        <w:ind w:left="1853"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3"/>
  </w:num>
  <w:num w:numId="2">
    <w:abstractNumId w:val="27"/>
  </w:num>
  <w:num w:numId="3">
    <w:abstractNumId w:val="21"/>
  </w:num>
  <w:num w:numId="4">
    <w:abstractNumId w:val="19"/>
  </w:num>
  <w:num w:numId="5">
    <w:abstractNumId w:val="13"/>
  </w:num>
  <w:num w:numId="6">
    <w:abstractNumId w:val="22"/>
  </w:num>
  <w:num w:numId="7">
    <w:abstractNumId w:val="16"/>
  </w:num>
  <w:num w:numId="8">
    <w:abstractNumId w:val="11"/>
  </w:num>
  <w:num w:numId="9">
    <w:abstractNumId w:val="8"/>
  </w:num>
  <w:num w:numId="10">
    <w:abstractNumId w:val="17"/>
  </w:num>
  <w:num w:numId="11">
    <w:abstractNumId w:val="24"/>
  </w:num>
  <w:num w:numId="12">
    <w:abstractNumId w:val="12"/>
  </w:num>
  <w:num w:numId="13">
    <w:abstractNumId w:val="28"/>
  </w:num>
  <w:num w:numId="14">
    <w:abstractNumId w:val="2"/>
  </w:num>
  <w:num w:numId="15">
    <w:abstractNumId w:val="1"/>
  </w:num>
  <w:num w:numId="16">
    <w:abstractNumId w:val="5"/>
  </w:num>
  <w:num w:numId="17">
    <w:abstractNumId w:val="0"/>
  </w:num>
  <w:num w:numId="18">
    <w:abstractNumId w:val="25"/>
  </w:num>
  <w:num w:numId="19">
    <w:abstractNumId w:val="4"/>
  </w:num>
  <w:num w:numId="20">
    <w:abstractNumId w:val="15"/>
  </w:num>
  <w:num w:numId="21">
    <w:abstractNumId w:val="14"/>
  </w:num>
  <w:num w:numId="22">
    <w:abstractNumId w:val="3"/>
  </w:num>
  <w:num w:numId="23">
    <w:abstractNumId w:val="26"/>
  </w:num>
  <w:num w:numId="24">
    <w:abstractNumId w:val="20"/>
  </w:num>
  <w:num w:numId="25">
    <w:abstractNumId w:val="18"/>
  </w:num>
  <w:num w:numId="26">
    <w:abstractNumId w:val="9"/>
  </w:num>
  <w:num w:numId="27">
    <w:abstractNumId w:val="10"/>
  </w:num>
  <w:num w:numId="28">
    <w:abstractNumId w:val="7"/>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CH" w:vendorID="64" w:dllVersion="6" w:nlCheck="1" w:checkStyle="0"/>
  <w:activeWritingStyle w:appName="MSWord" w:lang="ar-SA"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AT" w:vendorID="64" w:dllVersion="6" w:nlCheck="1" w:checkStyle="0"/>
  <w:activeWritingStyle w:appName="MSWord" w:lang="de-AT" w:vendorID="64" w:dllVersion="0" w:nlCheck="1" w:checkStyle="0"/>
  <w:activeWritingStyle w:appName="MSWord" w:lang="ar-SA"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ar-SA"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5C"/>
    <w:rsid w:val="000019F2"/>
    <w:rsid w:val="000022C2"/>
    <w:rsid w:val="00002A17"/>
    <w:rsid w:val="00002A7D"/>
    <w:rsid w:val="000031D7"/>
    <w:rsid w:val="0000355B"/>
    <w:rsid w:val="000036E2"/>
    <w:rsid w:val="000038A8"/>
    <w:rsid w:val="00003B5C"/>
    <w:rsid w:val="00003F03"/>
    <w:rsid w:val="00004967"/>
    <w:rsid w:val="00004ADF"/>
    <w:rsid w:val="00004F92"/>
    <w:rsid w:val="00005C75"/>
    <w:rsid w:val="00006790"/>
    <w:rsid w:val="00007425"/>
    <w:rsid w:val="000074C9"/>
    <w:rsid w:val="00007B39"/>
    <w:rsid w:val="00010029"/>
    <w:rsid w:val="0001011A"/>
    <w:rsid w:val="0001018A"/>
    <w:rsid w:val="000102CF"/>
    <w:rsid w:val="0001038D"/>
    <w:rsid w:val="00010802"/>
    <w:rsid w:val="00010EE6"/>
    <w:rsid w:val="00011139"/>
    <w:rsid w:val="000116B1"/>
    <w:rsid w:val="000120B8"/>
    <w:rsid w:val="00012205"/>
    <w:rsid w:val="000126BA"/>
    <w:rsid w:val="0001276C"/>
    <w:rsid w:val="00012E3A"/>
    <w:rsid w:val="00013690"/>
    <w:rsid w:val="00014337"/>
    <w:rsid w:val="00014AC8"/>
    <w:rsid w:val="00014B4F"/>
    <w:rsid w:val="00014C5E"/>
    <w:rsid w:val="00016049"/>
    <w:rsid w:val="000163E1"/>
    <w:rsid w:val="0001676F"/>
    <w:rsid w:val="00016BBA"/>
    <w:rsid w:val="00016DC3"/>
    <w:rsid w:val="00017616"/>
    <w:rsid w:val="00017943"/>
    <w:rsid w:val="00017DB8"/>
    <w:rsid w:val="0002003C"/>
    <w:rsid w:val="00020583"/>
    <w:rsid w:val="00021089"/>
    <w:rsid w:val="0002108C"/>
    <w:rsid w:val="000220D1"/>
    <w:rsid w:val="000231F9"/>
    <w:rsid w:val="0002369F"/>
    <w:rsid w:val="00023A08"/>
    <w:rsid w:val="00023CDF"/>
    <w:rsid w:val="00023D93"/>
    <w:rsid w:val="00023EF8"/>
    <w:rsid w:val="000245E5"/>
    <w:rsid w:val="000246CE"/>
    <w:rsid w:val="00024738"/>
    <w:rsid w:val="00024BC7"/>
    <w:rsid w:val="00025086"/>
    <w:rsid w:val="00025418"/>
    <w:rsid w:val="00025F96"/>
    <w:rsid w:val="0002638E"/>
    <w:rsid w:val="00027624"/>
    <w:rsid w:val="00027CB2"/>
    <w:rsid w:val="00030573"/>
    <w:rsid w:val="00030BE4"/>
    <w:rsid w:val="00030F2B"/>
    <w:rsid w:val="000312A8"/>
    <w:rsid w:val="00031B4C"/>
    <w:rsid w:val="00032020"/>
    <w:rsid w:val="0003227D"/>
    <w:rsid w:val="00032281"/>
    <w:rsid w:val="00032585"/>
    <w:rsid w:val="00032B7F"/>
    <w:rsid w:val="000332B4"/>
    <w:rsid w:val="00033730"/>
    <w:rsid w:val="00034CB6"/>
    <w:rsid w:val="00035055"/>
    <w:rsid w:val="00035E28"/>
    <w:rsid w:val="00035EDF"/>
    <w:rsid w:val="00035F44"/>
    <w:rsid w:val="00036103"/>
    <w:rsid w:val="00036FF4"/>
    <w:rsid w:val="0003764F"/>
    <w:rsid w:val="0003782F"/>
    <w:rsid w:val="0004065D"/>
    <w:rsid w:val="00040C8B"/>
    <w:rsid w:val="000414BC"/>
    <w:rsid w:val="0004162F"/>
    <w:rsid w:val="00042299"/>
    <w:rsid w:val="000428A0"/>
    <w:rsid w:val="00042C0B"/>
    <w:rsid w:val="00042ECF"/>
    <w:rsid w:val="00043DF3"/>
    <w:rsid w:val="0004421E"/>
    <w:rsid w:val="000445E2"/>
    <w:rsid w:val="00044DDA"/>
    <w:rsid w:val="000456C3"/>
    <w:rsid w:val="00045B8F"/>
    <w:rsid w:val="00045F75"/>
    <w:rsid w:val="00046C11"/>
    <w:rsid w:val="00047A6D"/>
    <w:rsid w:val="00050092"/>
    <w:rsid w:val="000506B0"/>
    <w:rsid w:val="00050B59"/>
    <w:rsid w:val="00050F6B"/>
    <w:rsid w:val="000512DB"/>
    <w:rsid w:val="00052002"/>
    <w:rsid w:val="00052279"/>
    <w:rsid w:val="00052356"/>
    <w:rsid w:val="00052581"/>
    <w:rsid w:val="000526F8"/>
    <w:rsid w:val="00053308"/>
    <w:rsid w:val="00053515"/>
    <w:rsid w:val="00053653"/>
    <w:rsid w:val="000541B1"/>
    <w:rsid w:val="000541BD"/>
    <w:rsid w:val="0005478A"/>
    <w:rsid w:val="00054A26"/>
    <w:rsid w:val="00055094"/>
    <w:rsid w:val="000551AB"/>
    <w:rsid w:val="00055309"/>
    <w:rsid w:val="000561E1"/>
    <w:rsid w:val="00056995"/>
    <w:rsid w:val="000574E7"/>
    <w:rsid w:val="000602AF"/>
    <w:rsid w:val="00060D4C"/>
    <w:rsid w:val="00060D95"/>
    <w:rsid w:val="00060F5A"/>
    <w:rsid w:val="00061CE6"/>
    <w:rsid w:val="00062B99"/>
    <w:rsid w:val="00062CE1"/>
    <w:rsid w:val="00063605"/>
    <w:rsid w:val="00063D0C"/>
    <w:rsid w:val="00063F22"/>
    <w:rsid w:val="00064C04"/>
    <w:rsid w:val="00064C46"/>
    <w:rsid w:val="00065269"/>
    <w:rsid w:val="00066230"/>
    <w:rsid w:val="00066354"/>
    <w:rsid w:val="00066E03"/>
    <w:rsid w:val="00067311"/>
    <w:rsid w:val="0006763D"/>
    <w:rsid w:val="000678CD"/>
    <w:rsid w:val="000700F4"/>
    <w:rsid w:val="0007027F"/>
    <w:rsid w:val="000702E9"/>
    <w:rsid w:val="00070D34"/>
    <w:rsid w:val="000710CD"/>
    <w:rsid w:val="0007151E"/>
    <w:rsid w:val="000715AC"/>
    <w:rsid w:val="00072085"/>
    <w:rsid w:val="000723D2"/>
    <w:rsid w:val="00072C8C"/>
    <w:rsid w:val="00072F8F"/>
    <w:rsid w:val="00073B8C"/>
    <w:rsid w:val="00073F13"/>
    <w:rsid w:val="00074DDC"/>
    <w:rsid w:val="000755F7"/>
    <w:rsid w:val="00075812"/>
    <w:rsid w:val="00075F4A"/>
    <w:rsid w:val="00076B2B"/>
    <w:rsid w:val="00076F48"/>
    <w:rsid w:val="000770BA"/>
    <w:rsid w:val="00077FBE"/>
    <w:rsid w:val="00080981"/>
    <w:rsid w:val="00081738"/>
    <w:rsid w:val="00081CBD"/>
    <w:rsid w:val="00081CE0"/>
    <w:rsid w:val="00083039"/>
    <w:rsid w:val="0008357A"/>
    <w:rsid w:val="00083A1E"/>
    <w:rsid w:val="000845D0"/>
    <w:rsid w:val="000847F2"/>
    <w:rsid w:val="000849CE"/>
    <w:rsid w:val="00084B98"/>
    <w:rsid w:val="00084D30"/>
    <w:rsid w:val="000859BD"/>
    <w:rsid w:val="00086F98"/>
    <w:rsid w:val="00087409"/>
    <w:rsid w:val="000878D1"/>
    <w:rsid w:val="00087CA0"/>
    <w:rsid w:val="00090320"/>
    <w:rsid w:val="00090745"/>
    <w:rsid w:val="00090D28"/>
    <w:rsid w:val="00090F00"/>
    <w:rsid w:val="00091B80"/>
    <w:rsid w:val="00091B84"/>
    <w:rsid w:val="00091EBA"/>
    <w:rsid w:val="000927BB"/>
    <w:rsid w:val="0009284B"/>
    <w:rsid w:val="00092E18"/>
    <w:rsid w:val="00092F94"/>
    <w:rsid w:val="00093112"/>
    <w:rsid w:val="000931C0"/>
    <w:rsid w:val="000931E4"/>
    <w:rsid w:val="00093DB7"/>
    <w:rsid w:val="000947AC"/>
    <w:rsid w:val="0009481E"/>
    <w:rsid w:val="00094866"/>
    <w:rsid w:val="0009543A"/>
    <w:rsid w:val="00095747"/>
    <w:rsid w:val="00095A41"/>
    <w:rsid w:val="00095FAA"/>
    <w:rsid w:val="0009623C"/>
    <w:rsid w:val="00096E26"/>
    <w:rsid w:val="00096E5C"/>
    <w:rsid w:val="00097280"/>
    <w:rsid w:val="000A0087"/>
    <w:rsid w:val="000A02E7"/>
    <w:rsid w:val="000A0552"/>
    <w:rsid w:val="000A087E"/>
    <w:rsid w:val="000A1191"/>
    <w:rsid w:val="000A15E5"/>
    <w:rsid w:val="000A1F5C"/>
    <w:rsid w:val="000A23A2"/>
    <w:rsid w:val="000A2B3A"/>
    <w:rsid w:val="000A2E09"/>
    <w:rsid w:val="000A2E9A"/>
    <w:rsid w:val="000A3163"/>
    <w:rsid w:val="000A344A"/>
    <w:rsid w:val="000A4024"/>
    <w:rsid w:val="000A452E"/>
    <w:rsid w:val="000A46FD"/>
    <w:rsid w:val="000A49F4"/>
    <w:rsid w:val="000A539D"/>
    <w:rsid w:val="000A5426"/>
    <w:rsid w:val="000A5E38"/>
    <w:rsid w:val="000A6F91"/>
    <w:rsid w:val="000A7897"/>
    <w:rsid w:val="000A7B9E"/>
    <w:rsid w:val="000A7F1E"/>
    <w:rsid w:val="000B024F"/>
    <w:rsid w:val="000B0317"/>
    <w:rsid w:val="000B0491"/>
    <w:rsid w:val="000B06BC"/>
    <w:rsid w:val="000B06E0"/>
    <w:rsid w:val="000B080F"/>
    <w:rsid w:val="000B0A78"/>
    <w:rsid w:val="000B0BDA"/>
    <w:rsid w:val="000B0C4D"/>
    <w:rsid w:val="000B175B"/>
    <w:rsid w:val="000B2333"/>
    <w:rsid w:val="000B241A"/>
    <w:rsid w:val="000B2EC8"/>
    <w:rsid w:val="000B3063"/>
    <w:rsid w:val="000B3441"/>
    <w:rsid w:val="000B383C"/>
    <w:rsid w:val="000B3A0F"/>
    <w:rsid w:val="000B46CA"/>
    <w:rsid w:val="000B4C15"/>
    <w:rsid w:val="000B5012"/>
    <w:rsid w:val="000B502E"/>
    <w:rsid w:val="000B53D9"/>
    <w:rsid w:val="000B5492"/>
    <w:rsid w:val="000B7281"/>
    <w:rsid w:val="000B7597"/>
    <w:rsid w:val="000B76CF"/>
    <w:rsid w:val="000B788F"/>
    <w:rsid w:val="000B7F06"/>
    <w:rsid w:val="000C0876"/>
    <w:rsid w:val="000C0934"/>
    <w:rsid w:val="000C10B6"/>
    <w:rsid w:val="000C19C7"/>
    <w:rsid w:val="000C2B8B"/>
    <w:rsid w:val="000C478B"/>
    <w:rsid w:val="000C4F8E"/>
    <w:rsid w:val="000C53BC"/>
    <w:rsid w:val="000C53E8"/>
    <w:rsid w:val="000C5B3F"/>
    <w:rsid w:val="000C6193"/>
    <w:rsid w:val="000C637A"/>
    <w:rsid w:val="000C651D"/>
    <w:rsid w:val="000C6C2B"/>
    <w:rsid w:val="000C7206"/>
    <w:rsid w:val="000D04BE"/>
    <w:rsid w:val="000D0AAD"/>
    <w:rsid w:val="000D0B6C"/>
    <w:rsid w:val="000D0D20"/>
    <w:rsid w:val="000D0D97"/>
    <w:rsid w:val="000D0DBC"/>
    <w:rsid w:val="000D24D5"/>
    <w:rsid w:val="000D2826"/>
    <w:rsid w:val="000D2BC9"/>
    <w:rsid w:val="000D33AD"/>
    <w:rsid w:val="000D3AB7"/>
    <w:rsid w:val="000D4149"/>
    <w:rsid w:val="000D4829"/>
    <w:rsid w:val="000D4A37"/>
    <w:rsid w:val="000D5100"/>
    <w:rsid w:val="000D6ADD"/>
    <w:rsid w:val="000D6CFB"/>
    <w:rsid w:val="000D759F"/>
    <w:rsid w:val="000E02DB"/>
    <w:rsid w:val="000E0415"/>
    <w:rsid w:val="000E0880"/>
    <w:rsid w:val="000E0C42"/>
    <w:rsid w:val="000E1475"/>
    <w:rsid w:val="000E18EE"/>
    <w:rsid w:val="000E1F71"/>
    <w:rsid w:val="000E215A"/>
    <w:rsid w:val="000E2A0D"/>
    <w:rsid w:val="000E320E"/>
    <w:rsid w:val="000E34C6"/>
    <w:rsid w:val="000E3640"/>
    <w:rsid w:val="000E429B"/>
    <w:rsid w:val="000E4D0E"/>
    <w:rsid w:val="000E5C87"/>
    <w:rsid w:val="000E60B6"/>
    <w:rsid w:val="000E69F2"/>
    <w:rsid w:val="000E6E46"/>
    <w:rsid w:val="000E7270"/>
    <w:rsid w:val="000E73D2"/>
    <w:rsid w:val="000E746D"/>
    <w:rsid w:val="000E7833"/>
    <w:rsid w:val="000E7D98"/>
    <w:rsid w:val="000E7EEC"/>
    <w:rsid w:val="000F0B84"/>
    <w:rsid w:val="000F1858"/>
    <w:rsid w:val="000F1B8C"/>
    <w:rsid w:val="000F1E87"/>
    <w:rsid w:val="000F22C5"/>
    <w:rsid w:val="000F278F"/>
    <w:rsid w:val="000F292D"/>
    <w:rsid w:val="000F3062"/>
    <w:rsid w:val="000F36D2"/>
    <w:rsid w:val="000F4582"/>
    <w:rsid w:val="000F46FC"/>
    <w:rsid w:val="000F4895"/>
    <w:rsid w:val="000F52C2"/>
    <w:rsid w:val="000F587B"/>
    <w:rsid w:val="000F5F4C"/>
    <w:rsid w:val="000F62F0"/>
    <w:rsid w:val="000F638F"/>
    <w:rsid w:val="000F68C7"/>
    <w:rsid w:val="000F695A"/>
    <w:rsid w:val="000F7715"/>
    <w:rsid w:val="0010011D"/>
    <w:rsid w:val="0010049B"/>
    <w:rsid w:val="001004F5"/>
    <w:rsid w:val="00100968"/>
    <w:rsid w:val="00100C12"/>
    <w:rsid w:val="001010FB"/>
    <w:rsid w:val="001021DF"/>
    <w:rsid w:val="00104353"/>
    <w:rsid w:val="001043A9"/>
    <w:rsid w:val="00104C02"/>
    <w:rsid w:val="00105428"/>
    <w:rsid w:val="00105F91"/>
    <w:rsid w:val="0010623F"/>
    <w:rsid w:val="001067DE"/>
    <w:rsid w:val="00107F74"/>
    <w:rsid w:val="00111239"/>
    <w:rsid w:val="0011166C"/>
    <w:rsid w:val="00111BB6"/>
    <w:rsid w:val="0011227A"/>
    <w:rsid w:val="00112E41"/>
    <w:rsid w:val="001133B3"/>
    <w:rsid w:val="001146DD"/>
    <w:rsid w:val="00114AE7"/>
    <w:rsid w:val="00115B3F"/>
    <w:rsid w:val="00115E18"/>
    <w:rsid w:val="00117259"/>
    <w:rsid w:val="001175D6"/>
    <w:rsid w:val="001176D7"/>
    <w:rsid w:val="001178E6"/>
    <w:rsid w:val="0012131E"/>
    <w:rsid w:val="00121350"/>
    <w:rsid w:val="0012184B"/>
    <w:rsid w:val="001218EB"/>
    <w:rsid w:val="00121992"/>
    <w:rsid w:val="00122A5C"/>
    <w:rsid w:val="00123597"/>
    <w:rsid w:val="001237BA"/>
    <w:rsid w:val="00123A7B"/>
    <w:rsid w:val="0012609E"/>
    <w:rsid w:val="00126BAC"/>
    <w:rsid w:val="00126E3A"/>
    <w:rsid w:val="00126F42"/>
    <w:rsid w:val="001272AB"/>
    <w:rsid w:val="001277F7"/>
    <w:rsid w:val="00130080"/>
    <w:rsid w:val="0013054F"/>
    <w:rsid w:val="00130B7A"/>
    <w:rsid w:val="00131216"/>
    <w:rsid w:val="00131644"/>
    <w:rsid w:val="00132402"/>
    <w:rsid w:val="0013259A"/>
    <w:rsid w:val="001328CD"/>
    <w:rsid w:val="00132BEC"/>
    <w:rsid w:val="001331DC"/>
    <w:rsid w:val="001344CE"/>
    <w:rsid w:val="0013498B"/>
    <w:rsid w:val="00134AB3"/>
    <w:rsid w:val="00134E0E"/>
    <w:rsid w:val="00135200"/>
    <w:rsid w:val="00135446"/>
    <w:rsid w:val="00135595"/>
    <w:rsid w:val="00135C2F"/>
    <w:rsid w:val="00136037"/>
    <w:rsid w:val="00137E80"/>
    <w:rsid w:val="00140F8C"/>
    <w:rsid w:val="00141CEB"/>
    <w:rsid w:val="00142100"/>
    <w:rsid w:val="00142444"/>
    <w:rsid w:val="00142760"/>
    <w:rsid w:val="001428FD"/>
    <w:rsid w:val="0014293C"/>
    <w:rsid w:val="00142A6F"/>
    <w:rsid w:val="00142EA7"/>
    <w:rsid w:val="001437E1"/>
    <w:rsid w:val="00143B06"/>
    <w:rsid w:val="00143FFD"/>
    <w:rsid w:val="0014425A"/>
    <w:rsid w:val="001449E7"/>
    <w:rsid w:val="00144EF4"/>
    <w:rsid w:val="00144FB8"/>
    <w:rsid w:val="00145435"/>
    <w:rsid w:val="00145B8B"/>
    <w:rsid w:val="00145DB9"/>
    <w:rsid w:val="00146081"/>
    <w:rsid w:val="00146447"/>
    <w:rsid w:val="00147308"/>
    <w:rsid w:val="0014751D"/>
    <w:rsid w:val="001500FE"/>
    <w:rsid w:val="00150311"/>
    <w:rsid w:val="00150CD1"/>
    <w:rsid w:val="00150D49"/>
    <w:rsid w:val="001513EF"/>
    <w:rsid w:val="00151E21"/>
    <w:rsid w:val="00152016"/>
    <w:rsid w:val="00152CA5"/>
    <w:rsid w:val="0015334E"/>
    <w:rsid w:val="00153ADF"/>
    <w:rsid w:val="001548E4"/>
    <w:rsid w:val="00154A75"/>
    <w:rsid w:val="00154EBD"/>
    <w:rsid w:val="0015519B"/>
    <w:rsid w:val="00155990"/>
    <w:rsid w:val="00155F22"/>
    <w:rsid w:val="00156464"/>
    <w:rsid w:val="00156B99"/>
    <w:rsid w:val="001571A1"/>
    <w:rsid w:val="0015776B"/>
    <w:rsid w:val="00157A4F"/>
    <w:rsid w:val="00157BC2"/>
    <w:rsid w:val="0016021D"/>
    <w:rsid w:val="0016033B"/>
    <w:rsid w:val="00160430"/>
    <w:rsid w:val="00161955"/>
    <w:rsid w:val="001619A3"/>
    <w:rsid w:val="00161CA3"/>
    <w:rsid w:val="001625DE"/>
    <w:rsid w:val="00162770"/>
    <w:rsid w:val="00162EA8"/>
    <w:rsid w:val="001636A2"/>
    <w:rsid w:val="00163B55"/>
    <w:rsid w:val="00163E29"/>
    <w:rsid w:val="00164515"/>
    <w:rsid w:val="00164E9C"/>
    <w:rsid w:val="0016548B"/>
    <w:rsid w:val="00166124"/>
    <w:rsid w:val="0016615D"/>
    <w:rsid w:val="00166714"/>
    <w:rsid w:val="001667BC"/>
    <w:rsid w:val="00167825"/>
    <w:rsid w:val="0017014E"/>
    <w:rsid w:val="00170565"/>
    <w:rsid w:val="00170B52"/>
    <w:rsid w:val="00170D61"/>
    <w:rsid w:val="0017136E"/>
    <w:rsid w:val="001716FF"/>
    <w:rsid w:val="00171870"/>
    <w:rsid w:val="00171894"/>
    <w:rsid w:val="001724B0"/>
    <w:rsid w:val="00172920"/>
    <w:rsid w:val="001736DA"/>
    <w:rsid w:val="00174BE2"/>
    <w:rsid w:val="001751A2"/>
    <w:rsid w:val="00175AD0"/>
    <w:rsid w:val="001762CB"/>
    <w:rsid w:val="001769B7"/>
    <w:rsid w:val="00176A73"/>
    <w:rsid w:val="00176B46"/>
    <w:rsid w:val="0017775B"/>
    <w:rsid w:val="00180299"/>
    <w:rsid w:val="00180616"/>
    <w:rsid w:val="0018098C"/>
    <w:rsid w:val="0018126D"/>
    <w:rsid w:val="001838BC"/>
    <w:rsid w:val="00184019"/>
    <w:rsid w:val="00184BBB"/>
    <w:rsid w:val="00184DDA"/>
    <w:rsid w:val="00185938"/>
    <w:rsid w:val="001859D9"/>
    <w:rsid w:val="0018674B"/>
    <w:rsid w:val="001875FB"/>
    <w:rsid w:val="001876CB"/>
    <w:rsid w:val="001900CD"/>
    <w:rsid w:val="001908EA"/>
    <w:rsid w:val="00190E1F"/>
    <w:rsid w:val="00190E76"/>
    <w:rsid w:val="0019128A"/>
    <w:rsid w:val="0019156A"/>
    <w:rsid w:val="00191994"/>
    <w:rsid w:val="00192B16"/>
    <w:rsid w:val="001930E4"/>
    <w:rsid w:val="00194EED"/>
    <w:rsid w:val="001964EB"/>
    <w:rsid w:val="0019682A"/>
    <w:rsid w:val="00196C08"/>
    <w:rsid w:val="00196C26"/>
    <w:rsid w:val="001977D8"/>
    <w:rsid w:val="001A021E"/>
    <w:rsid w:val="001A02E8"/>
    <w:rsid w:val="001A0452"/>
    <w:rsid w:val="001A05A2"/>
    <w:rsid w:val="001A0CB5"/>
    <w:rsid w:val="001A0CFB"/>
    <w:rsid w:val="001A0F73"/>
    <w:rsid w:val="001A104B"/>
    <w:rsid w:val="001A14C7"/>
    <w:rsid w:val="001A15FF"/>
    <w:rsid w:val="001A1EF2"/>
    <w:rsid w:val="001A417A"/>
    <w:rsid w:val="001A41BB"/>
    <w:rsid w:val="001A4478"/>
    <w:rsid w:val="001A49D4"/>
    <w:rsid w:val="001A4A4D"/>
    <w:rsid w:val="001A4B8E"/>
    <w:rsid w:val="001A4E14"/>
    <w:rsid w:val="001A5A95"/>
    <w:rsid w:val="001A5E5D"/>
    <w:rsid w:val="001A64A5"/>
    <w:rsid w:val="001A672C"/>
    <w:rsid w:val="001A69BF"/>
    <w:rsid w:val="001A7334"/>
    <w:rsid w:val="001A759E"/>
    <w:rsid w:val="001A7B31"/>
    <w:rsid w:val="001B0663"/>
    <w:rsid w:val="001B0836"/>
    <w:rsid w:val="001B1020"/>
    <w:rsid w:val="001B190B"/>
    <w:rsid w:val="001B1AF0"/>
    <w:rsid w:val="001B1B95"/>
    <w:rsid w:val="001B3A8A"/>
    <w:rsid w:val="001B3E2A"/>
    <w:rsid w:val="001B415A"/>
    <w:rsid w:val="001B4217"/>
    <w:rsid w:val="001B4B04"/>
    <w:rsid w:val="001B500B"/>
    <w:rsid w:val="001B5875"/>
    <w:rsid w:val="001B59DC"/>
    <w:rsid w:val="001B5BC1"/>
    <w:rsid w:val="001B661B"/>
    <w:rsid w:val="001B693D"/>
    <w:rsid w:val="001B6C91"/>
    <w:rsid w:val="001B76F6"/>
    <w:rsid w:val="001B7791"/>
    <w:rsid w:val="001C0752"/>
    <w:rsid w:val="001C1134"/>
    <w:rsid w:val="001C1330"/>
    <w:rsid w:val="001C148C"/>
    <w:rsid w:val="001C1C31"/>
    <w:rsid w:val="001C1C67"/>
    <w:rsid w:val="001C1C68"/>
    <w:rsid w:val="001C1FA9"/>
    <w:rsid w:val="001C2497"/>
    <w:rsid w:val="001C2842"/>
    <w:rsid w:val="001C2A1C"/>
    <w:rsid w:val="001C2D43"/>
    <w:rsid w:val="001C2D82"/>
    <w:rsid w:val="001C32E9"/>
    <w:rsid w:val="001C3378"/>
    <w:rsid w:val="001C3436"/>
    <w:rsid w:val="001C3763"/>
    <w:rsid w:val="001C4B9C"/>
    <w:rsid w:val="001C5458"/>
    <w:rsid w:val="001C5546"/>
    <w:rsid w:val="001C554B"/>
    <w:rsid w:val="001C5783"/>
    <w:rsid w:val="001C5D99"/>
    <w:rsid w:val="001C5DA1"/>
    <w:rsid w:val="001C63E9"/>
    <w:rsid w:val="001C6663"/>
    <w:rsid w:val="001C6722"/>
    <w:rsid w:val="001C7141"/>
    <w:rsid w:val="001C7209"/>
    <w:rsid w:val="001C7895"/>
    <w:rsid w:val="001D00F7"/>
    <w:rsid w:val="001D0C74"/>
    <w:rsid w:val="001D0FF6"/>
    <w:rsid w:val="001D1A44"/>
    <w:rsid w:val="001D26DF"/>
    <w:rsid w:val="001D2FF2"/>
    <w:rsid w:val="001D3020"/>
    <w:rsid w:val="001D34F9"/>
    <w:rsid w:val="001D4932"/>
    <w:rsid w:val="001D4B92"/>
    <w:rsid w:val="001D4EA0"/>
    <w:rsid w:val="001D52B5"/>
    <w:rsid w:val="001D65AB"/>
    <w:rsid w:val="001D6E90"/>
    <w:rsid w:val="001D73E4"/>
    <w:rsid w:val="001E0834"/>
    <w:rsid w:val="001E0928"/>
    <w:rsid w:val="001E0965"/>
    <w:rsid w:val="001E1C17"/>
    <w:rsid w:val="001E201E"/>
    <w:rsid w:val="001E2C9E"/>
    <w:rsid w:val="001E2DFD"/>
    <w:rsid w:val="001E30C0"/>
    <w:rsid w:val="001E30DD"/>
    <w:rsid w:val="001E31B1"/>
    <w:rsid w:val="001E329F"/>
    <w:rsid w:val="001E3536"/>
    <w:rsid w:val="001E3638"/>
    <w:rsid w:val="001E38BC"/>
    <w:rsid w:val="001E3B16"/>
    <w:rsid w:val="001E3EF2"/>
    <w:rsid w:val="001E406B"/>
    <w:rsid w:val="001E49FB"/>
    <w:rsid w:val="001E4A1B"/>
    <w:rsid w:val="001E4B4D"/>
    <w:rsid w:val="001E51AE"/>
    <w:rsid w:val="001E52DC"/>
    <w:rsid w:val="001E5B4D"/>
    <w:rsid w:val="001E5D17"/>
    <w:rsid w:val="001E5E8C"/>
    <w:rsid w:val="001E5F28"/>
    <w:rsid w:val="001E60B5"/>
    <w:rsid w:val="001E674A"/>
    <w:rsid w:val="001E67F0"/>
    <w:rsid w:val="001E6889"/>
    <w:rsid w:val="001E6D35"/>
    <w:rsid w:val="001E70E1"/>
    <w:rsid w:val="001E7F00"/>
    <w:rsid w:val="001E7F44"/>
    <w:rsid w:val="001F057D"/>
    <w:rsid w:val="001F1182"/>
    <w:rsid w:val="001F1304"/>
    <w:rsid w:val="001F1599"/>
    <w:rsid w:val="001F19C4"/>
    <w:rsid w:val="001F1AB1"/>
    <w:rsid w:val="001F1D9A"/>
    <w:rsid w:val="001F21D9"/>
    <w:rsid w:val="001F245A"/>
    <w:rsid w:val="001F2518"/>
    <w:rsid w:val="001F267F"/>
    <w:rsid w:val="001F2A8E"/>
    <w:rsid w:val="001F2C13"/>
    <w:rsid w:val="001F2C82"/>
    <w:rsid w:val="001F308F"/>
    <w:rsid w:val="001F3C59"/>
    <w:rsid w:val="001F3FB2"/>
    <w:rsid w:val="001F503E"/>
    <w:rsid w:val="001F5110"/>
    <w:rsid w:val="001F58B9"/>
    <w:rsid w:val="001F5CD0"/>
    <w:rsid w:val="001F6117"/>
    <w:rsid w:val="001F6762"/>
    <w:rsid w:val="001F7BAC"/>
    <w:rsid w:val="002003A9"/>
    <w:rsid w:val="002007E9"/>
    <w:rsid w:val="00200DC2"/>
    <w:rsid w:val="00200E26"/>
    <w:rsid w:val="00201105"/>
    <w:rsid w:val="00201624"/>
    <w:rsid w:val="00201CA8"/>
    <w:rsid w:val="00201FAE"/>
    <w:rsid w:val="002024C0"/>
    <w:rsid w:val="00202A5A"/>
    <w:rsid w:val="00202DFB"/>
    <w:rsid w:val="002034FB"/>
    <w:rsid w:val="002043F0"/>
    <w:rsid w:val="0020514D"/>
    <w:rsid w:val="002058F5"/>
    <w:rsid w:val="002059F6"/>
    <w:rsid w:val="002059FE"/>
    <w:rsid w:val="00205C4A"/>
    <w:rsid w:val="00205DF4"/>
    <w:rsid w:val="002064EC"/>
    <w:rsid w:val="002069F4"/>
    <w:rsid w:val="00206F5B"/>
    <w:rsid w:val="00207375"/>
    <w:rsid w:val="00207586"/>
    <w:rsid w:val="00207E3E"/>
    <w:rsid w:val="0021030F"/>
    <w:rsid w:val="0021080A"/>
    <w:rsid w:val="002109F6"/>
    <w:rsid w:val="00210B71"/>
    <w:rsid w:val="00210C6F"/>
    <w:rsid w:val="002111A3"/>
    <w:rsid w:val="00211BC3"/>
    <w:rsid w:val="00211D37"/>
    <w:rsid w:val="00211E0B"/>
    <w:rsid w:val="00211FCC"/>
    <w:rsid w:val="00212468"/>
    <w:rsid w:val="00212583"/>
    <w:rsid w:val="00212C1E"/>
    <w:rsid w:val="00212F6D"/>
    <w:rsid w:val="002133E1"/>
    <w:rsid w:val="00213CF5"/>
    <w:rsid w:val="002140E7"/>
    <w:rsid w:val="00215864"/>
    <w:rsid w:val="00215A0A"/>
    <w:rsid w:val="00215A9C"/>
    <w:rsid w:val="00216039"/>
    <w:rsid w:val="0021624B"/>
    <w:rsid w:val="002168C5"/>
    <w:rsid w:val="00216CFC"/>
    <w:rsid w:val="002175B5"/>
    <w:rsid w:val="0021781D"/>
    <w:rsid w:val="00217BAF"/>
    <w:rsid w:val="002201B9"/>
    <w:rsid w:val="002205AF"/>
    <w:rsid w:val="002208DD"/>
    <w:rsid w:val="00221BFE"/>
    <w:rsid w:val="00222283"/>
    <w:rsid w:val="00222D11"/>
    <w:rsid w:val="00222F34"/>
    <w:rsid w:val="00223B34"/>
    <w:rsid w:val="002247BB"/>
    <w:rsid w:val="002247E4"/>
    <w:rsid w:val="00224838"/>
    <w:rsid w:val="00224B2A"/>
    <w:rsid w:val="00224FA5"/>
    <w:rsid w:val="00224FA9"/>
    <w:rsid w:val="002250B6"/>
    <w:rsid w:val="00225170"/>
    <w:rsid w:val="0022531E"/>
    <w:rsid w:val="0022535B"/>
    <w:rsid w:val="00225ED7"/>
    <w:rsid w:val="002263AB"/>
    <w:rsid w:val="00226D3B"/>
    <w:rsid w:val="002274F3"/>
    <w:rsid w:val="002278D1"/>
    <w:rsid w:val="00227ABC"/>
    <w:rsid w:val="00230279"/>
    <w:rsid w:val="00230566"/>
    <w:rsid w:val="00230A91"/>
    <w:rsid w:val="00231EEB"/>
    <w:rsid w:val="00231EFB"/>
    <w:rsid w:val="00232575"/>
    <w:rsid w:val="00232AED"/>
    <w:rsid w:val="00232D9C"/>
    <w:rsid w:val="0023361F"/>
    <w:rsid w:val="00233A51"/>
    <w:rsid w:val="00233ABA"/>
    <w:rsid w:val="00233D64"/>
    <w:rsid w:val="00234377"/>
    <w:rsid w:val="00234C2B"/>
    <w:rsid w:val="0023575C"/>
    <w:rsid w:val="00235766"/>
    <w:rsid w:val="002359BA"/>
    <w:rsid w:val="00235B4C"/>
    <w:rsid w:val="0023618F"/>
    <w:rsid w:val="002361A3"/>
    <w:rsid w:val="0023761F"/>
    <w:rsid w:val="00240916"/>
    <w:rsid w:val="002409E1"/>
    <w:rsid w:val="00240C8B"/>
    <w:rsid w:val="00240E76"/>
    <w:rsid w:val="002410C0"/>
    <w:rsid w:val="00241F6B"/>
    <w:rsid w:val="0024239A"/>
    <w:rsid w:val="002424C5"/>
    <w:rsid w:val="0024284F"/>
    <w:rsid w:val="002428D3"/>
    <w:rsid w:val="00242DB0"/>
    <w:rsid w:val="002438A9"/>
    <w:rsid w:val="00243D15"/>
    <w:rsid w:val="00243EB0"/>
    <w:rsid w:val="0024576B"/>
    <w:rsid w:val="002459DE"/>
    <w:rsid w:val="00245B59"/>
    <w:rsid w:val="00245F84"/>
    <w:rsid w:val="00246C69"/>
    <w:rsid w:val="00247258"/>
    <w:rsid w:val="00247302"/>
    <w:rsid w:val="0024768C"/>
    <w:rsid w:val="00247CB9"/>
    <w:rsid w:val="00247E7A"/>
    <w:rsid w:val="00247EC2"/>
    <w:rsid w:val="0025007F"/>
    <w:rsid w:val="002513C5"/>
    <w:rsid w:val="002516FB"/>
    <w:rsid w:val="00251AD5"/>
    <w:rsid w:val="00251B75"/>
    <w:rsid w:val="002526BD"/>
    <w:rsid w:val="00252C84"/>
    <w:rsid w:val="0025336F"/>
    <w:rsid w:val="002536CB"/>
    <w:rsid w:val="0025439F"/>
    <w:rsid w:val="0025456A"/>
    <w:rsid w:val="00254825"/>
    <w:rsid w:val="00254B3C"/>
    <w:rsid w:val="00254BB2"/>
    <w:rsid w:val="0025512A"/>
    <w:rsid w:val="0025553D"/>
    <w:rsid w:val="00256423"/>
    <w:rsid w:val="0025668A"/>
    <w:rsid w:val="0025684F"/>
    <w:rsid w:val="00257065"/>
    <w:rsid w:val="00257CAC"/>
    <w:rsid w:val="00257FD4"/>
    <w:rsid w:val="002603F8"/>
    <w:rsid w:val="0026065A"/>
    <w:rsid w:val="00261341"/>
    <w:rsid w:val="00261668"/>
    <w:rsid w:val="00261986"/>
    <w:rsid w:val="0026253E"/>
    <w:rsid w:val="00262DF0"/>
    <w:rsid w:val="00263469"/>
    <w:rsid w:val="00263510"/>
    <w:rsid w:val="002635EA"/>
    <w:rsid w:val="0026379E"/>
    <w:rsid w:val="002643A5"/>
    <w:rsid w:val="00264B49"/>
    <w:rsid w:val="00264B68"/>
    <w:rsid w:val="002651FC"/>
    <w:rsid w:val="0026529C"/>
    <w:rsid w:val="00265A5C"/>
    <w:rsid w:val="00265A67"/>
    <w:rsid w:val="002660E3"/>
    <w:rsid w:val="002668F4"/>
    <w:rsid w:val="00267730"/>
    <w:rsid w:val="0026779C"/>
    <w:rsid w:val="00267AE9"/>
    <w:rsid w:val="00267C92"/>
    <w:rsid w:val="00270582"/>
    <w:rsid w:val="00271020"/>
    <w:rsid w:val="002718AB"/>
    <w:rsid w:val="00271E09"/>
    <w:rsid w:val="002721ED"/>
    <w:rsid w:val="002722A9"/>
    <w:rsid w:val="0027237A"/>
    <w:rsid w:val="0027248C"/>
    <w:rsid w:val="0027276F"/>
    <w:rsid w:val="00272E80"/>
    <w:rsid w:val="0027322D"/>
    <w:rsid w:val="0027336C"/>
    <w:rsid w:val="00274074"/>
    <w:rsid w:val="0027426F"/>
    <w:rsid w:val="00274AB4"/>
    <w:rsid w:val="00274C48"/>
    <w:rsid w:val="00275B32"/>
    <w:rsid w:val="00275ED3"/>
    <w:rsid w:val="002760FF"/>
    <w:rsid w:val="00276162"/>
    <w:rsid w:val="00276AA2"/>
    <w:rsid w:val="00277544"/>
    <w:rsid w:val="00277807"/>
    <w:rsid w:val="00277CE1"/>
    <w:rsid w:val="002800A0"/>
    <w:rsid w:val="00281BEA"/>
    <w:rsid w:val="002826AE"/>
    <w:rsid w:val="00282725"/>
    <w:rsid w:val="002830E0"/>
    <w:rsid w:val="002830E7"/>
    <w:rsid w:val="00283712"/>
    <w:rsid w:val="002837CF"/>
    <w:rsid w:val="002839DA"/>
    <w:rsid w:val="00283A31"/>
    <w:rsid w:val="00283B67"/>
    <w:rsid w:val="00283C2C"/>
    <w:rsid w:val="002842F7"/>
    <w:rsid w:val="00285BD8"/>
    <w:rsid w:val="0028619F"/>
    <w:rsid w:val="0028708B"/>
    <w:rsid w:val="00287D39"/>
    <w:rsid w:val="00290899"/>
    <w:rsid w:val="00291320"/>
    <w:rsid w:val="00291619"/>
    <w:rsid w:val="002918B1"/>
    <w:rsid w:val="0029192F"/>
    <w:rsid w:val="00291EAA"/>
    <w:rsid w:val="00292A2E"/>
    <w:rsid w:val="00292BD3"/>
    <w:rsid w:val="00293149"/>
    <w:rsid w:val="00293365"/>
    <w:rsid w:val="0029366E"/>
    <w:rsid w:val="002938A9"/>
    <w:rsid w:val="00293ADB"/>
    <w:rsid w:val="00293FDF"/>
    <w:rsid w:val="00294A85"/>
    <w:rsid w:val="00294F43"/>
    <w:rsid w:val="00294FBB"/>
    <w:rsid w:val="0029535D"/>
    <w:rsid w:val="0029629B"/>
    <w:rsid w:val="00296422"/>
    <w:rsid w:val="002969B1"/>
    <w:rsid w:val="00296A03"/>
    <w:rsid w:val="00296EFE"/>
    <w:rsid w:val="002974E9"/>
    <w:rsid w:val="002976C9"/>
    <w:rsid w:val="002977E8"/>
    <w:rsid w:val="00297CAB"/>
    <w:rsid w:val="002A1354"/>
    <w:rsid w:val="002A15AF"/>
    <w:rsid w:val="002A3AE5"/>
    <w:rsid w:val="002A4098"/>
    <w:rsid w:val="002A4170"/>
    <w:rsid w:val="002A4296"/>
    <w:rsid w:val="002A42A9"/>
    <w:rsid w:val="002A46CA"/>
    <w:rsid w:val="002A5850"/>
    <w:rsid w:val="002A6342"/>
    <w:rsid w:val="002A66B9"/>
    <w:rsid w:val="002A67B1"/>
    <w:rsid w:val="002A6986"/>
    <w:rsid w:val="002A76D7"/>
    <w:rsid w:val="002A7F94"/>
    <w:rsid w:val="002B0396"/>
    <w:rsid w:val="002B05C5"/>
    <w:rsid w:val="002B06BF"/>
    <w:rsid w:val="002B0AA0"/>
    <w:rsid w:val="002B109A"/>
    <w:rsid w:val="002B123C"/>
    <w:rsid w:val="002B1ED2"/>
    <w:rsid w:val="002B23C2"/>
    <w:rsid w:val="002B2E08"/>
    <w:rsid w:val="002B3351"/>
    <w:rsid w:val="002B3B3D"/>
    <w:rsid w:val="002B3E53"/>
    <w:rsid w:val="002B3EB7"/>
    <w:rsid w:val="002B3FFF"/>
    <w:rsid w:val="002B46CB"/>
    <w:rsid w:val="002B4A1A"/>
    <w:rsid w:val="002B4A29"/>
    <w:rsid w:val="002B6A5C"/>
    <w:rsid w:val="002B7071"/>
    <w:rsid w:val="002B7527"/>
    <w:rsid w:val="002B7ED9"/>
    <w:rsid w:val="002C07FA"/>
    <w:rsid w:val="002C12DE"/>
    <w:rsid w:val="002C171E"/>
    <w:rsid w:val="002C1CBC"/>
    <w:rsid w:val="002C2547"/>
    <w:rsid w:val="002C2AE9"/>
    <w:rsid w:val="002C3127"/>
    <w:rsid w:val="002C38AA"/>
    <w:rsid w:val="002C46A7"/>
    <w:rsid w:val="002C4CD2"/>
    <w:rsid w:val="002C551E"/>
    <w:rsid w:val="002C5AB5"/>
    <w:rsid w:val="002C6ABE"/>
    <w:rsid w:val="002C6B93"/>
    <w:rsid w:val="002C6D45"/>
    <w:rsid w:val="002C6E6E"/>
    <w:rsid w:val="002C7AD6"/>
    <w:rsid w:val="002C7B85"/>
    <w:rsid w:val="002C7C3F"/>
    <w:rsid w:val="002D08E6"/>
    <w:rsid w:val="002D12E0"/>
    <w:rsid w:val="002D209E"/>
    <w:rsid w:val="002D268A"/>
    <w:rsid w:val="002D26EC"/>
    <w:rsid w:val="002D2794"/>
    <w:rsid w:val="002D2C6C"/>
    <w:rsid w:val="002D3580"/>
    <w:rsid w:val="002D398C"/>
    <w:rsid w:val="002D441A"/>
    <w:rsid w:val="002D45EE"/>
    <w:rsid w:val="002D48CB"/>
    <w:rsid w:val="002D5C82"/>
    <w:rsid w:val="002D5CC7"/>
    <w:rsid w:val="002D5E57"/>
    <w:rsid w:val="002D6038"/>
    <w:rsid w:val="002D6221"/>
    <w:rsid w:val="002D6419"/>
    <w:rsid w:val="002D695C"/>
    <w:rsid w:val="002D6E46"/>
    <w:rsid w:val="002D6E53"/>
    <w:rsid w:val="002D6ECB"/>
    <w:rsid w:val="002D727C"/>
    <w:rsid w:val="002D75F1"/>
    <w:rsid w:val="002D772A"/>
    <w:rsid w:val="002D7782"/>
    <w:rsid w:val="002D79B9"/>
    <w:rsid w:val="002D79BF"/>
    <w:rsid w:val="002D7F2A"/>
    <w:rsid w:val="002E07BD"/>
    <w:rsid w:val="002E1665"/>
    <w:rsid w:val="002E2356"/>
    <w:rsid w:val="002E26B2"/>
    <w:rsid w:val="002E2D4C"/>
    <w:rsid w:val="002E3D6F"/>
    <w:rsid w:val="002E3D98"/>
    <w:rsid w:val="002E3DC2"/>
    <w:rsid w:val="002E3E89"/>
    <w:rsid w:val="002E5144"/>
    <w:rsid w:val="002E5250"/>
    <w:rsid w:val="002E5404"/>
    <w:rsid w:val="002E5EBA"/>
    <w:rsid w:val="002E5F85"/>
    <w:rsid w:val="002E62EF"/>
    <w:rsid w:val="002E6356"/>
    <w:rsid w:val="002E64E8"/>
    <w:rsid w:val="002E669F"/>
    <w:rsid w:val="002E6E2F"/>
    <w:rsid w:val="002E7056"/>
    <w:rsid w:val="002E742E"/>
    <w:rsid w:val="002E7566"/>
    <w:rsid w:val="002E76F9"/>
    <w:rsid w:val="002F03C3"/>
    <w:rsid w:val="002F046D"/>
    <w:rsid w:val="002F1213"/>
    <w:rsid w:val="002F1CC6"/>
    <w:rsid w:val="002F2C0B"/>
    <w:rsid w:val="002F3147"/>
    <w:rsid w:val="002F364C"/>
    <w:rsid w:val="002F3BD5"/>
    <w:rsid w:val="002F3F5B"/>
    <w:rsid w:val="002F3FC9"/>
    <w:rsid w:val="002F4FBF"/>
    <w:rsid w:val="002F508C"/>
    <w:rsid w:val="002F5995"/>
    <w:rsid w:val="002F6510"/>
    <w:rsid w:val="002F66F8"/>
    <w:rsid w:val="002F6C31"/>
    <w:rsid w:val="002F72DA"/>
    <w:rsid w:val="002F7DA7"/>
    <w:rsid w:val="002F7DB6"/>
    <w:rsid w:val="00300064"/>
    <w:rsid w:val="00301764"/>
    <w:rsid w:val="00301DC8"/>
    <w:rsid w:val="00302EC1"/>
    <w:rsid w:val="0030310B"/>
    <w:rsid w:val="00303195"/>
    <w:rsid w:val="0030343F"/>
    <w:rsid w:val="0030396F"/>
    <w:rsid w:val="00304928"/>
    <w:rsid w:val="00304DE2"/>
    <w:rsid w:val="00305A72"/>
    <w:rsid w:val="00305C69"/>
    <w:rsid w:val="00305C6B"/>
    <w:rsid w:val="0030626B"/>
    <w:rsid w:val="003065C2"/>
    <w:rsid w:val="0030799C"/>
    <w:rsid w:val="00307DE5"/>
    <w:rsid w:val="00307F09"/>
    <w:rsid w:val="003103CD"/>
    <w:rsid w:val="003109AD"/>
    <w:rsid w:val="00310D0F"/>
    <w:rsid w:val="0031120B"/>
    <w:rsid w:val="00311396"/>
    <w:rsid w:val="0031195A"/>
    <w:rsid w:val="00311AD2"/>
    <w:rsid w:val="00311C44"/>
    <w:rsid w:val="00311F01"/>
    <w:rsid w:val="00312A1F"/>
    <w:rsid w:val="00312E18"/>
    <w:rsid w:val="00313880"/>
    <w:rsid w:val="00313BC8"/>
    <w:rsid w:val="00313E62"/>
    <w:rsid w:val="003141B9"/>
    <w:rsid w:val="00314A3E"/>
    <w:rsid w:val="00314BCF"/>
    <w:rsid w:val="00314D0C"/>
    <w:rsid w:val="00315044"/>
    <w:rsid w:val="0031512A"/>
    <w:rsid w:val="00315258"/>
    <w:rsid w:val="00315647"/>
    <w:rsid w:val="0031574F"/>
    <w:rsid w:val="0031582E"/>
    <w:rsid w:val="00315974"/>
    <w:rsid w:val="00316231"/>
    <w:rsid w:val="00317EB4"/>
    <w:rsid w:val="00317EF2"/>
    <w:rsid w:val="00320197"/>
    <w:rsid w:val="003202D7"/>
    <w:rsid w:val="00321288"/>
    <w:rsid w:val="00321AAF"/>
    <w:rsid w:val="003229D8"/>
    <w:rsid w:val="00322F6A"/>
    <w:rsid w:val="00323352"/>
    <w:rsid w:val="00323ACD"/>
    <w:rsid w:val="00323E98"/>
    <w:rsid w:val="00324004"/>
    <w:rsid w:val="00324176"/>
    <w:rsid w:val="00325B4F"/>
    <w:rsid w:val="00325BC5"/>
    <w:rsid w:val="00326757"/>
    <w:rsid w:val="00326A8B"/>
    <w:rsid w:val="00326F0E"/>
    <w:rsid w:val="00330A8B"/>
    <w:rsid w:val="0033141D"/>
    <w:rsid w:val="00331602"/>
    <w:rsid w:val="00331BE7"/>
    <w:rsid w:val="00331D29"/>
    <w:rsid w:val="00331DD2"/>
    <w:rsid w:val="003329BE"/>
    <w:rsid w:val="00332C79"/>
    <w:rsid w:val="00332E7C"/>
    <w:rsid w:val="00333A3F"/>
    <w:rsid w:val="00333C0C"/>
    <w:rsid w:val="0033404E"/>
    <w:rsid w:val="003342FF"/>
    <w:rsid w:val="00335129"/>
    <w:rsid w:val="00335B63"/>
    <w:rsid w:val="00336486"/>
    <w:rsid w:val="00336C97"/>
    <w:rsid w:val="00336DF7"/>
    <w:rsid w:val="00336EDD"/>
    <w:rsid w:val="00336FB4"/>
    <w:rsid w:val="0033701A"/>
    <w:rsid w:val="00337F88"/>
    <w:rsid w:val="003404A2"/>
    <w:rsid w:val="003405FE"/>
    <w:rsid w:val="003410A3"/>
    <w:rsid w:val="00341CF9"/>
    <w:rsid w:val="00341FB2"/>
    <w:rsid w:val="00342285"/>
    <w:rsid w:val="00342299"/>
    <w:rsid w:val="00342432"/>
    <w:rsid w:val="00342557"/>
    <w:rsid w:val="00342797"/>
    <w:rsid w:val="00342E5A"/>
    <w:rsid w:val="00344265"/>
    <w:rsid w:val="003445C1"/>
    <w:rsid w:val="00344FD8"/>
    <w:rsid w:val="00345594"/>
    <w:rsid w:val="00345CEF"/>
    <w:rsid w:val="00346601"/>
    <w:rsid w:val="00346781"/>
    <w:rsid w:val="003470D4"/>
    <w:rsid w:val="00347DD4"/>
    <w:rsid w:val="00347F53"/>
    <w:rsid w:val="003501CB"/>
    <w:rsid w:val="00350513"/>
    <w:rsid w:val="00350531"/>
    <w:rsid w:val="003505BD"/>
    <w:rsid w:val="00352125"/>
    <w:rsid w:val="00352237"/>
    <w:rsid w:val="0035223F"/>
    <w:rsid w:val="00352795"/>
    <w:rsid w:val="00352AED"/>
    <w:rsid w:val="00352B65"/>
    <w:rsid w:val="00352D4B"/>
    <w:rsid w:val="00352D6E"/>
    <w:rsid w:val="0035356E"/>
    <w:rsid w:val="0035363A"/>
    <w:rsid w:val="0035363D"/>
    <w:rsid w:val="00353843"/>
    <w:rsid w:val="003539FD"/>
    <w:rsid w:val="00353A0E"/>
    <w:rsid w:val="00353EBF"/>
    <w:rsid w:val="00354614"/>
    <w:rsid w:val="00354638"/>
    <w:rsid w:val="00355763"/>
    <w:rsid w:val="00355E80"/>
    <w:rsid w:val="00356107"/>
    <w:rsid w:val="0035622B"/>
    <w:rsid w:val="0035638C"/>
    <w:rsid w:val="00357611"/>
    <w:rsid w:val="0035773A"/>
    <w:rsid w:val="00357758"/>
    <w:rsid w:val="003578B9"/>
    <w:rsid w:val="00357978"/>
    <w:rsid w:val="003602C7"/>
    <w:rsid w:val="0036052C"/>
    <w:rsid w:val="00361285"/>
    <w:rsid w:val="0036131A"/>
    <w:rsid w:val="00361507"/>
    <w:rsid w:val="00362534"/>
    <w:rsid w:val="00363536"/>
    <w:rsid w:val="00364147"/>
    <w:rsid w:val="0036419E"/>
    <w:rsid w:val="003649F6"/>
    <w:rsid w:val="00364A9E"/>
    <w:rsid w:val="0036545E"/>
    <w:rsid w:val="0036575E"/>
    <w:rsid w:val="00365B88"/>
    <w:rsid w:val="00366575"/>
    <w:rsid w:val="0036697E"/>
    <w:rsid w:val="0036709F"/>
    <w:rsid w:val="003679A6"/>
    <w:rsid w:val="0037058A"/>
    <w:rsid w:val="00370626"/>
    <w:rsid w:val="003706F2"/>
    <w:rsid w:val="00370A09"/>
    <w:rsid w:val="00371311"/>
    <w:rsid w:val="0037190C"/>
    <w:rsid w:val="003723A5"/>
    <w:rsid w:val="00372C3D"/>
    <w:rsid w:val="00373110"/>
    <w:rsid w:val="00373726"/>
    <w:rsid w:val="00373760"/>
    <w:rsid w:val="00373B64"/>
    <w:rsid w:val="00373F1A"/>
    <w:rsid w:val="003741DC"/>
    <w:rsid w:val="0037452E"/>
    <w:rsid w:val="00374D1E"/>
    <w:rsid w:val="003759C2"/>
    <w:rsid w:val="003761C5"/>
    <w:rsid w:val="003765D4"/>
    <w:rsid w:val="00376BD7"/>
    <w:rsid w:val="00376E68"/>
    <w:rsid w:val="0038099A"/>
    <w:rsid w:val="00380C4A"/>
    <w:rsid w:val="00381F6A"/>
    <w:rsid w:val="00381FC9"/>
    <w:rsid w:val="0038255E"/>
    <w:rsid w:val="00382AB8"/>
    <w:rsid w:val="00382F50"/>
    <w:rsid w:val="00383433"/>
    <w:rsid w:val="00383AFD"/>
    <w:rsid w:val="00384088"/>
    <w:rsid w:val="00384368"/>
    <w:rsid w:val="00385796"/>
    <w:rsid w:val="00385DB5"/>
    <w:rsid w:val="00386384"/>
    <w:rsid w:val="0038650E"/>
    <w:rsid w:val="00386DF8"/>
    <w:rsid w:val="003870F9"/>
    <w:rsid w:val="00387467"/>
    <w:rsid w:val="00387F3A"/>
    <w:rsid w:val="00387F9A"/>
    <w:rsid w:val="003907F0"/>
    <w:rsid w:val="0039163A"/>
    <w:rsid w:val="003918E6"/>
    <w:rsid w:val="00391AC7"/>
    <w:rsid w:val="00391B2E"/>
    <w:rsid w:val="00391C21"/>
    <w:rsid w:val="00392385"/>
    <w:rsid w:val="003924BF"/>
    <w:rsid w:val="00392E71"/>
    <w:rsid w:val="00393117"/>
    <w:rsid w:val="003934D3"/>
    <w:rsid w:val="003948C2"/>
    <w:rsid w:val="00395598"/>
    <w:rsid w:val="00395F4B"/>
    <w:rsid w:val="0039655C"/>
    <w:rsid w:val="0039695D"/>
    <w:rsid w:val="00397C0F"/>
    <w:rsid w:val="00397F21"/>
    <w:rsid w:val="003A0068"/>
    <w:rsid w:val="003A110B"/>
    <w:rsid w:val="003A1307"/>
    <w:rsid w:val="003A14D5"/>
    <w:rsid w:val="003A1DEE"/>
    <w:rsid w:val="003A2415"/>
    <w:rsid w:val="003A27E9"/>
    <w:rsid w:val="003A36F8"/>
    <w:rsid w:val="003A383F"/>
    <w:rsid w:val="003A3B89"/>
    <w:rsid w:val="003A46BB"/>
    <w:rsid w:val="003A4810"/>
    <w:rsid w:val="003A4EC7"/>
    <w:rsid w:val="003A4F16"/>
    <w:rsid w:val="003A51FF"/>
    <w:rsid w:val="003A52A7"/>
    <w:rsid w:val="003A5378"/>
    <w:rsid w:val="003A58FA"/>
    <w:rsid w:val="003A5A1F"/>
    <w:rsid w:val="003A5EB5"/>
    <w:rsid w:val="003A6563"/>
    <w:rsid w:val="003A6B02"/>
    <w:rsid w:val="003A7295"/>
    <w:rsid w:val="003A79BE"/>
    <w:rsid w:val="003A7F75"/>
    <w:rsid w:val="003B0968"/>
    <w:rsid w:val="003B0CC0"/>
    <w:rsid w:val="003B0E3B"/>
    <w:rsid w:val="003B17C8"/>
    <w:rsid w:val="003B1BD9"/>
    <w:rsid w:val="003B1CC4"/>
    <w:rsid w:val="003B1F1C"/>
    <w:rsid w:val="003B1F60"/>
    <w:rsid w:val="003B251F"/>
    <w:rsid w:val="003B2B81"/>
    <w:rsid w:val="003B2E15"/>
    <w:rsid w:val="003B3299"/>
    <w:rsid w:val="003B347C"/>
    <w:rsid w:val="003B46B3"/>
    <w:rsid w:val="003B4D03"/>
    <w:rsid w:val="003B5440"/>
    <w:rsid w:val="003B59CE"/>
    <w:rsid w:val="003B5A02"/>
    <w:rsid w:val="003B5E44"/>
    <w:rsid w:val="003B6554"/>
    <w:rsid w:val="003B6DAD"/>
    <w:rsid w:val="003B6EC6"/>
    <w:rsid w:val="003B7B9C"/>
    <w:rsid w:val="003C097D"/>
    <w:rsid w:val="003C0B02"/>
    <w:rsid w:val="003C0D69"/>
    <w:rsid w:val="003C140A"/>
    <w:rsid w:val="003C1634"/>
    <w:rsid w:val="003C1BA9"/>
    <w:rsid w:val="003C2858"/>
    <w:rsid w:val="003C2C05"/>
    <w:rsid w:val="003C2CC4"/>
    <w:rsid w:val="003C2CFC"/>
    <w:rsid w:val="003C3820"/>
    <w:rsid w:val="003C42AF"/>
    <w:rsid w:val="003C4694"/>
    <w:rsid w:val="003C5B40"/>
    <w:rsid w:val="003C5D20"/>
    <w:rsid w:val="003C60E5"/>
    <w:rsid w:val="003C610B"/>
    <w:rsid w:val="003C6632"/>
    <w:rsid w:val="003C6B03"/>
    <w:rsid w:val="003C7933"/>
    <w:rsid w:val="003D0BF1"/>
    <w:rsid w:val="003D138A"/>
    <w:rsid w:val="003D2947"/>
    <w:rsid w:val="003D2B6D"/>
    <w:rsid w:val="003D356E"/>
    <w:rsid w:val="003D37D7"/>
    <w:rsid w:val="003D3C57"/>
    <w:rsid w:val="003D4760"/>
    <w:rsid w:val="003D4B23"/>
    <w:rsid w:val="003D4B35"/>
    <w:rsid w:val="003D4F59"/>
    <w:rsid w:val="003D51A9"/>
    <w:rsid w:val="003D51B4"/>
    <w:rsid w:val="003D51B5"/>
    <w:rsid w:val="003D52BD"/>
    <w:rsid w:val="003D559D"/>
    <w:rsid w:val="003D5F52"/>
    <w:rsid w:val="003D61F5"/>
    <w:rsid w:val="003D6B34"/>
    <w:rsid w:val="003D6C45"/>
    <w:rsid w:val="003D6D1C"/>
    <w:rsid w:val="003D7390"/>
    <w:rsid w:val="003D7A0D"/>
    <w:rsid w:val="003D7B98"/>
    <w:rsid w:val="003D7E11"/>
    <w:rsid w:val="003E0216"/>
    <w:rsid w:val="003E0298"/>
    <w:rsid w:val="003E0711"/>
    <w:rsid w:val="003E0A3E"/>
    <w:rsid w:val="003E1286"/>
    <w:rsid w:val="003E13D2"/>
    <w:rsid w:val="003E16A9"/>
    <w:rsid w:val="003E1946"/>
    <w:rsid w:val="003E2610"/>
    <w:rsid w:val="003E278A"/>
    <w:rsid w:val="003E2E4A"/>
    <w:rsid w:val="003E3387"/>
    <w:rsid w:val="003E39BA"/>
    <w:rsid w:val="003E3A7A"/>
    <w:rsid w:val="003E3DF6"/>
    <w:rsid w:val="003E4349"/>
    <w:rsid w:val="003E53F1"/>
    <w:rsid w:val="003E5A96"/>
    <w:rsid w:val="003E5B12"/>
    <w:rsid w:val="003E5B27"/>
    <w:rsid w:val="003E65CD"/>
    <w:rsid w:val="003E692A"/>
    <w:rsid w:val="003E69EB"/>
    <w:rsid w:val="003E6A47"/>
    <w:rsid w:val="003E6F77"/>
    <w:rsid w:val="003E6FC8"/>
    <w:rsid w:val="003E7766"/>
    <w:rsid w:val="003E7FC4"/>
    <w:rsid w:val="003F0737"/>
    <w:rsid w:val="003F0F23"/>
    <w:rsid w:val="003F0F2F"/>
    <w:rsid w:val="003F27B7"/>
    <w:rsid w:val="003F2D10"/>
    <w:rsid w:val="003F2EE5"/>
    <w:rsid w:val="003F3099"/>
    <w:rsid w:val="003F3205"/>
    <w:rsid w:val="003F3377"/>
    <w:rsid w:val="003F3636"/>
    <w:rsid w:val="003F36D2"/>
    <w:rsid w:val="003F423E"/>
    <w:rsid w:val="003F4420"/>
    <w:rsid w:val="003F498A"/>
    <w:rsid w:val="003F4B82"/>
    <w:rsid w:val="003F56A0"/>
    <w:rsid w:val="003F6209"/>
    <w:rsid w:val="003F64EB"/>
    <w:rsid w:val="003F67CA"/>
    <w:rsid w:val="003F6939"/>
    <w:rsid w:val="003F6E85"/>
    <w:rsid w:val="003F7208"/>
    <w:rsid w:val="003F7A00"/>
    <w:rsid w:val="003F7FF7"/>
    <w:rsid w:val="00400715"/>
    <w:rsid w:val="00401374"/>
    <w:rsid w:val="00401766"/>
    <w:rsid w:val="0040232C"/>
    <w:rsid w:val="004025BD"/>
    <w:rsid w:val="004025DC"/>
    <w:rsid w:val="004036EB"/>
    <w:rsid w:val="004037F0"/>
    <w:rsid w:val="00403E9C"/>
    <w:rsid w:val="00404846"/>
    <w:rsid w:val="0040497A"/>
    <w:rsid w:val="00405A57"/>
    <w:rsid w:val="00405D04"/>
    <w:rsid w:val="004068DB"/>
    <w:rsid w:val="00406BC0"/>
    <w:rsid w:val="004077AE"/>
    <w:rsid w:val="004106B4"/>
    <w:rsid w:val="00410732"/>
    <w:rsid w:val="00410F0F"/>
    <w:rsid w:val="00411365"/>
    <w:rsid w:val="0041176B"/>
    <w:rsid w:val="00412307"/>
    <w:rsid w:val="00412D8C"/>
    <w:rsid w:val="00412F48"/>
    <w:rsid w:val="00413520"/>
    <w:rsid w:val="004135F7"/>
    <w:rsid w:val="00414FAD"/>
    <w:rsid w:val="00414FE9"/>
    <w:rsid w:val="0041514C"/>
    <w:rsid w:val="004153CE"/>
    <w:rsid w:val="00415737"/>
    <w:rsid w:val="00415C6D"/>
    <w:rsid w:val="00416168"/>
    <w:rsid w:val="0041738E"/>
    <w:rsid w:val="004178A2"/>
    <w:rsid w:val="00417985"/>
    <w:rsid w:val="00417E19"/>
    <w:rsid w:val="0042059D"/>
    <w:rsid w:val="004206DE"/>
    <w:rsid w:val="00420E57"/>
    <w:rsid w:val="00421588"/>
    <w:rsid w:val="00421670"/>
    <w:rsid w:val="00421962"/>
    <w:rsid w:val="00421A19"/>
    <w:rsid w:val="00422416"/>
    <w:rsid w:val="00422974"/>
    <w:rsid w:val="00422BC5"/>
    <w:rsid w:val="00422CBD"/>
    <w:rsid w:val="00422FB6"/>
    <w:rsid w:val="00423C3A"/>
    <w:rsid w:val="00424995"/>
    <w:rsid w:val="00424EFA"/>
    <w:rsid w:val="00425B4E"/>
    <w:rsid w:val="00425BAA"/>
    <w:rsid w:val="00426489"/>
    <w:rsid w:val="004266D1"/>
    <w:rsid w:val="00426A82"/>
    <w:rsid w:val="00426F16"/>
    <w:rsid w:val="0042797B"/>
    <w:rsid w:val="00427B53"/>
    <w:rsid w:val="00427DEE"/>
    <w:rsid w:val="00427E4E"/>
    <w:rsid w:val="0043022C"/>
    <w:rsid w:val="00430332"/>
    <w:rsid w:val="00430B15"/>
    <w:rsid w:val="00431325"/>
    <w:rsid w:val="00432101"/>
    <w:rsid w:val="004325CB"/>
    <w:rsid w:val="0043284C"/>
    <w:rsid w:val="00432D79"/>
    <w:rsid w:val="00433614"/>
    <w:rsid w:val="00433627"/>
    <w:rsid w:val="0043365F"/>
    <w:rsid w:val="00434928"/>
    <w:rsid w:val="00434C49"/>
    <w:rsid w:val="00435379"/>
    <w:rsid w:val="00435BE0"/>
    <w:rsid w:val="004366B8"/>
    <w:rsid w:val="00437F2F"/>
    <w:rsid w:val="004402D3"/>
    <w:rsid w:val="00440A07"/>
    <w:rsid w:val="0044140F"/>
    <w:rsid w:val="0044176B"/>
    <w:rsid w:val="00441898"/>
    <w:rsid w:val="00442421"/>
    <w:rsid w:val="0044280C"/>
    <w:rsid w:val="00442F1A"/>
    <w:rsid w:val="0044375B"/>
    <w:rsid w:val="00444B81"/>
    <w:rsid w:val="0044508E"/>
    <w:rsid w:val="00445800"/>
    <w:rsid w:val="004459A1"/>
    <w:rsid w:val="004469A2"/>
    <w:rsid w:val="00446E5B"/>
    <w:rsid w:val="00447F86"/>
    <w:rsid w:val="00450123"/>
    <w:rsid w:val="004501CF"/>
    <w:rsid w:val="004512AE"/>
    <w:rsid w:val="0045180A"/>
    <w:rsid w:val="00451811"/>
    <w:rsid w:val="00451D3A"/>
    <w:rsid w:val="004524BA"/>
    <w:rsid w:val="004527AD"/>
    <w:rsid w:val="004528C2"/>
    <w:rsid w:val="00453C9A"/>
    <w:rsid w:val="00454E4C"/>
    <w:rsid w:val="004577CC"/>
    <w:rsid w:val="004578A9"/>
    <w:rsid w:val="00460E96"/>
    <w:rsid w:val="004616F6"/>
    <w:rsid w:val="004618A0"/>
    <w:rsid w:val="004624D2"/>
    <w:rsid w:val="00462880"/>
    <w:rsid w:val="00462BEE"/>
    <w:rsid w:val="00462D2E"/>
    <w:rsid w:val="004630FB"/>
    <w:rsid w:val="004635DB"/>
    <w:rsid w:val="00463678"/>
    <w:rsid w:val="00464BFE"/>
    <w:rsid w:val="00465AD0"/>
    <w:rsid w:val="00465B0B"/>
    <w:rsid w:val="00465F40"/>
    <w:rsid w:val="00466119"/>
    <w:rsid w:val="0046676F"/>
    <w:rsid w:val="00466DF3"/>
    <w:rsid w:val="00466ED9"/>
    <w:rsid w:val="00466F51"/>
    <w:rsid w:val="0046723D"/>
    <w:rsid w:val="004679F3"/>
    <w:rsid w:val="00467F7B"/>
    <w:rsid w:val="004704F6"/>
    <w:rsid w:val="00471092"/>
    <w:rsid w:val="0047213F"/>
    <w:rsid w:val="00473BF0"/>
    <w:rsid w:val="004744B4"/>
    <w:rsid w:val="00474828"/>
    <w:rsid w:val="00474DE2"/>
    <w:rsid w:val="00475A52"/>
    <w:rsid w:val="00475B1F"/>
    <w:rsid w:val="00475B7B"/>
    <w:rsid w:val="00475D22"/>
    <w:rsid w:val="004761A3"/>
    <w:rsid w:val="0047641A"/>
    <w:rsid w:val="00476674"/>
    <w:rsid w:val="00476978"/>
    <w:rsid w:val="00476A66"/>
    <w:rsid w:val="00476D3B"/>
    <w:rsid w:val="00476E85"/>
    <w:rsid w:val="00476F24"/>
    <w:rsid w:val="0047722D"/>
    <w:rsid w:val="00477630"/>
    <w:rsid w:val="004777DC"/>
    <w:rsid w:val="004777F3"/>
    <w:rsid w:val="00477F89"/>
    <w:rsid w:val="0048021F"/>
    <w:rsid w:val="004803AC"/>
    <w:rsid w:val="004807B7"/>
    <w:rsid w:val="0048082D"/>
    <w:rsid w:val="0048092E"/>
    <w:rsid w:val="00480AC5"/>
    <w:rsid w:val="00481FAB"/>
    <w:rsid w:val="00482431"/>
    <w:rsid w:val="00482AFF"/>
    <w:rsid w:val="00482D61"/>
    <w:rsid w:val="00483AF2"/>
    <w:rsid w:val="004846A9"/>
    <w:rsid w:val="00484A79"/>
    <w:rsid w:val="00485073"/>
    <w:rsid w:val="00485F14"/>
    <w:rsid w:val="00486257"/>
    <w:rsid w:val="004863EC"/>
    <w:rsid w:val="00486437"/>
    <w:rsid w:val="00486632"/>
    <w:rsid w:val="00486D23"/>
    <w:rsid w:val="00486D71"/>
    <w:rsid w:val="00486EA1"/>
    <w:rsid w:val="00487E5A"/>
    <w:rsid w:val="00487EDF"/>
    <w:rsid w:val="004900A7"/>
    <w:rsid w:val="004902D0"/>
    <w:rsid w:val="004902EE"/>
    <w:rsid w:val="004903E0"/>
    <w:rsid w:val="00490830"/>
    <w:rsid w:val="00490A2E"/>
    <w:rsid w:val="00490D29"/>
    <w:rsid w:val="00490E5F"/>
    <w:rsid w:val="00492650"/>
    <w:rsid w:val="00492BCE"/>
    <w:rsid w:val="00492C5B"/>
    <w:rsid w:val="0049326A"/>
    <w:rsid w:val="00493364"/>
    <w:rsid w:val="004939C6"/>
    <w:rsid w:val="004942FB"/>
    <w:rsid w:val="00494AEA"/>
    <w:rsid w:val="004950D2"/>
    <w:rsid w:val="00495202"/>
    <w:rsid w:val="00495233"/>
    <w:rsid w:val="0049553F"/>
    <w:rsid w:val="0049582A"/>
    <w:rsid w:val="00495906"/>
    <w:rsid w:val="00495D35"/>
    <w:rsid w:val="00496294"/>
    <w:rsid w:val="004967E0"/>
    <w:rsid w:val="00497255"/>
    <w:rsid w:val="004972BC"/>
    <w:rsid w:val="004A0770"/>
    <w:rsid w:val="004A09F1"/>
    <w:rsid w:val="004A0CEA"/>
    <w:rsid w:val="004A0DC2"/>
    <w:rsid w:val="004A25BA"/>
    <w:rsid w:val="004A2FC2"/>
    <w:rsid w:val="004A38AC"/>
    <w:rsid w:val="004A3B3B"/>
    <w:rsid w:val="004A3BCF"/>
    <w:rsid w:val="004A3CE0"/>
    <w:rsid w:val="004A3FF1"/>
    <w:rsid w:val="004A50EC"/>
    <w:rsid w:val="004A538D"/>
    <w:rsid w:val="004A53B0"/>
    <w:rsid w:val="004A584D"/>
    <w:rsid w:val="004A593E"/>
    <w:rsid w:val="004A5A0F"/>
    <w:rsid w:val="004A63F0"/>
    <w:rsid w:val="004A65E6"/>
    <w:rsid w:val="004A6D3B"/>
    <w:rsid w:val="004A7012"/>
    <w:rsid w:val="004A7AF3"/>
    <w:rsid w:val="004B008B"/>
    <w:rsid w:val="004B0706"/>
    <w:rsid w:val="004B10BD"/>
    <w:rsid w:val="004B17E9"/>
    <w:rsid w:val="004B1E10"/>
    <w:rsid w:val="004B249A"/>
    <w:rsid w:val="004B2844"/>
    <w:rsid w:val="004B2CA6"/>
    <w:rsid w:val="004B349C"/>
    <w:rsid w:val="004B3786"/>
    <w:rsid w:val="004B38AB"/>
    <w:rsid w:val="004B3D99"/>
    <w:rsid w:val="004B3DF8"/>
    <w:rsid w:val="004B3F76"/>
    <w:rsid w:val="004B4FD4"/>
    <w:rsid w:val="004B5243"/>
    <w:rsid w:val="004B5432"/>
    <w:rsid w:val="004B5B0D"/>
    <w:rsid w:val="004B7E73"/>
    <w:rsid w:val="004C010F"/>
    <w:rsid w:val="004C0E35"/>
    <w:rsid w:val="004C1C9F"/>
    <w:rsid w:val="004C28F8"/>
    <w:rsid w:val="004C2C48"/>
    <w:rsid w:val="004C55B0"/>
    <w:rsid w:val="004C58D2"/>
    <w:rsid w:val="004C5C26"/>
    <w:rsid w:val="004C76D3"/>
    <w:rsid w:val="004C7796"/>
    <w:rsid w:val="004C7B0C"/>
    <w:rsid w:val="004C7DEA"/>
    <w:rsid w:val="004C7E06"/>
    <w:rsid w:val="004D03FF"/>
    <w:rsid w:val="004D0724"/>
    <w:rsid w:val="004D1198"/>
    <w:rsid w:val="004D13C5"/>
    <w:rsid w:val="004D13FD"/>
    <w:rsid w:val="004D16FD"/>
    <w:rsid w:val="004D1A03"/>
    <w:rsid w:val="004D24F1"/>
    <w:rsid w:val="004D269C"/>
    <w:rsid w:val="004D28B0"/>
    <w:rsid w:val="004D2C7E"/>
    <w:rsid w:val="004D2E2E"/>
    <w:rsid w:val="004D2E46"/>
    <w:rsid w:val="004D32ED"/>
    <w:rsid w:val="004D3AD5"/>
    <w:rsid w:val="004D5C48"/>
    <w:rsid w:val="004D5D5C"/>
    <w:rsid w:val="004D6064"/>
    <w:rsid w:val="004D61AB"/>
    <w:rsid w:val="004D690B"/>
    <w:rsid w:val="004D6AF3"/>
    <w:rsid w:val="004D6D9D"/>
    <w:rsid w:val="004D712B"/>
    <w:rsid w:val="004D74CB"/>
    <w:rsid w:val="004D7552"/>
    <w:rsid w:val="004D7596"/>
    <w:rsid w:val="004D7987"/>
    <w:rsid w:val="004D7E78"/>
    <w:rsid w:val="004D7FA4"/>
    <w:rsid w:val="004E05E2"/>
    <w:rsid w:val="004E0686"/>
    <w:rsid w:val="004E097F"/>
    <w:rsid w:val="004E1D34"/>
    <w:rsid w:val="004E1ED3"/>
    <w:rsid w:val="004E215B"/>
    <w:rsid w:val="004E2516"/>
    <w:rsid w:val="004E3A57"/>
    <w:rsid w:val="004E3C35"/>
    <w:rsid w:val="004E3EEC"/>
    <w:rsid w:val="004E40A4"/>
    <w:rsid w:val="004E43EC"/>
    <w:rsid w:val="004E44E7"/>
    <w:rsid w:val="004E45DE"/>
    <w:rsid w:val="004E4C94"/>
    <w:rsid w:val="004E699D"/>
    <w:rsid w:val="004E69D2"/>
    <w:rsid w:val="004E6D06"/>
    <w:rsid w:val="004E6D18"/>
    <w:rsid w:val="004E6D3B"/>
    <w:rsid w:val="004E6F0C"/>
    <w:rsid w:val="004F06BC"/>
    <w:rsid w:val="004F0890"/>
    <w:rsid w:val="004F0A12"/>
    <w:rsid w:val="004F0A6F"/>
    <w:rsid w:val="004F2164"/>
    <w:rsid w:val="004F2A1B"/>
    <w:rsid w:val="004F2C0A"/>
    <w:rsid w:val="004F347C"/>
    <w:rsid w:val="004F3B0A"/>
    <w:rsid w:val="004F3DB7"/>
    <w:rsid w:val="004F3DDD"/>
    <w:rsid w:val="004F3E7B"/>
    <w:rsid w:val="004F4F12"/>
    <w:rsid w:val="004F5577"/>
    <w:rsid w:val="004F59ED"/>
    <w:rsid w:val="004F6869"/>
    <w:rsid w:val="004F6BA0"/>
    <w:rsid w:val="004F6C48"/>
    <w:rsid w:val="004F7817"/>
    <w:rsid w:val="004F7FA5"/>
    <w:rsid w:val="004F7FE8"/>
    <w:rsid w:val="0050067E"/>
    <w:rsid w:val="00500AA9"/>
    <w:rsid w:val="0050156C"/>
    <w:rsid w:val="0050196F"/>
    <w:rsid w:val="005021FE"/>
    <w:rsid w:val="005028B5"/>
    <w:rsid w:val="00503B33"/>
    <w:rsid w:val="00503BEA"/>
    <w:rsid w:val="0050424F"/>
    <w:rsid w:val="00504548"/>
    <w:rsid w:val="00504802"/>
    <w:rsid w:val="00505862"/>
    <w:rsid w:val="00505EA9"/>
    <w:rsid w:val="0050603C"/>
    <w:rsid w:val="0050627E"/>
    <w:rsid w:val="00506385"/>
    <w:rsid w:val="00506870"/>
    <w:rsid w:val="005069EA"/>
    <w:rsid w:val="0050703B"/>
    <w:rsid w:val="005074D1"/>
    <w:rsid w:val="00507CFF"/>
    <w:rsid w:val="00507D24"/>
    <w:rsid w:val="005106EA"/>
    <w:rsid w:val="00510905"/>
    <w:rsid w:val="00510B78"/>
    <w:rsid w:val="00510CF2"/>
    <w:rsid w:val="00510E71"/>
    <w:rsid w:val="00511975"/>
    <w:rsid w:val="00511B46"/>
    <w:rsid w:val="00512243"/>
    <w:rsid w:val="00512898"/>
    <w:rsid w:val="00512985"/>
    <w:rsid w:val="00513724"/>
    <w:rsid w:val="00513BDB"/>
    <w:rsid w:val="0051402A"/>
    <w:rsid w:val="0051447C"/>
    <w:rsid w:val="005154F7"/>
    <w:rsid w:val="005158D1"/>
    <w:rsid w:val="00515FC5"/>
    <w:rsid w:val="00516B18"/>
    <w:rsid w:val="00516C0A"/>
    <w:rsid w:val="0051716A"/>
    <w:rsid w:val="0051740E"/>
    <w:rsid w:val="005177A9"/>
    <w:rsid w:val="005178F4"/>
    <w:rsid w:val="00517998"/>
    <w:rsid w:val="00517BFF"/>
    <w:rsid w:val="00517CCE"/>
    <w:rsid w:val="005209EC"/>
    <w:rsid w:val="0052177E"/>
    <w:rsid w:val="0052180E"/>
    <w:rsid w:val="0052195E"/>
    <w:rsid w:val="00521967"/>
    <w:rsid w:val="00521D1E"/>
    <w:rsid w:val="00522B5D"/>
    <w:rsid w:val="00523482"/>
    <w:rsid w:val="005249B5"/>
    <w:rsid w:val="005255E7"/>
    <w:rsid w:val="00525890"/>
    <w:rsid w:val="00525E51"/>
    <w:rsid w:val="005263A9"/>
    <w:rsid w:val="00526FE3"/>
    <w:rsid w:val="0052779E"/>
    <w:rsid w:val="00527EA4"/>
    <w:rsid w:val="00530256"/>
    <w:rsid w:val="0053045D"/>
    <w:rsid w:val="005306CC"/>
    <w:rsid w:val="0053101B"/>
    <w:rsid w:val="00531996"/>
    <w:rsid w:val="00531B41"/>
    <w:rsid w:val="00531D2C"/>
    <w:rsid w:val="00531F0C"/>
    <w:rsid w:val="005322F6"/>
    <w:rsid w:val="00532514"/>
    <w:rsid w:val="0053265E"/>
    <w:rsid w:val="0053288A"/>
    <w:rsid w:val="005328AE"/>
    <w:rsid w:val="00532EDE"/>
    <w:rsid w:val="00532F7F"/>
    <w:rsid w:val="005331D9"/>
    <w:rsid w:val="005331E8"/>
    <w:rsid w:val="005332E6"/>
    <w:rsid w:val="00533616"/>
    <w:rsid w:val="0053388D"/>
    <w:rsid w:val="00533AA8"/>
    <w:rsid w:val="005350DF"/>
    <w:rsid w:val="005352C6"/>
    <w:rsid w:val="005357C2"/>
    <w:rsid w:val="00535807"/>
    <w:rsid w:val="00535ABA"/>
    <w:rsid w:val="0053605B"/>
    <w:rsid w:val="005360A3"/>
    <w:rsid w:val="00536111"/>
    <w:rsid w:val="00536B89"/>
    <w:rsid w:val="00536E80"/>
    <w:rsid w:val="0053703B"/>
    <w:rsid w:val="0053768B"/>
    <w:rsid w:val="00537952"/>
    <w:rsid w:val="00537BFE"/>
    <w:rsid w:val="0054018E"/>
    <w:rsid w:val="00540A8F"/>
    <w:rsid w:val="00540E14"/>
    <w:rsid w:val="00541BB7"/>
    <w:rsid w:val="00541DAE"/>
    <w:rsid w:val="005420F2"/>
    <w:rsid w:val="0054214A"/>
    <w:rsid w:val="0054285C"/>
    <w:rsid w:val="005439ED"/>
    <w:rsid w:val="0054400D"/>
    <w:rsid w:val="005441D4"/>
    <w:rsid w:val="0054460E"/>
    <w:rsid w:val="005450D9"/>
    <w:rsid w:val="00545278"/>
    <w:rsid w:val="00545288"/>
    <w:rsid w:val="00546751"/>
    <w:rsid w:val="005469AD"/>
    <w:rsid w:val="00546C33"/>
    <w:rsid w:val="00546CA5"/>
    <w:rsid w:val="005472EB"/>
    <w:rsid w:val="0054768D"/>
    <w:rsid w:val="00547EC6"/>
    <w:rsid w:val="0055139E"/>
    <w:rsid w:val="00551DAF"/>
    <w:rsid w:val="005523E8"/>
    <w:rsid w:val="00552878"/>
    <w:rsid w:val="00552AED"/>
    <w:rsid w:val="00552C73"/>
    <w:rsid w:val="00552F98"/>
    <w:rsid w:val="00553474"/>
    <w:rsid w:val="00553502"/>
    <w:rsid w:val="00553C88"/>
    <w:rsid w:val="00553EE6"/>
    <w:rsid w:val="005540E8"/>
    <w:rsid w:val="00554803"/>
    <w:rsid w:val="00555360"/>
    <w:rsid w:val="005554EC"/>
    <w:rsid w:val="00555597"/>
    <w:rsid w:val="00555D44"/>
    <w:rsid w:val="00556048"/>
    <w:rsid w:val="00556146"/>
    <w:rsid w:val="005572DC"/>
    <w:rsid w:val="00557B69"/>
    <w:rsid w:val="00560649"/>
    <w:rsid w:val="005607A2"/>
    <w:rsid w:val="00560C94"/>
    <w:rsid w:val="005611CA"/>
    <w:rsid w:val="00561956"/>
    <w:rsid w:val="00561DCD"/>
    <w:rsid w:val="0056205A"/>
    <w:rsid w:val="00562958"/>
    <w:rsid w:val="00563205"/>
    <w:rsid w:val="00563ADA"/>
    <w:rsid w:val="00563BBD"/>
    <w:rsid w:val="00563DF7"/>
    <w:rsid w:val="005649FD"/>
    <w:rsid w:val="00564A4B"/>
    <w:rsid w:val="00564BC6"/>
    <w:rsid w:val="00565E16"/>
    <w:rsid w:val="00566A04"/>
    <w:rsid w:val="00566FC6"/>
    <w:rsid w:val="00567251"/>
    <w:rsid w:val="00567E24"/>
    <w:rsid w:val="005708E4"/>
    <w:rsid w:val="00570DD4"/>
    <w:rsid w:val="005726B5"/>
    <w:rsid w:val="005727C7"/>
    <w:rsid w:val="005729FE"/>
    <w:rsid w:val="00572B5B"/>
    <w:rsid w:val="00572DDF"/>
    <w:rsid w:val="0057309D"/>
    <w:rsid w:val="00573A7D"/>
    <w:rsid w:val="00573ABF"/>
    <w:rsid w:val="0057446A"/>
    <w:rsid w:val="00574DAB"/>
    <w:rsid w:val="00576218"/>
    <w:rsid w:val="005762C3"/>
    <w:rsid w:val="0057678D"/>
    <w:rsid w:val="00576CC0"/>
    <w:rsid w:val="005770E8"/>
    <w:rsid w:val="005778E6"/>
    <w:rsid w:val="00577B1E"/>
    <w:rsid w:val="00577C01"/>
    <w:rsid w:val="0058154D"/>
    <w:rsid w:val="00581746"/>
    <w:rsid w:val="0058238E"/>
    <w:rsid w:val="00582F9D"/>
    <w:rsid w:val="00582FDE"/>
    <w:rsid w:val="00583035"/>
    <w:rsid w:val="005832D9"/>
    <w:rsid w:val="0058370E"/>
    <w:rsid w:val="005840EE"/>
    <w:rsid w:val="00584173"/>
    <w:rsid w:val="00584706"/>
    <w:rsid w:val="00584AAF"/>
    <w:rsid w:val="00586511"/>
    <w:rsid w:val="00586BCD"/>
    <w:rsid w:val="00586CE1"/>
    <w:rsid w:val="0058750A"/>
    <w:rsid w:val="00587624"/>
    <w:rsid w:val="005876E5"/>
    <w:rsid w:val="0058780A"/>
    <w:rsid w:val="005878A3"/>
    <w:rsid w:val="00587BB7"/>
    <w:rsid w:val="00587C4B"/>
    <w:rsid w:val="005907B8"/>
    <w:rsid w:val="00590838"/>
    <w:rsid w:val="00591254"/>
    <w:rsid w:val="00591D43"/>
    <w:rsid w:val="00592549"/>
    <w:rsid w:val="00592BB8"/>
    <w:rsid w:val="0059318E"/>
    <w:rsid w:val="00593522"/>
    <w:rsid w:val="005936FF"/>
    <w:rsid w:val="005937EE"/>
    <w:rsid w:val="00593880"/>
    <w:rsid w:val="00593DB8"/>
    <w:rsid w:val="00593F5C"/>
    <w:rsid w:val="005942A8"/>
    <w:rsid w:val="0059460F"/>
    <w:rsid w:val="0059494E"/>
    <w:rsid w:val="0059497D"/>
    <w:rsid w:val="00595469"/>
    <w:rsid w:val="00595520"/>
    <w:rsid w:val="00595598"/>
    <w:rsid w:val="00595783"/>
    <w:rsid w:val="00595B3F"/>
    <w:rsid w:val="005968CC"/>
    <w:rsid w:val="005969F2"/>
    <w:rsid w:val="005A025A"/>
    <w:rsid w:val="005A0673"/>
    <w:rsid w:val="005A20DD"/>
    <w:rsid w:val="005A2255"/>
    <w:rsid w:val="005A269D"/>
    <w:rsid w:val="005A27B6"/>
    <w:rsid w:val="005A2922"/>
    <w:rsid w:val="005A2985"/>
    <w:rsid w:val="005A2BFF"/>
    <w:rsid w:val="005A2CB4"/>
    <w:rsid w:val="005A32E6"/>
    <w:rsid w:val="005A338F"/>
    <w:rsid w:val="005A3950"/>
    <w:rsid w:val="005A3C1E"/>
    <w:rsid w:val="005A3C6B"/>
    <w:rsid w:val="005A4197"/>
    <w:rsid w:val="005A439B"/>
    <w:rsid w:val="005A44B9"/>
    <w:rsid w:val="005A467C"/>
    <w:rsid w:val="005A47CA"/>
    <w:rsid w:val="005A5102"/>
    <w:rsid w:val="005A54EF"/>
    <w:rsid w:val="005A5521"/>
    <w:rsid w:val="005A5A2C"/>
    <w:rsid w:val="005A71EF"/>
    <w:rsid w:val="005A7327"/>
    <w:rsid w:val="005A73DB"/>
    <w:rsid w:val="005B072C"/>
    <w:rsid w:val="005B0E09"/>
    <w:rsid w:val="005B10DD"/>
    <w:rsid w:val="005B1A2A"/>
    <w:rsid w:val="005B1A85"/>
    <w:rsid w:val="005B1BA0"/>
    <w:rsid w:val="005B2897"/>
    <w:rsid w:val="005B29FA"/>
    <w:rsid w:val="005B3C6A"/>
    <w:rsid w:val="005B3DB3"/>
    <w:rsid w:val="005B4799"/>
    <w:rsid w:val="005B4980"/>
    <w:rsid w:val="005B4DB5"/>
    <w:rsid w:val="005B4F17"/>
    <w:rsid w:val="005B5304"/>
    <w:rsid w:val="005B5B72"/>
    <w:rsid w:val="005B664E"/>
    <w:rsid w:val="005B7AD2"/>
    <w:rsid w:val="005B7D25"/>
    <w:rsid w:val="005C0DAB"/>
    <w:rsid w:val="005C165D"/>
    <w:rsid w:val="005C1CE1"/>
    <w:rsid w:val="005C2168"/>
    <w:rsid w:val="005C24AC"/>
    <w:rsid w:val="005C2A86"/>
    <w:rsid w:val="005C3EB0"/>
    <w:rsid w:val="005C406A"/>
    <w:rsid w:val="005C473A"/>
    <w:rsid w:val="005C57B0"/>
    <w:rsid w:val="005C5A1D"/>
    <w:rsid w:val="005C5CBB"/>
    <w:rsid w:val="005C62CE"/>
    <w:rsid w:val="005C655A"/>
    <w:rsid w:val="005C6884"/>
    <w:rsid w:val="005C6FE1"/>
    <w:rsid w:val="005C7287"/>
    <w:rsid w:val="005C7CE7"/>
    <w:rsid w:val="005D000F"/>
    <w:rsid w:val="005D00C3"/>
    <w:rsid w:val="005D063D"/>
    <w:rsid w:val="005D07FD"/>
    <w:rsid w:val="005D15CA"/>
    <w:rsid w:val="005D21C8"/>
    <w:rsid w:val="005D2D7B"/>
    <w:rsid w:val="005D2FB3"/>
    <w:rsid w:val="005D3E4D"/>
    <w:rsid w:val="005D497E"/>
    <w:rsid w:val="005D4D11"/>
    <w:rsid w:val="005D50E8"/>
    <w:rsid w:val="005D5440"/>
    <w:rsid w:val="005D6333"/>
    <w:rsid w:val="005D6909"/>
    <w:rsid w:val="005D6ACD"/>
    <w:rsid w:val="005D7EAB"/>
    <w:rsid w:val="005E0BF7"/>
    <w:rsid w:val="005E12D8"/>
    <w:rsid w:val="005E20CC"/>
    <w:rsid w:val="005E3B52"/>
    <w:rsid w:val="005E3E86"/>
    <w:rsid w:val="005E5293"/>
    <w:rsid w:val="005E5B50"/>
    <w:rsid w:val="005E666B"/>
    <w:rsid w:val="005E6B95"/>
    <w:rsid w:val="005E7313"/>
    <w:rsid w:val="005E7699"/>
    <w:rsid w:val="005E78B6"/>
    <w:rsid w:val="005F0F7C"/>
    <w:rsid w:val="005F10DC"/>
    <w:rsid w:val="005F1582"/>
    <w:rsid w:val="005F21CF"/>
    <w:rsid w:val="005F22F8"/>
    <w:rsid w:val="005F2317"/>
    <w:rsid w:val="005F2772"/>
    <w:rsid w:val="005F2CAF"/>
    <w:rsid w:val="005F2DBC"/>
    <w:rsid w:val="005F2E27"/>
    <w:rsid w:val="005F3066"/>
    <w:rsid w:val="005F38AC"/>
    <w:rsid w:val="005F3E61"/>
    <w:rsid w:val="005F437D"/>
    <w:rsid w:val="005F4752"/>
    <w:rsid w:val="005F482F"/>
    <w:rsid w:val="005F4FE7"/>
    <w:rsid w:val="005F52E3"/>
    <w:rsid w:val="005F5383"/>
    <w:rsid w:val="005F53CC"/>
    <w:rsid w:val="005F5865"/>
    <w:rsid w:val="005F58E7"/>
    <w:rsid w:val="005F5F36"/>
    <w:rsid w:val="005F6D30"/>
    <w:rsid w:val="00600384"/>
    <w:rsid w:val="006005A3"/>
    <w:rsid w:val="00600B2D"/>
    <w:rsid w:val="0060138F"/>
    <w:rsid w:val="0060193A"/>
    <w:rsid w:val="00601ABB"/>
    <w:rsid w:val="0060207C"/>
    <w:rsid w:val="00602721"/>
    <w:rsid w:val="00602CAB"/>
    <w:rsid w:val="00603A2F"/>
    <w:rsid w:val="006043D2"/>
    <w:rsid w:val="006047AA"/>
    <w:rsid w:val="00604BA0"/>
    <w:rsid w:val="00604DDD"/>
    <w:rsid w:val="00604E19"/>
    <w:rsid w:val="00604E3D"/>
    <w:rsid w:val="0060502C"/>
    <w:rsid w:val="00605644"/>
    <w:rsid w:val="006056A0"/>
    <w:rsid w:val="006056AD"/>
    <w:rsid w:val="00606056"/>
    <w:rsid w:val="00606380"/>
    <w:rsid w:val="006066EE"/>
    <w:rsid w:val="006067AC"/>
    <w:rsid w:val="00606985"/>
    <w:rsid w:val="006104CC"/>
    <w:rsid w:val="00610C91"/>
    <w:rsid w:val="00610E99"/>
    <w:rsid w:val="00611426"/>
    <w:rsid w:val="006115CC"/>
    <w:rsid w:val="00611600"/>
    <w:rsid w:val="006118ED"/>
    <w:rsid w:val="00611A11"/>
    <w:rsid w:val="00611C54"/>
    <w:rsid w:val="00611F11"/>
    <w:rsid w:val="00611FC4"/>
    <w:rsid w:val="0061204C"/>
    <w:rsid w:val="0061219F"/>
    <w:rsid w:val="006123C1"/>
    <w:rsid w:val="00612522"/>
    <w:rsid w:val="006128F1"/>
    <w:rsid w:val="00613161"/>
    <w:rsid w:val="006135CF"/>
    <w:rsid w:val="00613F14"/>
    <w:rsid w:val="00614380"/>
    <w:rsid w:val="006144A8"/>
    <w:rsid w:val="00614D4A"/>
    <w:rsid w:val="00615B65"/>
    <w:rsid w:val="00615DFE"/>
    <w:rsid w:val="0061660A"/>
    <w:rsid w:val="00616A16"/>
    <w:rsid w:val="00616A51"/>
    <w:rsid w:val="00616E4A"/>
    <w:rsid w:val="00616F19"/>
    <w:rsid w:val="00617589"/>
    <w:rsid w:val="006176FB"/>
    <w:rsid w:val="00617C65"/>
    <w:rsid w:val="006209DD"/>
    <w:rsid w:val="00620F8A"/>
    <w:rsid w:val="00622D9C"/>
    <w:rsid w:val="00623054"/>
    <w:rsid w:val="006236D0"/>
    <w:rsid w:val="006244FB"/>
    <w:rsid w:val="00624AAA"/>
    <w:rsid w:val="00624E14"/>
    <w:rsid w:val="00624EEB"/>
    <w:rsid w:val="0062578E"/>
    <w:rsid w:val="00625B83"/>
    <w:rsid w:val="00625BBA"/>
    <w:rsid w:val="00625E5F"/>
    <w:rsid w:val="006260F2"/>
    <w:rsid w:val="006264A5"/>
    <w:rsid w:val="00626AF9"/>
    <w:rsid w:val="00626B06"/>
    <w:rsid w:val="00626BF0"/>
    <w:rsid w:val="00627034"/>
    <w:rsid w:val="00627420"/>
    <w:rsid w:val="006274C3"/>
    <w:rsid w:val="006274C8"/>
    <w:rsid w:val="00630402"/>
    <w:rsid w:val="0063095D"/>
    <w:rsid w:val="00630FCB"/>
    <w:rsid w:val="006318F1"/>
    <w:rsid w:val="00631C64"/>
    <w:rsid w:val="00632241"/>
    <w:rsid w:val="0063229B"/>
    <w:rsid w:val="006335FD"/>
    <w:rsid w:val="0063515D"/>
    <w:rsid w:val="0063519C"/>
    <w:rsid w:val="006352C2"/>
    <w:rsid w:val="00635369"/>
    <w:rsid w:val="006354BA"/>
    <w:rsid w:val="00635A3B"/>
    <w:rsid w:val="00636007"/>
    <w:rsid w:val="00636943"/>
    <w:rsid w:val="0063729E"/>
    <w:rsid w:val="0064002E"/>
    <w:rsid w:val="00640115"/>
    <w:rsid w:val="006402F1"/>
    <w:rsid w:val="006403F0"/>
    <w:rsid w:val="006404E2"/>
    <w:rsid w:val="00640587"/>
    <w:rsid w:val="0064099C"/>
    <w:rsid w:val="00640B26"/>
    <w:rsid w:val="00640B28"/>
    <w:rsid w:val="006411A3"/>
    <w:rsid w:val="00641678"/>
    <w:rsid w:val="00641E92"/>
    <w:rsid w:val="00643459"/>
    <w:rsid w:val="00643484"/>
    <w:rsid w:val="00643EE2"/>
    <w:rsid w:val="00645626"/>
    <w:rsid w:val="006459DE"/>
    <w:rsid w:val="0064635A"/>
    <w:rsid w:val="006465B6"/>
    <w:rsid w:val="00646C8F"/>
    <w:rsid w:val="00646D30"/>
    <w:rsid w:val="00647283"/>
    <w:rsid w:val="00650E3B"/>
    <w:rsid w:val="00650FC3"/>
    <w:rsid w:val="0065191F"/>
    <w:rsid w:val="00651A69"/>
    <w:rsid w:val="00652769"/>
    <w:rsid w:val="00652BF2"/>
    <w:rsid w:val="00652DA3"/>
    <w:rsid w:val="00652ED1"/>
    <w:rsid w:val="00653605"/>
    <w:rsid w:val="00653723"/>
    <w:rsid w:val="006537DB"/>
    <w:rsid w:val="006540FE"/>
    <w:rsid w:val="00654252"/>
    <w:rsid w:val="00654B99"/>
    <w:rsid w:val="00655FDE"/>
    <w:rsid w:val="00656473"/>
    <w:rsid w:val="00657D3E"/>
    <w:rsid w:val="00660C5D"/>
    <w:rsid w:val="0066118F"/>
    <w:rsid w:val="00661A4B"/>
    <w:rsid w:val="006621AD"/>
    <w:rsid w:val="00662CAC"/>
    <w:rsid w:val="00662D1C"/>
    <w:rsid w:val="00662F17"/>
    <w:rsid w:val="0066325B"/>
    <w:rsid w:val="006632DD"/>
    <w:rsid w:val="006634E0"/>
    <w:rsid w:val="00663F89"/>
    <w:rsid w:val="006652E1"/>
    <w:rsid w:val="006657B0"/>
    <w:rsid w:val="00665B87"/>
    <w:rsid w:val="00665D1D"/>
    <w:rsid w:val="00666846"/>
    <w:rsid w:val="00666A23"/>
    <w:rsid w:val="00666C07"/>
    <w:rsid w:val="00666CCB"/>
    <w:rsid w:val="00667E95"/>
    <w:rsid w:val="00667FA2"/>
    <w:rsid w:val="00671534"/>
    <w:rsid w:val="00671574"/>
    <w:rsid w:val="006717BB"/>
    <w:rsid w:val="0067180F"/>
    <w:rsid w:val="006719F2"/>
    <w:rsid w:val="00672030"/>
    <w:rsid w:val="00672538"/>
    <w:rsid w:val="00672547"/>
    <w:rsid w:val="00672611"/>
    <w:rsid w:val="0067320C"/>
    <w:rsid w:val="00673327"/>
    <w:rsid w:val="006740E1"/>
    <w:rsid w:val="00674AF8"/>
    <w:rsid w:val="00674BB4"/>
    <w:rsid w:val="00674DF7"/>
    <w:rsid w:val="00675DBD"/>
    <w:rsid w:val="0067673D"/>
    <w:rsid w:val="00676989"/>
    <w:rsid w:val="00676E81"/>
    <w:rsid w:val="00676ECE"/>
    <w:rsid w:val="006770B2"/>
    <w:rsid w:val="00677567"/>
    <w:rsid w:val="00677D70"/>
    <w:rsid w:val="00677DF4"/>
    <w:rsid w:val="006804E4"/>
    <w:rsid w:val="00680787"/>
    <w:rsid w:val="00680B0C"/>
    <w:rsid w:val="00680B13"/>
    <w:rsid w:val="0068127E"/>
    <w:rsid w:val="0068128A"/>
    <w:rsid w:val="00682830"/>
    <w:rsid w:val="006828EA"/>
    <w:rsid w:val="00682C19"/>
    <w:rsid w:val="00683167"/>
    <w:rsid w:val="0068351A"/>
    <w:rsid w:val="00683819"/>
    <w:rsid w:val="006838B1"/>
    <w:rsid w:val="00683C0A"/>
    <w:rsid w:val="00683CCC"/>
    <w:rsid w:val="00683FEB"/>
    <w:rsid w:val="00684468"/>
    <w:rsid w:val="00684ADC"/>
    <w:rsid w:val="00684BFA"/>
    <w:rsid w:val="006851DD"/>
    <w:rsid w:val="00685C6C"/>
    <w:rsid w:val="0068707F"/>
    <w:rsid w:val="00687204"/>
    <w:rsid w:val="00687308"/>
    <w:rsid w:val="0068740F"/>
    <w:rsid w:val="0068782B"/>
    <w:rsid w:val="0069034D"/>
    <w:rsid w:val="00690487"/>
    <w:rsid w:val="00690514"/>
    <w:rsid w:val="006912D4"/>
    <w:rsid w:val="006913E1"/>
    <w:rsid w:val="006914E4"/>
    <w:rsid w:val="00691641"/>
    <w:rsid w:val="0069178A"/>
    <w:rsid w:val="00691D51"/>
    <w:rsid w:val="00692173"/>
    <w:rsid w:val="0069279B"/>
    <w:rsid w:val="0069281B"/>
    <w:rsid w:val="00692901"/>
    <w:rsid w:val="006929EE"/>
    <w:rsid w:val="0069319A"/>
    <w:rsid w:val="00693267"/>
    <w:rsid w:val="006932FC"/>
    <w:rsid w:val="006933DA"/>
    <w:rsid w:val="006936A3"/>
    <w:rsid w:val="00693882"/>
    <w:rsid w:val="006938D7"/>
    <w:rsid w:val="00693A05"/>
    <w:rsid w:val="00693BC2"/>
    <w:rsid w:val="006940E1"/>
    <w:rsid w:val="00694133"/>
    <w:rsid w:val="0069454D"/>
    <w:rsid w:val="00694C82"/>
    <w:rsid w:val="006952E3"/>
    <w:rsid w:val="0069670B"/>
    <w:rsid w:val="00696748"/>
    <w:rsid w:val="006967D0"/>
    <w:rsid w:val="00696EC6"/>
    <w:rsid w:val="006970FF"/>
    <w:rsid w:val="006972D4"/>
    <w:rsid w:val="006A15D7"/>
    <w:rsid w:val="006A26FC"/>
    <w:rsid w:val="006A28A3"/>
    <w:rsid w:val="006A3446"/>
    <w:rsid w:val="006A3802"/>
    <w:rsid w:val="006A3C72"/>
    <w:rsid w:val="006A4095"/>
    <w:rsid w:val="006A4481"/>
    <w:rsid w:val="006A48F6"/>
    <w:rsid w:val="006A5317"/>
    <w:rsid w:val="006A53F8"/>
    <w:rsid w:val="006A5423"/>
    <w:rsid w:val="006A5477"/>
    <w:rsid w:val="006A5A71"/>
    <w:rsid w:val="006A60D7"/>
    <w:rsid w:val="006A6146"/>
    <w:rsid w:val="006A67AF"/>
    <w:rsid w:val="006A7392"/>
    <w:rsid w:val="006A7975"/>
    <w:rsid w:val="006B03A1"/>
    <w:rsid w:val="006B09B0"/>
    <w:rsid w:val="006B0C42"/>
    <w:rsid w:val="006B0CE6"/>
    <w:rsid w:val="006B13E5"/>
    <w:rsid w:val="006B149D"/>
    <w:rsid w:val="006B154F"/>
    <w:rsid w:val="006B1CCA"/>
    <w:rsid w:val="006B2B25"/>
    <w:rsid w:val="006B2C24"/>
    <w:rsid w:val="006B2DEC"/>
    <w:rsid w:val="006B3019"/>
    <w:rsid w:val="006B30FC"/>
    <w:rsid w:val="006B3543"/>
    <w:rsid w:val="006B381B"/>
    <w:rsid w:val="006B3DDD"/>
    <w:rsid w:val="006B3ED4"/>
    <w:rsid w:val="006B3EFA"/>
    <w:rsid w:val="006B3F0F"/>
    <w:rsid w:val="006B4294"/>
    <w:rsid w:val="006B44B1"/>
    <w:rsid w:val="006B4892"/>
    <w:rsid w:val="006B4D0C"/>
    <w:rsid w:val="006B5592"/>
    <w:rsid w:val="006B5CB3"/>
    <w:rsid w:val="006B6731"/>
    <w:rsid w:val="006B67D9"/>
    <w:rsid w:val="006B6855"/>
    <w:rsid w:val="006B6AE7"/>
    <w:rsid w:val="006B6C7F"/>
    <w:rsid w:val="006B70D0"/>
    <w:rsid w:val="006B74EB"/>
    <w:rsid w:val="006B7640"/>
    <w:rsid w:val="006B7F84"/>
    <w:rsid w:val="006C0760"/>
    <w:rsid w:val="006C12A8"/>
    <w:rsid w:val="006C187B"/>
    <w:rsid w:val="006C2066"/>
    <w:rsid w:val="006C2AA6"/>
    <w:rsid w:val="006C2E89"/>
    <w:rsid w:val="006C347B"/>
    <w:rsid w:val="006C36A5"/>
    <w:rsid w:val="006C404D"/>
    <w:rsid w:val="006C4AB0"/>
    <w:rsid w:val="006C51B2"/>
    <w:rsid w:val="006C5535"/>
    <w:rsid w:val="006C5760"/>
    <w:rsid w:val="006C6043"/>
    <w:rsid w:val="006C614A"/>
    <w:rsid w:val="006C6708"/>
    <w:rsid w:val="006C76D9"/>
    <w:rsid w:val="006C781F"/>
    <w:rsid w:val="006C7A45"/>
    <w:rsid w:val="006C7EC3"/>
    <w:rsid w:val="006D0399"/>
    <w:rsid w:val="006D0550"/>
    <w:rsid w:val="006D0589"/>
    <w:rsid w:val="006D0B70"/>
    <w:rsid w:val="006D0C34"/>
    <w:rsid w:val="006D0FB1"/>
    <w:rsid w:val="006D1361"/>
    <w:rsid w:val="006D15BB"/>
    <w:rsid w:val="006D2146"/>
    <w:rsid w:val="006D293C"/>
    <w:rsid w:val="006D2948"/>
    <w:rsid w:val="006D2F2D"/>
    <w:rsid w:val="006D3751"/>
    <w:rsid w:val="006D3F6E"/>
    <w:rsid w:val="006D40FA"/>
    <w:rsid w:val="006D4C43"/>
    <w:rsid w:val="006D4F7F"/>
    <w:rsid w:val="006D5619"/>
    <w:rsid w:val="006D5624"/>
    <w:rsid w:val="006D65CF"/>
    <w:rsid w:val="006D6A2E"/>
    <w:rsid w:val="006D751E"/>
    <w:rsid w:val="006D7C23"/>
    <w:rsid w:val="006D7FFC"/>
    <w:rsid w:val="006E072C"/>
    <w:rsid w:val="006E0885"/>
    <w:rsid w:val="006E0DA0"/>
    <w:rsid w:val="006E1689"/>
    <w:rsid w:val="006E1D45"/>
    <w:rsid w:val="006E29A5"/>
    <w:rsid w:val="006E3A52"/>
    <w:rsid w:val="006E419E"/>
    <w:rsid w:val="006E4671"/>
    <w:rsid w:val="006E470A"/>
    <w:rsid w:val="006E5416"/>
    <w:rsid w:val="006E55AF"/>
    <w:rsid w:val="006E564B"/>
    <w:rsid w:val="006E6930"/>
    <w:rsid w:val="006E69FB"/>
    <w:rsid w:val="006E6E23"/>
    <w:rsid w:val="006E7154"/>
    <w:rsid w:val="006E75BB"/>
    <w:rsid w:val="006E7808"/>
    <w:rsid w:val="006E78CB"/>
    <w:rsid w:val="006E7A2A"/>
    <w:rsid w:val="006E7F32"/>
    <w:rsid w:val="006F0756"/>
    <w:rsid w:val="006F13B0"/>
    <w:rsid w:val="006F14FC"/>
    <w:rsid w:val="006F1734"/>
    <w:rsid w:val="006F185A"/>
    <w:rsid w:val="006F1A40"/>
    <w:rsid w:val="006F2051"/>
    <w:rsid w:val="006F2077"/>
    <w:rsid w:val="006F245C"/>
    <w:rsid w:val="006F25D8"/>
    <w:rsid w:val="006F32F9"/>
    <w:rsid w:val="006F3804"/>
    <w:rsid w:val="006F3A76"/>
    <w:rsid w:val="006F3AED"/>
    <w:rsid w:val="006F3E99"/>
    <w:rsid w:val="006F4920"/>
    <w:rsid w:val="006F4BA6"/>
    <w:rsid w:val="006F4DFA"/>
    <w:rsid w:val="006F532D"/>
    <w:rsid w:val="006F54A2"/>
    <w:rsid w:val="006F7379"/>
    <w:rsid w:val="006F7735"/>
    <w:rsid w:val="006F7809"/>
    <w:rsid w:val="006F7A38"/>
    <w:rsid w:val="006F7E76"/>
    <w:rsid w:val="006F7E91"/>
    <w:rsid w:val="0070014F"/>
    <w:rsid w:val="00700215"/>
    <w:rsid w:val="0070035D"/>
    <w:rsid w:val="007003CD"/>
    <w:rsid w:val="007007D3"/>
    <w:rsid w:val="00700F66"/>
    <w:rsid w:val="0070109A"/>
    <w:rsid w:val="007010F4"/>
    <w:rsid w:val="007011DB"/>
    <w:rsid w:val="0070133F"/>
    <w:rsid w:val="0070155C"/>
    <w:rsid w:val="00701A83"/>
    <w:rsid w:val="00703065"/>
    <w:rsid w:val="007037FA"/>
    <w:rsid w:val="00703DAE"/>
    <w:rsid w:val="0070408D"/>
    <w:rsid w:val="00704D4E"/>
    <w:rsid w:val="00705FD5"/>
    <w:rsid w:val="0070604A"/>
    <w:rsid w:val="007061CC"/>
    <w:rsid w:val="007062A9"/>
    <w:rsid w:val="0070701E"/>
    <w:rsid w:val="007072F9"/>
    <w:rsid w:val="00707495"/>
    <w:rsid w:val="00707615"/>
    <w:rsid w:val="0071002B"/>
    <w:rsid w:val="00710054"/>
    <w:rsid w:val="00710266"/>
    <w:rsid w:val="007104D2"/>
    <w:rsid w:val="007107EE"/>
    <w:rsid w:val="007108B4"/>
    <w:rsid w:val="00710AFD"/>
    <w:rsid w:val="0071128A"/>
    <w:rsid w:val="007113E9"/>
    <w:rsid w:val="00711474"/>
    <w:rsid w:val="00711956"/>
    <w:rsid w:val="00711B30"/>
    <w:rsid w:val="00711D2A"/>
    <w:rsid w:val="00712347"/>
    <w:rsid w:val="00712422"/>
    <w:rsid w:val="007125C4"/>
    <w:rsid w:val="00712C76"/>
    <w:rsid w:val="00713686"/>
    <w:rsid w:val="0071383F"/>
    <w:rsid w:val="007140EF"/>
    <w:rsid w:val="0071425E"/>
    <w:rsid w:val="0071448B"/>
    <w:rsid w:val="00715CC6"/>
    <w:rsid w:val="00715EC2"/>
    <w:rsid w:val="00716CD3"/>
    <w:rsid w:val="00716CF5"/>
    <w:rsid w:val="007175C9"/>
    <w:rsid w:val="00717E77"/>
    <w:rsid w:val="0072000F"/>
    <w:rsid w:val="007200B5"/>
    <w:rsid w:val="00720492"/>
    <w:rsid w:val="00720CE3"/>
    <w:rsid w:val="00721281"/>
    <w:rsid w:val="0072251F"/>
    <w:rsid w:val="0072271A"/>
    <w:rsid w:val="00722E49"/>
    <w:rsid w:val="00722F3C"/>
    <w:rsid w:val="00722F7C"/>
    <w:rsid w:val="00723430"/>
    <w:rsid w:val="00723664"/>
    <w:rsid w:val="00723D40"/>
    <w:rsid w:val="0072497B"/>
    <w:rsid w:val="00724B9F"/>
    <w:rsid w:val="00724CF9"/>
    <w:rsid w:val="00726202"/>
    <w:rsid w:val="0072632A"/>
    <w:rsid w:val="007265E1"/>
    <w:rsid w:val="00727C7E"/>
    <w:rsid w:val="00727D32"/>
    <w:rsid w:val="007303C7"/>
    <w:rsid w:val="00730872"/>
    <w:rsid w:val="007311CD"/>
    <w:rsid w:val="007312E5"/>
    <w:rsid w:val="007321D4"/>
    <w:rsid w:val="00732E7D"/>
    <w:rsid w:val="007337AC"/>
    <w:rsid w:val="00734C32"/>
    <w:rsid w:val="00735180"/>
    <w:rsid w:val="007351D2"/>
    <w:rsid w:val="007352B7"/>
    <w:rsid w:val="007358E8"/>
    <w:rsid w:val="00735C12"/>
    <w:rsid w:val="00735F0D"/>
    <w:rsid w:val="00736067"/>
    <w:rsid w:val="00736ECE"/>
    <w:rsid w:val="007377A5"/>
    <w:rsid w:val="00737B3D"/>
    <w:rsid w:val="00737FBE"/>
    <w:rsid w:val="00740335"/>
    <w:rsid w:val="00740797"/>
    <w:rsid w:val="00742154"/>
    <w:rsid w:val="007423CC"/>
    <w:rsid w:val="0074339A"/>
    <w:rsid w:val="00743572"/>
    <w:rsid w:val="00743A87"/>
    <w:rsid w:val="00743D7B"/>
    <w:rsid w:val="007441BE"/>
    <w:rsid w:val="00744391"/>
    <w:rsid w:val="0074465E"/>
    <w:rsid w:val="0074533B"/>
    <w:rsid w:val="00745C33"/>
    <w:rsid w:val="00746268"/>
    <w:rsid w:val="007464BC"/>
    <w:rsid w:val="007464D3"/>
    <w:rsid w:val="00746974"/>
    <w:rsid w:val="007471C6"/>
    <w:rsid w:val="007474C1"/>
    <w:rsid w:val="00747555"/>
    <w:rsid w:val="00750737"/>
    <w:rsid w:val="00750827"/>
    <w:rsid w:val="00750A3A"/>
    <w:rsid w:val="00751645"/>
    <w:rsid w:val="007519A9"/>
    <w:rsid w:val="00751FAB"/>
    <w:rsid w:val="00752472"/>
    <w:rsid w:val="007524EB"/>
    <w:rsid w:val="007528CB"/>
    <w:rsid w:val="007535A2"/>
    <w:rsid w:val="00755751"/>
    <w:rsid w:val="00756006"/>
    <w:rsid w:val="007561CF"/>
    <w:rsid w:val="00756759"/>
    <w:rsid w:val="00756B46"/>
    <w:rsid w:val="00756F81"/>
    <w:rsid w:val="007578DE"/>
    <w:rsid w:val="00757D67"/>
    <w:rsid w:val="00760761"/>
    <w:rsid w:val="007609F3"/>
    <w:rsid w:val="00761160"/>
    <w:rsid w:val="00761A79"/>
    <w:rsid w:val="00761BF6"/>
    <w:rsid w:val="00762513"/>
    <w:rsid w:val="00762A26"/>
    <w:rsid w:val="00762A93"/>
    <w:rsid w:val="00763954"/>
    <w:rsid w:val="007643AB"/>
    <w:rsid w:val="007643BC"/>
    <w:rsid w:val="0076481D"/>
    <w:rsid w:val="00764904"/>
    <w:rsid w:val="0076547E"/>
    <w:rsid w:val="00765BDB"/>
    <w:rsid w:val="00765F1E"/>
    <w:rsid w:val="007660C1"/>
    <w:rsid w:val="0076622F"/>
    <w:rsid w:val="007669C4"/>
    <w:rsid w:val="00767962"/>
    <w:rsid w:val="00767B24"/>
    <w:rsid w:val="00767CBD"/>
    <w:rsid w:val="00770B4B"/>
    <w:rsid w:val="007735B9"/>
    <w:rsid w:val="00773783"/>
    <w:rsid w:val="00773A66"/>
    <w:rsid w:val="007761E1"/>
    <w:rsid w:val="00776BBE"/>
    <w:rsid w:val="0077701E"/>
    <w:rsid w:val="00777EB3"/>
    <w:rsid w:val="00782613"/>
    <w:rsid w:val="00782A55"/>
    <w:rsid w:val="00782FB2"/>
    <w:rsid w:val="0078305D"/>
    <w:rsid w:val="00783409"/>
    <w:rsid w:val="00783642"/>
    <w:rsid w:val="00783C88"/>
    <w:rsid w:val="00783E00"/>
    <w:rsid w:val="007842B8"/>
    <w:rsid w:val="0078467F"/>
    <w:rsid w:val="007864DA"/>
    <w:rsid w:val="007864ED"/>
    <w:rsid w:val="00786676"/>
    <w:rsid w:val="00790607"/>
    <w:rsid w:val="00790900"/>
    <w:rsid w:val="00790962"/>
    <w:rsid w:val="007911F7"/>
    <w:rsid w:val="0079164A"/>
    <w:rsid w:val="00791C59"/>
    <w:rsid w:val="00791CAB"/>
    <w:rsid w:val="00792170"/>
    <w:rsid w:val="00793247"/>
    <w:rsid w:val="007938FF"/>
    <w:rsid w:val="0079477A"/>
    <w:rsid w:val="00794EA7"/>
    <w:rsid w:val="00795746"/>
    <w:rsid w:val="007959FE"/>
    <w:rsid w:val="00795D6E"/>
    <w:rsid w:val="00797C84"/>
    <w:rsid w:val="00797E3C"/>
    <w:rsid w:val="007A00A1"/>
    <w:rsid w:val="007A0377"/>
    <w:rsid w:val="007A0CF1"/>
    <w:rsid w:val="007A1020"/>
    <w:rsid w:val="007A111C"/>
    <w:rsid w:val="007A1337"/>
    <w:rsid w:val="007A14B3"/>
    <w:rsid w:val="007A1778"/>
    <w:rsid w:val="007A1E16"/>
    <w:rsid w:val="007A1FD6"/>
    <w:rsid w:val="007A3319"/>
    <w:rsid w:val="007A371B"/>
    <w:rsid w:val="007A37C9"/>
    <w:rsid w:val="007A38D4"/>
    <w:rsid w:val="007A3A48"/>
    <w:rsid w:val="007A3D85"/>
    <w:rsid w:val="007A4D64"/>
    <w:rsid w:val="007A5083"/>
    <w:rsid w:val="007A5B9F"/>
    <w:rsid w:val="007A5F11"/>
    <w:rsid w:val="007A6457"/>
    <w:rsid w:val="007A64AF"/>
    <w:rsid w:val="007A6C3F"/>
    <w:rsid w:val="007A6F75"/>
    <w:rsid w:val="007A6FBD"/>
    <w:rsid w:val="007A78C9"/>
    <w:rsid w:val="007A7F2C"/>
    <w:rsid w:val="007A7F31"/>
    <w:rsid w:val="007B0B9B"/>
    <w:rsid w:val="007B0EDD"/>
    <w:rsid w:val="007B0F15"/>
    <w:rsid w:val="007B0F77"/>
    <w:rsid w:val="007B11D8"/>
    <w:rsid w:val="007B14AA"/>
    <w:rsid w:val="007B186F"/>
    <w:rsid w:val="007B2126"/>
    <w:rsid w:val="007B228B"/>
    <w:rsid w:val="007B25B2"/>
    <w:rsid w:val="007B303C"/>
    <w:rsid w:val="007B3538"/>
    <w:rsid w:val="007B3C8A"/>
    <w:rsid w:val="007B41FB"/>
    <w:rsid w:val="007B4209"/>
    <w:rsid w:val="007B473F"/>
    <w:rsid w:val="007B48AC"/>
    <w:rsid w:val="007B4CE7"/>
    <w:rsid w:val="007B518F"/>
    <w:rsid w:val="007B5A23"/>
    <w:rsid w:val="007B5E74"/>
    <w:rsid w:val="007B66FD"/>
    <w:rsid w:val="007B6A03"/>
    <w:rsid w:val="007B6BA5"/>
    <w:rsid w:val="007B7086"/>
    <w:rsid w:val="007B7159"/>
    <w:rsid w:val="007B72A5"/>
    <w:rsid w:val="007B73D0"/>
    <w:rsid w:val="007B7D86"/>
    <w:rsid w:val="007C004B"/>
    <w:rsid w:val="007C0842"/>
    <w:rsid w:val="007C110C"/>
    <w:rsid w:val="007C15E4"/>
    <w:rsid w:val="007C16B4"/>
    <w:rsid w:val="007C1792"/>
    <w:rsid w:val="007C1948"/>
    <w:rsid w:val="007C1E52"/>
    <w:rsid w:val="007C2BA0"/>
    <w:rsid w:val="007C2C2E"/>
    <w:rsid w:val="007C3390"/>
    <w:rsid w:val="007C34DB"/>
    <w:rsid w:val="007C42D8"/>
    <w:rsid w:val="007C4629"/>
    <w:rsid w:val="007C4DF5"/>
    <w:rsid w:val="007C4F4B"/>
    <w:rsid w:val="007C58D1"/>
    <w:rsid w:val="007C5AD8"/>
    <w:rsid w:val="007C6059"/>
    <w:rsid w:val="007C7022"/>
    <w:rsid w:val="007C7070"/>
    <w:rsid w:val="007C77D3"/>
    <w:rsid w:val="007C78E8"/>
    <w:rsid w:val="007C7A69"/>
    <w:rsid w:val="007D0659"/>
    <w:rsid w:val="007D104C"/>
    <w:rsid w:val="007D11CE"/>
    <w:rsid w:val="007D1227"/>
    <w:rsid w:val="007D13B0"/>
    <w:rsid w:val="007D13F9"/>
    <w:rsid w:val="007D1459"/>
    <w:rsid w:val="007D169C"/>
    <w:rsid w:val="007D2542"/>
    <w:rsid w:val="007D29AA"/>
    <w:rsid w:val="007D3C52"/>
    <w:rsid w:val="007D3D09"/>
    <w:rsid w:val="007D4C87"/>
    <w:rsid w:val="007D4E5A"/>
    <w:rsid w:val="007D542B"/>
    <w:rsid w:val="007D59EE"/>
    <w:rsid w:val="007D5EDB"/>
    <w:rsid w:val="007D66C3"/>
    <w:rsid w:val="007D66EB"/>
    <w:rsid w:val="007D69C6"/>
    <w:rsid w:val="007D6B7E"/>
    <w:rsid w:val="007D6B9A"/>
    <w:rsid w:val="007D7362"/>
    <w:rsid w:val="007D76C0"/>
    <w:rsid w:val="007D7B8A"/>
    <w:rsid w:val="007D7FA9"/>
    <w:rsid w:val="007D7FAD"/>
    <w:rsid w:val="007E0837"/>
    <w:rsid w:val="007E0C26"/>
    <w:rsid w:val="007E0CC5"/>
    <w:rsid w:val="007E0F97"/>
    <w:rsid w:val="007E127C"/>
    <w:rsid w:val="007E2355"/>
    <w:rsid w:val="007E2857"/>
    <w:rsid w:val="007E2BB3"/>
    <w:rsid w:val="007E4882"/>
    <w:rsid w:val="007E4BCB"/>
    <w:rsid w:val="007E4E07"/>
    <w:rsid w:val="007E6E2C"/>
    <w:rsid w:val="007E74CD"/>
    <w:rsid w:val="007E7528"/>
    <w:rsid w:val="007E7AFE"/>
    <w:rsid w:val="007E7CD1"/>
    <w:rsid w:val="007E7D0F"/>
    <w:rsid w:val="007F09E7"/>
    <w:rsid w:val="007F0ADA"/>
    <w:rsid w:val="007F0BE6"/>
    <w:rsid w:val="007F17D2"/>
    <w:rsid w:val="007F20DD"/>
    <w:rsid w:val="007F2575"/>
    <w:rsid w:val="007F270C"/>
    <w:rsid w:val="007F270E"/>
    <w:rsid w:val="007F28F1"/>
    <w:rsid w:val="007F2B9C"/>
    <w:rsid w:val="007F2EC1"/>
    <w:rsid w:val="007F3304"/>
    <w:rsid w:val="007F3849"/>
    <w:rsid w:val="007F385A"/>
    <w:rsid w:val="007F3C50"/>
    <w:rsid w:val="007F4298"/>
    <w:rsid w:val="007F43DD"/>
    <w:rsid w:val="007F4968"/>
    <w:rsid w:val="007F537E"/>
    <w:rsid w:val="007F5C5D"/>
    <w:rsid w:val="007F5CE2"/>
    <w:rsid w:val="007F5D02"/>
    <w:rsid w:val="007F6237"/>
    <w:rsid w:val="007F6611"/>
    <w:rsid w:val="007F6BAA"/>
    <w:rsid w:val="007F6C5B"/>
    <w:rsid w:val="007F710F"/>
    <w:rsid w:val="007F7613"/>
    <w:rsid w:val="007F7B9B"/>
    <w:rsid w:val="00800135"/>
    <w:rsid w:val="00800763"/>
    <w:rsid w:val="008009EC"/>
    <w:rsid w:val="008009FF"/>
    <w:rsid w:val="00800BB7"/>
    <w:rsid w:val="00800C53"/>
    <w:rsid w:val="00802DCD"/>
    <w:rsid w:val="00802F94"/>
    <w:rsid w:val="00803175"/>
    <w:rsid w:val="00803446"/>
    <w:rsid w:val="00803856"/>
    <w:rsid w:val="00803E1C"/>
    <w:rsid w:val="0080403F"/>
    <w:rsid w:val="008047E7"/>
    <w:rsid w:val="00804B8A"/>
    <w:rsid w:val="00804F68"/>
    <w:rsid w:val="008051EE"/>
    <w:rsid w:val="00805232"/>
    <w:rsid w:val="008054D7"/>
    <w:rsid w:val="008056E5"/>
    <w:rsid w:val="00805A7D"/>
    <w:rsid w:val="00805C64"/>
    <w:rsid w:val="00806153"/>
    <w:rsid w:val="00806386"/>
    <w:rsid w:val="00806E47"/>
    <w:rsid w:val="00806EED"/>
    <w:rsid w:val="0080779F"/>
    <w:rsid w:val="0081041E"/>
    <w:rsid w:val="00810BAC"/>
    <w:rsid w:val="00811150"/>
    <w:rsid w:val="00811203"/>
    <w:rsid w:val="00811B97"/>
    <w:rsid w:val="0081268F"/>
    <w:rsid w:val="00813194"/>
    <w:rsid w:val="00813DDC"/>
    <w:rsid w:val="0081464B"/>
    <w:rsid w:val="00814C1B"/>
    <w:rsid w:val="00815BAD"/>
    <w:rsid w:val="00816087"/>
    <w:rsid w:val="0081743D"/>
    <w:rsid w:val="00817465"/>
    <w:rsid w:val="008175E9"/>
    <w:rsid w:val="00820453"/>
    <w:rsid w:val="00820586"/>
    <w:rsid w:val="00820626"/>
    <w:rsid w:val="00820A5B"/>
    <w:rsid w:val="00821BF5"/>
    <w:rsid w:val="0082259D"/>
    <w:rsid w:val="008226C2"/>
    <w:rsid w:val="008227B6"/>
    <w:rsid w:val="00822C37"/>
    <w:rsid w:val="0082328F"/>
    <w:rsid w:val="0082376F"/>
    <w:rsid w:val="00823784"/>
    <w:rsid w:val="00823A2C"/>
    <w:rsid w:val="00823F1E"/>
    <w:rsid w:val="00824107"/>
    <w:rsid w:val="00824165"/>
    <w:rsid w:val="008242D7"/>
    <w:rsid w:val="00824404"/>
    <w:rsid w:val="008245E9"/>
    <w:rsid w:val="00824854"/>
    <w:rsid w:val="00825010"/>
    <w:rsid w:val="008250C8"/>
    <w:rsid w:val="008250E3"/>
    <w:rsid w:val="00825265"/>
    <w:rsid w:val="00825491"/>
    <w:rsid w:val="0082577B"/>
    <w:rsid w:val="00825AFC"/>
    <w:rsid w:val="00825E68"/>
    <w:rsid w:val="00826F0D"/>
    <w:rsid w:val="00827824"/>
    <w:rsid w:val="008302CB"/>
    <w:rsid w:val="008305F0"/>
    <w:rsid w:val="00830B39"/>
    <w:rsid w:val="00830F93"/>
    <w:rsid w:val="00831A09"/>
    <w:rsid w:val="00831F6D"/>
    <w:rsid w:val="008323E2"/>
    <w:rsid w:val="0083296F"/>
    <w:rsid w:val="00832C6F"/>
    <w:rsid w:val="00834430"/>
    <w:rsid w:val="008344C8"/>
    <w:rsid w:val="00834C3E"/>
    <w:rsid w:val="00834F07"/>
    <w:rsid w:val="00835B92"/>
    <w:rsid w:val="00836487"/>
    <w:rsid w:val="008366D5"/>
    <w:rsid w:val="00836957"/>
    <w:rsid w:val="00836AF6"/>
    <w:rsid w:val="00837407"/>
    <w:rsid w:val="00837781"/>
    <w:rsid w:val="008408DF"/>
    <w:rsid w:val="00841A60"/>
    <w:rsid w:val="00841ABA"/>
    <w:rsid w:val="00841CE6"/>
    <w:rsid w:val="008422B3"/>
    <w:rsid w:val="00842764"/>
    <w:rsid w:val="00842ECA"/>
    <w:rsid w:val="00843A26"/>
    <w:rsid w:val="00844409"/>
    <w:rsid w:val="00844D58"/>
    <w:rsid w:val="008451FE"/>
    <w:rsid w:val="00845445"/>
    <w:rsid w:val="00845648"/>
    <w:rsid w:val="00845655"/>
    <w:rsid w:val="00846719"/>
    <w:rsid w:val="00846D33"/>
    <w:rsid w:val="008470E9"/>
    <w:rsid w:val="00847853"/>
    <w:rsid w:val="0085036B"/>
    <w:rsid w:val="008507FB"/>
    <w:rsid w:val="00850F10"/>
    <w:rsid w:val="00850F72"/>
    <w:rsid w:val="00851BB6"/>
    <w:rsid w:val="00853AB8"/>
    <w:rsid w:val="00853CB9"/>
    <w:rsid w:val="00853F72"/>
    <w:rsid w:val="00854F39"/>
    <w:rsid w:val="00855561"/>
    <w:rsid w:val="00855F1D"/>
    <w:rsid w:val="0085603B"/>
    <w:rsid w:val="0085639E"/>
    <w:rsid w:val="008570E1"/>
    <w:rsid w:val="008572EA"/>
    <w:rsid w:val="0085746B"/>
    <w:rsid w:val="00857792"/>
    <w:rsid w:val="008578BF"/>
    <w:rsid w:val="00857E2F"/>
    <w:rsid w:val="00861050"/>
    <w:rsid w:val="00861D56"/>
    <w:rsid w:val="00862A98"/>
    <w:rsid w:val="00862BC3"/>
    <w:rsid w:val="00863761"/>
    <w:rsid w:val="008637AD"/>
    <w:rsid w:val="00863C48"/>
    <w:rsid w:val="008643B3"/>
    <w:rsid w:val="00864B3E"/>
    <w:rsid w:val="00864CDF"/>
    <w:rsid w:val="00864F0E"/>
    <w:rsid w:val="008653D2"/>
    <w:rsid w:val="00865765"/>
    <w:rsid w:val="008658BA"/>
    <w:rsid w:val="00865D92"/>
    <w:rsid w:val="00866893"/>
    <w:rsid w:val="008668C1"/>
    <w:rsid w:val="00866F02"/>
    <w:rsid w:val="00866F41"/>
    <w:rsid w:val="008672C5"/>
    <w:rsid w:val="00867BE1"/>
    <w:rsid w:val="00867D18"/>
    <w:rsid w:val="00870266"/>
    <w:rsid w:val="0087077A"/>
    <w:rsid w:val="00870C04"/>
    <w:rsid w:val="008718AC"/>
    <w:rsid w:val="00871F9A"/>
    <w:rsid w:val="00871FD5"/>
    <w:rsid w:val="0087291B"/>
    <w:rsid w:val="00872C54"/>
    <w:rsid w:val="00872E9C"/>
    <w:rsid w:val="008730F0"/>
    <w:rsid w:val="0087366D"/>
    <w:rsid w:val="00873798"/>
    <w:rsid w:val="008737F9"/>
    <w:rsid w:val="00873A17"/>
    <w:rsid w:val="0087418F"/>
    <w:rsid w:val="0087424A"/>
    <w:rsid w:val="00874449"/>
    <w:rsid w:val="0087549A"/>
    <w:rsid w:val="00875B84"/>
    <w:rsid w:val="00875E5A"/>
    <w:rsid w:val="00876012"/>
    <w:rsid w:val="008768AA"/>
    <w:rsid w:val="00877167"/>
    <w:rsid w:val="0087789A"/>
    <w:rsid w:val="00877D39"/>
    <w:rsid w:val="008800AB"/>
    <w:rsid w:val="008800BF"/>
    <w:rsid w:val="008800E8"/>
    <w:rsid w:val="0088035A"/>
    <w:rsid w:val="008806E8"/>
    <w:rsid w:val="00880CD4"/>
    <w:rsid w:val="0088172E"/>
    <w:rsid w:val="008818E0"/>
    <w:rsid w:val="00881EAA"/>
    <w:rsid w:val="00881EFA"/>
    <w:rsid w:val="00881F5E"/>
    <w:rsid w:val="00882597"/>
    <w:rsid w:val="00882726"/>
    <w:rsid w:val="008831CB"/>
    <w:rsid w:val="008836A8"/>
    <w:rsid w:val="008838BF"/>
    <w:rsid w:val="008843D4"/>
    <w:rsid w:val="00884A8F"/>
    <w:rsid w:val="00885361"/>
    <w:rsid w:val="0088538F"/>
    <w:rsid w:val="00885937"/>
    <w:rsid w:val="00885C77"/>
    <w:rsid w:val="00885F19"/>
    <w:rsid w:val="00886720"/>
    <w:rsid w:val="008867AA"/>
    <w:rsid w:val="00887100"/>
    <w:rsid w:val="00887869"/>
    <w:rsid w:val="008879CB"/>
    <w:rsid w:val="00887ED7"/>
    <w:rsid w:val="008904E9"/>
    <w:rsid w:val="00890F81"/>
    <w:rsid w:val="008913CE"/>
    <w:rsid w:val="00891479"/>
    <w:rsid w:val="00891C3E"/>
    <w:rsid w:val="008923E7"/>
    <w:rsid w:val="008924C7"/>
    <w:rsid w:val="00892F79"/>
    <w:rsid w:val="008930F9"/>
    <w:rsid w:val="00893207"/>
    <w:rsid w:val="00893219"/>
    <w:rsid w:val="008938B3"/>
    <w:rsid w:val="00893AF8"/>
    <w:rsid w:val="00894975"/>
    <w:rsid w:val="008949B1"/>
    <w:rsid w:val="00894CF0"/>
    <w:rsid w:val="00895B7D"/>
    <w:rsid w:val="00895C98"/>
    <w:rsid w:val="0089759E"/>
    <w:rsid w:val="008979B1"/>
    <w:rsid w:val="008A0053"/>
    <w:rsid w:val="008A0F21"/>
    <w:rsid w:val="008A1536"/>
    <w:rsid w:val="008A1776"/>
    <w:rsid w:val="008A1EF0"/>
    <w:rsid w:val="008A2077"/>
    <w:rsid w:val="008A2465"/>
    <w:rsid w:val="008A2F17"/>
    <w:rsid w:val="008A3099"/>
    <w:rsid w:val="008A36B9"/>
    <w:rsid w:val="008A4814"/>
    <w:rsid w:val="008A4D5D"/>
    <w:rsid w:val="008A559E"/>
    <w:rsid w:val="008A5AF7"/>
    <w:rsid w:val="008A5D17"/>
    <w:rsid w:val="008A5DEF"/>
    <w:rsid w:val="008A6207"/>
    <w:rsid w:val="008A6865"/>
    <w:rsid w:val="008A6B25"/>
    <w:rsid w:val="008A6C4F"/>
    <w:rsid w:val="008A73B0"/>
    <w:rsid w:val="008A7447"/>
    <w:rsid w:val="008A779E"/>
    <w:rsid w:val="008A7B0F"/>
    <w:rsid w:val="008B0174"/>
    <w:rsid w:val="008B0E99"/>
    <w:rsid w:val="008B1AEA"/>
    <w:rsid w:val="008B1B2D"/>
    <w:rsid w:val="008B1CC1"/>
    <w:rsid w:val="008B25D6"/>
    <w:rsid w:val="008B2B11"/>
    <w:rsid w:val="008B2C68"/>
    <w:rsid w:val="008B2F3E"/>
    <w:rsid w:val="008B30A1"/>
    <w:rsid w:val="008B389E"/>
    <w:rsid w:val="008B3DF0"/>
    <w:rsid w:val="008B3F05"/>
    <w:rsid w:val="008B4193"/>
    <w:rsid w:val="008B41F1"/>
    <w:rsid w:val="008B430F"/>
    <w:rsid w:val="008B4947"/>
    <w:rsid w:val="008B49C4"/>
    <w:rsid w:val="008B4E57"/>
    <w:rsid w:val="008B5157"/>
    <w:rsid w:val="008B5497"/>
    <w:rsid w:val="008B571E"/>
    <w:rsid w:val="008B5984"/>
    <w:rsid w:val="008B64E9"/>
    <w:rsid w:val="008B6944"/>
    <w:rsid w:val="008B6D1D"/>
    <w:rsid w:val="008B7A41"/>
    <w:rsid w:val="008B7DC2"/>
    <w:rsid w:val="008C06EC"/>
    <w:rsid w:val="008C1ADD"/>
    <w:rsid w:val="008C2008"/>
    <w:rsid w:val="008C2551"/>
    <w:rsid w:val="008C353E"/>
    <w:rsid w:val="008C3FEA"/>
    <w:rsid w:val="008C4467"/>
    <w:rsid w:val="008C4933"/>
    <w:rsid w:val="008C4AFB"/>
    <w:rsid w:val="008C5499"/>
    <w:rsid w:val="008C5BA0"/>
    <w:rsid w:val="008C5FA0"/>
    <w:rsid w:val="008C6C31"/>
    <w:rsid w:val="008C6DDD"/>
    <w:rsid w:val="008D0182"/>
    <w:rsid w:val="008D045E"/>
    <w:rsid w:val="008D046C"/>
    <w:rsid w:val="008D05A5"/>
    <w:rsid w:val="008D07F1"/>
    <w:rsid w:val="008D0F21"/>
    <w:rsid w:val="008D12BF"/>
    <w:rsid w:val="008D1C1D"/>
    <w:rsid w:val="008D1D09"/>
    <w:rsid w:val="008D259E"/>
    <w:rsid w:val="008D33D1"/>
    <w:rsid w:val="008D36DC"/>
    <w:rsid w:val="008D3F25"/>
    <w:rsid w:val="008D3FFB"/>
    <w:rsid w:val="008D4C02"/>
    <w:rsid w:val="008D4D82"/>
    <w:rsid w:val="008D4E2B"/>
    <w:rsid w:val="008D52CB"/>
    <w:rsid w:val="008D5422"/>
    <w:rsid w:val="008D5F98"/>
    <w:rsid w:val="008D69A9"/>
    <w:rsid w:val="008D76BD"/>
    <w:rsid w:val="008D7781"/>
    <w:rsid w:val="008D78E6"/>
    <w:rsid w:val="008E0394"/>
    <w:rsid w:val="008E0B0A"/>
    <w:rsid w:val="008E0E46"/>
    <w:rsid w:val="008E0FE3"/>
    <w:rsid w:val="008E24B0"/>
    <w:rsid w:val="008E285B"/>
    <w:rsid w:val="008E34B9"/>
    <w:rsid w:val="008E39D7"/>
    <w:rsid w:val="008E3CD1"/>
    <w:rsid w:val="008E3E6F"/>
    <w:rsid w:val="008E42CC"/>
    <w:rsid w:val="008E4581"/>
    <w:rsid w:val="008E504D"/>
    <w:rsid w:val="008E56A6"/>
    <w:rsid w:val="008E58AB"/>
    <w:rsid w:val="008E5C48"/>
    <w:rsid w:val="008E6A7D"/>
    <w:rsid w:val="008E6E0D"/>
    <w:rsid w:val="008E6EFF"/>
    <w:rsid w:val="008E7116"/>
    <w:rsid w:val="008E7522"/>
    <w:rsid w:val="008E762C"/>
    <w:rsid w:val="008E785A"/>
    <w:rsid w:val="008E78C8"/>
    <w:rsid w:val="008E7E29"/>
    <w:rsid w:val="008E7F5A"/>
    <w:rsid w:val="008F00CE"/>
    <w:rsid w:val="008F0259"/>
    <w:rsid w:val="008F04A0"/>
    <w:rsid w:val="008F05C1"/>
    <w:rsid w:val="008F0B41"/>
    <w:rsid w:val="008F0C5E"/>
    <w:rsid w:val="008F102C"/>
    <w:rsid w:val="008F143B"/>
    <w:rsid w:val="008F1A96"/>
    <w:rsid w:val="008F1BEC"/>
    <w:rsid w:val="008F1F09"/>
    <w:rsid w:val="008F2086"/>
    <w:rsid w:val="008F2362"/>
    <w:rsid w:val="008F2685"/>
    <w:rsid w:val="008F2DC9"/>
    <w:rsid w:val="008F2DEF"/>
    <w:rsid w:val="008F2E9A"/>
    <w:rsid w:val="008F309D"/>
    <w:rsid w:val="008F3882"/>
    <w:rsid w:val="008F3ED9"/>
    <w:rsid w:val="008F4025"/>
    <w:rsid w:val="008F4A90"/>
    <w:rsid w:val="008F4B7C"/>
    <w:rsid w:val="008F5C0B"/>
    <w:rsid w:val="008F5E40"/>
    <w:rsid w:val="008F66BC"/>
    <w:rsid w:val="008F6A3D"/>
    <w:rsid w:val="008F6DB8"/>
    <w:rsid w:val="008F6E8E"/>
    <w:rsid w:val="008F7F41"/>
    <w:rsid w:val="00900A0C"/>
    <w:rsid w:val="00900C29"/>
    <w:rsid w:val="009013EC"/>
    <w:rsid w:val="009016D6"/>
    <w:rsid w:val="0090170F"/>
    <w:rsid w:val="00901D30"/>
    <w:rsid w:val="00901EE4"/>
    <w:rsid w:val="00902162"/>
    <w:rsid w:val="009022F4"/>
    <w:rsid w:val="00902338"/>
    <w:rsid w:val="0090265D"/>
    <w:rsid w:val="00902A20"/>
    <w:rsid w:val="009036CA"/>
    <w:rsid w:val="00905D2B"/>
    <w:rsid w:val="0090663B"/>
    <w:rsid w:val="00907618"/>
    <w:rsid w:val="00910192"/>
    <w:rsid w:val="00910695"/>
    <w:rsid w:val="00910DD5"/>
    <w:rsid w:val="009113ED"/>
    <w:rsid w:val="009117C4"/>
    <w:rsid w:val="009119DD"/>
    <w:rsid w:val="00912083"/>
    <w:rsid w:val="0091267C"/>
    <w:rsid w:val="009126B3"/>
    <w:rsid w:val="0091279A"/>
    <w:rsid w:val="00912E9F"/>
    <w:rsid w:val="00912F24"/>
    <w:rsid w:val="009130BD"/>
    <w:rsid w:val="0091372B"/>
    <w:rsid w:val="0091396B"/>
    <w:rsid w:val="00913982"/>
    <w:rsid w:val="00913C16"/>
    <w:rsid w:val="009142DA"/>
    <w:rsid w:val="00914560"/>
    <w:rsid w:val="00914616"/>
    <w:rsid w:val="00914653"/>
    <w:rsid w:val="0091497D"/>
    <w:rsid w:val="00914FC2"/>
    <w:rsid w:val="009154AF"/>
    <w:rsid w:val="00915B42"/>
    <w:rsid w:val="00915B6D"/>
    <w:rsid w:val="00915FD1"/>
    <w:rsid w:val="009160AD"/>
    <w:rsid w:val="00916175"/>
    <w:rsid w:val="0091620B"/>
    <w:rsid w:val="00916223"/>
    <w:rsid w:val="00916281"/>
    <w:rsid w:val="009162D8"/>
    <w:rsid w:val="009166F1"/>
    <w:rsid w:val="009173DA"/>
    <w:rsid w:val="00917909"/>
    <w:rsid w:val="009204FB"/>
    <w:rsid w:val="00920CD3"/>
    <w:rsid w:val="009224B8"/>
    <w:rsid w:val="009225E0"/>
    <w:rsid w:val="00922999"/>
    <w:rsid w:val="00922C23"/>
    <w:rsid w:val="00922DDE"/>
    <w:rsid w:val="009239E5"/>
    <w:rsid w:val="00923FA0"/>
    <w:rsid w:val="009250F8"/>
    <w:rsid w:val="00925A4C"/>
    <w:rsid w:val="00925C94"/>
    <w:rsid w:val="009262CC"/>
    <w:rsid w:val="009264C9"/>
    <w:rsid w:val="009268C7"/>
    <w:rsid w:val="00926E47"/>
    <w:rsid w:val="00927214"/>
    <w:rsid w:val="00927FC2"/>
    <w:rsid w:val="00931813"/>
    <w:rsid w:val="00931D5A"/>
    <w:rsid w:val="009329C7"/>
    <w:rsid w:val="009339CB"/>
    <w:rsid w:val="00933EAA"/>
    <w:rsid w:val="00934456"/>
    <w:rsid w:val="00934683"/>
    <w:rsid w:val="0093486C"/>
    <w:rsid w:val="00934C64"/>
    <w:rsid w:val="00934C66"/>
    <w:rsid w:val="0093525F"/>
    <w:rsid w:val="0093581A"/>
    <w:rsid w:val="0093634C"/>
    <w:rsid w:val="00936428"/>
    <w:rsid w:val="009368C8"/>
    <w:rsid w:val="00937A89"/>
    <w:rsid w:val="00937B95"/>
    <w:rsid w:val="00940210"/>
    <w:rsid w:val="00940B08"/>
    <w:rsid w:val="0094111C"/>
    <w:rsid w:val="009414CA"/>
    <w:rsid w:val="009426CA"/>
    <w:rsid w:val="00942708"/>
    <w:rsid w:val="00942CEA"/>
    <w:rsid w:val="00942FE6"/>
    <w:rsid w:val="0094390D"/>
    <w:rsid w:val="00943A96"/>
    <w:rsid w:val="00943DF4"/>
    <w:rsid w:val="00943E32"/>
    <w:rsid w:val="00943E5C"/>
    <w:rsid w:val="009443FE"/>
    <w:rsid w:val="0094480E"/>
    <w:rsid w:val="00944A8A"/>
    <w:rsid w:val="00944D1A"/>
    <w:rsid w:val="00944E90"/>
    <w:rsid w:val="00944F1C"/>
    <w:rsid w:val="0094508E"/>
    <w:rsid w:val="00945214"/>
    <w:rsid w:val="00945A74"/>
    <w:rsid w:val="00945DEF"/>
    <w:rsid w:val="00945FD1"/>
    <w:rsid w:val="0094628E"/>
    <w:rsid w:val="00946B40"/>
    <w:rsid w:val="00946E6C"/>
    <w:rsid w:val="00946EDC"/>
    <w:rsid w:val="00947162"/>
    <w:rsid w:val="00947199"/>
    <w:rsid w:val="009473CD"/>
    <w:rsid w:val="00950033"/>
    <w:rsid w:val="00950316"/>
    <w:rsid w:val="00950346"/>
    <w:rsid w:val="00951232"/>
    <w:rsid w:val="009526A4"/>
    <w:rsid w:val="00952C06"/>
    <w:rsid w:val="00952E17"/>
    <w:rsid w:val="00953F0B"/>
    <w:rsid w:val="009542A2"/>
    <w:rsid w:val="00954558"/>
    <w:rsid w:val="009546F5"/>
    <w:rsid w:val="00954DE4"/>
    <w:rsid w:val="00954E99"/>
    <w:rsid w:val="009553E7"/>
    <w:rsid w:val="009557E7"/>
    <w:rsid w:val="00955C69"/>
    <w:rsid w:val="00955D5F"/>
    <w:rsid w:val="00956238"/>
    <w:rsid w:val="00956F82"/>
    <w:rsid w:val="00957552"/>
    <w:rsid w:val="00957A1F"/>
    <w:rsid w:val="00960780"/>
    <w:rsid w:val="009610D0"/>
    <w:rsid w:val="00961ADF"/>
    <w:rsid w:val="009628FA"/>
    <w:rsid w:val="00962DB7"/>
    <w:rsid w:val="009633D2"/>
    <w:rsid w:val="0096375C"/>
    <w:rsid w:val="009639BD"/>
    <w:rsid w:val="0096435E"/>
    <w:rsid w:val="00965147"/>
    <w:rsid w:val="00965339"/>
    <w:rsid w:val="00965E8F"/>
    <w:rsid w:val="009662E6"/>
    <w:rsid w:val="00966815"/>
    <w:rsid w:val="00966C70"/>
    <w:rsid w:val="009676AE"/>
    <w:rsid w:val="00967701"/>
    <w:rsid w:val="00967882"/>
    <w:rsid w:val="009679B9"/>
    <w:rsid w:val="00967A65"/>
    <w:rsid w:val="009701BA"/>
    <w:rsid w:val="00970790"/>
    <w:rsid w:val="0097095E"/>
    <w:rsid w:val="00970F16"/>
    <w:rsid w:val="00971357"/>
    <w:rsid w:val="009714DB"/>
    <w:rsid w:val="0097227E"/>
    <w:rsid w:val="00972451"/>
    <w:rsid w:val="0097276D"/>
    <w:rsid w:val="009728E2"/>
    <w:rsid w:val="00972CB6"/>
    <w:rsid w:val="009733C9"/>
    <w:rsid w:val="0097358C"/>
    <w:rsid w:val="00973DAF"/>
    <w:rsid w:val="00974DF2"/>
    <w:rsid w:val="00974E6E"/>
    <w:rsid w:val="00975B2D"/>
    <w:rsid w:val="00975F24"/>
    <w:rsid w:val="00976202"/>
    <w:rsid w:val="009766B5"/>
    <w:rsid w:val="00976D18"/>
    <w:rsid w:val="009772C4"/>
    <w:rsid w:val="0097758A"/>
    <w:rsid w:val="0097764B"/>
    <w:rsid w:val="00980684"/>
    <w:rsid w:val="00980870"/>
    <w:rsid w:val="0098099D"/>
    <w:rsid w:val="00980BEE"/>
    <w:rsid w:val="00980FE5"/>
    <w:rsid w:val="009819C8"/>
    <w:rsid w:val="00981FB8"/>
    <w:rsid w:val="009821AF"/>
    <w:rsid w:val="00982676"/>
    <w:rsid w:val="0098286A"/>
    <w:rsid w:val="009829A7"/>
    <w:rsid w:val="0098365F"/>
    <w:rsid w:val="009837D9"/>
    <w:rsid w:val="00983A00"/>
    <w:rsid w:val="00983BD7"/>
    <w:rsid w:val="0098404F"/>
    <w:rsid w:val="0098480F"/>
    <w:rsid w:val="00984C2A"/>
    <w:rsid w:val="009850E4"/>
    <w:rsid w:val="00985278"/>
    <w:rsid w:val="009852F4"/>
    <w:rsid w:val="0098592B"/>
    <w:rsid w:val="00985FC4"/>
    <w:rsid w:val="00986126"/>
    <w:rsid w:val="00986298"/>
    <w:rsid w:val="009871F7"/>
    <w:rsid w:val="00987370"/>
    <w:rsid w:val="009874C3"/>
    <w:rsid w:val="00987742"/>
    <w:rsid w:val="009879EE"/>
    <w:rsid w:val="00987F7B"/>
    <w:rsid w:val="00987FEF"/>
    <w:rsid w:val="00990167"/>
    <w:rsid w:val="009904EA"/>
    <w:rsid w:val="00990766"/>
    <w:rsid w:val="00990DD6"/>
    <w:rsid w:val="00990E50"/>
    <w:rsid w:val="00991198"/>
    <w:rsid w:val="00991261"/>
    <w:rsid w:val="009912A4"/>
    <w:rsid w:val="00992149"/>
    <w:rsid w:val="00992192"/>
    <w:rsid w:val="00992683"/>
    <w:rsid w:val="009929C4"/>
    <w:rsid w:val="00993366"/>
    <w:rsid w:val="009935D3"/>
    <w:rsid w:val="009937FE"/>
    <w:rsid w:val="00993D69"/>
    <w:rsid w:val="009944EF"/>
    <w:rsid w:val="0099478E"/>
    <w:rsid w:val="00994DCB"/>
    <w:rsid w:val="0099508E"/>
    <w:rsid w:val="0099549E"/>
    <w:rsid w:val="00995C19"/>
    <w:rsid w:val="00996411"/>
    <w:rsid w:val="009964C4"/>
    <w:rsid w:val="0099675D"/>
    <w:rsid w:val="00996DFF"/>
    <w:rsid w:val="00996EFB"/>
    <w:rsid w:val="00997D4F"/>
    <w:rsid w:val="009A0074"/>
    <w:rsid w:val="009A03D7"/>
    <w:rsid w:val="009A06A7"/>
    <w:rsid w:val="009A0D85"/>
    <w:rsid w:val="009A12C1"/>
    <w:rsid w:val="009A14C2"/>
    <w:rsid w:val="009A15EB"/>
    <w:rsid w:val="009A1D5E"/>
    <w:rsid w:val="009A1F6F"/>
    <w:rsid w:val="009A3698"/>
    <w:rsid w:val="009A4506"/>
    <w:rsid w:val="009A53BA"/>
    <w:rsid w:val="009A5F9B"/>
    <w:rsid w:val="009A69AC"/>
    <w:rsid w:val="009A6C3F"/>
    <w:rsid w:val="009A718A"/>
    <w:rsid w:val="009A7B81"/>
    <w:rsid w:val="009A7FA2"/>
    <w:rsid w:val="009B08B5"/>
    <w:rsid w:val="009B0917"/>
    <w:rsid w:val="009B0C0C"/>
    <w:rsid w:val="009B1C93"/>
    <w:rsid w:val="009B1D54"/>
    <w:rsid w:val="009B201C"/>
    <w:rsid w:val="009B2B06"/>
    <w:rsid w:val="009B6575"/>
    <w:rsid w:val="009B7443"/>
    <w:rsid w:val="009B7859"/>
    <w:rsid w:val="009B78F3"/>
    <w:rsid w:val="009C0083"/>
    <w:rsid w:val="009C05CE"/>
    <w:rsid w:val="009C0AB5"/>
    <w:rsid w:val="009C10D5"/>
    <w:rsid w:val="009C1F67"/>
    <w:rsid w:val="009C1F77"/>
    <w:rsid w:val="009C1FDC"/>
    <w:rsid w:val="009C237B"/>
    <w:rsid w:val="009C25D5"/>
    <w:rsid w:val="009C2E5B"/>
    <w:rsid w:val="009C393E"/>
    <w:rsid w:val="009C4BE1"/>
    <w:rsid w:val="009C4D45"/>
    <w:rsid w:val="009C5105"/>
    <w:rsid w:val="009C53CC"/>
    <w:rsid w:val="009C5578"/>
    <w:rsid w:val="009C5CCD"/>
    <w:rsid w:val="009C62CB"/>
    <w:rsid w:val="009C73E5"/>
    <w:rsid w:val="009C78F8"/>
    <w:rsid w:val="009C7BF0"/>
    <w:rsid w:val="009C7C0A"/>
    <w:rsid w:val="009D01C0"/>
    <w:rsid w:val="009D039E"/>
    <w:rsid w:val="009D0743"/>
    <w:rsid w:val="009D1A13"/>
    <w:rsid w:val="009D266E"/>
    <w:rsid w:val="009D3916"/>
    <w:rsid w:val="009D3D0E"/>
    <w:rsid w:val="009D4231"/>
    <w:rsid w:val="009D47BC"/>
    <w:rsid w:val="009D4C08"/>
    <w:rsid w:val="009D5933"/>
    <w:rsid w:val="009D6119"/>
    <w:rsid w:val="009D6A08"/>
    <w:rsid w:val="009D7891"/>
    <w:rsid w:val="009E02A1"/>
    <w:rsid w:val="009E0A16"/>
    <w:rsid w:val="009E0DED"/>
    <w:rsid w:val="009E0EAD"/>
    <w:rsid w:val="009E1256"/>
    <w:rsid w:val="009E184A"/>
    <w:rsid w:val="009E21EB"/>
    <w:rsid w:val="009E29FD"/>
    <w:rsid w:val="009E2BBA"/>
    <w:rsid w:val="009E2C25"/>
    <w:rsid w:val="009E2F3F"/>
    <w:rsid w:val="009E302C"/>
    <w:rsid w:val="009E37FA"/>
    <w:rsid w:val="009E4016"/>
    <w:rsid w:val="009E484A"/>
    <w:rsid w:val="009E4B7F"/>
    <w:rsid w:val="009E4D9B"/>
    <w:rsid w:val="009E5900"/>
    <w:rsid w:val="009E5A69"/>
    <w:rsid w:val="009E6836"/>
    <w:rsid w:val="009E6C39"/>
    <w:rsid w:val="009E6CB7"/>
    <w:rsid w:val="009E7970"/>
    <w:rsid w:val="009E7C1D"/>
    <w:rsid w:val="009E7D56"/>
    <w:rsid w:val="009E7E26"/>
    <w:rsid w:val="009F14F3"/>
    <w:rsid w:val="009F1888"/>
    <w:rsid w:val="009F2202"/>
    <w:rsid w:val="009F2660"/>
    <w:rsid w:val="009F2EAC"/>
    <w:rsid w:val="009F3258"/>
    <w:rsid w:val="009F3A9E"/>
    <w:rsid w:val="009F3FA1"/>
    <w:rsid w:val="009F46DB"/>
    <w:rsid w:val="009F4C73"/>
    <w:rsid w:val="009F4D07"/>
    <w:rsid w:val="009F4F1E"/>
    <w:rsid w:val="009F4F59"/>
    <w:rsid w:val="009F55C7"/>
    <w:rsid w:val="009F57E3"/>
    <w:rsid w:val="009F5D7F"/>
    <w:rsid w:val="009F5F4E"/>
    <w:rsid w:val="009F64B8"/>
    <w:rsid w:val="009F6C56"/>
    <w:rsid w:val="009F7F92"/>
    <w:rsid w:val="009F7FC4"/>
    <w:rsid w:val="00A00225"/>
    <w:rsid w:val="00A006DC"/>
    <w:rsid w:val="00A00BD5"/>
    <w:rsid w:val="00A00D5A"/>
    <w:rsid w:val="00A01027"/>
    <w:rsid w:val="00A015A0"/>
    <w:rsid w:val="00A01CD1"/>
    <w:rsid w:val="00A01FE0"/>
    <w:rsid w:val="00A023A6"/>
    <w:rsid w:val="00A031F3"/>
    <w:rsid w:val="00A035A3"/>
    <w:rsid w:val="00A03D32"/>
    <w:rsid w:val="00A03DDA"/>
    <w:rsid w:val="00A04131"/>
    <w:rsid w:val="00A04C63"/>
    <w:rsid w:val="00A05897"/>
    <w:rsid w:val="00A05920"/>
    <w:rsid w:val="00A062C5"/>
    <w:rsid w:val="00A06A31"/>
    <w:rsid w:val="00A06F50"/>
    <w:rsid w:val="00A070DF"/>
    <w:rsid w:val="00A07172"/>
    <w:rsid w:val="00A076B3"/>
    <w:rsid w:val="00A07E63"/>
    <w:rsid w:val="00A07E77"/>
    <w:rsid w:val="00A07FF3"/>
    <w:rsid w:val="00A10F4F"/>
    <w:rsid w:val="00A11067"/>
    <w:rsid w:val="00A1108B"/>
    <w:rsid w:val="00A112F8"/>
    <w:rsid w:val="00A116E0"/>
    <w:rsid w:val="00A1174C"/>
    <w:rsid w:val="00A1182E"/>
    <w:rsid w:val="00A120C9"/>
    <w:rsid w:val="00A12983"/>
    <w:rsid w:val="00A13095"/>
    <w:rsid w:val="00A13919"/>
    <w:rsid w:val="00A13A1E"/>
    <w:rsid w:val="00A1431F"/>
    <w:rsid w:val="00A15508"/>
    <w:rsid w:val="00A1574B"/>
    <w:rsid w:val="00A157B9"/>
    <w:rsid w:val="00A1591F"/>
    <w:rsid w:val="00A1666E"/>
    <w:rsid w:val="00A169CE"/>
    <w:rsid w:val="00A1704A"/>
    <w:rsid w:val="00A1724D"/>
    <w:rsid w:val="00A17917"/>
    <w:rsid w:val="00A17D9F"/>
    <w:rsid w:val="00A20EC1"/>
    <w:rsid w:val="00A2157D"/>
    <w:rsid w:val="00A227D5"/>
    <w:rsid w:val="00A22B52"/>
    <w:rsid w:val="00A234B4"/>
    <w:rsid w:val="00A242E6"/>
    <w:rsid w:val="00A243B5"/>
    <w:rsid w:val="00A245C2"/>
    <w:rsid w:val="00A24608"/>
    <w:rsid w:val="00A2477F"/>
    <w:rsid w:val="00A2502E"/>
    <w:rsid w:val="00A25046"/>
    <w:rsid w:val="00A25147"/>
    <w:rsid w:val="00A25718"/>
    <w:rsid w:val="00A259B6"/>
    <w:rsid w:val="00A25C19"/>
    <w:rsid w:val="00A25DA2"/>
    <w:rsid w:val="00A267AD"/>
    <w:rsid w:val="00A26980"/>
    <w:rsid w:val="00A26B2C"/>
    <w:rsid w:val="00A279F8"/>
    <w:rsid w:val="00A27F84"/>
    <w:rsid w:val="00A3025E"/>
    <w:rsid w:val="00A30293"/>
    <w:rsid w:val="00A303C9"/>
    <w:rsid w:val="00A30428"/>
    <w:rsid w:val="00A30732"/>
    <w:rsid w:val="00A309CC"/>
    <w:rsid w:val="00A30D7C"/>
    <w:rsid w:val="00A31C42"/>
    <w:rsid w:val="00A31CA4"/>
    <w:rsid w:val="00A31CB1"/>
    <w:rsid w:val="00A32290"/>
    <w:rsid w:val="00A3274D"/>
    <w:rsid w:val="00A32AC6"/>
    <w:rsid w:val="00A32C8E"/>
    <w:rsid w:val="00A34076"/>
    <w:rsid w:val="00A345CA"/>
    <w:rsid w:val="00A35205"/>
    <w:rsid w:val="00A35802"/>
    <w:rsid w:val="00A35887"/>
    <w:rsid w:val="00A35C0F"/>
    <w:rsid w:val="00A36B15"/>
    <w:rsid w:val="00A3759B"/>
    <w:rsid w:val="00A37A09"/>
    <w:rsid w:val="00A400CF"/>
    <w:rsid w:val="00A400DF"/>
    <w:rsid w:val="00A40374"/>
    <w:rsid w:val="00A42116"/>
    <w:rsid w:val="00A4214E"/>
    <w:rsid w:val="00A425EB"/>
    <w:rsid w:val="00A426DD"/>
    <w:rsid w:val="00A4281D"/>
    <w:rsid w:val="00A42BF6"/>
    <w:rsid w:val="00A42CCB"/>
    <w:rsid w:val="00A432F4"/>
    <w:rsid w:val="00A436C6"/>
    <w:rsid w:val="00A4484D"/>
    <w:rsid w:val="00A451B1"/>
    <w:rsid w:val="00A45C5C"/>
    <w:rsid w:val="00A45F5B"/>
    <w:rsid w:val="00A4611B"/>
    <w:rsid w:val="00A469FE"/>
    <w:rsid w:val="00A474B5"/>
    <w:rsid w:val="00A47E93"/>
    <w:rsid w:val="00A5044F"/>
    <w:rsid w:val="00A506DA"/>
    <w:rsid w:val="00A52BAE"/>
    <w:rsid w:val="00A52E9E"/>
    <w:rsid w:val="00A534AC"/>
    <w:rsid w:val="00A53963"/>
    <w:rsid w:val="00A53AD6"/>
    <w:rsid w:val="00A53B2D"/>
    <w:rsid w:val="00A541B0"/>
    <w:rsid w:val="00A54AB5"/>
    <w:rsid w:val="00A552BD"/>
    <w:rsid w:val="00A55FE1"/>
    <w:rsid w:val="00A56023"/>
    <w:rsid w:val="00A564C6"/>
    <w:rsid w:val="00A5693A"/>
    <w:rsid w:val="00A569D5"/>
    <w:rsid w:val="00A6047A"/>
    <w:rsid w:val="00A606BC"/>
    <w:rsid w:val="00A614A5"/>
    <w:rsid w:val="00A61693"/>
    <w:rsid w:val="00A6191A"/>
    <w:rsid w:val="00A61AAB"/>
    <w:rsid w:val="00A61B39"/>
    <w:rsid w:val="00A623B3"/>
    <w:rsid w:val="00A6316D"/>
    <w:rsid w:val="00A63DDE"/>
    <w:rsid w:val="00A63DF4"/>
    <w:rsid w:val="00A644B6"/>
    <w:rsid w:val="00A654D3"/>
    <w:rsid w:val="00A65598"/>
    <w:rsid w:val="00A65603"/>
    <w:rsid w:val="00A66707"/>
    <w:rsid w:val="00A66A91"/>
    <w:rsid w:val="00A66C50"/>
    <w:rsid w:val="00A6756F"/>
    <w:rsid w:val="00A675C3"/>
    <w:rsid w:val="00A675F2"/>
    <w:rsid w:val="00A67B84"/>
    <w:rsid w:val="00A67FC9"/>
    <w:rsid w:val="00A70889"/>
    <w:rsid w:val="00A71621"/>
    <w:rsid w:val="00A729EF"/>
    <w:rsid w:val="00A72F22"/>
    <w:rsid w:val="00A73233"/>
    <w:rsid w:val="00A733BC"/>
    <w:rsid w:val="00A73865"/>
    <w:rsid w:val="00A73E56"/>
    <w:rsid w:val="00A7458A"/>
    <w:rsid w:val="00A74895"/>
    <w:rsid w:val="00A748A6"/>
    <w:rsid w:val="00A75BF6"/>
    <w:rsid w:val="00A763DE"/>
    <w:rsid w:val="00A76929"/>
    <w:rsid w:val="00A76A69"/>
    <w:rsid w:val="00A76C6A"/>
    <w:rsid w:val="00A77238"/>
    <w:rsid w:val="00A77914"/>
    <w:rsid w:val="00A77AC9"/>
    <w:rsid w:val="00A77BE1"/>
    <w:rsid w:val="00A80825"/>
    <w:rsid w:val="00A80C22"/>
    <w:rsid w:val="00A8108D"/>
    <w:rsid w:val="00A818F8"/>
    <w:rsid w:val="00A81CBA"/>
    <w:rsid w:val="00A81FB7"/>
    <w:rsid w:val="00A821B9"/>
    <w:rsid w:val="00A82C8A"/>
    <w:rsid w:val="00A830D2"/>
    <w:rsid w:val="00A83646"/>
    <w:rsid w:val="00A841DC"/>
    <w:rsid w:val="00A8433D"/>
    <w:rsid w:val="00A8447E"/>
    <w:rsid w:val="00A84700"/>
    <w:rsid w:val="00A8472D"/>
    <w:rsid w:val="00A84EA8"/>
    <w:rsid w:val="00A851A3"/>
    <w:rsid w:val="00A8521A"/>
    <w:rsid w:val="00A8536E"/>
    <w:rsid w:val="00A8546A"/>
    <w:rsid w:val="00A85D25"/>
    <w:rsid w:val="00A85D35"/>
    <w:rsid w:val="00A861CC"/>
    <w:rsid w:val="00A86686"/>
    <w:rsid w:val="00A86713"/>
    <w:rsid w:val="00A872E0"/>
    <w:rsid w:val="00A875C9"/>
    <w:rsid w:val="00A879A4"/>
    <w:rsid w:val="00A900AE"/>
    <w:rsid w:val="00A913C1"/>
    <w:rsid w:val="00A91735"/>
    <w:rsid w:val="00A9197D"/>
    <w:rsid w:val="00A91CF8"/>
    <w:rsid w:val="00A92A05"/>
    <w:rsid w:val="00A931C9"/>
    <w:rsid w:val="00A93236"/>
    <w:rsid w:val="00A93421"/>
    <w:rsid w:val="00A9397D"/>
    <w:rsid w:val="00A93D89"/>
    <w:rsid w:val="00A93DC8"/>
    <w:rsid w:val="00A94276"/>
    <w:rsid w:val="00A9482D"/>
    <w:rsid w:val="00A95600"/>
    <w:rsid w:val="00A95699"/>
    <w:rsid w:val="00A95E58"/>
    <w:rsid w:val="00A9740C"/>
    <w:rsid w:val="00A97B59"/>
    <w:rsid w:val="00AA04A9"/>
    <w:rsid w:val="00AA0794"/>
    <w:rsid w:val="00AA0FAF"/>
    <w:rsid w:val="00AA0FF8"/>
    <w:rsid w:val="00AA126D"/>
    <w:rsid w:val="00AA1B50"/>
    <w:rsid w:val="00AA1B52"/>
    <w:rsid w:val="00AA1F26"/>
    <w:rsid w:val="00AA213C"/>
    <w:rsid w:val="00AA2D51"/>
    <w:rsid w:val="00AA3FFF"/>
    <w:rsid w:val="00AA469A"/>
    <w:rsid w:val="00AA4727"/>
    <w:rsid w:val="00AA4914"/>
    <w:rsid w:val="00AA5047"/>
    <w:rsid w:val="00AA50AD"/>
    <w:rsid w:val="00AA56BF"/>
    <w:rsid w:val="00AA5703"/>
    <w:rsid w:val="00AA59F7"/>
    <w:rsid w:val="00AA67E6"/>
    <w:rsid w:val="00AA7277"/>
    <w:rsid w:val="00AA7E68"/>
    <w:rsid w:val="00AB030B"/>
    <w:rsid w:val="00AB18D0"/>
    <w:rsid w:val="00AB1B2E"/>
    <w:rsid w:val="00AB2A69"/>
    <w:rsid w:val="00AB2CCC"/>
    <w:rsid w:val="00AB3660"/>
    <w:rsid w:val="00AB433A"/>
    <w:rsid w:val="00AB4814"/>
    <w:rsid w:val="00AB4A8F"/>
    <w:rsid w:val="00AB4BBB"/>
    <w:rsid w:val="00AB4D08"/>
    <w:rsid w:val="00AB5270"/>
    <w:rsid w:val="00AB5A2F"/>
    <w:rsid w:val="00AB5ACB"/>
    <w:rsid w:val="00AB5B94"/>
    <w:rsid w:val="00AB5DCD"/>
    <w:rsid w:val="00AB61E4"/>
    <w:rsid w:val="00AB68DF"/>
    <w:rsid w:val="00AB73B1"/>
    <w:rsid w:val="00AB7DFC"/>
    <w:rsid w:val="00AC0664"/>
    <w:rsid w:val="00AC07C3"/>
    <w:rsid w:val="00AC0F2C"/>
    <w:rsid w:val="00AC1C0E"/>
    <w:rsid w:val="00AC39C1"/>
    <w:rsid w:val="00AC4105"/>
    <w:rsid w:val="00AC4E41"/>
    <w:rsid w:val="00AC502A"/>
    <w:rsid w:val="00AC5A09"/>
    <w:rsid w:val="00AC5D44"/>
    <w:rsid w:val="00AC608F"/>
    <w:rsid w:val="00AC68E4"/>
    <w:rsid w:val="00AC7293"/>
    <w:rsid w:val="00AC7521"/>
    <w:rsid w:val="00AC7700"/>
    <w:rsid w:val="00AC7A6F"/>
    <w:rsid w:val="00AC7F02"/>
    <w:rsid w:val="00AD0562"/>
    <w:rsid w:val="00AD0587"/>
    <w:rsid w:val="00AD0A6F"/>
    <w:rsid w:val="00AD0B69"/>
    <w:rsid w:val="00AD17B9"/>
    <w:rsid w:val="00AD18A0"/>
    <w:rsid w:val="00AD23CF"/>
    <w:rsid w:val="00AD28D1"/>
    <w:rsid w:val="00AD30C8"/>
    <w:rsid w:val="00AD3D5F"/>
    <w:rsid w:val="00AD4D59"/>
    <w:rsid w:val="00AD53A4"/>
    <w:rsid w:val="00AD5909"/>
    <w:rsid w:val="00AD5BEC"/>
    <w:rsid w:val="00AD6CA1"/>
    <w:rsid w:val="00AD6F03"/>
    <w:rsid w:val="00AD6F5D"/>
    <w:rsid w:val="00AD7EB8"/>
    <w:rsid w:val="00AE0F15"/>
    <w:rsid w:val="00AE1E38"/>
    <w:rsid w:val="00AE1EA5"/>
    <w:rsid w:val="00AE2058"/>
    <w:rsid w:val="00AE2806"/>
    <w:rsid w:val="00AE2A8D"/>
    <w:rsid w:val="00AE30C3"/>
    <w:rsid w:val="00AE3561"/>
    <w:rsid w:val="00AE3614"/>
    <w:rsid w:val="00AE3F57"/>
    <w:rsid w:val="00AE4311"/>
    <w:rsid w:val="00AE4566"/>
    <w:rsid w:val="00AE457D"/>
    <w:rsid w:val="00AE484E"/>
    <w:rsid w:val="00AE4C79"/>
    <w:rsid w:val="00AE557B"/>
    <w:rsid w:val="00AE5850"/>
    <w:rsid w:val="00AE64E6"/>
    <w:rsid w:val="00AE661D"/>
    <w:rsid w:val="00AE6A88"/>
    <w:rsid w:val="00AE7A32"/>
    <w:rsid w:val="00AE7D74"/>
    <w:rsid w:val="00AF0423"/>
    <w:rsid w:val="00AF0D3E"/>
    <w:rsid w:val="00AF1042"/>
    <w:rsid w:val="00AF116F"/>
    <w:rsid w:val="00AF1973"/>
    <w:rsid w:val="00AF1A1D"/>
    <w:rsid w:val="00AF1C47"/>
    <w:rsid w:val="00AF1E96"/>
    <w:rsid w:val="00AF1FCD"/>
    <w:rsid w:val="00AF2CCD"/>
    <w:rsid w:val="00AF4189"/>
    <w:rsid w:val="00AF4233"/>
    <w:rsid w:val="00AF45FA"/>
    <w:rsid w:val="00AF4AEE"/>
    <w:rsid w:val="00AF4C1D"/>
    <w:rsid w:val="00AF58C1"/>
    <w:rsid w:val="00AF6228"/>
    <w:rsid w:val="00AF64F2"/>
    <w:rsid w:val="00AF69F2"/>
    <w:rsid w:val="00AF729A"/>
    <w:rsid w:val="00AF78A3"/>
    <w:rsid w:val="00B00FC1"/>
    <w:rsid w:val="00B0101F"/>
    <w:rsid w:val="00B013E6"/>
    <w:rsid w:val="00B01B03"/>
    <w:rsid w:val="00B02DEC"/>
    <w:rsid w:val="00B032CE"/>
    <w:rsid w:val="00B033BD"/>
    <w:rsid w:val="00B036D4"/>
    <w:rsid w:val="00B03F0C"/>
    <w:rsid w:val="00B0409E"/>
    <w:rsid w:val="00B04911"/>
    <w:rsid w:val="00B04A3F"/>
    <w:rsid w:val="00B04E3E"/>
    <w:rsid w:val="00B05E5E"/>
    <w:rsid w:val="00B06643"/>
    <w:rsid w:val="00B06A53"/>
    <w:rsid w:val="00B06B2B"/>
    <w:rsid w:val="00B0782B"/>
    <w:rsid w:val="00B10C47"/>
    <w:rsid w:val="00B10D96"/>
    <w:rsid w:val="00B111FF"/>
    <w:rsid w:val="00B1174F"/>
    <w:rsid w:val="00B12491"/>
    <w:rsid w:val="00B126A6"/>
    <w:rsid w:val="00B12ACB"/>
    <w:rsid w:val="00B12DA7"/>
    <w:rsid w:val="00B12E8C"/>
    <w:rsid w:val="00B131C2"/>
    <w:rsid w:val="00B1346C"/>
    <w:rsid w:val="00B135FE"/>
    <w:rsid w:val="00B141B7"/>
    <w:rsid w:val="00B1429C"/>
    <w:rsid w:val="00B14363"/>
    <w:rsid w:val="00B14EC0"/>
    <w:rsid w:val="00B15055"/>
    <w:rsid w:val="00B15401"/>
    <w:rsid w:val="00B15502"/>
    <w:rsid w:val="00B1599C"/>
    <w:rsid w:val="00B159A0"/>
    <w:rsid w:val="00B15B6E"/>
    <w:rsid w:val="00B15D72"/>
    <w:rsid w:val="00B16231"/>
    <w:rsid w:val="00B16472"/>
    <w:rsid w:val="00B1659D"/>
    <w:rsid w:val="00B16C43"/>
    <w:rsid w:val="00B175C4"/>
    <w:rsid w:val="00B178FB"/>
    <w:rsid w:val="00B17985"/>
    <w:rsid w:val="00B2035F"/>
    <w:rsid w:val="00B20481"/>
    <w:rsid w:val="00B207F2"/>
    <w:rsid w:val="00B20BC1"/>
    <w:rsid w:val="00B212AC"/>
    <w:rsid w:val="00B21626"/>
    <w:rsid w:val="00B21A33"/>
    <w:rsid w:val="00B220E1"/>
    <w:rsid w:val="00B22597"/>
    <w:rsid w:val="00B230B1"/>
    <w:rsid w:val="00B230C9"/>
    <w:rsid w:val="00B233D5"/>
    <w:rsid w:val="00B24470"/>
    <w:rsid w:val="00B24807"/>
    <w:rsid w:val="00B2499D"/>
    <w:rsid w:val="00B24D51"/>
    <w:rsid w:val="00B25428"/>
    <w:rsid w:val="00B259B2"/>
    <w:rsid w:val="00B25AA2"/>
    <w:rsid w:val="00B25CBF"/>
    <w:rsid w:val="00B25DE1"/>
    <w:rsid w:val="00B25F27"/>
    <w:rsid w:val="00B2601D"/>
    <w:rsid w:val="00B26BEF"/>
    <w:rsid w:val="00B27D84"/>
    <w:rsid w:val="00B27FF5"/>
    <w:rsid w:val="00B30179"/>
    <w:rsid w:val="00B301CC"/>
    <w:rsid w:val="00B3058B"/>
    <w:rsid w:val="00B30754"/>
    <w:rsid w:val="00B30E4F"/>
    <w:rsid w:val="00B3100F"/>
    <w:rsid w:val="00B315A4"/>
    <w:rsid w:val="00B3174C"/>
    <w:rsid w:val="00B317FB"/>
    <w:rsid w:val="00B31C93"/>
    <w:rsid w:val="00B31E37"/>
    <w:rsid w:val="00B3228F"/>
    <w:rsid w:val="00B32821"/>
    <w:rsid w:val="00B328C4"/>
    <w:rsid w:val="00B32D28"/>
    <w:rsid w:val="00B32F78"/>
    <w:rsid w:val="00B3409D"/>
    <w:rsid w:val="00B34532"/>
    <w:rsid w:val="00B346BD"/>
    <w:rsid w:val="00B34AFF"/>
    <w:rsid w:val="00B34B69"/>
    <w:rsid w:val="00B3524D"/>
    <w:rsid w:val="00B35BB3"/>
    <w:rsid w:val="00B3636E"/>
    <w:rsid w:val="00B36416"/>
    <w:rsid w:val="00B36504"/>
    <w:rsid w:val="00B36ED1"/>
    <w:rsid w:val="00B371B9"/>
    <w:rsid w:val="00B37288"/>
    <w:rsid w:val="00B37B15"/>
    <w:rsid w:val="00B37F4E"/>
    <w:rsid w:val="00B409BB"/>
    <w:rsid w:val="00B41000"/>
    <w:rsid w:val="00B414E4"/>
    <w:rsid w:val="00B41510"/>
    <w:rsid w:val="00B4213C"/>
    <w:rsid w:val="00B4243D"/>
    <w:rsid w:val="00B42838"/>
    <w:rsid w:val="00B42855"/>
    <w:rsid w:val="00B42D62"/>
    <w:rsid w:val="00B43044"/>
    <w:rsid w:val="00B438F0"/>
    <w:rsid w:val="00B43E7C"/>
    <w:rsid w:val="00B44A47"/>
    <w:rsid w:val="00B44B01"/>
    <w:rsid w:val="00B45592"/>
    <w:rsid w:val="00B45C02"/>
    <w:rsid w:val="00B46D7A"/>
    <w:rsid w:val="00B46E0E"/>
    <w:rsid w:val="00B46F69"/>
    <w:rsid w:val="00B470A3"/>
    <w:rsid w:val="00B4731D"/>
    <w:rsid w:val="00B47A35"/>
    <w:rsid w:val="00B47C39"/>
    <w:rsid w:val="00B5005D"/>
    <w:rsid w:val="00B50B05"/>
    <w:rsid w:val="00B50C9B"/>
    <w:rsid w:val="00B50EDB"/>
    <w:rsid w:val="00B51BC6"/>
    <w:rsid w:val="00B524B5"/>
    <w:rsid w:val="00B52E78"/>
    <w:rsid w:val="00B52F0A"/>
    <w:rsid w:val="00B52F5F"/>
    <w:rsid w:val="00B53257"/>
    <w:rsid w:val="00B53286"/>
    <w:rsid w:val="00B5341D"/>
    <w:rsid w:val="00B538C3"/>
    <w:rsid w:val="00B5390C"/>
    <w:rsid w:val="00B54010"/>
    <w:rsid w:val="00B5423F"/>
    <w:rsid w:val="00B54C1B"/>
    <w:rsid w:val="00B54D9F"/>
    <w:rsid w:val="00B550D1"/>
    <w:rsid w:val="00B55AFD"/>
    <w:rsid w:val="00B56252"/>
    <w:rsid w:val="00B5646D"/>
    <w:rsid w:val="00B56C7D"/>
    <w:rsid w:val="00B577A7"/>
    <w:rsid w:val="00B57BB5"/>
    <w:rsid w:val="00B601F6"/>
    <w:rsid w:val="00B60B47"/>
    <w:rsid w:val="00B60E62"/>
    <w:rsid w:val="00B61222"/>
    <w:rsid w:val="00B629DC"/>
    <w:rsid w:val="00B62C7F"/>
    <w:rsid w:val="00B63433"/>
    <w:rsid w:val="00B6372D"/>
    <w:rsid w:val="00B637F3"/>
    <w:rsid w:val="00B63839"/>
    <w:rsid w:val="00B639C2"/>
    <w:rsid w:val="00B63F7E"/>
    <w:rsid w:val="00B649B0"/>
    <w:rsid w:val="00B64DB1"/>
    <w:rsid w:val="00B65F12"/>
    <w:rsid w:val="00B66679"/>
    <w:rsid w:val="00B6679D"/>
    <w:rsid w:val="00B66D22"/>
    <w:rsid w:val="00B671D1"/>
    <w:rsid w:val="00B67392"/>
    <w:rsid w:val="00B67567"/>
    <w:rsid w:val="00B67875"/>
    <w:rsid w:val="00B67D2B"/>
    <w:rsid w:val="00B67D62"/>
    <w:rsid w:val="00B70587"/>
    <w:rsid w:val="00B70E04"/>
    <w:rsid w:val="00B71C95"/>
    <w:rsid w:val="00B72168"/>
    <w:rsid w:val="00B725E0"/>
    <w:rsid w:val="00B72A1E"/>
    <w:rsid w:val="00B72BE1"/>
    <w:rsid w:val="00B732C8"/>
    <w:rsid w:val="00B73316"/>
    <w:rsid w:val="00B73ED1"/>
    <w:rsid w:val="00B74ED0"/>
    <w:rsid w:val="00B7554F"/>
    <w:rsid w:val="00B75A92"/>
    <w:rsid w:val="00B75BC3"/>
    <w:rsid w:val="00B760B2"/>
    <w:rsid w:val="00B769FA"/>
    <w:rsid w:val="00B7708E"/>
    <w:rsid w:val="00B7751F"/>
    <w:rsid w:val="00B7771C"/>
    <w:rsid w:val="00B77BB5"/>
    <w:rsid w:val="00B8043B"/>
    <w:rsid w:val="00B8055C"/>
    <w:rsid w:val="00B8080B"/>
    <w:rsid w:val="00B80C5A"/>
    <w:rsid w:val="00B8103B"/>
    <w:rsid w:val="00B81537"/>
    <w:rsid w:val="00B818CB"/>
    <w:rsid w:val="00B81915"/>
    <w:rsid w:val="00B81A88"/>
    <w:rsid w:val="00B81E12"/>
    <w:rsid w:val="00B8207C"/>
    <w:rsid w:val="00B82D2C"/>
    <w:rsid w:val="00B82F7F"/>
    <w:rsid w:val="00B837D1"/>
    <w:rsid w:val="00B83A3C"/>
    <w:rsid w:val="00B84118"/>
    <w:rsid w:val="00B84750"/>
    <w:rsid w:val="00B847DB"/>
    <w:rsid w:val="00B84DBB"/>
    <w:rsid w:val="00B84FD7"/>
    <w:rsid w:val="00B850B1"/>
    <w:rsid w:val="00B85CAD"/>
    <w:rsid w:val="00B86449"/>
    <w:rsid w:val="00B86C47"/>
    <w:rsid w:val="00B90421"/>
    <w:rsid w:val="00B90509"/>
    <w:rsid w:val="00B90814"/>
    <w:rsid w:val="00B90D45"/>
    <w:rsid w:val="00B91D2C"/>
    <w:rsid w:val="00B9240D"/>
    <w:rsid w:val="00B926F6"/>
    <w:rsid w:val="00B92A7B"/>
    <w:rsid w:val="00B9308A"/>
    <w:rsid w:val="00B93646"/>
    <w:rsid w:val="00B938F2"/>
    <w:rsid w:val="00B93CF5"/>
    <w:rsid w:val="00B940C1"/>
    <w:rsid w:val="00B94CAB"/>
    <w:rsid w:val="00B94DA8"/>
    <w:rsid w:val="00B9565F"/>
    <w:rsid w:val="00B95AD2"/>
    <w:rsid w:val="00B95C67"/>
    <w:rsid w:val="00B961E3"/>
    <w:rsid w:val="00B9638D"/>
    <w:rsid w:val="00B96E7E"/>
    <w:rsid w:val="00B975B1"/>
    <w:rsid w:val="00B97C62"/>
    <w:rsid w:val="00BA032C"/>
    <w:rsid w:val="00BA0514"/>
    <w:rsid w:val="00BA07BE"/>
    <w:rsid w:val="00BA0BEF"/>
    <w:rsid w:val="00BA0C37"/>
    <w:rsid w:val="00BA16F2"/>
    <w:rsid w:val="00BA339B"/>
    <w:rsid w:val="00BA33DE"/>
    <w:rsid w:val="00BA351A"/>
    <w:rsid w:val="00BA4680"/>
    <w:rsid w:val="00BA4CE4"/>
    <w:rsid w:val="00BA5F89"/>
    <w:rsid w:val="00BA60B8"/>
    <w:rsid w:val="00BA6443"/>
    <w:rsid w:val="00BA6C38"/>
    <w:rsid w:val="00BA6C73"/>
    <w:rsid w:val="00BA6F69"/>
    <w:rsid w:val="00BA7809"/>
    <w:rsid w:val="00BA79F3"/>
    <w:rsid w:val="00BB0410"/>
    <w:rsid w:val="00BB08FA"/>
    <w:rsid w:val="00BB1402"/>
    <w:rsid w:val="00BB170D"/>
    <w:rsid w:val="00BB1EBD"/>
    <w:rsid w:val="00BB23B4"/>
    <w:rsid w:val="00BB240C"/>
    <w:rsid w:val="00BB26E8"/>
    <w:rsid w:val="00BB2C8E"/>
    <w:rsid w:val="00BB2CEB"/>
    <w:rsid w:val="00BB2F69"/>
    <w:rsid w:val="00BB3447"/>
    <w:rsid w:val="00BB36CA"/>
    <w:rsid w:val="00BB4455"/>
    <w:rsid w:val="00BB502B"/>
    <w:rsid w:val="00BB534A"/>
    <w:rsid w:val="00BB5EA3"/>
    <w:rsid w:val="00BB61D3"/>
    <w:rsid w:val="00BB646F"/>
    <w:rsid w:val="00BB64A8"/>
    <w:rsid w:val="00BB678B"/>
    <w:rsid w:val="00BB7035"/>
    <w:rsid w:val="00BB7069"/>
    <w:rsid w:val="00BB7C16"/>
    <w:rsid w:val="00BC0894"/>
    <w:rsid w:val="00BC0D3B"/>
    <w:rsid w:val="00BC0E32"/>
    <w:rsid w:val="00BC1E7E"/>
    <w:rsid w:val="00BC29EA"/>
    <w:rsid w:val="00BC2B16"/>
    <w:rsid w:val="00BC2C91"/>
    <w:rsid w:val="00BC2FC0"/>
    <w:rsid w:val="00BC320D"/>
    <w:rsid w:val="00BC3BBA"/>
    <w:rsid w:val="00BC3F25"/>
    <w:rsid w:val="00BC452C"/>
    <w:rsid w:val="00BC46ED"/>
    <w:rsid w:val="00BC4D67"/>
    <w:rsid w:val="00BC50C6"/>
    <w:rsid w:val="00BC52B5"/>
    <w:rsid w:val="00BC56BE"/>
    <w:rsid w:val="00BC5823"/>
    <w:rsid w:val="00BC5C07"/>
    <w:rsid w:val="00BC658D"/>
    <w:rsid w:val="00BC6F5A"/>
    <w:rsid w:val="00BC7327"/>
    <w:rsid w:val="00BC74E9"/>
    <w:rsid w:val="00BC7D8B"/>
    <w:rsid w:val="00BD0398"/>
    <w:rsid w:val="00BD07D9"/>
    <w:rsid w:val="00BD0DD2"/>
    <w:rsid w:val="00BD11B6"/>
    <w:rsid w:val="00BD14B0"/>
    <w:rsid w:val="00BD19AE"/>
    <w:rsid w:val="00BD293F"/>
    <w:rsid w:val="00BD2ACC"/>
    <w:rsid w:val="00BD2C50"/>
    <w:rsid w:val="00BD2E59"/>
    <w:rsid w:val="00BD329D"/>
    <w:rsid w:val="00BD39D6"/>
    <w:rsid w:val="00BD4614"/>
    <w:rsid w:val="00BD48E3"/>
    <w:rsid w:val="00BD4AAD"/>
    <w:rsid w:val="00BD4F03"/>
    <w:rsid w:val="00BD51D4"/>
    <w:rsid w:val="00BD5901"/>
    <w:rsid w:val="00BD6101"/>
    <w:rsid w:val="00BD6660"/>
    <w:rsid w:val="00BD6D11"/>
    <w:rsid w:val="00BD728C"/>
    <w:rsid w:val="00BD786F"/>
    <w:rsid w:val="00BD7B25"/>
    <w:rsid w:val="00BD7BC9"/>
    <w:rsid w:val="00BD7FAB"/>
    <w:rsid w:val="00BE0D21"/>
    <w:rsid w:val="00BE19DF"/>
    <w:rsid w:val="00BE2167"/>
    <w:rsid w:val="00BE309D"/>
    <w:rsid w:val="00BE363E"/>
    <w:rsid w:val="00BE36A9"/>
    <w:rsid w:val="00BE38F0"/>
    <w:rsid w:val="00BE49C8"/>
    <w:rsid w:val="00BE4D07"/>
    <w:rsid w:val="00BE509C"/>
    <w:rsid w:val="00BE54BF"/>
    <w:rsid w:val="00BE618E"/>
    <w:rsid w:val="00BE63DD"/>
    <w:rsid w:val="00BE6881"/>
    <w:rsid w:val="00BE7A7B"/>
    <w:rsid w:val="00BE7BEC"/>
    <w:rsid w:val="00BF00CF"/>
    <w:rsid w:val="00BF024D"/>
    <w:rsid w:val="00BF08CC"/>
    <w:rsid w:val="00BF0A5A"/>
    <w:rsid w:val="00BF0E63"/>
    <w:rsid w:val="00BF0EA2"/>
    <w:rsid w:val="00BF12A3"/>
    <w:rsid w:val="00BF16D7"/>
    <w:rsid w:val="00BF219D"/>
    <w:rsid w:val="00BF221A"/>
    <w:rsid w:val="00BF2236"/>
    <w:rsid w:val="00BF2373"/>
    <w:rsid w:val="00BF2628"/>
    <w:rsid w:val="00BF3064"/>
    <w:rsid w:val="00BF3141"/>
    <w:rsid w:val="00BF3791"/>
    <w:rsid w:val="00BF3C5B"/>
    <w:rsid w:val="00BF40DF"/>
    <w:rsid w:val="00BF4157"/>
    <w:rsid w:val="00BF4A17"/>
    <w:rsid w:val="00BF5C3B"/>
    <w:rsid w:val="00C00903"/>
    <w:rsid w:val="00C00A42"/>
    <w:rsid w:val="00C00EAF"/>
    <w:rsid w:val="00C00F8F"/>
    <w:rsid w:val="00C012C9"/>
    <w:rsid w:val="00C01352"/>
    <w:rsid w:val="00C01A1F"/>
    <w:rsid w:val="00C02634"/>
    <w:rsid w:val="00C03472"/>
    <w:rsid w:val="00C03647"/>
    <w:rsid w:val="00C04472"/>
    <w:rsid w:val="00C044E2"/>
    <w:rsid w:val="00C048CB"/>
    <w:rsid w:val="00C04FF9"/>
    <w:rsid w:val="00C051A9"/>
    <w:rsid w:val="00C05245"/>
    <w:rsid w:val="00C05E97"/>
    <w:rsid w:val="00C062D7"/>
    <w:rsid w:val="00C066F3"/>
    <w:rsid w:val="00C0703B"/>
    <w:rsid w:val="00C070BC"/>
    <w:rsid w:val="00C07248"/>
    <w:rsid w:val="00C072E0"/>
    <w:rsid w:val="00C074FE"/>
    <w:rsid w:val="00C0762E"/>
    <w:rsid w:val="00C1123C"/>
    <w:rsid w:val="00C118BB"/>
    <w:rsid w:val="00C118BF"/>
    <w:rsid w:val="00C11E80"/>
    <w:rsid w:val="00C124AC"/>
    <w:rsid w:val="00C12ECF"/>
    <w:rsid w:val="00C13155"/>
    <w:rsid w:val="00C13353"/>
    <w:rsid w:val="00C1351E"/>
    <w:rsid w:val="00C1372D"/>
    <w:rsid w:val="00C13B42"/>
    <w:rsid w:val="00C143D7"/>
    <w:rsid w:val="00C14F01"/>
    <w:rsid w:val="00C14FD5"/>
    <w:rsid w:val="00C15C48"/>
    <w:rsid w:val="00C15F97"/>
    <w:rsid w:val="00C1627A"/>
    <w:rsid w:val="00C1646D"/>
    <w:rsid w:val="00C16A73"/>
    <w:rsid w:val="00C173CC"/>
    <w:rsid w:val="00C17783"/>
    <w:rsid w:val="00C177A8"/>
    <w:rsid w:val="00C17C1E"/>
    <w:rsid w:val="00C17CBE"/>
    <w:rsid w:val="00C17F4B"/>
    <w:rsid w:val="00C202CE"/>
    <w:rsid w:val="00C204E2"/>
    <w:rsid w:val="00C20B71"/>
    <w:rsid w:val="00C21DA5"/>
    <w:rsid w:val="00C21E9B"/>
    <w:rsid w:val="00C223DB"/>
    <w:rsid w:val="00C2351A"/>
    <w:rsid w:val="00C24650"/>
    <w:rsid w:val="00C2481F"/>
    <w:rsid w:val="00C249B5"/>
    <w:rsid w:val="00C24D7A"/>
    <w:rsid w:val="00C25433"/>
    <w:rsid w:val="00C25A2D"/>
    <w:rsid w:val="00C25D3E"/>
    <w:rsid w:val="00C25F6C"/>
    <w:rsid w:val="00C262C4"/>
    <w:rsid w:val="00C26781"/>
    <w:rsid w:val="00C26AD0"/>
    <w:rsid w:val="00C26C0B"/>
    <w:rsid w:val="00C271C0"/>
    <w:rsid w:val="00C27635"/>
    <w:rsid w:val="00C30AE0"/>
    <w:rsid w:val="00C30F31"/>
    <w:rsid w:val="00C320AE"/>
    <w:rsid w:val="00C326D1"/>
    <w:rsid w:val="00C332B7"/>
    <w:rsid w:val="00C336C2"/>
    <w:rsid w:val="00C3394B"/>
    <w:rsid w:val="00C33E1C"/>
    <w:rsid w:val="00C34849"/>
    <w:rsid w:val="00C34D82"/>
    <w:rsid w:val="00C34E1A"/>
    <w:rsid w:val="00C351BF"/>
    <w:rsid w:val="00C35563"/>
    <w:rsid w:val="00C35C38"/>
    <w:rsid w:val="00C36083"/>
    <w:rsid w:val="00C364C0"/>
    <w:rsid w:val="00C407DB"/>
    <w:rsid w:val="00C407E7"/>
    <w:rsid w:val="00C4094D"/>
    <w:rsid w:val="00C40C0D"/>
    <w:rsid w:val="00C4105A"/>
    <w:rsid w:val="00C42154"/>
    <w:rsid w:val="00C42713"/>
    <w:rsid w:val="00C42BBF"/>
    <w:rsid w:val="00C42C55"/>
    <w:rsid w:val="00C42DD1"/>
    <w:rsid w:val="00C440A5"/>
    <w:rsid w:val="00C4422D"/>
    <w:rsid w:val="00C44341"/>
    <w:rsid w:val="00C448E9"/>
    <w:rsid w:val="00C44D1B"/>
    <w:rsid w:val="00C44E59"/>
    <w:rsid w:val="00C456E9"/>
    <w:rsid w:val="00C45ECE"/>
    <w:rsid w:val="00C46006"/>
    <w:rsid w:val="00C460B1"/>
    <w:rsid w:val="00C460B3"/>
    <w:rsid w:val="00C46260"/>
    <w:rsid w:val="00C463DD"/>
    <w:rsid w:val="00C474D2"/>
    <w:rsid w:val="00C47623"/>
    <w:rsid w:val="00C47AE0"/>
    <w:rsid w:val="00C50FC5"/>
    <w:rsid w:val="00C51623"/>
    <w:rsid w:val="00C51B82"/>
    <w:rsid w:val="00C5242C"/>
    <w:rsid w:val="00C52482"/>
    <w:rsid w:val="00C5261E"/>
    <w:rsid w:val="00C536D7"/>
    <w:rsid w:val="00C5370C"/>
    <w:rsid w:val="00C53CD9"/>
    <w:rsid w:val="00C53D83"/>
    <w:rsid w:val="00C5403D"/>
    <w:rsid w:val="00C54657"/>
    <w:rsid w:val="00C54B7D"/>
    <w:rsid w:val="00C54F69"/>
    <w:rsid w:val="00C551CB"/>
    <w:rsid w:val="00C556CB"/>
    <w:rsid w:val="00C557B1"/>
    <w:rsid w:val="00C5593E"/>
    <w:rsid w:val="00C563E3"/>
    <w:rsid w:val="00C56881"/>
    <w:rsid w:val="00C56D92"/>
    <w:rsid w:val="00C57184"/>
    <w:rsid w:val="00C5741B"/>
    <w:rsid w:val="00C577C6"/>
    <w:rsid w:val="00C57AA6"/>
    <w:rsid w:val="00C60053"/>
    <w:rsid w:val="00C6020A"/>
    <w:rsid w:val="00C602FD"/>
    <w:rsid w:val="00C60D30"/>
    <w:rsid w:val="00C60D55"/>
    <w:rsid w:val="00C61253"/>
    <w:rsid w:val="00C61DE2"/>
    <w:rsid w:val="00C61FA1"/>
    <w:rsid w:val="00C622AD"/>
    <w:rsid w:val="00C626DE"/>
    <w:rsid w:val="00C627D8"/>
    <w:rsid w:val="00C6280D"/>
    <w:rsid w:val="00C62A33"/>
    <w:rsid w:val="00C62CDB"/>
    <w:rsid w:val="00C62F95"/>
    <w:rsid w:val="00C63FEA"/>
    <w:rsid w:val="00C64006"/>
    <w:rsid w:val="00C65FD8"/>
    <w:rsid w:val="00C66601"/>
    <w:rsid w:val="00C66E70"/>
    <w:rsid w:val="00C6701E"/>
    <w:rsid w:val="00C676BA"/>
    <w:rsid w:val="00C67728"/>
    <w:rsid w:val="00C7035A"/>
    <w:rsid w:val="00C70AF1"/>
    <w:rsid w:val="00C70F05"/>
    <w:rsid w:val="00C71132"/>
    <w:rsid w:val="00C7115A"/>
    <w:rsid w:val="00C7115C"/>
    <w:rsid w:val="00C71C8B"/>
    <w:rsid w:val="00C72218"/>
    <w:rsid w:val="00C7245E"/>
    <w:rsid w:val="00C725C6"/>
    <w:rsid w:val="00C729E7"/>
    <w:rsid w:val="00C72D61"/>
    <w:rsid w:val="00C72EBC"/>
    <w:rsid w:val="00C73617"/>
    <w:rsid w:val="00C736A8"/>
    <w:rsid w:val="00C74549"/>
    <w:rsid w:val="00C745C3"/>
    <w:rsid w:val="00C74787"/>
    <w:rsid w:val="00C74A17"/>
    <w:rsid w:val="00C74C8E"/>
    <w:rsid w:val="00C75B86"/>
    <w:rsid w:val="00C75B91"/>
    <w:rsid w:val="00C763DD"/>
    <w:rsid w:val="00C770FE"/>
    <w:rsid w:val="00C77BBA"/>
    <w:rsid w:val="00C77C93"/>
    <w:rsid w:val="00C80C4E"/>
    <w:rsid w:val="00C80CC3"/>
    <w:rsid w:val="00C81180"/>
    <w:rsid w:val="00C81664"/>
    <w:rsid w:val="00C81767"/>
    <w:rsid w:val="00C8181D"/>
    <w:rsid w:val="00C8192C"/>
    <w:rsid w:val="00C82448"/>
    <w:rsid w:val="00C82862"/>
    <w:rsid w:val="00C82C81"/>
    <w:rsid w:val="00C82E69"/>
    <w:rsid w:val="00C83EF4"/>
    <w:rsid w:val="00C84321"/>
    <w:rsid w:val="00C84AF1"/>
    <w:rsid w:val="00C84BED"/>
    <w:rsid w:val="00C84D82"/>
    <w:rsid w:val="00C8501D"/>
    <w:rsid w:val="00C851B0"/>
    <w:rsid w:val="00C8635B"/>
    <w:rsid w:val="00C863C1"/>
    <w:rsid w:val="00C86449"/>
    <w:rsid w:val="00C8689C"/>
    <w:rsid w:val="00C8696B"/>
    <w:rsid w:val="00C87A84"/>
    <w:rsid w:val="00C90466"/>
    <w:rsid w:val="00C90CF7"/>
    <w:rsid w:val="00C90CFC"/>
    <w:rsid w:val="00C91BA9"/>
    <w:rsid w:val="00C920B8"/>
    <w:rsid w:val="00C924DE"/>
    <w:rsid w:val="00C927BE"/>
    <w:rsid w:val="00C927CF"/>
    <w:rsid w:val="00C929C6"/>
    <w:rsid w:val="00C92C04"/>
    <w:rsid w:val="00C93028"/>
    <w:rsid w:val="00C930C7"/>
    <w:rsid w:val="00C93611"/>
    <w:rsid w:val="00C93F18"/>
    <w:rsid w:val="00C941AC"/>
    <w:rsid w:val="00C94303"/>
    <w:rsid w:val="00C9436E"/>
    <w:rsid w:val="00C94B90"/>
    <w:rsid w:val="00C94D7D"/>
    <w:rsid w:val="00C94E27"/>
    <w:rsid w:val="00C950E4"/>
    <w:rsid w:val="00C954B8"/>
    <w:rsid w:val="00C95CD1"/>
    <w:rsid w:val="00C95E55"/>
    <w:rsid w:val="00C96395"/>
    <w:rsid w:val="00C96793"/>
    <w:rsid w:val="00C96FF8"/>
    <w:rsid w:val="00C97201"/>
    <w:rsid w:val="00C973F4"/>
    <w:rsid w:val="00C975C3"/>
    <w:rsid w:val="00C97F55"/>
    <w:rsid w:val="00CA09CA"/>
    <w:rsid w:val="00CA0ADA"/>
    <w:rsid w:val="00CA0B13"/>
    <w:rsid w:val="00CA0B2B"/>
    <w:rsid w:val="00CA1710"/>
    <w:rsid w:val="00CA1B77"/>
    <w:rsid w:val="00CA1D7D"/>
    <w:rsid w:val="00CA24A4"/>
    <w:rsid w:val="00CA2739"/>
    <w:rsid w:val="00CA2D7F"/>
    <w:rsid w:val="00CA2EBC"/>
    <w:rsid w:val="00CA3158"/>
    <w:rsid w:val="00CA3A61"/>
    <w:rsid w:val="00CA439C"/>
    <w:rsid w:val="00CA48E5"/>
    <w:rsid w:val="00CA491E"/>
    <w:rsid w:val="00CA56D1"/>
    <w:rsid w:val="00CA60BA"/>
    <w:rsid w:val="00CA6177"/>
    <w:rsid w:val="00CA653F"/>
    <w:rsid w:val="00CA71C9"/>
    <w:rsid w:val="00CA72BD"/>
    <w:rsid w:val="00CA7FDD"/>
    <w:rsid w:val="00CB147B"/>
    <w:rsid w:val="00CB1872"/>
    <w:rsid w:val="00CB1DDE"/>
    <w:rsid w:val="00CB23DD"/>
    <w:rsid w:val="00CB29D9"/>
    <w:rsid w:val="00CB29E2"/>
    <w:rsid w:val="00CB2D37"/>
    <w:rsid w:val="00CB348D"/>
    <w:rsid w:val="00CB432B"/>
    <w:rsid w:val="00CB4603"/>
    <w:rsid w:val="00CB5DA6"/>
    <w:rsid w:val="00CB5EB6"/>
    <w:rsid w:val="00CB62CF"/>
    <w:rsid w:val="00CC0407"/>
    <w:rsid w:val="00CC0764"/>
    <w:rsid w:val="00CC10E8"/>
    <w:rsid w:val="00CC2739"/>
    <w:rsid w:val="00CC36D1"/>
    <w:rsid w:val="00CC3703"/>
    <w:rsid w:val="00CC3B46"/>
    <w:rsid w:val="00CC3BAC"/>
    <w:rsid w:val="00CC410B"/>
    <w:rsid w:val="00CC41B5"/>
    <w:rsid w:val="00CC41D0"/>
    <w:rsid w:val="00CC5005"/>
    <w:rsid w:val="00CC539D"/>
    <w:rsid w:val="00CC53A6"/>
    <w:rsid w:val="00CC63D1"/>
    <w:rsid w:val="00CC641A"/>
    <w:rsid w:val="00CC6695"/>
    <w:rsid w:val="00CC6BD3"/>
    <w:rsid w:val="00CC7B3C"/>
    <w:rsid w:val="00CD0C82"/>
    <w:rsid w:val="00CD0CFA"/>
    <w:rsid w:val="00CD11C0"/>
    <w:rsid w:val="00CD1522"/>
    <w:rsid w:val="00CD16F7"/>
    <w:rsid w:val="00CD181A"/>
    <w:rsid w:val="00CD1C2B"/>
    <w:rsid w:val="00CD1DF5"/>
    <w:rsid w:val="00CD227C"/>
    <w:rsid w:val="00CD2836"/>
    <w:rsid w:val="00CD288A"/>
    <w:rsid w:val="00CD316E"/>
    <w:rsid w:val="00CD3876"/>
    <w:rsid w:val="00CD3F22"/>
    <w:rsid w:val="00CD3F48"/>
    <w:rsid w:val="00CD44B3"/>
    <w:rsid w:val="00CD46F5"/>
    <w:rsid w:val="00CD5610"/>
    <w:rsid w:val="00CD5919"/>
    <w:rsid w:val="00CD6D83"/>
    <w:rsid w:val="00CD7E73"/>
    <w:rsid w:val="00CE0BAA"/>
    <w:rsid w:val="00CE1748"/>
    <w:rsid w:val="00CE19DA"/>
    <w:rsid w:val="00CE2019"/>
    <w:rsid w:val="00CE2850"/>
    <w:rsid w:val="00CE2923"/>
    <w:rsid w:val="00CE32ED"/>
    <w:rsid w:val="00CE3CA0"/>
    <w:rsid w:val="00CE4A8F"/>
    <w:rsid w:val="00CE4C19"/>
    <w:rsid w:val="00CE4DEA"/>
    <w:rsid w:val="00CE5928"/>
    <w:rsid w:val="00CE6445"/>
    <w:rsid w:val="00CE6777"/>
    <w:rsid w:val="00CE697C"/>
    <w:rsid w:val="00CE69FF"/>
    <w:rsid w:val="00CE6EA1"/>
    <w:rsid w:val="00CE75B4"/>
    <w:rsid w:val="00CE7A50"/>
    <w:rsid w:val="00CE7A60"/>
    <w:rsid w:val="00CE7BD2"/>
    <w:rsid w:val="00CF071D"/>
    <w:rsid w:val="00CF07E8"/>
    <w:rsid w:val="00CF0F86"/>
    <w:rsid w:val="00CF3027"/>
    <w:rsid w:val="00CF3431"/>
    <w:rsid w:val="00CF3864"/>
    <w:rsid w:val="00CF39D3"/>
    <w:rsid w:val="00CF4664"/>
    <w:rsid w:val="00CF4AE6"/>
    <w:rsid w:val="00CF542F"/>
    <w:rsid w:val="00CF5E43"/>
    <w:rsid w:val="00CF68FE"/>
    <w:rsid w:val="00CF6F43"/>
    <w:rsid w:val="00CF72A3"/>
    <w:rsid w:val="00CF7959"/>
    <w:rsid w:val="00CF7AE6"/>
    <w:rsid w:val="00CF7D6C"/>
    <w:rsid w:val="00CF7DA5"/>
    <w:rsid w:val="00D008A4"/>
    <w:rsid w:val="00D00B87"/>
    <w:rsid w:val="00D00C8C"/>
    <w:rsid w:val="00D00EC7"/>
    <w:rsid w:val="00D00FA5"/>
    <w:rsid w:val="00D010C9"/>
    <w:rsid w:val="00D01622"/>
    <w:rsid w:val="00D02115"/>
    <w:rsid w:val="00D02139"/>
    <w:rsid w:val="00D03AB9"/>
    <w:rsid w:val="00D03F87"/>
    <w:rsid w:val="00D048DA"/>
    <w:rsid w:val="00D04A32"/>
    <w:rsid w:val="00D04AFC"/>
    <w:rsid w:val="00D05390"/>
    <w:rsid w:val="00D05BEB"/>
    <w:rsid w:val="00D068C7"/>
    <w:rsid w:val="00D06DED"/>
    <w:rsid w:val="00D07422"/>
    <w:rsid w:val="00D0787B"/>
    <w:rsid w:val="00D07F19"/>
    <w:rsid w:val="00D10334"/>
    <w:rsid w:val="00D10F1F"/>
    <w:rsid w:val="00D11AA1"/>
    <w:rsid w:val="00D12986"/>
    <w:rsid w:val="00D12FD7"/>
    <w:rsid w:val="00D13359"/>
    <w:rsid w:val="00D13F10"/>
    <w:rsid w:val="00D13FB3"/>
    <w:rsid w:val="00D1415B"/>
    <w:rsid w:val="00D144C9"/>
    <w:rsid w:val="00D14B58"/>
    <w:rsid w:val="00D15101"/>
    <w:rsid w:val="00D154FA"/>
    <w:rsid w:val="00D15B04"/>
    <w:rsid w:val="00D15D1E"/>
    <w:rsid w:val="00D16117"/>
    <w:rsid w:val="00D16206"/>
    <w:rsid w:val="00D163A7"/>
    <w:rsid w:val="00D16AF4"/>
    <w:rsid w:val="00D16D51"/>
    <w:rsid w:val="00D177F4"/>
    <w:rsid w:val="00D17CD3"/>
    <w:rsid w:val="00D2031B"/>
    <w:rsid w:val="00D20752"/>
    <w:rsid w:val="00D2096B"/>
    <w:rsid w:val="00D214A9"/>
    <w:rsid w:val="00D21758"/>
    <w:rsid w:val="00D21A43"/>
    <w:rsid w:val="00D21C12"/>
    <w:rsid w:val="00D22234"/>
    <w:rsid w:val="00D228BA"/>
    <w:rsid w:val="00D22C58"/>
    <w:rsid w:val="00D236C9"/>
    <w:rsid w:val="00D23D2C"/>
    <w:rsid w:val="00D24C2E"/>
    <w:rsid w:val="00D24F40"/>
    <w:rsid w:val="00D25560"/>
    <w:rsid w:val="00D2589C"/>
    <w:rsid w:val="00D25FE2"/>
    <w:rsid w:val="00D261C1"/>
    <w:rsid w:val="00D264BA"/>
    <w:rsid w:val="00D26690"/>
    <w:rsid w:val="00D26B97"/>
    <w:rsid w:val="00D26F35"/>
    <w:rsid w:val="00D271A3"/>
    <w:rsid w:val="00D27655"/>
    <w:rsid w:val="00D27AAC"/>
    <w:rsid w:val="00D30A29"/>
    <w:rsid w:val="00D30DB1"/>
    <w:rsid w:val="00D30F30"/>
    <w:rsid w:val="00D31736"/>
    <w:rsid w:val="00D31EF1"/>
    <w:rsid w:val="00D32DCA"/>
    <w:rsid w:val="00D32F17"/>
    <w:rsid w:val="00D33831"/>
    <w:rsid w:val="00D3400B"/>
    <w:rsid w:val="00D34BE6"/>
    <w:rsid w:val="00D34DC4"/>
    <w:rsid w:val="00D35288"/>
    <w:rsid w:val="00D359A9"/>
    <w:rsid w:val="00D35E7C"/>
    <w:rsid w:val="00D36429"/>
    <w:rsid w:val="00D367AF"/>
    <w:rsid w:val="00D36828"/>
    <w:rsid w:val="00D36B39"/>
    <w:rsid w:val="00D36D57"/>
    <w:rsid w:val="00D36FAB"/>
    <w:rsid w:val="00D37348"/>
    <w:rsid w:val="00D3738C"/>
    <w:rsid w:val="00D378B2"/>
    <w:rsid w:val="00D37D4E"/>
    <w:rsid w:val="00D37DA9"/>
    <w:rsid w:val="00D37F96"/>
    <w:rsid w:val="00D40256"/>
    <w:rsid w:val="00D406A7"/>
    <w:rsid w:val="00D408D7"/>
    <w:rsid w:val="00D40931"/>
    <w:rsid w:val="00D40FE6"/>
    <w:rsid w:val="00D411FD"/>
    <w:rsid w:val="00D4190E"/>
    <w:rsid w:val="00D41946"/>
    <w:rsid w:val="00D41BA0"/>
    <w:rsid w:val="00D41C6D"/>
    <w:rsid w:val="00D42CB6"/>
    <w:rsid w:val="00D42EA1"/>
    <w:rsid w:val="00D43252"/>
    <w:rsid w:val="00D4364A"/>
    <w:rsid w:val="00D43BC5"/>
    <w:rsid w:val="00D441E6"/>
    <w:rsid w:val="00D44D86"/>
    <w:rsid w:val="00D45232"/>
    <w:rsid w:val="00D457FB"/>
    <w:rsid w:val="00D465F9"/>
    <w:rsid w:val="00D473BF"/>
    <w:rsid w:val="00D474DD"/>
    <w:rsid w:val="00D475D7"/>
    <w:rsid w:val="00D47EE2"/>
    <w:rsid w:val="00D50400"/>
    <w:rsid w:val="00D507B3"/>
    <w:rsid w:val="00D508D1"/>
    <w:rsid w:val="00D50B1E"/>
    <w:rsid w:val="00D50B45"/>
    <w:rsid w:val="00D50B7D"/>
    <w:rsid w:val="00D50DB9"/>
    <w:rsid w:val="00D50F27"/>
    <w:rsid w:val="00D51A1D"/>
    <w:rsid w:val="00D51B3D"/>
    <w:rsid w:val="00D51F89"/>
    <w:rsid w:val="00D52012"/>
    <w:rsid w:val="00D524DA"/>
    <w:rsid w:val="00D525B9"/>
    <w:rsid w:val="00D52F8C"/>
    <w:rsid w:val="00D53660"/>
    <w:rsid w:val="00D543C0"/>
    <w:rsid w:val="00D549BB"/>
    <w:rsid w:val="00D54A5D"/>
    <w:rsid w:val="00D562CF"/>
    <w:rsid w:val="00D57D3A"/>
    <w:rsid w:val="00D604EC"/>
    <w:rsid w:val="00D60A37"/>
    <w:rsid w:val="00D60BEE"/>
    <w:rsid w:val="00D61131"/>
    <w:rsid w:val="00D615C0"/>
    <w:rsid w:val="00D61A70"/>
    <w:rsid w:val="00D61BAC"/>
    <w:rsid w:val="00D61C42"/>
    <w:rsid w:val="00D620EE"/>
    <w:rsid w:val="00D62E39"/>
    <w:rsid w:val="00D63412"/>
    <w:rsid w:val="00D6426D"/>
    <w:rsid w:val="00D64460"/>
    <w:rsid w:val="00D64E0D"/>
    <w:rsid w:val="00D64EC1"/>
    <w:rsid w:val="00D6548F"/>
    <w:rsid w:val="00D6571E"/>
    <w:rsid w:val="00D6577D"/>
    <w:rsid w:val="00D65B4C"/>
    <w:rsid w:val="00D66087"/>
    <w:rsid w:val="00D66161"/>
    <w:rsid w:val="00D6658B"/>
    <w:rsid w:val="00D66A0A"/>
    <w:rsid w:val="00D66E5F"/>
    <w:rsid w:val="00D67208"/>
    <w:rsid w:val="00D67C4F"/>
    <w:rsid w:val="00D67CAD"/>
    <w:rsid w:val="00D67F31"/>
    <w:rsid w:val="00D701FF"/>
    <w:rsid w:val="00D704E5"/>
    <w:rsid w:val="00D707A1"/>
    <w:rsid w:val="00D70BE2"/>
    <w:rsid w:val="00D70F42"/>
    <w:rsid w:val="00D71041"/>
    <w:rsid w:val="00D71312"/>
    <w:rsid w:val="00D7270F"/>
    <w:rsid w:val="00D72727"/>
    <w:rsid w:val="00D72D75"/>
    <w:rsid w:val="00D72E08"/>
    <w:rsid w:val="00D737D7"/>
    <w:rsid w:val="00D73A19"/>
    <w:rsid w:val="00D741C7"/>
    <w:rsid w:val="00D74409"/>
    <w:rsid w:val="00D7467D"/>
    <w:rsid w:val="00D74892"/>
    <w:rsid w:val="00D74A7C"/>
    <w:rsid w:val="00D74EC6"/>
    <w:rsid w:val="00D75043"/>
    <w:rsid w:val="00D75100"/>
    <w:rsid w:val="00D7619B"/>
    <w:rsid w:val="00D76678"/>
    <w:rsid w:val="00D766A7"/>
    <w:rsid w:val="00D76CFC"/>
    <w:rsid w:val="00D76F1A"/>
    <w:rsid w:val="00D775BB"/>
    <w:rsid w:val="00D77669"/>
    <w:rsid w:val="00D80AAE"/>
    <w:rsid w:val="00D81BC0"/>
    <w:rsid w:val="00D81C1A"/>
    <w:rsid w:val="00D81F5D"/>
    <w:rsid w:val="00D82ABB"/>
    <w:rsid w:val="00D82BC9"/>
    <w:rsid w:val="00D83143"/>
    <w:rsid w:val="00D8314F"/>
    <w:rsid w:val="00D83201"/>
    <w:rsid w:val="00D837C6"/>
    <w:rsid w:val="00D83A0D"/>
    <w:rsid w:val="00D83A9B"/>
    <w:rsid w:val="00D846A1"/>
    <w:rsid w:val="00D85774"/>
    <w:rsid w:val="00D85918"/>
    <w:rsid w:val="00D86462"/>
    <w:rsid w:val="00D86DEA"/>
    <w:rsid w:val="00D877FE"/>
    <w:rsid w:val="00D87A8E"/>
    <w:rsid w:val="00D87C88"/>
    <w:rsid w:val="00D87CAC"/>
    <w:rsid w:val="00D87CBD"/>
    <w:rsid w:val="00D904E3"/>
    <w:rsid w:val="00D9050E"/>
    <w:rsid w:val="00D91135"/>
    <w:rsid w:val="00D913B5"/>
    <w:rsid w:val="00D91A97"/>
    <w:rsid w:val="00D92154"/>
    <w:rsid w:val="00D92303"/>
    <w:rsid w:val="00D929AC"/>
    <w:rsid w:val="00D92FB4"/>
    <w:rsid w:val="00D93EF3"/>
    <w:rsid w:val="00D94630"/>
    <w:rsid w:val="00D94A0D"/>
    <w:rsid w:val="00D9552C"/>
    <w:rsid w:val="00D95F7D"/>
    <w:rsid w:val="00D96854"/>
    <w:rsid w:val="00D971FB"/>
    <w:rsid w:val="00D978C6"/>
    <w:rsid w:val="00DA0956"/>
    <w:rsid w:val="00DA0FD2"/>
    <w:rsid w:val="00DA20B8"/>
    <w:rsid w:val="00DA270A"/>
    <w:rsid w:val="00DA2B59"/>
    <w:rsid w:val="00DA2F24"/>
    <w:rsid w:val="00DA3103"/>
    <w:rsid w:val="00DA33B8"/>
    <w:rsid w:val="00DA357F"/>
    <w:rsid w:val="00DA3E12"/>
    <w:rsid w:val="00DA4358"/>
    <w:rsid w:val="00DA5035"/>
    <w:rsid w:val="00DA6E0B"/>
    <w:rsid w:val="00DA706E"/>
    <w:rsid w:val="00DA7111"/>
    <w:rsid w:val="00DA777C"/>
    <w:rsid w:val="00DB088C"/>
    <w:rsid w:val="00DB09F3"/>
    <w:rsid w:val="00DB0CDE"/>
    <w:rsid w:val="00DB0FF3"/>
    <w:rsid w:val="00DB1152"/>
    <w:rsid w:val="00DB1CC9"/>
    <w:rsid w:val="00DB21DC"/>
    <w:rsid w:val="00DB2A10"/>
    <w:rsid w:val="00DB350B"/>
    <w:rsid w:val="00DB4025"/>
    <w:rsid w:val="00DB408F"/>
    <w:rsid w:val="00DB51E2"/>
    <w:rsid w:val="00DB5FAB"/>
    <w:rsid w:val="00DB60EB"/>
    <w:rsid w:val="00DB6F0D"/>
    <w:rsid w:val="00DB7B78"/>
    <w:rsid w:val="00DB7C88"/>
    <w:rsid w:val="00DB7FD5"/>
    <w:rsid w:val="00DC0B58"/>
    <w:rsid w:val="00DC18AD"/>
    <w:rsid w:val="00DC19D0"/>
    <w:rsid w:val="00DC29A7"/>
    <w:rsid w:val="00DC310D"/>
    <w:rsid w:val="00DC40CE"/>
    <w:rsid w:val="00DC45C8"/>
    <w:rsid w:val="00DC488F"/>
    <w:rsid w:val="00DC5191"/>
    <w:rsid w:val="00DC530F"/>
    <w:rsid w:val="00DC542B"/>
    <w:rsid w:val="00DC64EB"/>
    <w:rsid w:val="00DC6A5C"/>
    <w:rsid w:val="00DC76B9"/>
    <w:rsid w:val="00DC7842"/>
    <w:rsid w:val="00DC7CF0"/>
    <w:rsid w:val="00DC7EDE"/>
    <w:rsid w:val="00DC7F42"/>
    <w:rsid w:val="00DD04DD"/>
    <w:rsid w:val="00DD0ABC"/>
    <w:rsid w:val="00DD0EB2"/>
    <w:rsid w:val="00DD1203"/>
    <w:rsid w:val="00DD1240"/>
    <w:rsid w:val="00DD18D4"/>
    <w:rsid w:val="00DD1972"/>
    <w:rsid w:val="00DD24A0"/>
    <w:rsid w:val="00DD25CB"/>
    <w:rsid w:val="00DD3654"/>
    <w:rsid w:val="00DD38D9"/>
    <w:rsid w:val="00DD428A"/>
    <w:rsid w:val="00DD448C"/>
    <w:rsid w:val="00DD460B"/>
    <w:rsid w:val="00DD46B1"/>
    <w:rsid w:val="00DD4D81"/>
    <w:rsid w:val="00DD4EC4"/>
    <w:rsid w:val="00DD5287"/>
    <w:rsid w:val="00DD5B24"/>
    <w:rsid w:val="00DD68FF"/>
    <w:rsid w:val="00DD6D98"/>
    <w:rsid w:val="00DD7162"/>
    <w:rsid w:val="00DD7274"/>
    <w:rsid w:val="00DD77BE"/>
    <w:rsid w:val="00DD7CF7"/>
    <w:rsid w:val="00DD7E7F"/>
    <w:rsid w:val="00DE0774"/>
    <w:rsid w:val="00DE098C"/>
    <w:rsid w:val="00DE0A0E"/>
    <w:rsid w:val="00DE0AD8"/>
    <w:rsid w:val="00DE134D"/>
    <w:rsid w:val="00DE14BE"/>
    <w:rsid w:val="00DE1606"/>
    <w:rsid w:val="00DE1AE3"/>
    <w:rsid w:val="00DE2297"/>
    <w:rsid w:val="00DE2566"/>
    <w:rsid w:val="00DE3AC1"/>
    <w:rsid w:val="00DE4750"/>
    <w:rsid w:val="00DE4CAF"/>
    <w:rsid w:val="00DE4FE7"/>
    <w:rsid w:val="00DE552F"/>
    <w:rsid w:val="00DE554F"/>
    <w:rsid w:val="00DE6F2A"/>
    <w:rsid w:val="00DE710D"/>
    <w:rsid w:val="00DE7746"/>
    <w:rsid w:val="00DE7851"/>
    <w:rsid w:val="00DF017E"/>
    <w:rsid w:val="00DF0470"/>
    <w:rsid w:val="00DF0E3D"/>
    <w:rsid w:val="00DF146D"/>
    <w:rsid w:val="00DF153D"/>
    <w:rsid w:val="00DF15C1"/>
    <w:rsid w:val="00DF2445"/>
    <w:rsid w:val="00DF2560"/>
    <w:rsid w:val="00DF3CF4"/>
    <w:rsid w:val="00DF40A6"/>
    <w:rsid w:val="00DF4846"/>
    <w:rsid w:val="00DF4A0F"/>
    <w:rsid w:val="00DF4D27"/>
    <w:rsid w:val="00DF4E82"/>
    <w:rsid w:val="00DF61D2"/>
    <w:rsid w:val="00DF6F3E"/>
    <w:rsid w:val="00DF70AD"/>
    <w:rsid w:val="00DF7AFB"/>
    <w:rsid w:val="00DF7CAE"/>
    <w:rsid w:val="00E00979"/>
    <w:rsid w:val="00E00A16"/>
    <w:rsid w:val="00E01CFB"/>
    <w:rsid w:val="00E027C0"/>
    <w:rsid w:val="00E02C4B"/>
    <w:rsid w:val="00E03351"/>
    <w:rsid w:val="00E03B1F"/>
    <w:rsid w:val="00E03E79"/>
    <w:rsid w:val="00E03F15"/>
    <w:rsid w:val="00E04100"/>
    <w:rsid w:val="00E05119"/>
    <w:rsid w:val="00E052A0"/>
    <w:rsid w:val="00E0569D"/>
    <w:rsid w:val="00E05C1B"/>
    <w:rsid w:val="00E0609D"/>
    <w:rsid w:val="00E06907"/>
    <w:rsid w:val="00E07152"/>
    <w:rsid w:val="00E07D75"/>
    <w:rsid w:val="00E10512"/>
    <w:rsid w:val="00E106C1"/>
    <w:rsid w:val="00E109D2"/>
    <w:rsid w:val="00E10B8A"/>
    <w:rsid w:val="00E114A3"/>
    <w:rsid w:val="00E11595"/>
    <w:rsid w:val="00E1312F"/>
    <w:rsid w:val="00E13388"/>
    <w:rsid w:val="00E136FA"/>
    <w:rsid w:val="00E14A15"/>
    <w:rsid w:val="00E15D37"/>
    <w:rsid w:val="00E15F4C"/>
    <w:rsid w:val="00E1624E"/>
    <w:rsid w:val="00E162F6"/>
    <w:rsid w:val="00E16987"/>
    <w:rsid w:val="00E16FAF"/>
    <w:rsid w:val="00E172E4"/>
    <w:rsid w:val="00E173A6"/>
    <w:rsid w:val="00E174AF"/>
    <w:rsid w:val="00E203F3"/>
    <w:rsid w:val="00E20615"/>
    <w:rsid w:val="00E20663"/>
    <w:rsid w:val="00E20745"/>
    <w:rsid w:val="00E20B9D"/>
    <w:rsid w:val="00E217BA"/>
    <w:rsid w:val="00E218A6"/>
    <w:rsid w:val="00E221A6"/>
    <w:rsid w:val="00E221F4"/>
    <w:rsid w:val="00E2225F"/>
    <w:rsid w:val="00E225A8"/>
    <w:rsid w:val="00E22AD9"/>
    <w:rsid w:val="00E231D0"/>
    <w:rsid w:val="00E23EDC"/>
    <w:rsid w:val="00E2465B"/>
    <w:rsid w:val="00E246EF"/>
    <w:rsid w:val="00E251A0"/>
    <w:rsid w:val="00E251BA"/>
    <w:rsid w:val="00E253EA"/>
    <w:rsid w:val="00E25837"/>
    <w:rsid w:val="00E25DC4"/>
    <w:rsid w:val="00E2602C"/>
    <w:rsid w:val="00E26630"/>
    <w:rsid w:val="00E266D6"/>
    <w:rsid w:val="00E27457"/>
    <w:rsid w:val="00E27B58"/>
    <w:rsid w:val="00E305A2"/>
    <w:rsid w:val="00E30687"/>
    <w:rsid w:val="00E31057"/>
    <w:rsid w:val="00E315C0"/>
    <w:rsid w:val="00E32113"/>
    <w:rsid w:val="00E3296B"/>
    <w:rsid w:val="00E32978"/>
    <w:rsid w:val="00E32A1D"/>
    <w:rsid w:val="00E32D08"/>
    <w:rsid w:val="00E334E8"/>
    <w:rsid w:val="00E339E8"/>
    <w:rsid w:val="00E33B1F"/>
    <w:rsid w:val="00E343FC"/>
    <w:rsid w:val="00E356B5"/>
    <w:rsid w:val="00E35A71"/>
    <w:rsid w:val="00E35C0C"/>
    <w:rsid w:val="00E363CD"/>
    <w:rsid w:val="00E36762"/>
    <w:rsid w:val="00E36971"/>
    <w:rsid w:val="00E36991"/>
    <w:rsid w:val="00E36C6C"/>
    <w:rsid w:val="00E410DC"/>
    <w:rsid w:val="00E412A2"/>
    <w:rsid w:val="00E41431"/>
    <w:rsid w:val="00E4207A"/>
    <w:rsid w:val="00E423C0"/>
    <w:rsid w:val="00E427EE"/>
    <w:rsid w:val="00E42F7D"/>
    <w:rsid w:val="00E4335E"/>
    <w:rsid w:val="00E43ED3"/>
    <w:rsid w:val="00E43F6B"/>
    <w:rsid w:val="00E445B1"/>
    <w:rsid w:val="00E44E1B"/>
    <w:rsid w:val="00E45327"/>
    <w:rsid w:val="00E45982"/>
    <w:rsid w:val="00E46090"/>
    <w:rsid w:val="00E46603"/>
    <w:rsid w:val="00E46898"/>
    <w:rsid w:val="00E46F20"/>
    <w:rsid w:val="00E47151"/>
    <w:rsid w:val="00E4723C"/>
    <w:rsid w:val="00E47CBF"/>
    <w:rsid w:val="00E5093A"/>
    <w:rsid w:val="00E50D8C"/>
    <w:rsid w:val="00E50F12"/>
    <w:rsid w:val="00E51322"/>
    <w:rsid w:val="00E52979"/>
    <w:rsid w:val="00E53706"/>
    <w:rsid w:val="00E5420B"/>
    <w:rsid w:val="00E559D8"/>
    <w:rsid w:val="00E56618"/>
    <w:rsid w:val="00E56D6E"/>
    <w:rsid w:val="00E56E47"/>
    <w:rsid w:val="00E57668"/>
    <w:rsid w:val="00E5778B"/>
    <w:rsid w:val="00E57CFA"/>
    <w:rsid w:val="00E57FE2"/>
    <w:rsid w:val="00E61129"/>
    <w:rsid w:val="00E615BE"/>
    <w:rsid w:val="00E6231F"/>
    <w:rsid w:val="00E62CDE"/>
    <w:rsid w:val="00E631D1"/>
    <w:rsid w:val="00E63752"/>
    <w:rsid w:val="00E63DC3"/>
    <w:rsid w:val="00E63E0D"/>
    <w:rsid w:val="00E6407F"/>
    <w:rsid w:val="00E6414C"/>
    <w:rsid w:val="00E645AD"/>
    <w:rsid w:val="00E64975"/>
    <w:rsid w:val="00E64CD1"/>
    <w:rsid w:val="00E6575F"/>
    <w:rsid w:val="00E66D33"/>
    <w:rsid w:val="00E670A1"/>
    <w:rsid w:val="00E6788E"/>
    <w:rsid w:val="00E67E56"/>
    <w:rsid w:val="00E701AE"/>
    <w:rsid w:val="00E7096E"/>
    <w:rsid w:val="00E7131B"/>
    <w:rsid w:val="00E714E6"/>
    <w:rsid w:val="00E72186"/>
    <w:rsid w:val="00E7260F"/>
    <w:rsid w:val="00E72CEB"/>
    <w:rsid w:val="00E744E2"/>
    <w:rsid w:val="00E75433"/>
    <w:rsid w:val="00E75D1A"/>
    <w:rsid w:val="00E7611A"/>
    <w:rsid w:val="00E77167"/>
    <w:rsid w:val="00E77B22"/>
    <w:rsid w:val="00E77D39"/>
    <w:rsid w:val="00E80076"/>
    <w:rsid w:val="00E800BD"/>
    <w:rsid w:val="00E800BF"/>
    <w:rsid w:val="00E80CB0"/>
    <w:rsid w:val="00E80DB9"/>
    <w:rsid w:val="00E80F1A"/>
    <w:rsid w:val="00E80F2A"/>
    <w:rsid w:val="00E81674"/>
    <w:rsid w:val="00E816A1"/>
    <w:rsid w:val="00E81891"/>
    <w:rsid w:val="00E823BB"/>
    <w:rsid w:val="00E823D7"/>
    <w:rsid w:val="00E827AB"/>
    <w:rsid w:val="00E82A3B"/>
    <w:rsid w:val="00E83390"/>
    <w:rsid w:val="00E837D9"/>
    <w:rsid w:val="00E83F2B"/>
    <w:rsid w:val="00E85338"/>
    <w:rsid w:val="00E86495"/>
    <w:rsid w:val="00E8702D"/>
    <w:rsid w:val="00E87211"/>
    <w:rsid w:val="00E878EC"/>
    <w:rsid w:val="00E90117"/>
    <w:rsid w:val="00E90AA5"/>
    <w:rsid w:val="00E90EBA"/>
    <w:rsid w:val="00E915E4"/>
    <w:rsid w:val="00E916A9"/>
    <w:rsid w:val="00E916DE"/>
    <w:rsid w:val="00E917A8"/>
    <w:rsid w:val="00E91BED"/>
    <w:rsid w:val="00E91E00"/>
    <w:rsid w:val="00E92009"/>
    <w:rsid w:val="00E92492"/>
    <w:rsid w:val="00E925AD"/>
    <w:rsid w:val="00E92EDF"/>
    <w:rsid w:val="00E9316D"/>
    <w:rsid w:val="00E93730"/>
    <w:rsid w:val="00E9436B"/>
    <w:rsid w:val="00E9527B"/>
    <w:rsid w:val="00E95839"/>
    <w:rsid w:val="00E96630"/>
    <w:rsid w:val="00E96CE3"/>
    <w:rsid w:val="00E97225"/>
    <w:rsid w:val="00E97262"/>
    <w:rsid w:val="00E972DD"/>
    <w:rsid w:val="00E97433"/>
    <w:rsid w:val="00E97AF0"/>
    <w:rsid w:val="00E97CC5"/>
    <w:rsid w:val="00EA0245"/>
    <w:rsid w:val="00EA083A"/>
    <w:rsid w:val="00EA0927"/>
    <w:rsid w:val="00EA0A30"/>
    <w:rsid w:val="00EA0EE3"/>
    <w:rsid w:val="00EA123A"/>
    <w:rsid w:val="00EA1F26"/>
    <w:rsid w:val="00EA1FAD"/>
    <w:rsid w:val="00EA1FBF"/>
    <w:rsid w:val="00EA20CA"/>
    <w:rsid w:val="00EA21DF"/>
    <w:rsid w:val="00EA29C9"/>
    <w:rsid w:val="00EA3228"/>
    <w:rsid w:val="00EA329E"/>
    <w:rsid w:val="00EA33F6"/>
    <w:rsid w:val="00EA3B95"/>
    <w:rsid w:val="00EA3F53"/>
    <w:rsid w:val="00EA4EA5"/>
    <w:rsid w:val="00EA5503"/>
    <w:rsid w:val="00EA5D02"/>
    <w:rsid w:val="00EA5D47"/>
    <w:rsid w:val="00EA646A"/>
    <w:rsid w:val="00EA6668"/>
    <w:rsid w:val="00EA7274"/>
    <w:rsid w:val="00EA7566"/>
    <w:rsid w:val="00EA75AD"/>
    <w:rsid w:val="00EA7701"/>
    <w:rsid w:val="00EA7A56"/>
    <w:rsid w:val="00EA7C14"/>
    <w:rsid w:val="00EA7D7C"/>
    <w:rsid w:val="00EB0BF2"/>
    <w:rsid w:val="00EB1BB8"/>
    <w:rsid w:val="00EB1BE2"/>
    <w:rsid w:val="00EB1D7A"/>
    <w:rsid w:val="00EB23C0"/>
    <w:rsid w:val="00EB26C1"/>
    <w:rsid w:val="00EB270A"/>
    <w:rsid w:val="00EB2C73"/>
    <w:rsid w:val="00EB35F6"/>
    <w:rsid w:val="00EB363E"/>
    <w:rsid w:val="00EB37E9"/>
    <w:rsid w:val="00EB381A"/>
    <w:rsid w:val="00EB3B41"/>
    <w:rsid w:val="00EB47FE"/>
    <w:rsid w:val="00EB4E1C"/>
    <w:rsid w:val="00EB56FE"/>
    <w:rsid w:val="00EB68DC"/>
    <w:rsid w:val="00EB72EE"/>
    <w:rsid w:val="00EB7518"/>
    <w:rsid w:val="00EB7529"/>
    <w:rsid w:val="00EB76DA"/>
    <w:rsid w:val="00EB771A"/>
    <w:rsid w:val="00EC0232"/>
    <w:rsid w:val="00EC0356"/>
    <w:rsid w:val="00EC1602"/>
    <w:rsid w:val="00EC1BA2"/>
    <w:rsid w:val="00EC1D92"/>
    <w:rsid w:val="00EC2B10"/>
    <w:rsid w:val="00EC2FED"/>
    <w:rsid w:val="00EC3275"/>
    <w:rsid w:val="00EC332D"/>
    <w:rsid w:val="00EC3DBD"/>
    <w:rsid w:val="00EC3F48"/>
    <w:rsid w:val="00EC4338"/>
    <w:rsid w:val="00EC4852"/>
    <w:rsid w:val="00EC52DA"/>
    <w:rsid w:val="00EC5581"/>
    <w:rsid w:val="00EC5969"/>
    <w:rsid w:val="00EC59E7"/>
    <w:rsid w:val="00EC5D43"/>
    <w:rsid w:val="00EC7545"/>
    <w:rsid w:val="00EC7A0A"/>
    <w:rsid w:val="00EC7ABE"/>
    <w:rsid w:val="00ED0A7B"/>
    <w:rsid w:val="00ED11D2"/>
    <w:rsid w:val="00ED139A"/>
    <w:rsid w:val="00ED18DC"/>
    <w:rsid w:val="00ED1A83"/>
    <w:rsid w:val="00ED1D1C"/>
    <w:rsid w:val="00ED2B0F"/>
    <w:rsid w:val="00ED2CDE"/>
    <w:rsid w:val="00ED31CC"/>
    <w:rsid w:val="00ED3655"/>
    <w:rsid w:val="00ED3C5F"/>
    <w:rsid w:val="00ED4310"/>
    <w:rsid w:val="00ED54CB"/>
    <w:rsid w:val="00ED6201"/>
    <w:rsid w:val="00ED649A"/>
    <w:rsid w:val="00ED7A2A"/>
    <w:rsid w:val="00ED7B0D"/>
    <w:rsid w:val="00EE0FE6"/>
    <w:rsid w:val="00EE124F"/>
    <w:rsid w:val="00EE1263"/>
    <w:rsid w:val="00EE1F11"/>
    <w:rsid w:val="00EE290B"/>
    <w:rsid w:val="00EE3424"/>
    <w:rsid w:val="00EE38DF"/>
    <w:rsid w:val="00EE43CD"/>
    <w:rsid w:val="00EE4CCD"/>
    <w:rsid w:val="00EE4F3D"/>
    <w:rsid w:val="00EE5702"/>
    <w:rsid w:val="00EE6661"/>
    <w:rsid w:val="00EE6AD5"/>
    <w:rsid w:val="00EE6D90"/>
    <w:rsid w:val="00EE7316"/>
    <w:rsid w:val="00EF0E7F"/>
    <w:rsid w:val="00EF0F3C"/>
    <w:rsid w:val="00EF1672"/>
    <w:rsid w:val="00EF19A7"/>
    <w:rsid w:val="00EF1BB0"/>
    <w:rsid w:val="00EF1D7F"/>
    <w:rsid w:val="00EF1E7C"/>
    <w:rsid w:val="00EF2A09"/>
    <w:rsid w:val="00EF2B7E"/>
    <w:rsid w:val="00EF306E"/>
    <w:rsid w:val="00EF37E7"/>
    <w:rsid w:val="00EF3A49"/>
    <w:rsid w:val="00EF5FBD"/>
    <w:rsid w:val="00EF615B"/>
    <w:rsid w:val="00EF636A"/>
    <w:rsid w:val="00EF6B6B"/>
    <w:rsid w:val="00EF727E"/>
    <w:rsid w:val="00EF7454"/>
    <w:rsid w:val="00EF7728"/>
    <w:rsid w:val="00EF7797"/>
    <w:rsid w:val="00F0009D"/>
    <w:rsid w:val="00F00D39"/>
    <w:rsid w:val="00F00EAF"/>
    <w:rsid w:val="00F0102D"/>
    <w:rsid w:val="00F01081"/>
    <w:rsid w:val="00F0137E"/>
    <w:rsid w:val="00F02AFE"/>
    <w:rsid w:val="00F02C14"/>
    <w:rsid w:val="00F03077"/>
    <w:rsid w:val="00F03283"/>
    <w:rsid w:val="00F038B7"/>
    <w:rsid w:val="00F03B69"/>
    <w:rsid w:val="00F04115"/>
    <w:rsid w:val="00F04320"/>
    <w:rsid w:val="00F04499"/>
    <w:rsid w:val="00F0452A"/>
    <w:rsid w:val="00F0481C"/>
    <w:rsid w:val="00F04826"/>
    <w:rsid w:val="00F0536D"/>
    <w:rsid w:val="00F05AF3"/>
    <w:rsid w:val="00F05C18"/>
    <w:rsid w:val="00F06BF0"/>
    <w:rsid w:val="00F06E5D"/>
    <w:rsid w:val="00F06EB3"/>
    <w:rsid w:val="00F06ECB"/>
    <w:rsid w:val="00F073D5"/>
    <w:rsid w:val="00F0759F"/>
    <w:rsid w:val="00F078BF"/>
    <w:rsid w:val="00F07FCE"/>
    <w:rsid w:val="00F1027C"/>
    <w:rsid w:val="00F10FB3"/>
    <w:rsid w:val="00F116CD"/>
    <w:rsid w:val="00F11A3E"/>
    <w:rsid w:val="00F12100"/>
    <w:rsid w:val="00F12296"/>
    <w:rsid w:val="00F12408"/>
    <w:rsid w:val="00F12A4A"/>
    <w:rsid w:val="00F12EB5"/>
    <w:rsid w:val="00F12FDE"/>
    <w:rsid w:val="00F13402"/>
    <w:rsid w:val="00F13AD2"/>
    <w:rsid w:val="00F13DF0"/>
    <w:rsid w:val="00F14675"/>
    <w:rsid w:val="00F14C77"/>
    <w:rsid w:val="00F15021"/>
    <w:rsid w:val="00F1504B"/>
    <w:rsid w:val="00F155A4"/>
    <w:rsid w:val="00F15C96"/>
    <w:rsid w:val="00F16213"/>
    <w:rsid w:val="00F1624B"/>
    <w:rsid w:val="00F16D78"/>
    <w:rsid w:val="00F1756C"/>
    <w:rsid w:val="00F2069D"/>
    <w:rsid w:val="00F20AD1"/>
    <w:rsid w:val="00F20C4F"/>
    <w:rsid w:val="00F20D4C"/>
    <w:rsid w:val="00F21085"/>
    <w:rsid w:val="00F21786"/>
    <w:rsid w:val="00F2199C"/>
    <w:rsid w:val="00F21A45"/>
    <w:rsid w:val="00F2206E"/>
    <w:rsid w:val="00F22842"/>
    <w:rsid w:val="00F22882"/>
    <w:rsid w:val="00F22B4D"/>
    <w:rsid w:val="00F22B78"/>
    <w:rsid w:val="00F2320B"/>
    <w:rsid w:val="00F2322F"/>
    <w:rsid w:val="00F2343E"/>
    <w:rsid w:val="00F23A7F"/>
    <w:rsid w:val="00F24333"/>
    <w:rsid w:val="00F24CB0"/>
    <w:rsid w:val="00F24EDE"/>
    <w:rsid w:val="00F25427"/>
    <w:rsid w:val="00F258B4"/>
    <w:rsid w:val="00F27071"/>
    <w:rsid w:val="00F2730A"/>
    <w:rsid w:val="00F27896"/>
    <w:rsid w:val="00F278E2"/>
    <w:rsid w:val="00F27AF3"/>
    <w:rsid w:val="00F31D4C"/>
    <w:rsid w:val="00F31EB7"/>
    <w:rsid w:val="00F324FB"/>
    <w:rsid w:val="00F32759"/>
    <w:rsid w:val="00F32A00"/>
    <w:rsid w:val="00F32DD6"/>
    <w:rsid w:val="00F33650"/>
    <w:rsid w:val="00F339E0"/>
    <w:rsid w:val="00F33B04"/>
    <w:rsid w:val="00F34727"/>
    <w:rsid w:val="00F34959"/>
    <w:rsid w:val="00F349CF"/>
    <w:rsid w:val="00F34B41"/>
    <w:rsid w:val="00F35155"/>
    <w:rsid w:val="00F355AD"/>
    <w:rsid w:val="00F3620B"/>
    <w:rsid w:val="00F36E2A"/>
    <w:rsid w:val="00F3742B"/>
    <w:rsid w:val="00F3790D"/>
    <w:rsid w:val="00F37BCC"/>
    <w:rsid w:val="00F37C29"/>
    <w:rsid w:val="00F40DF7"/>
    <w:rsid w:val="00F40FEC"/>
    <w:rsid w:val="00F4138B"/>
    <w:rsid w:val="00F415FA"/>
    <w:rsid w:val="00F417CD"/>
    <w:rsid w:val="00F41FDB"/>
    <w:rsid w:val="00F420DE"/>
    <w:rsid w:val="00F4367A"/>
    <w:rsid w:val="00F43C62"/>
    <w:rsid w:val="00F44BB5"/>
    <w:rsid w:val="00F44C3C"/>
    <w:rsid w:val="00F4527C"/>
    <w:rsid w:val="00F45E58"/>
    <w:rsid w:val="00F45FD6"/>
    <w:rsid w:val="00F46D27"/>
    <w:rsid w:val="00F507EC"/>
    <w:rsid w:val="00F514C5"/>
    <w:rsid w:val="00F51FF0"/>
    <w:rsid w:val="00F52FB4"/>
    <w:rsid w:val="00F532EB"/>
    <w:rsid w:val="00F538A3"/>
    <w:rsid w:val="00F53B14"/>
    <w:rsid w:val="00F540B1"/>
    <w:rsid w:val="00F54569"/>
    <w:rsid w:val="00F546F2"/>
    <w:rsid w:val="00F54925"/>
    <w:rsid w:val="00F54A51"/>
    <w:rsid w:val="00F5506B"/>
    <w:rsid w:val="00F5583B"/>
    <w:rsid w:val="00F55A3C"/>
    <w:rsid w:val="00F56A6B"/>
    <w:rsid w:val="00F56CDB"/>
    <w:rsid w:val="00F56D21"/>
    <w:rsid w:val="00F56D63"/>
    <w:rsid w:val="00F5756C"/>
    <w:rsid w:val="00F5797C"/>
    <w:rsid w:val="00F600F0"/>
    <w:rsid w:val="00F60603"/>
    <w:rsid w:val="00F609A9"/>
    <w:rsid w:val="00F60F02"/>
    <w:rsid w:val="00F61203"/>
    <w:rsid w:val="00F613A3"/>
    <w:rsid w:val="00F62086"/>
    <w:rsid w:val="00F62211"/>
    <w:rsid w:val="00F630CC"/>
    <w:rsid w:val="00F64EB1"/>
    <w:rsid w:val="00F64F1E"/>
    <w:rsid w:val="00F651A8"/>
    <w:rsid w:val="00F655AD"/>
    <w:rsid w:val="00F658C1"/>
    <w:rsid w:val="00F65E12"/>
    <w:rsid w:val="00F66D8D"/>
    <w:rsid w:val="00F67789"/>
    <w:rsid w:val="00F67AAD"/>
    <w:rsid w:val="00F70BF0"/>
    <w:rsid w:val="00F718B3"/>
    <w:rsid w:val="00F71BA0"/>
    <w:rsid w:val="00F71D4A"/>
    <w:rsid w:val="00F73709"/>
    <w:rsid w:val="00F73B82"/>
    <w:rsid w:val="00F74792"/>
    <w:rsid w:val="00F74A07"/>
    <w:rsid w:val="00F74CC4"/>
    <w:rsid w:val="00F75674"/>
    <w:rsid w:val="00F75EF3"/>
    <w:rsid w:val="00F76112"/>
    <w:rsid w:val="00F76215"/>
    <w:rsid w:val="00F769C6"/>
    <w:rsid w:val="00F76A8A"/>
    <w:rsid w:val="00F76F19"/>
    <w:rsid w:val="00F770A2"/>
    <w:rsid w:val="00F7767E"/>
    <w:rsid w:val="00F77DB1"/>
    <w:rsid w:val="00F807F3"/>
    <w:rsid w:val="00F80C99"/>
    <w:rsid w:val="00F80F25"/>
    <w:rsid w:val="00F812BF"/>
    <w:rsid w:val="00F81EA4"/>
    <w:rsid w:val="00F8228B"/>
    <w:rsid w:val="00F82436"/>
    <w:rsid w:val="00F827C7"/>
    <w:rsid w:val="00F8298C"/>
    <w:rsid w:val="00F83187"/>
    <w:rsid w:val="00F835E8"/>
    <w:rsid w:val="00F8487A"/>
    <w:rsid w:val="00F84E6F"/>
    <w:rsid w:val="00F85486"/>
    <w:rsid w:val="00F856C8"/>
    <w:rsid w:val="00F85704"/>
    <w:rsid w:val="00F85CD7"/>
    <w:rsid w:val="00F86183"/>
    <w:rsid w:val="00F86509"/>
    <w:rsid w:val="00F867EC"/>
    <w:rsid w:val="00F86936"/>
    <w:rsid w:val="00F86B5F"/>
    <w:rsid w:val="00F87191"/>
    <w:rsid w:val="00F87427"/>
    <w:rsid w:val="00F87C88"/>
    <w:rsid w:val="00F87FF0"/>
    <w:rsid w:val="00F90840"/>
    <w:rsid w:val="00F915AA"/>
    <w:rsid w:val="00F91619"/>
    <w:rsid w:val="00F91B2B"/>
    <w:rsid w:val="00F91F42"/>
    <w:rsid w:val="00F9214D"/>
    <w:rsid w:val="00F92512"/>
    <w:rsid w:val="00F927CA"/>
    <w:rsid w:val="00F9347A"/>
    <w:rsid w:val="00F93980"/>
    <w:rsid w:val="00F93B37"/>
    <w:rsid w:val="00F93BC9"/>
    <w:rsid w:val="00F9449D"/>
    <w:rsid w:val="00F95427"/>
    <w:rsid w:val="00F9555E"/>
    <w:rsid w:val="00F95928"/>
    <w:rsid w:val="00F96489"/>
    <w:rsid w:val="00F96646"/>
    <w:rsid w:val="00F96824"/>
    <w:rsid w:val="00F96EB8"/>
    <w:rsid w:val="00F97597"/>
    <w:rsid w:val="00FA08F5"/>
    <w:rsid w:val="00FA0A8D"/>
    <w:rsid w:val="00FA0BBB"/>
    <w:rsid w:val="00FA0E1A"/>
    <w:rsid w:val="00FA13A0"/>
    <w:rsid w:val="00FA1F6F"/>
    <w:rsid w:val="00FA2B24"/>
    <w:rsid w:val="00FA311B"/>
    <w:rsid w:val="00FA32D4"/>
    <w:rsid w:val="00FA45C1"/>
    <w:rsid w:val="00FA4CCD"/>
    <w:rsid w:val="00FA4E42"/>
    <w:rsid w:val="00FA4E85"/>
    <w:rsid w:val="00FA5107"/>
    <w:rsid w:val="00FA544A"/>
    <w:rsid w:val="00FA5759"/>
    <w:rsid w:val="00FA599C"/>
    <w:rsid w:val="00FA610E"/>
    <w:rsid w:val="00FA6299"/>
    <w:rsid w:val="00FA75C1"/>
    <w:rsid w:val="00FB0027"/>
    <w:rsid w:val="00FB0DF0"/>
    <w:rsid w:val="00FB1596"/>
    <w:rsid w:val="00FB1D78"/>
    <w:rsid w:val="00FB2701"/>
    <w:rsid w:val="00FB2858"/>
    <w:rsid w:val="00FB2F2A"/>
    <w:rsid w:val="00FB3068"/>
    <w:rsid w:val="00FB3C69"/>
    <w:rsid w:val="00FB3D49"/>
    <w:rsid w:val="00FB408B"/>
    <w:rsid w:val="00FB40D5"/>
    <w:rsid w:val="00FB449A"/>
    <w:rsid w:val="00FB4B5E"/>
    <w:rsid w:val="00FB4C15"/>
    <w:rsid w:val="00FB5148"/>
    <w:rsid w:val="00FB53D9"/>
    <w:rsid w:val="00FB5830"/>
    <w:rsid w:val="00FB5880"/>
    <w:rsid w:val="00FB5A03"/>
    <w:rsid w:val="00FB5C49"/>
    <w:rsid w:val="00FC0166"/>
    <w:rsid w:val="00FC01C6"/>
    <w:rsid w:val="00FC0202"/>
    <w:rsid w:val="00FC03CD"/>
    <w:rsid w:val="00FC0519"/>
    <w:rsid w:val="00FC0646"/>
    <w:rsid w:val="00FC0750"/>
    <w:rsid w:val="00FC0859"/>
    <w:rsid w:val="00FC0895"/>
    <w:rsid w:val="00FC15BA"/>
    <w:rsid w:val="00FC198E"/>
    <w:rsid w:val="00FC1D28"/>
    <w:rsid w:val="00FC26B3"/>
    <w:rsid w:val="00FC28AA"/>
    <w:rsid w:val="00FC2ED7"/>
    <w:rsid w:val="00FC3121"/>
    <w:rsid w:val="00FC33D4"/>
    <w:rsid w:val="00FC370A"/>
    <w:rsid w:val="00FC3725"/>
    <w:rsid w:val="00FC3F08"/>
    <w:rsid w:val="00FC48B9"/>
    <w:rsid w:val="00FC60EF"/>
    <w:rsid w:val="00FC6142"/>
    <w:rsid w:val="00FC670F"/>
    <w:rsid w:val="00FC68B7"/>
    <w:rsid w:val="00FC6EF4"/>
    <w:rsid w:val="00FC75E3"/>
    <w:rsid w:val="00FD0144"/>
    <w:rsid w:val="00FD0546"/>
    <w:rsid w:val="00FD05E5"/>
    <w:rsid w:val="00FD05FD"/>
    <w:rsid w:val="00FD09E3"/>
    <w:rsid w:val="00FD1A2F"/>
    <w:rsid w:val="00FD279B"/>
    <w:rsid w:val="00FD2958"/>
    <w:rsid w:val="00FD33E0"/>
    <w:rsid w:val="00FD3A27"/>
    <w:rsid w:val="00FD3B18"/>
    <w:rsid w:val="00FD4AD4"/>
    <w:rsid w:val="00FD4D26"/>
    <w:rsid w:val="00FD52F7"/>
    <w:rsid w:val="00FD5A5B"/>
    <w:rsid w:val="00FD6240"/>
    <w:rsid w:val="00FD690A"/>
    <w:rsid w:val="00FD72DB"/>
    <w:rsid w:val="00FD76A1"/>
    <w:rsid w:val="00FD778D"/>
    <w:rsid w:val="00FD7D2C"/>
    <w:rsid w:val="00FD7E87"/>
    <w:rsid w:val="00FE050D"/>
    <w:rsid w:val="00FE079F"/>
    <w:rsid w:val="00FE10DF"/>
    <w:rsid w:val="00FE1578"/>
    <w:rsid w:val="00FE1635"/>
    <w:rsid w:val="00FE189E"/>
    <w:rsid w:val="00FE1AD4"/>
    <w:rsid w:val="00FE1B20"/>
    <w:rsid w:val="00FE1BB7"/>
    <w:rsid w:val="00FE1D16"/>
    <w:rsid w:val="00FE250B"/>
    <w:rsid w:val="00FE26C2"/>
    <w:rsid w:val="00FE2CC0"/>
    <w:rsid w:val="00FE2D41"/>
    <w:rsid w:val="00FE317D"/>
    <w:rsid w:val="00FE3254"/>
    <w:rsid w:val="00FE32C7"/>
    <w:rsid w:val="00FE3D49"/>
    <w:rsid w:val="00FE41C3"/>
    <w:rsid w:val="00FE42DE"/>
    <w:rsid w:val="00FE4A99"/>
    <w:rsid w:val="00FE55C8"/>
    <w:rsid w:val="00FE55E7"/>
    <w:rsid w:val="00FE59CC"/>
    <w:rsid w:val="00FE6985"/>
    <w:rsid w:val="00FE6EBA"/>
    <w:rsid w:val="00FE6FC4"/>
    <w:rsid w:val="00FE7637"/>
    <w:rsid w:val="00FF024A"/>
    <w:rsid w:val="00FF02A5"/>
    <w:rsid w:val="00FF05DF"/>
    <w:rsid w:val="00FF1082"/>
    <w:rsid w:val="00FF17C7"/>
    <w:rsid w:val="00FF2660"/>
    <w:rsid w:val="00FF2736"/>
    <w:rsid w:val="00FF3C76"/>
    <w:rsid w:val="00FF4BC3"/>
    <w:rsid w:val="00FF567C"/>
    <w:rsid w:val="00FF587E"/>
    <w:rsid w:val="00FF5C94"/>
    <w:rsid w:val="00FF631A"/>
    <w:rsid w:val="00FF64E2"/>
    <w:rsid w:val="00FF6598"/>
    <w:rsid w:val="00FF6BB6"/>
    <w:rsid w:val="00FF74FF"/>
    <w:rsid w:val="00FF7D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5CFC"/>
  <w15:chartTrackingRefBased/>
  <w15:docId w15:val="{BFA9427C-32F2-4256-BC78-567B6E7D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semiHidden="1" w:uiPriority="99" w:unhideWhenUsed="1"/>
  </w:latentStyles>
  <w:style w:type="paragraph" w:default="1" w:styleId="Normal">
    <w:name w:val="Normal"/>
    <w:qFormat/>
    <w:rsid w:val="00BA0BEF"/>
    <w:rPr>
      <w:sz w:val="24"/>
      <w:szCs w:val="24"/>
      <w:lang w:val="en-US" w:eastAsia="en-US"/>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qFormat/>
    <w:rsid w:val="00E925AD"/>
    <w:pPr>
      <w:outlineLvl w:val="1"/>
    </w:pPr>
  </w:style>
  <w:style w:type="paragraph" w:styleId="Heading3">
    <w:name w:val="heading 3"/>
    <w:basedOn w:val="Normal"/>
    <w:next w:val="Normal"/>
    <w:qFormat/>
    <w:rsid w:val="00E925AD"/>
    <w:pPr>
      <w:outlineLvl w:val="2"/>
    </w:pPr>
  </w:style>
  <w:style w:type="paragraph" w:styleId="Heading4">
    <w:name w:val="heading 4"/>
    <w:basedOn w:val="Normal"/>
    <w:next w:val="Normal"/>
    <w:qFormat/>
    <w:rsid w:val="00E925AD"/>
    <w:pPr>
      <w:outlineLvl w:val="3"/>
    </w:pPr>
  </w:style>
  <w:style w:type="paragraph" w:styleId="Heading5">
    <w:name w:val="heading 5"/>
    <w:basedOn w:val="Normal"/>
    <w:next w:val="Normal"/>
    <w:qFormat/>
    <w:rsid w:val="00E925AD"/>
    <w:pPr>
      <w:outlineLvl w:val="4"/>
    </w:pPr>
  </w:style>
  <w:style w:type="paragraph" w:styleId="Heading6">
    <w:name w:val="heading 6"/>
    <w:basedOn w:val="Normal"/>
    <w:next w:val="Normal"/>
    <w:qFormat/>
    <w:rsid w:val="00E925AD"/>
    <w:pPr>
      <w:outlineLvl w:val="5"/>
    </w:pPr>
  </w:style>
  <w:style w:type="paragraph" w:styleId="Heading7">
    <w:name w:val="heading 7"/>
    <w:basedOn w:val="Normal"/>
    <w:next w:val="Normal"/>
    <w:qFormat/>
    <w:rsid w:val="00E925AD"/>
    <w:pPr>
      <w:outlineLvl w:val="6"/>
    </w:pPr>
  </w:style>
  <w:style w:type="paragraph" w:styleId="Heading8">
    <w:name w:val="heading 8"/>
    <w:basedOn w:val="Normal"/>
    <w:next w:val="Normal"/>
    <w:qFormat/>
    <w:rsid w:val="00E925AD"/>
    <w:pPr>
      <w:outlineLvl w:val="7"/>
    </w:pPr>
  </w:style>
  <w:style w:type="paragraph" w:styleId="Heading9">
    <w:name w:val="heading 9"/>
    <w:basedOn w:val="Normal"/>
    <w:next w:val="Normal"/>
    <w:qFormat/>
    <w:rsid w:val="00E925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text pozn. pod čarou,Footnote symbol"/>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rPr>
      <w:sz w:val="16"/>
    </w:rPr>
  </w:style>
  <w:style w:type="paragraph" w:styleId="Header">
    <w:name w:val="header"/>
    <w:aliases w:val="6_G"/>
    <w:basedOn w:val="Normal"/>
    <w:rsid w:val="00E925AD"/>
    <w:pPr>
      <w:pBdr>
        <w:bottom w:val="single" w:sz="4" w:space="4" w:color="auto"/>
      </w:pBdr>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C90CFC"/>
    <w:rPr>
      <w:lang w:val="x-none"/>
    </w:rPr>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customStyle="1" w:styleId="ColorfulShading-Accent31">
    <w:name w:val="Colorful Shading - Accent 31"/>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lang w:val="uk-UA" w:eastAsia="ar-SA"/>
    </w:rPr>
  </w:style>
  <w:style w:type="character" w:customStyle="1" w:styleId="CommentTextChar">
    <w:name w:val="Comment Text Char"/>
    <w:link w:val="CommentText"/>
    <w:uiPriority w:val="99"/>
    <w:rsid w:val="004761A3"/>
    <w:rPr>
      <w:lang w:eastAsia="en-US"/>
    </w:rPr>
  </w:style>
  <w:style w:type="character" w:styleId="Strong">
    <w:name w:val="Strong"/>
    <w:uiPriority w:val="22"/>
    <w:qFormat/>
    <w:rsid w:val="008F1F09"/>
    <w:rPr>
      <w:b/>
      <w:bCs/>
    </w:rPr>
  </w:style>
  <w:style w:type="character" w:styleId="Emphasis">
    <w:name w:val="Emphasis"/>
    <w:uiPriority w:val="20"/>
    <w:qFormat/>
    <w:rsid w:val="006B3ED4"/>
    <w:rPr>
      <w:i/>
      <w:iCs/>
    </w:rPr>
  </w:style>
  <w:style w:type="character" w:customStyle="1" w:styleId="st">
    <w:name w:val="st"/>
    <w:rsid w:val="006B3ED4"/>
  </w:style>
  <w:style w:type="paragraph" w:customStyle="1" w:styleId="legclearfix">
    <w:name w:val="legclearfix"/>
    <w:basedOn w:val="Normal"/>
    <w:rsid w:val="00F16213"/>
    <w:pPr>
      <w:spacing w:before="100" w:beforeAutospacing="1" w:after="100" w:afterAutospacing="1"/>
    </w:pPr>
    <w:rPr>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C336C2"/>
    <w:pPr>
      <w:spacing w:before="100" w:beforeAutospacing="1" w:after="100" w:afterAutospacing="1"/>
    </w:pPr>
    <w:rPr>
      <w:lang w:val="fr-FR" w:eastAsia="fr-FR"/>
    </w:rPr>
  </w:style>
  <w:style w:type="character" w:customStyle="1" w:styleId="SingleTxtGChar">
    <w:name w:val="_ Single Txt_G Char"/>
    <w:link w:val="SingleTxtG"/>
    <w:uiPriority w:val="99"/>
    <w:locked/>
    <w:rsid w:val="00976D18"/>
    <w:rPr>
      <w:lang w:eastAsia="en-US"/>
    </w:rPr>
  </w:style>
  <w:style w:type="character" w:customStyle="1" w:styleId="FootnoteTextChar">
    <w:name w:val="Footnote Text Char"/>
    <w:aliases w:val="5_G Char"/>
    <w:link w:val="FootnoteText"/>
    <w:rsid w:val="00976D18"/>
    <w:rPr>
      <w:sz w:val="18"/>
      <w:lang w:eastAsia="en-US"/>
    </w:rPr>
  </w:style>
  <w:style w:type="character" w:customStyle="1" w:styleId="highlight">
    <w:name w:val="highlight"/>
    <w:basedOn w:val="DefaultParagraphFont"/>
    <w:rsid w:val="00471092"/>
  </w:style>
  <w:style w:type="paragraph" w:customStyle="1" w:styleId="c02alineaalta">
    <w:name w:val="c02alineaalta"/>
    <w:basedOn w:val="Normal"/>
    <w:rsid w:val="001E1C17"/>
    <w:pPr>
      <w:spacing w:before="100" w:beforeAutospacing="1" w:after="100" w:afterAutospacing="1"/>
    </w:pPr>
    <w:rPr>
      <w:lang w:eastAsia="en-GB"/>
    </w:rPr>
  </w:style>
  <w:style w:type="paragraph" w:customStyle="1" w:styleId="c19centre">
    <w:name w:val="c19centre"/>
    <w:basedOn w:val="Normal"/>
    <w:rsid w:val="001E1C17"/>
    <w:pPr>
      <w:spacing w:before="100" w:beforeAutospacing="1" w:after="100" w:afterAutospacing="1"/>
    </w:pPr>
    <w:rPr>
      <w:lang w:eastAsia="en-GB"/>
    </w:rPr>
  </w:style>
  <w:style w:type="paragraph" w:customStyle="1" w:styleId="DarkList-Accent31">
    <w:name w:val="Dark List - Accent 31"/>
    <w:hidden/>
    <w:uiPriority w:val="99"/>
    <w:semiHidden/>
    <w:rsid w:val="00954DE4"/>
    <w:rPr>
      <w:lang w:eastAsia="en-US"/>
    </w:rPr>
  </w:style>
  <w:style w:type="paragraph" w:styleId="ListParagraph">
    <w:name w:val="List Paragraph"/>
    <w:basedOn w:val="Normal"/>
    <w:uiPriority w:val="34"/>
    <w:qFormat/>
    <w:rsid w:val="00014337"/>
    <w:pPr>
      <w:widowControl w:val="0"/>
      <w:ind w:left="720"/>
      <w:contextualSpacing/>
    </w:pPr>
    <w:rPr>
      <w:rFonts w:ascii="Courier New" w:hAnsi="Courier New"/>
      <w:snapToGrid w:val="0"/>
      <w:sz w:val="20"/>
      <w:szCs w:val="20"/>
    </w:rPr>
  </w:style>
  <w:style w:type="paragraph" w:styleId="Revision">
    <w:name w:val="Revision"/>
    <w:hidden/>
    <w:uiPriority w:val="99"/>
    <w:semiHidden/>
    <w:rsid w:val="00014337"/>
    <w:rPr>
      <w:lang w:eastAsia="en-US"/>
    </w:rPr>
  </w:style>
  <w:style w:type="character" w:styleId="UnresolvedMention">
    <w:name w:val="Unresolved Mention"/>
    <w:uiPriority w:val="48"/>
    <w:rsid w:val="0053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3574">
      <w:bodyDiv w:val="1"/>
      <w:marLeft w:val="0"/>
      <w:marRight w:val="0"/>
      <w:marTop w:val="0"/>
      <w:marBottom w:val="0"/>
      <w:divBdr>
        <w:top w:val="none" w:sz="0" w:space="0" w:color="auto"/>
        <w:left w:val="none" w:sz="0" w:space="0" w:color="auto"/>
        <w:bottom w:val="none" w:sz="0" w:space="0" w:color="auto"/>
        <w:right w:val="none" w:sz="0" w:space="0" w:color="auto"/>
      </w:divBdr>
      <w:divsChild>
        <w:div w:id="477575359">
          <w:marLeft w:val="0"/>
          <w:marRight w:val="0"/>
          <w:marTop w:val="0"/>
          <w:marBottom w:val="0"/>
          <w:divBdr>
            <w:top w:val="none" w:sz="0" w:space="0" w:color="auto"/>
            <w:left w:val="none" w:sz="0" w:space="0" w:color="auto"/>
            <w:bottom w:val="none" w:sz="0" w:space="0" w:color="auto"/>
            <w:right w:val="none" w:sz="0" w:space="0" w:color="auto"/>
          </w:divBdr>
        </w:div>
        <w:div w:id="1027753543">
          <w:marLeft w:val="0"/>
          <w:marRight w:val="0"/>
          <w:marTop w:val="0"/>
          <w:marBottom w:val="0"/>
          <w:divBdr>
            <w:top w:val="none" w:sz="0" w:space="0" w:color="auto"/>
            <w:left w:val="none" w:sz="0" w:space="0" w:color="auto"/>
            <w:bottom w:val="none" w:sz="0" w:space="0" w:color="auto"/>
            <w:right w:val="none" w:sz="0" w:space="0" w:color="auto"/>
          </w:divBdr>
        </w:div>
      </w:divsChild>
    </w:div>
    <w:div w:id="28456521">
      <w:bodyDiv w:val="1"/>
      <w:marLeft w:val="0"/>
      <w:marRight w:val="0"/>
      <w:marTop w:val="0"/>
      <w:marBottom w:val="0"/>
      <w:divBdr>
        <w:top w:val="none" w:sz="0" w:space="0" w:color="auto"/>
        <w:left w:val="none" w:sz="0" w:space="0" w:color="auto"/>
        <w:bottom w:val="none" w:sz="0" w:space="0" w:color="auto"/>
        <w:right w:val="none" w:sz="0" w:space="0" w:color="auto"/>
      </w:divBdr>
      <w:divsChild>
        <w:div w:id="355157924">
          <w:marLeft w:val="0"/>
          <w:marRight w:val="0"/>
          <w:marTop w:val="0"/>
          <w:marBottom w:val="0"/>
          <w:divBdr>
            <w:top w:val="none" w:sz="0" w:space="0" w:color="auto"/>
            <w:left w:val="none" w:sz="0" w:space="0" w:color="auto"/>
            <w:bottom w:val="none" w:sz="0" w:space="0" w:color="auto"/>
            <w:right w:val="none" w:sz="0" w:space="0" w:color="auto"/>
          </w:divBdr>
        </w:div>
        <w:div w:id="809519970">
          <w:marLeft w:val="0"/>
          <w:marRight w:val="0"/>
          <w:marTop w:val="0"/>
          <w:marBottom w:val="0"/>
          <w:divBdr>
            <w:top w:val="none" w:sz="0" w:space="0" w:color="auto"/>
            <w:left w:val="none" w:sz="0" w:space="0" w:color="auto"/>
            <w:bottom w:val="none" w:sz="0" w:space="0" w:color="auto"/>
            <w:right w:val="none" w:sz="0" w:space="0" w:color="auto"/>
          </w:divBdr>
        </w:div>
      </w:divsChild>
    </w:div>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166986390">
      <w:bodyDiv w:val="1"/>
      <w:marLeft w:val="0"/>
      <w:marRight w:val="0"/>
      <w:marTop w:val="0"/>
      <w:marBottom w:val="0"/>
      <w:divBdr>
        <w:top w:val="none" w:sz="0" w:space="0" w:color="auto"/>
        <w:left w:val="none" w:sz="0" w:space="0" w:color="auto"/>
        <w:bottom w:val="none" w:sz="0" w:space="0" w:color="auto"/>
        <w:right w:val="none" w:sz="0" w:space="0" w:color="auto"/>
      </w:divBdr>
    </w:div>
    <w:div w:id="253519275">
      <w:bodyDiv w:val="1"/>
      <w:marLeft w:val="0"/>
      <w:marRight w:val="0"/>
      <w:marTop w:val="0"/>
      <w:marBottom w:val="0"/>
      <w:divBdr>
        <w:top w:val="none" w:sz="0" w:space="0" w:color="auto"/>
        <w:left w:val="none" w:sz="0" w:space="0" w:color="auto"/>
        <w:bottom w:val="none" w:sz="0" w:space="0" w:color="auto"/>
        <w:right w:val="none" w:sz="0" w:space="0" w:color="auto"/>
      </w:divBdr>
      <w:divsChild>
        <w:div w:id="9650364">
          <w:marLeft w:val="0"/>
          <w:marRight w:val="0"/>
          <w:marTop w:val="0"/>
          <w:marBottom w:val="0"/>
          <w:divBdr>
            <w:top w:val="none" w:sz="0" w:space="0" w:color="auto"/>
            <w:left w:val="none" w:sz="0" w:space="0" w:color="auto"/>
            <w:bottom w:val="none" w:sz="0" w:space="0" w:color="auto"/>
            <w:right w:val="none" w:sz="0" w:space="0" w:color="auto"/>
          </w:divBdr>
        </w:div>
        <w:div w:id="33390449">
          <w:marLeft w:val="0"/>
          <w:marRight w:val="0"/>
          <w:marTop w:val="0"/>
          <w:marBottom w:val="0"/>
          <w:divBdr>
            <w:top w:val="none" w:sz="0" w:space="0" w:color="auto"/>
            <w:left w:val="none" w:sz="0" w:space="0" w:color="auto"/>
            <w:bottom w:val="none" w:sz="0" w:space="0" w:color="auto"/>
            <w:right w:val="none" w:sz="0" w:space="0" w:color="auto"/>
          </w:divBdr>
        </w:div>
        <w:div w:id="294680752">
          <w:marLeft w:val="0"/>
          <w:marRight w:val="0"/>
          <w:marTop w:val="0"/>
          <w:marBottom w:val="0"/>
          <w:divBdr>
            <w:top w:val="none" w:sz="0" w:space="0" w:color="auto"/>
            <w:left w:val="none" w:sz="0" w:space="0" w:color="auto"/>
            <w:bottom w:val="none" w:sz="0" w:space="0" w:color="auto"/>
            <w:right w:val="none" w:sz="0" w:space="0" w:color="auto"/>
          </w:divBdr>
        </w:div>
        <w:div w:id="315962824">
          <w:marLeft w:val="0"/>
          <w:marRight w:val="0"/>
          <w:marTop w:val="0"/>
          <w:marBottom w:val="0"/>
          <w:divBdr>
            <w:top w:val="none" w:sz="0" w:space="0" w:color="auto"/>
            <w:left w:val="none" w:sz="0" w:space="0" w:color="auto"/>
            <w:bottom w:val="none" w:sz="0" w:space="0" w:color="auto"/>
            <w:right w:val="none" w:sz="0" w:space="0" w:color="auto"/>
          </w:divBdr>
        </w:div>
        <w:div w:id="381253784">
          <w:marLeft w:val="0"/>
          <w:marRight w:val="0"/>
          <w:marTop w:val="0"/>
          <w:marBottom w:val="0"/>
          <w:divBdr>
            <w:top w:val="none" w:sz="0" w:space="0" w:color="auto"/>
            <w:left w:val="none" w:sz="0" w:space="0" w:color="auto"/>
            <w:bottom w:val="none" w:sz="0" w:space="0" w:color="auto"/>
            <w:right w:val="none" w:sz="0" w:space="0" w:color="auto"/>
          </w:divBdr>
        </w:div>
        <w:div w:id="381641666">
          <w:marLeft w:val="0"/>
          <w:marRight w:val="0"/>
          <w:marTop w:val="0"/>
          <w:marBottom w:val="0"/>
          <w:divBdr>
            <w:top w:val="none" w:sz="0" w:space="0" w:color="auto"/>
            <w:left w:val="none" w:sz="0" w:space="0" w:color="auto"/>
            <w:bottom w:val="none" w:sz="0" w:space="0" w:color="auto"/>
            <w:right w:val="none" w:sz="0" w:space="0" w:color="auto"/>
          </w:divBdr>
        </w:div>
        <w:div w:id="599490064">
          <w:marLeft w:val="0"/>
          <w:marRight w:val="0"/>
          <w:marTop w:val="0"/>
          <w:marBottom w:val="0"/>
          <w:divBdr>
            <w:top w:val="none" w:sz="0" w:space="0" w:color="auto"/>
            <w:left w:val="none" w:sz="0" w:space="0" w:color="auto"/>
            <w:bottom w:val="none" w:sz="0" w:space="0" w:color="auto"/>
            <w:right w:val="none" w:sz="0" w:space="0" w:color="auto"/>
          </w:divBdr>
        </w:div>
        <w:div w:id="667561736">
          <w:marLeft w:val="0"/>
          <w:marRight w:val="0"/>
          <w:marTop w:val="0"/>
          <w:marBottom w:val="0"/>
          <w:divBdr>
            <w:top w:val="none" w:sz="0" w:space="0" w:color="auto"/>
            <w:left w:val="none" w:sz="0" w:space="0" w:color="auto"/>
            <w:bottom w:val="none" w:sz="0" w:space="0" w:color="auto"/>
            <w:right w:val="none" w:sz="0" w:space="0" w:color="auto"/>
          </w:divBdr>
        </w:div>
        <w:div w:id="684786599">
          <w:marLeft w:val="0"/>
          <w:marRight w:val="0"/>
          <w:marTop w:val="0"/>
          <w:marBottom w:val="0"/>
          <w:divBdr>
            <w:top w:val="none" w:sz="0" w:space="0" w:color="auto"/>
            <w:left w:val="none" w:sz="0" w:space="0" w:color="auto"/>
            <w:bottom w:val="none" w:sz="0" w:space="0" w:color="auto"/>
            <w:right w:val="none" w:sz="0" w:space="0" w:color="auto"/>
          </w:divBdr>
        </w:div>
        <w:div w:id="713693451">
          <w:marLeft w:val="0"/>
          <w:marRight w:val="0"/>
          <w:marTop w:val="0"/>
          <w:marBottom w:val="0"/>
          <w:divBdr>
            <w:top w:val="none" w:sz="0" w:space="0" w:color="auto"/>
            <w:left w:val="none" w:sz="0" w:space="0" w:color="auto"/>
            <w:bottom w:val="none" w:sz="0" w:space="0" w:color="auto"/>
            <w:right w:val="none" w:sz="0" w:space="0" w:color="auto"/>
          </w:divBdr>
        </w:div>
        <w:div w:id="787700405">
          <w:marLeft w:val="0"/>
          <w:marRight w:val="0"/>
          <w:marTop w:val="0"/>
          <w:marBottom w:val="0"/>
          <w:divBdr>
            <w:top w:val="none" w:sz="0" w:space="0" w:color="auto"/>
            <w:left w:val="none" w:sz="0" w:space="0" w:color="auto"/>
            <w:bottom w:val="none" w:sz="0" w:space="0" w:color="auto"/>
            <w:right w:val="none" w:sz="0" w:space="0" w:color="auto"/>
          </w:divBdr>
        </w:div>
        <w:div w:id="958415754">
          <w:marLeft w:val="0"/>
          <w:marRight w:val="0"/>
          <w:marTop w:val="0"/>
          <w:marBottom w:val="0"/>
          <w:divBdr>
            <w:top w:val="none" w:sz="0" w:space="0" w:color="auto"/>
            <w:left w:val="none" w:sz="0" w:space="0" w:color="auto"/>
            <w:bottom w:val="none" w:sz="0" w:space="0" w:color="auto"/>
            <w:right w:val="none" w:sz="0" w:space="0" w:color="auto"/>
          </w:divBdr>
        </w:div>
        <w:div w:id="1179197330">
          <w:marLeft w:val="0"/>
          <w:marRight w:val="0"/>
          <w:marTop w:val="0"/>
          <w:marBottom w:val="0"/>
          <w:divBdr>
            <w:top w:val="none" w:sz="0" w:space="0" w:color="auto"/>
            <w:left w:val="none" w:sz="0" w:space="0" w:color="auto"/>
            <w:bottom w:val="none" w:sz="0" w:space="0" w:color="auto"/>
            <w:right w:val="none" w:sz="0" w:space="0" w:color="auto"/>
          </w:divBdr>
        </w:div>
        <w:div w:id="1204363653">
          <w:marLeft w:val="0"/>
          <w:marRight w:val="0"/>
          <w:marTop w:val="0"/>
          <w:marBottom w:val="0"/>
          <w:divBdr>
            <w:top w:val="none" w:sz="0" w:space="0" w:color="auto"/>
            <w:left w:val="none" w:sz="0" w:space="0" w:color="auto"/>
            <w:bottom w:val="none" w:sz="0" w:space="0" w:color="auto"/>
            <w:right w:val="none" w:sz="0" w:space="0" w:color="auto"/>
          </w:divBdr>
        </w:div>
        <w:div w:id="1336886395">
          <w:marLeft w:val="0"/>
          <w:marRight w:val="0"/>
          <w:marTop w:val="0"/>
          <w:marBottom w:val="0"/>
          <w:divBdr>
            <w:top w:val="none" w:sz="0" w:space="0" w:color="auto"/>
            <w:left w:val="none" w:sz="0" w:space="0" w:color="auto"/>
            <w:bottom w:val="none" w:sz="0" w:space="0" w:color="auto"/>
            <w:right w:val="none" w:sz="0" w:space="0" w:color="auto"/>
          </w:divBdr>
        </w:div>
        <w:div w:id="1380319994">
          <w:marLeft w:val="0"/>
          <w:marRight w:val="0"/>
          <w:marTop w:val="0"/>
          <w:marBottom w:val="0"/>
          <w:divBdr>
            <w:top w:val="none" w:sz="0" w:space="0" w:color="auto"/>
            <w:left w:val="none" w:sz="0" w:space="0" w:color="auto"/>
            <w:bottom w:val="none" w:sz="0" w:space="0" w:color="auto"/>
            <w:right w:val="none" w:sz="0" w:space="0" w:color="auto"/>
          </w:divBdr>
        </w:div>
        <w:div w:id="1427725032">
          <w:marLeft w:val="0"/>
          <w:marRight w:val="0"/>
          <w:marTop w:val="0"/>
          <w:marBottom w:val="0"/>
          <w:divBdr>
            <w:top w:val="none" w:sz="0" w:space="0" w:color="auto"/>
            <w:left w:val="none" w:sz="0" w:space="0" w:color="auto"/>
            <w:bottom w:val="none" w:sz="0" w:space="0" w:color="auto"/>
            <w:right w:val="none" w:sz="0" w:space="0" w:color="auto"/>
          </w:divBdr>
        </w:div>
        <w:div w:id="1441682084">
          <w:marLeft w:val="0"/>
          <w:marRight w:val="0"/>
          <w:marTop w:val="0"/>
          <w:marBottom w:val="0"/>
          <w:divBdr>
            <w:top w:val="none" w:sz="0" w:space="0" w:color="auto"/>
            <w:left w:val="none" w:sz="0" w:space="0" w:color="auto"/>
            <w:bottom w:val="none" w:sz="0" w:space="0" w:color="auto"/>
            <w:right w:val="none" w:sz="0" w:space="0" w:color="auto"/>
          </w:divBdr>
        </w:div>
        <w:div w:id="1742563748">
          <w:marLeft w:val="0"/>
          <w:marRight w:val="0"/>
          <w:marTop w:val="0"/>
          <w:marBottom w:val="0"/>
          <w:divBdr>
            <w:top w:val="none" w:sz="0" w:space="0" w:color="auto"/>
            <w:left w:val="none" w:sz="0" w:space="0" w:color="auto"/>
            <w:bottom w:val="none" w:sz="0" w:space="0" w:color="auto"/>
            <w:right w:val="none" w:sz="0" w:space="0" w:color="auto"/>
          </w:divBdr>
        </w:div>
        <w:div w:id="1817379634">
          <w:marLeft w:val="0"/>
          <w:marRight w:val="0"/>
          <w:marTop w:val="0"/>
          <w:marBottom w:val="0"/>
          <w:divBdr>
            <w:top w:val="none" w:sz="0" w:space="0" w:color="auto"/>
            <w:left w:val="none" w:sz="0" w:space="0" w:color="auto"/>
            <w:bottom w:val="none" w:sz="0" w:space="0" w:color="auto"/>
            <w:right w:val="none" w:sz="0" w:space="0" w:color="auto"/>
          </w:divBdr>
        </w:div>
        <w:div w:id="1953779823">
          <w:marLeft w:val="0"/>
          <w:marRight w:val="0"/>
          <w:marTop w:val="0"/>
          <w:marBottom w:val="0"/>
          <w:divBdr>
            <w:top w:val="none" w:sz="0" w:space="0" w:color="auto"/>
            <w:left w:val="none" w:sz="0" w:space="0" w:color="auto"/>
            <w:bottom w:val="none" w:sz="0" w:space="0" w:color="auto"/>
            <w:right w:val="none" w:sz="0" w:space="0" w:color="auto"/>
          </w:divBdr>
        </w:div>
        <w:div w:id="1970167654">
          <w:marLeft w:val="0"/>
          <w:marRight w:val="0"/>
          <w:marTop w:val="0"/>
          <w:marBottom w:val="0"/>
          <w:divBdr>
            <w:top w:val="none" w:sz="0" w:space="0" w:color="auto"/>
            <w:left w:val="none" w:sz="0" w:space="0" w:color="auto"/>
            <w:bottom w:val="none" w:sz="0" w:space="0" w:color="auto"/>
            <w:right w:val="none" w:sz="0" w:space="0" w:color="auto"/>
          </w:divBdr>
        </w:div>
        <w:div w:id="2060664159">
          <w:marLeft w:val="0"/>
          <w:marRight w:val="0"/>
          <w:marTop w:val="0"/>
          <w:marBottom w:val="0"/>
          <w:divBdr>
            <w:top w:val="none" w:sz="0" w:space="0" w:color="auto"/>
            <w:left w:val="none" w:sz="0" w:space="0" w:color="auto"/>
            <w:bottom w:val="none" w:sz="0" w:space="0" w:color="auto"/>
            <w:right w:val="none" w:sz="0" w:space="0" w:color="auto"/>
          </w:divBdr>
        </w:div>
        <w:div w:id="2079671448">
          <w:marLeft w:val="0"/>
          <w:marRight w:val="0"/>
          <w:marTop w:val="0"/>
          <w:marBottom w:val="0"/>
          <w:divBdr>
            <w:top w:val="none" w:sz="0" w:space="0" w:color="auto"/>
            <w:left w:val="none" w:sz="0" w:space="0" w:color="auto"/>
            <w:bottom w:val="none" w:sz="0" w:space="0" w:color="auto"/>
            <w:right w:val="none" w:sz="0" w:space="0" w:color="auto"/>
          </w:divBdr>
        </w:div>
      </w:divsChild>
    </w:div>
    <w:div w:id="267471671">
      <w:bodyDiv w:val="1"/>
      <w:marLeft w:val="0"/>
      <w:marRight w:val="0"/>
      <w:marTop w:val="0"/>
      <w:marBottom w:val="0"/>
      <w:divBdr>
        <w:top w:val="none" w:sz="0" w:space="0" w:color="auto"/>
        <w:left w:val="none" w:sz="0" w:space="0" w:color="auto"/>
        <w:bottom w:val="none" w:sz="0" w:space="0" w:color="auto"/>
        <w:right w:val="none" w:sz="0" w:space="0" w:color="auto"/>
      </w:divBdr>
      <w:divsChild>
        <w:div w:id="41374013">
          <w:marLeft w:val="0"/>
          <w:marRight w:val="0"/>
          <w:marTop w:val="0"/>
          <w:marBottom w:val="0"/>
          <w:divBdr>
            <w:top w:val="none" w:sz="0" w:space="0" w:color="auto"/>
            <w:left w:val="none" w:sz="0" w:space="0" w:color="auto"/>
            <w:bottom w:val="none" w:sz="0" w:space="0" w:color="auto"/>
            <w:right w:val="none" w:sz="0" w:space="0" w:color="auto"/>
          </w:divBdr>
        </w:div>
        <w:div w:id="130176700">
          <w:marLeft w:val="0"/>
          <w:marRight w:val="0"/>
          <w:marTop w:val="0"/>
          <w:marBottom w:val="0"/>
          <w:divBdr>
            <w:top w:val="none" w:sz="0" w:space="0" w:color="auto"/>
            <w:left w:val="none" w:sz="0" w:space="0" w:color="auto"/>
            <w:bottom w:val="none" w:sz="0" w:space="0" w:color="auto"/>
            <w:right w:val="none" w:sz="0" w:space="0" w:color="auto"/>
          </w:divBdr>
        </w:div>
        <w:div w:id="214892920">
          <w:marLeft w:val="0"/>
          <w:marRight w:val="0"/>
          <w:marTop w:val="0"/>
          <w:marBottom w:val="0"/>
          <w:divBdr>
            <w:top w:val="none" w:sz="0" w:space="0" w:color="auto"/>
            <w:left w:val="none" w:sz="0" w:space="0" w:color="auto"/>
            <w:bottom w:val="none" w:sz="0" w:space="0" w:color="auto"/>
            <w:right w:val="none" w:sz="0" w:space="0" w:color="auto"/>
          </w:divBdr>
        </w:div>
        <w:div w:id="231232969">
          <w:marLeft w:val="0"/>
          <w:marRight w:val="0"/>
          <w:marTop w:val="0"/>
          <w:marBottom w:val="0"/>
          <w:divBdr>
            <w:top w:val="none" w:sz="0" w:space="0" w:color="auto"/>
            <w:left w:val="none" w:sz="0" w:space="0" w:color="auto"/>
            <w:bottom w:val="none" w:sz="0" w:space="0" w:color="auto"/>
            <w:right w:val="none" w:sz="0" w:space="0" w:color="auto"/>
          </w:divBdr>
        </w:div>
        <w:div w:id="234435458">
          <w:marLeft w:val="0"/>
          <w:marRight w:val="0"/>
          <w:marTop w:val="0"/>
          <w:marBottom w:val="0"/>
          <w:divBdr>
            <w:top w:val="none" w:sz="0" w:space="0" w:color="auto"/>
            <w:left w:val="none" w:sz="0" w:space="0" w:color="auto"/>
            <w:bottom w:val="none" w:sz="0" w:space="0" w:color="auto"/>
            <w:right w:val="none" w:sz="0" w:space="0" w:color="auto"/>
          </w:divBdr>
        </w:div>
        <w:div w:id="280965124">
          <w:marLeft w:val="0"/>
          <w:marRight w:val="0"/>
          <w:marTop w:val="0"/>
          <w:marBottom w:val="0"/>
          <w:divBdr>
            <w:top w:val="none" w:sz="0" w:space="0" w:color="auto"/>
            <w:left w:val="none" w:sz="0" w:space="0" w:color="auto"/>
            <w:bottom w:val="none" w:sz="0" w:space="0" w:color="auto"/>
            <w:right w:val="none" w:sz="0" w:space="0" w:color="auto"/>
          </w:divBdr>
        </w:div>
        <w:div w:id="338583069">
          <w:marLeft w:val="0"/>
          <w:marRight w:val="0"/>
          <w:marTop w:val="0"/>
          <w:marBottom w:val="0"/>
          <w:divBdr>
            <w:top w:val="none" w:sz="0" w:space="0" w:color="auto"/>
            <w:left w:val="none" w:sz="0" w:space="0" w:color="auto"/>
            <w:bottom w:val="none" w:sz="0" w:space="0" w:color="auto"/>
            <w:right w:val="none" w:sz="0" w:space="0" w:color="auto"/>
          </w:divBdr>
        </w:div>
        <w:div w:id="396975173">
          <w:marLeft w:val="0"/>
          <w:marRight w:val="0"/>
          <w:marTop w:val="0"/>
          <w:marBottom w:val="0"/>
          <w:divBdr>
            <w:top w:val="none" w:sz="0" w:space="0" w:color="auto"/>
            <w:left w:val="none" w:sz="0" w:space="0" w:color="auto"/>
            <w:bottom w:val="none" w:sz="0" w:space="0" w:color="auto"/>
            <w:right w:val="none" w:sz="0" w:space="0" w:color="auto"/>
          </w:divBdr>
        </w:div>
        <w:div w:id="436215081">
          <w:marLeft w:val="0"/>
          <w:marRight w:val="0"/>
          <w:marTop w:val="0"/>
          <w:marBottom w:val="0"/>
          <w:divBdr>
            <w:top w:val="none" w:sz="0" w:space="0" w:color="auto"/>
            <w:left w:val="none" w:sz="0" w:space="0" w:color="auto"/>
            <w:bottom w:val="none" w:sz="0" w:space="0" w:color="auto"/>
            <w:right w:val="none" w:sz="0" w:space="0" w:color="auto"/>
          </w:divBdr>
        </w:div>
        <w:div w:id="462965565">
          <w:marLeft w:val="0"/>
          <w:marRight w:val="0"/>
          <w:marTop w:val="0"/>
          <w:marBottom w:val="0"/>
          <w:divBdr>
            <w:top w:val="none" w:sz="0" w:space="0" w:color="auto"/>
            <w:left w:val="none" w:sz="0" w:space="0" w:color="auto"/>
            <w:bottom w:val="none" w:sz="0" w:space="0" w:color="auto"/>
            <w:right w:val="none" w:sz="0" w:space="0" w:color="auto"/>
          </w:divBdr>
        </w:div>
        <w:div w:id="473831960">
          <w:marLeft w:val="0"/>
          <w:marRight w:val="0"/>
          <w:marTop w:val="0"/>
          <w:marBottom w:val="0"/>
          <w:divBdr>
            <w:top w:val="none" w:sz="0" w:space="0" w:color="auto"/>
            <w:left w:val="none" w:sz="0" w:space="0" w:color="auto"/>
            <w:bottom w:val="none" w:sz="0" w:space="0" w:color="auto"/>
            <w:right w:val="none" w:sz="0" w:space="0" w:color="auto"/>
          </w:divBdr>
        </w:div>
        <w:div w:id="517350289">
          <w:marLeft w:val="0"/>
          <w:marRight w:val="0"/>
          <w:marTop w:val="0"/>
          <w:marBottom w:val="0"/>
          <w:divBdr>
            <w:top w:val="none" w:sz="0" w:space="0" w:color="auto"/>
            <w:left w:val="none" w:sz="0" w:space="0" w:color="auto"/>
            <w:bottom w:val="none" w:sz="0" w:space="0" w:color="auto"/>
            <w:right w:val="none" w:sz="0" w:space="0" w:color="auto"/>
          </w:divBdr>
        </w:div>
        <w:div w:id="534197344">
          <w:marLeft w:val="0"/>
          <w:marRight w:val="0"/>
          <w:marTop w:val="0"/>
          <w:marBottom w:val="0"/>
          <w:divBdr>
            <w:top w:val="none" w:sz="0" w:space="0" w:color="auto"/>
            <w:left w:val="none" w:sz="0" w:space="0" w:color="auto"/>
            <w:bottom w:val="none" w:sz="0" w:space="0" w:color="auto"/>
            <w:right w:val="none" w:sz="0" w:space="0" w:color="auto"/>
          </w:divBdr>
        </w:div>
        <w:div w:id="542863047">
          <w:marLeft w:val="0"/>
          <w:marRight w:val="0"/>
          <w:marTop w:val="0"/>
          <w:marBottom w:val="0"/>
          <w:divBdr>
            <w:top w:val="none" w:sz="0" w:space="0" w:color="auto"/>
            <w:left w:val="none" w:sz="0" w:space="0" w:color="auto"/>
            <w:bottom w:val="none" w:sz="0" w:space="0" w:color="auto"/>
            <w:right w:val="none" w:sz="0" w:space="0" w:color="auto"/>
          </w:divBdr>
        </w:div>
        <w:div w:id="967663286">
          <w:marLeft w:val="0"/>
          <w:marRight w:val="0"/>
          <w:marTop w:val="0"/>
          <w:marBottom w:val="0"/>
          <w:divBdr>
            <w:top w:val="none" w:sz="0" w:space="0" w:color="auto"/>
            <w:left w:val="none" w:sz="0" w:space="0" w:color="auto"/>
            <w:bottom w:val="none" w:sz="0" w:space="0" w:color="auto"/>
            <w:right w:val="none" w:sz="0" w:space="0" w:color="auto"/>
          </w:divBdr>
        </w:div>
        <w:div w:id="1131485530">
          <w:marLeft w:val="0"/>
          <w:marRight w:val="0"/>
          <w:marTop w:val="0"/>
          <w:marBottom w:val="0"/>
          <w:divBdr>
            <w:top w:val="none" w:sz="0" w:space="0" w:color="auto"/>
            <w:left w:val="none" w:sz="0" w:space="0" w:color="auto"/>
            <w:bottom w:val="none" w:sz="0" w:space="0" w:color="auto"/>
            <w:right w:val="none" w:sz="0" w:space="0" w:color="auto"/>
          </w:divBdr>
        </w:div>
        <w:div w:id="1185288968">
          <w:marLeft w:val="0"/>
          <w:marRight w:val="0"/>
          <w:marTop w:val="0"/>
          <w:marBottom w:val="0"/>
          <w:divBdr>
            <w:top w:val="none" w:sz="0" w:space="0" w:color="auto"/>
            <w:left w:val="none" w:sz="0" w:space="0" w:color="auto"/>
            <w:bottom w:val="none" w:sz="0" w:space="0" w:color="auto"/>
            <w:right w:val="none" w:sz="0" w:space="0" w:color="auto"/>
          </w:divBdr>
        </w:div>
        <w:div w:id="1243760520">
          <w:marLeft w:val="0"/>
          <w:marRight w:val="0"/>
          <w:marTop w:val="0"/>
          <w:marBottom w:val="0"/>
          <w:divBdr>
            <w:top w:val="none" w:sz="0" w:space="0" w:color="auto"/>
            <w:left w:val="none" w:sz="0" w:space="0" w:color="auto"/>
            <w:bottom w:val="none" w:sz="0" w:space="0" w:color="auto"/>
            <w:right w:val="none" w:sz="0" w:space="0" w:color="auto"/>
          </w:divBdr>
        </w:div>
        <w:div w:id="1394161849">
          <w:marLeft w:val="0"/>
          <w:marRight w:val="0"/>
          <w:marTop w:val="0"/>
          <w:marBottom w:val="0"/>
          <w:divBdr>
            <w:top w:val="none" w:sz="0" w:space="0" w:color="auto"/>
            <w:left w:val="none" w:sz="0" w:space="0" w:color="auto"/>
            <w:bottom w:val="none" w:sz="0" w:space="0" w:color="auto"/>
            <w:right w:val="none" w:sz="0" w:space="0" w:color="auto"/>
          </w:divBdr>
        </w:div>
        <w:div w:id="1468274833">
          <w:marLeft w:val="0"/>
          <w:marRight w:val="0"/>
          <w:marTop w:val="0"/>
          <w:marBottom w:val="0"/>
          <w:divBdr>
            <w:top w:val="none" w:sz="0" w:space="0" w:color="auto"/>
            <w:left w:val="none" w:sz="0" w:space="0" w:color="auto"/>
            <w:bottom w:val="none" w:sz="0" w:space="0" w:color="auto"/>
            <w:right w:val="none" w:sz="0" w:space="0" w:color="auto"/>
          </w:divBdr>
        </w:div>
        <w:div w:id="1530485432">
          <w:marLeft w:val="0"/>
          <w:marRight w:val="0"/>
          <w:marTop w:val="0"/>
          <w:marBottom w:val="0"/>
          <w:divBdr>
            <w:top w:val="none" w:sz="0" w:space="0" w:color="auto"/>
            <w:left w:val="none" w:sz="0" w:space="0" w:color="auto"/>
            <w:bottom w:val="none" w:sz="0" w:space="0" w:color="auto"/>
            <w:right w:val="none" w:sz="0" w:space="0" w:color="auto"/>
          </w:divBdr>
        </w:div>
        <w:div w:id="1745833609">
          <w:marLeft w:val="0"/>
          <w:marRight w:val="0"/>
          <w:marTop w:val="0"/>
          <w:marBottom w:val="0"/>
          <w:divBdr>
            <w:top w:val="none" w:sz="0" w:space="0" w:color="auto"/>
            <w:left w:val="none" w:sz="0" w:space="0" w:color="auto"/>
            <w:bottom w:val="none" w:sz="0" w:space="0" w:color="auto"/>
            <w:right w:val="none" w:sz="0" w:space="0" w:color="auto"/>
          </w:divBdr>
        </w:div>
        <w:div w:id="1796830676">
          <w:marLeft w:val="0"/>
          <w:marRight w:val="0"/>
          <w:marTop w:val="0"/>
          <w:marBottom w:val="0"/>
          <w:divBdr>
            <w:top w:val="none" w:sz="0" w:space="0" w:color="auto"/>
            <w:left w:val="none" w:sz="0" w:space="0" w:color="auto"/>
            <w:bottom w:val="none" w:sz="0" w:space="0" w:color="auto"/>
            <w:right w:val="none" w:sz="0" w:space="0" w:color="auto"/>
          </w:divBdr>
        </w:div>
        <w:div w:id="1851329211">
          <w:marLeft w:val="0"/>
          <w:marRight w:val="0"/>
          <w:marTop w:val="0"/>
          <w:marBottom w:val="0"/>
          <w:divBdr>
            <w:top w:val="none" w:sz="0" w:space="0" w:color="auto"/>
            <w:left w:val="none" w:sz="0" w:space="0" w:color="auto"/>
            <w:bottom w:val="none" w:sz="0" w:space="0" w:color="auto"/>
            <w:right w:val="none" w:sz="0" w:space="0" w:color="auto"/>
          </w:divBdr>
        </w:div>
        <w:div w:id="2046522435">
          <w:marLeft w:val="0"/>
          <w:marRight w:val="0"/>
          <w:marTop w:val="0"/>
          <w:marBottom w:val="0"/>
          <w:divBdr>
            <w:top w:val="none" w:sz="0" w:space="0" w:color="auto"/>
            <w:left w:val="none" w:sz="0" w:space="0" w:color="auto"/>
            <w:bottom w:val="none" w:sz="0" w:space="0" w:color="auto"/>
            <w:right w:val="none" w:sz="0" w:space="0" w:color="auto"/>
          </w:divBdr>
        </w:div>
        <w:div w:id="2143111766">
          <w:marLeft w:val="0"/>
          <w:marRight w:val="0"/>
          <w:marTop w:val="0"/>
          <w:marBottom w:val="0"/>
          <w:divBdr>
            <w:top w:val="none" w:sz="0" w:space="0" w:color="auto"/>
            <w:left w:val="none" w:sz="0" w:space="0" w:color="auto"/>
            <w:bottom w:val="none" w:sz="0" w:space="0" w:color="auto"/>
            <w:right w:val="none" w:sz="0" w:space="0" w:color="auto"/>
          </w:divBdr>
        </w:div>
      </w:divsChild>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454301176">
      <w:bodyDiv w:val="1"/>
      <w:marLeft w:val="0"/>
      <w:marRight w:val="0"/>
      <w:marTop w:val="0"/>
      <w:marBottom w:val="0"/>
      <w:divBdr>
        <w:top w:val="none" w:sz="0" w:space="0" w:color="auto"/>
        <w:left w:val="none" w:sz="0" w:space="0" w:color="auto"/>
        <w:bottom w:val="none" w:sz="0" w:space="0" w:color="auto"/>
        <w:right w:val="none" w:sz="0" w:space="0" w:color="auto"/>
      </w:divBdr>
      <w:divsChild>
        <w:div w:id="14314190">
          <w:marLeft w:val="0"/>
          <w:marRight w:val="0"/>
          <w:marTop w:val="0"/>
          <w:marBottom w:val="0"/>
          <w:divBdr>
            <w:top w:val="none" w:sz="0" w:space="0" w:color="auto"/>
            <w:left w:val="none" w:sz="0" w:space="0" w:color="auto"/>
            <w:bottom w:val="none" w:sz="0" w:space="0" w:color="auto"/>
            <w:right w:val="none" w:sz="0" w:space="0" w:color="auto"/>
          </w:divBdr>
        </w:div>
        <w:div w:id="53824148">
          <w:marLeft w:val="0"/>
          <w:marRight w:val="0"/>
          <w:marTop w:val="0"/>
          <w:marBottom w:val="0"/>
          <w:divBdr>
            <w:top w:val="none" w:sz="0" w:space="0" w:color="auto"/>
            <w:left w:val="none" w:sz="0" w:space="0" w:color="auto"/>
            <w:bottom w:val="none" w:sz="0" w:space="0" w:color="auto"/>
            <w:right w:val="none" w:sz="0" w:space="0" w:color="auto"/>
          </w:divBdr>
        </w:div>
        <w:div w:id="551582767">
          <w:marLeft w:val="0"/>
          <w:marRight w:val="0"/>
          <w:marTop w:val="0"/>
          <w:marBottom w:val="0"/>
          <w:divBdr>
            <w:top w:val="none" w:sz="0" w:space="0" w:color="auto"/>
            <w:left w:val="none" w:sz="0" w:space="0" w:color="auto"/>
            <w:bottom w:val="none" w:sz="0" w:space="0" w:color="auto"/>
            <w:right w:val="none" w:sz="0" w:space="0" w:color="auto"/>
          </w:divBdr>
        </w:div>
        <w:div w:id="926690617">
          <w:marLeft w:val="0"/>
          <w:marRight w:val="0"/>
          <w:marTop w:val="0"/>
          <w:marBottom w:val="0"/>
          <w:divBdr>
            <w:top w:val="none" w:sz="0" w:space="0" w:color="auto"/>
            <w:left w:val="none" w:sz="0" w:space="0" w:color="auto"/>
            <w:bottom w:val="none" w:sz="0" w:space="0" w:color="auto"/>
            <w:right w:val="none" w:sz="0" w:space="0" w:color="auto"/>
          </w:divBdr>
        </w:div>
        <w:div w:id="1218010872">
          <w:marLeft w:val="0"/>
          <w:marRight w:val="0"/>
          <w:marTop w:val="0"/>
          <w:marBottom w:val="0"/>
          <w:divBdr>
            <w:top w:val="none" w:sz="0" w:space="0" w:color="auto"/>
            <w:left w:val="none" w:sz="0" w:space="0" w:color="auto"/>
            <w:bottom w:val="none" w:sz="0" w:space="0" w:color="auto"/>
            <w:right w:val="none" w:sz="0" w:space="0" w:color="auto"/>
          </w:divBdr>
        </w:div>
        <w:div w:id="1409382534">
          <w:marLeft w:val="0"/>
          <w:marRight w:val="0"/>
          <w:marTop w:val="0"/>
          <w:marBottom w:val="0"/>
          <w:divBdr>
            <w:top w:val="none" w:sz="0" w:space="0" w:color="auto"/>
            <w:left w:val="none" w:sz="0" w:space="0" w:color="auto"/>
            <w:bottom w:val="none" w:sz="0" w:space="0" w:color="auto"/>
            <w:right w:val="none" w:sz="0" w:space="0" w:color="auto"/>
          </w:divBdr>
        </w:div>
        <w:div w:id="1409956076">
          <w:marLeft w:val="0"/>
          <w:marRight w:val="0"/>
          <w:marTop w:val="0"/>
          <w:marBottom w:val="0"/>
          <w:divBdr>
            <w:top w:val="none" w:sz="0" w:space="0" w:color="auto"/>
            <w:left w:val="none" w:sz="0" w:space="0" w:color="auto"/>
            <w:bottom w:val="none" w:sz="0" w:space="0" w:color="auto"/>
            <w:right w:val="none" w:sz="0" w:space="0" w:color="auto"/>
          </w:divBdr>
        </w:div>
        <w:div w:id="1585214580">
          <w:marLeft w:val="0"/>
          <w:marRight w:val="0"/>
          <w:marTop w:val="0"/>
          <w:marBottom w:val="0"/>
          <w:divBdr>
            <w:top w:val="none" w:sz="0" w:space="0" w:color="auto"/>
            <w:left w:val="none" w:sz="0" w:space="0" w:color="auto"/>
            <w:bottom w:val="none" w:sz="0" w:space="0" w:color="auto"/>
            <w:right w:val="none" w:sz="0" w:space="0" w:color="auto"/>
          </w:divBdr>
        </w:div>
        <w:div w:id="1715040166">
          <w:marLeft w:val="0"/>
          <w:marRight w:val="0"/>
          <w:marTop w:val="0"/>
          <w:marBottom w:val="0"/>
          <w:divBdr>
            <w:top w:val="none" w:sz="0" w:space="0" w:color="auto"/>
            <w:left w:val="none" w:sz="0" w:space="0" w:color="auto"/>
            <w:bottom w:val="none" w:sz="0" w:space="0" w:color="auto"/>
            <w:right w:val="none" w:sz="0" w:space="0" w:color="auto"/>
          </w:divBdr>
        </w:div>
        <w:div w:id="1827937102">
          <w:marLeft w:val="0"/>
          <w:marRight w:val="0"/>
          <w:marTop w:val="0"/>
          <w:marBottom w:val="0"/>
          <w:divBdr>
            <w:top w:val="none" w:sz="0" w:space="0" w:color="auto"/>
            <w:left w:val="none" w:sz="0" w:space="0" w:color="auto"/>
            <w:bottom w:val="none" w:sz="0" w:space="0" w:color="auto"/>
            <w:right w:val="none" w:sz="0" w:space="0" w:color="auto"/>
          </w:divBdr>
        </w:div>
        <w:div w:id="1852405461">
          <w:marLeft w:val="0"/>
          <w:marRight w:val="0"/>
          <w:marTop w:val="0"/>
          <w:marBottom w:val="0"/>
          <w:divBdr>
            <w:top w:val="none" w:sz="0" w:space="0" w:color="auto"/>
            <w:left w:val="none" w:sz="0" w:space="0" w:color="auto"/>
            <w:bottom w:val="none" w:sz="0" w:space="0" w:color="auto"/>
            <w:right w:val="none" w:sz="0" w:space="0" w:color="auto"/>
          </w:divBdr>
        </w:div>
        <w:div w:id="2052414830">
          <w:marLeft w:val="0"/>
          <w:marRight w:val="0"/>
          <w:marTop w:val="0"/>
          <w:marBottom w:val="0"/>
          <w:divBdr>
            <w:top w:val="none" w:sz="0" w:space="0" w:color="auto"/>
            <w:left w:val="none" w:sz="0" w:space="0" w:color="auto"/>
            <w:bottom w:val="none" w:sz="0" w:space="0" w:color="auto"/>
            <w:right w:val="none" w:sz="0" w:space="0" w:color="auto"/>
          </w:divBdr>
        </w:div>
      </w:divsChild>
    </w:div>
    <w:div w:id="455486454">
      <w:bodyDiv w:val="1"/>
      <w:marLeft w:val="0"/>
      <w:marRight w:val="0"/>
      <w:marTop w:val="0"/>
      <w:marBottom w:val="0"/>
      <w:divBdr>
        <w:top w:val="none" w:sz="0" w:space="0" w:color="auto"/>
        <w:left w:val="none" w:sz="0" w:space="0" w:color="auto"/>
        <w:bottom w:val="none" w:sz="0" w:space="0" w:color="auto"/>
        <w:right w:val="none" w:sz="0" w:space="0" w:color="auto"/>
      </w:divBdr>
      <w:divsChild>
        <w:div w:id="150099013">
          <w:marLeft w:val="0"/>
          <w:marRight w:val="0"/>
          <w:marTop w:val="0"/>
          <w:marBottom w:val="0"/>
          <w:divBdr>
            <w:top w:val="none" w:sz="0" w:space="0" w:color="auto"/>
            <w:left w:val="none" w:sz="0" w:space="0" w:color="auto"/>
            <w:bottom w:val="none" w:sz="0" w:space="0" w:color="auto"/>
            <w:right w:val="none" w:sz="0" w:space="0" w:color="auto"/>
          </w:divBdr>
        </w:div>
        <w:div w:id="719593181">
          <w:marLeft w:val="0"/>
          <w:marRight w:val="0"/>
          <w:marTop w:val="0"/>
          <w:marBottom w:val="0"/>
          <w:divBdr>
            <w:top w:val="none" w:sz="0" w:space="0" w:color="auto"/>
            <w:left w:val="none" w:sz="0" w:space="0" w:color="auto"/>
            <w:bottom w:val="none" w:sz="0" w:space="0" w:color="auto"/>
            <w:right w:val="none" w:sz="0" w:space="0" w:color="auto"/>
          </w:divBdr>
        </w:div>
        <w:div w:id="1542011267">
          <w:marLeft w:val="0"/>
          <w:marRight w:val="0"/>
          <w:marTop w:val="0"/>
          <w:marBottom w:val="0"/>
          <w:divBdr>
            <w:top w:val="none" w:sz="0" w:space="0" w:color="auto"/>
            <w:left w:val="none" w:sz="0" w:space="0" w:color="auto"/>
            <w:bottom w:val="none" w:sz="0" w:space="0" w:color="auto"/>
            <w:right w:val="none" w:sz="0" w:space="0" w:color="auto"/>
          </w:divBdr>
        </w:div>
        <w:div w:id="1621642300">
          <w:marLeft w:val="0"/>
          <w:marRight w:val="0"/>
          <w:marTop w:val="0"/>
          <w:marBottom w:val="0"/>
          <w:divBdr>
            <w:top w:val="none" w:sz="0" w:space="0" w:color="auto"/>
            <w:left w:val="none" w:sz="0" w:space="0" w:color="auto"/>
            <w:bottom w:val="none" w:sz="0" w:space="0" w:color="auto"/>
            <w:right w:val="none" w:sz="0" w:space="0" w:color="auto"/>
          </w:divBdr>
        </w:div>
        <w:div w:id="1845515513">
          <w:marLeft w:val="0"/>
          <w:marRight w:val="0"/>
          <w:marTop w:val="0"/>
          <w:marBottom w:val="0"/>
          <w:divBdr>
            <w:top w:val="none" w:sz="0" w:space="0" w:color="auto"/>
            <w:left w:val="none" w:sz="0" w:space="0" w:color="auto"/>
            <w:bottom w:val="none" w:sz="0" w:space="0" w:color="auto"/>
            <w:right w:val="none" w:sz="0" w:space="0" w:color="auto"/>
          </w:divBdr>
        </w:div>
        <w:div w:id="2048799149">
          <w:marLeft w:val="0"/>
          <w:marRight w:val="0"/>
          <w:marTop w:val="0"/>
          <w:marBottom w:val="0"/>
          <w:divBdr>
            <w:top w:val="none" w:sz="0" w:space="0" w:color="auto"/>
            <w:left w:val="none" w:sz="0" w:space="0" w:color="auto"/>
            <w:bottom w:val="none" w:sz="0" w:space="0" w:color="auto"/>
            <w:right w:val="none" w:sz="0" w:space="0" w:color="auto"/>
          </w:divBdr>
        </w:div>
        <w:div w:id="2069960028">
          <w:marLeft w:val="0"/>
          <w:marRight w:val="0"/>
          <w:marTop w:val="0"/>
          <w:marBottom w:val="0"/>
          <w:divBdr>
            <w:top w:val="none" w:sz="0" w:space="0" w:color="auto"/>
            <w:left w:val="none" w:sz="0" w:space="0" w:color="auto"/>
            <w:bottom w:val="none" w:sz="0" w:space="0" w:color="auto"/>
            <w:right w:val="none" w:sz="0" w:space="0" w:color="auto"/>
          </w:divBdr>
        </w:div>
      </w:divsChild>
    </w:div>
    <w:div w:id="560025679">
      <w:bodyDiv w:val="1"/>
      <w:marLeft w:val="0"/>
      <w:marRight w:val="0"/>
      <w:marTop w:val="0"/>
      <w:marBottom w:val="0"/>
      <w:divBdr>
        <w:top w:val="none" w:sz="0" w:space="0" w:color="auto"/>
        <w:left w:val="none" w:sz="0" w:space="0" w:color="auto"/>
        <w:bottom w:val="none" w:sz="0" w:space="0" w:color="auto"/>
        <w:right w:val="none" w:sz="0" w:space="0" w:color="auto"/>
      </w:divBdr>
      <w:divsChild>
        <w:div w:id="65761402">
          <w:marLeft w:val="0"/>
          <w:marRight w:val="0"/>
          <w:marTop w:val="0"/>
          <w:marBottom w:val="0"/>
          <w:divBdr>
            <w:top w:val="none" w:sz="0" w:space="0" w:color="auto"/>
            <w:left w:val="none" w:sz="0" w:space="0" w:color="auto"/>
            <w:bottom w:val="none" w:sz="0" w:space="0" w:color="auto"/>
            <w:right w:val="none" w:sz="0" w:space="0" w:color="auto"/>
          </w:divBdr>
        </w:div>
        <w:div w:id="267349525">
          <w:marLeft w:val="0"/>
          <w:marRight w:val="0"/>
          <w:marTop w:val="0"/>
          <w:marBottom w:val="0"/>
          <w:divBdr>
            <w:top w:val="none" w:sz="0" w:space="0" w:color="auto"/>
            <w:left w:val="none" w:sz="0" w:space="0" w:color="auto"/>
            <w:bottom w:val="none" w:sz="0" w:space="0" w:color="auto"/>
            <w:right w:val="none" w:sz="0" w:space="0" w:color="auto"/>
          </w:divBdr>
        </w:div>
        <w:div w:id="352655678">
          <w:marLeft w:val="0"/>
          <w:marRight w:val="0"/>
          <w:marTop w:val="0"/>
          <w:marBottom w:val="0"/>
          <w:divBdr>
            <w:top w:val="none" w:sz="0" w:space="0" w:color="auto"/>
            <w:left w:val="none" w:sz="0" w:space="0" w:color="auto"/>
            <w:bottom w:val="none" w:sz="0" w:space="0" w:color="auto"/>
            <w:right w:val="none" w:sz="0" w:space="0" w:color="auto"/>
          </w:divBdr>
        </w:div>
        <w:div w:id="534006039">
          <w:marLeft w:val="0"/>
          <w:marRight w:val="0"/>
          <w:marTop w:val="0"/>
          <w:marBottom w:val="0"/>
          <w:divBdr>
            <w:top w:val="none" w:sz="0" w:space="0" w:color="auto"/>
            <w:left w:val="none" w:sz="0" w:space="0" w:color="auto"/>
            <w:bottom w:val="none" w:sz="0" w:space="0" w:color="auto"/>
            <w:right w:val="none" w:sz="0" w:space="0" w:color="auto"/>
          </w:divBdr>
        </w:div>
        <w:div w:id="536622995">
          <w:marLeft w:val="0"/>
          <w:marRight w:val="0"/>
          <w:marTop w:val="0"/>
          <w:marBottom w:val="0"/>
          <w:divBdr>
            <w:top w:val="none" w:sz="0" w:space="0" w:color="auto"/>
            <w:left w:val="none" w:sz="0" w:space="0" w:color="auto"/>
            <w:bottom w:val="none" w:sz="0" w:space="0" w:color="auto"/>
            <w:right w:val="none" w:sz="0" w:space="0" w:color="auto"/>
          </w:divBdr>
        </w:div>
        <w:div w:id="578370874">
          <w:marLeft w:val="0"/>
          <w:marRight w:val="0"/>
          <w:marTop w:val="0"/>
          <w:marBottom w:val="0"/>
          <w:divBdr>
            <w:top w:val="none" w:sz="0" w:space="0" w:color="auto"/>
            <w:left w:val="none" w:sz="0" w:space="0" w:color="auto"/>
            <w:bottom w:val="none" w:sz="0" w:space="0" w:color="auto"/>
            <w:right w:val="none" w:sz="0" w:space="0" w:color="auto"/>
          </w:divBdr>
        </w:div>
        <w:div w:id="580216585">
          <w:marLeft w:val="0"/>
          <w:marRight w:val="0"/>
          <w:marTop w:val="0"/>
          <w:marBottom w:val="0"/>
          <w:divBdr>
            <w:top w:val="none" w:sz="0" w:space="0" w:color="auto"/>
            <w:left w:val="none" w:sz="0" w:space="0" w:color="auto"/>
            <w:bottom w:val="none" w:sz="0" w:space="0" w:color="auto"/>
            <w:right w:val="none" w:sz="0" w:space="0" w:color="auto"/>
          </w:divBdr>
        </w:div>
        <w:div w:id="656425746">
          <w:marLeft w:val="0"/>
          <w:marRight w:val="0"/>
          <w:marTop w:val="0"/>
          <w:marBottom w:val="0"/>
          <w:divBdr>
            <w:top w:val="none" w:sz="0" w:space="0" w:color="auto"/>
            <w:left w:val="none" w:sz="0" w:space="0" w:color="auto"/>
            <w:bottom w:val="none" w:sz="0" w:space="0" w:color="auto"/>
            <w:right w:val="none" w:sz="0" w:space="0" w:color="auto"/>
          </w:divBdr>
        </w:div>
        <w:div w:id="775950875">
          <w:marLeft w:val="0"/>
          <w:marRight w:val="0"/>
          <w:marTop w:val="0"/>
          <w:marBottom w:val="0"/>
          <w:divBdr>
            <w:top w:val="none" w:sz="0" w:space="0" w:color="auto"/>
            <w:left w:val="none" w:sz="0" w:space="0" w:color="auto"/>
            <w:bottom w:val="none" w:sz="0" w:space="0" w:color="auto"/>
            <w:right w:val="none" w:sz="0" w:space="0" w:color="auto"/>
          </w:divBdr>
        </w:div>
        <w:div w:id="780534900">
          <w:marLeft w:val="0"/>
          <w:marRight w:val="0"/>
          <w:marTop w:val="0"/>
          <w:marBottom w:val="0"/>
          <w:divBdr>
            <w:top w:val="none" w:sz="0" w:space="0" w:color="auto"/>
            <w:left w:val="none" w:sz="0" w:space="0" w:color="auto"/>
            <w:bottom w:val="none" w:sz="0" w:space="0" w:color="auto"/>
            <w:right w:val="none" w:sz="0" w:space="0" w:color="auto"/>
          </w:divBdr>
        </w:div>
        <w:div w:id="791637116">
          <w:marLeft w:val="0"/>
          <w:marRight w:val="0"/>
          <w:marTop w:val="0"/>
          <w:marBottom w:val="0"/>
          <w:divBdr>
            <w:top w:val="none" w:sz="0" w:space="0" w:color="auto"/>
            <w:left w:val="none" w:sz="0" w:space="0" w:color="auto"/>
            <w:bottom w:val="none" w:sz="0" w:space="0" w:color="auto"/>
            <w:right w:val="none" w:sz="0" w:space="0" w:color="auto"/>
          </w:divBdr>
        </w:div>
        <w:div w:id="1022441507">
          <w:marLeft w:val="0"/>
          <w:marRight w:val="0"/>
          <w:marTop w:val="0"/>
          <w:marBottom w:val="0"/>
          <w:divBdr>
            <w:top w:val="none" w:sz="0" w:space="0" w:color="auto"/>
            <w:left w:val="none" w:sz="0" w:space="0" w:color="auto"/>
            <w:bottom w:val="none" w:sz="0" w:space="0" w:color="auto"/>
            <w:right w:val="none" w:sz="0" w:space="0" w:color="auto"/>
          </w:divBdr>
        </w:div>
        <w:div w:id="1141579453">
          <w:marLeft w:val="0"/>
          <w:marRight w:val="0"/>
          <w:marTop w:val="0"/>
          <w:marBottom w:val="0"/>
          <w:divBdr>
            <w:top w:val="none" w:sz="0" w:space="0" w:color="auto"/>
            <w:left w:val="none" w:sz="0" w:space="0" w:color="auto"/>
            <w:bottom w:val="none" w:sz="0" w:space="0" w:color="auto"/>
            <w:right w:val="none" w:sz="0" w:space="0" w:color="auto"/>
          </w:divBdr>
        </w:div>
        <w:div w:id="1151824433">
          <w:marLeft w:val="0"/>
          <w:marRight w:val="0"/>
          <w:marTop w:val="0"/>
          <w:marBottom w:val="0"/>
          <w:divBdr>
            <w:top w:val="none" w:sz="0" w:space="0" w:color="auto"/>
            <w:left w:val="none" w:sz="0" w:space="0" w:color="auto"/>
            <w:bottom w:val="none" w:sz="0" w:space="0" w:color="auto"/>
            <w:right w:val="none" w:sz="0" w:space="0" w:color="auto"/>
          </w:divBdr>
        </w:div>
        <w:div w:id="1228953560">
          <w:marLeft w:val="0"/>
          <w:marRight w:val="0"/>
          <w:marTop w:val="0"/>
          <w:marBottom w:val="0"/>
          <w:divBdr>
            <w:top w:val="none" w:sz="0" w:space="0" w:color="auto"/>
            <w:left w:val="none" w:sz="0" w:space="0" w:color="auto"/>
            <w:bottom w:val="none" w:sz="0" w:space="0" w:color="auto"/>
            <w:right w:val="none" w:sz="0" w:space="0" w:color="auto"/>
          </w:divBdr>
        </w:div>
        <w:div w:id="1288505058">
          <w:marLeft w:val="0"/>
          <w:marRight w:val="0"/>
          <w:marTop w:val="0"/>
          <w:marBottom w:val="0"/>
          <w:divBdr>
            <w:top w:val="none" w:sz="0" w:space="0" w:color="auto"/>
            <w:left w:val="none" w:sz="0" w:space="0" w:color="auto"/>
            <w:bottom w:val="none" w:sz="0" w:space="0" w:color="auto"/>
            <w:right w:val="none" w:sz="0" w:space="0" w:color="auto"/>
          </w:divBdr>
        </w:div>
        <w:div w:id="1518884173">
          <w:marLeft w:val="0"/>
          <w:marRight w:val="0"/>
          <w:marTop w:val="0"/>
          <w:marBottom w:val="0"/>
          <w:divBdr>
            <w:top w:val="none" w:sz="0" w:space="0" w:color="auto"/>
            <w:left w:val="none" w:sz="0" w:space="0" w:color="auto"/>
            <w:bottom w:val="none" w:sz="0" w:space="0" w:color="auto"/>
            <w:right w:val="none" w:sz="0" w:space="0" w:color="auto"/>
          </w:divBdr>
        </w:div>
        <w:div w:id="1620070053">
          <w:marLeft w:val="0"/>
          <w:marRight w:val="0"/>
          <w:marTop w:val="0"/>
          <w:marBottom w:val="0"/>
          <w:divBdr>
            <w:top w:val="none" w:sz="0" w:space="0" w:color="auto"/>
            <w:left w:val="none" w:sz="0" w:space="0" w:color="auto"/>
            <w:bottom w:val="none" w:sz="0" w:space="0" w:color="auto"/>
            <w:right w:val="none" w:sz="0" w:space="0" w:color="auto"/>
          </w:divBdr>
        </w:div>
        <w:div w:id="1699425828">
          <w:marLeft w:val="0"/>
          <w:marRight w:val="0"/>
          <w:marTop w:val="0"/>
          <w:marBottom w:val="0"/>
          <w:divBdr>
            <w:top w:val="none" w:sz="0" w:space="0" w:color="auto"/>
            <w:left w:val="none" w:sz="0" w:space="0" w:color="auto"/>
            <w:bottom w:val="none" w:sz="0" w:space="0" w:color="auto"/>
            <w:right w:val="none" w:sz="0" w:space="0" w:color="auto"/>
          </w:divBdr>
        </w:div>
        <w:div w:id="1918199718">
          <w:marLeft w:val="0"/>
          <w:marRight w:val="0"/>
          <w:marTop w:val="0"/>
          <w:marBottom w:val="0"/>
          <w:divBdr>
            <w:top w:val="none" w:sz="0" w:space="0" w:color="auto"/>
            <w:left w:val="none" w:sz="0" w:space="0" w:color="auto"/>
            <w:bottom w:val="none" w:sz="0" w:space="0" w:color="auto"/>
            <w:right w:val="none" w:sz="0" w:space="0" w:color="auto"/>
          </w:divBdr>
        </w:div>
        <w:div w:id="1988124253">
          <w:marLeft w:val="0"/>
          <w:marRight w:val="0"/>
          <w:marTop w:val="0"/>
          <w:marBottom w:val="0"/>
          <w:divBdr>
            <w:top w:val="none" w:sz="0" w:space="0" w:color="auto"/>
            <w:left w:val="none" w:sz="0" w:space="0" w:color="auto"/>
            <w:bottom w:val="none" w:sz="0" w:space="0" w:color="auto"/>
            <w:right w:val="none" w:sz="0" w:space="0" w:color="auto"/>
          </w:divBdr>
        </w:div>
        <w:div w:id="1990791492">
          <w:marLeft w:val="0"/>
          <w:marRight w:val="0"/>
          <w:marTop w:val="0"/>
          <w:marBottom w:val="0"/>
          <w:divBdr>
            <w:top w:val="none" w:sz="0" w:space="0" w:color="auto"/>
            <w:left w:val="none" w:sz="0" w:space="0" w:color="auto"/>
            <w:bottom w:val="none" w:sz="0" w:space="0" w:color="auto"/>
            <w:right w:val="none" w:sz="0" w:space="0" w:color="auto"/>
          </w:divBdr>
        </w:div>
        <w:div w:id="2113277543">
          <w:marLeft w:val="0"/>
          <w:marRight w:val="0"/>
          <w:marTop w:val="0"/>
          <w:marBottom w:val="0"/>
          <w:divBdr>
            <w:top w:val="none" w:sz="0" w:space="0" w:color="auto"/>
            <w:left w:val="none" w:sz="0" w:space="0" w:color="auto"/>
            <w:bottom w:val="none" w:sz="0" w:space="0" w:color="auto"/>
            <w:right w:val="none" w:sz="0" w:space="0" w:color="auto"/>
          </w:divBdr>
        </w:div>
      </w:divsChild>
    </w:div>
    <w:div w:id="565142162">
      <w:bodyDiv w:val="1"/>
      <w:marLeft w:val="0"/>
      <w:marRight w:val="0"/>
      <w:marTop w:val="0"/>
      <w:marBottom w:val="0"/>
      <w:divBdr>
        <w:top w:val="none" w:sz="0" w:space="0" w:color="auto"/>
        <w:left w:val="none" w:sz="0" w:space="0" w:color="auto"/>
        <w:bottom w:val="none" w:sz="0" w:space="0" w:color="auto"/>
        <w:right w:val="none" w:sz="0" w:space="0" w:color="auto"/>
      </w:divBdr>
      <w:divsChild>
        <w:div w:id="14039509">
          <w:marLeft w:val="0"/>
          <w:marRight w:val="0"/>
          <w:marTop w:val="0"/>
          <w:marBottom w:val="0"/>
          <w:divBdr>
            <w:top w:val="none" w:sz="0" w:space="0" w:color="auto"/>
            <w:left w:val="none" w:sz="0" w:space="0" w:color="auto"/>
            <w:bottom w:val="none" w:sz="0" w:space="0" w:color="auto"/>
            <w:right w:val="none" w:sz="0" w:space="0" w:color="auto"/>
          </w:divBdr>
        </w:div>
        <w:div w:id="44644811">
          <w:marLeft w:val="0"/>
          <w:marRight w:val="0"/>
          <w:marTop w:val="0"/>
          <w:marBottom w:val="0"/>
          <w:divBdr>
            <w:top w:val="none" w:sz="0" w:space="0" w:color="auto"/>
            <w:left w:val="none" w:sz="0" w:space="0" w:color="auto"/>
            <w:bottom w:val="none" w:sz="0" w:space="0" w:color="auto"/>
            <w:right w:val="none" w:sz="0" w:space="0" w:color="auto"/>
          </w:divBdr>
        </w:div>
        <w:div w:id="92436764">
          <w:marLeft w:val="0"/>
          <w:marRight w:val="0"/>
          <w:marTop w:val="0"/>
          <w:marBottom w:val="0"/>
          <w:divBdr>
            <w:top w:val="none" w:sz="0" w:space="0" w:color="auto"/>
            <w:left w:val="none" w:sz="0" w:space="0" w:color="auto"/>
            <w:bottom w:val="none" w:sz="0" w:space="0" w:color="auto"/>
            <w:right w:val="none" w:sz="0" w:space="0" w:color="auto"/>
          </w:divBdr>
        </w:div>
        <w:div w:id="120998988">
          <w:marLeft w:val="0"/>
          <w:marRight w:val="0"/>
          <w:marTop w:val="0"/>
          <w:marBottom w:val="0"/>
          <w:divBdr>
            <w:top w:val="none" w:sz="0" w:space="0" w:color="auto"/>
            <w:left w:val="none" w:sz="0" w:space="0" w:color="auto"/>
            <w:bottom w:val="none" w:sz="0" w:space="0" w:color="auto"/>
            <w:right w:val="none" w:sz="0" w:space="0" w:color="auto"/>
          </w:divBdr>
        </w:div>
        <w:div w:id="176434290">
          <w:marLeft w:val="0"/>
          <w:marRight w:val="0"/>
          <w:marTop w:val="0"/>
          <w:marBottom w:val="0"/>
          <w:divBdr>
            <w:top w:val="none" w:sz="0" w:space="0" w:color="auto"/>
            <w:left w:val="none" w:sz="0" w:space="0" w:color="auto"/>
            <w:bottom w:val="none" w:sz="0" w:space="0" w:color="auto"/>
            <w:right w:val="none" w:sz="0" w:space="0" w:color="auto"/>
          </w:divBdr>
        </w:div>
        <w:div w:id="256645337">
          <w:marLeft w:val="0"/>
          <w:marRight w:val="0"/>
          <w:marTop w:val="0"/>
          <w:marBottom w:val="0"/>
          <w:divBdr>
            <w:top w:val="none" w:sz="0" w:space="0" w:color="auto"/>
            <w:left w:val="none" w:sz="0" w:space="0" w:color="auto"/>
            <w:bottom w:val="none" w:sz="0" w:space="0" w:color="auto"/>
            <w:right w:val="none" w:sz="0" w:space="0" w:color="auto"/>
          </w:divBdr>
        </w:div>
        <w:div w:id="260988908">
          <w:marLeft w:val="0"/>
          <w:marRight w:val="0"/>
          <w:marTop w:val="0"/>
          <w:marBottom w:val="0"/>
          <w:divBdr>
            <w:top w:val="none" w:sz="0" w:space="0" w:color="auto"/>
            <w:left w:val="none" w:sz="0" w:space="0" w:color="auto"/>
            <w:bottom w:val="none" w:sz="0" w:space="0" w:color="auto"/>
            <w:right w:val="none" w:sz="0" w:space="0" w:color="auto"/>
          </w:divBdr>
        </w:div>
        <w:div w:id="294219924">
          <w:marLeft w:val="0"/>
          <w:marRight w:val="0"/>
          <w:marTop w:val="0"/>
          <w:marBottom w:val="0"/>
          <w:divBdr>
            <w:top w:val="none" w:sz="0" w:space="0" w:color="auto"/>
            <w:left w:val="none" w:sz="0" w:space="0" w:color="auto"/>
            <w:bottom w:val="none" w:sz="0" w:space="0" w:color="auto"/>
            <w:right w:val="none" w:sz="0" w:space="0" w:color="auto"/>
          </w:divBdr>
        </w:div>
        <w:div w:id="309596740">
          <w:marLeft w:val="0"/>
          <w:marRight w:val="0"/>
          <w:marTop w:val="0"/>
          <w:marBottom w:val="0"/>
          <w:divBdr>
            <w:top w:val="none" w:sz="0" w:space="0" w:color="auto"/>
            <w:left w:val="none" w:sz="0" w:space="0" w:color="auto"/>
            <w:bottom w:val="none" w:sz="0" w:space="0" w:color="auto"/>
            <w:right w:val="none" w:sz="0" w:space="0" w:color="auto"/>
          </w:divBdr>
        </w:div>
        <w:div w:id="335304396">
          <w:marLeft w:val="0"/>
          <w:marRight w:val="0"/>
          <w:marTop w:val="0"/>
          <w:marBottom w:val="0"/>
          <w:divBdr>
            <w:top w:val="none" w:sz="0" w:space="0" w:color="auto"/>
            <w:left w:val="none" w:sz="0" w:space="0" w:color="auto"/>
            <w:bottom w:val="none" w:sz="0" w:space="0" w:color="auto"/>
            <w:right w:val="none" w:sz="0" w:space="0" w:color="auto"/>
          </w:divBdr>
        </w:div>
        <w:div w:id="396365435">
          <w:marLeft w:val="0"/>
          <w:marRight w:val="0"/>
          <w:marTop w:val="0"/>
          <w:marBottom w:val="0"/>
          <w:divBdr>
            <w:top w:val="none" w:sz="0" w:space="0" w:color="auto"/>
            <w:left w:val="none" w:sz="0" w:space="0" w:color="auto"/>
            <w:bottom w:val="none" w:sz="0" w:space="0" w:color="auto"/>
            <w:right w:val="none" w:sz="0" w:space="0" w:color="auto"/>
          </w:divBdr>
        </w:div>
        <w:div w:id="411851272">
          <w:marLeft w:val="0"/>
          <w:marRight w:val="0"/>
          <w:marTop w:val="0"/>
          <w:marBottom w:val="0"/>
          <w:divBdr>
            <w:top w:val="none" w:sz="0" w:space="0" w:color="auto"/>
            <w:left w:val="none" w:sz="0" w:space="0" w:color="auto"/>
            <w:bottom w:val="none" w:sz="0" w:space="0" w:color="auto"/>
            <w:right w:val="none" w:sz="0" w:space="0" w:color="auto"/>
          </w:divBdr>
        </w:div>
        <w:div w:id="466699837">
          <w:marLeft w:val="0"/>
          <w:marRight w:val="0"/>
          <w:marTop w:val="0"/>
          <w:marBottom w:val="0"/>
          <w:divBdr>
            <w:top w:val="none" w:sz="0" w:space="0" w:color="auto"/>
            <w:left w:val="none" w:sz="0" w:space="0" w:color="auto"/>
            <w:bottom w:val="none" w:sz="0" w:space="0" w:color="auto"/>
            <w:right w:val="none" w:sz="0" w:space="0" w:color="auto"/>
          </w:divBdr>
        </w:div>
        <w:div w:id="486555209">
          <w:marLeft w:val="0"/>
          <w:marRight w:val="0"/>
          <w:marTop w:val="0"/>
          <w:marBottom w:val="0"/>
          <w:divBdr>
            <w:top w:val="none" w:sz="0" w:space="0" w:color="auto"/>
            <w:left w:val="none" w:sz="0" w:space="0" w:color="auto"/>
            <w:bottom w:val="none" w:sz="0" w:space="0" w:color="auto"/>
            <w:right w:val="none" w:sz="0" w:space="0" w:color="auto"/>
          </w:divBdr>
        </w:div>
        <w:div w:id="572200405">
          <w:marLeft w:val="0"/>
          <w:marRight w:val="0"/>
          <w:marTop w:val="0"/>
          <w:marBottom w:val="0"/>
          <w:divBdr>
            <w:top w:val="none" w:sz="0" w:space="0" w:color="auto"/>
            <w:left w:val="none" w:sz="0" w:space="0" w:color="auto"/>
            <w:bottom w:val="none" w:sz="0" w:space="0" w:color="auto"/>
            <w:right w:val="none" w:sz="0" w:space="0" w:color="auto"/>
          </w:divBdr>
        </w:div>
        <w:div w:id="580680922">
          <w:marLeft w:val="0"/>
          <w:marRight w:val="0"/>
          <w:marTop w:val="0"/>
          <w:marBottom w:val="0"/>
          <w:divBdr>
            <w:top w:val="none" w:sz="0" w:space="0" w:color="auto"/>
            <w:left w:val="none" w:sz="0" w:space="0" w:color="auto"/>
            <w:bottom w:val="none" w:sz="0" w:space="0" w:color="auto"/>
            <w:right w:val="none" w:sz="0" w:space="0" w:color="auto"/>
          </w:divBdr>
        </w:div>
        <w:div w:id="590436334">
          <w:marLeft w:val="0"/>
          <w:marRight w:val="0"/>
          <w:marTop w:val="0"/>
          <w:marBottom w:val="0"/>
          <w:divBdr>
            <w:top w:val="none" w:sz="0" w:space="0" w:color="auto"/>
            <w:left w:val="none" w:sz="0" w:space="0" w:color="auto"/>
            <w:bottom w:val="none" w:sz="0" w:space="0" w:color="auto"/>
            <w:right w:val="none" w:sz="0" w:space="0" w:color="auto"/>
          </w:divBdr>
        </w:div>
        <w:div w:id="640812493">
          <w:marLeft w:val="0"/>
          <w:marRight w:val="0"/>
          <w:marTop w:val="0"/>
          <w:marBottom w:val="0"/>
          <w:divBdr>
            <w:top w:val="none" w:sz="0" w:space="0" w:color="auto"/>
            <w:left w:val="none" w:sz="0" w:space="0" w:color="auto"/>
            <w:bottom w:val="none" w:sz="0" w:space="0" w:color="auto"/>
            <w:right w:val="none" w:sz="0" w:space="0" w:color="auto"/>
          </w:divBdr>
        </w:div>
        <w:div w:id="700471140">
          <w:marLeft w:val="0"/>
          <w:marRight w:val="0"/>
          <w:marTop w:val="0"/>
          <w:marBottom w:val="0"/>
          <w:divBdr>
            <w:top w:val="none" w:sz="0" w:space="0" w:color="auto"/>
            <w:left w:val="none" w:sz="0" w:space="0" w:color="auto"/>
            <w:bottom w:val="none" w:sz="0" w:space="0" w:color="auto"/>
            <w:right w:val="none" w:sz="0" w:space="0" w:color="auto"/>
          </w:divBdr>
        </w:div>
        <w:div w:id="733771236">
          <w:marLeft w:val="0"/>
          <w:marRight w:val="0"/>
          <w:marTop w:val="0"/>
          <w:marBottom w:val="0"/>
          <w:divBdr>
            <w:top w:val="none" w:sz="0" w:space="0" w:color="auto"/>
            <w:left w:val="none" w:sz="0" w:space="0" w:color="auto"/>
            <w:bottom w:val="none" w:sz="0" w:space="0" w:color="auto"/>
            <w:right w:val="none" w:sz="0" w:space="0" w:color="auto"/>
          </w:divBdr>
        </w:div>
        <w:div w:id="751508881">
          <w:marLeft w:val="0"/>
          <w:marRight w:val="0"/>
          <w:marTop w:val="0"/>
          <w:marBottom w:val="0"/>
          <w:divBdr>
            <w:top w:val="none" w:sz="0" w:space="0" w:color="auto"/>
            <w:left w:val="none" w:sz="0" w:space="0" w:color="auto"/>
            <w:bottom w:val="none" w:sz="0" w:space="0" w:color="auto"/>
            <w:right w:val="none" w:sz="0" w:space="0" w:color="auto"/>
          </w:divBdr>
        </w:div>
        <w:div w:id="829978617">
          <w:marLeft w:val="0"/>
          <w:marRight w:val="0"/>
          <w:marTop w:val="0"/>
          <w:marBottom w:val="0"/>
          <w:divBdr>
            <w:top w:val="none" w:sz="0" w:space="0" w:color="auto"/>
            <w:left w:val="none" w:sz="0" w:space="0" w:color="auto"/>
            <w:bottom w:val="none" w:sz="0" w:space="0" w:color="auto"/>
            <w:right w:val="none" w:sz="0" w:space="0" w:color="auto"/>
          </w:divBdr>
        </w:div>
        <w:div w:id="846755209">
          <w:marLeft w:val="0"/>
          <w:marRight w:val="0"/>
          <w:marTop w:val="0"/>
          <w:marBottom w:val="0"/>
          <w:divBdr>
            <w:top w:val="none" w:sz="0" w:space="0" w:color="auto"/>
            <w:left w:val="none" w:sz="0" w:space="0" w:color="auto"/>
            <w:bottom w:val="none" w:sz="0" w:space="0" w:color="auto"/>
            <w:right w:val="none" w:sz="0" w:space="0" w:color="auto"/>
          </w:divBdr>
        </w:div>
        <w:div w:id="889465037">
          <w:marLeft w:val="0"/>
          <w:marRight w:val="0"/>
          <w:marTop w:val="0"/>
          <w:marBottom w:val="0"/>
          <w:divBdr>
            <w:top w:val="none" w:sz="0" w:space="0" w:color="auto"/>
            <w:left w:val="none" w:sz="0" w:space="0" w:color="auto"/>
            <w:bottom w:val="none" w:sz="0" w:space="0" w:color="auto"/>
            <w:right w:val="none" w:sz="0" w:space="0" w:color="auto"/>
          </w:divBdr>
        </w:div>
        <w:div w:id="901139625">
          <w:marLeft w:val="0"/>
          <w:marRight w:val="0"/>
          <w:marTop w:val="0"/>
          <w:marBottom w:val="0"/>
          <w:divBdr>
            <w:top w:val="none" w:sz="0" w:space="0" w:color="auto"/>
            <w:left w:val="none" w:sz="0" w:space="0" w:color="auto"/>
            <w:bottom w:val="none" w:sz="0" w:space="0" w:color="auto"/>
            <w:right w:val="none" w:sz="0" w:space="0" w:color="auto"/>
          </w:divBdr>
        </w:div>
        <w:div w:id="902449104">
          <w:marLeft w:val="0"/>
          <w:marRight w:val="0"/>
          <w:marTop w:val="0"/>
          <w:marBottom w:val="0"/>
          <w:divBdr>
            <w:top w:val="none" w:sz="0" w:space="0" w:color="auto"/>
            <w:left w:val="none" w:sz="0" w:space="0" w:color="auto"/>
            <w:bottom w:val="none" w:sz="0" w:space="0" w:color="auto"/>
            <w:right w:val="none" w:sz="0" w:space="0" w:color="auto"/>
          </w:divBdr>
        </w:div>
        <w:div w:id="907571139">
          <w:marLeft w:val="0"/>
          <w:marRight w:val="0"/>
          <w:marTop w:val="0"/>
          <w:marBottom w:val="0"/>
          <w:divBdr>
            <w:top w:val="none" w:sz="0" w:space="0" w:color="auto"/>
            <w:left w:val="none" w:sz="0" w:space="0" w:color="auto"/>
            <w:bottom w:val="none" w:sz="0" w:space="0" w:color="auto"/>
            <w:right w:val="none" w:sz="0" w:space="0" w:color="auto"/>
          </w:divBdr>
        </w:div>
        <w:div w:id="916600479">
          <w:marLeft w:val="0"/>
          <w:marRight w:val="0"/>
          <w:marTop w:val="0"/>
          <w:marBottom w:val="0"/>
          <w:divBdr>
            <w:top w:val="none" w:sz="0" w:space="0" w:color="auto"/>
            <w:left w:val="none" w:sz="0" w:space="0" w:color="auto"/>
            <w:bottom w:val="none" w:sz="0" w:space="0" w:color="auto"/>
            <w:right w:val="none" w:sz="0" w:space="0" w:color="auto"/>
          </w:divBdr>
        </w:div>
        <w:div w:id="967249388">
          <w:marLeft w:val="0"/>
          <w:marRight w:val="0"/>
          <w:marTop w:val="0"/>
          <w:marBottom w:val="0"/>
          <w:divBdr>
            <w:top w:val="none" w:sz="0" w:space="0" w:color="auto"/>
            <w:left w:val="none" w:sz="0" w:space="0" w:color="auto"/>
            <w:bottom w:val="none" w:sz="0" w:space="0" w:color="auto"/>
            <w:right w:val="none" w:sz="0" w:space="0" w:color="auto"/>
          </w:divBdr>
        </w:div>
        <w:div w:id="1279751921">
          <w:marLeft w:val="0"/>
          <w:marRight w:val="0"/>
          <w:marTop w:val="0"/>
          <w:marBottom w:val="0"/>
          <w:divBdr>
            <w:top w:val="none" w:sz="0" w:space="0" w:color="auto"/>
            <w:left w:val="none" w:sz="0" w:space="0" w:color="auto"/>
            <w:bottom w:val="none" w:sz="0" w:space="0" w:color="auto"/>
            <w:right w:val="none" w:sz="0" w:space="0" w:color="auto"/>
          </w:divBdr>
        </w:div>
        <w:div w:id="1380473333">
          <w:marLeft w:val="0"/>
          <w:marRight w:val="0"/>
          <w:marTop w:val="0"/>
          <w:marBottom w:val="0"/>
          <w:divBdr>
            <w:top w:val="none" w:sz="0" w:space="0" w:color="auto"/>
            <w:left w:val="none" w:sz="0" w:space="0" w:color="auto"/>
            <w:bottom w:val="none" w:sz="0" w:space="0" w:color="auto"/>
            <w:right w:val="none" w:sz="0" w:space="0" w:color="auto"/>
          </w:divBdr>
        </w:div>
        <w:div w:id="1460294693">
          <w:marLeft w:val="0"/>
          <w:marRight w:val="0"/>
          <w:marTop w:val="0"/>
          <w:marBottom w:val="0"/>
          <w:divBdr>
            <w:top w:val="none" w:sz="0" w:space="0" w:color="auto"/>
            <w:left w:val="none" w:sz="0" w:space="0" w:color="auto"/>
            <w:bottom w:val="none" w:sz="0" w:space="0" w:color="auto"/>
            <w:right w:val="none" w:sz="0" w:space="0" w:color="auto"/>
          </w:divBdr>
        </w:div>
        <w:div w:id="1482847282">
          <w:marLeft w:val="0"/>
          <w:marRight w:val="0"/>
          <w:marTop w:val="0"/>
          <w:marBottom w:val="0"/>
          <w:divBdr>
            <w:top w:val="none" w:sz="0" w:space="0" w:color="auto"/>
            <w:left w:val="none" w:sz="0" w:space="0" w:color="auto"/>
            <w:bottom w:val="none" w:sz="0" w:space="0" w:color="auto"/>
            <w:right w:val="none" w:sz="0" w:space="0" w:color="auto"/>
          </w:divBdr>
        </w:div>
        <w:div w:id="1490444563">
          <w:marLeft w:val="0"/>
          <w:marRight w:val="0"/>
          <w:marTop w:val="0"/>
          <w:marBottom w:val="0"/>
          <w:divBdr>
            <w:top w:val="none" w:sz="0" w:space="0" w:color="auto"/>
            <w:left w:val="none" w:sz="0" w:space="0" w:color="auto"/>
            <w:bottom w:val="none" w:sz="0" w:space="0" w:color="auto"/>
            <w:right w:val="none" w:sz="0" w:space="0" w:color="auto"/>
          </w:divBdr>
        </w:div>
        <w:div w:id="1539194852">
          <w:marLeft w:val="0"/>
          <w:marRight w:val="0"/>
          <w:marTop w:val="0"/>
          <w:marBottom w:val="0"/>
          <w:divBdr>
            <w:top w:val="none" w:sz="0" w:space="0" w:color="auto"/>
            <w:left w:val="none" w:sz="0" w:space="0" w:color="auto"/>
            <w:bottom w:val="none" w:sz="0" w:space="0" w:color="auto"/>
            <w:right w:val="none" w:sz="0" w:space="0" w:color="auto"/>
          </w:divBdr>
        </w:div>
        <w:div w:id="1567766992">
          <w:marLeft w:val="0"/>
          <w:marRight w:val="0"/>
          <w:marTop w:val="0"/>
          <w:marBottom w:val="0"/>
          <w:divBdr>
            <w:top w:val="none" w:sz="0" w:space="0" w:color="auto"/>
            <w:left w:val="none" w:sz="0" w:space="0" w:color="auto"/>
            <w:bottom w:val="none" w:sz="0" w:space="0" w:color="auto"/>
            <w:right w:val="none" w:sz="0" w:space="0" w:color="auto"/>
          </w:divBdr>
        </w:div>
        <w:div w:id="1650481910">
          <w:marLeft w:val="0"/>
          <w:marRight w:val="0"/>
          <w:marTop w:val="0"/>
          <w:marBottom w:val="0"/>
          <w:divBdr>
            <w:top w:val="none" w:sz="0" w:space="0" w:color="auto"/>
            <w:left w:val="none" w:sz="0" w:space="0" w:color="auto"/>
            <w:bottom w:val="none" w:sz="0" w:space="0" w:color="auto"/>
            <w:right w:val="none" w:sz="0" w:space="0" w:color="auto"/>
          </w:divBdr>
        </w:div>
        <w:div w:id="1660116882">
          <w:marLeft w:val="0"/>
          <w:marRight w:val="0"/>
          <w:marTop w:val="0"/>
          <w:marBottom w:val="0"/>
          <w:divBdr>
            <w:top w:val="none" w:sz="0" w:space="0" w:color="auto"/>
            <w:left w:val="none" w:sz="0" w:space="0" w:color="auto"/>
            <w:bottom w:val="none" w:sz="0" w:space="0" w:color="auto"/>
            <w:right w:val="none" w:sz="0" w:space="0" w:color="auto"/>
          </w:divBdr>
        </w:div>
        <w:div w:id="1756855234">
          <w:marLeft w:val="0"/>
          <w:marRight w:val="0"/>
          <w:marTop w:val="0"/>
          <w:marBottom w:val="0"/>
          <w:divBdr>
            <w:top w:val="none" w:sz="0" w:space="0" w:color="auto"/>
            <w:left w:val="none" w:sz="0" w:space="0" w:color="auto"/>
            <w:bottom w:val="none" w:sz="0" w:space="0" w:color="auto"/>
            <w:right w:val="none" w:sz="0" w:space="0" w:color="auto"/>
          </w:divBdr>
        </w:div>
        <w:div w:id="1814759809">
          <w:marLeft w:val="0"/>
          <w:marRight w:val="0"/>
          <w:marTop w:val="0"/>
          <w:marBottom w:val="0"/>
          <w:divBdr>
            <w:top w:val="none" w:sz="0" w:space="0" w:color="auto"/>
            <w:left w:val="none" w:sz="0" w:space="0" w:color="auto"/>
            <w:bottom w:val="none" w:sz="0" w:space="0" w:color="auto"/>
            <w:right w:val="none" w:sz="0" w:space="0" w:color="auto"/>
          </w:divBdr>
        </w:div>
        <w:div w:id="2090228483">
          <w:marLeft w:val="0"/>
          <w:marRight w:val="0"/>
          <w:marTop w:val="0"/>
          <w:marBottom w:val="0"/>
          <w:divBdr>
            <w:top w:val="none" w:sz="0" w:space="0" w:color="auto"/>
            <w:left w:val="none" w:sz="0" w:space="0" w:color="auto"/>
            <w:bottom w:val="none" w:sz="0" w:space="0" w:color="auto"/>
            <w:right w:val="none" w:sz="0" w:space="0" w:color="auto"/>
          </w:divBdr>
        </w:div>
      </w:divsChild>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55304781">
      <w:bodyDiv w:val="1"/>
      <w:marLeft w:val="0"/>
      <w:marRight w:val="0"/>
      <w:marTop w:val="0"/>
      <w:marBottom w:val="0"/>
      <w:divBdr>
        <w:top w:val="none" w:sz="0" w:space="0" w:color="auto"/>
        <w:left w:val="none" w:sz="0" w:space="0" w:color="auto"/>
        <w:bottom w:val="none" w:sz="0" w:space="0" w:color="auto"/>
        <w:right w:val="none" w:sz="0" w:space="0" w:color="auto"/>
      </w:divBdr>
      <w:divsChild>
        <w:div w:id="515459842">
          <w:marLeft w:val="0"/>
          <w:marRight w:val="0"/>
          <w:marTop w:val="0"/>
          <w:marBottom w:val="0"/>
          <w:divBdr>
            <w:top w:val="none" w:sz="0" w:space="0" w:color="auto"/>
            <w:left w:val="none" w:sz="0" w:space="0" w:color="auto"/>
            <w:bottom w:val="none" w:sz="0" w:space="0" w:color="auto"/>
            <w:right w:val="none" w:sz="0" w:space="0" w:color="auto"/>
          </w:divBdr>
        </w:div>
        <w:div w:id="1551574903">
          <w:marLeft w:val="0"/>
          <w:marRight w:val="0"/>
          <w:marTop w:val="0"/>
          <w:marBottom w:val="0"/>
          <w:divBdr>
            <w:top w:val="none" w:sz="0" w:space="0" w:color="auto"/>
            <w:left w:val="none" w:sz="0" w:space="0" w:color="auto"/>
            <w:bottom w:val="none" w:sz="0" w:space="0" w:color="auto"/>
            <w:right w:val="none" w:sz="0" w:space="0" w:color="auto"/>
          </w:divBdr>
        </w:div>
        <w:div w:id="2032798193">
          <w:marLeft w:val="0"/>
          <w:marRight w:val="0"/>
          <w:marTop w:val="0"/>
          <w:marBottom w:val="0"/>
          <w:divBdr>
            <w:top w:val="none" w:sz="0" w:space="0" w:color="auto"/>
            <w:left w:val="none" w:sz="0" w:space="0" w:color="auto"/>
            <w:bottom w:val="none" w:sz="0" w:space="0" w:color="auto"/>
            <w:right w:val="none" w:sz="0" w:space="0" w:color="auto"/>
          </w:divBdr>
        </w:div>
      </w:divsChild>
    </w:div>
    <w:div w:id="667441868">
      <w:bodyDiv w:val="1"/>
      <w:marLeft w:val="0"/>
      <w:marRight w:val="0"/>
      <w:marTop w:val="0"/>
      <w:marBottom w:val="0"/>
      <w:divBdr>
        <w:top w:val="none" w:sz="0" w:space="0" w:color="auto"/>
        <w:left w:val="none" w:sz="0" w:space="0" w:color="auto"/>
        <w:bottom w:val="none" w:sz="0" w:space="0" w:color="auto"/>
        <w:right w:val="none" w:sz="0" w:space="0" w:color="auto"/>
      </w:divBdr>
      <w:divsChild>
        <w:div w:id="163134018">
          <w:marLeft w:val="0"/>
          <w:marRight w:val="0"/>
          <w:marTop w:val="0"/>
          <w:marBottom w:val="0"/>
          <w:divBdr>
            <w:top w:val="none" w:sz="0" w:space="0" w:color="auto"/>
            <w:left w:val="none" w:sz="0" w:space="0" w:color="auto"/>
            <w:bottom w:val="none" w:sz="0" w:space="0" w:color="auto"/>
            <w:right w:val="none" w:sz="0" w:space="0" w:color="auto"/>
          </w:divBdr>
        </w:div>
        <w:div w:id="168955378">
          <w:marLeft w:val="0"/>
          <w:marRight w:val="0"/>
          <w:marTop w:val="0"/>
          <w:marBottom w:val="0"/>
          <w:divBdr>
            <w:top w:val="none" w:sz="0" w:space="0" w:color="auto"/>
            <w:left w:val="none" w:sz="0" w:space="0" w:color="auto"/>
            <w:bottom w:val="none" w:sz="0" w:space="0" w:color="auto"/>
            <w:right w:val="none" w:sz="0" w:space="0" w:color="auto"/>
          </w:divBdr>
        </w:div>
        <w:div w:id="231239104">
          <w:marLeft w:val="0"/>
          <w:marRight w:val="0"/>
          <w:marTop w:val="0"/>
          <w:marBottom w:val="0"/>
          <w:divBdr>
            <w:top w:val="none" w:sz="0" w:space="0" w:color="auto"/>
            <w:left w:val="none" w:sz="0" w:space="0" w:color="auto"/>
            <w:bottom w:val="none" w:sz="0" w:space="0" w:color="auto"/>
            <w:right w:val="none" w:sz="0" w:space="0" w:color="auto"/>
          </w:divBdr>
        </w:div>
        <w:div w:id="252590988">
          <w:marLeft w:val="0"/>
          <w:marRight w:val="0"/>
          <w:marTop w:val="0"/>
          <w:marBottom w:val="0"/>
          <w:divBdr>
            <w:top w:val="none" w:sz="0" w:space="0" w:color="auto"/>
            <w:left w:val="none" w:sz="0" w:space="0" w:color="auto"/>
            <w:bottom w:val="none" w:sz="0" w:space="0" w:color="auto"/>
            <w:right w:val="none" w:sz="0" w:space="0" w:color="auto"/>
          </w:divBdr>
        </w:div>
        <w:div w:id="372459212">
          <w:marLeft w:val="0"/>
          <w:marRight w:val="0"/>
          <w:marTop w:val="0"/>
          <w:marBottom w:val="0"/>
          <w:divBdr>
            <w:top w:val="none" w:sz="0" w:space="0" w:color="auto"/>
            <w:left w:val="none" w:sz="0" w:space="0" w:color="auto"/>
            <w:bottom w:val="none" w:sz="0" w:space="0" w:color="auto"/>
            <w:right w:val="none" w:sz="0" w:space="0" w:color="auto"/>
          </w:divBdr>
        </w:div>
        <w:div w:id="388923118">
          <w:marLeft w:val="0"/>
          <w:marRight w:val="0"/>
          <w:marTop w:val="0"/>
          <w:marBottom w:val="0"/>
          <w:divBdr>
            <w:top w:val="none" w:sz="0" w:space="0" w:color="auto"/>
            <w:left w:val="none" w:sz="0" w:space="0" w:color="auto"/>
            <w:bottom w:val="none" w:sz="0" w:space="0" w:color="auto"/>
            <w:right w:val="none" w:sz="0" w:space="0" w:color="auto"/>
          </w:divBdr>
        </w:div>
        <w:div w:id="525796564">
          <w:marLeft w:val="0"/>
          <w:marRight w:val="0"/>
          <w:marTop w:val="0"/>
          <w:marBottom w:val="0"/>
          <w:divBdr>
            <w:top w:val="none" w:sz="0" w:space="0" w:color="auto"/>
            <w:left w:val="none" w:sz="0" w:space="0" w:color="auto"/>
            <w:bottom w:val="none" w:sz="0" w:space="0" w:color="auto"/>
            <w:right w:val="none" w:sz="0" w:space="0" w:color="auto"/>
          </w:divBdr>
        </w:div>
        <w:div w:id="531194024">
          <w:marLeft w:val="0"/>
          <w:marRight w:val="0"/>
          <w:marTop w:val="0"/>
          <w:marBottom w:val="0"/>
          <w:divBdr>
            <w:top w:val="none" w:sz="0" w:space="0" w:color="auto"/>
            <w:left w:val="none" w:sz="0" w:space="0" w:color="auto"/>
            <w:bottom w:val="none" w:sz="0" w:space="0" w:color="auto"/>
            <w:right w:val="none" w:sz="0" w:space="0" w:color="auto"/>
          </w:divBdr>
        </w:div>
        <w:div w:id="539128529">
          <w:marLeft w:val="0"/>
          <w:marRight w:val="0"/>
          <w:marTop w:val="0"/>
          <w:marBottom w:val="0"/>
          <w:divBdr>
            <w:top w:val="none" w:sz="0" w:space="0" w:color="auto"/>
            <w:left w:val="none" w:sz="0" w:space="0" w:color="auto"/>
            <w:bottom w:val="none" w:sz="0" w:space="0" w:color="auto"/>
            <w:right w:val="none" w:sz="0" w:space="0" w:color="auto"/>
          </w:divBdr>
        </w:div>
        <w:div w:id="630401620">
          <w:marLeft w:val="0"/>
          <w:marRight w:val="0"/>
          <w:marTop w:val="0"/>
          <w:marBottom w:val="0"/>
          <w:divBdr>
            <w:top w:val="none" w:sz="0" w:space="0" w:color="auto"/>
            <w:left w:val="none" w:sz="0" w:space="0" w:color="auto"/>
            <w:bottom w:val="none" w:sz="0" w:space="0" w:color="auto"/>
            <w:right w:val="none" w:sz="0" w:space="0" w:color="auto"/>
          </w:divBdr>
        </w:div>
        <w:div w:id="772172248">
          <w:marLeft w:val="0"/>
          <w:marRight w:val="0"/>
          <w:marTop w:val="0"/>
          <w:marBottom w:val="0"/>
          <w:divBdr>
            <w:top w:val="none" w:sz="0" w:space="0" w:color="auto"/>
            <w:left w:val="none" w:sz="0" w:space="0" w:color="auto"/>
            <w:bottom w:val="none" w:sz="0" w:space="0" w:color="auto"/>
            <w:right w:val="none" w:sz="0" w:space="0" w:color="auto"/>
          </w:divBdr>
        </w:div>
        <w:div w:id="1247761248">
          <w:marLeft w:val="0"/>
          <w:marRight w:val="0"/>
          <w:marTop w:val="0"/>
          <w:marBottom w:val="0"/>
          <w:divBdr>
            <w:top w:val="none" w:sz="0" w:space="0" w:color="auto"/>
            <w:left w:val="none" w:sz="0" w:space="0" w:color="auto"/>
            <w:bottom w:val="none" w:sz="0" w:space="0" w:color="auto"/>
            <w:right w:val="none" w:sz="0" w:space="0" w:color="auto"/>
          </w:divBdr>
        </w:div>
        <w:div w:id="1332216841">
          <w:marLeft w:val="0"/>
          <w:marRight w:val="0"/>
          <w:marTop w:val="0"/>
          <w:marBottom w:val="0"/>
          <w:divBdr>
            <w:top w:val="none" w:sz="0" w:space="0" w:color="auto"/>
            <w:left w:val="none" w:sz="0" w:space="0" w:color="auto"/>
            <w:bottom w:val="none" w:sz="0" w:space="0" w:color="auto"/>
            <w:right w:val="none" w:sz="0" w:space="0" w:color="auto"/>
          </w:divBdr>
        </w:div>
        <w:div w:id="1451777555">
          <w:marLeft w:val="0"/>
          <w:marRight w:val="0"/>
          <w:marTop w:val="0"/>
          <w:marBottom w:val="0"/>
          <w:divBdr>
            <w:top w:val="none" w:sz="0" w:space="0" w:color="auto"/>
            <w:left w:val="none" w:sz="0" w:space="0" w:color="auto"/>
            <w:bottom w:val="none" w:sz="0" w:space="0" w:color="auto"/>
            <w:right w:val="none" w:sz="0" w:space="0" w:color="auto"/>
          </w:divBdr>
        </w:div>
        <w:div w:id="1525829297">
          <w:marLeft w:val="0"/>
          <w:marRight w:val="0"/>
          <w:marTop w:val="0"/>
          <w:marBottom w:val="0"/>
          <w:divBdr>
            <w:top w:val="none" w:sz="0" w:space="0" w:color="auto"/>
            <w:left w:val="none" w:sz="0" w:space="0" w:color="auto"/>
            <w:bottom w:val="none" w:sz="0" w:space="0" w:color="auto"/>
            <w:right w:val="none" w:sz="0" w:space="0" w:color="auto"/>
          </w:divBdr>
        </w:div>
        <w:div w:id="1647777804">
          <w:marLeft w:val="0"/>
          <w:marRight w:val="0"/>
          <w:marTop w:val="0"/>
          <w:marBottom w:val="0"/>
          <w:divBdr>
            <w:top w:val="none" w:sz="0" w:space="0" w:color="auto"/>
            <w:left w:val="none" w:sz="0" w:space="0" w:color="auto"/>
            <w:bottom w:val="none" w:sz="0" w:space="0" w:color="auto"/>
            <w:right w:val="none" w:sz="0" w:space="0" w:color="auto"/>
          </w:divBdr>
        </w:div>
        <w:div w:id="1853489910">
          <w:marLeft w:val="0"/>
          <w:marRight w:val="0"/>
          <w:marTop w:val="0"/>
          <w:marBottom w:val="0"/>
          <w:divBdr>
            <w:top w:val="none" w:sz="0" w:space="0" w:color="auto"/>
            <w:left w:val="none" w:sz="0" w:space="0" w:color="auto"/>
            <w:bottom w:val="none" w:sz="0" w:space="0" w:color="auto"/>
            <w:right w:val="none" w:sz="0" w:space="0" w:color="auto"/>
          </w:divBdr>
        </w:div>
        <w:div w:id="1904828445">
          <w:marLeft w:val="0"/>
          <w:marRight w:val="0"/>
          <w:marTop w:val="0"/>
          <w:marBottom w:val="0"/>
          <w:divBdr>
            <w:top w:val="none" w:sz="0" w:space="0" w:color="auto"/>
            <w:left w:val="none" w:sz="0" w:space="0" w:color="auto"/>
            <w:bottom w:val="none" w:sz="0" w:space="0" w:color="auto"/>
            <w:right w:val="none" w:sz="0" w:space="0" w:color="auto"/>
          </w:divBdr>
        </w:div>
        <w:div w:id="1950313947">
          <w:marLeft w:val="0"/>
          <w:marRight w:val="0"/>
          <w:marTop w:val="0"/>
          <w:marBottom w:val="0"/>
          <w:divBdr>
            <w:top w:val="none" w:sz="0" w:space="0" w:color="auto"/>
            <w:left w:val="none" w:sz="0" w:space="0" w:color="auto"/>
            <w:bottom w:val="none" w:sz="0" w:space="0" w:color="auto"/>
            <w:right w:val="none" w:sz="0" w:space="0" w:color="auto"/>
          </w:divBdr>
        </w:div>
        <w:div w:id="1991859713">
          <w:marLeft w:val="0"/>
          <w:marRight w:val="0"/>
          <w:marTop w:val="0"/>
          <w:marBottom w:val="0"/>
          <w:divBdr>
            <w:top w:val="none" w:sz="0" w:space="0" w:color="auto"/>
            <w:left w:val="none" w:sz="0" w:space="0" w:color="auto"/>
            <w:bottom w:val="none" w:sz="0" w:space="0" w:color="auto"/>
            <w:right w:val="none" w:sz="0" w:space="0" w:color="auto"/>
          </w:divBdr>
        </w:div>
        <w:div w:id="1992564094">
          <w:marLeft w:val="0"/>
          <w:marRight w:val="0"/>
          <w:marTop w:val="0"/>
          <w:marBottom w:val="0"/>
          <w:divBdr>
            <w:top w:val="none" w:sz="0" w:space="0" w:color="auto"/>
            <w:left w:val="none" w:sz="0" w:space="0" w:color="auto"/>
            <w:bottom w:val="none" w:sz="0" w:space="0" w:color="auto"/>
            <w:right w:val="none" w:sz="0" w:space="0" w:color="auto"/>
          </w:divBdr>
        </w:div>
      </w:divsChild>
    </w:div>
    <w:div w:id="678626091">
      <w:bodyDiv w:val="1"/>
      <w:marLeft w:val="0"/>
      <w:marRight w:val="0"/>
      <w:marTop w:val="0"/>
      <w:marBottom w:val="0"/>
      <w:divBdr>
        <w:top w:val="none" w:sz="0" w:space="0" w:color="auto"/>
        <w:left w:val="none" w:sz="0" w:space="0" w:color="auto"/>
        <w:bottom w:val="none" w:sz="0" w:space="0" w:color="auto"/>
        <w:right w:val="none" w:sz="0" w:space="0" w:color="auto"/>
      </w:divBdr>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86710374">
      <w:bodyDiv w:val="1"/>
      <w:marLeft w:val="0"/>
      <w:marRight w:val="0"/>
      <w:marTop w:val="0"/>
      <w:marBottom w:val="0"/>
      <w:divBdr>
        <w:top w:val="none" w:sz="0" w:space="0" w:color="auto"/>
        <w:left w:val="none" w:sz="0" w:space="0" w:color="auto"/>
        <w:bottom w:val="none" w:sz="0" w:space="0" w:color="auto"/>
        <w:right w:val="none" w:sz="0" w:space="0" w:color="auto"/>
      </w:divBdr>
      <w:divsChild>
        <w:div w:id="1013650928">
          <w:marLeft w:val="0"/>
          <w:marRight w:val="0"/>
          <w:marTop w:val="0"/>
          <w:marBottom w:val="0"/>
          <w:divBdr>
            <w:top w:val="none" w:sz="0" w:space="0" w:color="auto"/>
            <w:left w:val="none" w:sz="0" w:space="0" w:color="auto"/>
            <w:bottom w:val="none" w:sz="0" w:space="0" w:color="auto"/>
            <w:right w:val="none" w:sz="0" w:space="0" w:color="auto"/>
          </w:divBdr>
        </w:div>
        <w:div w:id="1992519679">
          <w:marLeft w:val="0"/>
          <w:marRight w:val="0"/>
          <w:marTop w:val="0"/>
          <w:marBottom w:val="0"/>
          <w:divBdr>
            <w:top w:val="none" w:sz="0" w:space="0" w:color="auto"/>
            <w:left w:val="none" w:sz="0" w:space="0" w:color="auto"/>
            <w:bottom w:val="none" w:sz="0" w:space="0" w:color="auto"/>
            <w:right w:val="none" w:sz="0" w:space="0" w:color="auto"/>
          </w:divBdr>
        </w:div>
      </w:divsChild>
    </w:div>
    <w:div w:id="691222051">
      <w:bodyDiv w:val="1"/>
      <w:marLeft w:val="0"/>
      <w:marRight w:val="0"/>
      <w:marTop w:val="0"/>
      <w:marBottom w:val="0"/>
      <w:divBdr>
        <w:top w:val="none" w:sz="0" w:space="0" w:color="auto"/>
        <w:left w:val="none" w:sz="0" w:space="0" w:color="auto"/>
        <w:bottom w:val="none" w:sz="0" w:space="0" w:color="auto"/>
        <w:right w:val="none" w:sz="0" w:space="0" w:color="auto"/>
      </w:divBdr>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03210265">
      <w:bodyDiv w:val="1"/>
      <w:marLeft w:val="0"/>
      <w:marRight w:val="0"/>
      <w:marTop w:val="0"/>
      <w:marBottom w:val="0"/>
      <w:divBdr>
        <w:top w:val="none" w:sz="0" w:space="0" w:color="auto"/>
        <w:left w:val="none" w:sz="0" w:space="0" w:color="auto"/>
        <w:bottom w:val="none" w:sz="0" w:space="0" w:color="auto"/>
        <w:right w:val="none" w:sz="0" w:space="0" w:color="auto"/>
      </w:divBdr>
    </w:div>
    <w:div w:id="743451301">
      <w:bodyDiv w:val="1"/>
      <w:marLeft w:val="0"/>
      <w:marRight w:val="0"/>
      <w:marTop w:val="0"/>
      <w:marBottom w:val="0"/>
      <w:divBdr>
        <w:top w:val="none" w:sz="0" w:space="0" w:color="auto"/>
        <w:left w:val="none" w:sz="0" w:space="0" w:color="auto"/>
        <w:bottom w:val="none" w:sz="0" w:space="0" w:color="auto"/>
        <w:right w:val="none" w:sz="0" w:space="0" w:color="auto"/>
      </w:divBdr>
      <w:divsChild>
        <w:div w:id="22245121">
          <w:marLeft w:val="0"/>
          <w:marRight w:val="0"/>
          <w:marTop w:val="0"/>
          <w:marBottom w:val="0"/>
          <w:divBdr>
            <w:top w:val="none" w:sz="0" w:space="0" w:color="auto"/>
            <w:left w:val="none" w:sz="0" w:space="0" w:color="auto"/>
            <w:bottom w:val="none" w:sz="0" w:space="0" w:color="auto"/>
            <w:right w:val="none" w:sz="0" w:space="0" w:color="auto"/>
          </w:divBdr>
        </w:div>
        <w:div w:id="247277633">
          <w:marLeft w:val="0"/>
          <w:marRight w:val="0"/>
          <w:marTop w:val="0"/>
          <w:marBottom w:val="0"/>
          <w:divBdr>
            <w:top w:val="none" w:sz="0" w:space="0" w:color="auto"/>
            <w:left w:val="none" w:sz="0" w:space="0" w:color="auto"/>
            <w:bottom w:val="none" w:sz="0" w:space="0" w:color="auto"/>
            <w:right w:val="none" w:sz="0" w:space="0" w:color="auto"/>
          </w:divBdr>
        </w:div>
        <w:div w:id="252516769">
          <w:marLeft w:val="0"/>
          <w:marRight w:val="0"/>
          <w:marTop w:val="0"/>
          <w:marBottom w:val="0"/>
          <w:divBdr>
            <w:top w:val="none" w:sz="0" w:space="0" w:color="auto"/>
            <w:left w:val="none" w:sz="0" w:space="0" w:color="auto"/>
            <w:bottom w:val="none" w:sz="0" w:space="0" w:color="auto"/>
            <w:right w:val="none" w:sz="0" w:space="0" w:color="auto"/>
          </w:divBdr>
        </w:div>
        <w:div w:id="263419596">
          <w:marLeft w:val="0"/>
          <w:marRight w:val="0"/>
          <w:marTop w:val="0"/>
          <w:marBottom w:val="0"/>
          <w:divBdr>
            <w:top w:val="none" w:sz="0" w:space="0" w:color="auto"/>
            <w:left w:val="none" w:sz="0" w:space="0" w:color="auto"/>
            <w:bottom w:val="none" w:sz="0" w:space="0" w:color="auto"/>
            <w:right w:val="none" w:sz="0" w:space="0" w:color="auto"/>
          </w:divBdr>
        </w:div>
        <w:div w:id="414673941">
          <w:marLeft w:val="0"/>
          <w:marRight w:val="0"/>
          <w:marTop w:val="0"/>
          <w:marBottom w:val="0"/>
          <w:divBdr>
            <w:top w:val="none" w:sz="0" w:space="0" w:color="auto"/>
            <w:left w:val="none" w:sz="0" w:space="0" w:color="auto"/>
            <w:bottom w:val="none" w:sz="0" w:space="0" w:color="auto"/>
            <w:right w:val="none" w:sz="0" w:space="0" w:color="auto"/>
          </w:divBdr>
        </w:div>
        <w:div w:id="647200107">
          <w:marLeft w:val="0"/>
          <w:marRight w:val="0"/>
          <w:marTop w:val="0"/>
          <w:marBottom w:val="0"/>
          <w:divBdr>
            <w:top w:val="none" w:sz="0" w:space="0" w:color="auto"/>
            <w:left w:val="none" w:sz="0" w:space="0" w:color="auto"/>
            <w:bottom w:val="none" w:sz="0" w:space="0" w:color="auto"/>
            <w:right w:val="none" w:sz="0" w:space="0" w:color="auto"/>
          </w:divBdr>
        </w:div>
        <w:div w:id="723719347">
          <w:marLeft w:val="0"/>
          <w:marRight w:val="0"/>
          <w:marTop w:val="0"/>
          <w:marBottom w:val="0"/>
          <w:divBdr>
            <w:top w:val="none" w:sz="0" w:space="0" w:color="auto"/>
            <w:left w:val="none" w:sz="0" w:space="0" w:color="auto"/>
            <w:bottom w:val="none" w:sz="0" w:space="0" w:color="auto"/>
            <w:right w:val="none" w:sz="0" w:space="0" w:color="auto"/>
          </w:divBdr>
        </w:div>
        <w:div w:id="766315144">
          <w:marLeft w:val="0"/>
          <w:marRight w:val="0"/>
          <w:marTop w:val="0"/>
          <w:marBottom w:val="0"/>
          <w:divBdr>
            <w:top w:val="none" w:sz="0" w:space="0" w:color="auto"/>
            <w:left w:val="none" w:sz="0" w:space="0" w:color="auto"/>
            <w:bottom w:val="none" w:sz="0" w:space="0" w:color="auto"/>
            <w:right w:val="none" w:sz="0" w:space="0" w:color="auto"/>
          </w:divBdr>
        </w:div>
        <w:div w:id="871651173">
          <w:marLeft w:val="0"/>
          <w:marRight w:val="0"/>
          <w:marTop w:val="0"/>
          <w:marBottom w:val="0"/>
          <w:divBdr>
            <w:top w:val="none" w:sz="0" w:space="0" w:color="auto"/>
            <w:left w:val="none" w:sz="0" w:space="0" w:color="auto"/>
            <w:bottom w:val="none" w:sz="0" w:space="0" w:color="auto"/>
            <w:right w:val="none" w:sz="0" w:space="0" w:color="auto"/>
          </w:divBdr>
        </w:div>
        <w:div w:id="903369605">
          <w:marLeft w:val="0"/>
          <w:marRight w:val="0"/>
          <w:marTop w:val="0"/>
          <w:marBottom w:val="0"/>
          <w:divBdr>
            <w:top w:val="none" w:sz="0" w:space="0" w:color="auto"/>
            <w:left w:val="none" w:sz="0" w:space="0" w:color="auto"/>
            <w:bottom w:val="none" w:sz="0" w:space="0" w:color="auto"/>
            <w:right w:val="none" w:sz="0" w:space="0" w:color="auto"/>
          </w:divBdr>
        </w:div>
        <w:div w:id="994141906">
          <w:marLeft w:val="0"/>
          <w:marRight w:val="0"/>
          <w:marTop w:val="0"/>
          <w:marBottom w:val="0"/>
          <w:divBdr>
            <w:top w:val="none" w:sz="0" w:space="0" w:color="auto"/>
            <w:left w:val="none" w:sz="0" w:space="0" w:color="auto"/>
            <w:bottom w:val="none" w:sz="0" w:space="0" w:color="auto"/>
            <w:right w:val="none" w:sz="0" w:space="0" w:color="auto"/>
          </w:divBdr>
        </w:div>
        <w:div w:id="1467775903">
          <w:marLeft w:val="0"/>
          <w:marRight w:val="0"/>
          <w:marTop w:val="0"/>
          <w:marBottom w:val="0"/>
          <w:divBdr>
            <w:top w:val="none" w:sz="0" w:space="0" w:color="auto"/>
            <w:left w:val="none" w:sz="0" w:space="0" w:color="auto"/>
            <w:bottom w:val="none" w:sz="0" w:space="0" w:color="auto"/>
            <w:right w:val="none" w:sz="0" w:space="0" w:color="auto"/>
          </w:divBdr>
        </w:div>
        <w:div w:id="1611232323">
          <w:marLeft w:val="0"/>
          <w:marRight w:val="0"/>
          <w:marTop w:val="0"/>
          <w:marBottom w:val="0"/>
          <w:divBdr>
            <w:top w:val="none" w:sz="0" w:space="0" w:color="auto"/>
            <w:left w:val="none" w:sz="0" w:space="0" w:color="auto"/>
            <w:bottom w:val="none" w:sz="0" w:space="0" w:color="auto"/>
            <w:right w:val="none" w:sz="0" w:space="0" w:color="auto"/>
          </w:divBdr>
        </w:div>
        <w:div w:id="1625889791">
          <w:marLeft w:val="0"/>
          <w:marRight w:val="0"/>
          <w:marTop w:val="0"/>
          <w:marBottom w:val="0"/>
          <w:divBdr>
            <w:top w:val="none" w:sz="0" w:space="0" w:color="auto"/>
            <w:left w:val="none" w:sz="0" w:space="0" w:color="auto"/>
            <w:bottom w:val="none" w:sz="0" w:space="0" w:color="auto"/>
            <w:right w:val="none" w:sz="0" w:space="0" w:color="auto"/>
          </w:divBdr>
        </w:div>
      </w:divsChild>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776679077">
      <w:bodyDiv w:val="1"/>
      <w:marLeft w:val="0"/>
      <w:marRight w:val="0"/>
      <w:marTop w:val="0"/>
      <w:marBottom w:val="0"/>
      <w:divBdr>
        <w:top w:val="none" w:sz="0" w:space="0" w:color="auto"/>
        <w:left w:val="none" w:sz="0" w:space="0" w:color="auto"/>
        <w:bottom w:val="none" w:sz="0" w:space="0" w:color="auto"/>
        <w:right w:val="none" w:sz="0" w:space="0" w:color="auto"/>
      </w:divBdr>
      <w:divsChild>
        <w:div w:id="636834297">
          <w:marLeft w:val="0"/>
          <w:marRight w:val="0"/>
          <w:marTop w:val="0"/>
          <w:marBottom w:val="0"/>
          <w:divBdr>
            <w:top w:val="none" w:sz="0" w:space="0" w:color="auto"/>
            <w:left w:val="none" w:sz="0" w:space="0" w:color="auto"/>
            <w:bottom w:val="none" w:sz="0" w:space="0" w:color="auto"/>
            <w:right w:val="none" w:sz="0" w:space="0" w:color="auto"/>
          </w:divBdr>
        </w:div>
        <w:div w:id="1070618839">
          <w:marLeft w:val="0"/>
          <w:marRight w:val="0"/>
          <w:marTop w:val="0"/>
          <w:marBottom w:val="0"/>
          <w:divBdr>
            <w:top w:val="none" w:sz="0" w:space="0" w:color="auto"/>
            <w:left w:val="none" w:sz="0" w:space="0" w:color="auto"/>
            <w:bottom w:val="none" w:sz="0" w:space="0" w:color="auto"/>
            <w:right w:val="none" w:sz="0" w:space="0" w:color="auto"/>
          </w:divBdr>
        </w:div>
        <w:div w:id="1328287624">
          <w:marLeft w:val="0"/>
          <w:marRight w:val="0"/>
          <w:marTop w:val="0"/>
          <w:marBottom w:val="0"/>
          <w:divBdr>
            <w:top w:val="none" w:sz="0" w:space="0" w:color="auto"/>
            <w:left w:val="none" w:sz="0" w:space="0" w:color="auto"/>
            <w:bottom w:val="none" w:sz="0" w:space="0" w:color="auto"/>
            <w:right w:val="none" w:sz="0" w:space="0" w:color="auto"/>
          </w:divBdr>
        </w:div>
        <w:div w:id="1603222874">
          <w:marLeft w:val="0"/>
          <w:marRight w:val="0"/>
          <w:marTop w:val="0"/>
          <w:marBottom w:val="0"/>
          <w:divBdr>
            <w:top w:val="none" w:sz="0" w:space="0" w:color="auto"/>
            <w:left w:val="none" w:sz="0" w:space="0" w:color="auto"/>
            <w:bottom w:val="none" w:sz="0" w:space="0" w:color="auto"/>
            <w:right w:val="none" w:sz="0" w:space="0" w:color="auto"/>
          </w:divBdr>
        </w:div>
        <w:div w:id="1628392632">
          <w:marLeft w:val="0"/>
          <w:marRight w:val="0"/>
          <w:marTop w:val="0"/>
          <w:marBottom w:val="0"/>
          <w:divBdr>
            <w:top w:val="none" w:sz="0" w:space="0" w:color="auto"/>
            <w:left w:val="none" w:sz="0" w:space="0" w:color="auto"/>
            <w:bottom w:val="none" w:sz="0" w:space="0" w:color="auto"/>
            <w:right w:val="none" w:sz="0" w:space="0" w:color="auto"/>
          </w:divBdr>
        </w:div>
      </w:divsChild>
    </w:div>
    <w:div w:id="811941791">
      <w:bodyDiv w:val="1"/>
      <w:marLeft w:val="0"/>
      <w:marRight w:val="0"/>
      <w:marTop w:val="0"/>
      <w:marBottom w:val="0"/>
      <w:divBdr>
        <w:top w:val="none" w:sz="0" w:space="0" w:color="auto"/>
        <w:left w:val="none" w:sz="0" w:space="0" w:color="auto"/>
        <w:bottom w:val="none" w:sz="0" w:space="0" w:color="auto"/>
        <w:right w:val="none" w:sz="0" w:space="0" w:color="auto"/>
      </w:divBdr>
    </w:div>
    <w:div w:id="815990851">
      <w:bodyDiv w:val="1"/>
      <w:marLeft w:val="0"/>
      <w:marRight w:val="0"/>
      <w:marTop w:val="0"/>
      <w:marBottom w:val="0"/>
      <w:divBdr>
        <w:top w:val="none" w:sz="0" w:space="0" w:color="auto"/>
        <w:left w:val="none" w:sz="0" w:space="0" w:color="auto"/>
        <w:bottom w:val="none" w:sz="0" w:space="0" w:color="auto"/>
        <w:right w:val="none" w:sz="0" w:space="0" w:color="auto"/>
      </w:divBdr>
    </w:div>
    <w:div w:id="827674983">
      <w:bodyDiv w:val="1"/>
      <w:marLeft w:val="0"/>
      <w:marRight w:val="0"/>
      <w:marTop w:val="0"/>
      <w:marBottom w:val="0"/>
      <w:divBdr>
        <w:top w:val="none" w:sz="0" w:space="0" w:color="auto"/>
        <w:left w:val="none" w:sz="0" w:space="0" w:color="auto"/>
        <w:bottom w:val="none" w:sz="0" w:space="0" w:color="auto"/>
        <w:right w:val="none" w:sz="0" w:space="0" w:color="auto"/>
      </w:divBdr>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112">
      <w:bodyDiv w:val="1"/>
      <w:marLeft w:val="0"/>
      <w:marRight w:val="0"/>
      <w:marTop w:val="0"/>
      <w:marBottom w:val="0"/>
      <w:divBdr>
        <w:top w:val="none" w:sz="0" w:space="0" w:color="auto"/>
        <w:left w:val="none" w:sz="0" w:space="0" w:color="auto"/>
        <w:bottom w:val="none" w:sz="0" w:space="0" w:color="auto"/>
        <w:right w:val="none" w:sz="0" w:space="0" w:color="auto"/>
      </w:divBdr>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939678072">
      <w:bodyDiv w:val="1"/>
      <w:marLeft w:val="0"/>
      <w:marRight w:val="0"/>
      <w:marTop w:val="0"/>
      <w:marBottom w:val="0"/>
      <w:divBdr>
        <w:top w:val="none" w:sz="0" w:space="0" w:color="auto"/>
        <w:left w:val="none" w:sz="0" w:space="0" w:color="auto"/>
        <w:bottom w:val="none" w:sz="0" w:space="0" w:color="auto"/>
        <w:right w:val="none" w:sz="0" w:space="0" w:color="auto"/>
      </w:divBdr>
      <w:divsChild>
        <w:div w:id="1093817668">
          <w:marLeft w:val="0"/>
          <w:marRight w:val="0"/>
          <w:marTop w:val="0"/>
          <w:marBottom w:val="0"/>
          <w:divBdr>
            <w:top w:val="none" w:sz="0" w:space="0" w:color="auto"/>
            <w:left w:val="none" w:sz="0" w:space="0" w:color="auto"/>
            <w:bottom w:val="none" w:sz="0" w:space="0" w:color="auto"/>
            <w:right w:val="none" w:sz="0" w:space="0" w:color="auto"/>
          </w:divBdr>
        </w:div>
        <w:div w:id="1732000671">
          <w:marLeft w:val="0"/>
          <w:marRight w:val="0"/>
          <w:marTop w:val="0"/>
          <w:marBottom w:val="0"/>
          <w:divBdr>
            <w:top w:val="none" w:sz="0" w:space="0" w:color="auto"/>
            <w:left w:val="none" w:sz="0" w:space="0" w:color="auto"/>
            <w:bottom w:val="none" w:sz="0" w:space="0" w:color="auto"/>
            <w:right w:val="none" w:sz="0" w:space="0" w:color="auto"/>
          </w:divBdr>
        </w:div>
        <w:div w:id="1825731297">
          <w:marLeft w:val="0"/>
          <w:marRight w:val="0"/>
          <w:marTop w:val="0"/>
          <w:marBottom w:val="0"/>
          <w:divBdr>
            <w:top w:val="none" w:sz="0" w:space="0" w:color="auto"/>
            <w:left w:val="none" w:sz="0" w:space="0" w:color="auto"/>
            <w:bottom w:val="none" w:sz="0" w:space="0" w:color="auto"/>
            <w:right w:val="none" w:sz="0" w:space="0" w:color="auto"/>
          </w:divBdr>
        </w:div>
      </w:divsChild>
    </w:div>
    <w:div w:id="968315470">
      <w:bodyDiv w:val="1"/>
      <w:marLeft w:val="0"/>
      <w:marRight w:val="0"/>
      <w:marTop w:val="0"/>
      <w:marBottom w:val="0"/>
      <w:divBdr>
        <w:top w:val="none" w:sz="0" w:space="0" w:color="auto"/>
        <w:left w:val="none" w:sz="0" w:space="0" w:color="auto"/>
        <w:bottom w:val="none" w:sz="0" w:space="0" w:color="auto"/>
        <w:right w:val="none" w:sz="0" w:space="0" w:color="auto"/>
      </w:divBdr>
    </w:div>
    <w:div w:id="969167167">
      <w:bodyDiv w:val="1"/>
      <w:marLeft w:val="0"/>
      <w:marRight w:val="0"/>
      <w:marTop w:val="0"/>
      <w:marBottom w:val="0"/>
      <w:divBdr>
        <w:top w:val="none" w:sz="0" w:space="0" w:color="auto"/>
        <w:left w:val="none" w:sz="0" w:space="0" w:color="auto"/>
        <w:bottom w:val="none" w:sz="0" w:space="0" w:color="auto"/>
        <w:right w:val="none" w:sz="0" w:space="0" w:color="auto"/>
      </w:divBdr>
      <w:divsChild>
        <w:div w:id="840776292">
          <w:marLeft w:val="0"/>
          <w:marRight w:val="0"/>
          <w:marTop w:val="0"/>
          <w:marBottom w:val="0"/>
          <w:divBdr>
            <w:top w:val="none" w:sz="0" w:space="0" w:color="auto"/>
            <w:left w:val="none" w:sz="0" w:space="0" w:color="auto"/>
            <w:bottom w:val="none" w:sz="0" w:space="0" w:color="auto"/>
            <w:right w:val="none" w:sz="0" w:space="0" w:color="auto"/>
          </w:divBdr>
        </w:div>
        <w:div w:id="1581017163">
          <w:marLeft w:val="0"/>
          <w:marRight w:val="0"/>
          <w:marTop w:val="0"/>
          <w:marBottom w:val="0"/>
          <w:divBdr>
            <w:top w:val="none" w:sz="0" w:space="0" w:color="auto"/>
            <w:left w:val="none" w:sz="0" w:space="0" w:color="auto"/>
            <w:bottom w:val="none" w:sz="0" w:space="0" w:color="auto"/>
            <w:right w:val="none" w:sz="0" w:space="0" w:color="auto"/>
          </w:divBdr>
        </w:div>
      </w:divsChild>
    </w:div>
    <w:div w:id="974260489">
      <w:bodyDiv w:val="1"/>
      <w:marLeft w:val="0"/>
      <w:marRight w:val="0"/>
      <w:marTop w:val="0"/>
      <w:marBottom w:val="0"/>
      <w:divBdr>
        <w:top w:val="none" w:sz="0" w:space="0" w:color="auto"/>
        <w:left w:val="none" w:sz="0" w:space="0" w:color="auto"/>
        <w:bottom w:val="none" w:sz="0" w:space="0" w:color="auto"/>
        <w:right w:val="none" w:sz="0" w:space="0" w:color="auto"/>
      </w:divBdr>
      <w:divsChild>
        <w:div w:id="366762192">
          <w:marLeft w:val="0"/>
          <w:marRight w:val="0"/>
          <w:marTop w:val="0"/>
          <w:marBottom w:val="0"/>
          <w:divBdr>
            <w:top w:val="none" w:sz="0" w:space="0" w:color="auto"/>
            <w:left w:val="none" w:sz="0" w:space="0" w:color="auto"/>
            <w:bottom w:val="none" w:sz="0" w:space="0" w:color="auto"/>
            <w:right w:val="none" w:sz="0" w:space="0" w:color="auto"/>
          </w:divBdr>
        </w:div>
        <w:div w:id="1536886671">
          <w:marLeft w:val="0"/>
          <w:marRight w:val="0"/>
          <w:marTop w:val="0"/>
          <w:marBottom w:val="0"/>
          <w:divBdr>
            <w:top w:val="none" w:sz="0" w:space="0" w:color="auto"/>
            <w:left w:val="none" w:sz="0" w:space="0" w:color="auto"/>
            <w:bottom w:val="none" w:sz="0" w:space="0" w:color="auto"/>
            <w:right w:val="none" w:sz="0" w:space="0" w:color="auto"/>
          </w:divBdr>
        </w:div>
      </w:divsChild>
    </w:div>
    <w:div w:id="1084453623">
      <w:bodyDiv w:val="1"/>
      <w:marLeft w:val="0"/>
      <w:marRight w:val="0"/>
      <w:marTop w:val="0"/>
      <w:marBottom w:val="0"/>
      <w:divBdr>
        <w:top w:val="none" w:sz="0" w:space="0" w:color="auto"/>
        <w:left w:val="none" w:sz="0" w:space="0" w:color="auto"/>
        <w:bottom w:val="none" w:sz="0" w:space="0" w:color="auto"/>
        <w:right w:val="none" w:sz="0" w:space="0" w:color="auto"/>
      </w:divBdr>
      <w:divsChild>
        <w:div w:id="2588328">
          <w:marLeft w:val="0"/>
          <w:marRight w:val="0"/>
          <w:marTop w:val="0"/>
          <w:marBottom w:val="0"/>
          <w:divBdr>
            <w:top w:val="none" w:sz="0" w:space="0" w:color="auto"/>
            <w:left w:val="none" w:sz="0" w:space="0" w:color="auto"/>
            <w:bottom w:val="none" w:sz="0" w:space="0" w:color="auto"/>
            <w:right w:val="none" w:sz="0" w:space="0" w:color="auto"/>
          </w:divBdr>
        </w:div>
        <w:div w:id="6685784">
          <w:marLeft w:val="0"/>
          <w:marRight w:val="0"/>
          <w:marTop w:val="0"/>
          <w:marBottom w:val="0"/>
          <w:divBdr>
            <w:top w:val="none" w:sz="0" w:space="0" w:color="auto"/>
            <w:left w:val="none" w:sz="0" w:space="0" w:color="auto"/>
            <w:bottom w:val="none" w:sz="0" w:space="0" w:color="auto"/>
            <w:right w:val="none" w:sz="0" w:space="0" w:color="auto"/>
          </w:divBdr>
        </w:div>
        <w:div w:id="55472190">
          <w:marLeft w:val="0"/>
          <w:marRight w:val="0"/>
          <w:marTop w:val="0"/>
          <w:marBottom w:val="0"/>
          <w:divBdr>
            <w:top w:val="none" w:sz="0" w:space="0" w:color="auto"/>
            <w:left w:val="none" w:sz="0" w:space="0" w:color="auto"/>
            <w:bottom w:val="none" w:sz="0" w:space="0" w:color="auto"/>
            <w:right w:val="none" w:sz="0" w:space="0" w:color="auto"/>
          </w:divBdr>
        </w:div>
        <w:div w:id="132990125">
          <w:marLeft w:val="0"/>
          <w:marRight w:val="0"/>
          <w:marTop w:val="0"/>
          <w:marBottom w:val="0"/>
          <w:divBdr>
            <w:top w:val="none" w:sz="0" w:space="0" w:color="auto"/>
            <w:left w:val="none" w:sz="0" w:space="0" w:color="auto"/>
            <w:bottom w:val="none" w:sz="0" w:space="0" w:color="auto"/>
            <w:right w:val="none" w:sz="0" w:space="0" w:color="auto"/>
          </w:divBdr>
        </w:div>
        <w:div w:id="202987286">
          <w:marLeft w:val="0"/>
          <w:marRight w:val="0"/>
          <w:marTop w:val="0"/>
          <w:marBottom w:val="0"/>
          <w:divBdr>
            <w:top w:val="none" w:sz="0" w:space="0" w:color="auto"/>
            <w:left w:val="none" w:sz="0" w:space="0" w:color="auto"/>
            <w:bottom w:val="none" w:sz="0" w:space="0" w:color="auto"/>
            <w:right w:val="none" w:sz="0" w:space="0" w:color="auto"/>
          </w:divBdr>
        </w:div>
        <w:div w:id="206452076">
          <w:marLeft w:val="0"/>
          <w:marRight w:val="0"/>
          <w:marTop w:val="0"/>
          <w:marBottom w:val="0"/>
          <w:divBdr>
            <w:top w:val="none" w:sz="0" w:space="0" w:color="auto"/>
            <w:left w:val="none" w:sz="0" w:space="0" w:color="auto"/>
            <w:bottom w:val="none" w:sz="0" w:space="0" w:color="auto"/>
            <w:right w:val="none" w:sz="0" w:space="0" w:color="auto"/>
          </w:divBdr>
        </w:div>
        <w:div w:id="265886907">
          <w:marLeft w:val="0"/>
          <w:marRight w:val="0"/>
          <w:marTop w:val="0"/>
          <w:marBottom w:val="0"/>
          <w:divBdr>
            <w:top w:val="none" w:sz="0" w:space="0" w:color="auto"/>
            <w:left w:val="none" w:sz="0" w:space="0" w:color="auto"/>
            <w:bottom w:val="none" w:sz="0" w:space="0" w:color="auto"/>
            <w:right w:val="none" w:sz="0" w:space="0" w:color="auto"/>
          </w:divBdr>
        </w:div>
        <w:div w:id="308439928">
          <w:marLeft w:val="0"/>
          <w:marRight w:val="0"/>
          <w:marTop w:val="0"/>
          <w:marBottom w:val="0"/>
          <w:divBdr>
            <w:top w:val="none" w:sz="0" w:space="0" w:color="auto"/>
            <w:left w:val="none" w:sz="0" w:space="0" w:color="auto"/>
            <w:bottom w:val="none" w:sz="0" w:space="0" w:color="auto"/>
            <w:right w:val="none" w:sz="0" w:space="0" w:color="auto"/>
          </w:divBdr>
        </w:div>
        <w:div w:id="314720861">
          <w:marLeft w:val="0"/>
          <w:marRight w:val="0"/>
          <w:marTop w:val="0"/>
          <w:marBottom w:val="0"/>
          <w:divBdr>
            <w:top w:val="none" w:sz="0" w:space="0" w:color="auto"/>
            <w:left w:val="none" w:sz="0" w:space="0" w:color="auto"/>
            <w:bottom w:val="none" w:sz="0" w:space="0" w:color="auto"/>
            <w:right w:val="none" w:sz="0" w:space="0" w:color="auto"/>
          </w:divBdr>
        </w:div>
        <w:div w:id="457139357">
          <w:marLeft w:val="0"/>
          <w:marRight w:val="0"/>
          <w:marTop w:val="0"/>
          <w:marBottom w:val="0"/>
          <w:divBdr>
            <w:top w:val="none" w:sz="0" w:space="0" w:color="auto"/>
            <w:left w:val="none" w:sz="0" w:space="0" w:color="auto"/>
            <w:bottom w:val="none" w:sz="0" w:space="0" w:color="auto"/>
            <w:right w:val="none" w:sz="0" w:space="0" w:color="auto"/>
          </w:divBdr>
        </w:div>
        <w:div w:id="543097409">
          <w:marLeft w:val="0"/>
          <w:marRight w:val="0"/>
          <w:marTop w:val="0"/>
          <w:marBottom w:val="0"/>
          <w:divBdr>
            <w:top w:val="none" w:sz="0" w:space="0" w:color="auto"/>
            <w:left w:val="none" w:sz="0" w:space="0" w:color="auto"/>
            <w:bottom w:val="none" w:sz="0" w:space="0" w:color="auto"/>
            <w:right w:val="none" w:sz="0" w:space="0" w:color="auto"/>
          </w:divBdr>
        </w:div>
        <w:div w:id="653340452">
          <w:marLeft w:val="0"/>
          <w:marRight w:val="0"/>
          <w:marTop w:val="0"/>
          <w:marBottom w:val="0"/>
          <w:divBdr>
            <w:top w:val="none" w:sz="0" w:space="0" w:color="auto"/>
            <w:left w:val="none" w:sz="0" w:space="0" w:color="auto"/>
            <w:bottom w:val="none" w:sz="0" w:space="0" w:color="auto"/>
            <w:right w:val="none" w:sz="0" w:space="0" w:color="auto"/>
          </w:divBdr>
        </w:div>
        <w:div w:id="671836932">
          <w:marLeft w:val="0"/>
          <w:marRight w:val="0"/>
          <w:marTop w:val="0"/>
          <w:marBottom w:val="0"/>
          <w:divBdr>
            <w:top w:val="none" w:sz="0" w:space="0" w:color="auto"/>
            <w:left w:val="none" w:sz="0" w:space="0" w:color="auto"/>
            <w:bottom w:val="none" w:sz="0" w:space="0" w:color="auto"/>
            <w:right w:val="none" w:sz="0" w:space="0" w:color="auto"/>
          </w:divBdr>
        </w:div>
        <w:div w:id="818886325">
          <w:marLeft w:val="0"/>
          <w:marRight w:val="0"/>
          <w:marTop w:val="0"/>
          <w:marBottom w:val="0"/>
          <w:divBdr>
            <w:top w:val="none" w:sz="0" w:space="0" w:color="auto"/>
            <w:left w:val="none" w:sz="0" w:space="0" w:color="auto"/>
            <w:bottom w:val="none" w:sz="0" w:space="0" w:color="auto"/>
            <w:right w:val="none" w:sz="0" w:space="0" w:color="auto"/>
          </w:divBdr>
        </w:div>
        <w:div w:id="898436578">
          <w:marLeft w:val="0"/>
          <w:marRight w:val="0"/>
          <w:marTop w:val="0"/>
          <w:marBottom w:val="0"/>
          <w:divBdr>
            <w:top w:val="none" w:sz="0" w:space="0" w:color="auto"/>
            <w:left w:val="none" w:sz="0" w:space="0" w:color="auto"/>
            <w:bottom w:val="none" w:sz="0" w:space="0" w:color="auto"/>
            <w:right w:val="none" w:sz="0" w:space="0" w:color="auto"/>
          </w:divBdr>
        </w:div>
        <w:div w:id="1015956361">
          <w:marLeft w:val="0"/>
          <w:marRight w:val="0"/>
          <w:marTop w:val="0"/>
          <w:marBottom w:val="0"/>
          <w:divBdr>
            <w:top w:val="none" w:sz="0" w:space="0" w:color="auto"/>
            <w:left w:val="none" w:sz="0" w:space="0" w:color="auto"/>
            <w:bottom w:val="none" w:sz="0" w:space="0" w:color="auto"/>
            <w:right w:val="none" w:sz="0" w:space="0" w:color="auto"/>
          </w:divBdr>
        </w:div>
        <w:div w:id="1182552339">
          <w:marLeft w:val="0"/>
          <w:marRight w:val="0"/>
          <w:marTop w:val="0"/>
          <w:marBottom w:val="0"/>
          <w:divBdr>
            <w:top w:val="none" w:sz="0" w:space="0" w:color="auto"/>
            <w:left w:val="none" w:sz="0" w:space="0" w:color="auto"/>
            <w:bottom w:val="none" w:sz="0" w:space="0" w:color="auto"/>
            <w:right w:val="none" w:sz="0" w:space="0" w:color="auto"/>
          </w:divBdr>
        </w:div>
        <w:div w:id="1217283659">
          <w:marLeft w:val="0"/>
          <w:marRight w:val="0"/>
          <w:marTop w:val="0"/>
          <w:marBottom w:val="0"/>
          <w:divBdr>
            <w:top w:val="none" w:sz="0" w:space="0" w:color="auto"/>
            <w:left w:val="none" w:sz="0" w:space="0" w:color="auto"/>
            <w:bottom w:val="none" w:sz="0" w:space="0" w:color="auto"/>
            <w:right w:val="none" w:sz="0" w:space="0" w:color="auto"/>
          </w:divBdr>
        </w:div>
        <w:div w:id="1304431051">
          <w:marLeft w:val="0"/>
          <w:marRight w:val="0"/>
          <w:marTop w:val="0"/>
          <w:marBottom w:val="0"/>
          <w:divBdr>
            <w:top w:val="none" w:sz="0" w:space="0" w:color="auto"/>
            <w:left w:val="none" w:sz="0" w:space="0" w:color="auto"/>
            <w:bottom w:val="none" w:sz="0" w:space="0" w:color="auto"/>
            <w:right w:val="none" w:sz="0" w:space="0" w:color="auto"/>
          </w:divBdr>
        </w:div>
        <w:div w:id="1346905896">
          <w:marLeft w:val="0"/>
          <w:marRight w:val="0"/>
          <w:marTop w:val="0"/>
          <w:marBottom w:val="0"/>
          <w:divBdr>
            <w:top w:val="none" w:sz="0" w:space="0" w:color="auto"/>
            <w:left w:val="none" w:sz="0" w:space="0" w:color="auto"/>
            <w:bottom w:val="none" w:sz="0" w:space="0" w:color="auto"/>
            <w:right w:val="none" w:sz="0" w:space="0" w:color="auto"/>
          </w:divBdr>
        </w:div>
        <w:div w:id="1431662609">
          <w:marLeft w:val="0"/>
          <w:marRight w:val="0"/>
          <w:marTop w:val="0"/>
          <w:marBottom w:val="0"/>
          <w:divBdr>
            <w:top w:val="none" w:sz="0" w:space="0" w:color="auto"/>
            <w:left w:val="none" w:sz="0" w:space="0" w:color="auto"/>
            <w:bottom w:val="none" w:sz="0" w:space="0" w:color="auto"/>
            <w:right w:val="none" w:sz="0" w:space="0" w:color="auto"/>
          </w:divBdr>
        </w:div>
        <w:div w:id="1447457398">
          <w:marLeft w:val="0"/>
          <w:marRight w:val="0"/>
          <w:marTop w:val="0"/>
          <w:marBottom w:val="0"/>
          <w:divBdr>
            <w:top w:val="none" w:sz="0" w:space="0" w:color="auto"/>
            <w:left w:val="none" w:sz="0" w:space="0" w:color="auto"/>
            <w:bottom w:val="none" w:sz="0" w:space="0" w:color="auto"/>
            <w:right w:val="none" w:sz="0" w:space="0" w:color="auto"/>
          </w:divBdr>
        </w:div>
        <w:div w:id="1538661077">
          <w:marLeft w:val="0"/>
          <w:marRight w:val="0"/>
          <w:marTop w:val="0"/>
          <w:marBottom w:val="0"/>
          <w:divBdr>
            <w:top w:val="none" w:sz="0" w:space="0" w:color="auto"/>
            <w:left w:val="none" w:sz="0" w:space="0" w:color="auto"/>
            <w:bottom w:val="none" w:sz="0" w:space="0" w:color="auto"/>
            <w:right w:val="none" w:sz="0" w:space="0" w:color="auto"/>
          </w:divBdr>
        </w:div>
        <w:div w:id="1639996808">
          <w:marLeft w:val="0"/>
          <w:marRight w:val="0"/>
          <w:marTop w:val="0"/>
          <w:marBottom w:val="0"/>
          <w:divBdr>
            <w:top w:val="none" w:sz="0" w:space="0" w:color="auto"/>
            <w:left w:val="none" w:sz="0" w:space="0" w:color="auto"/>
            <w:bottom w:val="none" w:sz="0" w:space="0" w:color="auto"/>
            <w:right w:val="none" w:sz="0" w:space="0" w:color="auto"/>
          </w:divBdr>
        </w:div>
        <w:div w:id="1699349908">
          <w:marLeft w:val="0"/>
          <w:marRight w:val="0"/>
          <w:marTop w:val="0"/>
          <w:marBottom w:val="0"/>
          <w:divBdr>
            <w:top w:val="none" w:sz="0" w:space="0" w:color="auto"/>
            <w:left w:val="none" w:sz="0" w:space="0" w:color="auto"/>
            <w:bottom w:val="none" w:sz="0" w:space="0" w:color="auto"/>
            <w:right w:val="none" w:sz="0" w:space="0" w:color="auto"/>
          </w:divBdr>
        </w:div>
        <w:div w:id="2017152107">
          <w:marLeft w:val="0"/>
          <w:marRight w:val="0"/>
          <w:marTop w:val="0"/>
          <w:marBottom w:val="0"/>
          <w:divBdr>
            <w:top w:val="none" w:sz="0" w:space="0" w:color="auto"/>
            <w:left w:val="none" w:sz="0" w:space="0" w:color="auto"/>
            <w:bottom w:val="none" w:sz="0" w:space="0" w:color="auto"/>
            <w:right w:val="none" w:sz="0" w:space="0" w:color="auto"/>
          </w:divBdr>
        </w:div>
      </w:divsChild>
    </w:div>
    <w:div w:id="1097140360">
      <w:bodyDiv w:val="1"/>
      <w:marLeft w:val="0"/>
      <w:marRight w:val="0"/>
      <w:marTop w:val="0"/>
      <w:marBottom w:val="0"/>
      <w:divBdr>
        <w:top w:val="none" w:sz="0" w:space="0" w:color="auto"/>
        <w:left w:val="none" w:sz="0" w:space="0" w:color="auto"/>
        <w:bottom w:val="none" w:sz="0" w:space="0" w:color="auto"/>
        <w:right w:val="none" w:sz="0" w:space="0" w:color="auto"/>
      </w:divBdr>
      <w:divsChild>
        <w:div w:id="155074495">
          <w:marLeft w:val="0"/>
          <w:marRight w:val="0"/>
          <w:marTop w:val="0"/>
          <w:marBottom w:val="0"/>
          <w:divBdr>
            <w:top w:val="none" w:sz="0" w:space="0" w:color="auto"/>
            <w:left w:val="none" w:sz="0" w:space="0" w:color="auto"/>
            <w:bottom w:val="none" w:sz="0" w:space="0" w:color="auto"/>
            <w:right w:val="none" w:sz="0" w:space="0" w:color="auto"/>
          </w:divBdr>
        </w:div>
        <w:div w:id="361365552">
          <w:marLeft w:val="0"/>
          <w:marRight w:val="0"/>
          <w:marTop w:val="0"/>
          <w:marBottom w:val="0"/>
          <w:divBdr>
            <w:top w:val="none" w:sz="0" w:space="0" w:color="auto"/>
            <w:left w:val="none" w:sz="0" w:space="0" w:color="auto"/>
            <w:bottom w:val="none" w:sz="0" w:space="0" w:color="auto"/>
            <w:right w:val="none" w:sz="0" w:space="0" w:color="auto"/>
          </w:divBdr>
        </w:div>
        <w:div w:id="814302460">
          <w:marLeft w:val="0"/>
          <w:marRight w:val="0"/>
          <w:marTop w:val="0"/>
          <w:marBottom w:val="0"/>
          <w:divBdr>
            <w:top w:val="none" w:sz="0" w:space="0" w:color="auto"/>
            <w:left w:val="none" w:sz="0" w:space="0" w:color="auto"/>
            <w:bottom w:val="none" w:sz="0" w:space="0" w:color="auto"/>
            <w:right w:val="none" w:sz="0" w:space="0" w:color="auto"/>
          </w:divBdr>
        </w:div>
        <w:div w:id="1096900907">
          <w:marLeft w:val="0"/>
          <w:marRight w:val="0"/>
          <w:marTop w:val="0"/>
          <w:marBottom w:val="0"/>
          <w:divBdr>
            <w:top w:val="none" w:sz="0" w:space="0" w:color="auto"/>
            <w:left w:val="none" w:sz="0" w:space="0" w:color="auto"/>
            <w:bottom w:val="none" w:sz="0" w:space="0" w:color="auto"/>
            <w:right w:val="none" w:sz="0" w:space="0" w:color="auto"/>
          </w:divBdr>
        </w:div>
        <w:div w:id="1362588886">
          <w:marLeft w:val="0"/>
          <w:marRight w:val="0"/>
          <w:marTop w:val="0"/>
          <w:marBottom w:val="0"/>
          <w:divBdr>
            <w:top w:val="none" w:sz="0" w:space="0" w:color="auto"/>
            <w:left w:val="none" w:sz="0" w:space="0" w:color="auto"/>
            <w:bottom w:val="none" w:sz="0" w:space="0" w:color="auto"/>
            <w:right w:val="none" w:sz="0" w:space="0" w:color="auto"/>
          </w:divBdr>
        </w:div>
        <w:div w:id="170756094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1153915831">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602033807">
      <w:bodyDiv w:val="1"/>
      <w:marLeft w:val="0"/>
      <w:marRight w:val="0"/>
      <w:marTop w:val="0"/>
      <w:marBottom w:val="0"/>
      <w:divBdr>
        <w:top w:val="none" w:sz="0" w:space="0" w:color="auto"/>
        <w:left w:val="none" w:sz="0" w:space="0" w:color="auto"/>
        <w:bottom w:val="none" w:sz="0" w:space="0" w:color="auto"/>
        <w:right w:val="none" w:sz="0" w:space="0" w:color="auto"/>
      </w:divBdr>
    </w:div>
    <w:div w:id="1617983468">
      <w:bodyDiv w:val="1"/>
      <w:marLeft w:val="0"/>
      <w:marRight w:val="0"/>
      <w:marTop w:val="0"/>
      <w:marBottom w:val="0"/>
      <w:divBdr>
        <w:top w:val="none" w:sz="0" w:space="0" w:color="auto"/>
        <w:left w:val="none" w:sz="0" w:space="0" w:color="auto"/>
        <w:bottom w:val="none" w:sz="0" w:space="0" w:color="auto"/>
        <w:right w:val="none" w:sz="0" w:space="0" w:color="auto"/>
      </w:divBdr>
    </w:div>
    <w:div w:id="1682471470">
      <w:bodyDiv w:val="1"/>
      <w:marLeft w:val="0"/>
      <w:marRight w:val="0"/>
      <w:marTop w:val="0"/>
      <w:marBottom w:val="0"/>
      <w:divBdr>
        <w:top w:val="none" w:sz="0" w:space="0" w:color="auto"/>
        <w:left w:val="none" w:sz="0" w:space="0" w:color="auto"/>
        <w:bottom w:val="none" w:sz="0" w:space="0" w:color="auto"/>
        <w:right w:val="none" w:sz="0" w:space="0" w:color="auto"/>
      </w:divBdr>
      <w:divsChild>
        <w:div w:id="128136983">
          <w:marLeft w:val="0"/>
          <w:marRight w:val="0"/>
          <w:marTop w:val="0"/>
          <w:marBottom w:val="0"/>
          <w:divBdr>
            <w:top w:val="none" w:sz="0" w:space="0" w:color="auto"/>
            <w:left w:val="none" w:sz="0" w:space="0" w:color="auto"/>
            <w:bottom w:val="none" w:sz="0" w:space="0" w:color="auto"/>
            <w:right w:val="none" w:sz="0" w:space="0" w:color="auto"/>
          </w:divBdr>
        </w:div>
        <w:div w:id="148906593">
          <w:marLeft w:val="0"/>
          <w:marRight w:val="0"/>
          <w:marTop w:val="0"/>
          <w:marBottom w:val="0"/>
          <w:divBdr>
            <w:top w:val="none" w:sz="0" w:space="0" w:color="auto"/>
            <w:left w:val="none" w:sz="0" w:space="0" w:color="auto"/>
            <w:bottom w:val="none" w:sz="0" w:space="0" w:color="auto"/>
            <w:right w:val="none" w:sz="0" w:space="0" w:color="auto"/>
          </w:divBdr>
        </w:div>
        <w:div w:id="266691669">
          <w:marLeft w:val="0"/>
          <w:marRight w:val="0"/>
          <w:marTop w:val="0"/>
          <w:marBottom w:val="0"/>
          <w:divBdr>
            <w:top w:val="none" w:sz="0" w:space="0" w:color="auto"/>
            <w:left w:val="none" w:sz="0" w:space="0" w:color="auto"/>
            <w:bottom w:val="none" w:sz="0" w:space="0" w:color="auto"/>
            <w:right w:val="none" w:sz="0" w:space="0" w:color="auto"/>
          </w:divBdr>
        </w:div>
        <w:div w:id="529955865">
          <w:marLeft w:val="0"/>
          <w:marRight w:val="0"/>
          <w:marTop w:val="0"/>
          <w:marBottom w:val="0"/>
          <w:divBdr>
            <w:top w:val="none" w:sz="0" w:space="0" w:color="auto"/>
            <w:left w:val="none" w:sz="0" w:space="0" w:color="auto"/>
            <w:bottom w:val="none" w:sz="0" w:space="0" w:color="auto"/>
            <w:right w:val="none" w:sz="0" w:space="0" w:color="auto"/>
          </w:divBdr>
        </w:div>
        <w:div w:id="578441166">
          <w:marLeft w:val="0"/>
          <w:marRight w:val="0"/>
          <w:marTop w:val="0"/>
          <w:marBottom w:val="0"/>
          <w:divBdr>
            <w:top w:val="none" w:sz="0" w:space="0" w:color="auto"/>
            <w:left w:val="none" w:sz="0" w:space="0" w:color="auto"/>
            <w:bottom w:val="none" w:sz="0" w:space="0" w:color="auto"/>
            <w:right w:val="none" w:sz="0" w:space="0" w:color="auto"/>
          </w:divBdr>
        </w:div>
        <w:div w:id="637344614">
          <w:marLeft w:val="0"/>
          <w:marRight w:val="0"/>
          <w:marTop w:val="0"/>
          <w:marBottom w:val="0"/>
          <w:divBdr>
            <w:top w:val="none" w:sz="0" w:space="0" w:color="auto"/>
            <w:left w:val="none" w:sz="0" w:space="0" w:color="auto"/>
            <w:bottom w:val="none" w:sz="0" w:space="0" w:color="auto"/>
            <w:right w:val="none" w:sz="0" w:space="0" w:color="auto"/>
          </w:divBdr>
        </w:div>
        <w:div w:id="863203298">
          <w:marLeft w:val="0"/>
          <w:marRight w:val="0"/>
          <w:marTop w:val="0"/>
          <w:marBottom w:val="0"/>
          <w:divBdr>
            <w:top w:val="none" w:sz="0" w:space="0" w:color="auto"/>
            <w:left w:val="none" w:sz="0" w:space="0" w:color="auto"/>
            <w:bottom w:val="none" w:sz="0" w:space="0" w:color="auto"/>
            <w:right w:val="none" w:sz="0" w:space="0" w:color="auto"/>
          </w:divBdr>
        </w:div>
        <w:div w:id="994601542">
          <w:marLeft w:val="0"/>
          <w:marRight w:val="0"/>
          <w:marTop w:val="0"/>
          <w:marBottom w:val="0"/>
          <w:divBdr>
            <w:top w:val="none" w:sz="0" w:space="0" w:color="auto"/>
            <w:left w:val="none" w:sz="0" w:space="0" w:color="auto"/>
            <w:bottom w:val="none" w:sz="0" w:space="0" w:color="auto"/>
            <w:right w:val="none" w:sz="0" w:space="0" w:color="auto"/>
          </w:divBdr>
        </w:div>
        <w:div w:id="1071391028">
          <w:marLeft w:val="0"/>
          <w:marRight w:val="0"/>
          <w:marTop w:val="0"/>
          <w:marBottom w:val="0"/>
          <w:divBdr>
            <w:top w:val="none" w:sz="0" w:space="0" w:color="auto"/>
            <w:left w:val="none" w:sz="0" w:space="0" w:color="auto"/>
            <w:bottom w:val="none" w:sz="0" w:space="0" w:color="auto"/>
            <w:right w:val="none" w:sz="0" w:space="0" w:color="auto"/>
          </w:divBdr>
        </w:div>
        <w:div w:id="1109859698">
          <w:marLeft w:val="0"/>
          <w:marRight w:val="0"/>
          <w:marTop w:val="0"/>
          <w:marBottom w:val="0"/>
          <w:divBdr>
            <w:top w:val="none" w:sz="0" w:space="0" w:color="auto"/>
            <w:left w:val="none" w:sz="0" w:space="0" w:color="auto"/>
            <w:bottom w:val="none" w:sz="0" w:space="0" w:color="auto"/>
            <w:right w:val="none" w:sz="0" w:space="0" w:color="auto"/>
          </w:divBdr>
        </w:div>
        <w:div w:id="1395591330">
          <w:marLeft w:val="0"/>
          <w:marRight w:val="0"/>
          <w:marTop w:val="0"/>
          <w:marBottom w:val="0"/>
          <w:divBdr>
            <w:top w:val="none" w:sz="0" w:space="0" w:color="auto"/>
            <w:left w:val="none" w:sz="0" w:space="0" w:color="auto"/>
            <w:bottom w:val="none" w:sz="0" w:space="0" w:color="auto"/>
            <w:right w:val="none" w:sz="0" w:space="0" w:color="auto"/>
          </w:divBdr>
        </w:div>
        <w:div w:id="1497107256">
          <w:marLeft w:val="0"/>
          <w:marRight w:val="0"/>
          <w:marTop w:val="0"/>
          <w:marBottom w:val="0"/>
          <w:divBdr>
            <w:top w:val="none" w:sz="0" w:space="0" w:color="auto"/>
            <w:left w:val="none" w:sz="0" w:space="0" w:color="auto"/>
            <w:bottom w:val="none" w:sz="0" w:space="0" w:color="auto"/>
            <w:right w:val="none" w:sz="0" w:space="0" w:color="auto"/>
          </w:divBdr>
        </w:div>
        <w:div w:id="1521121301">
          <w:marLeft w:val="0"/>
          <w:marRight w:val="0"/>
          <w:marTop w:val="0"/>
          <w:marBottom w:val="0"/>
          <w:divBdr>
            <w:top w:val="none" w:sz="0" w:space="0" w:color="auto"/>
            <w:left w:val="none" w:sz="0" w:space="0" w:color="auto"/>
            <w:bottom w:val="none" w:sz="0" w:space="0" w:color="auto"/>
            <w:right w:val="none" w:sz="0" w:space="0" w:color="auto"/>
          </w:divBdr>
        </w:div>
        <w:div w:id="1583877436">
          <w:marLeft w:val="0"/>
          <w:marRight w:val="0"/>
          <w:marTop w:val="0"/>
          <w:marBottom w:val="0"/>
          <w:divBdr>
            <w:top w:val="none" w:sz="0" w:space="0" w:color="auto"/>
            <w:left w:val="none" w:sz="0" w:space="0" w:color="auto"/>
            <w:bottom w:val="none" w:sz="0" w:space="0" w:color="auto"/>
            <w:right w:val="none" w:sz="0" w:space="0" w:color="auto"/>
          </w:divBdr>
        </w:div>
        <w:div w:id="1659648284">
          <w:marLeft w:val="0"/>
          <w:marRight w:val="0"/>
          <w:marTop w:val="0"/>
          <w:marBottom w:val="0"/>
          <w:divBdr>
            <w:top w:val="none" w:sz="0" w:space="0" w:color="auto"/>
            <w:left w:val="none" w:sz="0" w:space="0" w:color="auto"/>
            <w:bottom w:val="none" w:sz="0" w:space="0" w:color="auto"/>
            <w:right w:val="none" w:sz="0" w:space="0" w:color="auto"/>
          </w:divBdr>
        </w:div>
        <w:div w:id="1696073051">
          <w:marLeft w:val="0"/>
          <w:marRight w:val="0"/>
          <w:marTop w:val="0"/>
          <w:marBottom w:val="0"/>
          <w:divBdr>
            <w:top w:val="none" w:sz="0" w:space="0" w:color="auto"/>
            <w:left w:val="none" w:sz="0" w:space="0" w:color="auto"/>
            <w:bottom w:val="none" w:sz="0" w:space="0" w:color="auto"/>
            <w:right w:val="none" w:sz="0" w:space="0" w:color="auto"/>
          </w:divBdr>
        </w:div>
        <w:div w:id="1789813276">
          <w:marLeft w:val="0"/>
          <w:marRight w:val="0"/>
          <w:marTop w:val="0"/>
          <w:marBottom w:val="0"/>
          <w:divBdr>
            <w:top w:val="none" w:sz="0" w:space="0" w:color="auto"/>
            <w:left w:val="none" w:sz="0" w:space="0" w:color="auto"/>
            <w:bottom w:val="none" w:sz="0" w:space="0" w:color="auto"/>
            <w:right w:val="none" w:sz="0" w:space="0" w:color="auto"/>
          </w:divBdr>
        </w:div>
        <w:div w:id="1795556853">
          <w:marLeft w:val="0"/>
          <w:marRight w:val="0"/>
          <w:marTop w:val="0"/>
          <w:marBottom w:val="0"/>
          <w:divBdr>
            <w:top w:val="none" w:sz="0" w:space="0" w:color="auto"/>
            <w:left w:val="none" w:sz="0" w:space="0" w:color="auto"/>
            <w:bottom w:val="none" w:sz="0" w:space="0" w:color="auto"/>
            <w:right w:val="none" w:sz="0" w:space="0" w:color="auto"/>
          </w:divBdr>
        </w:div>
        <w:div w:id="1914119443">
          <w:marLeft w:val="0"/>
          <w:marRight w:val="0"/>
          <w:marTop w:val="0"/>
          <w:marBottom w:val="0"/>
          <w:divBdr>
            <w:top w:val="none" w:sz="0" w:space="0" w:color="auto"/>
            <w:left w:val="none" w:sz="0" w:space="0" w:color="auto"/>
            <w:bottom w:val="none" w:sz="0" w:space="0" w:color="auto"/>
            <w:right w:val="none" w:sz="0" w:space="0" w:color="auto"/>
          </w:divBdr>
        </w:div>
        <w:div w:id="2032293629">
          <w:marLeft w:val="0"/>
          <w:marRight w:val="0"/>
          <w:marTop w:val="0"/>
          <w:marBottom w:val="0"/>
          <w:divBdr>
            <w:top w:val="none" w:sz="0" w:space="0" w:color="auto"/>
            <w:left w:val="none" w:sz="0" w:space="0" w:color="auto"/>
            <w:bottom w:val="none" w:sz="0" w:space="0" w:color="auto"/>
            <w:right w:val="none" w:sz="0" w:space="0" w:color="auto"/>
          </w:divBdr>
        </w:div>
        <w:div w:id="2118209738">
          <w:marLeft w:val="0"/>
          <w:marRight w:val="0"/>
          <w:marTop w:val="0"/>
          <w:marBottom w:val="0"/>
          <w:divBdr>
            <w:top w:val="none" w:sz="0" w:space="0" w:color="auto"/>
            <w:left w:val="none" w:sz="0" w:space="0" w:color="auto"/>
            <w:bottom w:val="none" w:sz="0" w:space="0" w:color="auto"/>
            <w:right w:val="none" w:sz="0" w:space="0" w:color="auto"/>
          </w:divBdr>
        </w:div>
      </w:divsChild>
    </w:div>
    <w:div w:id="1783264206">
      <w:bodyDiv w:val="1"/>
      <w:marLeft w:val="0"/>
      <w:marRight w:val="0"/>
      <w:marTop w:val="0"/>
      <w:marBottom w:val="0"/>
      <w:divBdr>
        <w:top w:val="none" w:sz="0" w:space="0" w:color="auto"/>
        <w:left w:val="none" w:sz="0" w:space="0" w:color="auto"/>
        <w:bottom w:val="none" w:sz="0" w:space="0" w:color="auto"/>
        <w:right w:val="none" w:sz="0" w:space="0" w:color="auto"/>
      </w:divBdr>
      <w:divsChild>
        <w:div w:id="1163855541">
          <w:marLeft w:val="0"/>
          <w:marRight w:val="0"/>
          <w:marTop w:val="0"/>
          <w:marBottom w:val="0"/>
          <w:divBdr>
            <w:top w:val="none" w:sz="0" w:space="0" w:color="auto"/>
            <w:left w:val="none" w:sz="0" w:space="0" w:color="auto"/>
            <w:bottom w:val="none" w:sz="0" w:space="0" w:color="auto"/>
            <w:right w:val="none" w:sz="0" w:space="0" w:color="auto"/>
          </w:divBdr>
          <w:divsChild>
            <w:div w:id="526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844785549">
      <w:bodyDiv w:val="1"/>
      <w:marLeft w:val="0"/>
      <w:marRight w:val="0"/>
      <w:marTop w:val="0"/>
      <w:marBottom w:val="0"/>
      <w:divBdr>
        <w:top w:val="none" w:sz="0" w:space="0" w:color="auto"/>
        <w:left w:val="none" w:sz="0" w:space="0" w:color="auto"/>
        <w:bottom w:val="none" w:sz="0" w:space="0" w:color="auto"/>
        <w:right w:val="none" w:sz="0" w:space="0" w:color="auto"/>
      </w:divBdr>
    </w:div>
    <w:div w:id="1862041301">
      <w:bodyDiv w:val="1"/>
      <w:marLeft w:val="0"/>
      <w:marRight w:val="0"/>
      <w:marTop w:val="0"/>
      <w:marBottom w:val="0"/>
      <w:divBdr>
        <w:top w:val="none" w:sz="0" w:space="0" w:color="auto"/>
        <w:left w:val="none" w:sz="0" w:space="0" w:color="auto"/>
        <w:bottom w:val="none" w:sz="0" w:space="0" w:color="auto"/>
        <w:right w:val="none" w:sz="0" w:space="0" w:color="auto"/>
      </w:divBdr>
      <w:divsChild>
        <w:div w:id="1491827156">
          <w:marLeft w:val="0"/>
          <w:marRight w:val="0"/>
          <w:marTop w:val="0"/>
          <w:marBottom w:val="0"/>
          <w:divBdr>
            <w:top w:val="none" w:sz="0" w:space="0" w:color="auto"/>
            <w:left w:val="none" w:sz="0" w:space="0" w:color="auto"/>
            <w:bottom w:val="none" w:sz="0" w:space="0" w:color="auto"/>
            <w:right w:val="none" w:sz="0" w:space="0" w:color="auto"/>
          </w:divBdr>
        </w:div>
        <w:div w:id="1508061587">
          <w:marLeft w:val="0"/>
          <w:marRight w:val="0"/>
          <w:marTop w:val="0"/>
          <w:marBottom w:val="0"/>
          <w:divBdr>
            <w:top w:val="none" w:sz="0" w:space="0" w:color="auto"/>
            <w:left w:val="none" w:sz="0" w:space="0" w:color="auto"/>
            <w:bottom w:val="none" w:sz="0" w:space="0" w:color="auto"/>
            <w:right w:val="none" w:sz="0" w:space="0" w:color="auto"/>
          </w:divBdr>
        </w:div>
      </w:divsChild>
    </w:div>
    <w:div w:id="1942182740">
      <w:bodyDiv w:val="1"/>
      <w:marLeft w:val="0"/>
      <w:marRight w:val="0"/>
      <w:marTop w:val="0"/>
      <w:marBottom w:val="0"/>
      <w:divBdr>
        <w:top w:val="none" w:sz="0" w:space="0" w:color="auto"/>
        <w:left w:val="none" w:sz="0" w:space="0" w:color="auto"/>
        <w:bottom w:val="none" w:sz="0" w:space="0" w:color="auto"/>
        <w:right w:val="none" w:sz="0" w:space="0" w:color="auto"/>
      </w:divBdr>
      <w:divsChild>
        <w:div w:id="353456340">
          <w:marLeft w:val="0"/>
          <w:marRight w:val="0"/>
          <w:marTop w:val="0"/>
          <w:marBottom w:val="0"/>
          <w:divBdr>
            <w:top w:val="none" w:sz="0" w:space="0" w:color="auto"/>
            <w:left w:val="none" w:sz="0" w:space="0" w:color="auto"/>
            <w:bottom w:val="none" w:sz="0" w:space="0" w:color="auto"/>
            <w:right w:val="none" w:sz="0" w:space="0" w:color="auto"/>
          </w:divBdr>
        </w:div>
        <w:div w:id="412624940">
          <w:marLeft w:val="0"/>
          <w:marRight w:val="0"/>
          <w:marTop w:val="0"/>
          <w:marBottom w:val="0"/>
          <w:divBdr>
            <w:top w:val="none" w:sz="0" w:space="0" w:color="auto"/>
            <w:left w:val="none" w:sz="0" w:space="0" w:color="auto"/>
            <w:bottom w:val="none" w:sz="0" w:space="0" w:color="auto"/>
            <w:right w:val="none" w:sz="0" w:space="0" w:color="auto"/>
          </w:divBdr>
        </w:div>
        <w:div w:id="511071949">
          <w:marLeft w:val="0"/>
          <w:marRight w:val="0"/>
          <w:marTop w:val="0"/>
          <w:marBottom w:val="0"/>
          <w:divBdr>
            <w:top w:val="none" w:sz="0" w:space="0" w:color="auto"/>
            <w:left w:val="none" w:sz="0" w:space="0" w:color="auto"/>
            <w:bottom w:val="none" w:sz="0" w:space="0" w:color="auto"/>
            <w:right w:val="none" w:sz="0" w:space="0" w:color="auto"/>
          </w:divBdr>
        </w:div>
        <w:div w:id="591474287">
          <w:marLeft w:val="0"/>
          <w:marRight w:val="0"/>
          <w:marTop w:val="0"/>
          <w:marBottom w:val="0"/>
          <w:divBdr>
            <w:top w:val="none" w:sz="0" w:space="0" w:color="auto"/>
            <w:left w:val="none" w:sz="0" w:space="0" w:color="auto"/>
            <w:bottom w:val="none" w:sz="0" w:space="0" w:color="auto"/>
            <w:right w:val="none" w:sz="0" w:space="0" w:color="auto"/>
          </w:divBdr>
        </w:div>
        <w:div w:id="616567184">
          <w:marLeft w:val="0"/>
          <w:marRight w:val="0"/>
          <w:marTop w:val="0"/>
          <w:marBottom w:val="0"/>
          <w:divBdr>
            <w:top w:val="none" w:sz="0" w:space="0" w:color="auto"/>
            <w:left w:val="none" w:sz="0" w:space="0" w:color="auto"/>
            <w:bottom w:val="none" w:sz="0" w:space="0" w:color="auto"/>
            <w:right w:val="none" w:sz="0" w:space="0" w:color="auto"/>
          </w:divBdr>
        </w:div>
        <w:div w:id="788279280">
          <w:marLeft w:val="0"/>
          <w:marRight w:val="0"/>
          <w:marTop w:val="0"/>
          <w:marBottom w:val="0"/>
          <w:divBdr>
            <w:top w:val="none" w:sz="0" w:space="0" w:color="auto"/>
            <w:left w:val="none" w:sz="0" w:space="0" w:color="auto"/>
            <w:bottom w:val="none" w:sz="0" w:space="0" w:color="auto"/>
            <w:right w:val="none" w:sz="0" w:space="0" w:color="auto"/>
          </w:divBdr>
        </w:div>
        <w:div w:id="803733786">
          <w:marLeft w:val="0"/>
          <w:marRight w:val="0"/>
          <w:marTop w:val="0"/>
          <w:marBottom w:val="0"/>
          <w:divBdr>
            <w:top w:val="none" w:sz="0" w:space="0" w:color="auto"/>
            <w:left w:val="none" w:sz="0" w:space="0" w:color="auto"/>
            <w:bottom w:val="none" w:sz="0" w:space="0" w:color="auto"/>
            <w:right w:val="none" w:sz="0" w:space="0" w:color="auto"/>
          </w:divBdr>
        </w:div>
        <w:div w:id="865942173">
          <w:marLeft w:val="0"/>
          <w:marRight w:val="0"/>
          <w:marTop w:val="0"/>
          <w:marBottom w:val="0"/>
          <w:divBdr>
            <w:top w:val="none" w:sz="0" w:space="0" w:color="auto"/>
            <w:left w:val="none" w:sz="0" w:space="0" w:color="auto"/>
            <w:bottom w:val="none" w:sz="0" w:space="0" w:color="auto"/>
            <w:right w:val="none" w:sz="0" w:space="0" w:color="auto"/>
          </w:divBdr>
        </w:div>
        <w:div w:id="933635194">
          <w:marLeft w:val="0"/>
          <w:marRight w:val="0"/>
          <w:marTop w:val="0"/>
          <w:marBottom w:val="0"/>
          <w:divBdr>
            <w:top w:val="none" w:sz="0" w:space="0" w:color="auto"/>
            <w:left w:val="none" w:sz="0" w:space="0" w:color="auto"/>
            <w:bottom w:val="none" w:sz="0" w:space="0" w:color="auto"/>
            <w:right w:val="none" w:sz="0" w:space="0" w:color="auto"/>
          </w:divBdr>
        </w:div>
        <w:div w:id="1213809486">
          <w:marLeft w:val="0"/>
          <w:marRight w:val="0"/>
          <w:marTop w:val="0"/>
          <w:marBottom w:val="0"/>
          <w:divBdr>
            <w:top w:val="none" w:sz="0" w:space="0" w:color="auto"/>
            <w:left w:val="none" w:sz="0" w:space="0" w:color="auto"/>
            <w:bottom w:val="none" w:sz="0" w:space="0" w:color="auto"/>
            <w:right w:val="none" w:sz="0" w:space="0" w:color="auto"/>
          </w:divBdr>
        </w:div>
        <w:div w:id="1353845992">
          <w:marLeft w:val="0"/>
          <w:marRight w:val="0"/>
          <w:marTop w:val="0"/>
          <w:marBottom w:val="0"/>
          <w:divBdr>
            <w:top w:val="none" w:sz="0" w:space="0" w:color="auto"/>
            <w:left w:val="none" w:sz="0" w:space="0" w:color="auto"/>
            <w:bottom w:val="none" w:sz="0" w:space="0" w:color="auto"/>
            <w:right w:val="none" w:sz="0" w:space="0" w:color="auto"/>
          </w:divBdr>
        </w:div>
        <w:div w:id="1447693567">
          <w:marLeft w:val="0"/>
          <w:marRight w:val="0"/>
          <w:marTop w:val="0"/>
          <w:marBottom w:val="0"/>
          <w:divBdr>
            <w:top w:val="none" w:sz="0" w:space="0" w:color="auto"/>
            <w:left w:val="none" w:sz="0" w:space="0" w:color="auto"/>
            <w:bottom w:val="none" w:sz="0" w:space="0" w:color="auto"/>
            <w:right w:val="none" w:sz="0" w:space="0" w:color="auto"/>
          </w:divBdr>
        </w:div>
        <w:div w:id="1685939126">
          <w:marLeft w:val="0"/>
          <w:marRight w:val="0"/>
          <w:marTop w:val="0"/>
          <w:marBottom w:val="0"/>
          <w:divBdr>
            <w:top w:val="none" w:sz="0" w:space="0" w:color="auto"/>
            <w:left w:val="none" w:sz="0" w:space="0" w:color="auto"/>
            <w:bottom w:val="none" w:sz="0" w:space="0" w:color="auto"/>
            <w:right w:val="none" w:sz="0" w:space="0" w:color="auto"/>
          </w:divBdr>
        </w:div>
        <w:div w:id="1810126432">
          <w:marLeft w:val="0"/>
          <w:marRight w:val="0"/>
          <w:marTop w:val="0"/>
          <w:marBottom w:val="0"/>
          <w:divBdr>
            <w:top w:val="none" w:sz="0" w:space="0" w:color="auto"/>
            <w:left w:val="none" w:sz="0" w:space="0" w:color="auto"/>
            <w:bottom w:val="none" w:sz="0" w:space="0" w:color="auto"/>
            <w:right w:val="none" w:sz="0" w:space="0" w:color="auto"/>
          </w:divBdr>
        </w:div>
        <w:div w:id="1813786150">
          <w:marLeft w:val="0"/>
          <w:marRight w:val="0"/>
          <w:marTop w:val="0"/>
          <w:marBottom w:val="0"/>
          <w:divBdr>
            <w:top w:val="none" w:sz="0" w:space="0" w:color="auto"/>
            <w:left w:val="none" w:sz="0" w:space="0" w:color="auto"/>
            <w:bottom w:val="none" w:sz="0" w:space="0" w:color="auto"/>
            <w:right w:val="none" w:sz="0" w:space="0" w:color="auto"/>
          </w:divBdr>
        </w:div>
        <w:div w:id="1951469536">
          <w:marLeft w:val="0"/>
          <w:marRight w:val="0"/>
          <w:marTop w:val="0"/>
          <w:marBottom w:val="0"/>
          <w:divBdr>
            <w:top w:val="none" w:sz="0" w:space="0" w:color="auto"/>
            <w:left w:val="none" w:sz="0" w:space="0" w:color="auto"/>
            <w:bottom w:val="none" w:sz="0" w:space="0" w:color="auto"/>
            <w:right w:val="none" w:sz="0" w:space="0" w:color="auto"/>
          </w:divBdr>
        </w:div>
      </w:divsChild>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 w:id="2079284483">
      <w:bodyDiv w:val="1"/>
      <w:marLeft w:val="0"/>
      <w:marRight w:val="0"/>
      <w:marTop w:val="0"/>
      <w:marBottom w:val="0"/>
      <w:divBdr>
        <w:top w:val="none" w:sz="0" w:space="0" w:color="auto"/>
        <w:left w:val="none" w:sz="0" w:space="0" w:color="auto"/>
        <w:bottom w:val="none" w:sz="0" w:space="0" w:color="auto"/>
        <w:right w:val="none" w:sz="0" w:space="0" w:color="auto"/>
      </w:divBdr>
      <w:divsChild>
        <w:div w:id="39020111">
          <w:marLeft w:val="0"/>
          <w:marRight w:val="0"/>
          <w:marTop w:val="0"/>
          <w:marBottom w:val="0"/>
          <w:divBdr>
            <w:top w:val="none" w:sz="0" w:space="0" w:color="auto"/>
            <w:left w:val="none" w:sz="0" w:space="0" w:color="auto"/>
            <w:bottom w:val="none" w:sz="0" w:space="0" w:color="auto"/>
            <w:right w:val="none" w:sz="0" w:space="0" w:color="auto"/>
          </w:divBdr>
        </w:div>
        <w:div w:id="114713786">
          <w:marLeft w:val="0"/>
          <w:marRight w:val="0"/>
          <w:marTop w:val="0"/>
          <w:marBottom w:val="0"/>
          <w:divBdr>
            <w:top w:val="none" w:sz="0" w:space="0" w:color="auto"/>
            <w:left w:val="none" w:sz="0" w:space="0" w:color="auto"/>
            <w:bottom w:val="none" w:sz="0" w:space="0" w:color="auto"/>
            <w:right w:val="none" w:sz="0" w:space="0" w:color="auto"/>
          </w:divBdr>
        </w:div>
        <w:div w:id="317346451">
          <w:marLeft w:val="0"/>
          <w:marRight w:val="0"/>
          <w:marTop w:val="0"/>
          <w:marBottom w:val="0"/>
          <w:divBdr>
            <w:top w:val="none" w:sz="0" w:space="0" w:color="auto"/>
            <w:left w:val="none" w:sz="0" w:space="0" w:color="auto"/>
            <w:bottom w:val="none" w:sz="0" w:space="0" w:color="auto"/>
            <w:right w:val="none" w:sz="0" w:space="0" w:color="auto"/>
          </w:divBdr>
        </w:div>
        <w:div w:id="395519747">
          <w:marLeft w:val="0"/>
          <w:marRight w:val="0"/>
          <w:marTop w:val="0"/>
          <w:marBottom w:val="0"/>
          <w:divBdr>
            <w:top w:val="none" w:sz="0" w:space="0" w:color="auto"/>
            <w:left w:val="none" w:sz="0" w:space="0" w:color="auto"/>
            <w:bottom w:val="none" w:sz="0" w:space="0" w:color="auto"/>
            <w:right w:val="none" w:sz="0" w:space="0" w:color="auto"/>
          </w:divBdr>
        </w:div>
        <w:div w:id="642270546">
          <w:marLeft w:val="0"/>
          <w:marRight w:val="0"/>
          <w:marTop w:val="0"/>
          <w:marBottom w:val="0"/>
          <w:divBdr>
            <w:top w:val="none" w:sz="0" w:space="0" w:color="auto"/>
            <w:left w:val="none" w:sz="0" w:space="0" w:color="auto"/>
            <w:bottom w:val="none" w:sz="0" w:space="0" w:color="auto"/>
            <w:right w:val="none" w:sz="0" w:space="0" w:color="auto"/>
          </w:divBdr>
        </w:div>
        <w:div w:id="795752858">
          <w:marLeft w:val="0"/>
          <w:marRight w:val="0"/>
          <w:marTop w:val="0"/>
          <w:marBottom w:val="0"/>
          <w:divBdr>
            <w:top w:val="none" w:sz="0" w:space="0" w:color="auto"/>
            <w:left w:val="none" w:sz="0" w:space="0" w:color="auto"/>
            <w:bottom w:val="none" w:sz="0" w:space="0" w:color="auto"/>
            <w:right w:val="none" w:sz="0" w:space="0" w:color="auto"/>
          </w:divBdr>
        </w:div>
        <w:div w:id="977875486">
          <w:marLeft w:val="0"/>
          <w:marRight w:val="0"/>
          <w:marTop w:val="0"/>
          <w:marBottom w:val="0"/>
          <w:divBdr>
            <w:top w:val="none" w:sz="0" w:space="0" w:color="auto"/>
            <w:left w:val="none" w:sz="0" w:space="0" w:color="auto"/>
            <w:bottom w:val="none" w:sz="0" w:space="0" w:color="auto"/>
            <w:right w:val="none" w:sz="0" w:space="0" w:color="auto"/>
          </w:divBdr>
        </w:div>
        <w:div w:id="1142383314">
          <w:marLeft w:val="0"/>
          <w:marRight w:val="0"/>
          <w:marTop w:val="0"/>
          <w:marBottom w:val="0"/>
          <w:divBdr>
            <w:top w:val="none" w:sz="0" w:space="0" w:color="auto"/>
            <w:left w:val="none" w:sz="0" w:space="0" w:color="auto"/>
            <w:bottom w:val="none" w:sz="0" w:space="0" w:color="auto"/>
            <w:right w:val="none" w:sz="0" w:space="0" w:color="auto"/>
          </w:divBdr>
        </w:div>
        <w:div w:id="1145898431">
          <w:marLeft w:val="0"/>
          <w:marRight w:val="0"/>
          <w:marTop w:val="0"/>
          <w:marBottom w:val="0"/>
          <w:divBdr>
            <w:top w:val="none" w:sz="0" w:space="0" w:color="auto"/>
            <w:left w:val="none" w:sz="0" w:space="0" w:color="auto"/>
            <w:bottom w:val="none" w:sz="0" w:space="0" w:color="auto"/>
            <w:right w:val="none" w:sz="0" w:space="0" w:color="auto"/>
          </w:divBdr>
        </w:div>
        <w:div w:id="1164853291">
          <w:marLeft w:val="0"/>
          <w:marRight w:val="0"/>
          <w:marTop w:val="0"/>
          <w:marBottom w:val="0"/>
          <w:divBdr>
            <w:top w:val="none" w:sz="0" w:space="0" w:color="auto"/>
            <w:left w:val="none" w:sz="0" w:space="0" w:color="auto"/>
            <w:bottom w:val="none" w:sz="0" w:space="0" w:color="auto"/>
            <w:right w:val="none" w:sz="0" w:space="0" w:color="auto"/>
          </w:divBdr>
        </w:div>
        <w:div w:id="1301351027">
          <w:marLeft w:val="0"/>
          <w:marRight w:val="0"/>
          <w:marTop w:val="0"/>
          <w:marBottom w:val="0"/>
          <w:divBdr>
            <w:top w:val="none" w:sz="0" w:space="0" w:color="auto"/>
            <w:left w:val="none" w:sz="0" w:space="0" w:color="auto"/>
            <w:bottom w:val="none" w:sz="0" w:space="0" w:color="auto"/>
            <w:right w:val="none" w:sz="0" w:space="0" w:color="auto"/>
          </w:divBdr>
        </w:div>
        <w:div w:id="1361710468">
          <w:marLeft w:val="0"/>
          <w:marRight w:val="0"/>
          <w:marTop w:val="0"/>
          <w:marBottom w:val="0"/>
          <w:divBdr>
            <w:top w:val="none" w:sz="0" w:space="0" w:color="auto"/>
            <w:left w:val="none" w:sz="0" w:space="0" w:color="auto"/>
            <w:bottom w:val="none" w:sz="0" w:space="0" w:color="auto"/>
            <w:right w:val="none" w:sz="0" w:space="0" w:color="auto"/>
          </w:divBdr>
        </w:div>
        <w:div w:id="1366563237">
          <w:marLeft w:val="0"/>
          <w:marRight w:val="0"/>
          <w:marTop w:val="0"/>
          <w:marBottom w:val="0"/>
          <w:divBdr>
            <w:top w:val="none" w:sz="0" w:space="0" w:color="auto"/>
            <w:left w:val="none" w:sz="0" w:space="0" w:color="auto"/>
            <w:bottom w:val="none" w:sz="0" w:space="0" w:color="auto"/>
            <w:right w:val="none" w:sz="0" w:space="0" w:color="auto"/>
          </w:divBdr>
        </w:div>
        <w:div w:id="1371998774">
          <w:marLeft w:val="0"/>
          <w:marRight w:val="0"/>
          <w:marTop w:val="0"/>
          <w:marBottom w:val="0"/>
          <w:divBdr>
            <w:top w:val="none" w:sz="0" w:space="0" w:color="auto"/>
            <w:left w:val="none" w:sz="0" w:space="0" w:color="auto"/>
            <w:bottom w:val="none" w:sz="0" w:space="0" w:color="auto"/>
            <w:right w:val="none" w:sz="0" w:space="0" w:color="auto"/>
          </w:divBdr>
        </w:div>
        <w:div w:id="1393693886">
          <w:marLeft w:val="0"/>
          <w:marRight w:val="0"/>
          <w:marTop w:val="0"/>
          <w:marBottom w:val="0"/>
          <w:divBdr>
            <w:top w:val="none" w:sz="0" w:space="0" w:color="auto"/>
            <w:left w:val="none" w:sz="0" w:space="0" w:color="auto"/>
            <w:bottom w:val="none" w:sz="0" w:space="0" w:color="auto"/>
            <w:right w:val="none" w:sz="0" w:space="0" w:color="auto"/>
          </w:divBdr>
        </w:div>
        <w:div w:id="1458530557">
          <w:marLeft w:val="0"/>
          <w:marRight w:val="0"/>
          <w:marTop w:val="0"/>
          <w:marBottom w:val="0"/>
          <w:divBdr>
            <w:top w:val="none" w:sz="0" w:space="0" w:color="auto"/>
            <w:left w:val="none" w:sz="0" w:space="0" w:color="auto"/>
            <w:bottom w:val="none" w:sz="0" w:space="0" w:color="auto"/>
            <w:right w:val="none" w:sz="0" w:space="0" w:color="auto"/>
          </w:divBdr>
        </w:div>
        <w:div w:id="1648047722">
          <w:marLeft w:val="0"/>
          <w:marRight w:val="0"/>
          <w:marTop w:val="0"/>
          <w:marBottom w:val="0"/>
          <w:divBdr>
            <w:top w:val="none" w:sz="0" w:space="0" w:color="auto"/>
            <w:left w:val="none" w:sz="0" w:space="0" w:color="auto"/>
            <w:bottom w:val="none" w:sz="0" w:space="0" w:color="auto"/>
            <w:right w:val="none" w:sz="0" w:space="0" w:color="auto"/>
          </w:divBdr>
        </w:div>
        <w:div w:id="1699741978">
          <w:marLeft w:val="0"/>
          <w:marRight w:val="0"/>
          <w:marTop w:val="0"/>
          <w:marBottom w:val="0"/>
          <w:divBdr>
            <w:top w:val="none" w:sz="0" w:space="0" w:color="auto"/>
            <w:left w:val="none" w:sz="0" w:space="0" w:color="auto"/>
            <w:bottom w:val="none" w:sz="0" w:space="0" w:color="auto"/>
            <w:right w:val="none" w:sz="0" w:space="0" w:color="auto"/>
          </w:divBdr>
        </w:div>
        <w:div w:id="1775594487">
          <w:marLeft w:val="0"/>
          <w:marRight w:val="0"/>
          <w:marTop w:val="0"/>
          <w:marBottom w:val="0"/>
          <w:divBdr>
            <w:top w:val="none" w:sz="0" w:space="0" w:color="auto"/>
            <w:left w:val="none" w:sz="0" w:space="0" w:color="auto"/>
            <w:bottom w:val="none" w:sz="0" w:space="0" w:color="auto"/>
            <w:right w:val="none" w:sz="0" w:space="0" w:color="auto"/>
          </w:divBdr>
        </w:div>
        <w:div w:id="1803889810">
          <w:marLeft w:val="0"/>
          <w:marRight w:val="0"/>
          <w:marTop w:val="0"/>
          <w:marBottom w:val="0"/>
          <w:divBdr>
            <w:top w:val="none" w:sz="0" w:space="0" w:color="auto"/>
            <w:left w:val="none" w:sz="0" w:space="0" w:color="auto"/>
            <w:bottom w:val="none" w:sz="0" w:space="0" w:color="auto"/>
            <w:right w:val="none" w:sz="0" w:space="0" w:color="auto"/>
          </w:divBdr>
        </w:div>
        <w:div w:id="1808549588">
          <w:marLeft w:val="0"/>
          <w:marRight w:val="0"/>
          <w:marTop w:val="0"/>
          <w:marBottom w:val="0"/>
          <w:divBdr>
            <w:top w:val="none" w:sz="0" w:space="0" w:color="auto"/>
            <w:left w:val="none" w:sz="0" w:space="0" w:color="auto"/>
            <w:bottom w:val="none" w:sz="0" w:space="0" w:color="auto"/>
            <w:right w:val="none" w:sz="0" w:space="0" w:color="auto"/>
          </w:divBdr>
        </w:div>
        <w:div w:id="1845902793">
          <w:marLeft w:val="0"/>
          <w:marRight w:val="0"/>
          <w:marTop w:val="0"/>
          <w:marBottom w:val="0"/>
          <w:divBdr>
            <w:top w:val="none" w:sz="0" w:space="0" w:color="auto"/>
            <w:left w:val="none" w:sz="0" w:space="0" w:color="auto"/>
            <w:bottom w:val="none" w:sz="0" w:space="0" w:color="auto"/>
            <w:right w:val="none" w:sz="0" w:space="0" w:color="auto"/>
          </w:divBdr>
        </w:div>
        <w:div w:id="1914772490">
          <w:marLeft w:val="0"/>
          <w:marRight w:val="0"/>
          <w:marTop w:val="0"/>
          <w:marBottom w:val="0"/>
          <w:divBdr>
            <w:top w:val="none" w:sz="0" w:space="0" w:color="auto"/>
            <w:left w:val="none" w:sz="0" w:space="0" w:color="auto"/>
            <w:bottom w:val="none" w:sz="0" w:space="0" w:color="auto"/>
            <w:right w:val="none" w:sz="0" w:space="0" w:color="auto"/>
          </w:divBdr>
        </w:div>
        <w:div w:id="206598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01CD-247F-4B60-8AE3-E8F98A3B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2</TotalTime>
  <Pages>23</Pages>
  <Words>9875</Words>
  <Characters>56294</Characters>
  <Application>Microsoft Office Word</Application>
  <DocSecurity>0</DocSecurity>
  <Lines>469</Lines>
  <Paragraphs>132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66037</CharactersWithSpaces>
  <SharedDoc>false</SharedDoc>
  <HLinks>
    <vt:vector size="6" baseType="variant">
      <vt:variant>
        <vt:i4>1048576</vt:i4>
      </vt:variant>
      <vt:variant>
        <vt:i4>0</vt:i4>
      </vt:variant>
      <vt:variant>
        <vt:i4>0</vt:i4>
      </vt:variant>
      <vt:variant>
        <vt:i4>5</vt:i4>
      </vt:variant>
      <vt:variant>
        <vt:lpwstr>https://www.oktt.hu/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dc:description/>
  <cp:lastModifiedBy>Fiona Marshall</cp:lastModifiedBy>
  <cp:revision>3</cp:revision>
  <cp:lastPrinted>2019-09-23T08:56:00Z</cp:lastPrinted>
  <dcterms:created xsi:type="dcterms:W3CDTF">2021-06-14T14:58:00Z</dcterms:created>
  <dcterms:modified xsi:type="dcterms:W3CDTF">2021-06-14T15:00:00Z</dcterms:modified>
</cp:coreProperties>
</file>