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632B" w:rsidRPr="0001632B" w:rsidRDefault="0001632B" w:rsidP="005D44E4">
      <w:pPr>
        <w:rPr>
          <w:rFonts w:ascii="Times New Roman" w:hAnsi="Times New Roman" w:cs="Times New Roman"/>
          <w:b/>
          <w:sz w:val="28"/>
          <w:szCs w:val="28"/>
          <w:lang w:val="en-GB"/>
        </w:rPr>
      </w:pPr>
      <w:proofErr w:type="spellStart"/>
      <w:r w:rsidRPr="0001632B">
        <w:rPr>
          <w:rFonts w:ascii="Times New Roman" w:hAnsi="Times New Roman" w:cs="Times New Roman"/>
          <w:b/>
          <w:sz w:val="28"/>
          <w:szCs w:val="28"/>
          <w:lang w:val="en-GB"/>
        </w:rPr>
        <w:t>Bogatynia</w:t>
      </w:r>
      <w:proofErr w:type="spellEnd"/>
      <w:r w:rsidRPr="0001632B">
        <w:rPr>
          <w:rFonts w:ascii="Times New Roman" w:hAnsi="Times New Roman" w:cs="Times New Roman"/>
          <w:b/>
          <w:sz w:val="28"/>
          <w:szCs w:val="28"/>
          <w:lang w:val="en-GB"/>
        </w:rPr>
        <w:t xml:space="preserve"> </w:t>
      </w:r>
      <w:r>
        <w:rPr>
          <w:rFonts w:ascii="Times New Roman" w:hAnsi="Times New Roman" w:cs="Times New Roman"/>
          <w:b/>
          <w:sz w:val="28"/>
          <w:szCs w:val="28"/>
          <w:lang w:val="en-GB"/>
        </w:rPr>
        <w:t>–</w:t>
      </w:r>
      <w:r w:rsidRPr="0001632B">
        <w:rPr>
          <w:rFonts w:ascii="Times New Roman" w:hAnsi="Times New Roman" w:cs="Times New Roman"/>
          <w:b/>
          <w:sz w:val="28"/>
          <w:szCs w:val="28"/>
          <w:lang w:val="en-GB"/>
        </w:rPr>
        <w:t xml:space="preserve"> </w:t>
      </w:r>
      <w:r>
        <w:rPr>
          <w:rFonts w:ascii="Times New Roman" w:hAnsi="Times New Roman" w:cs="Times New Roman"/>
          <w:b/>
          <w:sz w:val="28"/>
          <w:szCs w:val="28"/>
          <w:lang w:val="en-GB"/>
        </w:rPr>
        <w:t xml:space="preserve">justification </w:t>
      </w:r>
      <w:r w:rsidRPr="0001632B">
        <w:rPr>
          <w:rFonts w:ascii="Times New Roman" w:hAnsi="Times New Roman" w:cs="Times New Roman"/>
          <w:b/>
          <w:sz w:val="28"/>
          <w:szCs w:val="28"/>
          <w:lang w:val="en-GB"/>
        </w:rPr>
        <w:t>part</w:t>
      </w:r>
      <w:r>
        <w:rPr>
          <w:rFonts w:ascii="Times New Roman" w:hAnsi="Times New Roman" w:cs="Times New Roman"/>
          <w:b/>
          <w:sz w:val="28"/>
          <w:szCs w:val="28"/>
          <w:lang w:val="en-GB"/>
        </w:rPr>
        <w:t xml:space="preserve"> IV on public participation</w:t>
      </w:r>
    </w:p>
    <w:p w:rsidR="0001632B" w:rsidRPr="00CA25CE" w:rsidRDefault="0001632B" w:rsidP="0001632B">
      <w:pPr>
        <w:spacing w:after="241" w:line="248" w:lineRule="auto"/>
        <w:ind w:left="52" w:right="34" w:hanging="5"/>
        <w:rPr>
          <w:rFonts w:ascii="Times New Roman" w:hAnsi="Times New Roman" w:cs="Times New Roman"/>
          <w:sz w:val="28"/>
          <w:szCs w:val="28"/>
          <w:lang w:val="ru-RU"/>
        </w:rPr>
      </w:pPr>
      <w:r w:rsidRPr="0001632B">
        <w:rPr>
          <w:rFonts w:ascii="Times New Roman" w:hAnsi="Times New Roman" w:cs="Times New Roman"/>
          <w:sz w:val="28"/>
          <w:szCs w:val="28"/>
          <w:lang w:val="en-GB"/>
        </w:rPr>
        <w:t>IV</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Привлечение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сторон</w:t>
      </w:r>
      <w:bookmarkStart w:id="0" w:name="_GoBack"/>
      <w:bookmarkEnd w:id="0"/>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субъектов</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правами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сторон</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участие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общественности</w:t>
      </w:r>
    </w:p>
    <w:p w:rsidR="0001632B" w:rsidRPr="00CA25CE" w:rsidRDefault="0001632B" w:rsidP="0001632B">
      <w:pPr>
        <w:spacing w:after="255"/>
        <w:ind w:left="279" w:right="110"/>
        <w:rPr>
          <w:rFonts w:ascii="Times New Roman" w:hAnsi="Times New Roman" w:cs="Times New Roman"/>
          <w:sz w:val="28"/>
          <w:szCs w:val="28"/>
          <w:lang w:val="ru-RU"/>
        </w:rPr>
      </w:pPr>
      <w:r w:rsidRPr="0001632B">
        <w:rPr>
          <w:rFonts w:ascii="Times New Roman" w:hAnsi="Times New Roman" w:cs="Times New Roman"/>
          <w:sz w:val="28"/>
          <w:szCs w:val="28"/>
        </w:rPr>
        <w:t>Круг</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участников</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разбирательства</w:t>
      </w:r>
    </w:p>
    <w:p w:rsidR="0001632B" w:rsidRPr="00CA25CE" w:rsidRDefault="0001632B" w:rsidP="0001632B">
      <w:pPr>
        <w:ind w:left="67" w:right="110" w:firstLine="370"/>
        <w:rPr>
          <w:rFonts w:ascii="Times New Roman" w:hAnsi="Times New Roman" w:cs="Times New Roman"/>
          <w:sz w:val="28"/>
          <w:szCs w:val="28"/>
          <w:lang w:val="ru-RU"/>
        </w:rPr>
      </w:pPr>
      <w:r w:rsidRPr="0001632B">
        <w:rPr>
          <w:rFonts w:ascii="Times New Roman" w:hAnsi="Times New Roman" w:cs="Times New Roman"/>
          <w:sz w:val="28"/>
          <w:szCs w:val="28"/>
        </w:rPr>
        <w:t>Круг</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участников</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разбирательства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был</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определен</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органом</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учетом</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характера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планируемого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проекта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где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воздействие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которое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может</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быть</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передано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на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наибольшее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расстояние</w:t>
      </w:r>
      <w:r w:rsidRPr="00CA25CE">
        <w:rPr>
          <w:rFonts w:ascii="Times New Roman" w:hAnsi="Times New Roman" w:cs="Times New Roman"/>
          <w:sz w:val="28"/>
          <w:szCs w:val="28"/>
          <w:lang w:val="ru-RU"/>
        </w:rPr>
        <w:t xml:space="preserve">, - </w:t>
      </w:r>
      <w:r w:rsidRPr="0001632B">
        <w:rPr>
          <w:rFonts w:ascii="Times New Roman" w:hAnsi="Times New Roman" w:cs="Times New Roman"/>
          <w:sz w:val="28"/>
          <w:szCs w:val="28"/>
        </w:rPr>
        <w:t>это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воздействие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на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воздух</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выбросы</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атмосферу</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Поэтому</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критерием</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для</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определения</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круга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сторон</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было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воздействие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проекта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на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качество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воздуха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Согласно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неоспоримым</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выводам</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отчета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воздействии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проекта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на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окружающую</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среду</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воздействие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оценивается</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как</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охватывающее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территорию</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представляющую</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собой</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круг</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радиусом</w:t>
      </w:r>
      <w:r w:rsidRPr="00CA25CE">
        <w:rPr>
          <w:rFonts w:ascii="Times New Roman" w:hAnsi="Times New Roman" w:cs="Times New Roman"/>
          <w:sz w:val="28"/>
          <w:szCs w:val="28"/>
          <w:lang w:val="ru-RU"/>
        </w:rPr>
        <w:t xml:space="preserve"> 10 </w:t>
      </w:r>
      <w:r w:rsidRPr="0001632B">
        <w:rPr>
          <w:rFonts w:ascii="Times New Roman" w:hAnsi="Times New Roman" w:cs="Times New Roman"/>
          <w:sz w:val="28"/>
          <w:szCs w:val="28"/>
        </w:rPr>
        <w:t>км</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центр</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которого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принимается</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за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источник</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выбросов</w:t>
      </w:r>
      <w:r w:rsidRPr="00CA25CE">
        <w:rPr>
          <w:rFonts w:ascii="Times New Roman" w:hAnsi="Times New Roman" w:cs="Times New Roman"/>
          <w:sz w:val="28"/>
          <w:szCs w:val="28"/>
          <w:lang w:val="ru-RU"/>
        </w:rPr>
        <w:t xml:space="preserve"> - </w:t>
      </w:r>
      <w:r w:rsidRPr="0001632B">
        <w:rPr>
          <w:rFonts w:ascii="Times New Roman" w:hAnsi="Times New Roman" w:cs="Times New Roman"/>
          <w:sz w:val="28"/>
          <w:szCs w:val="28"/>
        </w:rPr>
        <w:t>место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расположения</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самого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высокого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эмитента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на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территории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проекта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точка</w:t>
      </w:r>
      <w:r w:rsidRPr="00CA25CE">
        <w:rPr>
          <w:rFonts w:ascii="Times New Roman" w:hAnsi="Times New Roman" w:cs="Times New Roman"/>
          <w:sz w:val="28"/>
          <w:szCs w:val="28"/>
          <w:lang w:val="ru-RU"/>
        </w:rPr>
        <w:t xml:space="preserve"> 12.2, </w:t>
      </w:r>
      <w:r w:rsidRPr="0001632B">
        <w:rPr>
          <w:rFonts w:ascii="Times New Roman" w:hAnsi="Times New Roman" w:cs="Times New Roman"/>
          <w:sz w:val="28"/>
          <w:szCs w:val="28"/>
        </w:rPr>
        <w:t>стр</w:t>
      </w:r>
      <w:r w:rsidRPr="00CA25CE">
        <w:rPr>
          <w:rFonts w:ascii="Times New Roman" w:hAnsi="Times New Roman" w:cs="Times New Roman"/>
          <w:sz w:val="28"/>
          <w:szCs w:val="28"/>
          <w:lang w:val="ru-RU"/>
        </w:rPr>
        <w:t xml:space="preserve">. 22 </w:t>
      </w:r>
      <w:r w:rsidRPr="0001632B">
        <w:rPr>
          <w:rFonts w:ascii="Times New Roman" w:hAnsi="Times New Roman" w:cs="Times New Roman"/>
          <w:sz w:val="28"/>
          <w:szCs w:val="28"/>
        </w:rPr>
        <w:t>отчета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подзаголовок</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Воздействие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на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качество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воздуха</w:t>
      </w:r>
      <w:r w:rsidRPr="00CA25CE">
        <w:rPr>
          <w:rFonts w:ascii="Times New Roman" w:hAnsi="Times New Roman" w:cs="Times New Roman"/>
          <w:sz w:val="28"/>
          <w:szCs w:val="28"/>
          <w:lang w:val="ru-RU"/>
        </w:rPr>
        <w:t>").</w:t>
      </w:r>
    </w:p>
    <w:p w:rsidR="0001632B" w:rsidRPr="00CA25CE" w:rsidRDefault="0001632B" w:rsidP="0001632B">
      <w:pPr>
        <w:ind w:left="67" w:right="110"/>
        <w:rPr>
          <w:rFonts w:ascii="Times New Roman" w:hAnsi="Times New Roman" w:cs="Times New Roman"/>
          <w:sz w:val="28"/>
          <w:szCs w:val="28"/>
          <w:lang w:val="ru-RU"/>
        </w:rPr>
      </w:pPr>
      <w:r w:rsidRPr="0001632B">
        <w:rPr>
          <w:rFonts w:ascii="Times New Roman" w:hAnsi="Times New Roman" w:cs="Times New Roman"/>
          <w:sz w:val="28"/>
          <w:szCs w:val="28"/>
        </w:rPr>
        <w:t>В</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соответствии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этим</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критерием</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диапазон</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воздействия</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проекта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охватывает</w:t>
      </w:r>
      <w:r w:rsidRPr="00CA25CE">
        <w:rPr>
          <w:rFonts w:ascii="Times New Roman" w:hAnsi="Times New Roman" w:cs="Times New Roman"/>
          <w:sz w:val="28"/>
          <w:szCs w:val="28"/>
          <w:lang w:val="ru-RU"/>
        </w:rPr>
        <w:t xml:space="preserve"> - </w:t>
      </w:r>
      <w:r w:rsidRPr="0001632B">
        <w:rPr>
          <w:rFonts w:ascii="Times New Roman" w:hAnsi="Times New Roman" w:cs="Times New Roman"/>
          <w:sz w:val="28"/>
          <w:szCs w:val="28"/>
        </w:rPr>
        <w:t>на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территории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Польши</w:t>
      </w:r>
      <w:r w:rsidRPr="00CA25CE">
        <w:rPr>
          <w:rFonts w:ascii="Times New Roman" w:hAnsi="Times New Roman" w:cs="Times New Roman"/>
          <w:sz w:val="28"/>
          <w:szCs w:val="28"/>
          <w:lang w:val="ru-RU"/>
        </w:rPr>
        <w:t xml:space="preserve"> - </w:t>
      </w:r>
      <w:r w:rsidRPr="0001632B">
        <w:rPr>
          <w:rFonts w:ascii="Times New Roman" w:hAnsi="Times New Roman" w:cs="Times New Roman"/>
          <w:sz w:val="28"/>
          <w:szCs w:val="28"/>
        </w:rPr>
        <w:t>территорию</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города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гмины</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Богатыня</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геодезические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районы</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Костшин</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Ренчин</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расположенные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гмине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Згожелец</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Поэтому</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качестве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сторон</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разбирательства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рассматривались</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владельцы</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бессрочные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пользователи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недвижимости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расположенной</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радиусе</w:t>
      </w:r>
      <w:r w:rsidRPr="00CA25CE">
        <w:rPr>
          <w:rFonts w:ascii="Times New Roman" w:hAnsi="Times New Roman" w:cs="Times New Roman"/>
          <w:sz w:val="28"/>
          <w:szCs w:val="28"/>
          <w:lang w:val="ru-RU"/>
        </w:rPr>
        <w:t xml:space="preserve"> 10 </w:t>
      </w:r>
      <w:r w:rsidRPr="0001632B">
        <w:rPr>
          <w:rFonts w:ascii="Times New Roman" w:hAnsi="Times New Roman" w:cs="Times New Roman"/>
          <w:sz w:val="28"/>
          <w:szCs w:val="28"/>
        </w:rPr>
        <w:t>км</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от</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самого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высокого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эмитента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зоне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действия</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проекта</w:t>
      </w:r>
      <w:r w:rsidRPr="00CA25CE">
        <w:rPr>
          <w:rFonts w:ascii="Times New Roman" w:hAnsi="Times New Roman" w:cs="Times New Roman"/>
          <w:sz w:val="28"/>
          <w:szCs w:val="28"/>
          <w:lang w:val="ru-RU"/>
        </w:rPr>
        <w:t>.</w:t>
      </w:r>
    </w:p>
    <w:p w:rsidR="0001632B" w:rsidRPr="00CA25CE" w:rsidRDefault="0001632B" w:rsidP="0001632B">
      <w:pPr>
        <w:ind w:left="67" w:right="173" w:firstLine="365"/>
        <w:rPr>
          <w:rFonts w:ascii="Times New Roman" w:hAnsi="Times New Roman" w:cs="Times New Roman"/>
          <w:sz w:val="28"/>
          <w:szCs w:val="28"/>
          <w:lang w:val="ru-RU"/>
        </w:rPr>
      </w:pPr>
      <w:r w:rsidRPr="0001632B">
        <w:rPr>
          <w:rFonts w:ascii="Times New Roman" w:hAnsi="Times New Roman" w:cs="Times New Roman"/>
          <w:sz w:val="28"/>
          <w:szCs w:val="28"/>
        </w:rPr>
        <w:t>Анализ</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кадастровых</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карт</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выписок</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из</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земельного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кадастра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топографической</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карты</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представленных</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Инвестором</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показывает</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что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существует</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более</w:t>
      </w:r>
      <w:r w:rsidRPr="00CA25CE">
        <w:rPr>
          <w:rFonts w:ascii="Times New Roman" w:hAnsi="Times New Roman" w:cs="Times New Roman"/>
          <w:sz w:val="28"/>
          <w:szCs w:val="28"/>
          <w:lang w:val="ru-RU"/>
        </w:rPr>
        <w:t xml:space="preserve"> 20 </w:t>
      </w:r>
      <w:r w:rsidRPr="0001632B">
        <w:rPr>
          <w:rFonts w:ascii="Times New Roman" w:hAnsi="Times New Roman" w:cs="Times New Roman"/>
          <w:sz w:val="28"/>
          <w:szCs w:val="28"/>
        </w:rPr>
        <w:t>сторон</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владельцев</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недвижимого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имущества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расположенного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на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указанной</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выше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территории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том</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числе</w:t>
      </w:r>
      <w:r w:rsidRPr="00CA25CE">
        <w:rPr>
          <w:rFonts w:ascii="Times New Roman" w:hAnsi="Times New Roman" w:cs="Times New Roman"/>
          <w:sz w:val="28"/>
          <w:szCs w:val="28"/>
          <w:lang w:val="ru-RU"/>
        </w:rPr>
        <w:t xml:space="preserve"> 21 </w:t>
      </w:r>
      <w:r w:rsidRPr="0001632B">
        <w:rPr>
          <w:rFonts w:ascii="Times New Roman" w:hAnsi="Times New Roman" w:cs="Times New Roman"/>
          <w:sz w:val="28"/>
          <w:szCs w:val="28"/>
        </w:rPr>
        <w:t>сторона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владельцев</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недвижимого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имущества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расположенного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непосредственной</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близости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от</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планируемого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проекта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ряд</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других</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сторон</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имеющих</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свои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объекты</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радиусе</w:t>
      </w:r>
      <w:r w:rsidRPr="00CA25CE">
        <w:rPr>
          <w:rFonts w:ascii="Times New Roman" w:hAnsi="Times New Roman" w:cs="Times New Roman"/>
          <w:sz w:val="28"/>
          <w:szCs w:val="28"/>
          <w:lang w:val="ru-RU"/>
        </w:rPr>
        <w:t xml:space="preserve"> 10 </w:t>
      </w:r>
      <w:r w:rsidRPr="0001632B">
        <w:rPr>
          <w:rFonts w:ascii="Times New Roman" w:hAnsi="Times New Roman" w:cs="Times New Roman"/>
          <w:sz w:val="28"/>
          <w:szCs w:val="28"/>
        </w:rPr>
        <w:t>км</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Поэтому</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согласно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ст</w:t>
      </w:r>
      <w:r w:rsidRPr="00CA25CE">
        <w:rPr>
          <w:rFonts w:ascii="Times New Roman" w:hAnsi="Times New Roman" w:cs="Times New Roman"/>
          <w:sz w:val="28"/>
          <w:szCs w:val="28"/>
          <w:lang w:val="ru-RU"/>
        </w:rPr>
        <w:t xml:space="preserve">. 74 </w:t>
      </w:r>
      <w:r w:rsidRPr="0001632B">
        <w:rPr>
          <w:rFonts w:ascii="Times New Roman" w:hAnsi="Times New Roman" w:cs="Times New Roman"/>
          <w:sz w:val="28"/>
          <w:szCs w:val="28"/>
        </w:rPr>
        <w:t>п</w:t>
      </w:r>
      <w:r w:rsidRPr="00CA25CE">
        <w:rPr>
          <w:rFonts w:ascii="Times New Roman" w:hAnsi="Times New Roman" w:cs="Times New Roman"/>
          <w:sz w:val="28"/>
          <w:szCs w:val="28"/>
          <w:lang w:val="ru-RU"/>
        </w:rPr>
        <w:t xml:space="preserve">. 3 </w:t>
      </w:r>
      <w:r w:rsidRPr="0001632B">
        <w:rPr>
          <w:rFonts w:ascii="Times New Roman" w:hAnsi="Times New Roman" w:cs="Times New Roman"/>
          <w:sz w:val="28"/>
          <w:szCs w:val="28"/>
        </w:rPr>
        <w:t>Закона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об</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ОВОС</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стороны</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разбирательства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будут</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проинформированы</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конкретных</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действиях</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разбирательства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соответствии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ст</w:t>
      </w:r>
      <w:r w:rsidRPr="00CA25CE">
        <w:rPr>
          <w:rFonts w:ascii="Times New Roman" w:hAnsi="Times New Roman" w:cs="Times New Roman"/>
          <w:sz w:val="28"/>
          <w:szCs w:val="28"/>
          <w:lang w:val="ru-RU"/>
        </w:rPr>
        <w:t xml:space="preserve">. 49 </w:t>
      </w:r>
      <w:r w:rsidRPr="0001632B">
        <w:rPr>
          <w:rFonts w:ascii="Times New Roman" w:hAnsi="Times New Roman" w:cs="Times New Roman"/>
          <w:sz w:val="28"/>
          <w:szCs w:val="28"/>
        </w:rPr>
        <w:t>Кодекса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административного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судопроизводства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т</w:t>
      </w:r>
      <w:r w:rsidRPr="00CA25CE">
        <w:rPr>
          <w:rFonts w:ascii="Times New Roman" w:hAnsi="Times New Roman" w:cs="Times New Roman"/>
          <w:sz w:val="28"/>
          <w:szCs w:val="28"/>
          <w:lang w:val="ru-RU"/>
        </w:rPr>
        <w:t>.</w:t>
      </w:r>
      <w:r w:rsidRPr="0001632B">
        <w:rPr>
          <w:rFonts w:ascii="Times New Roman" w:hAnsi="Times New Roman" w:cs="Times New Roman"/>
          <w:sz w:val="28"/>
          <w:szCs w:val="28"/>
        </w:rPr>
        <w:t>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публичными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уведомлениями</w:t>
      </w:r>
      <w:r w:rsidRPr="00CA25CE">
        <w:rPr>
          <w:rFonts w:ascii="Times New Roman" w:hAnsi="Times New Roman" w:cs="Times New Roman"/>
          <w:sz w:val="28"/>
          <w:szCs w:val="28"/>
          <w:lang w:val="ru-RU"/>
        </w:rPr>
        <w:t>.</w:t>
      </w:r>
    </w:p>
    <w:p w:rsidR="0001632B" w:rsidRPr="00CA25CE" w:rsidRDefault="0001632B" w:rsidP="0001632B">
      <w:pPr>
        <w:spacing w:line="248" w:lineRule="auto"/>
        <w:ind w:left="91" w:right="115" w:firstLine="369"/>
        <w:rPr>
          <w:rFonts w:ascii="Times New Roman" w:hAnsi="Times New Roman" w:cs="Times New Roman"/>
          <w:sz w:val="28"/>
          <w:szCs w:val="28"/>
          <w:lang w:val="ru-RU"/>
        </w:rPr>
      </w:pPr>
      <w:r w:rsidRPr="0001632B">
        <w:rPr>
          <w:rFonts w:ascii="Times New Roman" w:hAnsi="Times New Roman" w:cs="Times New Roman"/>
          <w:sz w:val="28"/>
          <w:szCs w:val="28"/>
        </w:rPr>
        <w:t>Как</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указано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предыдущей</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части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обоснования</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Ход</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разбирательства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стороны</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разбирательства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были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проинформированы</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каждом</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действии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разбирательства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путем</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публикации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объявлений</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Интернете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на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сайте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органа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власти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lang w:val="en-GB"/>
        </w:rPr>
        <w:t>BIP</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lang w:val="en-GB"/>
        </w:rPr>
        <w:t>www</w:t>
      </w:r>
      <w:r w:rsidRPr="00CA25CE">
        <w:rPr>
          <w:rFonts w:ascii="Times New Roman" w:hAnsi="Times New Roman" w:cs="Times New Roman"/>
          <w:sz w:val="28"/>
          <w:szCs w:val="28"/>
          <w:lang w:val="ru-RU"/>
        </w:rPr>
        <w:t>.</w:t>
      </w:r>
      <w:proofErr w:type="spellStart"/>
      <w:r w:rsidRPr="0001632B">
        <w:rPr>
          <w:rFonts w:ascii="Times New Roman" w:hAnsi="Times New Roman" w:cs="Times New Roman"/>
          <w:sz w:val="28"/>
          <w:szCs w:val="28"/>
          <w:lang w:val="en-GB"/>
        </w:rPr>
        <w:t>bogatynia</w:t>
      </w:r>
      <w:proofErr w:type="spellEnd"/>
      <w:r w:rsidRPr="00CA25CE">
        <w:rPr>
          <w:rFonts w:ascii="Times New Roman" w:hAnsi="Times New Roman" w:cs="Times New Roman"/>
          <w:sz w:val="28"/>
          <w:szCs w:val="28"/>
          <w:lang w:val="ru-RU"/>
        </w:rPr>
        <w:t>.</w:t>
      </w:r>
      <w:r w:rsidRPr="0001632B">
        <w:rPr>
          <w:rFonts w:ascii="Times New Roman" w:hAnsi="Times New Roman" w:cs="Times New Roman"/>
          <w:sz w:val="28"/>
          <w:szCs w:val="28"/>
          <w:lang w:val="en-GB"/>
        </w:rPr>
        <w:t>pl</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на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доске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lastRenderedPageBreak/>
        <w:t>объявлений</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города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гмины</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Богатыня</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на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досках</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объявлений</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столбах</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районе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города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гмины</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Богатыня</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также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районе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гмины</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Згожелец</w:t>
      </w:r>
      <w:r w:rsidRPr="00CA25CE">
        <w:rPr>
          <w:rFonts w:ascii="Times New Roman" w:hAnsi="Times New Roman" w:cs="Times New Roman"/>
          <w:sz w:val="28"/>
          <w:szCs w:val="28"/>
          <w:lang w:val="ru-RU"/>
        </w:rPr>
        <w:t>.</w:t>
      </w:r>
    </w:p>
    <w:p w:rsidR="0001632B" w:rsidRPr="00CA25CE" w:rsidRDefault="0001632B" w:rsidP="0001632B">
      <w:pPr>
        <w:ind w:left="67" w:right="336"/>
        <w:rPr>
          <w:rFonts w:ascii="Times New Roman" w:hAnsi="Times New Roman" w:cs="Times New Roman"/>
          <w:sz w:val="28"/>
          <w:szCs w:val="28"/>
          <w:lang w:val="ru-RU"/>
        </w:rPr>
      </w:pPr>
      <w:r w:rsidRPr="0001632B">
        <w:rPr>
          <w:rFonts w:ascii="Times New Roman" w:hAnsi="Times New Roman" w:cs="Times New Roman"/>
          <w:sz w:val="28"/>
          <w:szCs w:val="28"/>
        </w:rPr>
        <w:t>В</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уведомлениях</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направленных</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сторонам</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разбирательства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указано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что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соответствии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статьей</w:t>
      </w:r>
      <w:r w:rsidRPr="00CA25CE">
        <w:rPr>
          <w:rFonts w:ascii="Times New Roman" w:hAnsi="Times New Roman" w:cs="Times New Roman"/>
          <w:sz w:val="28"/>
          <w:szCs w:val="28"/>
          <w:lang w:val="ru-RU"/>
        </w:rPr>
        <w:t xml:space="preserve"> 49 </w:t>
      </w:r>
      <w:r w:rsidRPr="0001632B">
        <w:rPr>
          <w:rFonts w:ascii="Times New Roman" w:hAnsi="Times New Roman" w:cs="Times New Roman"/>
          <w:sz w:val="28"/>
          <w:szCs w:val="28"/>
        </w:rPr>
        <w:t>Кодекса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административного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судопроизводства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они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считаются</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доставленными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истечении</w:t>
      </w:r>
      <w:r w:rsidRPr="00CA25CE">
        <w:rPr>
          <w:rFonts w:ascii="Times New Roman" w:hAnsi="Times New Roman" w:cs="Times New Roman"/>
          <w:sz w:val="28"/>
          <w:szCs w:val="28"/>
          <w:lang w:val="ru-RU"/>
        </w:rPr>
        <w:t xml:space="preserve"> 14 </w:t>
      </w:r>
      <w:r w:rsidRPr="0001632B">
        <w:rPr>
          <w:rFonts w:ascii="Times New Roman" w:hAnsi="Times New Roman" w:cs="Times New Roman"/>
          <w:sz w:val="28"/>
          <w:szCs w:val="28"/>
        </w:rPr>
        <w:t>дней</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даты</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публичного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уведомления</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Сроки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для</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совершения</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конкретных</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действий</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ходе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разбирательства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исчислялись</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дня</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следующего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за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днем</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когда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уведомление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считалось</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врученным</w:t>
      </w:r>
      <w:r w:rsidRPr="00CA25CE">
        <w:rPr>
          <w:rFonts w:ascii="Times New Roman" w:hAnsi="Times New Roman" w:cs="Times New Roman"/>
          <w:sz w:val="28"/>
          <w:szCs w:val="28"/>
          <w:lang w:val="ru-RU"/>
        </w:rPr>
        <w:t>.</w:t>
      </w:r>
    </w:p>
    <w:p w:rsidR="0001632B" w:rsidRPr="00CA25CE" w:rsidRDefault="0001632B" w:rsidP="0001632B">
      <w:pPr>
        <w:spacing w:after="273"/>
        <w:ind w:left="67" w:right="279"/>
        <w:rPr>
          <w:rFonts w:ascii="Times New Roman" w:hAnsi="Times New Roman" w:cs="Times New Roman"/>
          <w:sz w:val="28"/>
          <w:szCs w:val="28"/>
          <w:lang w:val="ru-RU"/>
        </w:rPr>
      </w:pPr>
      <w:r w:rsidRPr="0001632B">
        <w:rPr>
          <w:rFonts w:ascii="Times New Roman" w:hAnsi="Times New Roman" w:cs="Times New Roman"/>
          <w:sz w:val="28"/>
          <w:szCs w:val="28"/>
        </w:rPr>
        <w:t>Таким</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образом</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было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устранено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нарушение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касающееся</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способа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уведомления</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сторон</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указанное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апелляции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на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решение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от</w:t>
      </w:r>
      <w:r w:rsidRPr="00CA25CE">
        <w:rPr>
          <w:rFonts w:ascii="Times New Roman" w:hAnsi="Times New Roman" w:cs="Times New Roman"/>
          <w:sz w:val="28"/>
          <w:szCs w:val="28"/>
          <w:lang w:val="ru-RU"/>
        </w:rPr>
        <w:t xml:space="preserve"> 2 </w:t>
      </w:r>
      <w:r w:rsidRPr="0001632B">
        <w:rPr>
          <w:rFonts w:ascii="Times New Roman" w:hAnsi="Times New Roman" w:cs="Times New Roman"/>
          <w:sz w:val="28"/>
          <w:szCs w:val="28"/>
        </w:rPr>
        <w:t>августа</w:t>
      </w:r>
      <w:r w:rsidRPr="00CA25CE">
        <w:rPr>
          <w:rFonts w:ascii="Times New Roman" w:hAnsi="Times New Roman" w:cs="Times New Roman"/>
          <w:sz w:val="28"/>
          <w:szCs w:val="28"/>
          <w:lang w:val="ru-RU"/>
        </w:rPr>
        <w:t xml:space="preserve"> 2012 </w:t>
      </w:r>
      <w:r w:rsidRPr="0001632B">
        <w:rPr>
          <w:rFonts w:ascii="Times New Roman" w:hAnsi="Times New Roman" w:cs="Times New Roman"/>
          <w:sz w:val="28"/>
          <w:szCs w:val="28"/>
        </w:rPr>
        <w:t>года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поданной</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Ассоциацией</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ЭКО</w:t>
      </w:r>
      <w:r w:rsidRPr="00CA25CE">
        <w:rPr>
          <w:rFonts w:ascii="Times New Roman" w:hAnsi="Times New Roman" w:cs="Times New Roman"/>
          <w:sz w:val="28"/>
          <w:szCs w:val="28"/>
          <w:lang w:val="ru-RU"/>
        </w:rPr>
        <w:t>-</w:t>
      </w:r>
      <w:r w:rsidRPr="0001632B">
        <w:rPr>
          <w:rFonts w:ascii="Times New Roman" w:hAnsi="Times New Roman" w:cs="Times New Roman"/>
          <w:sz w:val="28"/>
          <w:szCs w:val="28"/>
        </w:rPr>
        <w:t>ЮНИА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являвшееся</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одной</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из</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причин</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отмены</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этого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решения</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Апелляционным</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советом</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самоуправлению</w:t>
      </w:r>
      <w:r w:rsidRPr="00CA25CE">
        <w:rPr>
          <w:rFonts w:ascii="Times New Roman" w:hAnsi="Times New Roman" w:cs="Times New Roman"/>
          <w:sz w:val="28"/>
          <w:szCs w:val="28"/>
          <w:lang w:val="ru-RU"/>
        </w:rPr>
        <w:t>.</w:t>
      </w:r>
    </w:p>
    <w:p w:rsidR="0001632B" w:rsidRPr="00CA25CE" w:rsidRDefault="0001632B" w:rsidP="0001632B">
      <w:pPr>
        <w:spacing w:after="269"/>
        <w:ind w:left="67" w:right="110" w:firstLine="370"/>
        <w:rPr>
          <w:rFonts w:ascii="Times New Roman" w:hAnsi="Times New Roman" w:cs="Times New Roman"/>
          <w:sz w:val="28"/>
          <w:szCs w:val="28"/>
          <w:lang w:val="ru-RU"/>
        </w:rPr>
      </w:pPr>
      <w:r w:rsidRPr="0001632B">
        <w:rPr>
          <w:rFonts w:ascii="Times New Roman" w:hAnsi="Times New Roman" w:cs="Times New Roman"/>
          <w:sz w:val="28"/>
          <w:szCs w:val="28"/>
        </w:rPr>
        <w:t>В</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ходе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разбирательства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ни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одна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из</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указанных</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сторон</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не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представила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никаких</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комментариев</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или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представлений</w:t>
      </w:r>
      <w:r w:rsidRPr="00CA25CE">
        <w:rPr>
          <w:rFonts w:ascii="Times New Roman" w:hAnsi="Times New Roman" w:cs="Times New Roman"/>
          <w:sz w:val="28"/>
          <w:szCs w:val="28"/>
          <w:lang w:val="ru-RU"/>
        </w:rPr>
        <w:t>.</w:t>
      </w:r>
    </w:p>
    <w:p w:rsidR="0001632B" w:rsidRPr="00CA25CE" w:rsidRDefault="0001632B" w:rsidP="0001632B">
      <w:pPr>
        <w:spacing w:after="266"/>
        <w:ind w:left="67" w:right="110"/>
        <w:rPr>
          <w:rFonts w:ascii="Times New Roman" w:hAnsi="Times New Roman" w:cs="Times New Roman"/>
          <w:sz w:val="28"/>
          <w:szCs w:val="28"/>
          <w:lang w:val="ru-RU"/>
        </w:rPr>
      </w:pPr>
      <w:r w:rsidRPr="0001632B">
        <w:rPr>
          <w:rFonts w:ascii="Times New Roman" w:hAnsi="Times New Roman" w:cs="Times New Roman"/>
          <w:sz w:val="28"/>
          <w:szCs w:val="28"/>
        </w:rPr>
        <w:t>Участие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польского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общества</w:t>
      </w:r>
    </w:p>
    <w:p w:rsidR="0001632B" w:rsidRPr="00CA25CE" w:rsidRDefault="0001632B" w:rsidP="0001632B">
      <w:pPr>
        <w:spacing w:line="248" w:lineRule="auto"/>
        <w:ind w:left="91" w:right="115" w:firstLine="369"/>
        <w:rPr>
          <w:rFonts w:ascii="Times New Roman" w:hAnsi="Times New Roman" w:cs="Times New Roman"/>
          <w:sz w:val="28"/>
          <w:szCs w:val="28"/>
          <w:lang w:val="ru-RU"/>
        </w:rPr>
      </w:pPr>
      <w:r w:rsidRPr="0001632B">
        <w:rPr>
          <w:rFonts w:ascii="Times New Roman" w:hAnsi="Times New Roman" w:cs="Times New Roman"/>
          <w:sz w:val="28"/>
          <w:szCs w:val="28"/>
        </w:rPr>
        <w:t>Как</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указано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предыдущей</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части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данного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обоснования</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Ход</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разбирательства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соответствии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ст</w:t>
      </w:r>
      <w:r w:rsidRPr="00CA25CE">
        <w:rPr>
          <w:rFonts w:ascii="Times New Roman" w:hAnsi="Times New Roman" w:cs="Times New Roman"/>
          <w:sz w:val="28"/>
          <w:szCs w:val="28"/>
          <w:lang w:val="ru-RU"/>
        </w:rPr>
        <w:t xml:space="preserve">. 33 </w:t>
      </w:r>
      <w:r w:rsidRPr="0001632B">
        <w:rPr>
          <w:rFonts w:ascii="Times New Roman" w:hAnsi="Times New Roman" w:cs="Times New Roman"/>
          <w:sz w:val="28"/>
          <w:szCs w:val="28"/>
        </w:rPr>
        <w:t>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далее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ст</w:t>
      </w:r>
      <w:r w:rsidRPr="00CA25CE">
        <w:rPr>
          <w:rFonts w:ascii="Times New Roman" w:hAnsi="Times New Roman" w:cs="Times New Roman"/>
          <w:sz w:val="28"/>
          <w:szCs w:val="28"/>
          <w:lang w:val="ru-RU"/>
        </w:rPr>
        <w:t xml:space="preserve">. 79 </w:t>
      </w:r>
      <w:r w:rsidRPr="0001632B">
        <w:rPr>
          <w:rFonts w:ascii="Times New Roman" w:hAnsi="Times New Roman" w:cs="Times New Roman"/>
          <w:sz w:val="28"/>
          <w:szCs w:val="28"/>
        </w:rPr>
        <w:t>Закона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об</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ОВОС</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орган</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власти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уведомил</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общественность</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проводимом</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разбирательстве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также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возможности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ознакомиться</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документацией</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делу</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подать</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комментарии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заявления</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Уведомление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адресованное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общественности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включало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все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элементы</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требуемые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статьей</w:t>
      </w:r>
      <w:r w:rsidRPr="00CA25CE">
        <w:rPr>
          <w:rFonts w:ascii="Times New Roman" w:hAnsi="Times New Roman" w:cs="Times New Roman"/>
          <w:sz w:val="28"/>
          <w:szCs w:val="28"/>
          <w:lang w:val="ru-RU"/>
        </w:rPr>
        <w:t xml:space="preserve"> 33 </w:t>
      </w:r>
      <w:r w:rsidRPr="0001632B">
        <w:rPr>
          <w:rFonts w:ascii="Times New Roman" w:hAnsi="Times New Roman" w:cs="Times New Roman"/>
          <w:sz w:val="28"/>
          <w:szCs w:val="28"/>
        </w:rPr>
        <w:t>Закона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об</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ОВОС</w:t>
      </w:r>
      <w:r w:rsidRPr="00CA25CE">
        <w:rPr>
          <w:rFonts w:ascii="Times New Roman" w:hAnsi="Times New Roman" w:cs="Times New Roman"/>
          <w:sz w:val="28"/>
          <w:szCs w:val="28"/>
          <w:lang w:val="ru-RU"/>
        </w:rPr>
        <w:t>.</w:t>
      </w:r>
    </w:p>
    <w:p w:rsidR="0001632B" w:rsidRPr="00CA25CE" w:rsidRDefault="0001632B" w:rsidP="0001632B">
      <w:pPr>
        <w:ind w:left="67" w:right="110" w:firstLine="365"/>
        <w:rPr>
          <w:rFonts w:ascii="Times New Roman" w:hAnsi="Times New Roman" w:cs="Times New Roman"/>
          <w:sz w:val="28"/>
          <w:szCs w:val="28"/>
          <w:lang w:val="ru-RU"/>
        </w:rPr>
      </w:pPr>
      <w:r w:rsidRPr="0001632B">
        <w:rPr>
          <w:rFonts w:ascii="Times New Roman" w:hAnsi="Times New Roman" w:cs="Times New Roman"/>
          <w:sz w:val="28"/>
          <w:szCs w:val="28"/>
        </w:rPr>
        <w:t>В</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соответствии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указанием</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содержащимся</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решении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СКО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об</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отмене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решения</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состоянии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окружающей</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среды</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от</w:t>
      </w:r>
      <w:r w:rsidRPr="00CA25CE">
        <w:rPr>
          <w:rFonts w:ascii="Times New Roman" w:hAnsi="Times New Roman" w:cs="Times New Roman"/>
          <w:sz w:val="28"/>
          <w:szCs w:val="28"/>
          <w:lang w:val="ru-RU"/>
        </w:rPr>
        <w:t xml:space="preserve"> 2 </w:t>
      </w:r>
      <w:r w:rsidRPr="0001632B">
        <w:rPr>
          <w:rFonts w:ascii="Times New Roman" w:hAnsi="Times New Roman" w:cs="Times New Roman"/>
          <w:sz w:val="28"/>
          <w:szCs w:val="28"/>
        </w:rPr>
        <w:t>августа</w:t>
      </w:r>
      <w:r w:rsidRPr="00CA25CE">
        <w:rPr>
          <w:rFonts w:ascii="Times New Roman" w:hAnsi="Times New Roman" w:cs="Times New Roman"/>
          <w:sz w:val="28"/>
          <w:szCs w:val="28"/>
          <w:lang w:val="ru-RU"/>
        </w:rPr>
        <w:t xml:space="preserve"> 2012 </w:t>
      </w:r>
      <w:r w:rsidRPr="0001632B">
        <w:rPr>
          <w:rFonts w:ascii="Times New Roman" w:hAnsi="Times New Roman" w:cs="Times New Roman"/>
          <w:sz w:val="28"/>
          <w:szCs w:val="28"/>
        </w:rPr>
        <w:t>года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уведомление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адресованное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общественности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считалось</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доставленным</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через</w:t>
      </w:r>
      <w:r w:rsidRPr="00CA25CE">
        <w:rPr>
          <w:rFonts w:ascii="Times New Roman" w:hAnsi="Times New Roman" w:cs="Times New Roman"/>
          <w:sz w:val="28"/>
          <w:szCs w:val="28"/>
          <w:lang w:val="ru-RU"/>
        </w:rPr>
        <w:t xml:space="preserve"> 14 </w:t>
      </w:r>
      <w:r w:rsidRPr="0001632B">
        <w:rPr>
          <w:rFonts w:ascii="Times New Roman" w:hAnsi="Times New Roman" w:cs="Times New Roman"/>
          <w:sz w:val="28"/>
          <w:szCs w:val="28"/>
        </w:rPr>
        <w:t>дней</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после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его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публикации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согласно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позиции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СКО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для</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исчисления</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срока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доставки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уведомления</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адресованного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общественности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должна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применяться</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ст</w:t>
      </w:r>
      <w:r w:rsidRPr="00CA25CE">
        <w:rPr>
          <w:rFonts w:ascii="Times New Roman" w:hAnsi="Times New Roman" w:cs="Times New Roman"/>
          <w:sz w:val="28"/>
          <w:szCs w:val="28"/>
          <w:lang w:val="ru-RU"/>
        </w:rPr>
        <w:t xml:space="preserve">. 49 </w:t>
      </w:r>
      <w:r w:rsidRPr="0001632B">
        <w:rPr>
          <w:rFonts w:ascii="Times New Roman" w:hAnsi="Times New Roman" w:cs="Times New Roman"/>
          <w:sz w:val="28"/>
          <w:szCs w:val="28"/>
        </w:rPr>
        <w:t>Административного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суда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Поэтому</w:t>
      </w:r>
      <w:r w:rsidRPr="00CA25CE">
        <w:rPr>
          <w:rFonts w:ascii="Times New Roman" w:hAnsi="Times New Roman" w:cs="Times New Roman"/>
          <w:sz w:val="28"/>
          <w:szCs w:val="28"/>
          <w:lang w:val="ru-RU"/>
        </w:rPr>
        <w:t xml:space="preserve"> 21-</w:t>
      </w:r>
      <w:r w:rsidRPr="0001632B">
        <w:rPr>
          <w:rFonts w:ascii="Times New Roman" w:hAnsi="Times New Roman" w:cs="Times New Roman"/>
          <w:sz w:val="28"/>
          <w:szCs w:val="28"/>
        </w:rPr>
        <w:t>дневный</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срок</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для</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подачи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замечаний</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заявок</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общественностью</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истекал</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через</w:t>
      </w:r>
      <w:r w:rsidRPr="00CA25CE">
        <w:rPr>
          <w:rFonts w:ascii="Times New Roman" w:hAnsi="Times New Roman" w:cs="Times New Roman"/>
          <w:sz w:val="28"/>
          <w:szCs w:val="28"/>
          <w:lang w:val="ru-RU"/>
        </w:rPr>
        <w:t xml:space="preserve"> 35 </w:t>
      </w:r>
      <w:r w:rsidRPr="0001632B">
        <w:rPr>
          <w:rFonts w:ascii="Times New Roman" w:hAnsi="Times New Roman" w:cs="Times New Roman"/>
          <w:sz w:val="28"/>
          <w:szCs w:val="28"/>
        </w:rPr>
        <w:t>дней</w:t>
      </w:r>
      <w:r w:rsidRPr="00CA25CE">
        <w:rPr>
          <w:rFonts w:ascii="Times New Roman" w:hAnsi="Times New Roman" w:cs="Times New Roman"/>
          <w:sz w:val="28"/>
          <w:szCs w:val="28"/>
          <w:lang w:val="ru-RU"/>
        </w:rPr>
        <w:t xml:space="preserve"> (14 + 21 </w:t>
      </w:r>
      <w:r w:rsidRPr="0001632B">
        <w:rPr>
          <w:rFonts w:ascii="Times New Roman" w:hAnsi="Times New Roman" w:cs="Times New Roman"/>
          <w:sz w:val="28"/>
          <w:szCs w:val="28"/>
        </w:rPr>
        <w:t>день</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после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дня</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следующего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за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днем</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публикации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уведомлений</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уведомления</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были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опубликованы</w:t>
      </w:r>
      <w:r w:rsidRPr="00CA25CE">
        <w:rPr>
          <w:rFonts w:ascii="Times New Roman" w:hAnsi="Times New Roman" w:cs="Times New Roman"/>
          <w:sz w:val="28"/>
          <w:szCs w:val="28"/>
          <w:lang w:val="ru-RU"/>
        </w:rPr>
        <w:t xml:space="preserve"> 16 </w:t>
      </w:r>
      <w:r w:rsidRPr="0001632B">
        <w:rPr>
          <w:rFonts w:ascii="Times New Roman" w:hAnsi="Times New Roman" w:cs="Times New Roman"/>
          <w:sz w:val="28"/>
          <w:szCs w:val="28"/>
        </w:rPr>
        <w:t>января</w:t>
      </w:r>
      <w:r w:rsidRPr="00CA25CE">
        <w:rPr>
          <w:rFonts w:ascii="Times New Roman" w:hAnsi="Times New Roman" w:cs="Times New Roman"/>
          <w:sz w:val="28"/>
          <w:szCs w:val="28"/>
          <w:lang w:val="ru-RU"/>
        </w:rPr>
        <w:t xml:space="preserve"> 2013 </w:t>
      </w:r>
      <w:r w:rsidRPr="0001632B">
        <w:rPr>
          <w:rFonts w:ascii="Times New Roman" w:hAnsi="Times New Roman" w:cs="Times New Roman"/>
          <w:sz w:val="28"/>
          <w:szCs w:val="28"/>
        </w:rPr>
        <w:t>года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срок</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подачи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замечаний</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заявок</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истек</w:t>
      </w:r>
      <w:r w:rsidRPr="00CA25CE">
        <w:rPr>
          <w:rFonts w:ascii="Times New Roman" w:hAnsi="Times New Roman" w:cs="Times New Roman"/>
          <w:sz w:val="28"/>
          <w:szCs w:val="28"/>
          <w:lang w:val="ru-RU"/>
        </w:rPr>
        <w:t xml:space="preserve"> 21 </w:t>
      </w:r>
      <w:r w:rsidRPr="0001632B">
        <w:rPr>
          <w:rFonts w:ascii="Times New Roman" w:hAnsi="Times New Roman" w:cs="Times New Roman"/>
          <w:sz w:val="28"/>
          <w:szCs w:val="28"/>
        </w:rPr>
        <w:t>февраля</w:t>
      </w:r>
      <w:r w:rsidRPr="00CA25CE">
        <w:rPr>
          <w:rFonts w:ascii="Times New Roman" w:hAnsi="Times New Roman" w:cs="Times New Roman"/>
          <w:sz w:val="28"/>
          <w:szCs w:val="28"/>
          <w:lang w:val="ru-RU"/>
        </w:rPr>
        <w:t xml:space="preserve"> 2013 </w:t>
      </w:r>
      <w:r w:rsidRPr="0001632B">
        <w:rPr>
          <w:rFonts w:ascii="Times New Roman" w:hAnsi="Times New Roman" w:cs="Times New Roman"/>
          <w:sz w:val="28"/>
          <w:szCs w:val="28"/>
        </w:rPr>
        <w:t>года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Таким</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образом</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была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устранена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ошибка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касающаяся</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содержания</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уведомления</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адресованного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общественности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установления</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срока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подачи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комментариев</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заявлений</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указанная</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решении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Апелляционного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совета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lastRenderedPageBreak/>
        <w:t>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также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апелляции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на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решение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состоянии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окружающей</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среды</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от</w:t>
      </w:r>
      <w:r w:rsidRPr="00CA25CE">
        <w:rPr>
          <w:rFonts w:ascii="Times New Roman" w:hAnsi="Times New Roman" w:cs="Times New Roman"/>
          <w:sz w:val="28"/>
          <w:szCs w:val="28"/>
          <w:lang w:val="ru-RU"/>
        </w:rPr>
        <w:t xml:space="preserve"> 2 </w:t>
      </w:r>
      <w:r w:rsidRPr="0001632B">
        <w:rPr>
          <w:rFonts w:ascii="Times New Roman" w:hAnsi="Times New Roman" w:cs="Times New Roman"/>
          <w:sz w:val="28"/>
          <w:szCs w:val="28"/>
        </w:rPr>
        <w:t>августа</w:t>
      </w:r>
      <w:r w:rsidRPr="00CA25CE">
        <w:rPr>
          <w:rFonts w:ascii="Times New Roman" w:hAnsi="Times New Roman" w:cs="Times New Roman"/>
          <w:sz w:val="28"/>
          <w:szCs w:val="28"/>
          <w:lang w:val="ru-RU"/>
        </w:rPr>
        <w:t xml:space="preserve"> 2012 </w:t>
      </w:r>
      <w:r w:rsidRPr="0001632B">
        <w:rPr>
          <w:rFonts w:ascii="Times New Roman" w:hAnsi="Times New Roman" w:cs="Times New Roman"/>
          <w:sz w:val="28"/>
          <w:szCs w:val="28"/>
        </w:rPr>
        <w:t>года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поданной</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Ассоциацией</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lang w:val="en-GB"/>
        </w:rPr>
        <w:t>EKO</w:t>
      </w:r>
      <w:r w:rsidRPr="00CA25CE">
        <w:rPr>
          <w:rFonts w:ascii="Times New Roman" w:hAnsi="Times New Roman" w:cs="Times New Roman"/>
          <w:sz w:val="28"/>
          <w:szCs w:val="28"/>
          <w:lang w:val="ru-RU"/>
        </w:rPr>
        <w:t>-</w:t>
      </w:r>
      <w:r w:rsidRPr="0001632B">
        <w:rPr>
          <w:rFonts w:ascii="Times New Roman" w:hAnsi="Times New Roman" w:cs="Times New Roman"/>
          <w:sz w:val="28"/>
          <w:szCs w:val="28"/>
          <w:lang w:val="en-GB"/>
        </w:rPr>
        <w:t>UNIA</w:t>
      </w:r>
      <w:r w:rsidRPr="00CA25CE">
        <w:rPr>
          <w:rFonts w:ascii="Times New Roman" w:hAnsi="Times New Roman" w:cs="Times New Roman"/>
          <w:sz w:val="28"/>
          <w:szCs w:val="28"/>
          <w:lang w:val="ru-RU"/>
        </w:rPr>
        <w:t>.</w:t>
      </w:r>
    </w:p>
    <w:p w:rsidR="0001632B" w:rsidRPr="00CA25CE" w:rsidRDefault="0001632B" w:rsidP="0001632B">
      <w:pPr>
        <w:ind w:left="67" w:right="110"/>
        <w:rPr>
          <w:rFonts w:ascii="Times New Roman" w:hAnsi="Times New Roman" w:cs="Times New Roman"/>
          <w:sz w:val="28"/>
          <w:szCs w:val="28"/>
          <w:lang w:val="ru-RU"/>
        </w:rPr>
      </w:pPr>
      <w:r w:rsidRPr="0001632B">
        <w:rPr>
          <w:rFonts w:ascii="Times New Roman" w:hAnsi="Times New Roman" w:cs="Times New Roman"/>
          <w:sz w:val="28"/>
          <w:szCs w:val="28"/>
        </w:rPr>
        <w:t>Данное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объявление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было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опубликовано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на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сайте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lang w:val="en-GB"/>
        </w:rPr>
        <w:t>BIP</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органа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ответственного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за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производство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делу</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на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доске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объявлений</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офисе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муниципалитета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Богатыня</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на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столбах</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досках</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объявлений</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районе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города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муниципалитета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Богатыня</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также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районе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муниципалитета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Згожелец</w:t>
      </w:r>
      <w:r w:rsidRPr="00CA25CE">
        <w:rPr>
          <w:rFonts w:ascii="Times New Roman" w:hAnsi="Times New Roman" w:cs="Times New Roman"/>
          <w:sz w:val="28"/>
          <w:szCs w:val="28"/>
          <w:lang w:val="ru-RU"/>
        </w:rPr>
        <w:t>.</w:t>
      </w:r>
    </w:p>
    <w:p w:rsidR="0001632B" w:rsidRPr="00CA25CE" w:rsidRDefault="0001632B" w:rsidP="0001632B">
      <w:pPr>
        <w:spacing w:line="248" w:lineRule="auto"/>
        <w:ind w:left="91" w:right="682" w:firstLine="369"/>
        <w:rPr>
          <w:rFonts w:ascii="Times New Roman" w:hAnsi="Times New Roman" w:cs="Times New Roman"/>
          <w:sz w:val="28"/>
          <w:szCs w:val="28"/>
          <w:lang w:val="ru-RU"/>
        </w:rPr>
      </w:pPr>
      <w:r w:rsidRPr="0001632B">
        <w:rPr>
          <w:rFonts w:ascii="Times New Roman" w:hAnsi="Times New Roman" w:cs="Times New Roman"/>
          <w:sz w:val="28"/>
          <w:szCs w:val="28"/>
        </w:rPr>
        <w:t>В</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установленный</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срок</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не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было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получено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ни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комментариев</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общественности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ни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заявлений</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Кроме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того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для</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того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чтобы</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общественность</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могла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принять</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полное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всестороннее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участие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процессе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принятия</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решений</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были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организованы</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два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открытых</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для</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общественности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административных</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слушания</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соответствии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ст</w:t>
      </w:r>
      <w:r w:rsidRPr="00CA25CE">
        <w:rPr>
          <w:rFonts w:ascii="Times New Roman" w:hAnsi="Times New Roman" w:cs="Times New Roman"/>
          <w:sz w:val="28"/>
          <w:szCs w:val="28"/>
          <w:lang w:val="ru-RU"/>
        </w:rPr>
        <w:t xml:space="preserve">. 89 </w:t>
      </w:r>
      <w:r w:rsidRPr="0001632B">
        <w:rPr>
          <w:rFonts w:ascii="Times New Roman" w:hAnsi="Times New Roman" w:cs="Times New Roman"/>
          <w:sz w:val="28"/>
          <w:szCs w:val="28"/>
        </w:rPr>
        <w:t>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далее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Кодекса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административной</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процедуры</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ст</w:t>
      </w:r>
      <w:r w:rsidRPr="00CA25CE">
        <w:rPr>
          <w:rFonts w:ascii="Times New Roman" w:hAnsi="Times New Roman" w:cs="Times New Roman"/>
          <w:sz w:val="28"/>
          <w:szCs w:val="28"/>
          <w:lang w:val="ru-RU"/>
        </w:rPr>
        <w:t xml:space="preserve">. 36 </w:t>
      </w:r>
      <w:r w:rsidRPr="0001632B">
        <w:rPr>
          <w:rFonts w:ascii="Times New Roman" w:hAnsi="Times New Roman" w:cs="Times New Roman"/>
          <w:sz w:val="28"/>
          <w:szCs w:val="28"/>
        </w:rPr>
        <w:t>Закона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об</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ОВОС</w:t>
      </w:r>
      <w:r w:rsidRPr="00CA25CE">
        <w:rPr>
          <w:rFonts w:ascii="Times New Roman" w:hAnsi="Times New Roman" w:cs="Times New Roman"/>
          <w:sz w:val="28"/>
          <w:szCs w:val="28"/>
          <w:lang w:val="ru-RU"/>
        </w:rPr>
        <w:t>).</w:t>
      </w:r>
    </w:p>
    <w:p w:rsidR="0001632B" w:rsidRPr="00CA25CE" w:rsidRDefault="0001632B" w:rsidP="0001632B">
      <w:pPr>
        <w:ind w:left="451" w:right="110"/>
        <w:rPr>
          <w:rFonts w:ascii="Times New Roman" w:hAnsi="Times New Roman" w:cs="Times New Roman"/>
          <w:sz w:val="28"/>
          <w:szCs w:val="28"/>
          <w:lang w:val="ru-RU"/>
        </w:rPr>
      </w:pPr>
      <w:r w:rsidRPr="0001632B">
        <w:rPr>
          <w:rFonts w:ascii="Times New Roman" w:hAnsi="Times New Roman" w:cs="Times New Roman"/>
          <w:sz w:val="28"/>
          <w:szCs w:val="28"/>
        </w:rPr>
        <w:t>Первое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из</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этих</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слушаний</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состоялось</w:t>
      </w:r>
      <w:r w:rsidRPr="00CA25CE">
        <w:rPr>
          <w:rFonts w:ascii="Times New Roman" w:hAnsi="Times New Roman" w:cs="Times New Roman"/>
          <w:sz w:val="28"/>
          <w:szCs w:val="28"/>
          <w:lang w:val="ru-RU"/>
        </w:rPr>
        <w:t xml:space="preserve"> 4 </w:t>
      </w:r>
      <w:r w:rsidRPr="0001632B">
        <w:rPr>
          <w:rFonts w:ascii="Times New Roman" w:hAnsi="Times New Roman" w:cs="Times New Roman"/>
          <w:sz w:val="28"/>
          <w:szCs w:val="28"/>
        </w:rPr>
        <w:t>марта</w:t>
      </w:r>
      <w:r w:rsidRPr="00CA25CE">
        <w:rPr>
          <w:rFonts w:ascii="Times New Roman" w:hAnsi="Times New Roman" w:cs="Times New Roman"/>
          <w:sz w:val="28"/>
          <w:szCs w:val="28"/>
          <w:lang w:val="ru-RU"/>
        </w:rPr>
        <w:t xml:space="preserve"> 2013 </w:t>
      </w:r>
      <w:r w:rsidRPr="0001632B">
        <w:rPr>
          <w:rFonts w:ascii="Times New Roman" w:hAnsi="Times New Roman" w:cs="Times New Roman"/>
          <w:sz w:val="28"/>
          <w:szCs w:val="28"/>
        </w:rPr>
        <w:t>года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Богатыни</w:t>
      </w:r>
      <w:r w:rsidRPr="00CA25CE">
        <w:rPr>
          <w:rFonts w:ascii="Times New Roman" w:hAnsi="Times New Roman" w:cs="Times New Roman"/>
          <w:sz w:val="28"/>
          <w:szCs w:val="28"/>
          <w:lang w:val="ru-RU"/>
        </w:rPr>
        <w:t>.</w:t>
      </w:r>
    </w:p>
    <w:p w:rsidR="0001632B" w:rsidRPr="00CA25CE" w:rsidRDefault="0001632B" w:rsidP="0001632B">
      <w:pPr>
        <w:ind w:left="67" w:right="38"/>
        <w:rPr>
          <w:rFonts w:ascii="Times New Roman" w:hAnsi="Times New Roman" w:cs="Times New Roman"/>
          <w:sz w:val="28"/>
          <w:szCs w:val="28"/>
          <w:lang w:val="ru-RU"/>
        </w:rPr>
      </w:pPr>
      <w:r w:rsidRPr="0001632B">
        <w:rPr>
          <w:rFonts w:ascii="Times New Roman" w:hAnsi="Times New Roman" w:cs="Times New Roman"/>
          <w:sz w:val="28"/>
          <w:szCs w:val="28"/>
        </w:rPr>
        <w:t>Слушание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проходило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под</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председательством</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секретаря</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города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муниципалитета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Богатыни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присутствовали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также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другие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сотрудники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муниципалитета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Богатыни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На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слушаниях</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присутствовали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представители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Инвестора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представители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экологических</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организаций</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см</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ниже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об</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участии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этих</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организаций</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их</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комментариях</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ходе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слушаний</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также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мэр</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деревни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Ясна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Гура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один</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человек</w:t>
      </w:r>
      <w:r w:rsidRPr="00CA25CE">
        <w:rPr>
          <w:rFonts w:ascii="Times New Roman" w:hAnsi="Times New Roman" w:cs="Times New Roman"/>
          <w:sz w:val="28"/>
          <w:szCs w:val="28"/>
          <w:lang w:val="ru-RU"/>
        </w:rPr>
        <w:t>.</w:t>
      </w:r>
    </w:p>
    <w:p w:rsidR="0001632B" w:rsidRPr="00CA25CE" w:rsidRDefault="0001632B" w:rsidP="0001632B">
      <w:pPr>
        <w:ind w:left="67" w:right="110"/>
        <w:rPr>
          <w:rFonts w:ascii="Times New Roman" w:hAnsi="Times New Roman" w:cs="Times New Roman"/>
          <w:sz w:val="28"/>
          <w:szCs w:val="28"/>
          <w:lang w:val="ru-RU"/>
        </w:rPr>
      </w:pPr>
      <w:r w:rsidRPr="0001632B">
        <w:rPr>
          <w:rFonts w:ascii="Times New Roman" w:hAnsi="Times New Roman" w:cs="Times New Roman"/>
          <w:sz w:val="28"/>
          <w:szCs w:val="28"/>
        </w:rPr>
        <w:t>частный</w:t>
      </w:r>
      <w:r w:rsidRPr="00CA25CE">
        <w:rPr>
          <w:rFonts w:ascii="Times New Roman" w:hAnsi="Times New Roman" w:cs="Times New Roman"/>
          <w:sz w:val="28"/>
          <w:szCs w:val="28"/>
          <w:lang w:val="ru-RU"/>
        </w:rPr>
        <w:t>.</w:t>
      </w:r>
    </w:p>
    <w:p w:rsidR="0001632B" w:rsidRPr="00CA25CE" w:rsidRDefault="0001632B" w:rsidP="0001632B">
      <w:pPr>
        <w:spacing w:line="248" w:lineRule="auto"/>
        <w:ind w:left="91" w:right="418"/>
        <w:rPr>
          <w:rFonts w:ascii="Times New Roman" w:hAnsi="Times New Roman" w:cs="Times New Roman"/>
          <w:sz w:val="28"/>
          <w:szCs w:val="28"/>
          <w:lang w:val="ru-RU"/>
        </w:rPr>
      </w:pPr>
      <w:r w:rsidRPr="0001632B">
        <w:rPr>
          <w:rFonts w:ascii="Times New Roman" w:hAnsi="Times New Roman" w:cs="Times New Roman"/>
          <w:sz w:val="28"/>
          <w:szCs w:val="28"/>
        </w:rPr>
        <w:t>В</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ходе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слушаний</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представитель</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органа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ведущего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разбирательство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рассказал</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ходе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разбирательства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представители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инвестора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представили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краткое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описание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планируемого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проекта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его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воздействия</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последний</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аспект</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был</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представлен</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авторами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отчета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воздействии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на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окружающую</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среду</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Затем</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ответственный</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за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слушания</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предоставил</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участникам</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возможность</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высказать</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свое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мнение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представить</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свои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вопросы</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комментарии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выводы</w:t>
      </w:r>
      <w:r w:rsidRPr="00CA25CE">
        <w:rPr>
          <w:rFonts w:ascii="Times New Roman" w:hAnsi="Times New Roman" w:cs="Times New Roman"/>
          <w:sz w:val="28"/>
          <w:szCs w:val="28"/>
          <w:lang w:val="ru-RU"/>
        </w:rPr>
        <w:t>.</w:t>
      </w:r>
    </w:p>
    <w:p w:rsidR="0001632B" w:rsidRPr="00CA25CE" w:rsidRDefault="0001632B" w:rsidP="0001632B">
      <w:pPr>
        <w:ind w:left="67" w:right="437"/>
        <w:rPr>
          <w:rFonts w:ascii="Times New Roman" w:hAnsi="Times New Roman" w:cs="Times New Roman"/>
          <w:sz w:val="28"/>
          <w:szCs w:val="28"/>
          <w:lang w:val="ru-RU"/>
        </w:rPr>
      </w:pPr>
      <w:r w:rsidRPr="0001632B">
        <w:rPr>
          <w:rFonts w:ascii="Times New Roman" w:hAnsi="Times New Roman" w:cs="Times New Roman"/>
          <w:sz w:val="28"/>
          <w:szCs w:val="28"/>
        </w:rPr>
        <w:t>Представители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экологических</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организаций</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воспользовались</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этой</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возможностью</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Ассоциация</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lang w:val="en-GB"/>
        </w:rPr>
        <w:t>EKO</w:t>
      </w:r>
      <w:r w:rsidRPr="00CA25CE">
        <w:rPr>
          <w:rFonts w:ascii="Times New Roman" w:hAnsi="Times New Roman" w:cs="Times New Roman"/>
          <w:sz w:val="28"/>
          <w:szCs w:val="28"/>
          <w:lang w:val="ru-RU"/>
        </w:rPr>
        <w:t>-</w:t>
      </w:r>
      <w:r w:rsidRPr="0001632B">
        <w:rPr>
          <w:rFonts w:ascii="Times New Roman" w:hAnsi="Times New Roman" w:cs="Times New Roman"/>
          <w:sz w:val="28"/>
          <w:szCs w:val="28"/>
          <w:lang w:val="en-GB"/>
        </w:rPr>
        <w:t>UNIA</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Фонд</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экологической</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юридической</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службы</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об</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участии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этих</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организаций</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сделанных</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ими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комментариях</w:t>
      </w:r>
      <w:r w:rsidRPr="00CA25CE">
        <w:rPr>
          <w:rFonts w:ascii="Times New Roman" w:hAnsi="Times New Roman" w:cs="Times New Roman"/>
          <w:sz w:val="28"/>
          <w:szCs w:val="28"/>
          <w:lang w:val="ru-RU"/>
        </w:rPr>
        <w:t xml:space="preserve"> - </w:t>
      </w:r>
      <w:r w:rsidRPr="0001632B">
        <w:rPr>
          <w:rFonts w:ascii="Times New Roman" w:hAnsi="Times New Roman" w:cs="Times New Roman"/>
          <w:sz w:val="28"/>
          <w:szCs w:val="28"/>
        </w:rPr>
        <w:t>см</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ниже</w:t>
      </w:r>
      <w:r w:rsidRPr="00CA25CE">
        <w:rPr>
          <w:rFonts w:ascii="Times New Roman" w:hAnsi="Times New Roman" w:cs="Times New Roman"/>
          <w:sz w:val="28"/>
          <w:szCs w:val="28"/>
          <w:lang w:val="ru-RU"/>
        </w:rPr>
        <w:t>).</w:t>
      </w:r>
    </w:p>
    <w:p w:rsidR="0001632B" w:rsidRPr="00CA25CE" w:rsidRDefault="0001632B" w:rsidP="0001632B">
      <w:pPr>
        <w:ind w:left="67" w:right="110"/>
        <w:rPr>
          <w:rFonts w:ascii="Times New Roman" w:hAnsi="Times New Roman" w:cs="Times New Roman"/>
          <w:sz w:val="28"/>
          <w:szCs w:val="28"/>
          <w:lang w:val="ru-RU"/>
        </w:rPr>
      </w:pPr>
      <w:r w:rsidRPr="0001632B">
        <w:rPr>
          <w:rFonts w:ascii="Times New Roman" w:hAnsi="Times New Roman" w:cs="Times New Roman"/>
          <w:sz w:val="28"/>
          <w:szCs w:val="28"/>
        </w:rPr>
        <w:t>Протокол</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слушаний</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находится</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деле</w:t>
      </w:r>
      <w:r w:rsidRPr="00CA25CE">
        <w:rPr>
          <w:rFonts w:ascii="Times New Roman" w:hAnsi="Times New Roman" w:cs="Times New Roman"/>
          <w:sz w:val="28"/>
          <w:szCs w:val="28"/>
          <w:lang w:val="ru-RU"/>
        </w:rPr>
        <w:t>.</w:t>
      </w:r>
    </w:p>
    <w:p w:rsidR="0001632B" w:rsidRPr="00CA25CE" w:rsidRDefault="0001632B" w:rsidP="0001632B">
      <w:pPr>
        <w:spacing w:after="280"/>
        <w:ind w:left="67" w:right="110" w:firstLine="370"/>
        <w:rPr>
          <w:rFonts w:ascii="Times New Roman" w:hAnsi="Times New Roman" w:cs="Times New Roman"/>
          <w:sz w:val="28"/>
          <w:szCs w:val="28"/>
          <w:lang w:val="ru-RU"/>
        </w:rPr>
      </w:pPr>
      <w:r w:rsidRPr="0001632B">
        <w:rPr>
          <w:rFonts w:ascii="Times New Roman" w:hAnsi="Times New Roman" w:cs="Times New Roman"/>
          <w:sz w:val="28"/>
          <w:szCs w:val="28"/>
        </w:rPr>
        <w:lastRenderedPageBreak/>
        <w:t>Следующее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административное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слушание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состоялось</w:t>
      </w:r>
      <w:r w:rsidRPr="00CA25CE">
        <w:rPr>
          <w:rFonts w:ascii="Times New Roman" w:hAnsi="Times New Roman" w:cs="Times New Roman"/>
          <w:sz w:val="28"/>
          <w:szCs w:val="28"/>
          <w:lang w:val="ru-RU"/>
        </w:rPr>
        <w:t xml:space="preserve"> 12 </w:t>
      </w:r>
      <w:r w:rsidRPr="0001632B">
        <w:rPr>
          <w:rFonts w:ascii="Times New Roman" w:hAnsi="Times New Roman" w:cs="Times New Roman"/>
          <w:sz w:val="28"/>
          <w:szCs w:val="28"/>
        </w:rPr>
        <w:t>августа</w:t>
      </w:r>
      <w:r w:rsidRPr="00CA25CE">
        <w:rPr>
          <w:rFonts w:ascii="Times New Roman" w:hAnsi="Times New Roman" w:cs="Times New Roman"/>
          <w:sz w:val="28"/>
          <w:szCs w:val="28"/>
          <w:lang w:val="ru-RU"/>
        </w:rPr>
        <w:t xml:space="preserve"> 2013 </w:t>
      </w:r>
      <w:r w:rsidRPr="0001632B">
        <w:rPr>
          <w:rFonts w:ascii="Times New Roman" w:hAnsi="Times New Roman" w:cs="Times New Roman"/>
          <w:sz w:val="28"/>
          <w:szCs w:val="28"/>
        </w:rPr>
        <w:t>года</w:t>
      </w:r>
      <w:r w:rsidRPr="00CA25CE">
        <w:rPr>
          <w:rFonts w:ascii="Times New Roman" w:hAnsi="Times New Roman" w:cs="Times New Roman"/>
          <w:sz w:val="28"/>
          <w:szCs w:val="28"/>
          <w:lang w:val="ru-RU"/>
        </w:rPr>
        <w:t xml:space="preserve">. - </w:t>
      </w:r>
      <w:r w:rsidRPr="0001632B">
        <w:rPr>
          <w:rFonts w:ascii="Times New Roman" w:hAnsi="Times New Roman" w:cs="Times New Roman"/>
          <w:sz w:val="28"/>
          <w:szCs w:val="28"/>
        </w:rPr>
        <w:t>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его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производстве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см</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дальнейшие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рассуждения</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настоящем</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решении</w:t>
      </w:r>
      <w:r w:rsidRPr="00CA25CE">
        <w:rPr>
          <w:rFonts w:ascii="Times New Roman" w:hAnsi="Times New Roman" w:cs="Times New Roman"/>
          <w:sz w:val="28"/>
          <w:szCs w:val="28"/>
          <w:lang w:val="ru-RU"/>
        </w:rPr>
        <w:t>.</w:t>
      </w:r>
    </w:p>
    <w:p w:rsidR="0001632B" w:rsidRPr="00CA25CE" w:rsidRDefault="0001632B" w:rsidP="0001632B">
      <w:pPr>
        <w:spacing w:after="210"/>
        <w:ind w:left="134"/>
        <w:rPr>
          <w:rFonts w:ascii="Times New Roman" w:hAnsi="Times New Roman" w:cs="Times New Roman"/>
          <w:sz w:val="28"/>
          <w:szCs w:val="28"/>
          <w:lang w:val="ru-RU"/>
        </w:rPr>
      </w:pPr>
      <w:r w:rsidRPr="0001632B">
        <w:rPr>
          <w:rFonts w:ascii="Times New Roman" w:hAnsi="Times New Roman" w:cs="Times New Roman"/>
          <w:sz w:val="28"/>
          <w:szCs w:val="28"/>
        </w:rPr>
        <w:t>Экологические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организации</w:t>
      </w:r>
    </w:p>
    <w:p w:rsidR="0001632B" w:rsidRPr="00CA25CE" w:rsidRDefault="0001632B" w:rsidP="0001632B">
      <w:pPr>
        <w:ind w:left="67" w:right="110"/>
        <w:rPr>
          <w:rFonts w:ascii="Times New Roman" w:hAnsi="Times New Roman" w:cs="Times New Roman"/>
          <w:sz w:val="28"/>
          <w:szCs w:val="28"/>
          <w:lang w:val="ru-RU"/>
        </w:rPr>
      </w:pPr>
      <w:r w:rsidRPr="0001632B">
        <w:rPr>
          <w:rFonts w:ascii="Times New Roman" w:hAnsi="Times New Roman" w:cs="Times New Roman"/>
          <w:sz w:val="28"/>
          <w:szCs w:val="28"/>
        </w:rPr>
        <w:t>Как</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было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указано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выше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две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экологические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организации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зарегистрировали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свое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участие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разбирательстве</w:t>
      </w:r>
      <w:r w:rsidRPr="00CA25CE">
        <w:rPr>
          <w:rFonts w:ascii="Times New Roman" w:hAnsi="Times New Roman" w:cs="Times New Roman"/>
          <w:sz w:val="28"/>
          <w:szCs w:val="28"/>
          <w:lang w:val="ru-RU"/>
        </w:rPr>
        <w:t>:</w:t>
      </w:r>
    </w:p>
    <w:p w:rsidR="0001632B" w:rsidRPr="00CA25CE" w:rsidRDefault="0001632B" w:rsidP="0001632B">
      <w:pPr>
        <w:numPr>
          <w:ilvl w:val="0"/>
          <w:numId w:val="1"/>
        </w:numPr>
        <w:spacing w:after="5" w:line="247" w:lineRule="auto"/>
        <w:ind w:right="110" w:hanging="355"/>
        <w:jc w:val="both"/>
        <w:rPr>
          <w:rFonts w:ascii="Times New Roman" w:hAnsi="Times New Roman" w:cs="Times New Roman"/>
          <w:sz w:val="28"/>
          <w:szCs w:val="28"/>
          <w:lang w:val="ru-RU"/>
        </w:rPr>
      </w:pPr>
      <w:r w:rsidRPr="0001632B">
        <w:rPr>
          <w:rFonts w:ascii="Times New Roman" w:hAnsi="Times New Roman" w:cs="Times New Roman"/>
          <w:sz w:val="28"/>
          <w:szCs w:val="28"/>
        </w:rPr>
        <w:t>Ассоциация</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lang w:val="en-GB"/>
        </w:rPr>
        <w:t>EKO</w:t>
      </w:r>
      <w:r w:rsidRPr="00CA25CE">
        <w:rPr>
          <w:rFonts w:ascii="Times New Roman" w:hAnsi="Times New Roman" w:cs="Times New Roman"/>
          <w:sz w:val="28"/>
          <w:szCs w:val="28"/>
          <w:lang w:val="ru-RU"/>
        </w:rPr>
        <w:t>-</w:t>
      </w:r>
      <w:r w:rsidRPr="0001632B">
        <w:rPr>
          <w:rFonts w:ascii="Times New Roman" w:hAnsi="Times New Roman" w:cs="Times New Roman"/>
          <w:sz w:val="28"/>
          <w:szCs w:val="28"/>
          <w:lang w:val="en-GB"/>
        </w:rPr>
        <w:t>UNIA</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из</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Вроцлава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которая</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подала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апелляцию</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на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решение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состоянии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окружающей</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среды</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от</w:t>
      </w:r>
      <w:r w:rsidRPr="00CA25CE">
        <w:rPr>
          <w:rFonts w:ascii="Times New Roman" w:hAnsi="Times New Roman" w:cs="Times New Roman"/>
          <w:sz w:val="28"/>
          <w:szCs w:val="28"/>
          <w:lang w:val="ru-RU"/>
        </w:rPr>
        <w:t xml:space="preserve"> 2 </w:t>
      </w:r>
      <w:r w:rsidRPr="0001632B">
        <w:rPr>
          <w:rFonts w:ascii="Times New Roman" w:hAnsi="Times New Roman" w:cs="Times New Roman"/>
          <w:sz w:val="28"/>
          <w:szCs w:val="28"/>
        </w:rPr>
        <w:t>августа</w:t>
      </w:r>
      <w:r w:rsidRPr="00CA25CE">
        <w:rPr>
          <w:rFonts w:ascii="Times New Roman" w:hAnsi="Times New Roman" w:cs="Times New Roman"/>
          <w:sz w:val="28"/>
          <w:szCs w:val="28"/>
          <w:lang w:val="ru-RU"/>
        </w:rPr>
        <w:t xml:space="preserve"> 2012 </w:t>
      </w:r>
      <w:r w:rsidRPr="0001632B">
        <w:rPr>
          <w:rFonts w:ascii="Times New Roman" w:hAnsi="Times New Roman" w:cs="Times New Roman"/>
          <w:sz w:val="28"/>
          <w:szCs w:val="28"/>
        </w:rPr>
        <w:t>года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таким</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образом</w:t>
      </w:r>
      <w:r w:rsidRPr="00CA25CE">
        <w:rPr>
          <w:rFonts w:ascii="Times New Roman" w:hAnsi="Times New Roman" w:cs="Times New Roman"/>
          <w:sz w:val="28"/>
          <w:szCs w:val="28"/>
          <w:lang w:val="ru-RU"/>
        </w:rPr>
        <w:t xml:space="preserve"> - </w:t>
      </w:r>
      <w:r w:rsidRPr="0001632B">
        <w:rPr>
          <w:rFonts w:ascii="Times New Roman" w:hAnsi="Times New Roman" w:cs="Times New Roman"/>
          <w:sz w:val="28"/>
          <w:szCs w:val="28"/>
        </w:rPr>
        <w:t>в</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соответствии</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со</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статьей</w:t>
      </w:r>
      <w:r w:rsidRPr="00CA25CE">
        <w:rPr>
          <w:rFonts w:ascii="Times New Roman" w:hAnsi="Times New Roman" w:cs="Times New Roman"/>
          <w:sz w:val="28"/>
          <w:szCs w:val="28"/>
          <w:lang w:val="ru-RU"/>
        </w:rPr>
        <w:t xml:space="preserve"> 44 </w:t>
      </w:r>
      <w:r w:rsidRPr="0001632B">
        <w:rPr>
          <w:rFonts w:ascii="Times New Roman" w:hAnsi="Times New Roman" w:cs="Times New Roman"/>
          <w:sz w:val="28"/>
          <w:szCs w:val="28"/>
        </w:rPr>
        <w:t>раздел</w:t>
      </w:r>
      <w:r w:rsidRPr="00CA25CE">
        <w:rPr>
          <w:rFonts w:ascii="Times New Roman" w:hAnsi="Times New Roman" w:cs="Times New Roman"/>
          <w:sz w:val="28"/>
          <w:szCs w:val="28"/>
          <w:lang w:val="ru-RU"/>
        </w:rPr>
        <w:t xml:space="preserve"> 2 </w:t>
      </w:r>
      <w:r w:rsidRPr="0001632B">
        <w:rPr>
          <w:rFonts w:ascii="Times New Roman" w:hAnsi="Times New Roman" w:cs="Times New Roman"/>
          <w:sz w:val="28"/>
          <w:szCs w:val="28"/>
        </w:rPr>
        <w:t>Закона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об</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ОВОС</w:t>
      </w:r>
      <w:r w:rsidRPr="00CA25CE">
        <w:rPr>
          <w:rFonts w:ascii="Times New Roman" w:hAnsi="Times New Roman" w:cs="Times New Roman"/>
          <w:sz w:val="28"/>
          <w:szCs w:val="28"/>
          <w:lang w:val="ru-RU"/>
        </w:rPr>
        <w:t xml:space="preserve"> - </w:t>
      </w:r>
      <w:r w:rsidRPr="0001632B">
        <w:rPr>
          <w:rFonts w:ascii="Times New Roman" w:hAnsi="Times New Roman" w:cs="Times New Roman"/>
          <w:sz w:val="28"/>
          <w:szCs w:val="28"/>
        </w:rPr>
        <w:t>выразила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желание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участвовать</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в</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судебном</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разбирательстве</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на</w:t>
      </w:r>
      <w:r w:rsidRPr="00CA25CE">
        <w:rPr>
          <w:rFonts w:ascii="Times New Roman" w:hAnsi="Times New Roman" w:cs="Times New Roman"/>
          <w:sz w:val="28"/>
          <w:szCs w:val="28"/>
          <w:lang w:val="ru-RU"/>
        </w:rPr>
        <w:t xml:space="preserve"> </w:t>
      </w:r>
      <w:r w:rsidRPr="0001632B">
        <w:rPr>
          <w:rFonts w:ascii="Times New Roman" w:hAnsi="Times New Roman" w:cs="Times New Roman"/>
          <w:sz w:val="28"/>
          <w:szCs w:val="28"/>
        </w:rPr>
        <w:t>правах</w:t>
      </w:r>
    </w:p>
    <w:p w:rsidR="0001632B" w:rsidRPr="0001632B" w:rsidRDefault="0001632B" w:rsidP="0001632B">
      <w:pPr>
        <w:ind w:left="879" w:right="110"/>
        <w:rPr>
          <w:rFonts w:ascii="Times New Roman" w:hAnsi="Times New Roman" w:cs="Times New Roman"/>
          <w:sz w:val="28"/>
          <w:szCs w:val="28"/>
        </w:rPr>
      </w:pPr>
      <w:r w:rsidRPr="0001632B">
        <w:rPr>
          <w:rFonts w:ascii="Times New Roman" w:hAnsi="Times New Roman" w:cs="Times New Roman"/>
          <w:sz w:val="28"/>
          <w:szCs w:val="28"/>
        </w:rPr>
        <w:t>страницы;</w:t>
      </w:r>
    </w:p>
    <w:p w:rsidR="0001632B" w:rsidRPr="0001632B" w:rsidRDefault="0001632B" w:rsidP="0001632B">
      <w:pPr>
        <w:numPr>
          <w:ilvl w:val="0"/>
          <w:numId w:val="1"/>
        </w:numPr>
        <w:spacing w:after="5" w:line="247" w:lineRule="auto"/>
        <w:ind w:right="110" w:hanging="355"/>
        <w:jc w:val="both"/>
        <w:rPr>
          <w:rFonts w:ascii="Times New Roman" w:hAnsi="Times New Roman" w:cs="Times New Roman"/>
          <w:sz w:val="28"/>
          <w:szCs w:val="28"/>
        </w:rPr>
      </w:pPr>
      <w:r w:rsidRPr="0001632B">
        <w:rPr>
          <w:rFonts w:ascii="Times New Roman" w:hAnsi="Times New Roman" w:cs="Times New Roman"/>
          <w:sz w:val="28"/>
          <w:szCs w:val="28"/>
        </w:rPr>
        <w:t>Fundacja Ekologiczny Serwis Prawny из Кракова, который подал заявление о приеме в производство после того, как первоначальное решение об экологических условиях было отменено SKO.</w:t>
      </w:r>
    </w:p>
    <w:p w:rsidR="0001632B" w:rsidRPr="0001632B" w:rsidRDefault="0001632B" w:rsidP="0001632B">
      <w:pPr>
        <w:ind w:left="67" w:right="423" w:firstLine="370"/>
        <w:rPr>
          <w:rFonts w:ascii="Times New Roman" w:hAnsi="Times New Roman" w:cs="Times New Roman"/>
          <w:sz w:val="28"/>
          <w:szCs w:val="28"/>
        </w:rPr>
      </w:pPr>
      <w:r w:rsidRPr="0001632B">
        <w:rPr>
          <w:rFonts w:ascii="Times New Roman" w:hAnsi="Times New Roman" w:cs="Times New Roman"/>
          <w:sz w:val="28"/>
          <w:szCs w:val="28"/>
        </w:rPr>
        <w:t>Орган установил, что обе эти организации отвечают условиям признания их экологическими организациями, указанным в ст. 3 (I) (10) и ст. 44 Закона об ОВОС, и поэтому они были допущены к участию в разбирательстве на правах стороны.</w:t>
      </w:r>
    </w:p>
    <w:p w:rsidR="0001632B" w:rsidRPr="0001632B" w:rsidRDefault="0001632B" w:rsidP="0001632B">
      <w:pPr>
        <w:ind w:left="67" w:right="173" w:firstLine="379"/>
        <w:rPr>
          <w:rFonts w:ascii="Times New Roman" w:hAnsi="Times New Roman" w:cs="Times New Roman"/>
          <w:sz w:val="28"/>
          <w:szCs w:val="28"/>
        </w:rPr>
      </w:pPr>
      <w:r w:rsidRPr="0001632B">
        <w:rPr>
          <w:rFonts w:ascii="Times New Roman" w:hAnsi="Times New Roman" w:cs="Times New Roman"/>
          <w:sz w:val="28"/>
          <w:szCs w:val="28"/>
        </w:rPr>
        <w:t>Ассоциация EKO-UNIA представила свои комментарии к разбирательству, сформулировав основания для обжалования решения от 2 августа 2012 года. Как указано в предыдущей части изложения мотивов ("Ход разбирательства"), эти основания можно разделить на:</w:t>
      </w:r>
    </w:p>
    <w:p w:rsidR="0001632B" w:rsidRPr="0001632B" w:rsidRDefault="0001632B" w:rsidP="0001632B">
      <w:pPr>
        <w:numPr>
          <w:ilvl w:val="0"/>
          <w:numId w:val="1"/>
        </w:numPr>
        <w:spacing w:after="5" w:line="248" w:lineRule="auto"/>
        <w:ind w:right="110" w:hanging="355"/>
        <w:jc w:val="both"/>
        <w:rPr>
          <w:rFonts w:ascii="Times New Roman" w:hAnsi="Times New Roman" w:cs="Times New Roman"/>
          <w:sz w:val="28"/>
          <w:szCs w:val="28"/>
        </w:rPr>
      </w:pPr>
      <w:r w:rsidRPr="0001632B">
        <w:rPr>
          <w:rFonts w:ascii="Times New Roman" w:hAnsi="Times New Roman" w:cs="Times New Roman"/>
          <w:sz w:val="28"/>
          <w:szCs w:val="28"/>
        </w:rPr>
        <w:t xml:space="preserve">процедурные вопросы, касающиеся способа уведомления сторон разбирательства и общественности (предполагаемые недостатки были устранены в ходе повторного расследования путем уведомления сторон и общественности особенно тщательным образом, как показано в данной части обоснования); </w:t>
      </w:r>
      <w:r w:rsidRPr="0001632B">
        <w:rPr>
          <w:rFonts w:ascii="Times New Roman" w:hAnsi="Times New Roman" w:cs="Times New Roman"/>
          <w:noProof/>
          <w:sz w:val="28"/>
          <w:szCs w:val="28"/>
          <w:lang w:val="en-GB" w:eastAsia="en-GB"/>
        </w:rPr>
        <w:drawing>
          <wp:inline distT="0" distB="0" distL="0" distR="0" wp14:anchorId="7A3229A9" wp14:editId="71752CC1">
            <wp:extent cx="54886" cy="57912"/>
            <wp:effectExtent l="0" t="0" r="0" b="0"/>
            <wp:docPr id="87109" name="Picture 87109"/>
            <wp:cNvGraphicFramePr/>
            <a:graphic xmlns:a="http://schemas.openxmlformats.org/drawingml/2006/main">
              <a:graphicData uri="http://schemas.openxmlformats.org/drawingml/2006/picture">
                <pic:pic xmlns:pic="http://schemas.openxmlformats.org/drawingml/2006/picture">
                  <pic:nvPicPr>
                    <pic:cNvPr id="87109" name="Picture 87109"/>
                    <pic:cNvPicPr/>
                  </pic:nvPicPr>
                  <pic:blipFill>
                    <a:blip r:embed="rId5"/>
                    <a:stretch>
                      <a:fillRect/>
                    </a:stretch>
                  </pic:blipFill>
                  <pic:spPr>
                    <a:xfrm>
                      <a:off x="0" y="0"/>
                      <a:ext cx="54886" cy="57912"/>
                    </a:xfrm>
                    <a:prstGeom prst="rect">
                      <a:avLst/>
                    </a:prstGeom>
                  </pic:spPr>
                </pic:pic>
              </a:graphicData>
            </a:graphic>
          </wp:inline>
        </w:drawing>
      </w:r>
      <w:r w:rsidRPr="0001632B">
        <w:rPr>
          <w:rFonts w:ascii="Times New Roman" w:hAnsi="Times New Roman" w:cs="Times New Roman"/>
          <w:sz w:val="28"/>
          <w:szCs w:val="28"/>
        </w:rPr>
        <w:t xml:space="preserve">способ, которым орган, ответственный за разбирательство, оценил документацию, предоставленную Инвестором в отношении вопроса готовности к УХУ (готовность установки к внедрению технологии улавливания и хранения углерода); выбросы ртути в результате планируемого проекта; и кумулятивное воздействие на территории "Натура 2000" (ссылка органа, ответственного за разбирательство, на эти комментарии была включена в раздел "Решение по существу проекта" в данной части обоснования).Отчет о содержании самого отчета (комментарии органа, ведущего разбирательство, по этим замечаниям были представлены в части "Урегулирование вопросов </w:t>
      </w:r>
      <w:r w:rsidRPr="0001632B">
        <w:rPr>
          <w:rFonts w:ascii="Times New Roman" w:hAnsi="Times New Roman" w:cs="Times New Roman"/>
          <w:sz w:val="28"/>
          <w:szCs w:val="28"/>
        </w:rPr>
        <w:lastRenderedPageBreak/>
        <w:t>существа, касающихся исполнения проекта, представленного в ходе разбирательства" обоснования данного решения).</w:t>
      </w:r>
      <w:r w:rsidRPr="0001632B">
        <w:rPr>
          <w:rFonts w:ascii="Times New Roman" w:hAnsi="Times New Roman" w:cs="Times New Roman"/>
          <w:noProof/>
          <w:sz w:val="28"/>
          <w:szCs w:val="28"/>
          <w:lang w:val="en-GB" w:eastAsia="en-GB"/>
        </w:rPr>
        <w:drawing>
          <wp:inline distT="0" distB="0" distL="0" distR="0" wp14:anchorId="3742EBC3" wp14:editId="1D5B773A">
            <wp:extent cx="54886" cy="57912"/>
            <wp:effectExtent l="0" t="0" r="0" b="0"/>
            <wp:docPr id="87110" name="Picture 87110"/>
            <wp:cNvGraphicFramePr/>
            <a:graphic xmlns:a="http://schemas.openxmlformats.org/drawingml/2006/main">
              <a:graphicData uri="http://schemas.openxmlformats.org/drawingml/2006/picture">
                <pic:pic xmlns:pic="http://schemas.openxmlformats.org/drawingml/2006/picture">
                  <pic:nvPicPr>
                    <pic:cNvPr id="87110" name="Picture 87110"/>
                    <pic:cNvPicPr/>
                  </pic:nvPicPr>
                  <pic:blipFill>
                    <a:blip r:embed="rId6"/>
                    <a:stretch>
                      <a:fillRect/>
                    </a:stretch>
                  </pic:blipFill>
                  <pic:spPr>
                    <a:xfrm>
                      <a:off x="0" y="0"/>
                      <a:ext cx="54886" cy="57912"/>
                    </a:xfrm>
                    <a:prstGeom prst="rect">
                      <a:avLst/>
                    </a:prstGeom>
                  </pic:spPr>
                </pic:pic>
              </a:graphicData>
            </a:graphic>
          </wp:inline>
        </w:drawing>
      </w:r>
    </w:p>
    <w:p w:rsidR="0001632B" w:rsidRPr="0001632B" w:rsidRDefault="0001632B" w:rsidP="0001632B">
      <w:pPr>
        <w:spacing w:after="285"/>
        <w:ind w:left="67" w:right="975" w:firstLine="365"/>
        <w:rPr>
          <w:rFonts w:ascii="Times New Roman" w:hAnsi="Times New Roman" w:cs="Times New Roman"/>
          <w:sz w:val="28"/>
          <w:szCs w:val="28"/>
        </w:rPr>
      </w:pPr>
      <w:r w:rsidRPr="0001632B">
        <w:rPr>
          <w:rFonts w:ascii="Times New Roman" w:hAnsi="Times New Roman" w:cs="Times New Roman"/>
          <w:sz w:val="28"/>
          <w:szCs w:val="28"/>
        </w:rPr>
        <w:t>Фонд "Экологическая правовая служба" в письме от 13 февраля 2013 года представил свои комментарии относительно содержания приложения № 2, представленного Инвестором, а именно:</w:t>
      </w:r>
    </w:p>
    <w:p w:rsidR="0001632B" w:rsidRPr="0001632B" w:rsidRDefault="0001632B" w:rsidP="0001632B">
      <w:pPr>
        <w:numPr>
          <w:ilvl w:val="0"/>
          <w:numId w:val="1"/>
        </w:numPr>
        <w:spacing w:after="5" w:line="247" w:lineRule="auto"/>
        <w:ind w:right="110" w:hanging="355"/>
        <w:jc w:val="both"/>
        <w:rPr>
          <w:rFonts w:ascii="Times New Roman" w:hAnsi="Times New Roman" w:cs="Times New Roman"/>
          <w:sz w:val="28"/>
          <w:szCs w:val="28"/>
        </w:rPr>
      </w:pPr>
      <w:r w:rsidRPr="0001632B">
        <w:rPr>
          <w:rFonts w:ascii="Times New Roman" w:hAnsi="Times New Roman" w:cs="Times New Roman"/>
          <w:sz w:val="28"/>
          <w:szCs w:val="28"/>
        </w:rPr>
        <w:t>выбросов в атмосферу до и после инвестиций, включая использование неверных единиц измерения в отношении количества веществ, выброшенных в атмосферу, в сводке, представленной на страницах 8-9 Приложения № 2;</w:t>
      </w:r>
    </w:p>
    <w:p w:rsidR="0001632B" w:rsidRPr="0001632B" w:rsidRDefault="0001632B" w:rsidP="0001632B">
      <w:pPr>
        <w:numPr>
          <w:ilvl w:val="0"/>
          <w:numId w:val="1"/>
        </w:numPr>
        <w:spacing w:after="5" w:line="247" w:lineRule="auto"/>
        <w:ind w:right="110" w:hanging="355"/>
        <w:jc w:val="both"/>
        <w:rPr>
          <w:rFonts w:ascii="Times New Roman" w:hAnsi="Times New Roman" w:cs="Times New Roman"/>
          <w:sz w:val="28"/>
          <w:szCs w:val="28"/>
        </w:rPr>
      </w:pPr>
      <w:r w:rsidRPr="0001632B">
        <w:rPr>
          <w:rFonts w:ascii="Times New Roman" w:hAnsi="Times New Roman" w:cs="Times New Roman"/>
          <w:sz w:val="28"/>
          <w:szCs w:val="28"/>
        </w:rPr>
        <w:t>расчеты выбросов двуокиси углерода и окиси углерода;</w:t>
      </w:r>
    </w:p>
    <w:p w:rsidR="0001632B" w:rsidRPr="0001632B" w:rsidRDefault="0001632B" w:rsidP="0001632B">
      <w:pPr>
        <w:numPr>
          <w:ilvl w:val="0"/>
          <w:numId w:val="1"/>
        </w:numPr>
        <w:spacing w:after="5" w:line="247" w:lineRule="auto"/>
        <w:ind w:right="110" w:hanging="355"/>
        <w:jc w:val="both"/>
        <w:rPr>
          <w:rFonts w:ascii="Times New Roman" w:hAnsi="Times New Roman" w:cs="Times New Roman"/>
          <w:sz w:val="28"/>
          <w:szCs w:val="28"/>
        </w:rPr>
      </w:pPr>
      <w:r w:rsidRPr="0001632B">
        <w:rPr>
          <w:rFonts w:ascii="Times New Roman" w:hAnsi="Times New Roman" w:cs="Times New Roman"/>
          <w:sz w:val="28"/>
          <w:szCs w:val="28"/>
        </w:rPr>
        <w:t>расчеты концентраций хлоридов и сульфатов в лужицкой Нейсе;</w:t>
      </w:r>
    </w:p>
    <w:p w:rsidR="0001632B" w:rsidRPr="0001632B" w:rsidRDefault="0001632B" w:rsidP="0001632B">
      <w:pPr>
        <w:numPr>
          <w:ilvl w:val="0"/>
          <w:numId w:val="1"/>
        </w:numPr>
        <w:spacing w:after="122" w:line="247" w:lineRule="auto"/>
        <w:ind w:right="110" w:hanging="355"/>
        <w:jc w:val="both"/>
        <w:rPr>
          <w:rFonts w:ascii="Times New Roman" w:hAnsi="Times New Roman" w:cs="Times New Roman"/>
          <w:sz w:val="28"/>
          <w:szCs w:val="28"/>
        </w:rPr>
      </w:pPr>
      <w:r w:rsidRPr="0001632B">
        <w:rPr>
          <w:rFonts w:ascii="Times New Roman" w:hAnsi="Times New Roman" w:cs="Times New Roman"/>
          <w:sz w:val="28"/>
          <w:szCs w:val="28"/>
        </w:rPr>
        <w:t>Выбросы кадмия в сточных водах.</w:t>
      </w:r>
    </w:p>
    <w:p w:rsidR="0001632B" w:rsidRPr="0001632B" w:rsidRDefault="0001632B" w:rsidP="0001632B">
      <w:pPr>
        <w:ind w:left="67" w:right="346" w:firstLine="375"/>
        <w:rPr>
          <w:rFonts w:ascii="Times New Roman" w:hAnsi="Times New Roman" w:cs="Times New Roman"/>
          <w:sz w:val="28"/>
          <w:szCs w:val="28"/>
        </w:rPr>
      </w:pPr>
      <w:r w:rsidRPr="0001632B">
        <w:rPr>
          <w:rFonts w:ascii="Times New Roman" w:hAnsi="Times New Roman" w:cs="Times New Roman"/>
          <w:sz w:val="28"/>
          <w:szCs w:val="28"/>
        </w:rPr>
        <w:t>Ссылка органа, осуществляющего производство по делу, на вышеупомянутые комментарии Фонда была включена в часть "Отчет о воздействии проекта на окружающую среду" обоснования данного решения.</w:t>
      </w:r>
    </w:p>
    <w:p w:rsidR="0001632B" w:rsidRPr="0001632B" w:rsidRDefault="0001632B" w:rsidP="0001632B">
      <w:pPr>
        <w:spacing w:after="8" w:line="255" w:lineRule="auto"/>
        <w:ind w:left="106" w:right="96" w:hanging="10"/>
        <w:jc w:val="center"/>
        <w:rPr>
          <w:rFonts w:ascii="Times New Roman" w:hAnsi="Times New Roman" w:cs="Times New Roman"/>
          <w:sz w:val="28"/>
          <w:szCs w:val="28"/>
        </w:rPr>
      </w:pPr>
      <w:r w:rsidRPr="0001632B">
        <w:rPr>
          <w:rFonts w:ascii="Times New Roman" w:hAnsi="Times New Roman" w:cs="Times New Roman"/>
          <w:sz w:val="28"/>
          <w:szCs w:val="28"/>
        </w:rPr>
        <w:t>Кроме того, обе организации представили комментарии на административном слушании, состоявшемся 4 марта 2013 года. Эти комментарии можно резюмировать следующим образом:</w:t>
      </w:r>
    </w:p>
    <w:p w:rsidR="0001632B" w:rsidRPr="0001632B" w:rsidRDefault="0001632B" w:rsidP="0001632B">
      <w:pPr>
        <w:numPr>
          <w:ilvl w:val="0"/>
          <w:numId w:val="1"/>
        </w:numPr>
        <w:spacing w:after="5" w:line="247" w:lineRule="auto"/>
        <w:ind w:right="110" w:hanging="355"/>
        <w:jc w:val="both"/>
        <w:rPr>
          <w:rFonts w:ascii="Times New Roman" w:hAnsi="Times New Roman" w:cs="Times New Roman"/>
          <w:sz w:val="28"/>
          <w:szCs w:val="28"/>
        </w:rPr>
      </w:pPr>
      <w:r w:rsidRPr="0001632B">
        <w:rPr>
          <w:rFonts w:ascii="Times New Roman" w:hAnsi="Times New Roman" w:cs="Times New Roman"/>
          <w:sz w:val="28"/>
          <w:szCs w:val="28"/>
        </w:rPr>
        <w:t>вопрос анализа других альтернатив для реализации цели проекта - будет ли Инвестор их анализировать и намерен ли орган власти попросить Инвестора представить анализ альтернатив;</w:t>
      </w:r>
    </w:p>
    <w:p w:rsidR="0001632B" w:rsidRPr="0001632B" w:rsidRDefault="0001632B" w:rsidP="0001632B">
      <w:pPr>
        <w:numPr>
          <w:ilvl w:val="0"/>
          <w:numId w:val="1"/>
        </w:numPr>
        <w:spacing w:after="5" w:line="247" w:lineRule="auto"/>
        <w:ind w:right="110" w:hanging="355"/>
        <w:jc w:val="both"/>
        <w:rPr>
          <w:rFonts w:ascii="Times New Roman" w:hAnsi="Times New Roman" w:cs="Times New Roman"/>
          <w:sz w:val="28"/>
          <w:szCs w:val="28"/>
        </w:rPr>
      </w:pPr>
      <w:r w:rsidRPr="0001632B">
        <w:rPr>
          <w:rFonts w:ascii="Times New Roman" w:hAnsi="Times New Roman" w:cs="Times New Roman"/>
          <w:sz w:val="28"/>
          <w:szCs w:val="28"/>
        </w:rPr>
        <w:t>вопрос анализа влияния проекта на здоровье человека;</w:t>
      </w:r>
    </w:p>
    <w:p w:rsidR="0001632B" w:rsidRPr="0001632B" w:rsidRDefault="0001632B" w:rsidP="0001632B">
      <w:pPr>
        <w:numPr>
          <w:ilvl w:val="0"/>
          <w:numId w:val="1"/>
        </w:numPr>
        <w:spacing w:after="5" w:line="247" w:lineRule="auto"/>
        <w:ind w:right="110" w:hanging="355"/>
        <w:jc w:val="both"/>
        <w:rPr>
          <w:rFonts w:ascii="Times New Roman" w:hAnsi="Times New Roman" w:cs="Times New Roman"/>
          <w:sz w:val="28"/>
          <w:szCs w:val="28"/>
        </w:rPr>
      </w:pPr>
      <w:r w:rsidRPr="0001632B">
        <w:rPr>
          <w:rFonts w:ascii="Times New Roman" w:hAnsi="Times New Roman" w:cs="Times New Roman"/>
          <w:sz w:val="28"/>
          <w:szCs w:val="28"/>
        </w:rPr>
        <w:t>вопрос о ликвидации выбросов ртути к 2028 году (по словам представителя Фонда "Экологическая правовая служба", обязательство по ликвидации ртути к этому сроку вытекает из положений законодательства ЕС - Водной рамочной директивы).</w:t>
      </w:r>
    </w:p>
    <w:p w:rsidR="0001632B" w:rsidRPr="0001632B" w:rsidRDefault="0001632B" w:rsidP="0001632B">
      <w:pPr>
        <w:ind w:left="67" w:right="5" w:firstLine="375"/>
        <w:rPr>
          <w:rFonts w:ascii="Times New Roman" w:hAnsi="Times New Roman" w:cs="Times New Roman"/>
          <w:sz w:val="28"/>
          <w:szCs w:val="28"/>
        </w:rPr>
      </w:pPr>
      <w:r w:rsidRPr="0001632B">
        <w:rPr>
          <w:rFonts w:ascii="Times New Roman" w:hAnsi="Times New Roman" w:cs="Times New Roman"/>
          <w:sz w:val="28"/>
          <w:szCs w:val="28"/>
        </w:rPr>
        <w:t>Ссылка органа, ведущего разбирательство, на вышеупомянутые комментарии экологических организаций была включена в часть "Отчет о воздействии проекта на окружающую среду" обоснования данного решения.</w:t>
      </w:r>
    </w:p>
    <w:p w:rsidR="0001632B" w:rsidRPr="0001632B" w:rsidRDefault="0001632B" w:rsidP="0001632B">
      <w:pPr>
        <w:spacing w:after="268"/>
        <w:ind w:left="67" w:right="110"/>
        <w:rPr>
          <w:rFonts w:ascii="Times New Roman" w:hAnsi="Times New Roman" w:cs="Times New Roman"/>
          <w:sz w:val="28"/>
          <w:szCs w:val="28"/>
        </w:rPr>
      </w:pPr>
      <w:r w:rsidRPr="0001632B">
        <w:rPr>
          <w:rFonts w:ascii="Times New Roman" w:hAnsi="Times New Roman" w:cs="Times New Roman"/>
          <w:sz w:val="28"/>
          <w:szCs w:val="28"/>
        </w:rPr>
        <w:t>Участие чешской и немецкой общественности</w:t>
      </w:r>
    </w:p>
    <w:p w:rsidR="0001632B" w:rsidRPr="0001632B" w:rsidRDefault="0001632B" w:rsidP="0001632B">
      <w:pPr>
        <w:ind w:left="5" w:right="206" w:firstLine="375"/>
        <w:rPr>
          <w:rFonts w:ascii="Times New Roman" w:hAnsi="Times New Roman" w:cs="Times New Roman"/>
          <w:sz w:val="28"/>
          <w:szCs w:val="28"/>
        </w:rPr>
      </w:pPr>
      <w:r w:rsidRPr="0001632B">
        <w:rPr>
          <w:rFonts w:ascii="Times New Roman" w:hAnsi="Times New Roman" w:cs="Times New Roman"/>
          <w:sz w:val="28"/>
          <w:szCs w:val="28"/>
        </w:rPr>
        <w:t xml:space="preserve">Как будет объяснено ниже, органы, уполномоченные проводить трансграничные разбирательства по вопросам воздействия проекта на окружающую среду, как с польской, так и с немецкой и чешской стороны, заявили, что при повторном проведении разбирательства нет </w:t>
      </w:r>
      <w:r w:rsidRPr="0001632B">
        <w:rPr>
          <w:rFonts w:ascii="Times New Roman" w:hAnsi="Times New Roman" w:cs="Times New Roman"/>
          <w:sz w:val="28"/>
          <w:szCs w:val="28"/>
        </w:rPr>
        <w:lastRenderedPageBreak/>
        <w:t>необходимости повторять трансграничную процедуру (это мнение разделяет и орган, проводящий разбирательство).</w:t>
      </w:r>
    </w:p>
    <w:p w:rsidR="0001632B" w:rsidRPr="0001632B" w:rsidRDefault="0001632B" w:rsidP="0001632B">
      <w:pPr>
        <w:ind w:left="67" w:right="413" w:firstLine="375"/>
        <w:rPr>
          <w:rFonts w:ascii="Times New Roman" w:hAnsi="Times New Roman" w:cs="Times New Roman"/>
          <w:sz w:val="28"/>
          <w:szCs w:val="28"/>
        </w:rPr>
      </w:pPr>
      <w:r w:rsidRPr="0001632B">
        <w:rPr>
          <w:rFonts w:ascii="Times New Roman" w:hAnsi="Times New Roman" w:cs="Times New Roman"/>
          <w:sz w:val="28"/>
          <w:szCs w:val="28"/>
        </w:rPr>
        <w:t>Однако орган принял во внимание, что в соответствии с Орхусской конвенцией, ратифицированной Польшей (Статья 3(9)), с заинтересованной общественностью в соседних странах следует обращаться недискриминационным образом, т.е. не хуже, чем с заинтересованной общественностью в стране, где принимается решение о проекте, влияющем на окружающую среду.</w:t>
      </w:r>
    </w:p>
    <w:p w:rsidR="0001632B" w:rsidRPr="0001632B" w:rsidRDefault="0001632B" w:rsidP="0001632B">
      <w:pPr>
        <w:ind w:left="67" w:right="110" w:firstLine="379"/>
        <w:rPr>
          <w:rFonts w:ascii="Times New Roman" w:hAnsi="Times New Roman" w:cs="Times New Roman"/>
          <w:sz w:val="28"/>
          <w:szCs w:val="28"/>
        </w:rPr>
      </w:pPr>
      <w:r w:rsidRPr="0001632B">
        <w:rPr>
          <w:rFonts w:ascii="Times New Roman" w:hAnsi="Times New Roman" w:cs="Times New Roman"/>
          <w:sz w:val="28"/>
          <w:szCs w:val="28"/>
        </w:rPr>
        <w:t>В связи с тем, что на польской стороне владельцы недвижимости, расположенной в радиусе 10 км от самого высокого эмитента в районе планируемого проекта, были признаны сторонами разбирательства, и в связи с тем, что процедура участия общественности была повторена на польской стороне, орган, осуществляющий разбирательство - в случае, если органы, ответственные за проведение трансграничного разбирательства, сочли, что нет необходимости в повторении такого разбирательства, что приведет к тому, что общественность затронутых стран не будет иметь возможности прокомментировать этот вопрос в рамках трансграничного разбирательства (что впоследствии было подтверждено информацией, предоставленной органу компанией GDOŚ) - решил, что необходимо проинформировать жителей Германии и Чехии, проживающих в пределах 10 км от запланированного проекта, о разбирательстве и предоставить им возможность прокомментировать этот вопрос.</w:t>
      </w:r>
    </w:p>
    <w:p w:rsidR="0001632B" w:rsidRPr="0001632B" w:rsidRDefault="0001632B" w:rsidP="0001632B">
      <w:pPr>
        <w:spacing w:line="248" w:lineRule="auto"/>
        <w:ind w:left="91" w:right="115"/>
        <w:rPr>
          <w:rFonts w:ascii="Times New Roman" w:hAnsi="Times New Roman" w:cs="Times New Roman"/>
          <w:sz w:val="28"/>
          <w:szCs w:val="28"/>
        </w:rPr>
      </w:pPr>
      <w:r w:rsidRPr="0001632B">
        <w:rPr>
          <w:rFonts w:ascii="Times New Roman" w:hAnsi="Times New Roman" w:cs="Times New Roman"/>
          <w:sz w:val="28"/>
          <w:szCs w:val="28"/>
        </w:rPr>
        <w:t xml:space="preserve">В то же время, как указано выше, ведомство получило письмо от 20 марта 2013 года, подписанное властями трех чешских муниципалитетов (Вишнёва, Германице, Кунратице), в котором они выразили желание "завершить трансграничные консультации" в связи с принятием решения об экологических условиях для планируемого проекта. Муниципалитеты указали, что они участвовали в процессе трансграничной оценки воздействия проекта на окружающую среду, который завершился тем, что Министерство окружающей среды Чехии передало польской стороне позицию от 31 мая 2012 года, содержащую 10 требований, которые должны быть включены в решение. Однако авторы письма не были проинформированы об издании решения об экологических условиях от 2 августа 2012 года; по их мнению, чешская сторона не получила данную копию решения. Кроме того, авторы письма указали, что, как им стало известно, после завершения трансграничных консультаций документация по делу была дополнена, а затем проведены консультации с польским обществом и соответствующими польскими властями. Однако </w:t>
      </w:r>
      <w:r w:rsidRPr="0001632B">
        <w:rPr>
          <w:rFonts w:ascii="Times New Roman" w:hAnsi="Times New Roman" w:cs="Times New Roman"/>
          <w:sz w:val="28"/>
          <w:szCs w:val="28"/>
        </w:rPr>
        <w:lastRenderedPageBreak/>
        <w:t>консультации с Чешской Республикой не проводились, как и с непосредственно затронутыми муниципалитетами и лицами с чешской стороны. Поэтому чешские муниципалитеты заинтересованы в более подробном объяснении дела.</w:t>
      </w:r>
    </w:p>
    <w:p w:rsidR="0001632B" w:rsidRPr="0001632B" w:rsidRDefault="0001632B" w:rsidP="0001632B">
      <w:pPr>
        <w:spacing w:after="287" w:line="248" w:lineRule="auto"/>
        <w:ind w:left="91" w:right="115" w:firstLine="369"/>
        <w:rPr>
          <w:rFonts w:ascii="Times New Roman" w:hAnsi="Times New Roman" w:cs="Times New Roman"/>
          <w:sz w:val="28"/>
          <w:szCs w:val="28"/>
        </w:rPr>
      </w:pPr>
      <w:r w:rsidRPr="0001632B">
        <w:rPr>
          <w:rFonts w:ascii="Times New Roman" w:hAnsi="Times New Roman" w:cs="Times New Roman"/>
          <w:sz w:val="28"/>
          <w:szCs w:val="28"/>
        </w:rPr>
        <w:t>Следственный орган предпринял следующие шаги, чтобы проинформировать вышеупомянутых жителей Германии и Чехии соответствующим образом и дать им возможность прокомментировать это дело:</w:t>
      </w:r>
    </w:p>
    <w:p w:rsidR="0001632B" w:rsidRPr="0001632B" w:rsidRDefault="0001632B" w:rsidP="0001632B">
      <w:pPr>
        <w:spacing w:after="286"/>
        <w:ind w:left="807" w:right="442" w:hanging="351"/>
        <w:rPr>
          <w:rFonts w:ascii="Times New Roman" w:hAnsi="Times New Roman" w:cs="Times New Roman"/>
          <w:sz w:val="28"/>
          <w:szCs w:val="28"/>
        </w:rPr>
      </w:pPr>
      <w:r w:rsidRPr="0001632B">
        <w:rPr>
          <w:rFonts w:ascii="Times New Roman" w:hAnsi="Times New Roman" w:cs="Times New Roman"/>
          <w:noProof/>
          <w:sz w:val="28"/>
          <w:szCs w:val="28"/>
          <w:lang w:val="en-GB" w:eastAsia="en-GB"/>
        </w:rPr>
        <w:drawing>
          <wp:inline distT="0" distB="0" distL="0" distR="0" wp14:anchorId="58F9A850" wp14:editId="7CBAE066">
            <wp:extent cx="51837" cy="57912"/>
            <wp:effectExtent l="0" t="0" r="0" b="0"/>
            <wp:docPr id="90012" name="Picture 90012"/>
            <wp:cNvGraphicFramePr/>
            <a:graphic xmlns:a="http://schemas.openxmlformats.org/drawingml/2006/main">
              <a:graphicData uri="http://schemas.openxmlformats.org/drawingml/2006/picture">
                <pic:pic xmlns:pic="http://schemas.openxmlformats.org/drawingml/2006/picture">
                  <pic:nvPicPr>
                    <pic:cNvPr id="90012" name="Picture 90012"/>
                    <pic:cNvPicPr/>
                  </pic:nvPicPr>
                  <pic:blipFill>
                    <a:blip r:embed="rId7"/>
                    <a:stretch>
                      <a:fillRect/>
                    </a:stretch>
                  </pic:blipFill>
                  <pic:spPr>
                    <a:xfrm>
                      <a:off x="0" y="0"/>
                      <a:ext cx="51837" cy="57912"/>
                    </a:xfrm>
                    <a:prstGeom prst="rect">
                      <a:avLst/>
                    </a:prstGeom>
                  </pic:spPr>
                </pic:pic>
              </a:graphicData>
            </a:graphic>
          </wp:inline>
        </w:drawing>
      </w:r>
      <w:r>
        <w:rPr>
          <w:rFonts w:ascii="Times New Roman" w:hAnsi="Times New Roman" w:cs="Times New Roman"/>
          <w:sz w:val="28"/>
          <w:szCs w:val="28"/>
        </w:rPr>
        <w:t xml:space="preserve"> предоставил</w:t>
      </w:r>
      <w:r w:rsidRPr="0001632B">
        <w:rPr>
          <w:rFonts w:ascii="Times New Roman" w:hAnsi="Times New Roman" w:cs="Times New Roman"/>
          <w:sz w:val="28"/>
          <w:szCs w:val="28"/>
        </w:rPr>
        <w:t xml:space="preserve"> перевод на чешский и немецкий языки документации, подготовленной в ходе повторного разбирательства, которая может иметь значение для определения трансграничного воздействия проекта, и разместила ее на своем сайте (http://bip.bogatynia.pl/?a=5413);</w:t>
      </w:r>
    </w:p>
    <w:p w:rsidR="0001632B" w:rsidRPr="0001632B" w:rsidRDefault="0001632B" w:rsidP="0001632B">
      <w:pPr>
        <w:ind w:left="821" w:right="230" w:hanging="355"/>
        <w:rPr>
          <w:rFonts w:ascii="Times New Roman" w:hAnsi="Times New Roman" w:cs="Times New Roman"/>
          <w:sz w:val="28"/>
          <w:szCs w:val="28"/>
        </w:rPr>
      </w:pPr>
      <w:r w:rsidRPr="0001632B">
        <w:rPr>
          <w:rFonts w:ascii="Times New Roman" w:hAnsi="Times New Roman" w:cs="Times New Roman"/>
          <w:noProof/>
          <w:sz w:val="28"/>
          <w:szCs w:val="28"/>
          <w:lang w:val="en-GB" w:eastAsia="en-GB"/>
        </w:rPr>
        <w:drawing>
          <wp:inline distT="0" distB="0" distL="0" distR="0" wp14:anchorId="283F9301" wp14:editId="29F76136">
            <wp:extent cx="51837" cy="57911"/>
            <wp:effectExtent l="0" t="0" r="0" b="0"/>
            <wp:docPr id="90013" name="Picture 90013"/>
            <wp:cNvGraphicFramePr/>
            <a:graphic xmlns:a="http://schemas.openxmlformats.org/drawingml/2006/main">
              <a:graphicData uri="http://schemas.openxmlformats.org/drawingml/2006/picture">
                <pic:pic xmlns:pic="http://schemas.openxmlformats.org/drawingml/2006/picture">
                  <pic:nvPicPr>
                    <pic:cNvPr id="90013" name="Picture 90013"/>
                    <pic:cNvPicPr/>
                  </pic:nvPicPr>
                  <pic:blipFill>
                    <a:blip r:embed="rId8"/>
                    <a:stretch>
                      <a:fillRect/>
                    </a:stretch>
                  </pic:blipFill>
                  <pic:spPr>
                    <a:xfrm>
                      <a:off x="0" y="0"/>
                      <a:ext cx="51837" cy="57911"/>
                    </a:xfrm>
                    <a:prstGeom prst="rect">
                      <a:avLst/>
                    </a:prstGeom>
                  </pic:spPr>
                </pic:pic>
              </a:graphicData>
            </a:graphic>
          </wp:inline>
        </w:drawing>
      </w:r>
      <w:r>
        <w:rPr>
          <w:rFonts w:ascii="Times New Roman" w:hAnsi="Times New Roman" w:cs="Times New Roman"/>
          <w:sz w:val="28"/>
          <w:szCs w:val="28"/>
        </w:rPr>
        <w:t xml:space="preserve"> </w:t>
      </w:r>
      <w:r w:rsidRPr="0001632B">
        <w:rPr>
          <w:rFonts w:ascii="Times New Roman" w:hAnsi="Times New Roman" w:cs="Times New Roman"/>
          <w:sz w:val="28"/>
          <w:szCs w:val="28"/>
        </w:rPr>
        <w:t xml:space="preserve"> направил письмо от 6 мая 2013 года в местные административные единицы, расположенные в радиусе 10 км на немецкой и чешской стороне, в котором содержалась информация о судебном разбирательстве.</w:t>
      </w:r>
    </w:p>
    <w:p w:rsidR="0001632B" w:rsidRPr="0001632B" w:rsidRDefault="0001632B" w:rsidP="0001632B">
      <w:pPr>
        <w:ind w:left="788" w:right="216"/>
        <w:rPr>
          <w:rFonts w:ascii="Times New Roman" w:hAnsi="Times New Roman" w:cs="Times New Roman"/>
          <w:sz w:val="28"/>
          <w:szCs w:val="28"/>
        </w:rPr>
      </w:pPr>
      <w:r w:rsidRPr="0001632B">
        <w:rPr>
          <w:rFonts w:ascii="Times New Roman" w:hAnsi="Times New Roman" w:cs="Times New Roman"/>
          <w:sz w:val="28"/>
          <w:szCs w:val="28"/>
        </w:rPr>
        <w:t>С немецкой стороны адресатами письма были: Циттау, Остриц, Ландкрайс Гёрлиц, Штадт Гёрлиц, Хернхут, Бернштадт и др. Айген, Миттельхервигсдорф и Шонау-Берздорф а.д. Эйген, а с чешской стороны - трем муниципалитетам, представившим письмо от 20.03.2013, т.е. Вишнёве, Херманице и Кунратице, а также дополнительно городу Либерец, Фридлант и Гродек-над-Нисоу.</w:t>
      </w:r>
    </w:p>
    <w:p w:rsidR="0001632B" w:rsidRPr="0001632B" w:rsidRDefault="0001632B" w:rsidP="0001632B">
      <w:pPr>
        <w:ind w:left="792" w:right="307"/>
        <w:rPr>
          <w:rFonts w:ascii="Times New Roman" w:hAnsi="Times New Roman" w:cs="Times New Roman"/>
          <w:sz w:val="28"/>
          <w:szCs w:val="28"/>
        </w:rPr>
      </w:pPr>
      <w:r w:rsidRPr="0001632B">
        <w:rPr>
          <w:rFonts w:ascii="Times New Roman" w:hAnsi="Times New Roman" w:cs="Times New Roman"/>
          <w:sz w:val="28"/>
          <w:szCs w:val="28"/>
        </w:rPr>
        <w:t>В письме мэр описал ход разбирательства, включая трансграничное разбирательство, и сообщил, что решение о состоянии окружающей среды от 2 августа 2012 года было отменено, и дело было передано мэру Богатыни для повторного рассмотрения.</w:t>
      </w:r>
    </w:p>
    <w:p w:rsidR="0001632B" w:rsidRPr="0001632B" w:rsidRDefault="0001632B" w:rsidP="0001632B">
      <w:pPr>
        <w:ind w:left="792" w:right="279"/>
        <w:rPr>
          <w:rFonts w:ascii="Times New Roman" w:hAnsi="Times New Roman" w:cs="Times New Roman"/>
          <w:sz w:val="28"/>
          <w:szCs w:val="28"/>
        </w:rPr>
      </w:pPr>
      <w:r w:rsidRPr="0001632B">
        <w:rPr>
          <w:rFonts w:ascii="Times New Roman" w:hAnsi="Times New Roman" w:cs="Times New Roman"/>
          <w:sz w:val="28"/>
          <w:szCs w:val="28"/>
        </w:rPr>
        <w:t>Он указал, что причиной отмены решения Апелляционной коллегии по самоуправлению является то, что оно было вынесено с нарушением процессуальных норм, повторное рассмотрение дела направлено на устранение выявленных процессуальных недостатков, а постановление органа второй инстанции никоим образом не ставит под сомнение ход трансграничного разбирательства или его результаты, включенные в отмененное решение.</w:t>
      </w:r>
    </w:p>
    <w:p w:rsidR="0001632B" w:rsidRPr="0001632B" w:rsidRDefault="0001632B" w:rsidP="0001632B">
      <w:pPr>
        <w:ind w:left="802" w:right="283"/>
        <w:rPr>
          <w:rFonts w:ascii="Times New Roman" w:hAnsi="Times New Roman" w:cs="Times New Roman"/>
          <w:sz w:val="28"/>
          <w:szCs w:val="28"/>
        </w:rPr>
      </w:pPr>
      <w:r w:rsidRPr="0001632B">
        <w:rPr>
          <w:rFonts w:ascii="Times New Roman" w:hAnsi="Times New Roman" w:cs="Times New Roman"/>
          <w:sz w:val="28"/>
          <w:szCs w:val="28"/>
        </w:rPr>
        <w:lastRenderedPageBreak/>
        <w:t>Мэр также сообщил о представлении Инвестором приложения № 2 к отчету и организации открытого для общественности административного слушания 4 марта 2013 года, а также о последующем представлении объяснений Инвестора, отвечающих на вопросы и возражения, представленные в ходе слушания и в письме-заключении, представленном Экологической юридической службой.</w:t>
      </w:r>
    </w:p>
    <w:p w:rsidR="0001632B" w:rsidRPr="0001632B" w:rsidRDefault="0001632B" w:rsidP="0001632B">
      <w:pPr>
        <w:ind w:left="797" w:right="178"/>
        <w:rPr>
          <w:rFonts w:ascii="Times New Roman" w:hAnsi="Times New Roman" w:cs="Times New Roman"/>
          <w:sz w:val="28"/>
          <w:szCs w:val="28"/>
        </w:rPr>
      </w:pPr>
      <w:r w:rsidRPr="0001632B">
        <w:rPr>
          <w:rFonts w:ascii="Times New Roman" w:hAnsi="Times New Roman" w:cs="Times New Roman"/>
          <w:sz w:val="28"/>
          <w:szCs w:val="28"/>
        </w:rPr>
        <w:t>Затем ведущий орган пояснил, что поскольку масштаб и прогнозируемое воздействие проекта не изменились, ведущий орган не видит причин для повторного трансграничного разбирательства по Конвенции Эспо. Однако мэр готов разрешить немецкой общине и местным властям участвовать в разбирательстве в соответствии с Орхусской конвенцией. С этой целью было предложено провести общественные слушания, в которых также могут принять участие заинтересованные лица из Чешской Республики и Германии.</w:t>
      </w:r>
    </w:p>
    <w:p w:rsidR="0001632B" w:rsidRPr="0001632B" w:rsidRDefault="0001632B" w:rsidP="0001632B">
      <w:pPr>
        <w:spacing w:after="305"/>
        <w:ind w:left="797" w:right="432"/>
        <w:rPr>
          <w:rFonts w:ascii="Times New Roman" w:hAnsi="Times New Roman" w:cs="Times New Roman"/>
          <w:sz w:val="28"/>
          <w:szCs w:val="28"/>
        </w:rPr>
      </w:pPr>
      <w:r w:rsidRPr="0001632B">
        <w:rPr>
          <w:rFonts w:ascii="Times New Roman" w:hAnsi="Times New Roman" w:cs="Times New Roman"/>
          <w:sz w:val="28"/>
          <w:szCs w:val="28"/>
        </w:rPr>
        <w:t>Орган, ответственный за производство по делу, также попросил органы местного самоуправления Чехии и Германии уведомить местное общество в своих районах. Мэр муниципалитета Богатыня не имеет ни возможности, ни компетенции информировать общество на территории другой страны.</w:t>
      </w:r>
    </w:p>
    <w:p w:rsidR="0001632B" w:rsidRPr="0001632B" w:rsidRDefault="0001632B" w:rsidP="0001632B">
      <w:pPr>
        <w:numPr>
          <w:ilvl w:val="0"/>
          <w:numId w:val="2"/>
        </w:numPr>
        <w:spacing w:after="5" w:line="247" w:lineRule="auto"/>
        <w:ind w:left="781" w:right="228" w:hanging="346"/>
        <w:rPr>
          <w:rFonts w:ascii="Times New Roman" w:hAnsi="Times New Roman" w:cs="Times New Roman"/>
          <w:sz w:val="28"/>
          <w:szCs w:val="28"/>
        </w:rPr>
      </w:pPr>
      <w:r w:rsidRPr="0001632B">
        <w:rPr>
          <w:rFonts w:ascii="Times New Roman" w:hAnsi="Times New Roman" w:cs="Times New Roman"/>
          <w:sz w:val="28"/>
          <w:szCs w:val="28"/>
        </w:rPr>
        <w:t xml:space="preserve">12 августа 2013 года он провел еще одно открытое административное слушание, о котором уведомил не только стороны и общественность на польской стороне, но и вышеупомянутые органы местного самоуправления, расположенные на чешской и немецкой сторонах границы. Уведомление было передано властям этих органов местного самоуправления с просьбой уведомить местную общественность в своих районах, поскольку - как указано выше - мэр муниципалитета Богатыня не имеет ни возможности, ни компетенции уведомлять общественность на территории другой страны. Уведомление также было опубликовано на сайте ведомства на чешском и немецком языках. Кроме того, до начала слушания орган, ответственный за производство, подготовил документ на польском, чешском и немецком языках с изложением правил проведения запланированного административного слушания. В этом документе представлены основные правила, которые будут применяться во время слушаний, а также их программа. "Правила проведения слушаний" были размещены на </w:t>
      </w:r>
      <w:r w:rsidRPr="0001632B">
        <w:rPr>
          <w:rFonts w:ascii="Times New Roman" w:hAnsi="Times New Roman" w:cs="Times New Roman"/>
          <w:sz w:val="28"/>
          <w:szCs w:val="28"/>
        </w:rPr>
        <w:lastRenderedPageBreak/>
        <w:t>сайте органа власти; они также были распространены среди всех участников, присутствующих на слушаниях (на языке соответствующего участника), и были представлены в начале слушаний руководителем слушаний. Это позволило участникам процесса, в частности иностранным участникам, незнакомым с польской правовой системой, более эффективно и осознанно участвовать в процессе (на</w:t>
      </w:r>
    </w:p>
    <w:p w:rsidR="0001632B" w:rsidRPr="0001632B" w:rsidRDefault="0001632B" w:rsidP="0001632B">
      <w:pPr>
        <w:spacing w:after="314"/>
        <w:ind w:left="744" w:right="110"/>
        <w:rPr>
          <w:rFonts w:ascii="Times New Roman" w:hAnsi="Times New Roman" w:cs="Times New Roman"/>
          <w:sz w:val="28"/>
          <w:szCs w:val="28"/>
        </w:rPr>
      </w:pPr>
      <w:r w:rsidRPr="0001632B">
        <w:rPr>
          <w:rFonts w:ascii="Times New Roman" w:hAnsi="Times New Roman" w:cs="Times New Roman"/>
          <w:sz w:val="28"/>
          <w:szCs w:val="28"/>
        </w:rPr>
        <w:t>Ход слушания - см. ниже). Во время слушаний был обеспечен последовательный перевод.</w:t>
      </w:r>
    </w:p>
    <w:p w:rsidR="0001632B" w:rsidRPr="0001632B" w:rsidRDefault="0001632B" w:rsidP="0001632B">
      <w:pPr>
        <w:numPr>
          <w:ilvl w:val="0"/>
          <w:numId w:val="2"/>
        </w:numPr>
        <w:spacing w:after="253" w:line="248" w:lineRule="auto"/>
        <w:ind w:left="781" w:right="228" w:hanging="346"/>
        <w:rPr>
          <w:rFonts w:ascii="Times New Roman" w:hAnsi="Times New Roman" w:cs="Times New Roman"/>
          <w:sz w:val="28"/>
          <w:szCs w:val="28"/>
        </w:rPr>
      </w:pPr>
      <w:r w:rsidRPr="0001632B">
        <w:rPr>
          <w:rFonts w:ascii="Times New Roman" w:hAnsi="Times New Roman" w:cs="Times New Roman"/>
          <w:sz w:val="28"/>
          <w:szCs w:val="28"/>
        </w:rPr>
        <w:t>Аналогично административному слушанию, орган также проинформировал общественность с чешской и немецкой стороны об окончании процедуры представления доказательств, возможности ознакомиться с документацией по делу (включая переведенные документы, размещенные на сайте органа), а также подать комментарии и запросы.</w:t>
      </w:r>
    </w:p>
    <w:p w:rsidR="0001632B" w:rsidRPr="0001632B" w:rsidRDefault="0001632B" w:rsidP="0001632B">
      <w:pPr>
        <w:ind w:left="67" w:right="288" w:firstLine="375"/>
        <w:rPr>
          <w:rFonts w:ascii="Times New Roman" w:hAnsi="Times New Roman" w:cs="Times New Roman"/>
          <w:sz w:val="28"/>
          <w:szCs w:val="28"/>
        </w:rPr>
      </w:pPr>
      <w:r w:rsidRPr="0001632B">
        <w:rPr>
          <w:rFonts w:ascii="Times New Roman" w:hAnsi="Times New Roman" w:cs="Times New Roman"/>
          <w:sz w:val="28"/>
          <w:szCs w:val="28"/>
        </w:rPr>
        <w:t>На административном слушании, состоявшемся 12 августа 2013 года, присутствовали главы коммун Вишнёва и Херманице из Чехии, одно лицо (частный предприниматель) из Циттау в Германии, представитель Фонда экологической юридической службы из Кракова, два жителя Богатыни и представители Инвестора. Слушание проходило под председательством секретаря муниципалитета Богатыни, на нем присутствовали другие представители органа, ведущего разбирательство.</w:t>
      </w:r>
    </w:p>
    <w:p w:rsidR="0001632B" w:rsidRPr="0001632B" w:rsidRDefault="0001632B" w:rsidP="0001632B">
      <w:pPr>
        <w:spacing w:line="248" w:lineRule="auto"/>
        <w:ind w:left="29" w:right="115" w:firstLine="369"/>
        <w:rPr>
          <w:rFonts w:ascii="Times New Roman" w:hAnsi="Times New Roman" w:cs="Times New Roman"/>
          <w:sz w:val="28"/>
          <w:szCs w:val="28"/>
        </w:rPr>
      </w:pPr>
      <w:r w:rsidRPr="0001632B">
        <w:rPr>
          <w:rFonts w:ascii="Times New Roman" w:hAnsi="Times New Roman" w:cs="Times New Roman"/>
          <w:sz w:val="28"/>
          <w:szCs w:val="28"/>
        </w:rPr>
        <w:t xml:space="preserve">В ходе слушания представитель органа, ведущего разбирательство, кратко изложил ход разбирательства на сегодняшний день и пояснил, что причина отмены СКО решения об экологических условиях от 2 августа 2012 года была исключительно процессуальной. Он также отметил, что текущее административное производство не является </w:t>
      </w:r>
      <w:r w:rsidRPr="0001632B">
        <w:rPr>
          <w:rFonts w:ascii="Times New Roman" w:hAnsi="Times New Roman" w:cs="Times New Roman"/>
          <w:noProof/>
          <w:sz w:val="28"/>
          <w:szCs w:val="28"/>
          <w:lang w:val="en-GB" w:eastAsia="en-GB"/>
        </w:rPr>
        <w:drawing>
          <wp:inline distT="0" distB="0" distL="0" distR="0" wp14:anchorId="125911E9" wp14:editId="7E10E172">
            <wp:extent cx="445187" cy="112776"/>
            <wp:effectExtent l="0" t="0" r="0" b="0"/>
            <wp:docPr id="395098" name="Picture 395098"/>
            <wp:cNvGraphicFramePr/>
            <a:graphic xmlns:a="http://schemas.openxmlformats.org/drawingml/2006/main">
              <a:graphicData uri="http://schemas.openxmlformats.org/drawingml/2006/picture">
                <pic:pic xmlns:pic="http://schemas.openxmlformats.org/drawingml/2006/picture">
                  <pic:nvPicPr>
                    <pic:cNvPr id="395098" name="Picture 395098"/>
                    <pic:cNvPicPr/>
                  </pic:nvPicPr>
                  <pic:blipFill>
                    <a:blip r:embed="rId9"/>
                    <a:stretch>
                      <a:fillRect/>
                    </a:stretch>
                  </pic:blipFill>
                  <pic:spPr>
                    <a:xfrm>
                      <a:off x="0" y="0"/>
                      <a:ext cx="445187" cy="112776"/>
                    </a:xfrm>
                    <a:prstGeom prst="rect">
                      <a:avLst/>
                    </a:prstGeom>
                  </pic:spPr>
                </pic:pic>
              </a:graphicData>
            </a:graphic>
          </wp:inline>
        </w:drawing>
      </w:r>
      <w:r w:rsidRPr="0001632B">
        <w:rPr>
          <w:rFonts w:ascii="Times New Roman" w:hAnsi="Times New Roman" w:cs="Times New Roman"/>
          <w:sz w:val="28"/>
          <w:szCs w:val="28"/>
        </w:rPr>
        <w:t>продолжением трансграничного производства, осуществляемого в соответствии с Конвенцией Эспо. Он также сообщил, что после принятия решения оно будет направлено в затрагиваемые страны в соответствии с требованиями Конвенции Эспо, а также о нем будет проинформирована общественность, в том числе в Чешской Республике и Германии в радиусе 10 км от планируемого проекта. Общественность Чешской Республики и Германии будет проинформирована путем передачи соответствующей информации чешским и немецким муниципалитетам для распространения среди населения обычным для данного региона способом.</w:t>
      </w:r>
    </w:p>
    <w:p w:rsidR="0001632B" w:rsidRPr="0001632B" w:rsidRDefault="0001632B" w:rsidP="0001632B">
      <w:pPr>
        <w:ind w:left="67" w:right="110"/>
        <w:rPr>
          <w:rFonts w:ascii="Times New Roman" w:hAnsi="Times New Roman" w:cs="Times New Roman"/>
          <w:sz w:val="28"/>
          <w:szCs w:val="28"/>
        </w:rPr>
      </w:pPr>
      <w:r w:rsidRPr="0001632B">
        <w:rPr>
          <w:rFonts w:ascii="Times New Roman" w:hAnsi="Times New Roman" w:cs="Times New Roman"/>
          <w:sz w:val="28"/>
          <w:szCs w:val="28"/>
        </w:rPr>
        <w:lastRenderedPageBreak/>
        <w:t>Затем представитель инвестора кратко представил характеристики планируемого проекта.</w:t>
      </w:r>
    </w:p>
    <w:p w:rsidR="0001632B" w:rsidRPr="0001632B" w:rsidRDefault="0001632B" w:rsidP="0001632B">
      <w:pPr>
        <w:ind w:left="67" w:right="110"/>
        <w:rPr>
          <w:rFonts w:ascii="Times New Roman" w:hAnsi="Times New Roman" w:cs="Times New Roman"/>
          <w:sz w:val="28"/>
          <w:szCs w:val="28"/>
        </w:rPr>
      </w:pPr>
      <w:r w:rsidRPr="0001632B">
        <w:rPr>
          <w:rFonts w:ascii="Times New Roman" w:hAnsi="Times New Roman" w:cs="Times New Roman"/>
          <w:sz w:val="28"/>
          <w:szCs w:val="28"/>
        </w:rPr>
        <w:t>После этого председательствующий на слушаниях предоставил участникам слушаний возможность быть услышанными и представить свои вопросы, комментарии и ходатайства.</w:t>
      </w:r>
    </w:p>
    <w:p w:rsidR="0001632B" w:rsidRPr="0001632B" w:rsidRDefault="0001632B" w:rsidP="0001632B">
      <w:pPr>
        <w:ind w:left="67" w:right="375" w:firstLine="365"/>
        <w:rPr>
          <w:rFonts w:ascii="Times New Roman" w:hAnsi="Times New Roman" w:cs="Times New Roman"/>
          <w:sz w:val="28"/>
          <w:szCs w:val="28"/>
        </w:rPr>
      </w:pPr>
      <w:r w:rsidRPr="0001632B">
        <w:rPr>
          <w:rFonts w:ascii="Times New Roman" w:hAnsi="Times New Roman" w:cs="Times New Roman"/>
          <w:sz w:val="28"/>
          <w:szCs w:val="28"/>
        </w:rPr>
        <w:t>Представитель Фонда экологической юридической службы спросил: (1) намерен ли орган, принимающий решение, повторно рассмотреть и уточнить обоснование для рассмотрения постулатов, выдвинутых Министерством охраны окружающей среды Чехии в ходе завершенного трансграничного разбирательства; (2) когда планируется принять решение, завершающее текущее разбирательство. Представитель ведомства ответил, что ведомство детально рассмотрит постулаты чешской стороны, однако, скорее всего, вынесение решения состоится осенью 2013 года.</w:t>
      </w:r>
    </w:p>
    <w:p w:rsidR="0001632B" w:rsidRPr="0001632B" w:rsidRDefault="0001632B" w:rsidP="0001632B">
      <w:pPr>
        <w:spacing w:line="248" w:lineRule="auto"/>
        <w:ind w:left="91" w:right="115" w:firstLine="369"/>
        <w:rPr>
          <w:rFonts w:ascii="Times New Roman" w:hAnsi="Times New Roman" w:cs="Times New Roman"/>
          <w:sz w:val="28"/>
          <w:szCs w:val="28"/>
        </w:rPr>
      </w:pPr>
      <w:r w:rsidRPr="0001632B">
        <w:rPr>
          <w:rFonts w:ascii="Times New Roman" w:hAnsi="Times New Roman" w:cs="Times New Roman"/>
          <w:sz w:val="28"/>
          <w:szCs w:val="28"/>
        </w:rPr>
        <w:t>Присутствовавший на слушаниях житель Циттау спросил, сможет ли планируемый новый энергоблок электростанции сжигать биомассу, и если да, то в каком процентном соотношении. Представитель инвестора пояснил, что планируемая установка будет сжигать только бурый уголь и легкий мазут в качестве растопочного топлива.</w:t>
      </w:r>
    </w:p>
    <w:p w:rsidR="0001632B" w:rsidRPr="0001632B" w:rsidRDefault="0001632B" w:rsidP="0001632B">
      <w:pPr>
        <w:ind w:left="67"/>
        <w:rPr>
          <w:rFonts w:ascii="Times New Roman" w:hAnsi="Times New Roman" w:cs="Times New Roman"/>
          <w:sz w:val="28"/>
          <w:szCs w:val="28"/>
        </w:rPr>
      </w:pPr>
      <w:r w:rsidRPr="0001632B">
        <w:rPr>
          <w:rFonts w:ascii="Times New Roman" w:hAnsi="Times New Roman" w:cs="Times New Roman"/>
          <w:sz w:val="28"/>
          <w:szCs w:val="28"/>
        </w:rPr>
        <w:t>Жительница Зиттау спросила, каким образом застройщик намерен достигнуть</w:t>
      </w:r>
    </w:p>
    <w:p w:rsidR="0001632B" w:rsidRPr="0001632B" w:rsidRDefault="0001632B" w:rsidP="0001632B">
      <w:pPr>
        <w:spacing w:line="248" w:lineRule="auto"/>
        <w:ind w:left="96" w:right="187" w:hanging="5"/>
        <w:rPr>
          <w:rFonts w:ascii="Times New Roman" w:hAnsi="Times New Roman" w:cs="Times New Roman"/>
          <w:sz w:val="28"/>
          <w:szCs w:val="28"/>
        </w:rPr>
      </w:pPr>
      <w:r w:rsidRPr="0001632B">
        <w:rPr>
          <w:rFonts w:ascii="Times New Roman" w:hAnsi="Times New Roman" w:cs="Times New Roman"/>
          <w:sz w:val="28"/>
          <w:szCs w:val="28"/>
        </w:rPr>
        <w:t>Уровень производства энергии из возобновляемых источников в Европейском Союзе. Представитель инвестора пояснил, что Polska Grupa Energetyczna в целом управляет рядом установок в Польше, которые генерируют энергию из различных источников, включая возобновляемые источники. Кроме того, в отношении данного комментария орган, ведущий разбирательство, отмечает, что обязательство по Директиве 2009/28/EC о стимулировании использования энергии из возобновляемых источников в валовом конечном потреблении к 2020 году для достижения минимальной 15% доли энергии из возобновляемых источников должно быть выполнено государством-членом в целом, а не каждой из компаний по производству энергии, работающих в стране, в отдельности.</w:t>
      </w:r>
    </w:p>
    <w:p w:rsidR="0001632B" w:rsidRPr="0001632B" w:rsidRDefault="0001632B" w:rsidP="0001632B">
      <w:pPr>
        <w:ind w:left="67" w:right="394" w:firstLine="365"/>
        <w:rPr>
          <w:rFonts w:ascii="Times New Roman" w:hAnsi="Times New Roman" w:cs="Times New Roman"/>
          <w:sz w:val="28"/>
          <w:szCs w:val="28"/>
        </w:rPr>
      </w:pPr>
      <w:r w:rsidRPr="0001632B">
        <w:rPr>
          <w:rFonts w:ascii="Times New Roman" w:hAnsi="Times New Roman" w:cs="Times New Roman"/>
          <w:sz w:val="28"/>
          <w:szCs w:val="28"/>
        </w:rPr>
        <w:t>В ходе слушаний не поступило никаких дополнительных вопросов, комментариев или заявлений. Протокол слушаний находится в деле, а также размещен на веб-сайте Органа.</w:t>
      </w:r>
    </w:p>
    <w:p w:rsidR="0001632B" w:rsidRPr="0001632B" w:rsidRDefault="0001632B" w:rsidP="0001632B">
      <w:pPr>
        <w:spacing w:line="248" w:lineRule="auto"/>
        <w:ind w:left="91" w:right="115" w:firstLine="369"/>
        <w:rPr>
          <w:rFonts w:ascii="Times New Roman" w:hAnsi="Times New Roman" w:cs="Times New Roman"/>
          <w:sz w:val="28"/>
          <w:szCs w:val="28"/>
        </w:rPr>
      </w:pPr>
      <w:r w:rsidRPr="0001632B">
        <w:rPr>
          <w:rFonts w:ascii="Times New Roman" w:hAnsi="Times New Roman" w:cs="Times New Roman"/>
          <w:sz w:val="28"/>
          <w:szCs w:val="28"/>
        </w:rPr>
        <w:lastRenderedPageBreak/>
        <w:t>Кроме вопросов немецкого участника административного слушания, описанных выше, никто из представителей немецкой или чешской общественности не сделал никаких комментариев и не задал никаких вопросов о планируемом проекте.</w:t>
      </w:r>
    </w:p>
    <w:p w:rsidR="0001632B" w:rsidRPr="0001632B" w:rsidRDefault="0001632B" w:rsidP="0001632B">
      <w:pPr>
        <w:ind w:left="67" w:right="173" w:firstLine="379"/>
        <w:rPr>
          <w:rFonts w:ascii="Times New Roman" w:hAnsi="Times New Roman" w:cs="Times New Roman"/>
          <w:sz w:val="28"/>
          <w:szCs w:val="28"/>
        </w:rPr>
      </w:pPr>
      <w:r w:rsidRPr="0001632B">
        <w:rPr>
          <w:rFonts w:ascii="Times New Roman" w:hAnsi="Times New Roman" w:cs="Times New Roman"/>
          <w:sz w:val="28"/>
          <w:szCs w:val="28"/>
        </w:rPr>
        <w:t>Из муниципалитетов, расположенных в радиусе 10 км от планируемого проекта, только три чешских муниципалитета подняли вопросы - в вышеупомянутом письме от 20 марта 2013 года.</w:t>
      </w:r>
    </w:p>
    <w:p w:rsidR="0001632B" w:rsidRPr="0001632B" w:rsidRDefault="0001632B" w:rsidP="0001632B">
      <w:pPr>
        <w:spacing w:line="248" w:lineRule="auto"/>
        <w:ind w:left="91" w:right="115"/>
        <w:rPr>
          <w:rFonts w:ascii="Times New Roman" w:hAnsi="Times New Roman" w:cs="Times New Roman"/>
          <w:sz w:val="28"/>
          <w:szCs w:val="28"/>
        </w:rPr>
      </w:pPr>
      <w:r w:rsidRPr="0001632B">
        <w:rPr>
          <w:rFonts w:ascii="Times New Roman" w:hAnsi="Times New Roman" w:cs="Times New Roman"/>
          <w:sz w:val="28"/>
          <w:szCs w:val="28"/>
        </w:rPr>
        <w:t>Однако после получения вышеупомянутого разъяснительного письма мэра гмины Богатыня от 6 мая 2013 года, а также после получения дополнительных разъяснений от GDOŚ (по их теме - см. ниже, раздел "Трансграничные разбирательства"), власти этих муниципалитетов заявили (в письме от 20 мая 2013 года), что полученные "разъяснения для них достаточны, они проясняют их прежние сомнения, поэтому они не видят необходимости в дальнейшем обсуждении планируемого проекта".</w:t>
      </w:r>
    </w:p>
    <w:p w:rsidR="0001632B" w:rsidRPr="0001632B" w:rsidRDefault="0001632B" w:rsidP="0001632B">
      <w:pPr>
        <w:spacing w:after="277"/>
        <w:ind w:left="67" w:right="341" w:firstLine="370"/>
        <w:rPr>
          <w:rFonts w:ascii="Times New Roman" w:hAnsi="Times New Roman" w:cs="Times New Roman"/>
          <w:sz w:val="28"/>
          <w:szCs w:val="28"/>
        </w:rPr>
      </w:pPr>
      <w:r w:rsidRPr="0001632B">
        <w:rPr>
          <w:rFonts w:ascii="Times New Roman" w:hAnsi="Times New Roman" w:cs="Times New Roman"/>
          <w:sz w:val="28"/>
          <w:szCs w:val="28"/>
        </w:rPr>
        <w:t>Предоставление информации и участие в разбирательстве заинтересованной общественности с немецкой и чешской сторон не являлось дублированием трансграничной процедуры в рамках Конвенции Эспо, но отвечало требованиям, изложенным выше в статье 3(9) Орхусской конвенции, согласно которой к заинтересованной общественности в соседних государствах должно применяться недискриминационное обращение.</w:t>
      </w:r>
    </w:p>
    <w:p w:rsidR="0001632B" w:rsidRPr="0001632B" w:rsidRDefault="0001632B" w:rsidP="005D44E4">
      <w:pPr>
        <w:rPr>
          <w:rFonts w:ascii="Times New Roman" w:hAnsi="Times New Roman" w:cs="Times New Roman"/>
          <w:b/>
          <w:sz w:val="28"/>
          <w:szCs w:val="28"/>
        </w:rPr>
      </w:pPr>
    </w:p>
    <w:p w:rsidR="001933D5" w:rsidRPr="0001632B" w:rsidRDefault="001933D5">
      <w:pPr>
        <w:rPr>
          <w:rFonts w:ascii="Times New Roman" w:hAnsi="Times New Roman" w:cs="Times New Roman"/>
          <w:sz w:val="28"/>
          <w:szCs w:val="28"/>
        </w:rPr>
      </w:pPr>
    </w:p>
    <w:p w:rsidR="001933D5" w:rsidRPr="0001632B" w:rsidRDefault="001933D5">
      <w:pPr>
        <w:rPr>
          <w:rFonts w:ascii="Times New Roman" w:hAnsi="Times New Roman" w:cs="Times New Roman"/>
          <w:sz w:val="28"/>
          <w:szCs w:val="28"/>
        </w:rPr>
      </w:pPr>
    </w:p>
    <w:sectPr w:rsidR="001933D5" w:rsidRPr="000163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 id="_x0000_i1028" style="width:13pt;height:14.5pt" coordsize="" o:spt="100" o:bullet="t" adj="0,,0" path="" stroked="f">
        <v:stroke joinstyle="miter"/>
        <v:imagedata r:id="rId1" o:title="image197"/>
        <v:formulas/>
        <v:path o:connecttype="segments"/>
      </v:shape>
    </w:pict>
  </w:numPicBullet>
  <w:numPicBullet w:numPicBulletId="1">
    <w:pict>
      <v:shape id="_x0000_i1029" style="width:13.5pt;height:14.5pt" coordsize="" o:spt="100" o:bullet="t" adj="0,,0" path="" stroked="f">
        <v:stroke joinstyle="miter"/>
        <v:imagedata r:id="rId2" o:title="image198"/>
        <v:formulas/>
        <v:path o:connecttype="segments"/>
      </v:shape>
    </w:pict>
  </w:numPicBullet>
  <w:abstractNum w:abstractNumId="0" w15:restartNumberingAfterBreak="0">
    <w:nsid w:val="1B49790B"/>
    <w:multiLevelType w:val="hybridMultilevel"/>
    <w:tmpl w:val="D3BA4626"/>
    <w:lvl w:ilvl="0" w:tplc="94A642E0">
      <w:start w:val="1"/>
      <w:numFmt w:val="bullet"/>
      <w:lvlText w:val="•"/>
      <w:lvlPicBulletId w:val="1"/>
      <w:lvlJc w:val="left"/>
      <w:pPr>
        <w:ind w:left="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8027F4C">
      <w:start w:val="1"/>
      <w:numFmt w:val="bullet"/>
      <w:lvlText w:val="o"/>
      <w:lvlJc w:val="left"/>
      <w:pPr>
        <w:ind w:left="14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59AA90A">
      <w:start w:val="1"/>
      <w:numFmt w:val="bullet"/>
      <w:lvlText w:val="▪"/>
      <w:lvlJc w:val="left"/>
      <w:pPr>
        <w:ind w:left="21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16599A">
      <w:start w:val="1"/>
      <w:numFmt w:val="bullet"/>
      <w:lvlText w:val="•"/>
      <w:lvlJc w:val="left"/>
      <w:pPr>
        <w:ind w:left="28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CEAC8BE">
      <w:start w:val="1"/>
      <w:numFmt w:val="bullet"/>
      <w:lvlText w:val="o"/>
      <w:lvlJc w:val="left"/>
      <w:pPr>
        <w:ind w:left="36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747AE4">
      <w:start w:val="1"/>
      <w:numFmt w:val="bullet"/>
      <w:lvlText w:val="▪"/>
      <w:lvlJc w:val="left"/>
      <w:pPr>
        <w:ind w:left="43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80226CE">
      <w:start w:val="1"/>
      <w:numFmt w:val="bullet"/>
      <w:lvlText w:val="•"/>
      <w:lvlJc w:val="left"/>
      <w:pPr>
        <w:ind w:left="50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3644036">
      <w:start w:val="1"/>
      <w:numFmt w:val="bullet"/>
      <w:lvlText w:val="o"/>
      <w:lvlJc w:val="left"/>
      <w:pPr>
        <w:ind w:left="57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370E676">
      <w:start w:val="1"/>
      <w:numFmt w:val="bullet"/>
      <w:lvlText w:val="▪"/>
      <w:lvlJc w:val="left"/>
      <w:pPr>
        <w:ind w:left="64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42922053"/>
    <w:multiLevelType w:val="hybridMultilevel"/>
    <w:tmpl w:val="8E04C766"/>
    <w:lvl w:ilvl="0" w:tplc="2C205760">
      <w:start w:val="1"/>
      <w:numFmt w:val="bullet"/>
      <w:lvlText w:val="•"/>
      <w:lvlPicBulletId w:val="0"/>
      <w:lvlJc w:val="left"/>
      <w:pPr>
        <w:ind w:left="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652B9E0">
      <w:start w:val="1"/>
      <w:numFmt w:val="bullet"/>
      <w:lvlText w:val="o"/>
      <w:lvlJc w:val="left"/>
      <w:pPr>
        <w:ind w:left="1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3602FA">
      <w:start w:val="1"/>
      <w:numFmt w:val="bullet"/>
      <w:lvlText w:val="▪"/>
      <w:lvlJc w:val="left"/>
      <w:pPr>
        <w:ind w:left="2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1FEABD8">
      <w:start w:val="1"/>
      <w:numFmt w:val="bullet"/>
      <w:lvlText w:val="•"/>
      <w:lvlJc w:val="left"/>
      <w:pPr>
        <w:ind w:left="3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E002CC8">
      <w:start w:val="1"/>
      <w:numFmt w:val="bullet"/>
      <w:lvlText w:val="o"/>
      <w:lvlJc w:val="left"/>
      <w:pPr>
        <w:ind w:left="3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152A320">
      <w:start w:val="1"/>
      <w:numFmt w:val="bullet"/>
      <w:lvlText w:val="▪"/>
      <w:lvlJc w:val="left"/>
      <w:pPr>
        <w:ind w:left="4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C36C4DE">
      <w:start w:val="1"/>
      <w:numFmt w:val="bullet"/>
      <w:lvlText w:val="•"/>
      <w:lvlJc w:val="left"/>
      <w:pPr>
        <w:ind w:left="52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FA064D2">
      <w:start w:val="1"/>
      <w:numFmt w:val="bullet"/>
      <w:lvlText w:val="o"/>
      <w:lvlJc w:val="left"/>
      <w:pPr>
        <w:ind w:left="59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F7813C2">
      <w:start w:val="1"/>
      <w:numFmt w:val="bullet"/>
      <w:lvlText w:val="▪"/>
      <w:lvlJc w:val="left"/>
      <w:pPr>
        <w:ind w:left="66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3D5"/>
    <w:rsid w:val="0001632B"/>
    <w:rsid w:val="001933D5"/>
    <w:rsid w:val="00572F1C"/>
    <w:rsid w:val="005D44E4"/>
    <w:rsid w:val="00CA25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54D76"/>
  <w15:chartTrackingRefBased/>
  <w15:docId w15:val="{114CF50E-FD42-4D26-AEED-E190CD370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6.jpg"/><Relationship Id="rId3" Type="http://schemas.openxmlformats.org/officeDocument/2006/relationships/settings" Target="settings.xml"/><Relationship Id="rId7" Type="http://schemas.openxmlformats.org/officeDocument/2006/relationships/image" Target="media/image5.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4.jpg"/><Relationship Id="rId11" Type="http://schemas.openxmlformats.org/officeDocument/2006/relationships/theme" Target="theme/theme1.xml"/><Relationship Id="rId5" Type="http://schemas.openxmlformats.org/officeDocument/2006/relationships/image" Target="media/image3.jp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7.jp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11</Pages>
  <Words>3275</Words>
  <Characters>18668</Characters>
  <Application>Microsoft Office Word</Application>
  <DocSecurity>0</DocSecurity>
  <Lines>155</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Jerzy Jendrośka</dc:creator>
  <cp:keywords/>
  <dc:description/>
  <cp:lastModifiedBy>user</cp:lastModifiedBy>
  <cp:revision>2</cp:revision>
  <dcterms:created xsi:type="dcterms:W3CDTF">2021-06-07T11:13:00Z</dcterms:created>
  <dcterms:modified xsi:type="dcterms:W3CDTF">2021-06-08T23:51:00Z</dcterms:modified>
</cp:coreProperties>
</file>