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1015D" w14:paraId="4E3B8AE1" w14:textId="77777777" w:rsidTr="00F01738">
        <w:trPr>
          <w:trHeight w:hRule="exact" w:val="851"/>
        </w:trPr>
        <w:tc>
          <w:tcPr>
            <w:tcW w:w="1276" w:type="dxa"/>
            <w:tcBorders>
              <w:bottom w:val="single" w:sz="4" w:space="0" w:color="auto"/>
            </w:tcBorders>
          </w:tcPr>
          <w:p w14:paraId="7FAF027A" w14:textId="77777777" w:rsidR="00132EA9" w:rsidRPr="00DB58B5" w:rsidRDefault="00132EA9" w:rsidP="00E1015D"/>
        </w:tc>
        <w:tc>
          <w:tcPr>
            <w:tcW w:w="2268" w:type="dxa"/>
            <w:tcBorders>
              <w:bottom w:val="single" w:sz="4" w:space="0" w:color="auto"/>
            </w:tcBorders>
            <w:vAlign w:val="bottom"/>
          </w:tcPr>
          <w:p w14:paraId="77FEF84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86D239" w14:textId="69B60A97" w:rsidR="00132EA9" w:rsidRPr="00E1015D" w:rsidRDefault="00E1015D" w:rsidP="00E1015D">
            <w:pPr>
              <w:jc w:val="right"/>
              <w:rPr>
                <w:lang w:val="en-US"/>
              </w:rPr>
            </w:pPr>
            <w:r w:rsidRPr="00E1015D">
              <w:rPr>
                <w:sz w:val="40"/>
                <w:lang w:val="en-US"/>
              </w:rPr>
              <w:t>ST</w:t>
            </w:r>
            <w:r w:rsidRPr="00E1015D">
              <w:rPr>
                <w:lang w:val="en-US"/>
              </w:rPr>
              <w:t>/SG/AC.10/C.4/79/Add.1</w:t>
            </w:r>
          </w:p>
        </w:tc>
      </w:tr>
      <w:tr w:rsidR="00132EA9" w:rsidRPr="00DB58B5" w14:paraId="66B7AF5A" w14:textId="77777777" w:rsidTr="00F01738">
        <w:trPr>
          <w:trHeight w:hRule="exact" w:val="2835"/>
        </w:trPr>
        <w:tc>
          <w:tcPr>
            <w:tcW w:w="1276" w:type="dxa"/>
            <w:tcBorders>
              <w:top w:val="single" w:sz="4" w:space="0" w:color="auto"/>
              <w:bottom w:val="single" w:sz="12" w:space="0" w:color="auto"/>
            </w:tcBorders>
          </w:tcPr>
          <w:p w14:paraId="5D4BC017" w14:textId="77777777" w:rsidR="00132EA9" w:rsidRPr="00DB58B5" w:rsidRDefault="00132EA9" w:rsidP="00F01738">
            <w:pPr>
              <w:spacing w:before="120"/>
              <w:jc w:val="center"/>
            </w:pPr>
            <w:r>
              <w:rPr>
                <w:noProof/>
                <w:lang w:eastAsia="fr-CH"/>
              </w:rPr>
              <w:drawing>
                <wp:inline distT="0" distB="0" distL="0" distR="0" wp14:anchorId="319F8A66" wp14:editId="508D2B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1510D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24C4E37" w14:textId="77777777" w:rsidR="00132EA9" w:rsidRDefault="00E1015D" w:rsidP="00F01738">
            <w:pPr>
              <w:spacing w:before="240"/>
            </w:pPr>
            <w:r>
              <w:t xml:space="preserve">Distr. </w:t>
            </w:r>
            <w:proofErr w:type="gramStart"/>
            <w:r>
              <w:t>générale</w:t>
            </w:r>
            <w:proofErr w:type="gramEnd"/>
          </w:p>
          <w:p w14:paraId="114208BE" w14:textId="77777777" w:rsidR="00E1015D" w:rsidRDefault="00E1015D" w:rsidP="00E1015D">
            <w:pPr>
              <w:spacing w:line="240" w:lineRule="exact"/>
            </w:pPr>
            <w:r>
              <w:t>23 avril 2021</w:t>
            </w:r>
          </w:p>
          <w:p w14:paraId="05DD809F" w14:textId="77777777" w:rsidR="00E1015D" w:rsidRDefault="00E1015D" w:rsidP="00E1015D">
            <w:pPr>
              <w:spacing w:line="240" w:lineRule="exact"/>
            </w:pPr>
            <w:r>
              <w:t>Français</w:t>
            </w:r>
          </w:p>
          <w:p w14:paraId="4933E3D1" w14:textId="06FC5342" w:rsidR="00E1015D" w:rsidRPr="00DB58B5" w:rsidRDefault="00E1015D" w:rsidP="00E1015D">
            <w:pPr>
              <w:spacing w:line="240" w:lineRule="exact"/>
            </w:pPr>
            <w:r>
              <w:t>Original : anglais</w:t>
            </w:r>
          </w:p>
        </w:tc>
      </w:tr>
    </w:tbl>
    <w:p w14:paraId="4D927784" w14:textId="425E4DED" w:rsidR="00E1015D" w:rsidRPr="00CA0680" w:rsidRDefault="00E1015D" w:rsidP="000305D3">
      <w:pPr>
        <w:spacing w:before="120"/>
        <w:rPr>
          <w:b/>
          <w:sz w:val="24"/>
          <w:szCs w:val="24"/>
        </w:rPr>
      </w:pPr>
      <w:r w:rsidRPr="00CA0680">
        <w:rPr>
          <w:b/>
          <w:sz w:val="24"/>
          <w:szCs w:val="24"/>
        </w:rPr>
        <w:t>Comité d</w:t>
      </w:r>
      <w:r w:rsidR="002C17F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proofErr w:type="gramStart"/>
      <w:r w:rsidRPr="00CA0680">
        <w:rPr>
          <w:b/>
          <w:sz w:val="24"/>
          <w:szCs w:val="24"/>
        </w:rPr>
        <w:t>et</w:t>
      </w:r>
      <w:proofErr w:type="gramEnd"/>
      <w:r w:rsidRPr="00CA0680">
        <w:rPr>
          <w:b/>
          <w:sz w:val="24"/>
          <w:szCs w:val="24"/>
        </w:rPr>
        <w:t xml:space="preserve"> d</w:t>
      </w:r>
      <w:r w:rsidR="002C17F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6FFD681" w14:textId="28DFC014" w:rsidR="00E1015D" w:rsidRPr="00CA0680" w:rsidRDefault="00E1015D" w:rsidP="000305D3">
      <w:pPr>
        <w:spacing w:before="120"/>
        <w:rPr>
          <w:b/>
        </w:rPr>
      </w:pPr>
      <w:r w:rsidRPr="00CA0680">
        <w:rPr>
          <w:b/>
        </w:rPr>
        <w:t>Sous</w:t>
      </w:r>
      <w:r>
        <w:rPr>
          <w:b/>
        </w:rPr>
        <w:t>-</w:t>
      </w:r>
      <w:r w:rsidRPr="00CA0680">
        <w:rPr>
          <w:b/>
        </w:rPr>
        <w:t>Comité d</w:t>
      </w:r>
      <w:r w:rsidR="002C17F7">
        <w:rPr>
          <w:b/>
        </w:rPr>
        <w:t>’</w:t>
      </w:r>
      <w:r w:rsidRPr="00CA0680">
        <w:rPr>
          <w:b/>
        </w:rPr>
        <w:t xml:space="preserve">experts </w:t>
      </w:r>
      <w:r>
        <w:rPr>
          <w:b/>
        </w:rPr>
        <w:t>du Système général harmonisé</w:t>
      </w:r>
      <w:r>
        <w:rPr>
          <w:b/>
        </w:rPr>
        <w:br/>
        <w:t>de classification et d</w:t>
      </w:r>
      <w:r w:rsidR="002C17F7">
        <w:rPr>
          <w:b/>
        </w:rPr>
        <w:t>’</w:t>
      </w:r>
      <w:r>
        <w:rPr>
          <w:b/>
        </w:rPr>
        <w:t>étiquetage des produits chimiques</w:t>
      </w:r>
    </w:p>
    <w:p w14:paraId="1FD4B449" w14:textId="4C7EB488" w:rsidR="00E1015D" w:rsidRDefault="00E1015D" w:rsidP="000305D3">
      <w:pPr>
        <w:spacing w:before="120"/>
        <w:rPr>
          <w:b/>
        </w:rPr>
      </w:pPr>
      <w:r w:rsidRPr="00E1015D">
        <w:rPr>
          <w:b/>
        </w:rPr>
        <w:t>Quarantième</w:t>
      </w:r>
      <w:r w:rsidRPr="00CA0680">
        <w:rPr>
          <w:b/>
        </w:rPr>
        <w:t xml:space="preserve"> session</w:t>
      </w:r>
    </w:p>
    <w:p w14:paraId="3E150872" w14:textId="43443AEE" w:rsidR="00E1015D" w:rsidRDefault="00E1015D" w:rsidP="000305D3">
      <w:r>
        <w:t xml:space="preserve">Genève, </w:t>
      </w:r>
      <w:r>
        <w:rPr>
          <w:lang w:val="fr-FR"/>
        </w:rPr>
        <w:t>5-7 juillet 2021</w:t>
      </w:r>
    </w:p>
    <w:p w14:paraId="47F1D288" w14:textId="4E7FC022" w:rsidR="00E1015D" w:rsidRDefault="00E1015D" w:rsidP="000305D3">
      <w:r>
        <w:t xml:space="preserve">Point </w:t>
      </w:r>
      <w:r>
        <w:rPr>
          <w:lang w:val="fr-FR"/>
        </w:rPr>
        <w:t xml:space="preserve">1 </w:t>
      </w:r>
      <w:r>
        <w:t>de l</w:t>
      </w:r>
      <w:r w:rsidR="002C17F7">
        <w:t>’</w:t>
      </w:r>
      <w:r>
        <w:t>ordre du jour provisoire</w:t>
      </w:r>
    </w:p>
    <w:p w14:paraId="7D2E1CFF" w14:textId="4D0BB98D" w:rsidR="00E1015D" w:rsidRPr="000810BA" w:rsidRDefault="00E1015D" w:rsidP="00E1015D">
      <w:pPr>
        <w:rPr>
          <w:b/>
          <w:bCs/>
          <w:lang w:val="fr-FR"/>
        </w:rPr>
      </w:pPr>
      <w:r w:rsidRPr="000810BA">
        <w:rPr>
          <w:b/>
          <w:bCs/>
          <w:lang w:val="fr-FR"/>
        </w:rPr>
        <w:t>Adoption de l</w:t>
      </w:r>
      <w:r w:rsidR="002C17F7">
        <w:rPr>
          <w:b/>
          <w:bCs/>
          <w:lang w:val="fr-FR"/>
        </w:rPr>
        <w:t>’</w:t>
      </w:r>
      <w:r w:rsidRPr="000810BA">
        <w:rPr>
          <w:b/>
          <w:bCs/>
          <w:lang w:val="fr-FR"/>
        </w:rPr>
        <w:t>ordre du jour</w:t>
      </w:r>
    </w:p>
    <w:p w14:paraId="6D1B53A0" w14:textId="77777777" w:rsidR="00E1015D" w:rsidRPr="007D288C" w:rsidRDefault="00E1015D" w:rsidP="00E1015D">
      <w:pPr>
        <w:pStyle w:val="HChG"/>
        <w:rPr>
          <w:lang w:val="fr-FR"/>
        </w:rPr>
      </w:pPr>
      <w:r>
        <w:rPr>
          <w:lang w:val="fr-FR"/>
        </w:rPr>
        <w:tab/>
      </w:r>
      <w:r>
        <w:rPr>
          <w:lang w:val="fr-FR"/>
        </w:rPr>
        <w:tab/>
        <w:t>Ordre du jour provisoire de la quarantième session</w:t>
      </w:r>
    </w:p>
    <w:p w14:paraId="4C641E08" w14:textId="77777777" w:rsidR="00E1015D" w:rsidRPr="007D288C" w:rsidRDefault="00E1015D" w:rsidP="00E1015D">
      <w:pPr>
        <w:pStyle w:val="H23G"/>
        <w:rPr>
          <w:lang w:val="fr-FR"/>
        </w:rPr>
      </w:pPr>
      <w:r>
        <w:rPr>
          <w:lang w:val="fr-FR"/>
        </w:rPr>
        <w:tab/>
      </w:r>
      <w:r>
        <w:rPr>
          <w:lang w:val="fr-FR"/>
        </w:rPr>
        <w:tab/>
        <w:t xml:space="preserve">Additif </w:t>
      </w:r>
    </w:p>
    <w:p w14:paraId="37E0EAF4" w14:textId="060F91F4" w:rsidR="00E1015D" w:rsidRPr="007D288C" w:rsidRDefault="00E1015D" w:rsidP="00E1015D">
      <w:pPr>
        <w:pStyle w:val="HChG"/>
        <w:rPr>
          <w:lang w:val="fr-FR"/>
        </w:rPr>
      </w:pPr>
      <w:r>
        <w:rPr>
          <w:lang w:val="fr-FR"/>
        </w:rPr>
        <w:tab/>
      </w:r>
      <w:r>
        <w:rPr>
          <w:lang w:val="fr-FR"/>
        </w:rPr>
        <w:tab/>
        <w:t>Liste des documents et annotations</w:t>
      </w:r>
    </w:p>
    <w:p w14:paraId="4AA26882" w14:textId="1325B7F3" w:rsidR="00E1015D" w:rsidRPr="007D288C" w:rsidRDefault="00E1015D" w:rsidP="00E1015D">
      <w:pPr>
        <w:pStyle w:val="H23G"/>
        <w:rPr>
          <w:lang w:val="fr-FR"/>
        </w:rPr>
      </w:pPr>
      <w:r>
        <w:rPr>
          <w:lang w:val="fr-FR"/>
        </w:rPr>
        <w:tab/>
      </w:r>
      <w:r>
        <w:rPr>
          <w:lang w:val="fr-FR"/>
        </w:rPr>
        <w:tab/>
        <w:t>Note du secrétariat</w:t>
      </w:r>
    </w:p>
    <w:p w14:paraId="53902335" w14:textId="14D69FC5" w:rsidR="00E1015D" w:rsidRPr="007D288C" w:rsidRDefault="00E1015D" w:rsidP="00E1015D">
      <w:pPr>
        <w:pStyle w:val="SingleTxtG"/>
        <w:rPr>
          <w:lang w:val="fr-FR"/>
        </w:rPr>
      </w:pPr>
      <w:r>
        <w:rPr>
          <w:lang w:val="fr-FR"/>
        </w:rPr>
        <w:t>La quarantième session du Sous-Comité se tiendra sous forme hybride (les représentants pourront y participer en présentiel ou à distance) avec des services d</w:t>
      </w:r>
      <w:r w:rsidR="002C17F7">
        <w:rPr>
          <w:lang w:val="fr-FR"/>
        </w:rPr>
        <w:t>’</w:t>
      </w:r>
      <w:r>
        <w:rPr>
          <w:lang w:val="fr-FR"/>
        </w:rPr>
        <w:t>interprétation. Elle</w:t>
      </w:r>
      <w:r w:rsidR="009D0A9A">
        <w:rPr>
          <w:lang w:val="fr-FR"/>
        </w:rPr>
        <w:t> </w:t>
      </w:r>
      <w:r>
        <w:rPr>
          <w:lang w:val="fr-FR"/>
        </w:rPr>
        <w:t>devrait en principe avoir lieu de 10 heures à midi et de 14 heures à 16 heures le lundi et le mardi (5 et 6 juillet) et de 10 heures à midi le mercredi (7 juillet). À la date de rédaction du présent document, le nombre de représentants autorisés à participer en présentiel était de 15. Ce nombre pourrait changer en fonction de l</w:t>
      </w:r>
      <w:r w:rsidR="002C17F7">
        <w:rPr>
          <w:lang w:val="fr-FR"/>
        </w:rPr>
        <w:t>’</w:t>
      </w:r>
      <w:r>
        <w:rPr>
          <w:lang w:val="fr-FR"/>
        </w:rPr>
        <w:t>évolution de la pandémie et des mesures mises en place par la Suisse pour endiguer la propagation du virus. Toutes les informations nécessaires sur les modalités de travail de cette session seront communiquées sur le site Web</w:t>
      </w:r>
      <w:r w:rsidRPr="00E86138">
        <w:rPr>
          <w:rStyle w:val="FootnoteReference"/>
        </w:rPr>
        <w:footnoteReference w:id="2"/>
      </w:r>
      <w:r>
        <w:rPr>
          <w:lang w:val="fr-FR"/>
        </w:rPr>
        <w:t xml:space="preserve"> en temps utile.</w:t>
      </w:r>
    </w:p>
    <w:p w14:paraId="5BA39C3E" w14:textId="2E1D2B0A" w:rsidR="00E1015D" w:rsidRDefault="00E1015D" w:rsidP="00E1015D">
      <w:pPr>
        <w:pStyle w:val="HChG"/>
        <w:rPr>
          <w:lang w:val="fr-FR"/>
        </w:rPr>
      </w:pPr>
      <w:r>
        <w:rPr>
          <w:lang w:val="fr-FR"/>
        </w:rPr>
        <w:tab/>
        <w:t>1.</w:t>
      </w:r>
      <w:r>
        <w:rPr>
          <w:lang w:val="fr-FR"/>
        </w:rPr>
        <w:tab/>
        <w:t>Adoption de l</w:t>
      </w:r>
      <w:r w:rsidR="002C17F7">
        <w:rPr>
          <w:lang w:val="fr-FR"/>
        </w:rPr>
        <w:t>’</w:t>
      </w:r>
      <w:r>
        <w:rPr>
          <w:lang w:val="fr-FR"/>
        </w:rPr>
        <w:t>ordre du jour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E1015D" w:rsidRPr="007C5E0D" w14:paraId="7082997E" w14:textId="77777777" w:rsidTr="004B58F2">
        <w:tc>
          <w:tcPr>
            <w:tcW w:w="2557" w:type="dxa"/>
          </w:tcPr>
          <w:p w14:paraId="656FE1DE" w14:textId="4A95000C" w:rsidR="00E1015D" w:rsidRPr="00E1015D" w:rsidRDefault="00E1015D" w:rsidP="004B58F2">
            <w:pPr>
              <w:spacing w:before="40" w:after="40"/>
              <w:rPr>
                <w:lang w:val="en-US"/>
              </w:rPr>
            </w:pPr>
            <w:r w:rsidRPr="0075200C">
              <w:rPr>
                <w:lang w:val="en-US"/>
              </w:rPr>
              <w:t>ST/SG/AC.10/C.4/79 et ST/SG/AC.10/C.4/79/Add.1</w:t>
            </w:r>
          </w:p>
        </w:tc>
        <w:tc>
          <w:tcPr>
            <w:tcW w:w="4257" w:type="dxa"/>
          </w:tcPr>
          <w:p w14:paraId="1038DCFD" w14:textId="06278B43" w:rsidR="00E1015D" w:rsidRPr="007D288C" w:rsidRDefault="00E1015D" w:rsidP="004B58F2">
            <w:pPr>
              <w:spacing w:before="40" w:after="40"/>
              <w:rPr>
                <w:lang w:val="fr-FR"/>
              </w:rPr>
            </w:pPr>
            <w:r>
              <w:rPr>
                <w:lang w:val="fr-FR"/>
              </w:rPr>
              <w:t>Ordre du jour provisoire de la quarantième session</w:t>
            </w:r>
          </w:p>
        </w:tc>
      </w:tr>
    </w:tbl>
    <w:p w14:paraId="526EC812" w14:textId="36164DC0" w:rsidR="00E1015D" w:rsidRDefault="00E1015D" w:rsidP="00E1015D">
      <w:pPr>
        <w:pStyle w:val="H1G"/>
        <w:rPr>
          <w:lang w:val="fr-FR"/>
        </w:rPr>
      </w:pPr>
      <w:r>
        <w:rPr>
          <w:lang w:val="fr-FR"/>
        </w:rPr>
        <w:tab/>
      </w:r>
      <w:r>
        <w:rPr>
          <w:lang w:val="fr-FR"/>
        </w:rPr>
        <w:tab/>
        <w:t>Documents de référence (secrétariat)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E1015D" w:rsidRPr="007C5E0D" w14:paraId="33C0C077" w14:textId="77777777" w:rsidTr="004B58F2">
        <w:tc>
          <w:tcPr>
            <w:tcW w:w="2766" w:type="dxa"/>
          </w:tcPr>
          <w:p w14:paraId="1FBA368E" w14:textId="77777777" w:rsidR="00E1015D" w:rsidRPr="004E7EB6" w:rsidRDefault="00E1015D" w:rsidP="00E1015D">
            <w:pPr>
              <w:spacing w:before="40" w:after="40"/>
            </w:pPr>
            <w:r>
              <w:rPr>
                <w:lang w:val="fr-FR"/>
              </w:rPr>
              <w:t>ST/SG/AC.10/30/Rev.8</w:t>
            </w:r>
          </w:p>
        </w:tc>
        <w:tc>
          <w:tcPr>
            <w:tcW w:w="4604" w:type="dxa"/>
          </w:tcPr>
          <w:p w14:paraId="45CBBA8E" w14:textId="63D4E441" w:rsidR="00E1015D" w:rsidRPr="007D288C" w:rsidRDefault="00E1015D" w:rsidP="00E1015D">
            <w:pPr>
              <w:spacing w:before="40" w:after="40"/>
              <w:rPr>
                <w:lang w:val="fr-FR"/>
              </w:rPr>
            </w:pPr>
            <w:r>
              <w:rPr>
                <w:lang w:val="fr-FR"/>
              </w:rPr>
              <w:t>Système général harmonisé de classification et d</w:t>
            </w:r>
            <w:r w:rsidR="002C17F7">
              <w:rPr>
                <w:lang w:val="fr-FR"/>
              </w:rPr>
              <w:t>’</w:t>
            </w:r>
            <w:r>
              <w:rPr>
                <w:lang w:val="fr-FR"/>
              </w:rPr>
              <w:t xml:space="preserve">étiquetage des produits chimiques (SGH), </w:t>
            </w:r>
            <w:r w:rsidR="00137685">
              <w:rPr>
                <w:lang w:val="fr-FR"/>
              </w:rPr>
              <w:br/>
            </w:r>
            <w:r>
              <w:rPr>
                <w:lang w:val="fr-FR"/>
              </w:rPr>
              <w:t>huitième édition révisée</w:t>
            </w:r>
          </w:p>
        </w:tc>
      </w:tr>
      <w:tr w:rsidR="00E1015D" w:rsidRPr="007C5E0D" w14:paraId="21D36803" w14:textId="77777777" w:rsidTr="004B58F2">
        <w:tc>
          <w:tcPr>
            <w:tcW w:w="2766" w:type="dxa"/>
          </w:tcPr>
          <w:p w14:paraId="04A457C5" w14:textId="77777777" w:rsidR="00E1015D" w:rsidRPr="004E7EB6" w:rsidRDefault="00E1015D" w:rsidP="00E1015D">
            <w:pPr>
              <w:spacing w:before="40" w:after="40"/>
            </w:pPr>
            <w:r>
              <w:rPr>
                <w:lang w:val="fr-FR"/>
              </w:rPr>
              <w:lastRenderedPageBreak/>
              <w:t>ST/SG/AC.10/1/Rev.21</w:t>
            </w:r>
          </w:p>
        </w:tc>
        <w:tc>
          <w:tcPr>
            <w:tcW w:w="4604" w:type="dxa"/>
          </w:tcPr>
          <w:p w14:paraId="2FC7DF6F" w14:textId="1ADE0817" w:rsidR="00E1015D" w:rsidRPr="007D288C" w:rsidRDefault="00E1015D" w:rsidP="00E1015D">
            <w:pPr>
              <w:spacing w:before="40" w:after="40"/>
              <w:rPr>
                <w:lang w:val="fr-FR"/>
              </w:rPr>
            </w:pPr>
            <w:r>
              <w:rPr>
                <w:lang w:val="fr-FR"/>
              </w:rPr>
              <w:t xml:space="preserve">Recommandations relatives au transport des marchandises dangereuses, Règlement type, </w:t>
            </w:r>
            <w:r w:rsidR="00137685">
              <w:rPr>
                <w:lang w:val="fr-FR"/>
              </w:rPr>
              <w:br/>
            </w:r>
            <w:r>
              <w:rPr>
                <w:lang w:val="fr-FR"/>
              </w:rPr>
              <w:t>vingt et unième édition révisée</w:t>
            </w:r>
          </w:p>
        </w:tc>
      </w:tr>
      <w:tr w:rsidR="00E1015D" w:rsidRPr="007C5E0D" w14:paraId="0728B8C5" w14:textId="77777777" w:rsidTr="004B58F2">
        <w:tc>
          <w:tcPr>
            <w:tcW w:w="2766" w:type="dxa"/>
          </w:tcPr>
          <w:p w14:paraId="464A07E4" w14:textId="77777777" w:rsidR="00E1015D" w:rsidRPr="004E7EB6" w:rsidRDefault="00E1015D" w:rsidP="00E1015D">
            <w:pPr>
              <w:spacing w:before="40" w:after="40"/>
            </w:pPr>
            <w:r>
              <w:rPr>
                <w:lang w:val="fr-FR"/>
              </w:rPr>
              <w:t>ST/SG/AC.10/11/Rev.7</w:t>
            </w:r>
          </w:p>
        </w:tc>
        <w:tc>
          <w:tcPr>
            <w:tcW w:w="4604" w:type="dxa"/>
          </w:tcPr>
          <w:p w14:paraId="211D96A3" w14:textId="7C317985" w:rsidR="00E1015D" w:rsidRPr="007D288C" w:rsidRDefault="00E1015D" w:rsidP="00E1015D">
            <w:pPr>
              <w:spacing w:before="40" w:after="40"/>
              <w:rPr>
                <w:lang w:val="fr-FR"/>
              </w:rPr>
            </w:pPr>
            <w:r>
              <w:rPr>
                <w:lang w:val="fr-FR"/>
              </w:rPr>
              <w:t>Manuel d</w:t>
            </w:r>
            <w:r w:rsidR="002C17F7">
              <w:rPr>
                <w:lang w:val="fr-FR"/>
              </w:rPr>
              <w:t>’</w:t>
            </w:r>
            <w:r>
              <w:rPr>
                <w:lang w:val="fr-FR"/>
              </w:rPr>
              <w:t xml:space="preserve">épreuves et de critères, </w:t>
            </w:r>
            <w:r w:rsidR="00137685">
              <w:rPr>
                <w:lang w:val="fr-FR"/>
              </w:rPr>
              <w:br/>
            </w:r>
            <w:r>
              <w:rPr>
                <w:lang w:val="fr-FR"/>
              </w:rPr>
              <w:t>septième édition révisée</w:t>
            </w:r>
          </w:p>
        </w:tc>
      </w:tr>
      <w:tr w:rsidR="00E1015D" w:rsidRPr="007C5E0D" w14:paraId="4992A39F" w14:textId="77777777" w:rsidTr="004B58F2">
        <w:tc>
          <w:tcPr>
            <w:tcW w:w="2766" w:type="dxa"/>
          </w:tcPr>
          <w:p w14:paraId="404510F8" w14:textId="77777777" w:rsidR="00E1015D" w:rsidRPr="004E7EB6" w:rsidRDefault="00E1015D" w:rsidP="00E1015D">
            <w:pPr>
              <w:spacing w:before="40" w:after="40"/>
            </w:pPr>
            <w:r>
              <w:rPr>
                <w:lang w:val="fr-FR"/>
              </w:rPr>
              <w:t>ST/SG/AC.10/C.4/78</w:t>
            </w:r>
          </w:p>
        </w:tc>
        <w:tc>
          <w:tcPr>
            <w:tcW w:w="4604" w:type="dxa"/>
          </w:tcPr>
          <w:p w14:paraId="34A8C4CC" w14:textId="54EA210A" w:rsidR="00E1015D" w:rsidRPr="007D288C" w:rsidRDefault="00E1015D" w:rsidP="00E1015D">
            <w:pPr>
              <w:spacing w:before="40" w:after="40"/>
              <w:rPr>
                <w:lang w:val="fr-FR"/>
              </w:rPr>
            </w:pPr>
            <w:r>
              <w:rPr>
                <w:lang w:val="fr-FR"/>
              </w:rPr>
              <w:t>Rapport du Sous-Comité d</w:t>
            </w:r>
            <w:r w:rsidR="002C17F7">
              <w:rPr>
                <w:lang w:val="fr-FR"/>
              </w:rPr>
              <w:t>’</w:t>
            </w:r>
            <w:r>
              <w:rPr>
                <w:lang w:val="fr-FR"/>
              </w:rPr>
              <w:t>experts du Système général harmonisé de classification et d</w:t>
            </w:r>
            <w:r w:rsidR="002C17F7">
              <w:rPr>
                <w:lang w:val="fr-FR"/>
              </w:rPr>
              <w:t>’</w:t>
            </w:r>
            <w:r>
              <w:rPr>
                <w:lang w:val="fr-FR"/>
              </w:rPr>
              <w:t>étiquetage des produits chimiques sur sa trente-neuvième session</w:t>
            </w:r>
          </w:p>
        </w:tc>
      </w:tr>
      <w:tr w:rsidR="00E1015D" w:rsidRPr="007C5E0D" w14:paraId="2DE48D49" w14:textId="77777777" w:rsidTr="004B58F2">
        <w:tc>
          <w:tcPr>
            <w:tcW w:w="2766" w:type="dxa"/>
          </w:tcPr>
          <w:p w14:paraId="199BD89D" w14:textId="77777777" w:rsidR="00E1015D" w:rsidRPr="00E1015D" w:rsidRDefault="00E1015D" w:rsidP="00E1015D">
            <w:pPr>
              <w:spacing w:before="40" w:after="40"/>
              <w:rPr>
                <w:lang w:val="en-US"/>
              </w:rPr>
            </w:pPr>
            <w:r w:rsidRPr="00E1015D">
              <w:rPr>
                <w:lang w:val="en-US"/>
              </w:rPr>
              <w:t xml:space="preserve">ST/SG/AC.10/C.3/114 et ST/SG/AC.10/C.3/114/Add.1 </w:t>
            </w:r>
          </w:p>
        </w:tc>
        <w:tc>
          <w:tcPr>
            <w:tcW w:w="4604" w:type="dxa"/>
          </w:tcPr>
          <w:p w14:paraId="0AD1CE50" w14:textId="39F50101" w:rsidR="00E1015D" w:rsidRPr="007D288C" w:rsidRDefault="00E1015D" w:rsidP="00E1015D">
            <w:pPr>
              <w:spacing w:before="40" w:after="40"/>
              <w:rPr>
                <w:lang w:val="fr-FR"/>
              </w:rPr>
            </w:pPr>
            <w:r>
              <w:rPr>
                <w:lang w:val="fr-FR"/>
              </w:rPr>
              <w:t>Rapport du Sous-Comité d</w:t>
            </w:r>
            <w:r w:rsidR="002C17F7">
              <w:rPr>
                <w:lang w:val="fr-FR"/>
              </w:rPr>
              <w:t>’</w:t>
            </w:r>
            <w:r>
              <w:rPr>
                <w:lang w:val="fr-FR"/>
              </w:rPr>
              <w:t>experts du transport des</w:t>
            </w:r>
            <w:r w:rsidR="00137685">
              <w:rPr>
                <w:lang w:val="fr-FR"/>
              </w:rPr>
              <w:t> </w:t>
            </w:r>
            <w:r>
              <w:rPr>
                <w:lang w:val="fr-FR"/>
              </w:rPr>
              <w:t xml:space="preserve">marchandises dangereuses sur sa </w:t>
            </w:r>
            <w:r w:rsidR="00137685">
              <w:rPr>
                <w:lang w:val="fr-FR"/>
              </w:rPr>
              <w:br/>
            </w:r>
            <w:r>
              <w:rPr>
                <w:lang w:val="fr-FR"/>
              </w:rPr>
              <w:t>cinquante-septième session</w:t>
            </w:r>
          </w:p>
        </w:tc>
      </w:tr>
      <w:tr w:rsidR="00E1015D" w:rsidRPr="007C5E0D" w14:paraId="4951DE8B" w14:textId="77777777" w:rsidTr="004B58F2">
        <w:tc>
          <w:tcPr>
            <w:tcW w:w="2766" w:type="dxa"/>
          </w:tcPr>
          <w:p w14:paraId="340CE22B" w14:textId="77777777" w:rsidR="00E1015D" w:rsidRPr="00E1015D" w:rsidRDefault="00E1015D" w:rsidP="00E1015D">
            <w:pPr>
              <w:spacing w:before="40" w:after="40"/>
              <w:rPr>
                <w:lang w:val="en-US"/>
              </w:rPr>
            </w:pPr>
            <w:r w:rsidRPr="00E1015D">
              <w:rPr>
                <w:lang w:val="en-US"/>
              </w:rPr>
              <w:t>ST/SG/AC.10/48, ST/SG/AC.10/48/Add.1, ST/SG/AC.10/48/Add.2 et ST/SG/AC.10/48/Add.3</w:t>
            </w:r>
          </w:p>
        </w:tc>
        <w:tc>
          <w:tcPr>
            <w:tcW w:w="4604" w:type="dxa"/>
          </w:tcPr>
          <w:p w14:paraId="6D4D4B62" w14:textId="7C984033" w:rsidR="00E1015D" w:rsidRPr="007D288C" w:rsidRDefault="00E1015D" w:rsidP="00E1015D">
            <w:pPr>
              <w:spacing w:before="40" w:after="40"/>
              <w:rPr>
                <w:lang w:val="fr-FR"/>
              </w:rPr>
            </w:pPr>
            <w:r>
              <w:rPr>
                <w:lang w:val="fr-FR"/>
              </w:rPr>
              <w:t>Rapport du Comité d</w:t>
            </w:r>
            <w:r w:rsidR="002C17F7">
              <w:rPr>
                <w:lang w:val="fr-FR"/>
              </w:rPr>
              <w:t>’</w:t>
            </w:r>
            <w:r>
              <w:rPr>
                <w:lang w:val="fr-FR"/>
              </w:rPr>
              <w:t>experts sur sa neuvième session</w:t>
            </w:r>
          </w:p>
        </w:tc>
      </w:tr>
    </w:tbl>
    <w:p w14:paraId="64B22AD8" w14:textId="7D7723EB" w:rsidR="00E1015D" w:rsidRPr="007D288C" w:rsidRDefault="00E1015D" w:rsidP="00E1015D">
      <w:pPr>
        <w:pStyle w:val="HChG"/>
        <w:rPr>
          <w:lang w:val="fr-FR"/>
        </w:rPr>
      </w:pPr>
      <w:r>
        <w:rPr>
          <w:lang w:val="fr-FR"/>
        </w:rPr>
        <w:tab/>
        <w:t>2.</w:t>
      </w:r>
      <w:r>
        <w:rPr>
          <w:lang w:val="fr-FR"/>
        </w:rPr>
        <w:tab/>
      </w:r>
      <w:r w:rsidRPr="00137685">
        <w:rPr>
          <w:spacing w:val="-2"/>
          <w:lang w:val="fr-FR"/>
        </w:rPr>
        <w:t>Travaux relatifs au Système général harmonisé de</w:t>
      </w:r>
      <w:r w:rsidR="00137685" w:rsidRPr="00137685">
        <w:rPr>
          <w:spacing w:val="-2"/>
          <w:lang w:val="fr-FR"/>
        </w:rPr>
        <w:t> </w:t>
      </w:r>
      <w:r w:rsidRPr="00137685">
        <w:rPr>
          <w:spacing w:val="-2"/>
          <w:lang w:val="fr-FR"/>
        </w:rPr>
        <w:t>classification et d</w:t>
      </w:r>
      <w:r w:rsidR="002C17F7">
        <w:rPr>
          <w:spacing w:val="-2"/>
          <w:lang w:val="fr-FR"/>
        </w:rPr>
        <w:t>’</w:t>
      </w:r>
      <w:r w:rsidRPr="00137685">
        <w:rPr>
          <w:spacing w:val="-2"/>
          <w:lang w:val="fr-FR"/>
        </w:rPr>
        <w:t>étiquetage des produits chimiques (SGH)</w:t>
      </w:r>
    </w:p>
    <w:p w14:paraId="22228579" w14:textId="35800790" w:rsidR="00E1015D" w:rsidRPr="007D288C" w:rsidRDefault="00E1015D" w:rsidP="00E1015D">
      <w:pPr>
        <w:pStyle w:val="H1G"/>
        <w:rPr>
          <w:lang w:val="fr-FR"/>
        </w:rPr>
      </w:pPr>
      <w:r>
        <w:rPr>
          <w:lang w:val="fr-FR"/>
        </w:rPr>
        <w:tab/>
        <w:t>a)</w:t>
      </w:r>
      <w:r>
        <w:rPr>
          <w:lang w:val="fr-FR"/>
        </w:rPr>
        <w:tab/>
        <w:t>Travaux du Sous-Comité d</w:t>
      </w:r>
      <w:r w:rsidR="002C17F7">
        <w:rPr>
          <w:lang w:val="fr-FR"/>
        </w:rPr>
        <w:t>’</w:t>
      </w:r>
      <w:r>
        <w:rPr>
          <w:lang w:val="fr-FR"/>
        </w:rPr>
        <w:t xml:space="preserve">experts du transport des marchandises dangereuses (Sous-Comité TMD) sur des questions intéressant </w:t>
      </w:r>
      <w:r>
        <w:rPr>
          <w:lang w:val="fr-FR"/>
        </w:rPr>
        <w:br/>
        <w:t>le Sous-Comité d</w:t>
      </w:r>
      <w:r w:rsidR="002C17F7">
        <w:rPr>
          <w:lang w:val="fr-FR"/>
        </w:rPr>
        <w:t>’</w:t>
      </w:r>
      <w:r>
        <w:rPr>
          <w:lang w:val="fr-FR"/>
        </w:rPr>
        <w:t>experts du Système général harmonisé de classification et d</w:t>
      </w:r>
      <w:r w:rsidR="002C17F7">
        <w:rPr>
          <w:lang w:val="fr-FR"/>
        </w:rPr>
        <w:t>’</w:t>
      </w:r>
      <w:r>
        <w:rPr>
          <w:lang w:val="fr-FR"/>
        </w:rPr>
        <w:t xml:space="preserve">étiquetage des produits chimiques </w:t>
      </w:r>
      <w:r>
        <w:rPr>
          <w:lang w:val="fr-FR"/>
        </w:rPr>
        <w:br/>
        <w:t>(Sous-Comité SGH)</w:t>
      </w:r>
      <w:r w:rsidRPr="00137685">
        <w:rPr>
          <w:rStyle w:val="FootnoteReference"/>
          <w:b w:val="0"/>
          <w:bCs/>
        </w:rPr>
        <w:footnoteReference w:id="3"/>
      </w:r>
    </w:p>
    <w:p w14:paraId="2167471B" w14:textId="51824B62" w:rsidR="00E1015D" w:rsidRPr="007D288C" w:rsidRDefault="00E1015D" w:rsidP="00E1015D">
      <w:pPr>
        <w:pStyle w:val="SingleTxtG"/>
        <w:rPr>
          <w:lang w:val="fr-FR"/>
        </w:rPr>
      </w:pPr>
      <w:r>
        <w:rPr>
          <w:lang w:val="fr-FR"/>
        </w:rPr>
        <w:t>Le Sous-Comité sera tenu au courant des résultats des discussions ayant eu lieu au sein du Sous-Comité TMD sur toute question l</w:t>
      </w:r>
      <w:r w:rsidR="002C17F7">
        <w:rPr>
          <w:lang w:val="fr-FR"/>
        </w:rPr>
        <w:t>’</w:t>
      </w:r>
      <w:r>
        <w:rPr>
          <w:lang w:val="fr-FR"/>
        </w:rPr>
        <w:t>intéressant pour ses travaux.</w:t>
      </w:r>
    </w:p>
    <w:p w14:paraId="121F899D" w14:textId="5F42E0BD" w:rsidR="00E1015D" w:rsidRPr="007D288C" w:rsidRDefault="00E1015D" w:rsidP="00E1015D">
      <w:pPr>
        <w:pStyle w:val="H1G"/>
        <w:rPr>
          <w:lang w:val="fr-FR"/>
        </w:rPr>
      </w:pPr>
      <w:r>
        <w:rPr>
          <w:lang w:val="fr-FR"/>
        </w:rPr>
        <w:tab/>
        <w:t>b)</w:t>
      </w:r>
      <w:r>
        <w:rPr>
          <w:lang w:val="fr-FR"/>
        </w:rPr>
        <w:tab/>
        <w:t xml:space="preserve">Classification simultanée dans les classes de danger physique </w:t>
      </w:r>
      <w:r>
        <w:rPr>
          <w:lang w:val="fr-FR"/>
        </w:rPr>
        <w:br/>
        <w:t>et ordre de prépondérance des dangers</w:t>
      </w:r>
    </w:p>
    <w:p w14:paraId="5EEF055B" w14:textId="62B464B2" w:rsidR="00E1015D" w:rsidRPr="007D288C" w:rsidRDefault="00E1015D" w:rsidP="00E1015D">
      <w:pPr>
        <w:pStyle w:val="SingleTxtG"/>
        <w:rPr>
          <w:lang w:val="fr-FR"/>
        </w:rPr>
      </w:pPr>
      <w:r>
        <w:rPr>
          <w:lang w:val="fr-FR"/>
        </w:rPr>
        <w:t>L</w:t>
      </w:r>
      <w:r w:rsidR="002C17F7">
        <w:rPr>
          <w:lang w:val="fr-FR"/>
        </w:rPr>
        <w:t>’</w:t>
      </w:r>
      <w:r>
        <w:rPr>
          <w:lang w:val="fr-FR"/>
        </w:rPr>
        <w:t>expert de l</w:t>
      </w:r>
      <w:r w:rsidR="002C17F7">
        <w:rPr>
          <w:lang w:val="fr-FR"/>
        </w:rPr>
        <w:t>’</w:t>
      </w:r>
      <w:r>
        <w:rPr>
          <w:lang w:val="fr-FR"/>
        </w:rPr>
        <w:t>Allemagne souhaitera sans doute informer le Sous-Comité de l</w:t>
      </w:r>
      <w:r w:rsidR="002C17F7">
        <w:rPr>
          <w:lang w:val="fr-FR"/>
        </w:rPr>
        <w:t>’</w:t>
      </w:r>
      <w:r>
        <w:rPr>
          <w:lang w:val="fr-FR"/>
        </w:rPr>
        <w:t>état d</w:t>
      </w:r>
      <w:r w:rsidR="002C17F7">
        <w:rPr>
          <w:lang w:val="fr-FR"/>
        </w:rPr>
        <w:t>’</w:t>
      </w:r>
      <w:r>
        <w:rPr>
          <w:lang w:val="fr-FR"/>
        </w:rPr>
        <w:t>avancement des travaux sur cette question depuis la dernière session. Pour en savoir plus, on consultera le rapport du Sous-Comité sur sa trente-neuvième session (ST/SG/AC.10/78, par. 25).</w:t>
      </w:r>
    </w:p>
    <w:p w14:paraId="12AD4C2D" w14:textId="22E4355C" w:rsidR="00E1015D" w:rsidRDefault="00E1015D" w:rsidP="00E1015D">
      <w:pPr>
        <w:pStyle w:val="H1G"/>
        <w:rPr>
          <w:lang w:val="fr-FR"/>
        </w:rPr>
      </w:pPr>
      <w:r>
        <w:rPr>
          <w:lang w:val="fr-FR"/>
        </w:rPr>
        <w:tab/>
        <w:t>c)</w:t>
      </w:r>
      <w:r>
        <w:rPr>
          <w:lang w:val="fr-FR"/>
        </w:rPr>
        <w:tab/>
      </w:r>
      <w:r w:rsidRPr="00631B11">
        <w:rPr>
          <w:lang w:val="fr-FR"/>
        </w:rPr>
        <w:t>Utilisation de méthodes d</w:t>
      </w:r>
      <w:r w:rsidR="002C17F7">
        <w:rPr>
          <w:lang w:val="fr-FR"/>
        </w:rPr>
        <w:t>’</w:t>
      </w:r>
      <w:r w:rsidRPr="00631B11">
        <w:rPr>
          <w:lang w:val="fr-FR"/>
        </w:rPr>
        <w:t xml:space="preserve">expérimentation non animales </w:t>
      </w:r>
      <w:r>
        <w:rPr>
          <w:lang w:val="fr-FR"/>
        </w:rPr>
        <w:br/>
      </w:r>
      <w:r w:rsidRPr="00631B11">
        <w:rPr>
          <w:lang w:val="fr-FR"/>
        </w:rPr>
        <w:t>pour le classement des dangers pour la santé</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E1015D" w:rsidRPr="007C5E0D" w14:paraId="67A4631A" w14:textId="77777777" w:rsidTr="004B58F2">
        <w:tc>
          <w:tcPr>
            <w:tcW w:w="2557" w:type="dxa"/>
          </w:tcPr>
          <w:p w14:paraId="0900A2A4" w14:textId="77777777" w:rsidR="00E1015D" w:rsidRPr="007D288C" w:rsidRDefault="00E1015D" w:rsidP="004B58F2">
            <w:pPr>
              <w:spacing w:before="40" w:after="40"/>
              <w:rPr>
                <w:lang w:val="fr-FR"/>
              </w:rPr>
            </w:pPr>
            <w:r>
              <w:rPr>
                <w:lang w:val="fr-FR"/>
              </w:rPr>
              <w:t xml:space="preserve">ST/SG/AC.10/C.4/2021/4 et document informel INF.3 </w:t>
            </w:r>
            <w:r>
              <w:rPr>
                <w:lang w:val="fr-FR"/>
              </w:rPr>
              <w:br/>
              <w:t>(Pays-Bas, Royaume-Uni)</w:t>
            </w:r>
          </w:p>
        </w:tc>
        <w:tc>
          <w:tcPr>
            <w:tcW w:w="4257" w:type="dxa"/>
          </w:tcPr>
          <w:p w14:paraId="786C23C0" w14:textId="51F17F45" w:rsidR="00E1015D" w:rsidRPr="007D288C" w:rsidRDefault="00E1015D" w:rsidP="004B58F2">
            <w:pPr>
              <w:spacing w:before="40" w:after="40"/>
              <w:rPr>
                <w:lang w:val="fr-FR"/>
              </w:rPr>
            </w:pPr>
            <w:r>
              <w:rPr>
                <w:lang w:val="fr-FR"/>
              </w:rPr>
              <w:t>Révision du chapitre 3.3 du SGH visant à y intégrer pleinement les méthodes d</w:t>
            </w:r>
            <w:r w:rsidR="002C17F7">
              <w:rPr>
                <w:lang w:val="fr-FR"/>
              </w:rPr>
              <w:t>’</w:t>
            </w:r>
            <w:r>
              <w:rPr>
                <w:lang w:val="fr-FR"/>
              </w:rPr>
              <w:t>expérimentation non animales</w:t>
            </w:r>
          </w:p>
        </w:tc>
      </w:tr>
      <w:tr w:rsidR="00E1015D" w:rsidRPr="007C5E0D" w14:paraId="35D30A32" w14:textId="77777777" w:rsidTr="004B58F2">
        <w:tc>
          <w:tcPr>
            <w:tcW w:w="2557" w:type="dxa"/>
          </w:tcPr>
          <w:p w14:paraId="287ABB15" w14:textId="77777777" w:rsidR="00E1015D" w:rsidRPr="007D288C" w:rsidRDefault="00E1015D" w:rsidP="004B58F2">
            <w:pPr>
              <w:spacing w:before="40" w:after="40"/>
              <w:rPr>
                <w:lang w:val="fr-FR"/>
              </w:rPr>
            </w:pPr>
            <w:r>
              <w:rPr>
                <w:lang w:val="fr-FR"/>
              </w:rPr>
              <w:lastRenderedPageBreak/>
              <w:t xml:space="preserve">ST/SG/AC.10/C.4/2021/5 et document informel INF.4 </w:t>
            </w:r>
            <w:r>
              <w:rPr>
                <w:lang w:val="fr-FR"/>
              </w:rPr>
              <w:br/>
              <w:t xml:space="preserve">(Pays-Bas, Royaume-Uni) </w:t>
            </w:r>
          </w:p>
        </w:tc>
        <w:tc>
          <w:tcPr>
            <w:tcW w:w="4257" w:type="dxa"/>
          </w:tcPr>
          <w:p w14:paraId="0767D7EB" w14:textId="49ED10FB" w:rsidR="00E1015D" w:rsidRPr="007D288C" w:rsidRDefault="00E1015D" w:rsidP="004B58F2">
            <w:pPr>
              <w:spacing w:before="40" w:after="40"/>
              <w:rPr>
                <w:rFonts w:eastAsia="MS Mincho"/>
                <w:lang w:val="fr-FR"/>
              </w:rPr>
            </w:pPr>
            <w:r>
              <w:rPr>
                <w:lang w:val="fr-FR"/>
              </w:rPr>
              <w:t>Amendements de conséquence aux chapitres 1.2 et 3.2 découlant de la révision du chapitre 3.3 du SGH visant à y intégrer pleinement les méthodes d</w:t>
            </w:r>
            <w:r w:rsidR="002C17F7">
              <w:rPr>
                <w:lang w:val="fr-FR"/>
              </w:rPr>
              <w:t>’</w:t>
            </w:r>
            <w:r>
              <w:rPr>
                <w:lang w:val="fr-FR"/>
              </w:rPr>
              <w:t>expérimentation non animales</w:t>
            </w:r>
          </w:p>
        </w:tc>
      </w:tr>
    </w:tbl>
    <w:p w14:paraId="67C9020A" w14:textId="690FBB55" w:rsidR="00E1015D" w:rsidRPr="007D288C" w:rsidRDefault="00E1015D" w:rsidP="00E1015D">
      <w:pPr>
        <w:pStyle w:val="H1G"/>
        <w:rPr>
          <w:lang w:val="fr-FR"/>
        </w:rPr>
      </w:pPr>
      <w:r>
        <w:rPr>
          <w:lang w:val="fr-FR"/>
        </w:rPr>
        <w:tab/>
        <w:t>d)</w:t>
      </w:r>
      <w:r>
        <w:rPr>
          <w:lang w:val="fr-FR"/>
        </w:rPr>
        <w:tab/>
        <w:t>Classification des sensibilisants cutanés à l</w:t>
      </w:r>
      <w:r w:rsidR="002C17F7">
        <w:rPr>
          <w:lang w:val="fr-FR"/>
        </w:rPr>
        <w:t>’</w:t>
      </w:r>
      <w:r>
        <w:rPr>
          <w:lang w:val="fr-FR"/>
        </w:rPr>
        <w:t>aide des résultats des méthodes d</w:t>
      </w:r>
      <w:r w:rsidR="002C17F7">
        <w:rPr>
          <w:lang w:val="fr-FR"/>
        </w:rPr>
        <w:t>’</w:t>
      </w:r>
      <w:r>
        <w:rPr>
          <w:lang w:val="fr-FR"/>
        </w:rPr>
        <w:t>essai des tests des ganglions lymphatiques locaux (LLNA) conformément à la ligne directrice de l</w:t>
      </w:r>
      <w:r w:rsidR="002C17F7">
        <w:rPr>
          <w:lang w:val="fr-FR"/>
        </w:rPr>
        <w:t>’</w:t>
      </w:r>
      <w:r>
        <w:rPr>
          <w:lang w:val="fr-FR"/>
        </w:rPr>
        <w:t>OCDE 442B</w:t>
      </w:r>
    </w:p>
    <w:p w14:paraId="25602CCD" w14:textId="559EA8D5" w:rsidR="00E1015D" w:rsidRPr="007D288C" w:rsidRDefault="00E1015D" w:rsidP="00E1015D">
      <w:pPr>
        <w:pStyle w:val="SingleTxtG"/>
        <w:rPr>
          <w:lang w:val="fr-FR"/>
        </w:rPr>
      </w:pPr>
      <w:r>
        <w:rPr>
          <w:lang w:val="fr-FR"/>
        </w:rPr>
        <w:t>L</w:t>
      </w:r>
      <w:r w:rsidR="002C17F7">
        <w:rPr>
          <w:lang w:val="fr-FR"/>
        </w:rPr>
        <w:t>’</w:t>
      </w:r>
      <w:r>
        <w:rPr>
          <w:lang w:val="fr-FR"/>
        </w:rPr>
        <w:t>expert du Japon souhaitera sans doute informer le Sous-Comité de l</w:t>
      </w:r>
      <w:r w:rsidR="002C17F7">
        <w:rPr>
          <w:lang w:val="fr-FR"/>
        </w:rPr>
        <w:t>’</w:t>
      </w:r>
      <w:r>
        <w:rPr>
          <w:lang w:val="fr-FR"/>
        </w:rPr>
        <w:t>état d</w:t>
      </w:r>
      <w:r w:rsidR="002C17F7">
        <w:rPr>
          <w:lang w:val="fr-FR"/>
        </w:rPr>
        <w:t>’</w:t>
      </w:r>
      <w:r>
        <w:rPr>
          <w:lang w:val="fr-FR"/>
        </w:rPr>
        <w:t>avancement des travaux sur cette question depuis la dernière session. Pour en savoir plus, on consultera le rapport du Sous-Comité sur sa trente-neuvième session (ST/SG/AC.10/78, par. 54 a)).</w:t>
      </w:r>
    </w:p>
    <w:p w14:paraId="75A36EEA" w14:textId="79E00533" w:rsidR="00E1015D" w:rsidRDefault="00E1015D" w:rsidP="00E1015D">
      <w:pPr>
        <w:pStyle w:val="H1G"/>
        <w:rPr>
          <w:lang w:val="fr-FR"/>
        </w:rPr>
      </w:pPr>
      <w:r>
        <w:rPr>
          <w:lang w:val="fr-FR"/>
        </w:rPr>
        <w:tab/>
        <w:t>e)</w:t>
      </w:r>
      <w:r>
        <w:rPr>
          <w:lang w:val="fr-FR"/>
        </w:rPr>
        <w:tab/>
        <w:t>Critères de classification de la mutagénicité sur les cellules germinales (sous-catégorie 1B)</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933182" w:rsidRPr="007C5E0D" w14:paraId="6B04666B" w14:textId="77777777" w:rsidTr="004B58F2">
        <w:tc>
          <w:tcPr>
            <w:tcW w:w="2557" w:type="dxa"/>
          </w:tcPr>
          <w:p w14:paraId="4DD543E0" w14:textId="77777777" w:rsidR="00933182" w:rsidRPr="007D288C" w:rsidRDefault="00933182" w:rsidP="004B58F2">
            <w:pPr>
              <w:spacing w:before="40" w:after="40"/>
              <w:rPr>
                <w:lang w:val="fr-FR"/>
              </w:rPr>
            </w:pPr>
            <w:r>
              <w:rPr>
                <w:lang w:val="fr-FR"/>
              </w:rPr>
              <w:t xml:space="preserve">ST/SG/AC.10/C.4/2021/3 </w:t>
            </w:r>
            <w:r>
              <w:rPr>
                <w:lang w:val="fr-FR"/>
              </w:rPr>
              <w:br/>
              <w:t xml:space="preserve">(Union européenne) </w:t>
            </w:r>
          </w:p>
        </w:tc>
        <w:tc>
          <w:tcPr>
            <w:tcW w:w="4257" w:type="dxa"/>
          </w:tcPr>
          <w:p w14:paraId="0999C417" w14:textId="77777777" w:rsidR="00933182" w:rsidRPr="007D288C" w:rsidRDefault="00933182" w:rsidP="004B58F2">
            <w:pPr>
              <w:spacing w:before="40" w:after="40"/>
              <w:rPr>
                <w:lang w:val="fr-FR"/>
              </w:rPr>
            </w:pPr>
            <w:r>
              <w:rPr>
                <w:lang w:val="fr-FR"/>
              </w:rPr>
              <w:t>Mandat et programme de travail du groupe de travail informel des critères de classification de la mutagénicité sur les cellules germinales</w:t>
            </w:r>
          </w:p>
        </w:tc>
      </w:tr>
    </w:tbl>
    <w:p w14:paraId="0023984C" w14:textId="77777777" w:rsidR="00E1015D" w:rsidRPr="007D288C" w:rsidRDefault="00E1015D" w:rsidP="00E1015D">
      <w:pPr>
        <w:pStyle w:val="H1G"/>
        <w:rPr>
          <w:lang w:val="fr-FR"/>
        </w:rPr>
      </w:pPr>
      <w:r>
        <w:rPr>
          <w:lang w:val="fr-FR"/>
        </w:rPr>
        <w:tab/>
        <w:t>f)</w:t>
      </w:r>
      <w:r>
        <w:rPr>
          <w:lang w:val="fr-FR"/>
        </w:rPr>
        <w:tab/>
        <w:t xml:space="preserve">Questions pratiques de classification (amendements proposés au SGH) </w:t>
      </w:r>
    </w:p>
    <w:p w14:paraId="70964378" w14:textId="36A81F77" w:rsidR="00E1015D" w:rsidRPr="007D288C" w:rsidRDefault="00E1015D" w:rsidP="00E1015D">
      <w:pPr>
        <w:pStyle w:val="SingleTxtG"/>
        <w:rPr>
          <w:lang w:val="fr-FR"/>
        </w:rPr>
      </w:pPr>
      <w:r>
        <w:rPr>
          <w:lang w:val="fr-FR"/>
        </w:rPr>
        <w:t>L</w:t>
      </w:r>
      <w:r w:rsidR="002C17F7">
        <w:rPr>
          <w:lang w:val="fr-FR"/>
        </w:rPr>
        <w:t>’</w:t>
      </w:r>
      <w:r>
        <w:rPr>
          <w:lang w:val="fr-FR"/>
        </w:rPr>
        <w:t>expert des États-Unis d</w:t>
      </w:r>
      <w:r w:rsidR="002C17F7">
        <w:rPr>
          <w:lang w:val="fr-FR"/>
        </w:rPr>
        <w:t>’</w:t>
      </w:r>
      <w:r>
        <w:rPr>
          <w:lang w:val="fr-FR"/>
        </w:rPr>
        <w:t>Amérique souhaitera sans doute informer le Sous-Comité de l</w:t>
      </w:r>
      <w:r w:rsidR="002C17F7">
        <w:rPr>
          <w:lang w:val="fr-FR"/>
        </w:rPr>
        <w:t>’</w:t>
      </w:r>
      <w:r>
        <w:rPr>
          <w:lang w:val="fr-FR"/>
        </w:rPr>
        <w:t>état d</w:t>
      </w:r>
      <w:r w:rsidR="002C17F7">
        <w:rPr>
          <w:lang w:val="fr-FR"/>
        </w:rPr>
        <w:t>’</w:t>
      </w:r>
      <w:r>
        <w:rPr>
          <w:lang w:val="fr-FR"/>
        </w:rPr>
        <w:t>avancement des travaux sur cette question depuis la dernière session. Pour en savoir plus, on consultera le rapport du Sous-Comité sur sa trente-neuvième session (ST/SG/AC.10/78, par. 54 b)).</w:t>
      </w:r>
    </w:p>
    <w:p w14:paraId="4FA744B6" w14:textId="77777777" w:rsidR="00E1015D" w:rsidRPr="007D288C" w:rsidRDefault="00E1015D" w:rsidP="00E1015D">
      <w:pPr>
        <w:pStyle w:val="H1G"/>
        <w:rPr>
          <w:lang w:val="fr-FR"/>
        </w:rPr>
      </w:pPr>
      <w:r>
        <w:rPr>
          <w:lang w:val="fr-FR"/>
        </w:rPr>
        <w:tab/>
        <w:t>g)</w:t>
      </w:r>
      <w:r>
        <w:rPr>
          <w:lang w:val="fr-FR"/>
        </w:rPr>
        <w:tab/>
        <w:t>Nanomatériaux</w:t>
      </w:r>
    </w:p>
    <w:p w14:paraId="5F03D48E" w14:textId="64A2E9E5" w:rsidR="00E1015D" w:rsidRPr="007D288C" w:rsidRDefault="00E1015D" w:rsidP="00E1015D">
      <w:pPr>
        <w:pStyle w:val="SingleTxtG"/>
        <w:rPr>
          <w:lang w:val="fr-FR"/>
        </w:rPr>
      </w:pPr>
      <w:r>
        <w:rPr>
          <w:lang w:val="fr-FR"/>
        </w:rPr>
        <w:t>Aucun document n</w:t>
      </w:r>
      <w:r w:rsidR="002C17F7">
        <w:rPr>
          <w:lang w:val="fr-FR"/>
        </w:rPr>
        <w:t>’</w:t>
      </w:r>
      <w:r>
        <w:rPr>
          <w:lang w:val="fr-FR"/>
        </w:rPr>
        <w:t>avait été soumis au titre de ce point de l</w:t>
      </w:r>
      <w:r w:rsidR="002C17F7">
        <w:rPr>
          <w:lang w:val="fr-FR"/>
        </w:rPr>
        <w:t>’</w:t>
      </w:r>
      <w:r>
        <w:rPr>
          <w:lang w:val="fr-FR"/>
        </w:rPr>
        <w:t xml:space="preserve">ordre du jour au moment de la rédaction du présent document. </w:t>
      </w:r>
    </w:p>
    <w:p w14:paraId="30FE2EA4" w14:textId="539A47C6" w:rsidR="00E1015D" w:rsidRDefault="00E1015D" w:rsidP="00E1015D">
      <w:pPr>
        <w:pStyle w:val="H1G"/>
        <w:rPr>
          <w:lang w:val="fr-FR"/>
        </w:rPr>
      </w:pPr>
      <w:r>
        <w:rPr>
          <w:lang w:val="fr-FR"/>
        </w:rPr>
        <w:tab/>
        <w:t>h)</w:t>
      </w:r>
      <w:r>
        <w:rPr>
          <w:lang w:val="fr-FR"/>
        </w:rPr>
        <w:tab/>
        <w:t xml:space="preserve">Amélioration des annexes 1 à 3 et poursuite </w:t>
      </w:r>
      <w:r w:rsidR="00933182">
        <w:rPr>
          <w:lang w:val="fr-FR"/>
        </w:rPr>
        <w:br/>
      </w:r>
      <w:r>
        <w:rPr>
          <w:lang w:val="fr-FR"/>
        </w:rPr>
        <w:t>de la rationalisation des</w:t>
      </w:r>
      <w:r w:rsidR="00933182">
        <w:rPr>
          <w:lang w:val="fr-FR"/>
        </w:rPr>
        <w:t> </w:t>
      </w:r>
      <w:r>
        <w:rPr>
          <w:lang w:val="fr-FR"/>
        </w:rPr>
        <w:t>conseils de prudence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933182" w:rsidRPr="007C5E0D" w14:paraId="1F0C4684" w14:textId="77777777" w:rsidTr="004B58F2">
        <w:tc>
          <w:tcPr>
            <w:tcW w:w="2557" w:type="dxa"/>
          </w:tcPr>
          <w:p w14:paraId="7C8677DC" w14:textId="77777777" w:rsidR="00933182" w:rsidRPr="007D288C" w:rsidRDefault="00933182" w:rsidP="004B58F2">
            <w:pPr>
              <w:spacing w:before="40" w:after="40"/>
              <w:rPr>
                <w:lang w:val="fr-FR"/>
              </w:rPr>
            </w:pPr>
            <w:r>
              <w:rPr>
                <w:lang w:val="fr-FR"/>
              </w:rPr>
              <w:t xml:space="preserve">ST/SG/AC.10/C.4/2021/1 (Royaume-Uni) </w:t>
            </w:r>
          </w:p>
        </w:tc>
        <w:tc>
          <w:tcPr>
            <w:tcW w:w="4257" w:type="dxa"/>
          </w:tcPr>
          <w:p w14:paraId="4DB11F58" w14:textId="1F04779D" w:rsidR="00933182" w:rsidRPr="007D288C" w:rsidRDefault="00933182" w:rsidP="004B58F2">
            <w:pPr>
              <w:spacing w:before="40" w:after="40"/>
              <w:rPr>
                <w:lang w:val="fr-FR"/>
              </w:rPr>
            </w:pPr>
            <w:r>
              <w:rPr>
                <w:lang w:val="fr-FR"/>
              </w:rPr>
              <w:t>Modifications des mentions et conseils combinés des sections 1, 2 et 3 de l</w:t>
            </w:r>
            <w:r w:rsidR="002C17F7">
              <w:rPr>
                <w:lang w:val="fr-FR"/>
              </w:rPr>
              <w:t>’</w:t>
            </w:r>
            <w:r>
              <w:rPr>
                <w:lang w:val="fr-FR"/>
              </w:rPr>
              <w:t>annexe 3</w:t>
            </w:r>
          </w:p>
        </w:tc>
      </w:tr>
      <w:tr w:rsidR="00933182" w:rsidRPr="007C5E0D" w14:paraId="7AFF229C" w14:textId="77777777" w:rsidTr="004B58F2">
        <w:tc>
          <w:tcPr>
            <w:tcW w:w="2557" w:type="dxa"/>
          </w:tcPr>
          <w:p w14:paraId="34F9FDBC" w14:textId="77777777" w:rsidR="00933182" w:rsidRPr="007D288C" w:rsidRDefault="00933182" w:rsidP="004B58F2">
            <w:pPr>
              <w:spacing w:before="40" w:after="40"/>
              <w:rPr>
                <w:lang w:val="fr-FR"/>
              </w:rPr>
            </w:pPr>
            <w:r>
              <w:rPr>
                <w:lang w:val="fr-FR"/>
              </w:rPr>
              <w:t xml:space="preserve">ST/SG/AC.10/C.4/2021/2 (Royaume-Uni) </w:t>
            </w:r>
          </w:p>
        </w:tc>
        <w:tc>
          <w:tcPr>
            <w:tcW w:w="4257" w:type="dxa"/>
          </w:tcPr>
          <w:p w14:paraId="7587EF95" w14:textId="46D4B92D" w:rsidR="00933182" w:rsidRPr="007D288C" w:rsidRDefault="00933182" w:rsidP="004B58F2">
            <w:pPr>
              <w:spacing w:before="40" w:after="40"/>
              <w:rPr>
                <w:lang w:val="fr-FR"/>
              </w:rPr>
            </w:pPr>
            <w:r>
              <w:rPr>
                <w:lang w:val="fr-FR"/>
              </w:rPr>
              <w:t>Modifications à apporter aux sections 2 et 3 de l</w:t>
            </w:r>
            <w:r w:rsidR="002C17F7">
              <w:rPr>
                <w:lang w:val="fr-FR"/>
              </w:rPr>
              <w:t>’</w:t>
            </w:r>
            <w:r>
              <w:rPr>
                <w:lang w:val="fr-FR"/>
              </w:rPr>
              <w:t>annexe 3</w:t>
            </w:r>
          </w:p>
        </w:tc>
      </w:tr>
    </w:tbl>
    <w:p w14:paraId="0BAA4818" w14:textId="450C5721" w:rsidR="00E1015D" w:rsidRDefault="00E1015D" w:rsidP="00E1015D">
      <w:pPr>
        <w:pStyle w:val="H1G"/>
        <w:rPr>
          <w:lang w:val="fr-FR"/>
        </w:rPr>
      </w:pPr>
      <w:r>
        <w:rPr>
          <w:lang w:val="fr-FR"/>
        </w:rPr>
        <w:tab/>
        <w:t>i)</w:t>
      </w:r>
      <w:r>
        <w:rPr>
          <w:lang w:val="fr-FR"/>
        </w:rPr>
        <w:tab/>
        <w:t>Autres questions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933182" w:rsidRPr="007C5E0D" w14:paraId="508F6E47" w14:textId="77777777" w:rsidTr="004B58F2">
        <w:tc>
          <w:tcPr>
            <w:tcW w:w="2557" w:type="dxa"/>
          </w:tcPr>
          <w:p w14:paraId="4F85DD24" w14:textId="401F753E" w:rsidR="00933182" w:rsidRPr="00933182" w:rsidRDefault="00933182" w:rsidP="004B58F2">
            <w:pPr>
              <w:spacing w:before="40" w:after="40"/>
              <w:rPr>
                <w:lang w:val="en-US"/>
              </w:rPr>
            </w:pPr>
            <w:r w:rsidRPr="00933182">
              <w:rPr>
                <w:lang w:val="en-US"/>
              </w:rPr>
              <w:t xml:space="preserve">ST/SG/AC.10/C.4/2021/6 </w:t>
            </w:r>
            <w:r>
              <w:rPr>
                <w:lang w:val="en-US"/>
              </w:rPr>
              <w:br/>
            </w:r>
            <w:r w:rsidRPr="00933182">
              <w:rPr>
                <w:lang w:val="en-US"/>
              </w:rPr>
              <w:t xml:space="preserve">(Suède) </w:t>
            </w:r>
          </w:p>
        </w:tc>
        <w:tc>
          <w:tcPr>
            <w:tcW w:w="4257" w:type="dxa"/>
          </w:tcPr>
          <w:p w14:paraId="5D819DCB" w14:textId="77777777" w:rsidR="00933182" w:rsidRPr="007D288C" w:rsidRDefault="00933182" w:rsidP="004B58F2">
            <w:pPr>
              <w:spacing w:before="40" w:after="40"/>
              <w:rPr>
                <w:lang w:val="fr-FR"/>
              </w:rPr>
            </w:pPr>
            <w:r>
              <w:rPr>
                <w:lang w:val="fr-FR"/>
              </w:rPr>
              <w:t>Harmonisation du chapitre 2.17 avec le chapitre 2.1 : correction à apporter au SGH Rev.9</w:t>
            </w:r>
          </w:p>
        </w:tc>
      </w:tr>
    </w:tbl>
    <w:p w14:paraId="315F6F6D" w14:textId="77777777" w:rsidR="00E1015D" w:rsidRPr="007D288C" w:rsidRDefault="00E1015D" w:rsidP="00E1015D">
      <w:pPr>
        <w:pStyle w:val="HChG"/>
        <w:rPr>
          <w:lang w:val="fr-FR"/>
        </w:rPr>
      </w:pPr>
      <w:r>
        <w:rPr>
          <w:lang w:val="fr-FR"/>
        </w:rPr>
        <w:tab/>
        <w:t>3.</w:t>
      </w:r>
      <w:r>
        <w:rPr>
          <w:lang w:val="fr-FR"/>
        </w:rPr>
        <w:tab/>
        <w:t>Mise en œuvre du SGH</w:t>
      </w:r>
    </w:p>
    <w:p w14:paraId="35426E5B" w14:textId="0AC3F775" w:rsidR="00E1015D" w:rsidRPr="007D288C" w:rsidRDefault="00E1015D" w:rsidP="00E1015D">
      <w:pPr>
        <w:pStyle w:val="H1G"/>
        <w:rPr>
          <w:lang w:val="fr-FR"/>
        </w:rPr>
      </w:pPr>
      <w:r>
        <w:rPr>
          <w:lang w:val="fr-FR"/>
        </w:rPr>
        <w:tab/>
        <w:t>a)</w:t>
      </w:r>
      <w:r>
        <w:rPr>
          <w:lang w:val="fr-FR"/>
        </w:rPr>
        <w:tab/>
        <w:t>Élaboration éventuelle d</w:t>
      </w:r>
      <w:r w:rsidR="002C17F7">
        <w:rPr>
          <w:lang w:val="fr-FR"/>
        </w:rPr>
        <w:t>’</w:t>
      </w:r>
      <w:r>
        <w:rPr>
          <w:lang w:val="fr-FR"/>
        </w:rPr>
        <w:t>une liste des produits chimiques classés conformément au SGH</w:t>
      </w:r>
    </w:p>
    <w:p w14:paraId="50907705" w14:textId="4D9723A6" w:rsidR="00E1015D" w:rsidRPr="007D288C" w:rsidRDefault="00E1015D" w:rsidP="00E1015D">
      <w:pPr>
        <w:pStyle w:val="SingleTxtG"/>
        <w:rPr>
          <w:lang w:val="fr-FR"/>
        </w:rPr>
      </w:pPr>
      <w:r>
        <w:rPr>
          <w:lang w:val="fr-FR"/>
        </w:rPr>
        <w:t>Les experts du Canada et des États-Unis d</w:t>
      </w:r>
      <w:r w:rsidR="002C17F7">
        <w:rPr>
          <w:lang w:val="fr-FR"/>
        </w:rPr>
        <w:t>’</w:t>
      </w:r>
      <w:r>
        <w:rPr>
          <w:lang w:val="fr-FR"/>
        </w:rPr>
        <w:t>Amérique souhaiteront sans doute informer le Sous-Comité de l</w:t>
      </w:r>
      <w:r w:rsidR="002C17F7">
        <w:rPr>
          <w:lang w:val="fr-FR"/>
        </w:rPr>
        <w:t>’</w:t>
      </w:r>
      <w:r>
        <w:rPr>
          <w:lang w:val="fr-FR"/>
        </w:rPr>
        <w:t>état d</w:t>
      </w:r>
      <w:r w:rsidR="002C17F7">
        <w:rPr>
          <w:lang w:val="fr-FR"/>
        </w:rPr>
        <w:t>’</w:t>
      </w:r>
      <w:r>
        <w:rPr>
          <w:lang w:val="fr-FR"/>
        </w:rPr>
        <w:t xml:space="preserve">avancement des travaux sur cette question depuis la dernière session. </w:t>
      </w:r>
      <w:r>
        <w:rPr>
          <w:lang w:val="fr-FR"/>
        </w:rPr>
        <w:lastRenderedPageBreak/>
        <w:t>Pour en savoir plus, on consultera le rapport du Sous-Comité sur sa trente-neuvième session (ST/SG/AC.10/78, par. 44).</w:t>
      </w:r>
    </w:p>
    <w:p w14:paraId="5132CC1D" w14:textId="3126301F" w:rsidR="00E1015D" w:rsidRDefault="00E1015D" w:rsidP="00E1015D">
      <w:pPr>
        <w:pStyle w:val="H1G"/>
        <w:rPr>
          <w:lang w:val="fr-FR"/>
        </w:rPr>
      </w:pPr>
      <w:r>
        <w:rPr>
          <w:lang w:val="fr-FR"/>
        </w:rPr>
        <w:tab/>
        <w:t>b)</w:t>
      </w:r>
      <w:r>
        <w:rPr>
          <w:lang w:val="fr-FR"/>
        </w:rPr>
        <w:tab/>
        <w:t>Rapports relatifs à l</w:t>
      </w:r>
      <w:r w:rsidR="002C17F7">
        <w:rPr>
          <w:lang w:val="fr-FR"/>
        </w:rPr>
        <w:t>’</w:t>
      </w:r>
      <w:r>
        <w:rPr>
          <w:lang w:val="fr-FR"/>
        </w:rPr>
        <w:t>état de la mise en œuvre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933182" w:rsidRPr="007C5E0D" w14:paraId="387EE464" w14:textId="77777777" w:rsidTr="004B58F2">
        <w:tc>
          <w:tcPr>
            <w:tcW w:w="2557" w:type="dxa"/>
          </w:tcPr>
          <w:p w14:paraId="196DF784" w14:textId="77777777" w:rsidR="00933182" w:rsidRPr="007D288C" w:rsidRDefault="00933182" w:rsidP="004B58F2">
            <w:pPr>
              <w:spacing w:before="40" w:after="40"/>
              <w:rPr>
                <w:lang w:val="fr-FR"/>
              </w:rPr>
            </w:pPr>
            <w:bookmarkStart w:id="0" w:name="_Hlk72236420"/>
            <w:r>
              <w:rPr>
                <w:lang w:val="fr-FR"/>
              </w:rPr>
              <w:t>Document informel INF.5 (Afrique du Sud)</w:t>
            </w:r>
          </w:p>
        </w:tc>
        <w:tc>
          <w:tcPr>
            <w:tcW w:w="4257" w:type="dxa"/>
          </w:tcPr>
          <w:p w14:paraId="2ABD3AA0" w14:textId="77777777" w:rsidR="00933182" w:rsidRPr="007D288C" w:rsidRDefault="00933182" w:rsidP="004B58F2">
            <w:pPr>
              <w:spacing w:before="40" w:after="40"/>
              <w:rPr>
                <w:lang w:val="fr-FR"/>
              </w:rPr>
            </w:pPr>
            <w:r>
              <w:rPr>
                <w:lang w:val="fr-FR"/>
              </w:rPr>
              <w:t>Report on the implementation of the GHS in South Africa (rapport sur la mise en œuvre du SGH en Afrique du Sud)</w:t>
            </w:r>
          </w:p>
        </w:tc>
      </w:tr>
    </w:tbl>
    <w:bookmarkEnd w:id="0"/>
    <w:p w14:paraId="524228F1" w14:textId="23DDA5FD" w:rsidR="00E1015D" w:rsidRPr="007D288C" w:rsidRDefault="00E1015D" w:rsidP="000810BA">
      <w:pPr>
        <w:pStyle w:val="SingleTxtG"/>
        <w:spacing w:before="240"/>
        <w:rPr>
          <w:lang w:val="fr-FR"/>
        </w:rPr>
      </w:pPr>
      <w:r>
        <w:rPr>
          <w:lang w:val="fr-FR"/>
        </w:rPr>
        <w:t>D</w:t>
      </w:r>
      <w:r w:rsidR="002C17F7">
        <w:rPr>
          <w:lang w:val="fr-FR"/>
        </w:rPr>
        <w:t>’</w:t>
      </w:r>
      <w:r>
        <w:rPr>
          <w:lang w:val="fr-FR"/>
        </w:rPr>
        <w:t>autres experts, observateurs et organisations internationales voudront sans doute informer le Sous-Comité de l</w:t>
      </w:r>
      <w:r w:rsidR="002C17F7">
        <w:rPr>
          <w:lang w:val="fr-FR"/>
        </w:rPr>
        <w:t>’</w:t>
      </w:r>
      <w:r>
        <w:rPr>
          <w:lang w:val="fr-FR"/>
        </w:rPr>
        <w:t>état d</w:t>
      </w:r>
      <w:r w:rsidR="002C17F7">
        <w:rPr>
          <w:lang w:val="fr-FR"/>
        </w:rPr>
        <w:t>’</w:t>
      </w:r>
      <w:r>
        <w:rPr>
          <w:lang w:val="fr-FR"/>
        </w:rPr>
        <w:t>avancement de la mise en œuvre du SGH dans leurs pays ou domaines de travail respectifs.</w:t>
      </w:r>
    </w:p>
    <w:p w14:paraId="4F298ED3" w14:textId="6731174C" w:rsidR="00E1015D" w:rsidRPr="007D288C" w:rsidRDefault="00E1015D" w:rsidP="00E1015D">
      <w:pPr>
        <w:pStyle w:val="H1G"/>
        <w:rPr>
          <w:lang w:val="fr-FR"/>
        </w:rPr>
      </w:pPr>
      <w:r>
        <w:rPr>
          <w:lang w:val="fr-FR"/>
        </w:rPr>
        <w:tab/>
        <w:t>c)</w:t>
      </w:r>
      <w:r>
        <w:rPr>
          <w:lang w:val="fr-FR"/>
        </w:rPr>
        <w:tab/>
        <w:t>Coopération avec d</w:t>
      </w:r>
      <w:r w:rsidR="002C17F7">
        <w:rPr>
          <w:lang w:val="fr-FR"/>
        </w:rPr>
        <w:t>’</w:t>
      </w:r>
      <w:r>
        <w:rPr>
          <w:lang w:val="fr-FR"/>
        </w:rPr>
        <w:t>autres organes ou organisations internationales</w:t>
      </w:r>
    </w:p>
    <w:p w14:paraId="0859165D" w14:textId="7E5E4912" w:rsidR="00E1015D" w:rsidRPr="007D288C" w:rsidRDefault="00E1015D" w:rsidP="00E1015D">
      <w:pPr>
        <w:pStyle w:val="SingleTxtG"/>
        <w:rPr>
          <w:lang w:val="fr-FR"/>
        </w:rPr>
      </w:pPr>
      <w:r>
        <w:rPr>
          <w:lang w:val="fr-FR"/>
        </w:rPr>
        <w:t>Aucun document n</w:t>
      </w:r>
      <w:r w:rsidR="002C17F7">
        <w:rPr>
          <w:lang w:val="fr-FR"/>
        </w:rPr>
        <w:t>’</w:t>
      </w:r>
      <w:r>
        <w:rPr>
          <w:lang w:val="fr-FR"/>
        </w:rPr>
        <w:t>avait été soumis au titre de ce point de l</w:t>
      </w:r>
      <w:r w:rsidR="002C17F7">
        <w:rPr>
          <w:lang w:val="fr-FR"/>
        </w:rPr>
        <w:t>’</w:t>
      </w:r>
      <w:r>
        <w:rPr>
          <w:lang w:val="fr-FR"/>
        </w:rPr>
        <w:t xml:space="preserve">ordre du jour au moment de la rédaction du présent document. </w:t>
      </w:r>
    </w:p>
    <w:p w14:paraId="5CBB9BDD" w14:textId="395C253B" w:rsidR="00E1015D" w:rsidRPr="007D288C" w:rsidRDefault="00E1015D" w:rsidP="00E1015D">
      <w:pPr>
        <w:pStyle w:val="H1G"/>
        <w:rPr>
          <w:lang w:val="fr-FR"/>
        </w:rPr>
      </w:pPr>
      <w:r>
        <w:rPr>
          <w:lang w:val="fr-FR"/>
        </w:rPr>
        <w:tab/>
        <w:t>d)</w:t>
      </w:r>
      <w:r>
        <w:rPr>
          <w:lang w:val="fr-FR"/>
        </w:rPr>
        <w:tab/>
        <w:t>Autres questions</w:t>
      </w:r>
    </w:p>
    <w:p w14:paraId="24576253" w14:textId="26EFB116" w:rsidR="00E1015D" w:rsidRPr="007D288C" w:rsidRDefault="00E1015D" w:rsidP="00E1015D">
      <w:pPr>
        <w:pStyle w:val="SingleTxtG"/>
        <w:rPr>
          <w:lang w:val="fr-FR"/>
        </w:rPr>
      </w:pPr>
      <w:r>
        <w:rPr>
          <w:lang w:val="fr-FR"/>
        </w:rPr>
        <w:t>Aucun document n</w:t>
      </w:r>
      <w:r w:rsidR="002C17F7">
        <w:rPr>
          <w:lang w:val="fr-FR"/>
        </w:rPr>
        <w:t>’</w:t>
      </w:r>
      <w:r>
        <w:rPr>
          <w:lang w:val="fr-FR"/>
        </w:rPr>
        <w:t>avait été soumis au titre de ce point de l</w:t>
      </w:r>
      <w:r w:rsidR="002C17F7">
        <w:rPr>
          <w:lang w:val="fr-FR"/>
        </w:rPr>
        <w:t>’</w:t>
      </w:r>
      <w:r>
        <w:rPr>
          <w:lang w:val="fr-FR"/>
        </w:rPr>
        <w:t xml:space="preserve">ordre du jour au moment de la rédaction du présent document. </w:t>
      </w:r>
    </w:p>
    <w:p w14:paraId="4763D95A" w14:textId="6C0C9B1F" w:rsidR="00E1015D" w:rsidRPr="007D288C" w:rsidRDefault="00E1015D" w:rsidP="00E1015D">
      <w:pPr>
        <w:pStyle w:val="HChG"/>
        <w:rPr>
          <w:lang w:val="fr-FR"/>
        </w:rPr>
      </w:pPr>
      <w:r>
        <w:rPr>
          <w:lang w:val="fr-FR"/>
        </w:rPr>
        <w:tab/>
        <w:t>4.</w:t>
      </w:r>
      <w:r>
        <w:rPr>
          <w:lang w:val="fr-FR"/>
        </w:rPr>
        <w:tab/>
        <w:t>Mise au point de directives pour l</w:t>
      </w:r>
      <w:r w:rsidR="002C17F7">
        <w:rPr>
          <w:lang w:val="fr-FR"/>
        </w:rPr>
        <w:t>’</w:t>
      </w:r>
      <w:r>
        <w:rPr>
          <w:lang w:val="fr-FR"/>
        </w:rPr>
        <w:t xml:space="preserve">application </w:t>
      </w:r>
      <w:r>
        <w:rPr>
          <w:lang w:val="fr-FR"/>
        </w:rPr>
        <w:br/>
        <w:t>des critères du SGH</w:t>
      </w:r>
    </w:p>
    <w:p w14:paraId="5C962B4F" w14:textId="4AB37087" w:rsidR="00E1015D" w:rsidRPr="007D288C" w:rsidRDefault="00E1015D" w:rsidP="00E1015D">
      <w:pPr>
        <w:pStyle w:val="H1G"/>
        <w:rPr>
          <w:lang w:val="fr-FR"/>
        </w:rPr>
      </w:pPr>
      <w:r>
        <w:rPr>
          <w:lang w:val="fr-FR"/>
        </w:rPr>
        <w:tab/>
        <w:t>a)</w:t>
      </w:r>
      <w:r>
        <w:rPr>
          <w:lang w:val="fr-FR"/>
        </w:rPr>
        <w:tab/>
        <w:t>Alignement de l</w:t>
      </w:r>
      <w:r w:rsidR="002C17F7">
        <w:rPr>
          <w:lang w:val="fr-FR"/>
        </w:rPr>
        <w:t>’</w:t>
      </w:r>
      <w:r>
        <w:rPr>
          <w:lang w:val="fr-FR"/>
        </w:rPr>
        <w:t>annexe 9 (sect. A9.7) et de l</w:t>
      </w:r>
      <w:r w:rsidR="002C17F7">
        <w:rPr>
          <w:lang w:val="fr-FR"/>
        </w:rPr>
        <w:t>’</w:t>
      </w:r>
      <w:r>
        <w:rPr>
          <w:lang w:val="fr-FR"/>
        </w:rPr>
        <w:t>annexe 10 sur les critères du chapitre 4.1</w:t>
      </w:r>
    </w:p>
    <w:p w14:paraId="080858D5" w14:textId="2FD68C7A" w:rsidR="00E1015D" w:rsidRPr="007D288C" w:rsidRDefault="00E1015D" w:rsidP="00E1015D">
      <w:pPr>
        <w:pStyle w:val="SingleTxtG"/>
        <w:rPr>
          <w:lang w:val="fr-FR"/>
        </w:rPr>
      </w:pPr>
      <w:r>
        <w:rPr>
          <w:lang w:val="fr-FR"/>
        </w:rPr>
        <w:t>Le représentant du Conseil international des mines et des métaux (CIMM) souhaitera sans doute informer le Sous-Comité de l</w:t>
      </w:r>
      <w:r w:rsidR="002C17F7">
        <w:rPr>
          <w:lang w:val="fr-FR"/>
        </w:rPr>
        <w:t>’</w:t>
      </w:r>
      <w:r>
        <w:rPr>
          <w:lang w:val="fr-FR"/>
        </w:rPr>
        <w:t>état d</w:t>
      </w:r>
      <w:r w:rsidR="002C17F7">
        <w:rPr>
          <w:lang w:val="fr-FR"/>
        </w:rPr>
        <w:t>’</w:t>
      </w:r>
      <w:r>
        <w:rPr>
          <w:lang w:val="fr-FR"/>
        </w:rPr>
        <w:t>avancement des travaux sur cette question depuis la dernière session. Pour en savoir plus, on consultera le rapport du Sous-Comité sur sa trente</w:t>
      </w:r>
      <w:r w:rsidR="002C17F7">
        <w:rPr>
          <w:lang w:val="fr-FR"/>
        </w:rPr>
        <w:noBreakHyphen/>
      </w:r>
      <w:r>
        <w:rPr>
          <w:lang w:val="fr-FR"/>
        </w:rPr>
        <w:t>neuvième session (ST/SG/AC.10/78, par. 42).</w:t>
      </w:r>
    </w:p>
    <w:p w14:paraId="4344A2C5" w14:textId="77777777" w:rsidR="00E1015D" w:rsidRPr="007D288C" w:rsidRDefault="00E1015D" w:rsidP="00E1015D">
      <w:pPr>
        <w:pStyle w:val="H1G"/>
        <w:rPr>
          <w:lang w:val="fr-FR"/>
        </w:rPr>
      </w:pPr>
      <w:r>
        <w:rPr>
          <w:lang w:val="fr-FR"/>
        </w:rPr>
        <w:tab/>
        <w:t>b)</w:t>
      </w:r>
      <w:r>
        <w:rPr>
          <w:lang w:val="fr-FR"/>
        </w:rPr>
        <w:tab/>
        <w:t>Questions pratiques de classification</w:t>
      </w:r>
    </w:p>
    <w:p w14:paraId="3B252CAB" w14:textId="401508C2" w:rsidR="00E1015D" w:rsidRPr="007D288C" w:rsidRDefault="00E1015D" w:rsidP="00E1015D">
      <w:pPr>
        <w:pStyle w:val="SingleTxtG"/>
        <w:rPr>
          <w:lang w:val="fr-FR"/>
        </w:rPr>
      </w:pPr>
      <w:r>
        <w:rPr>
          <w:lang w:val="fr-FR"/>
        </w:rPr>
        <w:t>L</w:t>
      </w:r>
      <w:r w:rsidR="002C17F7">
        <w:rPr>
          <w:lang w:val="fr-FR"/>
        </w:rPr>
        <w:t>’</w:t>
      </w:r>
      <w:r>
        <w:rPr>
          <w:lang w:val="fr-FR"/>
        </w:rPr>
        <w:t>expert des États-Unis d</w:t>
      </w:r>
      <w:r w:rsidR="002C17F7">
        <w:rPr>
          <w:lang w:val="fr-FR"/>
        </w:rPr>
        <w:t>’</w:t>
      </w:r>
      <w:r>
        <w:rPr>
          <w:lang w:val="fr-FR"/>
        </w:rPr>
        <w:t>Amérique souhaitera sans doute informer le Sous-Comité de l</w:t>
      </w:r>
      <w:r w:rsidR="002C17F7">
        <w:rPr>
          <w:lang w:val="fr-FR"/>
        </w:rPr>
        <w:t>’</w:t>
      </w:r>
      <w:r>
        <w:rPr>
          <w:lang w:val="fr-FR"/>
        </w:rPr>
        <w:t>état d</w:t>
      </w:r>
      <w:r w:rsidR="002C17F7">
        <w:rPr>
          <w:lang w:val="fr-FR"/>
        </w:rPr>
        <w:t>’</w:t>
      </w:r>
      <w:r>
        <w:rPr>
          <w:lang w:val="fr-FR"/>
        </w:rPr>
        <w:t>avancement de l</w:t>
      </w:r>
      <w:r w:rsidR="002C17F7">
        <w:rPr>
          <w:lang w:val="fr-FR"/>
        </w:rPr>
        <w:t>’</w:t>
      </w:r>
      <w:r>
        <w:rPr>
          <w:lang w:val="fr-FR"/>
        </w:rPr>
        <w:t>élaboration d</w:t>
      </w:r>
      <w:r w:rsidR="002C17F7">
        <w:rPr>
          <w:lang w:val="fr-FR"/>
        </w:rPr>
        <w:t>’</w:t>
      </w:r>
      <w:r>
        <w:rPr>
          <w:lang w:val="fr-FR"/>
        </w:rPr>
        <w:t>exemples concernant l</w:t>
      </w:r>
      <w:r w:rsidR="002C17F7">
        <w:rPr>
          <w:lang w:val="fr-FR"/>
        </w:rPr>
        <w:t>’</w:t>
      </w:r>
      <w:r>
        <w:rPr>
          <w:lang w:val="fr-FR"/>
        </w:rPr>
        <w:t>application des critères du SGH depuis la dernière session. Pour en savoir plus, on consultera le rapport du Sous-Comité sur sa trente-neuvième session (ST/SG/AC.10/78, par. 54 b) et annexe II, point 4 a)).</w:t>
      </w:r>
    </w:p>
    <w:p w14:paraId="1C2F7271" w14:textId="7F23777C" w:rsidR="00E1015D" w:rsidRPr="007D288C" w:rsidRDefault="00E1015D" w:rsidP="00E1015D">
      <w:pPr>
        <w:pStyle w:val="H1G"/>
        <w:rPr>
          <w:lang w:val="fr-FR"/>
        </w:rPr>
      </w:pPr>
      <w:r>
        <w:rPr>
          <w:lang w:val="fr-FR"/>
        </w:rPr>
        <w:tab/>
        <w:t>c)</w:t>
      </w:r>
      <w:r>
        <w:rPr>
          <w:lang w:val="fr-FR"/>
        </w:rPr>
        <w:tab/>
        <w:t>Questions pratiques d</w:t>
      </w:r>
      <w:r w:rsidR="002C17F7">
        <w:rPr>
          <w:lang w:val="fr-FR"/>
        </w:rPr>
        <w:t>’</w:t>
      </w:r>
      <w:r>
        <w:rPr>
          <w:lang w:val="fr-FR"/>
        </w:rPr>
        <w:t>étiquetage</w:t>
      </w:r>
    </w:p>
    <w:p w14:paraId="6346161E" w14:textId="0BE6F7C6" w:rsidR="00E1015D" w:rsidRPr="007D288C" w:rsidRDefault="00E1015D" w:rsidP="00E1015D">
      <w:pPr>
        <w:pStyle w:val="SingleTxtG"/>
        <w:rPr>
          <w:lang w:val="fr-FR"/>
        </w:rPr>
      </w:pPr>
      <w:r>
        <w:rPr>
          <w:lang w:val="fr-FR"/>
        </w:rPr>
        <w:t>Le représentant du Conseil européen de l</w:t>
      </w:r>
      <w:r w:rsidR="002C17F7">
        <w:rPr>
          <w:lang w:val="fr-FR"/>
        </w:rPr>
        <w:t>’</w:t>
      </w:r>
      <w:r>
        <w:rPr>
          <w:lang w:val="fr-FR"/>
        </w:rPr>
        <w:t>industrie chimique (CEFIC) souhaitera sans doute informer le Sous-Comité de l</w:t>
      </w:r>
      <w:r w:rsidR="002C17F7">
        <w:rPr>
          <w:lang w:val="fr-FR"/>
        </w:rPr>
        <w:t>’</w:t>
      </w:r>
      <w:r>
        <w:rPr>
          <w:lang w:val="fr-FR"/>
        </w:rPr>
        <w:t>état d</w:t>
      </w:r>
      <w:r w:rsidR="002C17F7">
        <w:rPr>
          <w:lang w:val="fr-FR"/>
        </w:rPr>
        <w:t>’</w:t>
      </w:r>
      <w:r>
        <w:rPr>
          <w:lang w:val="fr-FR"/>
        </w:rPr>
        <w:t>avancement des travaux sur cette question depuis la dernière session. Pour en savoir plus, on consultera le rapport du Sous-Comité sur sa trente</w:t>
      </w:r>
      <w:r w:rsidR="002C17F7">
        <w:rPr>
          <w:lang w:val="fr-FR"/>
        </w:rPr>
        <w:noBreakHyphen/>
      </w:r>
      <w:r>
        <w:rPr>
          <w:lang w:val="fr-FR"/>
        </w:rPr>
        <w:t>neuvième session (ST/SG/AC.10/78, par. 37).</w:t>
      </w:r>
    </w:p>
    <w:p w14:paraId="12CB582A" w14:textId="222557A0" w:rsidR="00E1015D" w:rsidRPr="007D288C" w:rsidRDefault="00E1015D" w:rsidP="00E1015D">
      <w:pPr>
        <w:pStyle w:val="H1G"/>
        <w:rPr>
          <w:lang w:val="fr-FR"/>
        </w:rPr>
      </w:pPr>
      <w:r>
        <w:rPr>
          <w:lang w:val="fr-FR"/>
        </w:rPr>
        <w:tab/>
        <w:t>d)</w:t>
      </w:r>
      <w:r>
        <w:rPr>
          <w:lang w:val="fr-FR"/>
        </w:rPr>
        <w:tab/>
        <w:t>Autres questions</w:t>
      </w:r>
    </w:p>
    <w:p w14:paraId="1E01FFE1" w14:textId="3CA5DA82" w:rsidR="00E1015D" w:rsidRPr="007D288C" w:rsidRDefault="00E1015D" w:rsidP="00E1015D">
      <w:pPr>
        <w:pStyle w:val="SingleTxtG"/>
        <w:rPr>
          <w:lang w:val="fr-FR"/>
        </w:rPr>
      </w:pPr>
      <w:r>
        <w:rPr>
          <w:lang w:val="fr-FR"/>
        </w:rPr>
        <w:t>Aucun document n</w:t>
      </w:r>
      <w:r w:rsidR="002C17F7">
        <w:rPr>
          <w:lang w:val="fr-FR"/>
        </w:rPr>
        <w:t>’</w:t>
      </w:r>
      <w:r>
        <w:rPr>
          <w:lang w:val="fr-FR"/>
        </w:rPr>
        <w:t>avait été soumis au titre de ce point de l</w:t>
      </w:r>
      <w:r w:rsidR="002C17F7">
        <w:rPr>
          <w:lang w:val="fr-FR"/>
        </w:rPr>
        <w:t>’</w:t>
      </w:r>
      <w:r>
        <w:rPr>
          <w:lang w:val="fr-FR"/>
        </w:rPr>
        <w:t xml:space="preserve">ordre du jour au moment de la rédaction du présent document. </w:t>
      </w:r>
    </w:p>
    <w:p w14:paraId="4DC20C31" w14:textId="77777777" w:rsidR="00E1015D" w:rsidRPr="007D288C" w:rsidRDefault="00E1015D" w:rsidP="00E1015D">
      <w:pPr>
        <w:pStyle w:val="HChG"/>
        <w:rPr>
          <w:lang w:val="fr-FR"/>
        </w:rPr>
      </w:pPr>
      <w:r>
        <w:rPr>
          <w:lang w:val="fr-FR"/>
        </w:rPr>
        <w:lastRenderedPageBreak/>
        <w:tab/>
        <w:t>5.</w:t>
      </w:r>
      <w:r>
        <w:rPr>
          <w:lang w:val="fr-FR"/>
        </w:rPr>
        <w:tab/>
        <w:t>Renforcement des capacités</w:t>
      </w:r>
    </w:p>
    <w:p w14:paraId="285A8925" w14:textId="77777777" w:rsidR="00E1015D" w:rsidRPr="007D288C" w:rsidRDefault="00E1015D" w:rsidP="00E1015D">
      <w:pPr>
        <w:pStyle w:val="SingleTxtG"/>
        <w:rPr>
          <w:lang w:val="fr-FR"/>
        </w:rPr>
      </w:pPr>
      <w:r>
        <w:rPr>
          <w:lang w:val="fr-FR"/>
        </w:rPr>
        <w:t>Les experts, observateurs et organisations internationales souhaiteront peut-être informer le Sous-Comité de toutes les activités et de tous les projets de renforcement des capacités entrepris en lien avec le SGH.</w:t>
      </w:r>
    </w:p>
    <w:p w14:paraId="344C2603" w14:textId="77777777" w:rsidR="00E1015D" w:rsidRPr="007D288C" w:rsidRDefault="00E1015D" w:rsidP="00E1015D">
      <w:pPr>
        <w:pStyle w:val="HChG"/>
        <w:rPr>
          <w:lang w:val="fr-FR"/>
        </w:rPr>
      </w:pPr>
      <w:r>
        <w:rPr>
          <w:lang w:val="fr-FR"/>
        </w:rPr>
        <w:tab/>
        <w:t>6.</w:t>
      </w:r>
      <w:r>
        <w:rPr>
          <w:lang w:val="fr-FR"/>
        </w:rPr>
        <w:tab/>
        <w:t>Questions diverses</w:t>
      </w:r>
    </w:p>
    <w:p w14:paraId="685B0533" w14:textId="4DE72B01" w:rsidR="00E1015D" w:rsidRPr="007D288C" w:rsidRDefault="00E1015D" w:rsidP="00E1015D">
      <w:pPr>
        <w:pStyle w:val="SingleTxtG"/>
        <w:rPr>
          <w:lang w:val="fr-FR"/>
        </w:rPr>
      </w:pPr>
      <w:r>
        <w:rPr>
          <w:lang w:val="fr-FR"/>
        </w:rPr>
        <w:t>Aucun document n</w:t>
      </w:r>
      <w:r w:rsidR="002C17F7">
        <w:rPr>
          <w:lang w:val="fr-FR"/>
        </w:rPr>
        <w:t>’</w:t>
      </w:r>
      <w:r>
        <w:rPr>
          <w:lang w:val="fr-FR"/>
        </w:rPr>
        <w:t>avait été soumis au titre de ce point de l</w:t>
      </w:r>
      <w:r w:rsidR="002C17F7">
        <w:rPr>
          <w:lang w:val="fr-FR"/>
        </w:rPr>
        <w:t>’</w:t>
      </w:r>
      <w:r>
        <w:rPr>
          <w:lang w:val="fr-FR"/>
        </w:rPr>
        <w:t xml:space="preserve">ordre du jour au moment de la rédaction du présent document. </w:t>
      </w:r>
    </w:p>
    <w:p w14:paraId="06E353A4" w14:textId="77777777" w:rsidR="00E1015D" w:rsidRPr="007D288C" w:rsidRDefault="00E1015D" w:rsidP="00E1015D">
      <w:pPr>
        <w:pStyle w:val="HChG"/>
        <w:rPr>
          <w:lang w:val="fr-FR"/>
        </w:rPr>
      </w:pPr>
      <w:r>
        <w:rPr>
          <w:lang w:val="fr-FR"/>
        </w:rPr>
        <w:tab/>
        <w:t>7.</w:t>
      </w:r>
      <w:r>
        <w:rPr>
          <w:lang w:val="fr-FR"/>
        </w:rPr>
        <w:tab/>
        <w:t>Adoption du rapport</w:t>
      </w:r>
    </w:p>
    <w:p w14:paraId="2FCEF526" w14:textId="276B6FD0" w:rsidR="00E1015D" w:rsidRDefault="00E1015D" w:rsidP="00E1015D">
      <w:pPr>
        <w:pStyle w:val="SingleTxtG"/>
      </w:pPr>
      <w:r>
        <w:rPr>
          <w:lang w:val="fr-FR"/>
        </w:rPr>
        <w:t>Conformément à l</w:t>
      </w:r>
      <w:r w:rsidR="002C17F7">
        <w:rPr>
          <w:lang w:val="fr-FR"/>
        </w:rPr>
        <w:t>’</w:t>
      </w:r>
      <w:r>
        <w:rPr>
          <w:lang w:val="fr-FR"/>
        </w:rPr>
        <w:t>usage, le Sous-Comité voudra sans doute adopter le rapport de sa quarantième session sur la base d</w:t>
      </w:r>
      <w:r w:rsidR="002C17F7">
        <w:rPr>
          <w:lang w:val="fr-FR"/>
        </w:rPr>
        <w:t>’</w:t>
      </w:r>
      <w:r>
        <w:rPr>
          <w:lang w:val="fr-FR"/>
        </w:rPr>
        <w:t>un projet établi par le secrétariat.</w:t>
      </w:r>
    </w:p>
    <w:p w14:paraId="5F7362D1" w14:textId="17C45C19" w:rsidR="00446FE5" w:rsidRPr="000810BA" w:rsidRDefault="000810BA" w:rsidP="000810BA">
      <w:pPr>
        <w:pStyle w:val="SingleTxtG"/>
        <w:spacing w:before="240" w:after="0"/>
        <w:jc w:val="center"/>
        <w:rPr>
          <w:u w:val="single"/>
        </w:rPr>
      </w:pPr>
      <w:r>
        <w:rPr>
          <w:u w:val="single"/>
        </w:rPr>
        <w:tab/>
      </w:r>
      <w:r>
        <w:rPr>
          <w:u w:val="single"/>
        </w:rPr>
        <w:tab/>
      </w:r>
      <w:r>
        <w:rPr>
          <w:u w:val="single"/>
        </w:rPr>
        <w:tab/>
      </w:r>
    </w:p>
    <w:sectPr w:rsidR="00446FE5" w:rsidRPr="000810BA" w:rsidSect="00E101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6B64" w14:textId="77777777" w:rsidR="00723312" w:rsidRDefault="00723312" w:rsidP="00F95C08">
      <w:pPr>
        <w:spacing w:line="240" w:lineRule="auto"/>
      </w:pPr>
    </w:p>
  </w:endnote>
  <w:endnote w:type="continuationSeparator" w:id="0">
    <w:p w14:paraId="0DCA2FDD" w14:textId="77777777" w:rsidR="00723312" w:rsidRPr="00AC3823" w:rsidRDefault="00723312" w:rsidP="00AC3823">
      <w:pPr>
        <w:pStyle w:val="Footer"/>
      </w:pPr>
    </w:p>
  </w:endnote>
  <w:endnote w:type="continuationNotice" w:id="1">
    <w:p w14:paraId="715DDD79" w14:textId="77777777" w:rsidR="00723312" w:rsidRDefault="00723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A454" w14:textId="05E3491E" w:rsidR="00E1015D" w:rsidRPr="00E1015D" w:rsidRDefault="00E1015D" w:rsidP="00E1015D">
    <w:pPr>
      <w:pStyle w:val="Footer"/>
      <w:tabs>
        <w:tab w:val="right" w:pos="9638"/>
      </w:tabs>
    </w:pPr>
    <w:r w:rsidRPr="00E1015D">
      <w:rPr>
        <w:b/>
        <w:sz w:val="18"/>
      </w:rPr>
      <w:fldChar w:fldCharType="begin"/>
    </w:r>
    <w:r w:rsidRPr="00E1015D">
      <w:rPr>
        <w:b/>
        <w:sz w:val="18"/>
      </w:rPr>
      <w:instrText xml:space="preserve"> PAGE  \* MERGEFORMAT </w:instrText>
    </w:r>
    <w:r w:rsidRPr="00E1015D">
      <w:rPr>
        <w:b/>
        <w:sz w:val="18"/>
      </w:rPr>
      <w:fldChar w:fldCharType="separate"/>
    </w:r>
    <w:r w:rsidRPr="00E1015D">
      <w:rPr>
        <w:b/>
        <w:noProof/>
        <w:sz w:val="18"/>
      </w:rPr>
      <w:t>2</w:t>
    </w:r>
    <w:r w:rsidRPr="00E1015D">
      <w:rPr>
        <w:b/>
        <w:sz w:val="18"/>
      </w:rPr>
      <w:fldChar w:fldCharType="end"/>
    </w:r>
    <w:r>
      <w:rPr>
        <w:b/>
        <w:sz w:val="18"/>
      </w:rPr>
      <w:tab/>
    </w:r>
    <w:r>
      <w:t>GE.21-05369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8D9C" w14:textId="24BB7D79" w:rsidR="00E1015D" w:rsidRPr="00E1015D" w:rsidRDefault="00E1015D" w:rsidP="00E1015D">
    <w:pPr>
      <w:pStyle w:val="Footer"/>
      <w:tabs>
        <w:tab w:val="right" w:pos="9638"/>
      </w:tabs>
      <w:rPr>
        <w:b/>
        <w:sz w:val="18"/>
      </w:rPr>
    </w:pPr>
    <w:r>
      <w:t>GE.21-05369</w:t>
    </w:r>
    <w:r>
      <w:tab/>
    </w:r>
    <w:r w:rsidRPr="00E1015D">
      <w:rPr>
        <w:b/>
        <w:sz w:val="18"/>
      </w:rPr>
      <w:fldChar w:fldCharType="begin"/>
    </w:r>
    <w:r w:rsidRPr="00E1015D">
      <w:rPr>
        <w:b/>
        <w:sz w:val="18"/>
      </w:rPr>
      <w:instrText xml:space="preserve"> PAGE  \* MERGEFORMAT </w:instrText>
    </w:r>
    <w:r w:rsidRPr="00E1015D">
      <w:rPr>
        <w:b/>
        <w:sz w:val="18"/>
      </w:rPr>
      <w:fldChar w:fldCharType="separate"/>
    </w:r>
    <w:r w:rsidRPr="00E1015D">
      <w:rPr>
        <w:b/>
        <w:noProof/>
        <w:sz w:val="18"/>
      </w:rPr>
      <w:t>3</w:t>
    </w:r>
    <w:r w:rsidRPr="00E101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7B7A" w14:textId="7FFEF1B8" w:rsidR="0068456F" w:rsidRPr="00E1015D" w:rsidRDefault="00E1015D" w:rsidP="00E1015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1C90FC0" wp14:editId="02CB4F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05369  (</w:t>
    </w:r>
    <w:proofErr w:type="gramEnd"/>
    <w:r>
      <w:rPr>
        <w:sz w:val="20"/>
      </w:rPr>
      <w:t>F)</w:t>
    </w:r>
    <w:r>
      <w:rPr>
        <w:noProof/>
        <w:sz w:val="20"/>
      </w:rPr>
      <w:drawing>
        <wp:anchor distT="0" distB="0" distL="114300" distR="114300" simplePos="0" relativeHeight="251660288" behindDoc="0" locked="0" layoutInCell="1" allowOverlap="1" wp14:anchorId="06F5C915" wp14:editId="2B9F72F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959D" w14:textId="77777777" w:rsidR="00723312" w:rsidRPr="00AC3823" w:rsidRDefault="00723312" w:rsidP="00AC3823">
      <w:pPr>
        <w:pStyle w:val="Footer"/>
        <w:tabs>
          <w:tab w:val="right" w:pos="2155"/>
        </w:tabs>
        <w:spacing w:after="80" w:line="240" w:lineRule="atLeast"/>
        <w:ind w:left="680"/>
        <w:rPr>
          <w:u w:val="single"/>
        </w:rPr>
      </w:pPr>
      <w:r>
        <w:rPr>
          <w:u w:val="single"/>
        </w:rPr>
        <w:tab/>
      </w:r>
    </w:p>
  </w:footnote>
  <w:footnote w:type="continuationSeparator" w:id="0">
    <w:p w14:paraId="1F8B37C6" w14:textId="77777777" w:rsidR="00723312" w:rsidRPr="00AC3823" w:rsidRDefault="00723312" w:rsidP="00AC3823">
      <w:pPr>
        <w:pStyle w:val="Footer"/>
        <w:tabs>
          <w:tab w:val="right" w:pos="2155"/>
        </w:tabs>
        <w:spacing w:after="80" w:line="240" w:lineRule="atLeast"/>
        <w:ind w:left="680"/>
        <w:rPr>
          <w:u w:val="single"/>
        </w:rPr>
      </w:pPr>
      <w:r>
        <w:rPr>
          <w:u w:val="single"/>
        </w:rPr>
        <w:tab/>
      </w:r>
    </w:p>
  </w:footnote>
  <w:footnote w:type="continuationNotice" w:id="1">
    <w:p w14:paraId="592AD1F3" w14:textId="77777777" w:rsidR="00723312" w:rsidRPr="00AC3823" w:rsidRDefault="00723312">
      <w:pPr>
        <w:spacing w:line="240" w:lineRule="auto"/>
        <w:rPr>
          <w:sz w:val="2"/>
          <w:szCs w:val="2"/>
        </w:rPr>
      </w:pPr>
    </w:p>
  </w:footnote>
  <w:footnote w:id="2">
    <w:p w14:paraId="1D1713FF" w14:textId="12421291" w:rsidR="00E1015D" w:rsidRPr="00E1015D" w:rsidRDefault="00E1015D" w:rsidP="00E1015D">
      <w:pPr>
        <w:pStyle w:val="FootnoteText"/>
        <w:rPr>
          <w:lang w:val="fr-FR"/>
        </w:rPr>
      </w:pPr>
      <w:r>
        <w:rPr>
          <w:lang w:val="fr-FR"/>
        </w:rPr>
        <w:tab/>
      </w:r>
      <w:r w:rsidRPr="00E86138">
        <w:rPr>
          <w:rStyle w:val="FootnoteReference"/>
        </w:rPr>
        <w:footnoteRef/>
      </w:r>
      <w:r>
        <w:rPr>
          <w:lang w:val="fr-FR"/>
        </w:rPr>
        <w:tab/>
      </w:r>
      <w:hyperlink r:id="rId1" w:history="1">
        <w:r w:rsidRPr="00137685">
          <w:rPr>
            <w:rStyle w:val="Hyperlink"/>
            <w:color w:val="auto"/>
            <w:lang w:val="fr-FR"/>
          </w:rPr>
          <w:t>https://unece.org/transport/events/ac10c4-ecosoc-sub-committee-experts-globally-harmonized-system-classification-2</w:t>
        </w:r>
      </w:hyperlink>
      <w:r>
        <w:rPr>
          <w:lang w:val="fr-FR"/>
        </w:rPr>
        <w:t>.</w:t>
      </w:r>
    </w:p>
  </w:footnote>
  <w:footnote w:id="3">
    <w:p w14:paraId="1966E07A" w14:textId="34A56030" w:rsidR="00E1015D" w:rsidRPr="007D288C" w:rsidRDefault="00E1015D" w:rsidP="00E1015D">
      <w:pPr>
        <w:pStyle w:val="FootnoteText"/>
        <w:rPr>
          <w:lang w:val="fr-FR"/>
        </w:rPr>
      </w:pPr>
      <w:r>
        <w:rPr>
          <w:lang w:val="fr-FR"/>
        </w:rPr>
        <w:tab/>
      </w:r>
      <w:r w:rsidRPr="00E86138">
        <w:rPr>
          <w:rStyle w:val="FootnoteReference"/>
        </w:rPr>
        <w:footnoteRef/>
      </w:r>
      <w:r>
        <w:rPr>
          <w:lang w:val="fr-FR"/>
        </w:rPr>
        <w:tab/>
        <w:t>Les représentants participant aux travaux du Sous-Comité SGH qui ne participent pas habituellement aux travaux du Sous-Comité TMD sont invités à participer aux travaux du Sous-Comité TMD quand celui-ci examine la question des dangers physiques en qualité de centre de liaison pour le SGH (voir ST/SG/AC.10/C.4/2, par. 43 b)). À sa cinquante-huitième session (28 juin-2 juillet 2021), le Sous</w:t>
      </w:r>
      <w:r w:rsidR="00137685">
        <w:rPr>
          <w:lang w:val="fr-FR"/>
        </w:rPr>
        <w:noBreakHyphen/>
      </w:r>
      <w:r>
        <w:rPr>
          <w:lang w:val="fr-FR"/>
        </w:rPr>
        <w:t>Comité TDM pourrait examiner des questions intéressant le Sous-Comité SGH. Tous les documents pour la session seront disponibles en ligne à l</w:t>
      </w:r>
      <w:r w:rsidR="002C17F7">
        <w:rPr>
          <w:lang w:val="fr-FR"/>
        </w:rPr>
        <w:t>’</w:t>
      </w:r>
      <w:r>
        <w:rPr>
          <w:lang w:val="fr-FR"/>
        </w:rPr>
        <w:t>adresse</w:t>
      </w:r>
      <w:r w:rsidR="00AD39F0">
        <w:rPr>
          <w:lang w:val="fr-FR"/>
        </w:rPr>
        <w:t> </w:t>
      </w:r>
      <w:r>
        <w:rPr>
          <w:lang w:val="fr-FR"/>
        </w:rPr>
        <w:t xml:space="preserve">: </w:t>
      </w:r>
      <w:hyperlink r:id="rId2" w:history="1">
        <w:r w:rsidRPr="00137685">
          <w:rPr>
            <w:rStyle w:val="Hyperlink"/>
            <w:color w:val="auto"/>
            <w:lang w:val="fr-FR"/>
          </w:rPr>
          <w:t>https://unece.org/transport/events/ac10c3-ecosoc-sub-committee-experts-transport-dangerous-goods-58th-session</w:t>
        </w:r>
      </w:hyperlink>
      <w:r>
        <w:rPr>
          <w:lang w:val="fr-FR"/>
        </w:rPr>
        <w:t>. Les représentants au Sous-Comité SGH qui souhaiteraient participer à ces travaux sont invités à s</w:t>
      </w:r>
      <w:r w:rsidR="002C17F7">
        <w:rPr>
          <w:lang w:val="fr-FR"/>
        </w:rPr>
        <w:t>’</w:t>
      </w:r>
      <w:r>
        <w:rPr>
          <w:lang w:val="fr-FR"/>
        </w:rPr>
        <w:t xml:space="preserve">inscrire à la session du Sous-Comité TMD.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E8B3" w14:textId="2EE45F2A" w:rsidR="00E1015D" w:rsidRPr="00E1015D" w:rsidRDefault="00723312">
    <w:pPr>
      <w:pStyle w:val="Header"/>
    </w:pPr>
    <w:r>
      <w:fldChar w:fldCharType="begin"/>
    </w:r>
    <w:r>
      <w:instrText xml:space="preserve"> TITLE  \* MERGEFORMAT </w:instrText>
    </w:r>
    <w:r>
      <w:fldChar w:fldCharType="separate"/>
    </w:r>
    <w:r w:rsidR="00535884">
      <w:t>ST/SG/AC.10/C.4/79/Add.1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0222" w14:textId="128A9490" w:rsidR="00E1015D" w:rsidRPr="00E1015D" w:rsidRDefault="00723312" w:rsidP="00E1015D">
    <w:pPr>
      <w:pStyle w:val="Header"/>
      <w:jc w:val="right"/>
    </w:pPr>
    <w:r>
      <w:fldChar w:fldCharType="begin"/>
    </w:r>
    <w:r>
      <w:instrText xml:space="preserve"> TITLE  \* MERGEFORMAT </w:instrText>
    </w:r>
    <w:r>
      <w:fldChar w:fldCharType="separate"/>
    </w:r>
    <w:r w:rsidR="00535884">
      <w:t>ST/SG/AC.10/C.4/79/Add.1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D0"/>
    <w:rsid w:val="00017F94"/>
    <w:rsid w:val="00023842"/>
    <w:rsid w:val="000305D3"/>
    <w:rsid w:val="000334F9"/>
    <w:rsid w:val="0007796D"/>
    <w:rsid w:val="000810BA"/>
    <w:rsid w:val="000B7790"/>
    <w:rsid w:val="00111F2F"/>
    <w:rsid w:val="00132EA9"/>
    <w:rsid w:val="00137685"/>
    <w:rsid w:val="0014365E"/>
    <w:rsid w:val="00172E49"/>
    <w:rsid w:val="00176178"/>
    <w:rsid w:val="001E4ED0"/>
    <w:rsid w:val="001F525A"/>
    <w:rsid w:val="00223272"/>
    <w:rsid w:val="0024779E"/>
    <w:rsid w:val="00283190"/>
    <w:rsid w:val="002832AC"/>
    <w:rsid w:val="002C17F7"/>
    <w:rsid w:val="002D7C93"/>
    <w:rsid w:val="00441C3B"/>
    <w:rsid w:val="00446FE5"/>
    <w:rsid w:val="00452396"/>
    <w:rsid w:val="004E468C"/>
    <w:rsid w:val="00535884"/>
    <w:rsid w:val="005505B7"/>
    <w:rsid w:val="00573BE5"/>
    <w:rsid w:val="00584DC4"/>
    <w:rsid w:val="00586ED3"/>
    <w:rsid w:val="00596AA9"/>
    <w:rsid w:val="0068456F"/>
    <w:rsid w:val="0071601D"/>
    <w:rsid w:val="00723312"/>
    <w:rsid w:val="007A62E6"/>
    <w:rsid w:val="0080684C"/>
    <w:rsid w:val="008123E0"/>
    <w:rsid w:val="00871C75"/>
    <w:rsid w:val="008776DC"/>
    <w:rsid w:val="008B40CD"/>
    <w:rsid w:val="00933182"/>
    <w:rsid w:val="009705C8"/>
    <w:rsid w:val="009C1CF4"/>
    <w:rsid w:val="009D0A9A"/>
    <w:rsid w:val="00A30353"/>
    <w:rsid w:val="00A81281"/>
    <w:rsid w:val="00A8611E"/>
    <w:rsid w:val="00AC3823"/>
    <w:rsid w:val="00AD39F0"/>
    <w:rsid w:val="00AE323C"/>
    <w:rsid w:val="00B00181"/>
    <w:rsid w:val="00B00B0D"/>
    <w:rsid w:val="00B765F7"/>
    <w:rsid w:val="00BA0CA9"/>
    <w:rsid w:val="00C02897"/>
    <w:rsid w:val="00D3439C"/>
    <w:rsid w:val="00DB1831"/>
    <w:rsid w:val="00DD3BFD"/>
    <w:rsid w:val="00DF6678"/>
    <w:rsid w:val="00E1015D"/>
    <w:rsid w:val="00E9033D"/>
    <w:rsid w:val="00EB64D0"/>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2D1"/>
  <w15:docId w15:val="{71027E92-197F-4FD7-8E97-50D5DC3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13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events/ac10c3-ecosoc-sub-committee-experts-transport-dangerous-goods-58th-session" TargetMode="External"/><Relationship Id="rId1" Type="http://schemas.openxmlformats.org/officeDocument/2006/relationships/hyperlink" Target="https://unece.org/transport/events/ac10c4-ecosoc-sub-committee-experts-globally-harmonized-system-classifi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ST/SG/AC.10/C.4/79/Add.1</vt:lpstr>
    </vt:vector>
  </TitlesOfParts>
  <Company>DCM</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ST/SG/AC.10/C.4/79/Add.1</dc:title>
  <dc:subject/>
  <dc:creator>Julien OKRZESIK</dc:creator>
  <cp:keywords/>
  <cp:lastModifiedBy>Laurence Berthet</cp:lastModifiedBy>
  <cp:revision>3</cp:revision>
  <cp:lastPrinted>2021-05-18T16:14:00Z</cp:lastPrinted>
  <dcterms:created xsi:type="dcterms:W3CDTF">2021-05-18T16:14:00Z</dcterms:created>
  <dcterms:modified xsi:type="dcterms:W3CDTF">2021-05-18T16:14:00Z</dcterms:modified>
</cp:coreProperties>
</file>