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27ABDD84" w14:textId="77777777" w:rsidTr="00F01738">
        <w:trPr>
          <w:trHeight w:hRule="exact" w:val="851"/>
        </w:trPr>
        <w:tc>
          <w:tcPr>
            <w:tcW w:w="1276" w:type="dxa"/>
            <w:tcBorders>
              <w:bottom w:val="single" w:sz="4" w:space="0" w:color="auto"/>
            </w:tcBorders>
          </w:tcPr>
          <w:p w14:paraId="6213A2A5" w14:textId="77777777" w:rsidR="00132EA9" w:rsidRPr="00DB58B5" w:rsidRDefault="00132EA9" w:rsidP="00834159"/>
        </w:tc>
        <w:tc>
          <w:tcPr>
            <w:tcW w:w="2268" w:type="dxa"/>
            <w:tcBorders>
              <w:bottom w:val="single" w:sz="4" w:space="0" w:color="auto"/>
            </w:tcBorders>
            <w:vAlign w:val="bottom"/>
          </w:tcPr>
          <w:p w14:paraId="26538768"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D7E7719" w14:textId="77777777" w:rsidR="00132EA9" w:rsidRPr="00DB58B5" w:rsidRDefault="00834159" w:rsidP="00834159">
            <w:pPr>
              <w:jc w:val="right"/>
            </w:pPr>
            <w:r w:rsidRPr="00834159">
              <w:rPr>
                <w:sz w:val="40"/>
              </w:rPr>
              <w:t>ST</w:t>
            </w:r>
            <w:r>
              <w:t>/SG/AC.10/C.3/114</w:t>
            </w:r>
          </w:p>
        </w:tc>
      </w:tr>
      <w:tr w:rsidR="00132EA9" w:rsidRPr="00DB58B5" w14:paraId="66599A3A" w14:textId="77777777" w:rsidTr="00F01738">
        <w:trPr>
          <w:trHeight w:hRule="exact" w:val="2835"/>
        </w:trPr>
        <w:tc>
          <w:tcPr>
            <w:tcW w:w="1276" w:type="dxa"/>
            <w:tcBorders>
              <w:top w:val="single" w:sz="4" w:space="0" w:color="auto"/>
              <w:bottom w:val="single" w:sz="12" w:space="0" w:color="auto"/>
            </w:tcBorders>
          </w:tcPr>
          <w:p w14:paraId="075DC5EE" w14:textId="77777777" w:rsidR="00132EA9" w:rsidRPr="00DB58B5" w:rsidRDefault="00132EA9" w:rsidP="00F01738">
            <w:pPr>
              <w:spacing w:before="120"/>
              <w:jc w:val="center"/>
            </w:pPr>
            <w:r>
              <w:rPr>
                <w:noProof/>
                <w:lang w:eastAsia="fr-CH"/>
              </w:rPr>
              <w:drawing>
                <wp:inline distT="0" distB="0" distL="0" distR="0" wp14:anchorId="4E0EC0B5" wp14:editId="2703BC7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37EFF0C"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2A0B430E" w14:textId="77777777" w:rsidR="00132EA9" w:rsidRDefault="00834159" w:rsidP="00F01738">
            <w:pPr>
              <w:spacing w:before="240"/>
            </w:pPr>
            <w:proofErr w:type="spellStart"/>
            <w:r>
              <w:t>Distr</w:t>
            </w:r>
            <w:proofErr w:type="spellEnd"/>
            <w:r>
              <w:t>. générale</w:t>
            </w:r>
          </w:p>
          <w:p w14:paraId="0D1845CF" w14:textId="77777777" w:rsidR="00834159" w:rsidRDefault="00834159" w:rsidP="00834159">
            <w:pPr>
              <w:spacing w:line="240" w:lineRule="exact"/>
            </w:pPr>
            <w:r>
              <w:t>23 décembre 2020</w:t>
            </w:r>
          </w:p>
          <w:p w14:paraId="773AC1E1" w14:textId="77777777" w:rsidR="00834159" w:rsidRDefault="00834159" w:rsidP="00834159">
            <w:pPr>
              <w:spacing w:line="240" w:lineRule="exact"/>
            </w:pPr>
            <w:r>
              <w:t>Français</w:t>
            </w:r>
          </w:p>
          <w:p w14:paraId="242CD0F9" w14:textId="77777777" w:rsidR="00834159" w:rsidRPr="00DB58B5" w:rsidRDefault="00834159" w:rsidP="00834159">
            <w:pPr>
              <w:spacing w:line="240" w:lineRule="exact"/>
            </w:pPr>
            <w:r>
              <w:t>Original : anglais</w:t>
            </w:r>
          </w:p>
        </w:tc>
      </w:tr>
    </w:tbl>
    <w:p w14:paraId="167E7EA3" w14:textId="10431962" w:rsidR="00834159" w:rsidRPr="00CA0680" w:rsidRDefault="00834159" w:rsidP="000305D3">
      <w:pPr>
        <w:spacing w:before="120"/>
        <w:rPr>
          <w:b/>
          <w:sz w:val="24"/>
          <w:szCs w:val="24"/>
        </w:rPr>
      </w:pPr>
      <w:r w:rsidRPr="00CA0680">
        <w:rPr>
          <w:b/>
          <w:sz w:val="24"/>
          <w:szCs w:val="24"/>
        </w:rPr>
        <w:t>Comité d</w:t>
      </w:r>
      <w:r w:rsidR="000B2B75">
        <w:rPr>
          <w:b/>
          <w:sz w:val="24"/>
          <w:szCs w:val="24"/>
        </w:rPr>
        <w:t>’</w:t>
      </w:r>
      <w:r w:rsidRPr="00CA0680">
        <w:rPr>
          <w:b/>
          <w:sz w:val="24"/>
          <w:szCs w:val="24"/>
        </w:rPr>
        <w:t>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w:t>
      </w:r>
      <w:r w:rsidR="000B2B75">
        <w:rPr>
          <w:b/>
          <w:sz w:val="24"/>
          <w:szCs w:val="24"/>
        </w:rPr>
        <w:t>’</w:t>
      </w:r>
      <w:r w:rsidRPr="00CA0680">
        <w:rPr>
          <w:b/>
          <w:sz w:val="24"/>
          <w:szCs w:val="24"/>
        </w:rPr>
        <w:t>étiquetage</w:t>
      </w:r>
      <w:r>
        <w:rPr>
          <w:b/>
          <w:sz w:val="24"/>
          <w:szCs w:val="24"/>
        </w:rPr>
        <w:t xml:space="preserve"> </w:t>
      </w:r>
      <w:r w:rsidRPr="00CA0680">
        <w:rPr>
          <w:b/>
          <w:sz w:val="24"/>
          <w:szCs w:val="24"/>
        </w:rPr>
        <w:t>des produits chimiques</w:t>
      </w:r>
    </w:p>
    <w:p w14:paraId="0DCCE558" w14:textId="781ADCFB" w:rsidR="00834159" w:rsidRPr="00CA0680" w:rsidRDefault="00834159" w:rsidP="000305D3">
      <w:pPr>
        <w:spacing w:before="120"/>
        <w:rPr>
          <w:b/>
        </w:rPr>
      </w:pPr>
      <w:r w:rsidRPr="00CA0680">
        <w:rPr>
          <w:b/>
        </w:rPr>
        <w:t>Sous</w:t>
      </w:r>
      <w:r>
        <w:rPr>
          <w:b/>
        </w:rPr>
        <w:t>-</w:t>
      </w:r>
      <w:r w:rsidRPr="00CA0680">
        <w:rPr>
          <w:b/>
        </w:rPr>
        <w:t>Comité d</w:t>
      </w:r>
      <w:r w:rsidR="000B2B75">
        <w:rPr>
          <w:b/>
        </w:rPr>
        <w:t>’</w:t>
      </w:r>
      <w:r w:rsidRPr="00CA0680">
        <w:rPr>
          <w:b/>
        </w:rPr>
        <w:t>experts du transport des marchandises dangereuses</w:t>
      </w:r>
    </w:p>
    <w:p w14:paraId="0887284E" w14:textId="433E8482" w:rsidR="00834159" w:rsidRPr="00DF0FF2" w:rsidRDefault="00834159" w:rsidP="00834159">
      <w:pPr>
        <w:pStyle w:val="HChG"/>
        <w:rPr>
          <w:lang w:val="fr-FR"/>
        </w:rPr>
      </w:pPr>
      <w:r>
        <w:rPr>
          <w:lang w:val="fr-FR"/>
        </w:rPr>
        <w:tab/>
      </w:r>
      <w:r>
        <w:rPr>
          <w:lang w:val="fr-FR"/>
        </w:rPr>
        <w:tab/>
      </w:r>
      <w:r w:rsidRPr="005E205C">
        <w:rPr>
          <w:lang w:val="fr-FR"/>
        </w:rPr>
        <w:t>Rapport du Sous-Comité d</w:t>
      </w:r>
      <w:r w:rsidR="000B2B75">
        <w:rPr>
          <w:lang w:val="fr-FR"/>
        </w:rPr>
        <w:t>’</w:t>
      </w:r>
      <w:r w:rsidRPr="005E205C">
        <w:rPr>
          <w:lang w:val="fr-FR"/>
        </w:rPr>
        <w:t>experts du transport des marchandises dangereuses sur sa cinquante-septième session</w:t>
      </w:r>
    </w:p>
    <w:p w14:paraId="4421E8D1" w14:textId="77777777" w:rsidR="00446FE5" w:rsidRDefault="00834159" w:rsidP="00DB7DEF">
      <w:pPr>
        <w:pStyle w:val="SingleTxtG"/>
        <w:spacing w:after="360"/>
        <w:rPr>
          <w:lang w:val="fr-FR"/>
        </w:rPr>
      </w:pPr>
      <w:r w:rsidRPr="005E205C">
        <w:rPr>
          <w:lang w:val="fr-FR"/>
        </w:rPr>
        <w:t>tenue à Genève du 30 novembre au 8 décembre 2020</w:t>
      </w:r>
    </w:p>
    <w:p w14:paraId="63ED6168" w14:textId="77777777" w:rsidR="00026B0E" w:rsidRPr="00026B0E" w:rsidRDefault="00026B0E" w:rsidP="00026B0E">
      <w:pPr>
        <w:spacing w:after="120"/>
        <w:rPr>
          <w:sz w:val="28"/>
        </w:rPr>
      </w:pPr>
      <w:r w:rsidRPr="00026B0E">
        <w:rPr>
          <w:sz w:val="28"/>
        </w:rPr>
        <w:t>Table des matières</w:t>
      </w:r>
    </w:p>
    <w:p w14:paraId="24BEB790" w14:textId="77777777" w:rsidR="00026B0E" w:rsidRPr="00026B0E" w:rsidRDefault="00026B0E" w:rsidP="00026B0E">
      <w:pPr>
        <w:tabs>
          <w:tab w:val="right" w:pos="8929"/>
          <w:tab w:val="right" w:pos="9638"/>
        </w:tabs>
        <w:spacing w:after="120"/>
        <w:ind w:left="283"/>
        <w:rPr>
          <w:i/>
          <w:sz w:val="18"/>
        </w:rPr>
      </w:pPr>
      <w:r w:rsidRPr="00026B0E">
        <w:rPr>
          <w:i/>
          <w:sz w:val="18"/>
        </w:rPr>
        <w:tab/>
        <w:t>Paragraphes</w:t>
      </w:r>
      <w:r w:rsidRPr="00026B0E">
        <w:rPr>
          <w:i/>
          <w:sz w:val="18"/>
        </w:rPr>
        <w:tab/>
        <w:t>Page</w:t>
      </w:r>
    </w:p>
    <w:p w14:paraId="4394CE8D" w14:textId="77777777" w:rsidR="00026B0E" w:rsidRDefault="00026B0E" w:rsidP="00026B0E">
      <w:pPr>
        <w:tabs>
          <w:tab w:val="right" w:pos="850"/>
          <w:tab w:val="right" w:leader="dot" w:pos="7654"/>
          <w:tab w:val="right" w:pos="8929"/>
          <w:tab w:val="right" w:pos="9638"/>
        </w:tabs>
        <w:spacing w:after="120"/>
        <w:ind w:left="1134" w:hanging="1134"/>
      </w:pPr>
      <w:r>
        <w:tab/>
        <w:t>I.</w:t>
      </w:r>
      <w:r>
        <w:tab/>
      </w:r>
      <w:r w:rsidR="00F12085" w:rsidRPr="006A6FB3">
        <w:rPr>
          <w:lang w:val="fr-FR"/>
        </w:rPr>
        <w:t>Participation</w:t>
      </w:r>
      <w:r>
        <w:tab/>
      </w:r>
      <w:r>
        <w:tab/>
      </w:r>
      <w:r w:rsidR="00F12085">
        <w:t>1−</w:t>
      </w:r>
      <w:r w:rsidR="008F4D9E">
        <w:t>6</w:t>
      </w:r>
      <w:r>
        <w:tab/>
      </w:r>
      <w:r w:rsidR="008F4D9E">
        <w:t>6</w:t>
      </w:r>
    </w:p>
    <w:p w14:paraId="3EC4DCC0" w14:textId="3197071E" w:rsidR="00F12085" w:rsidRDefault="00F12085" w:rsidP="00026B0E">
      <w:pPr>
        <w:tabs>
          <w:tab w:val="right" w:pos="850"/>
          <w:tab w:val="right" w:leader="dot" w:pos="7654"/>
          <w:tab w:val="right" w:pos="8929"/>
          <w:tab w:val="right" w:pos="9638"/>
        </w:tabs>
        <w:spacing w:after="120"/>
        <w:ind w:left="1134" w:hanging="1134"/>
        <w:rPr>
          <w:lang w:val="fr-FR"/>
        </w:rPr>
      </w:pPr>
      <w:r>
        <w:tab/>
      </w:r>
      <w:r>
        <w:tab/>
      </w:r>
      <w:r w:rsidRPr="00F82F28">
        <w:rPr>
          <w:lang w:val="fr-FR"/>
        </w:rPr>
        <w:t>Questions d</w:t>
      </w:r>
      <w:r w:rsidR="000B2B75">
        <w:rPr>
          <w:lang w:val="fr-FR"/>
        </w:rPr>
        <w:t>’</w:t>
      </w:r>
      <w:r w:rsidRPr="00F82F28">
        <w:rPr>
          <w:lang w:val="fr-FR"/>
        </w:rPr>
        <w:t>organisation</w:t>
      </w:r>
      <w:r>
        <w:rPr>
          <w:lang w:val="fr-FR"/>
        </w:rPr>
        <w:tab/>
      </w:r>
      <w:r>
        <w:rPr>
          <w:lang w:val="fr-FR"/>
        </w:rPr>
        <w:tab/>
        <w:t>7−10</w:t>
      </w:r>
      <w:r>
        <w:rPr>
          <w:lang w:val="fr-FR"/>
        </w:rPr>
        <w:tab/>
      </w:r>
      <w:r w:rsidR="008F4D9E">
        <w:rPr>
          <w:lang w:val="fr-FR"/>
        </w:rPr>
        <w:t>6</w:t>
      </w:r>
    </w:p>
    <w:p w14:paraId="21559050" w14:textId="767D75D4" w:rsidR="00D374BC" w:rsidRDefault="00D374BC" w:rsidP="00026B0E">
      <w:pPr>
        <w:tabs>
          <w:tab w:val="right" w:pos="850"/>
          <w:tab w:val="right" w:leader="dot" w:pos="7654"/>
          <w:tab w:val="right" w:pos="8929"/>
          <w:tab w:val="right" w:pos="9638"/>
        </w:tabs>
        <w:spacing w:after="120"/>
        <w:ind w:left="1134" w:hanging="1134"/>
        <w:rPr>
          <w:lang w:val="fr-FR"/>
        </w:rPr>
      </w:pPr>
      <w:r>
        <w:rPr>
          <w:lang w:val="fr-FR"/>
        </w:rPr>
        <w:tab/>
        <w:t>II.</w:t>
      </w:r>
      <w:r>
        <w:rPr>
          <w:lang w:val="fr-FR"/>
        </w:rPr>
        <w:tab/>
      </w:r>
      <w:r w:rsidRPr="008F507F">
        <w:rPr>
          <w:lang w:val="fr-FR"/>
        </w:rPr>
        <w:t>Adoption de l</w:t>
      </w:r>
      <w:r w:rsidR="000B2B75">
        <w:rPr>
          <w:lang w:val="fr-FR"/>
        </w:rPr>
        <w:t>’</w:t>
      </w:r>
      <w:r w:rsidRPr="008F507F">
        <w:rPr>
          <w:lang w:val="fr-FR"/>
        </w:rPr>
        <w:t>ordre du jour (point 1 de l</w:t>
      </w:r>
      <w:r w:rsidR="000B2B75">
        <w:rPr>
          <w:lang w:val="fr-FR"/>
        </w:rPr>
        <w:t>’</w:t>
      </w:r>
      <w:r w:rsidRPr="008F507F">
        <w:rPr>
          <w:lang w:val="fr-FR"/>
        </w:rPr>
        <w:t>ordre du jour)</w:t>
      </w:r>
      <w:r>
        <w:rPr>
          <w:lang w:val="fr-FR"/>
        </w:rPr>
        <w:tab/>
      </w:r>
      <w:r>
        <w:rPr>
          <w:lang w:val="fr-FR"/>
        </w:rPr>
        <w:tab/>
        <w:t>11</w:t>
      </w:r>
      <w:r>
        <w:rPr>
          <w:lang w:val="fr-FR"/>
        </w:rPr>
        <w:tab/>
      </w:r>
      <w:r w:rsidR="00055F52">
        <w:rPr>
          <w:lang w:val="fr-FR"/>
        </w:rPr>
        <w:t>7</w:t>
      </w:r>
    </w:p>
    <w:p w14:paraId="6A8E0961" w14:textId="10032057" w:rsidR="00D374BC" w:rsidRDefault="001B03EE" w:rsidP="00026B0E">
      <w:pPr>
        <w:tabs>
          <w:tab w:val="right" w:pos="850"/>
          <w:tab w:val="right" w:leader="dot" w:pos="7654"/>
          <w:tab w:val="right" w:pos="8929"/>
          <w:tab w:val="right" w:pos="9638"/>
        </w:tabs>
        <w:spacing w:after="120"/>
        <w:ind w:left="1134" w:hanging="1134"/>
      </w:pPr>
      <w:r>
        <w:tab/>
        <w:t>III.</w:t>
      </w:r>
      <w:r>
        <w:tab/>
      </w:r>
      <w:r w:rsidRPr="008F507F">
        <w:rPr>
          <w:lang w:val="fr-FR"/>
        </w:rPr>
        <w:t xml:space="preserve">Recommandations du Sous-Comité formulées à ses cinquante-cinquième </w:t>
      </w:r>
      <w:r>
        <w:rPr>
          <w:lang w:val="fr-FR"/>
        </w:rPr>
        <w:br/>
      </w:r>
      <w:r w:rsidRPr="008F507F">
        <w:rPr>
          <w:lang w:val="fr-FR"/>
        </w:rPr>
        <w:t xml:space="preserve">et cinquante-sixième sessions et questions en suspens </w:t>
      </w:r>
      <w:r>
        <w:rPr>
          <w:lang w:val="fr-FR"/>
        </w:rPr>
        <w:br/>
      </w:r>
      <w:r w:rsidRPr="008F507F">
        <w:rPr>
          <w:lang w:val="fr-FR"/>
        </w:rPr>
        <w:t>(point 2 de l</w:t>
      </w:r>
      <w:r w:rsidR="000B2B75">
        <w:rPr>
          <w:lang w:val="fr-FR"/>
        </w:rPr>
        <w:t>’</w:t>
      </w:r>
      <w:r w:rsidRPr="008F507F">
        <w:rPr>
          <w:lang w:val="fr-FR"/>
        </w:rPr>
        <w:t>ordre du jour)</w:t>
      </w:r>
      <w:r>
        <w:rPr>
          <w:lang w:val="fr-FR"/>
        </w:rPr>
        <w:tab/>
      </w:r>
      <w:r>
        <w:rPr>
          <w:lang w:val="fr-FR"/>
        </w:rPr>
        <w:tab/>
        <w:t>12−27</w:t>
      </w:r>
      <w:r>
        <w:rPr>
          <w:lang w:val="fr-FR"/>
        </w:rPr>
        <w:tab/>
      </w:r>
      <w:r w:rsidR="00055F52">
        <w:rPr>
          <w:lang w:val="fr-FR"/>
        </w:rPr>
        <w:t>7</w:t>
      </w:r>
    </w:p>
    <w:p w14:paraId="660AB08B" w14:textId="097FBE4B" w:rsidR="00026B0E" w:rsidRDefault="00026B0E" w:rsidP="00026B0E">
      <w:pPr>
        <w:tabs>
          <w:tab w:val="right" w:leader="dot" w:pos="7654"/>
          <w:tab w:val="right" w:pos="8929"/>
          <w:tab w:val="right" w:pos="9638"/>
        </w:tabs>
        <w:spacing w:after="120"/>
        <w:ind w:left="1559" w:hanging="425"/>
      </w:pPr>
      <w:r>
        <w:t>A.</w:t>
      </w:r>
      <w:r>
        <w:tab/>
      </w:r>
      <w:r w:rsidR="001B03EE" w:rsidRPr="00F82F28">
        <w:rPr>
          <w:lang w:val="fr-FR"/>
        </w:rPr>
        <w:t>Examen des projets d</w:t>
      </w:r>
      <w:r w:rsidR="000B2B75">
        <w:rPr>
          <w:lang w:val="fr-FR"/>
        </w:rPr>
        <w:t>’</w:t>
      </w:r>
      <w:r w:rsidR="001B03EE" w:rsidRPr="00F82F28">
        <w:rPr>
          <w:lang w:val="fr-FR"/>
        </w:rPr>
        <w:t xml:space="preserve">amendements déjà adoptés </w:t>
      </w:r>
      <w:r w:rsidR="001B03EE">
        <w:rPr>
          <w:lang w:val="fr-FR"/>
        </w:rPr>
        <w:br/>
      </w:r>
      <w:r w:rsidR="001B03EE" w:rsidRPr="00F82F28">
        <w:rPr>
          <w:lang w:val="fr-FR"/>
        </w:rPr>
        <w:t>durant la période biennale</w:t>
      </w:r>
      <w:r>
        <w:tab/>
      </w:r>
      <w:r>
        <w:tab/>
      </w:r>
      <w:r w:rsidR="001B03EE">
        <w:t>12</w:t>
      </w:r>
      <w:r>
        <w:tab/>
      </w:r>
      <w:r w:rsidR="00055F52">
        <w:t>7</w:t>
      </w:r>
    </w:p>
    <w:p w14:paraId="4323AA53" w14:textId="77777777" w:rsidR="001B03EE" w:rsidRDefault="001B03EE" w:rsidP="00026B0E">
      <w:pPr>
        <w:tabs>
          <w:tab w:val="right" w:leader="dot" w:pos="7654"/>
          <w:tab w:val="right" w:pos="8929"/>
          <w:tab w:val="right" w:pos="9638"/>
        </w:tabs>
        <w:spacing w:after="120"/>
        <w:ind w:left="1559" w:hanging="425"/>
      </w:pPr>
      <w:r>
        <w:t>B.</w:t>
      </w:r>
      <w:r>
        <w:tab/>
      </w:r>
      <w:r w:rsidR="008D1F9C" w:rsidRPr="00F82F28">
        <w:rPr>
          <w:bCs/>
          <w:lang w:val="fr-FR"/>
        </w:rPr>
        <w:t xml:space="preserve">Explosifs et questions </w:t>
      </w:r>
      <w:r w:rsidR="008D1F9C" w:rsidRPr="00026B0E">
        <w:rPr>
          <w:lang w:val="fr-FR"/>
        </w:rPr>
        <w:t>connexes</w:t>
      </w:r>
      <w:r w:rsidR="008D1F9C">
        <w:rPr>
          <w:lang w:val="fr-FR"/>
        </w:rPr>
        <w:tab/>
      </w:r>
      <w:r w:rsidR="008D1F9C">
        <w:rPr>
          <w:lang w:val="fr-FR"/>
        </w:rPr>
        <w:tab/>
        <w:t>13−27</w:t>
      </w:r>
      <w:r w:rsidR="008D1F9C">
        <w:rPr>
          <w:lang w:val="fr-FR"/>
        </w:rPr>
        <w:tab/>
      </w:r>
      <w:r w:rsidR="007B67AD">
        <w:rPr>
          <w:lang w:val="fr-FR"/>
        </w:rPr>
        <w:t>8</w:t>
      </w:r>
    </w:p>
    <w:p w14:paraId="4A4A0639" w14:textId="77777777" w:rsidR="00026B0E" w:rsidRDefault="00026B0E" w:rsidP="00026B0E">
      <w:pPr>
        <w:tabs>
          <w:tab w:val="right" w:leader="dot" w:pos="7654"/>
          <w:tab w:val="right" w:pos="8929"/>
          <w:tab w:val="right" w:pos="9638"/>
        </w:tabs>
        <w:spacing w:after="120"/>
        <w:ind w:left="1984" w:hanging="425"/>
      </w:pPr>
      <w:r>
        <w:t>1.</w:t>
      </w:r>
      <w:r>
        <w:tab/>
      </w:r>
      <w:r w:rsidR="008D1F9C" w:rsidRPr="00F82F28">
        <w:rPr>
          <w:lang w:val="fr-FR"/>
        </w:rPr>
        <w:t>Examen des épreuves de la série 6</w:t>
      </w:r>
      <w:r>
        <w:tab/>
      </w:r>
      <w:r>
        <w:tab/>
      </w:r>
      <w:r w:rsidR="008D1F9C">
        <w:t>14</w:t>
      </w:r>
      <w:r>
        <w:tab/>
      </w:r>
      <w:r w:rsidR="007B67AD">
        <w:t>8</w:t>
      </w:r>
    </w:p>
    <w:p w14:paraId="14DD8AE8" w14:textId="77777777" w:rsidR="008D1F9C" w:rsidRDefault="008D1F9C" w:rsidP="00026B0E">
      <w:pPr>
        <w:tabs>
          <w:tab w:val="right" w:leader="dot" w:pos="7654"/>
          <w:tab w:val="right" w:pos="8929"/>
          <w:tab w:val="right" w:pos="9638"/>
        </w:tabs>
        <w:spacing w:after="120"/>
        <w:ind w:left="1984" w:hanging="425"/>
        <w:rPr>
          <w:lang w:val="fr-FR"/>
        </w:rPr>
      </w:pPr>
      <w:r>
        <w:t>2.</w:t>
      </w:r>
      <w:r>
        <w:tab/>
      </w:r>
      <w:r w:rsidR="00485B7A" w:rsidRPr="00F82F28">
        <w:rPr>
          <w:lang w:val="fr-FR"/>
        </w:rPr>
        <w:t xml:space="preserve">Amélioration des </w:t>
      </w:r>
      <w:r w:rsidR="00485B7A">
        <w:rPr>
          <w:lang w:val="fr-FR"/>
        </w:rPr>
        <w:t>épreuves</w:t>
      </w:r>
      <w:r w:rsidR="00485B7A" w:rsidRPr="00F82F28">
        <w:rPr>
          <w:lang w:val="fr-FR"/>
        </w:rPr>
        <w:t xml:space="preserve"> de la série 8</w:t>
      </w:r>
      <w:r w:rsidR="00485B7A">
        <w:rPr>
          <w:lang w:val="fr-FR"/>
        </w:rPr>
        <w:tab/>
      </w:r>
      <w:r w:rsidR="00485B7A">
        <w:rPr>
          <w:lang w:val="fr-FR"/>
        </w:rPr>
        <w:tab/>
        <w:t>15</w:t>
      </w:r>
      <w:r w:rsidR="00485B7A">
        <w:rPr>
          <w:lang w:val="fr-FR"/>
        </w:rPr>
        <w:tab/>
      </w:r>
      <w:r w:rsidR="007B67AD">
        <w:rPr>
          <w:lang w:val="fr-FR"/>
        </w:rPr>
        <w:t>8</w:t>
      </w:r>
    </w:p>
    <w:p w14:paraId="1226A3BA" w14:textId="0588DA57" w:rsidR="00485B7A" w:rsidRDefault="00485B7A" w:rsidP="00026B0E">
      <w:pPr>
        <w:tabs>
          <w:tab w:val="right" w:leader="dot" w:pos="7654"/>
          <w:tab w:val="right" w:pos="8929"/>
          <w:tab w:val="right" w:pos="9638"/>
        </w:tabs>
        <w:spacing w:after="120"/>
        <w:ind w:left="1984" w:hanging="425"/>
        <w:rPr>
          <w:lang w:val="fr-FR"/>
        </w:rPr>
      </w:pPr>
      <w:r>
        <w:rPr>
          <w:lang w:val="fr-FR"/>
        </w:rPr>
        <w:t>3.</w:t>
      </w:r>
      <w:r>
        <w:rPr>
          <w:lang w:val="fr-FR"/>
        </w:rPr>
        <w:tab/>
      </w:r>
      <w:r w:rsidRPr="00F82F28">
        <w:rPr>
          <w:lang w:val="fr-FR"/>
        </w:rPr>
        <w:t xml:space="preserve">Révision des épreuves des parties I, II et III </w:t>
      </w:r>
      <w:r>
        <w:rPr>
          <w:lang w:val="fr-FR"/>
        </w:rPr>
        <w:br/>
      </w:r>
      <w:r w:rsidRPr="00F82F28">
        <w:rPr>
          <w:lang w:val="fr-FR"/>
        </w:rPr>
        <w:t>du Manuel d</w:t>
      </w:r>
      <w:r w:rsidR="000B2B75">
        <w:rPr>
          <w:lang w:val="fr-FR"/>
        </w:rPr>
        <w:t>’</w:t>
      </w:r>
      <w:r w:rsidRPr="00F82F28">
        <w:rPr>
          <w:lang w:val="fr-FR"/>
        </w:rPr>
        <w:t>épreuves et de critères</w:t>
      </w:r>
      <w:r>
        <w:rPr>
          <w:lang w:val="fr-FR"/>
        </w:rPr>
        <w:tab/>
      </w:r>
      <w:r>
        <w:rPr>
          <w:lang w:val="fr-FR"/>
        </w:rPr>
        <w:tab/>
        <w:t>16</w:t>
      </w:r>
      <w:r>
        <w:rPr>
          <w:lang w:val="fr-FR"/>
        </w:rPr>
        <w:tab/>
      </w:r>
      <w:r w:rsidR="007B67AD">
        <w:rPr>
          <w:lang w:val="fr-FR"/>
        </w:rPr>
        <w:t>8</w:t>
      </w:r>
    </w:p>
    <w:p w14:paraId="6F63C7F2" w14:textId="77777777" w:rsidR="00485B7A" w:rsidRDefault="00485B7A" w:rsidP="00026B0E">
      <w:pPr>
        <w:tabs>
          <w:tab w:val="right" w:leader="dot" w:pos="7654"/>
          <w:tab w:val="right" w:pos="8929"/>
          <w:tab w:val="right" w:pos="9638"/>
        </w:tabs>
        <w:spacing w:after="120"/>
        <w:ind w:left="1984" w:hanging="425"/>
        <w:rPr>
          <w:lang w:val="fr-FR"/>
        </w:rPr>
      </w:pPr>
      <w:r>
        <w:rPr>
          <w:lang w:val="fr-FR"/>
        </w:rPr>
        <w:t>4.</w:t>
      </w:r>
      <w:r>
        <w:rPr>
          <w:lang w:val="fr-FR"/>
        </w:rPr>
        <w:tab/>
      </w:r>
      <w:r w:rsidRPr="00F82F28">
        <w:rPr>
          <w:lang w:val="fr-FR"/>
        </w:rPr>
        <w:t>Détonateurs normalisés «</w:t>
      </w:r>
      <w:r>
        <w:rPr>
          <w:lang w:val="fr-FR"/>
        </w:rPr>
        <w:t> </w:t>
      </w:r>
      <w:r w:rsidRPr="00F82F28">
        <w:rPr>
          <w:lang w:val="fr-FR"/>
        </w:rPr>
        <w:t>UN</w:t>
      </w:r>
      <w:r>
        <w:rPr>
          <w:lang w:val="fr-FR"/>
        </w:rPr>
        <w:t> </w:t>
      </w:r>
      <w:r w:rsidRPr="00F82F28">
        <w:rPr>
          <w:lang w:val="fr-FR"/>
        </w:rPr>
        <w:t>»</w:t>
      </w:r>
      <w:r>
        <w:rPr>
          <w:lang w:val="fr-FR"/>
        </w:rPr>
        <w:tab/>
      </w:r>
      <w:r>
        <w:rPr>
          <w:lang w:val="fr-FR"/>
        </w:rPr>
        <w:tab/>
        <w:t>17</w:t>
      </w:r>
      <w:r>
        <w:rPr>
          <w:lang w:val="fr-FR"/>
        </w:rPr>
        <w:tab/>
      </w:r>
      <w:r w:rsidR="007B67AD">
        <w:rPr>
          <w:lang w:val="fr-FR"/>
        </w:rPr>
        <w:t>8</w:t>
      </w:r>
    </w:p>
    <w:p w14:paraId="61FA83A7" w14:textId="4FAE49D7" w:rsidR="00485B7A" w:rsidRDefault="00485B7A" w:rsidP="00026B0E">
      <w:pPr>
        <w:tabs>
          <w:tab w:val="right" w:leader="dot" w:pos="7654"/>
          <w:tab w:val="right" w:pos="8929"/>
          <w:tab w:val="right" w:pos="9638"/>
        </w:tabs>
        <w:spacing w:after="120"/>
        <w:ind w:left="1984" w:hanging="425"/>
        <w:rPr>
          <w:bCs/>
          <w:lang w:val="fr-FR"/>
        </w:rPr>
      </w:pPr>
      <w:r>
        <w:t>5.</w:t>
      </w:r>
      <w:r>
        <w:tab/>
      </w:r>
      <w:r w:rsidRPr="00F82F28">
        <w:rPr>
          <w:bCs/>
          <w:lang w:val="fr-FR"/>
        </w:rPr>
        <w:t xml:space="preserve">Révision des instructions </w:t>
      </w:r>
      <w:r w:rsidRPr="004370F9">
        <w:rPr>
          <w:lang w:val="fr-FR"/>
        </w:rPr>
        <w:t>d</w:t>
      </w:r>
      <w:r w:rsidR="000B2B75">
        <w:rPr>
          <w:lang w:val="fr-FR"/>
        </w:rPr>
        <w:t>’</w:t>
      </w:r>
      <w:r w:rsidRPr="004370F9">
        <w:rPr>
          <w:lang w:val="fr-FR"/>
        </w:rPr>
        <w:t>emballage</w:t>
      </w:r>
      <w:r w:rsidRPr="00F82F28">
        <w:rPr>
          <w:bCs/>
          <w:lang w:val="fr-FR"/>
        </w:rPr>
        <w:t xml:space="preserve"> relatives aux explosifs</w:t>
      </w:r>
      <w:r>
        <w:rPr>
          <w:bCs/>
          <w:lang w:val="fr-FR"/>
        </w:rPr>
        <w:tab/>
      </w:r>
      <w:r>
        <w:rPr>
          <w:bCs/>
          <w:lang w:val="fr-FR"/>
        </w:rPr>
        <w:tab/>
        <w:t>18</w:t>
      </w:r>
      <w:r>
        <w:rPr>
          <w:bCs/>
          <w:lang w:val="fr-FR"/>
        </w:rPr>
        <w:tab/>
      </w:r>
      <w:r w:rsidR="007B67AD">
        <w:rPr>
          <w:bCs/>
          <w:lang w:val="fr-FR"/>
        </w:rPr>
        <w:t>8</w:t>
      </w:r>
    </w:p>
    <w:p w14:paraId="62997781" w14:textId="77777777" w:rsidR="00485B7A" w:rsidRDefault="00485B7A" w:rsidP="00026B0E">
      <w:pPr>
        <w:tabs>
          <w:tab w:val="right" w:leader="dot" w:pos="7654"/>
          <w:tab w:val="right" w:pos="8929"/>
          <w:tab w:val="right" w:pos="9638"/>
        </w:tabs>
        <w:spacing w:after="120"/>
        <w:ind w:left="1984" w:hanging="425"/>
        <w:rPr>
          <w:bCs/>
          <w:lang w:val="fr-FR"/>
        </w:rPr>
      </w:pPr>
      <w:r>
        <w:rPr>
          <w:bCs/>
          <w:lang w:val="fr-FR"/>
        </w:rPr>
        <w:t>6.</w:t>
      </w:r>
      <w:r>
        <w:rPr>
          <w:bCs/>
          <w:lang w:val="fr-FR"/>
        </w:rPr>
        <w:tab/>
      </w:r>
      <w:r w:rsidRPr="00F82F28">
        <w:rPr>
          <w:bCs/>
          <w:lang w:val="fr-FR"/>
        </w:rPr>
        <w:t xml:space="preserve">Application des dispositions relatives à la sûreté </w:t>
      </w:r>
      <w:r>
        <w:rPr>
          <w:bCs/>
          <w:lang w:val="fr-FR"/>
        </w:rPr>
        <w:br/>
      </w:r>
      <w:r w:rsidRPr="00F82F28">
        <w:rPr>
          <w:bCs/>
          <w:lang w:val="fr-FR"/>
        </w:rPr>
        <w:t xml:space="preserve">aux explosifs relevant de rubriques </w:t>
      </w:r>
      <w:proofErr w:type="spellStart"/>
      <w:r w:rsidRPr="00F82F28">
        <w:rPr>
          <w:bCs/>
          <w:lang w:val="fr-FR"/>
        </w:rPr>
        <w:t>n.s.a</w:t>
      </w:r>
      <w:proofErr w:type="spellEnd"/>
      <w:r>
        <w:rPr>
          <w:bCs/>
          <w:lang w:val="fr-FR"/>
        </w:rPr>
        <w:tab/>
      </w:r>
      <w:r>
        <w:rPr>
          <w:bCs/>
          <w:lang w:val="fr-FR"/>
        </w:rPr>
        <w:tab/>
        <w:t>19</w:t>
      </w:r>
      <w:r>
        <w:rPr>
          <w:bCs/>
          <w:lang w:val="fr-FR"/>
        </w:rPr>
        <w:tab/>
      </w:r>
      <w:r w:rsidR="007B67AD">
        <w:rPr>
          <w:bCs/>
          <w:lang w:val="fr-FR"/>
        </w:rPr>
        <w:t>8</w:t>
      </w:r>
    </w:p>
    <w:p w14:paraId="348A87E6" w14:textId="77777777" w:rsidR="00485B7A" w:rsidRDefault="00485B7A" w:rsidP="00026B0E">
      <w:pPr>
        <w:tabs>
          <w:tab w:val="right" w:leader="dot" w:pos="7654"/>
          <w:tab w:val="right" w:pos="8929"/>
          <w:tab w:val="right" w:pos="9638"/>
        </w:tabs>
        <w:spacing w:after="120"/>
        <w:ind w:left="1984" w:hanging="425"/>
        <w:rPr>
          <w:lang w:val="fr-FR"/>
        </w:rPr>
      </w:pPr>
      <w:r>
        <w:rPr>
          <w:bCs/>
          <w:lang w:val="fr-FR"/>
        </w:rPr>
        <w:t>7.</w:t>
      </w:r>
      <w:r>
        <w:rPr>
          <w:bCs/>
          <w:lang w:val="fr-FR"/>
        </w:rPr>
        <w:tab/>
      </w:r>
      <w:r w:rsidRPr="00F82F28">
        <w:rPr>
          <w:lang w:val="fr-FR"/>
        </w:rPr>
        <w:t>Épreuve N.1 pour les matières solides facilement inflammables</w:t>
      </w:r>
      <w:r>
        <w:rPr>
          <w:lang w:val="fr-FR"/>
        </w:rPr>
        <w:tab/>
      </w:r>
      <w:r>
        <w:rPr>
          <w:lang w:val="fr-FR"/>
        </w:rPr>
        <w:tab/>
        <w:t>20</w:t>
      </w:r>
      <w:r>
        <w:rPr>
          <w:lang w:val="fr-FR"/>
        </w:rPr>
        <w:tab/>
      </w:r>
      <w:r w:rsidR="007B67AD">
        <w:rPr>
          <w:lang w:val="fr-FR"/>
        </w:rPr>
        <w:t>8</w:t>
      </w:r>
    </w:p>
    <w:p w14:paraId="418C5BF2" w14:textId="77777777" w:rsidR="00485B7A" w:rsidRDefault="00485B7A" w:rsidP="00026B0E">
      <w:pPr>
        <w:tabs>
          <w:tab w:val="right" w:leader="dot" w:pos="7654"/>
          <w:tab w:val="right" w:pos="8929"/>
          <w:tab w:val="right" w:pos="9638"/>
        </w:tabs>
        <w:spacing w:after="120"/>
        <w:ind w:left="1984" w:hanging="425"/>
        <w:rPr>
          <w:bCs/>
          <w:lang w:val="fr-FR"/>
        </w:rPr>
      </w:pPr>
      <w:r>
        <w:rPr>
          <w:lang w:val="fr-FR"/>
        </w:rPr>
        <w:t>8.</w:t>
      </w:r>
      <w:r>
        <w:rPr>
          <w:lang w:val="fr-FR"/>
        </w:rPr>
        <w:tab/>
      </w:r>
      <w:r w:rsidRPr="00F82F28">
        <w:rPr>
          <w:bCs/>
          <w:lang w:val="fr-FR"/>
        </w:rPr>
        <w:t xml:space="preserve">Révision du </w:t>
      </w:r>
      <w:r w:rsidRPr="00DF2F89">
        <w:rPr>
          <w:lang w:val="fr-FR"/>
        </w:rPr>
        <w:t>chapitre</w:t>
      </w:r>
      <w:r w:rsidRPr="00F82F28">
        <w:rPr>
          <w:bCs/>
          <w:lang w:val="fr-FR"/>
        </w:rPr>
        <w:t xml:space="preserve"> 2.1 du SGH</w:t>
      </w:r>
      <w:r>
        <w:rPr>
          <w:bCs/>
          <w:lang w:val="fr-FR"/>
        </w:rPr>
        <w:tab/>
      </w:r>
      <w:r>
        <w:rPr>
          <w:bCs/>
          <w:lang w:val="fr-FR"/>
        </w:rPr>
        <w:tab/>
        <w:t>21</w:t>
      </w:r>
      <w:r>
        <w:rPr>
          <w:bCs/>
          <w:lang w:val="fr-FR"/>
        </w:rPr>
        <w:tab/>
      </w:r>
      <w:r w:rsidR="007B67AD">
        <w:rPr>
          <w:bCs/>
          <w:lang w:val="fr-FR"/>
        </w:rPr>
        <w:t>9</w:t>
      </w:r>
    </w:p>
    <w:p w14:paraId="40B02124" w14:textId="77777777" w:rsidR="00485B7A" w:rsidRDefault="00485B7A" w:rsidP="00026B0E">
      <w:pPr>
        <w:tabs>
          <w:tab w:val="right" w:leader="dot" w:pos="7654"/>
          <w:tab w:val="right" w:pos="8929"/>
          <w:tab w:val="right" w:pos="9638"/>
        </w:tabs>
        <w:spacing w:after="120"/>
        <w:ind w:left="1984" w:hanging="425"/>
        <w:rPr>
          <w:lang w:val="fr-FR"/>
        </w:rPr>
      </w:pPr>
      <w:r>
        <w:rPr>
          <w:bCs/>
          <w:lang w:val="fr-FR"/>
        </w:rPr>
        <w:t>9.</w:t>
      </w:r>
      <w:r>
        <w:rPr>
          <w:bCs/>
          <w:lang w:val="fr-FR"/>
        </w:rPr>
        <w:tab/>
      </w:r>
      <w:r w:rsidR="00AE006B" w:rsidRPr="00F82F28">
        <w:rPr>
          <w:bCs/>
          <w:lang w:val="fr-FR"/>
        </w:rPr>
        <w:t xml:space="preserve">Échantillons </w:t>
      </w:r>
      <w:r w:rsidR="00AE006B" w:rsidRPr="00DF2F89">
        <w:rPr>
          <w:lang w:val="fr-FR"/>
        </w:rPr>
        <w:t>énergétiques</w:t>
      </w:r>
      <w:r w:rsidR="00AE006B">
        <w:rPr>
          <w:lang w:val="fr-FR"/>
        </w:rPr>
        <w:tab/>
      </w:r>
      <w:r w:rsidR="00AE006B">
        <w:rPr>
          <w:lang w:val="fr-FR"/>
        </w:rPr>
        <w:tab/>
        <w:t>22</w:t>
      </w:r>
      <w:r w:rsidR="00AE006B">
        <w:rPr>
          <w:lang w:val="fr-FR"/>
        </w:rPr>
        <w:tab/>
      </w:r>
      <w:r w:rsidR="007B67AD">
        <w:rPr>
          <w:lang w:val="fr-FR"/>
        </w:rPr>
        <w:t>9</w:t>
      </w:r>
    </w:p>
    <w:p w14:paraId="3FF42DD5" w14:textId="77777777" w:rsidR="00AE006B" w:rsidRDefault="00AE006B" w:rsidP="00026B0E">
      <w:pPr>
        <w:tabs>
          <w:tab w:val="right" w:leader="dot" w:pos="7654"/>
          <w:tab w:val="right" w:pos="8929"/>
          <w:tab w:val="right" w:pos="9638"/>
        </w:tabs>
        <w:spacing w:after="120"/>
        <w:ind w:left="1984" w:hanging="425"/>
        <w:rPr>
          <w:bCs/>
          <w:lang w:val="fr-FR"/>
        </w:rPr>
      </w:pPr>
      <w:r>
        <w:rPr>
          <w:lang w:val="fr-FR"/>
        </w:rPr>
        <w:t>10.</w:t>
      </w:r>
      <w:r>
        <w:rPr>
          <w:lang w:val="fr-FR"/>
        </w:rPr>
        <w:tab/>
      </w:r>
      <w:r w:rsidRPr="00F82F28">
        <w:rPr>
          <w:bCs/>
          <w:lang w:val="fr-FR"/>
        </w:rPr>
        <w:t>Questions liées à la définition des explosifs</w:t>
      </w:r>
      <w:r>
        <w:rPr>
          <w:bCs/>
          <w:lang w:val="fr-FR"/>
        </w:rPr>
        <w:tab/>
      </w:r>
      <w:r>
        <w:rPr>
          <w:bCs/>
          <w:lang w:val="fr-FR"/>
        </w:rPr>
        <w:tab/>
        <w:t>23</w:t>
      </w:r>
      <w:r>
        <w:rPr>
          <w:bCs/>
          <w:lang w:val="fr-FR"/>
        </w:rPr>
        <w:tab/>
      </w:r>
      <w:r w:rsidR="007B67AD">
        <w:rPr>
          <w:bCs/>
          <w:lang w:val="fr-FR"/>
        </w:rPr>
        <w:t>9</w:t>
      </w:r>
    </w:p>
    <w:p w14:paraId="158F105C" w14:textId="5DFAD1C6" w:rsidR="00AE006B" w:rsidRDefault="00AE006B" w:rsidP="00026B0E">
      <w:pPr>
        <w:tabs>
          <w:tab w:val="right" w:leader="dot" w:pos="7654"/>
          <w:tab w:val="right" w:pos="8929"/>
          <w:tab w:val="right" w:pos="9638"/>
        </w:tabs>
        <w:spacing w:after="120"/>
        <w:ind w:left="1984" w:hanging="425"/>
        <w:rPr>
          <w:bCs/>
          <w:lang w:val="fr-FR"/>
        </w:rPr>
      </w:pPr>
      <w:r>
        <w:rPr>
          <w:bCs/>
          <w:lang w:val="fr-FR"/>
        </w:rPr>
        <w:t>11.</w:t>
      </w:r>
      <w:r>
        <w:rPr>
          <w:bCs/>
          <w:lang w:val="fr-FR"/>
        </w:rPr>
        <w:tab/>
      </w:r>
      <w:r w:rsidRPr="00F82F28">
        <w:rPr>
          <w:bCs/>
          <w:lang w:val="fr-FR"/>
        </w:rPr>
        <w:t xml:space="preserve">Examen des </w:t>
      </w:r>
      <w:r w:rsidRPr="00DF2F89">
        <w:rPr>
          <w:lang w:val="fr-FR"/>
        </w:rPr>
        <w:t>prescriptions</w:t>
      </w:r>
      <w:r w:rsidRPr="00F82F28">
        <w:rPr>
          <w:bCs/>
          <w:lang w:val="fr-FR"/>
        </w:rPr>
        <w:t xml:space="preserve"> en matière d</w:t>
      </w:r>
      <w:r w:rsidR="000B2B75">
        <w:rPr>
          <w:bCs/>
          <w:lang w:val="fr-FR"/>
        </w:rPr>
        <w:t>’</w:t>
      </w:r>
      <w:r w:rsidRPr="00F82F28">
        <w:rPr>
          <w:bCs/>
          <w:lang w:val="fr-FR"/>
        </w:rPr>
        <w:t xml:space="preserve">emballage </w:t>
      </w:r>
      <w:r>
        <w:rPr>
          <w:bCs/>
          <w:lang w:val="fr-FR"/>
        </w:rPr>
        <w:br/>
      </w:r>
      <w:r w:rsidRPr="00F82F28">
        <w:rPr>
          <w:bCs/>
          <w:lang w:val="fr-FR"/>
        </w:rPr>
        <w:t>et de transport</w:t>
      </w:r>
      <w:r>
        <w:rPr>
          <w:bCs/>
          <w:lang w:val="fr-FR"/>
        </w:rPr>
        <w:t xml:space="preserve"> pour les </w:t>
      </w:r>
      <w:r w:rsidRPr="00F82F28">
        <w:rPr>
          <w:bCs/>
          <w:lang w:val="fr-FR"/>
        </w:rPr>
        <w:t>ENA</w:t>
      </w:r>
      <w:r>
        <w:rPr>
          <w:bCs/>
          <w:lang w:val="fr-FR"/>
        </w:rPr>
        <w:tab/>
      </w:r>
      <w:r>
        <w:rPr>
          <w:bCs/>
          <w:lang w:val="fr-FR"/>
        </w:rPr>
        <w:tab/>
        <w:t>24</w:t>
      </w:r>
      <w:r>
        <w:rPr>
          <w:bCs/>
          <w:lang w:val="fr-FR"/>
        </w:rPr>
        <w:tab/>
      </w:r>
      <w:r w:rsidR="007B67AD">
        <w:rPr>
          <w:bCs/>
          <w:lang w:val="fr-FR"/>
        </w:rPr>
        <w:t>9</w:t>
      </w:r>
    </w:p>
    <w:p w14:paraId="2C7353F1" w14:textId="77777777" w:rsidR="00AE006B" w:rsidRDefault="00AE006B" w:rsidP="00AE006B">
      <w:pPr>
        <w:keepNext/>
        <w:tabs>
          <w:tab w:val="right" w:leader="dot" w:pos="7654"/>
          <w:tab w:val="right" w:pos="8929"/>
          <w:tab w:val="right" w:pos="9638"/>
        </w:tabs>
        <w:spacing w:after="120"/>
        <w:ind w:left="1984" w:hanging="425"/>
        <w:rPr>
          <w:lang w:val="fr-FR"/>
        </w:rPr>
      </w:pPr>
      <w:r>
        <w:rPr>
          <w:bCs/>
          <w:lang w:val="fr-FR"/>
        </w:rPr>
        <w:lastRenderedPageBreak/>
        <w:t>12.</w:t>
      </w:r>
      <w:r>
        <w:rPr>
          <w:bCs/>
          <w:lang w:val="fr-FR"/>
        </w:rPr>
        <w:tab/>
      </w:r>
      <w:r>
        <w:rPr>
          <w:lang w:val="fr-FR"/>
        </w:rPr>
        <w:t xml:space="preserve">Autres </w:t>
      </w:r>
      <w:r w:rsidRPr="00DF2F89">
        <w:rPr>
          <w:lang w:val="fr-FR"/>
        </w:rPr>
        <w:t>questions</w:t>
      </w:r>
      <w:r>
        <w:rPr>
          <w:lang w:val="fr-FR"/>
        </w:rPr>
        <w:tab/>
      </w:r>
      <w:r>
        <w:rPr>
          <w:lang w:val="fr-FR"/>
        </w:rPr>
        <w:tab/>
        <w:t>25−27</w:t>
      </w:r>
      <w:r w:rsidR="008076F5">
        <w:rPr>
          <w:lang w:val="fr-FR"/>
        </w:rPr>
        <w:tab/>
      </w:r>
      <w:r w:rsidR="007B67AD">
        <w:rPr>
          <w:lang w:val="fr-FR"/>
        </w:rPr>
        <w:t>9</w:t>
      </w:r>
    </w:p>
    <w:p w14:paraId="5F681911" w14:textId="315EA12B" w:rsidR="00AE006B" w:rsidRDefault="00AE006B" w:rsidP="00AE006B">
      <w:pPr>
        <w:tabs>
          <w:tab w:val="right" w:pos="850"/>
          <w:tab w:val="right" w:leader="dot" w:pos="7654"/>
          <w:tab w:val="right" w:pos="8929"/>
          <w:tab w:val="right" w:pos="9638"/>
        </w:tabs>
        <w:spacing w:after="120"/>
        <w:ind w:left="1134" w:hanging="1134"/>
        <w:rPr>
          <w:lang w:val="fr-FR"/>
        </w:rPr>
      </w:pPr>
      <w:r>
        <w:tab/>
        <w:t>IV.</w:t>
      </w:r>
      <w:r>
        <w:tab/>
      </w:r>
      <w:r w:rsidRPr="005C707D">
        <w:rPr>
          <w:lang w:val="fr-FR"/>
        </w:rPr>
        <w:t>Inscription, classement et emballage (point 3 de l</w:t>
      </w:r>
      <w:r w:rsidR="000B2B75">
        <w:rPr>
          <w:lang w:val="fr-FR"/>
        </w:rPr>
        <w:t>’</w:t>
      </w:r>
      <w:r w:rsidRPr="005C707D">
        <w:rPr>
          <w:lang w:val="fr-FR"/>
        </w:rPr>
        <w:t>ordre du jour)</w:t>
      </w:r>
      <w:r>
        <w:rPr>
          <w:lang w:val="fr-FR"/>
        </w:rPr>
        <w:tab/>
      </w:r>
      <w:r>
        <w:rPr>
          <w:lang w:val="fr-FR"/>
        </w:rPr>
        <w:tab/>
      </w:r>
      <w:r w:rsidR="00BD0702">
        <w:rPr>
          <w:lang w:val="fr-FR"/>
        </w:rPr>
        <w:t>28−49</w:t>
      </w:r>
      <w:r w:rsidR="008076F5">
        <w:rPr>
          <w:lang w:val="fr-FR"/>
        </w:rPr>
        <w:tab/>
      </w:r>
      <w:r w:rsidR="007B67AD">
        <w:rPr>
          <w:lang w:val="fr-FR"/>
        </w:rPr>
        <w:t>9</w:t>
      </w:r>
    </w:p>
    <w:p w14:paraId="37969D2F" w14:textId="4F466D4F" w:rsidR="00BD0702" w:rsidRDefault="00BD0702" w:rsidP="00BD0702">
      <w:pPr>
        <w:tabs>
          <w:tab w:val="right" w:leader="dot" w:pos="7654"/>
          <w:tab w:val="right" w:pos="8929"/>
          <w:tab w:val="right" w:pos="9638"/>
        </w:tabs>
        <w:spacing w:after="120"/>
        <w:ind w:left="1559" w:hanging="425"/>
        <w:rPr>
          <w:lang w:val="fr-FR"/>
        </w:rPr>
      </w:pPr>
      <w:r>
        <w:rPr>
          <w:lang w:val="fr-FR"/>
        </w:rPr>
        <w:t>A.</w:t>
      </w:r>
      <w:r>
        <w:rPr>
          <w:lang w:val="fr-FR"/>
        </w:rPr>
        <w:tab/>
      </w:r>
      <w:r w:rsidR="007B67AD" w:rsidRPr="00F82F28">
        <w:rPr>
          <w:lang w:val="fr-FR"/>
        </w:rPr>
        <w:t xml:space="preserve">Températures de régulation et températures critiques pour les préparations </w:t>
      </w:r>
      <w:r w:rsidR="007B67AD">
        <w:rPr>
          <w:lang w:val="fr-FR"/>
        </w:rPr>
        <w:br/>
      </w:r>
      <w:r w:rsidR="007B67AD" w:rsidRPr="00F82F28">
        <w:rPr>
          <w:lang w:val="fr-FR"/>
        </w:rPr>
        <w:t>énumérées dans l</w:t>
      </w:r>
      <w:r w:rsidR="000B2B75">
        <w:rPr>
          <w:lang w:val="fr-FR"/>
        </w:rPr>
        <w:t>’</w:t>
      </w:r>
      <w:r w:rsidR="007B67AD" w:rsidRPr="00F82F28">
        <w:rPr>
          <w:lang w:val="fr-FR"/>
        </w:rPr>
        <w:t>instruction d</w:t>
      </w:r>
      <w:r w:rsidR="000B2B75">
        <w:rPr>
          <w:lang w:val="fr-FR"/>
        </w:rPr>
        <w:t>’</w:t>
      </w:r>
      <w:r w:rsidR="007B67AD" w:rsidRPr="00F82F28">
        <w:rPr>
          <w:lang w:val="fr-FR"/>
        </w:rPr>
        <w:t>emballage IBC520 et dans l</w:t>
      </w:r>
      <w:r w:rsidR="000B2B75">
        <w:rPr>
          <w:lang w:val="fr-FR"/>
        </w:rPr>
        <w:t>’</w:t>
      </w:r>
      <w:r w:rsidR="007B67AD" w:rsidRPr="00F82F28">
        <w:rPr>
          <w:lang w:val="fr-FR"/>
        </w:rPr>
        <w:t xml:space="preserve">instruction </w:t>
      </w:r>
      <w:r w:rsidR="007B67AD">
        <w:rPr>
          <w:lang w:val="fr-FR"/>
        </w:rPr>
        <w:br/>
      </w:r>
      <w:r w:rsidR="007B67AD" w:rsidRPr="00F82F28">
        <w:rPr>
          <w:lang w:val="fr-FR"/>
        </w:rPr>
        <w:t>de transport en citerne mobile T23</w:t>
      </w:r>
      <w:r w:rsidR="007B67AD">
        <w:rPr>
          <w:lang w:val="fr-FR"/>
        </w:rPr>
        <w:t> </w:t>
      </w:r>
      <w:r w:rsidR="007B67AD" w:rsidRPr="00F82F28">
        <w:rPr>
          <w:lang w:val="fr-FR"/>
        </w:rPr>
        <w:t>: clarifications</w:t>
      </w:r>
      <w:r>
        <w:rPr>
          <w:lang w:val="fr-FR"/>
        </w:rPr>
        <w:tab/>
      </w:r>
      <w:r>
        <w:rPr>
          <w:lang w:val="fr-FR"/>
        </w:rPr>
        <w:tab/>
        <w:t>28</w:t>
      </w:r>
      <w:r>
        <w:rPr>
          <w:lang w:val="fr-FR"/>
        </w:rPr>
        <w:tab/>
      </w:r>
      <w:r w:rsidR="007B67AD">
        <w:rPr>
          <w:lang w:val="fr-FR"/>
        </w:rPr>
        <w:t>9</w:t>
      </w:r>
    </w:p>
    <w:p w14:paraId="2818DF27" w14:textId="77777777" w:rsidR="00BD0702" w:rsidRDefault="00BD0702" w:rsidP="00BD0702">
      <w:pPr>
        <w:tabs>
          <w:tab w:val="right" w:leader="dot" w:pos="7654"/>
          <w:tab w:val="right" w:pos="8929"/>
          <w:tab w:val="right" w:pos="9638"/>
        </w:tabs>
        <w:spacing w:after="120"/>
        <w:ind w:left="1559" w:hanging="425"/>
        <w:rPr>
          <w:lang w:val="fr-FR"/>
        </w:rPr>
      </w:pPr>
      <w:r>
        <w:rPr>
          <w:lang w:val="fr-FR"/>
        </w:rPr>
        <w:t>B.</w:t>
      </w:r>
      <w:r>
        <w:rPr>
          <w:lang w:val="fr-FR"/>
        </w:rPr>
        <w:tab/>
      </w:r>
      <w:r w:rsidRPr="00F82F28">
        <w:rPr>
          <w:bCs/>
          <w:lang w:val="fr-FR"/>
        </w:rPr>
        <w:t xml:space="preserve">Toxicité </w:t>
      </w:r>
      <w:proofErr w:type="spellStart"/>
      <w:r w:rsidRPr="00F82F28">
        <w:rPr>
          <w:bCs/>
          <w:lang w:val="fr-FR"/>
        </w:rPr>
        <w:t>des</w:t>
      </w:r>
      <w:proofErr w:type="spellEnd"/>
      <w:r w:rsidRPr="00F82F28">
        <w:rPr>
          <w:bCs/>
          <w:lang w:val="fr-FR"/>
        </w:rPr>
        <w:t xml:space="preserve"> Nos ONU 2248, 2264 et </w:t>
      </w:r>
      <w:r w:rsidRPr="00E31F85">
        <w:rPr>
          <w:lang w:val="fr-FR"/>
        </w:rPr>
        <w:t>2357</w:t>
      </w:r>
      <w:r>
        <w:rPr>
          <w:lang w:val="fr-FR"/>
        </w:rPr>
        <w:tab/>
      </w:r>
      <w:r>
        <w:rPr>
          <w:lang w:val="fr-FR"/>
        </w:rPr>
        <w:tab/>
        <w:t>29</w:t>
      </w:r>
      <w:r>
        <w:rPr>
          <w:lang w:val="fr-FR"/>
        </w:rPr>
        <w:tab/>
      </w:r>
      <w:r w:rsidR="007B67AD">
        <w:rPr>
          <w:lang w:val="fr-FR"/>
        </w:rPr>
        <w:t>9</w:t>
      </w:r>
    </w:p>
    <w:p w14:paraId="5D35B528" w14:textId="2CD5C69E" w:rsidR="00BD0702" w:rsidRDefault="00BD0702" w:rsidP="00BD0702">
      <w:pPr>
        <w:tabs>
          <w:tab w:val="right" w:leader="dot" w:pos="7654"/>
          <w:tab w:val="right" w:pos="8929"/>
          <w:tab w:val="right" w:pos="9638"/>
        </w:tabs>
        <w:spacing w:after="120"/>
        <w:ind w:left="1559" w:hanging="425"/>
        <w:rPr>
          <w:bCs/>
          <w:lang w:val="fr-FR"/>
        </w:rPr>
      </w:pPr>
      <w:r>
        <w:rPr>
          <w:lang w:val="fr-FR"/>
        </w:rPr>
        <w:t>C.</w:t>
      </w:r>
      <w:r>
        <w:rPr>
          <w:lang w:val="fr-FR"/>
        </w:rPr>
        <w:tab/>
      </w:r>
      <w:r w:rsidRPr="00F82F28">
        <w:rPr>
          <w:bCs/>
          <w:lang w:val="fr-FR"/>
        </w:rPr>
        <w:t>Précisions concernant le champ d</w:t>
      </w:r>
      <w:r w:rsidR="000B2B75">
        <w:rPr>
          <w:bCs/>
          <w:lang w:val="fr-FR"/>
        </w:rPr>
        <w:t>’</w:t>
      </w:r>
      <w:r w:rsidRPr="00F82F28">
        <w:rPr>
          <w:bCs/>
          <w:lang w:val="fr-FR"/>
        </w:rPr>
        <w:t xml:space="preserve">application </w:t>
      </w:r>
      <w:r>
        <w:rPr>
          <w:bCs/>
          <w:lang w:val="fr-FR"/>
        </w:rPr>
        <w:br/>
      </w:r>
      <w:r w:rsidRPr="00F82F28">
        <w:rPr>
          <w:bCs/>
          <w:lang w:val="fr-FR"/>
        </w:rPr>
        <w:t>du No ONU 1002, AIR COMPRIMÉ</w:t>
      </w:r>
      <w:r>
        <w:rPr>
          <w:bCs/>
          <w:lang w:val="fr-FR"/>
        </w:rPr>
        <w:tab/>
      </w:r>
      <w:r>
        <w:rPr>
          <w:bCs/>
          <w:lang w:val="fr-FR"/>
        </w:rPr>
        <w:tab/>
        <w:t>30</w:t>
      </w:r>
      <w:r>
        <w:rPr>
          <w:bCs/>
          <w:lang w:val="fr-FR"/>
        </w:rPr>
        <w:tab/>
      </w:r>
      <w:r w:rsidR="001914A2">
        <w:rPr>
          <w:bCs/>
          <w:lang w:val="fr-FR"/>
        </w:rPr>
        <w:t>10</w:t>
      </w:r>
    </w:p>
    <w:p w14:paraId="70739F23" w14:textId="21801875" w:rsidR="00BD0702" w:rsidRDefault="009F0364" w:rsidP="00BD0702">
      <w:pPr>
        <w:tabs>
          <w:tab w:val="right" w:leader="dot" w:pos="7654"/>
          <w:tab w:val="right" w:pos="8929"/>
          <w:tab w:val="right" w:pos="9638"/>
        </w:tabs>
        <w:spacing w:after="120"/>
        <w:ind w:left="1559" w:hanging="425"/>
        <w:rPr>
          <w:lang w:val="fr-FR"/>
        </w:rPr>
      </w:pPr>
      <w:r>
        <w:rPr>
          <w:lang w:val="fr-FR"/>
        </w:rPr>
        <w:t>D.</w:t>
      </w:r>
      <w:r>
        <w:rPr>
          <w:lang w:val="fr-FR"/>
        </w:rPr>
        <w:tab/>
      </w:r>
      <w:r w:rsidRPr="00F82F28">
        <w:rPr>
          <w:lang w:val="fr-FR"/>
        </w:rPr>
        <w:t>Transport d</w:t>
      </w:r>
      <w:r w:rsidR="000B2B75">
        <w:rPr>
          <w:lang w:val="fr-FR"/>
        </w:rPr>
        <w:t>’</w:t>
      </w:r>
      <w:r w:rsidRPr="00F82F28">
        <w:rPr>
          <w:lang w:val="fr-FR"/>
        </w:rPr>
        <w:t xml:space="preserve">extincteurs portatifs conformément </w:t>
      </w:r>
      <w:r>
        <w:rPr>
          <w:lang w:val="fr-FR"/>
        </w:rPr>
        <w:br/>
      </w:r>
      <w:r w:rsidRPr="00F82F28">
        <w:rPr>
          <w:lang w:val="fr-FR"/>
        </w:rPr>
        <w:t>à la disposition spéciale 225</w:t>
      </w:r>
      <w:r>
        <w:rPr>
          <w:lang w:val="fr-FR"/>
        </w:rPr>
        <w:tab/>
      </w:r>
      <w:r>
        <w:rPr>
          <w:lang w:val="fr-FR"/>
        </w:rPr>
        <w:tab/>
        <w:t>31</w:t>
      </w:r>
      <w:r>
        <w:rPr>
          <w:lang w:val="fr-FR"/>
        </w:rPr>
        <w:tab/>
      </w:r>
      <w:r w:rsidR="001914A2">
        <w:rPr>
          <w:lang w:val="fr-FR"/>
        </w:rPr>
        <w:t>10</w:t>
      </w:r>
    </w:p>
    <w:p w14:paraId="1EACF93A" w14:textId="21D856CE" w:rsidR="00466C5C" w:rsidRDefault="00466C5C" w:rsidP="00BD0702">
      <w:pPr>
        <w:tabs>
          <w:tab w:val="right" w:leader="dot" w:pos="7654"/>
          <w:tab w:val="right" w:pos="8929"/>
          <w:tab w:val="right" w:pos="9638"/>
        </w:tabs>
        <w:spacing w:after="120"/>
        <w:ind w:left="1559" w:hanging="425"/>
        <w:rPr>
          <w:bCs/>
          <w:lang w:val="fr-FR"/>
        </w:rPr>
      </w:pPr>
      <w:r>
        <w:rPr>
          <w:lang w:val="fr-FR"/>
        </w:rPr>
        <w:t>E.</w:t>
      </w:r>
      <w:r>
        <w:rPr>
          <w:lang w:val="fr-FR"/>
        </w:rPr>
        <w:tab/>
      </w:r>
      <w:r w:rsidRPr="00F82F28">
        <w:rPr>
          <w:bCs/>
          <w:lang w:val="fr-FR"/>
        </w:rPr>
        <w:t>Création d</w:t>
      </w:r>
      <w:r w:rsidR="000B2B75">
        <w:rPr>
          <w:bCs/>
          <w:lang w:val="fr-FR"/>
        </w:rPr>
        <w:t>’</w:t>
      </w:r>
      <w:r w:rsidRPr="00F82F28">
        <w:rPr>
          <w:bCs/>
          <w:lang w:val="fr-FR"/>
        </w:rPr>
        <w:t>une nouvelle rubrique concernant l</w:t>
      </w:r>
      <w:r w:rsidR="000B2B75">
        <w:rPr>
          <w:bCs/>
          <w:lang w:val="fr-FR"/>
        </w:rPr>
        <w:t>’</w:t>
      </w:r>
      <w:r w:rsidRPr="00F82F28">
        <w:rPr>
          <w:bCs/>
          <w:lang w:val="fr-FR"/>
        </w:rPr>
        <w:t xml:space="preserve">acide </w:t>
      </w:r>
      <w:r>
        <w:rPr>
          <w:bCs/>
          <w:lang w:val="fr-FR"/>
        </w:rPr>
        <w:br/>
      </w:r>
      <w:r w:rsidRPr="00F82F28">
        <w:rPr>
          <w:bCs/>
          <w:lang w:val="fr-FR"/>
        </w:rPr>
        <w:t xml:space="preserve">(7-méthoxy-5-méthyle-benzothiophène-2-yl) </w:t>
      </w:r>
      <w:proofErr w:type="spellStart"/>
      <w:r w:rsidRPr="00F82F28">
        <w:rPr>
          <w:bCs/>
          <w:lang w:val="fr-FR"/>
        </w:rPr>
        <w:t>boronique</w:t>
      </w:r>
      <w:proofErr w:type="spellEnd"/>
      <w:r w:rsidRPr="00F82F28">
        <w:rPr>
          <w:bCs/>
          <w:lang w:val="fr-FR"/>
        </w:rPr>
        <w:t xml:space="preserve"> </w:t>
      </w:r>
      <w:r>
        <w:rPr>
          <w:bCs/>
          <w:lang w:val="fr-FR"/>
        </w:rPr>
        <w:br/>
      </w:r>
      <w:r w:rsidRPr="00F82F28">
        <w:rPr>
          <w:bCs/>
          <w:lang w:val="fr-FR"/>
        </w:rPr>
        <w:t xml:space="preserve">en tant que matière </w:t>
      </w:r>
      <w:proofErr w:type="spellStart"/>
      <w:r w:rsidRPr="00F82F28">
        <w:rPr>
          <w:bCs/>
          <w:lang w:val="fr-FR"/>
        </w:rPr>
        <w:t>autoréactive</w:t>
      </w:r>
      <w:proofErr w:type="spellEnd"/>
      <w:r w:rsidRPr="00F82F28">
        <w:rPr>
          <w:bCs/>
          <w:lang w:val="fr-FR"/>
        </w:rPr>
        <w:t xml:space="preserve"> au paragraphe 2.4.2.3.2.3 </w:t>
      </w:r>
      <w:r>
        <w:rPr>
          <w:bCs/>
          <w:lang w:val="fr-FR"/>
        </w:rPr>
        <w:br/>
      </w:r>
      <w:r w:rsidRPr="00F82F28">
        <w:rPr>
          <w:bCs/>
          <w:lang w:val="fr-FR"/>
        </w:rPr>
        <w:t>du Règlement type pour le transport des marchandises dangereuses</w:t>
      </w:r>
      <w:r>
        <w:rPr>
          <w:bCs/>
          <w:lang w:val="fr-FR"/>
        </w:rPr>
        <w:tab/>
      </w:r>
      <w:r>
        <w:rPr>
          <w:bCs/>
          <w:lang w:val="fr-FR"/>
        </w:rPr>
        <w:tab/>
        <w:t>32</w:t>
      </w:r>
      <w:r>
        <w:rPr>
          <w:bCs/>
          <w:lang w:val="fr-FR"/>
        </w:rPr>
        <w:tab/>
      </w:r>
      <w:r w:rsidR="001914A2">
        <w:rPr>
          <w:bCs/>
          <w:lang w:val="fr-FR"/>
        </w:rPr>
        <w:t>10</w:t>
      </w:r>
    </w:p>
    <w:p w14:paraId="6CE1F51E" w14:textId="77777777" w:rsidR="00466C5C" w:rsidRDefault="00466C5C" w:rsidP="00BD0702">
      <w:pPr>
        <w:tabs>
          <w:tab w:val="right" w:leader="dot" w:pos="7654"/>
          <w:tab w:val="right" w:pos="8929"/>
          <w:tab w:val="right" w:pos="9638"/>
        </w:tabs>
        <w:spacing w:after="120"/>
        <w:ind w:left="1559" w:hanging="425"/>
        <w:rPr>
          <w:bCs/>
          <w:lang w:val="fr-FR"/>
        </w:rPr>
      </w:pPr>
      <w:r>
        <w:rPr>
          <w:bCs/>
          <w:lang w:val="fr-FR"/>
        </w:rPr>
        <w:t>F.</w:t>
      </w:r>
      <w:r>
        <w:rPr>
          <w:bCs/>
          <w:lang w:val="fr-FR"/>
        </w:rPr>
        <w:tab/>
      </w:r>
      <w:r w:rsidRPr="00F82F28">
        <w:rPr>
          <w:bCs/>
          <w:lang w:val="fr-FR"/>
        </w:rPr>
        <w:t>Peroxydes organiques</w:t>
      </w:r>
      <w:r w:rsidR="004D3879">
        <w:rPr>
          <w:bCs/>
          <w:lang w:val="fr-FR"/>
        </w:rPr>
        <w:t> </w:t>
      </w:r>
      <w:r w:rsidRPr="00F82F28">
        <w:rPr>
          <w:bCs/>
          <w:lang w:val="fr-FR"/>
        </w:rPr>
        <w:t xml:space="preserve">: </w:t>
      </w:r>
      <w:r w:rsidRPr="00E31F85">
        <w:rPr>
          <w:lang w:val="fr-FR"/>
        </w:rPr>
        <w:t>nouvelles</w:t>
      </w:r>
      <w:r w:rsidRPr="00F82F28">
        <w:rPr>
          <w:bCs/>
          <w:lang w:val="fr-FR"/>
        </w:rPr>
        <w:t xml:space="preserve"> préparations </w:t>
      </w:r>
      <w:r>
        <w:rPr>
          <w:bCs/>
          <w:lang w:val="fr-FR"/>
        </w:rPr>
        <w:br/>
      </w:r>
      <w:r w:rsidRPr="00F82F28">
        <w:rPr>
          <w:bCs/>
          <w:lang w:val="fr-FR"/>
        </w:rPr>
        <w:t>devant figurer au paragraphe 2.5.3.2.4</w:t>
      </w:r>
      <w:r>
        <w:rPr>
          <w:bCs/>
          <w:lang w:val="fr-FR"/>
        </w:rPr>
        <w:tab/>
      </w:r>
      <w:r>
        <w:rPr>
          <w:bCs/>
          <w:lang w:val="fr-FR"/>
        </w:rPr>
        <w:tab/>
        <w:t>33</w:t>
      </w:r>
      <w:r>
        <w:rPr>
          <w:bCs/>
          <w:lang w:val="fr-FR"/>
        </w:rPr>
        <w:tab/>
      </w:r>
      <w:r w:rsidR="001914A2">
        <w:rPr>
          <w:bCs/>
          <w:lang w:val="fr-FR"/>
        </w:rPr>
        <w:t>10</w:t>
      </w:r>
    </w:p>
    <w:p w14:paraId="338571F1" w14:textId="3C62E5AE" w:rsidR="00466C5C" w:rsidRDefault="00466C5C" w:rsidP="00BD0702">
      <w:pPr>
        <w:tabs>
          <w:tab w:val="right" w:leader="dot" w:pos="7654"/>
          <w:tab w:val="right" w:pos="8929"/>
          <w:tab w:val="right" w:pos="9638"/>
        </w:tabs>
        <w:spacing w:after="120"/>
        <w:ind w:left="1559" w:hanging="425"/>
        <w:rPr>
          <w:bCs/>
          <w:lang w:val="fr-FR"/>
        </w:rPr>
      </w:pPr>
      <w:r>
        <w:rPr>
          <w:bCs/>
          <w:lang w:val="fr-FR"/>
        </w:rPr>
        <w:t>G.</w:t>
      </w:r>
      <w:r>
        <w:rPr>
          <w:bCs/>
          <w:lang w:val="fr-FR"/>
        </w:rPr>
        <w:tab/>
      </w:r>
      <w:r w:rsidRPr="00F82F28">
        <w:rPr>
          <w:bCs/>
          <w:lang w:val="fr-FR"/>
        </w:rPr>
        <w:t>Amendements</w:t>
      </w:r>
      <w:r>
        <w:rPr>
          <w:bCs/>
          <w:lang w:val="fr-FR"/>
        </w:rPr>
        <w:t xml:space="preserve"> liés à</w:t>
      </w:r>
      <w:r w:rsidRPr="00F82F28">
        <w:rPr>
          <w:bCs/>
          <w:lang w:val="fr-FR"/>
        </w:rPr>
        <w:t xml:space="preserve"> </w:t>
      </w:r>
      <w:r w:rsidRPr="00E31F85">
        <w:rPr>
          <w:lang w:val="fr-FR"/>
        </w:rPr>
        <w:t>l</w:t>
      </w:r>
      <w:r w:rsidR="000B2B75">
        <w:rPr>
          <w:lang w:val="fr-FR"/>
        </w:rPr>
        <w:t>’</w:t>
      </w:r>
      <w:r w:rsidRPr="00E31F85">
        <w:rPr>
          <w:lang w:val="fr-FR"/>
        </w:rPr>
        <w:t>introduction</w:t>
      </w:r>
      <w:r w:rsidRPr="00F82F28">
        <w:rPr>
          <w:bCs/>
          <w:lang w:val="fr-FR"/>
        </w:rPr>
        <w:t xml:space="preserve"> de l</w:t>
      </w:r>
      <w:r w:rsidR="000B2B75">
        <w:rPr>
          <w:bCs/>
          <w:lang w:val="fr-FR"/>
        </w:rPr>
        <w:t>’</w:t>
      </w:r>
      <w:r w:rsidRPr="00F82F28">
        <w:rPr>
          <w:bCs/>
          <w:lang w:val="fr-FR"/>
        </w:rPr>
        <w:t xml:space="preserve">expression </w:t>
      </w:r>
      <w:r>
        <w:rPr>
          <w:bCs/>
          <w:lang w:val="fr-FR"/>
        </w:rPr>
        <w:br/>
      </w:r>
      <w:r w:rsidRPr="00F82F28">
        <w:rPr>
          <w:bCs/>
          <w:lang w:val="fr-FR"/>
        </w:rPr>
        <w:t xml:space="preserve">« AVEC RÉGULATION DE TEMPÉRATURE » au paragraphe 3.1.2.6 </w:t>
      </w:r>
      <w:r>
        <w:rPr>
          <w:bCs/>
          <w:lang w:val="fr-FR"/>
        </w:rPr>
        <w:br/>
      </w:r>
      <w:r w:rsidRPr="00F82F28">
        <w:rPr>
          <w:bCs/>
          <w:lang w:val="fr-FR"/>
        </w:rPr>
        <w:t xml:space="preserve">et </w:t>
      </w:r>
      <w:r>
        <w:rPr>
          <w:bCs/>
          <w:lang w:val="fr-FR"/>
        </w:rPr>
        <w:t>à l</w:t>
      </w:r>
      <w:r w:rsidR="000B2B75">
        <w:rPr>
          <w:bCs/>
          <w:lang w:val="fr-FR"/>
        </w:rPr>
        <w:t>’</w:t>
      </w:r>
      <w:r>
        <w:rPr>
          <w:bCs/>
          <w:lang w:val="fr-FR"/>
        </w:rPr>
        <w:t xml:space="preserve">inclusion </w:t>
      </w:r>
      <w:r w:rsidRPr="00F82F28">
        <w:rPr>
          <w:bCs/>
          <w:lang w:val="fr-FR"/>
        </w:rPr>
        <w:t xml:space="preserve">du terme « FONDU » dans la désignation officielle </w:t>
      </w:r>
      <w:r>
        <w:rPr>
          <w:bCs/>
          <w:lang w:val="fr-FR"/>
        </w:rPr>
        <w:br/>
      </w:r>
      <w:r w:rsidRPr="00F82F28">
        <w:rPr>
          <w:bCs/>
          <w:lang w:val="fr-FR"/>
        </w:rPr>
        <w:t xml:space="preserve">de transport </w:t>
      </w:r>
      <w:r>
        <w:rPr>
          <w:bCs/>
          <w:lang w:val="fr-FR"/>
        </w:rPr>
        <w:t xml:space="preserve">figurant </w:t>
      </w:r>
      <w:r w:rsidRPr="00F82F28">
        <w:rPr>
          <w:bCs/>
          <w:lang w:val="fr-FR"/>
        </w:rPr>
        <w:t>dans le document de transport</w:t>
      </w:r>
      <w:r>
        <w:rPr>
          <w:bCs/>
          <w:lang w:val="fr-FR"/>
        </w:rPr>
        <w:tab/>
      </w:r>
      <w:r>
        <w:rPr>
          <w:bCs/>
          <w:lang w:val="fr-FR"/>
        </w:rPr>
        <w:tab/>
        <w:t>34</w:t>
      </w:r>
      <w:r>
        <w:rPr>
          <w:bCs/>
          <w:lang w:val="fr-FR"/>
        </w:rPr>
        <w:tab/>
      </w:r>
      <w:r w:rsidR="001914A2">
        <w:rPr>
          <w:bCs/>
          <w:lang w:val="fr-FR"/>
        </w:rPr>
        <w:t>10</w:t>
      </w:r>
    </w:p>
    <w:p w14:paraId="2170EFB6" w14:textId="77777777" w:rsidR="00466C5C" w:rsidRDefault="00466C5C" w:rsidP="00BD0702">
      <w:pPr>
        <w:tabs>
          <w:tab w:val="right" w:leader="dot" w:pos="7654"/>
          <w:tab w:val="right" w:pos="8929"/>
          <w:tab w:val="right" w:pos="9638"/>
        </w:tabs>
        <w:spacing w:after="120"/>
        <w:ind w:left="1559" w:hanging="425"/>
        <w:rPr>
          <w:lang w:val="fr-FR"/>
        </w:rPr>
      </w:pPr>
      <w:r>
        <w:rPr>
          <w:bCs/>
          <w:lang w:val="fr-FR"/>
        </w:rPr>
        <w:t>H.</w:t>
      </w:r>
      <w:r>
        <w:rPr>
          <w:bCs/>
          <w:lang w:val="fr-FR"/>
        </w:rPr>
        <w:tab/>
      </w:r>
      <w:r w:rsidRPr="00F82F28">
        <w:rPr>
          <w:lang w:val="fr-FR"/>
        </w:rPr>
        <w:t>Modifications relatives aux récipients à pression de secours</w:t>
      </w:r>
      <w:r>
        <w:rPr>
          <w:lang w:val="fr-FR"/>
        </w:rPr>
        <w:tab/>
      </w:r>
      <w:r>
        <w:rPr>
          <w:lang w:val="fr-FR"/>
        </w:rPr>
        <w:tab/>
        <w:t>35</w:t>
      </w:r>
      <w:r>
        <w:rPr>
          <w:lang w:val="fr-FR"/>
        </w:rPr>
        <w:tab/>
      </w:r>
      <w:r w:rsidR="002A1B1F">
        <w:rPr>
          <w:lang w:val="fr-FR"/>
        </w:rPr>
        <w:t>11</w:t>
      </w:r>
    </w:p>
    <w:p w14:paraId="04A8E5B3" w14:textId="0396D2C0" w:rsidR="00466C5C" w:rsidRDefault="00466C5C" w:rsidP="00BD0702">
      <w:pPr>
        <w:tabs>
          <w:tab w:val="right" w:leader="dot" w:pos="7654"/>
          <w:tab w:val="right" w:pos="8929"/>
          <w:tab w:val="right" w:pos="9638"/>
        </w:tabs>
        <w:spacing w:after="120"/>
        <w:ind w:left="1559" w:hanging="425"/>
        <w:rPr>
          <w:bCs/>
          <w:lang w:val="fr-FR"/>
        </w:rPr>
      </w:pPr>
      <w:r>
        <w:rPr>
          <w:lang w:val="fr-FR"/>
        </w:rPr>
        <w:t>I.</w:t>
      </w:r>
      <w:r>
        <w:rPr>
          <w:lang w:val="fr-FR"/>
        </w:rPr>
        <w:tab/>
      </w:r>
      <w:r w:rsidR="00BD1B68" w:rsidRPr="00F82F28">
        <w:rPr>
          <w:bCs/>
          <w:lang w:val="fr-FR"/>
        </w:rPr>
        <w:t>Demande d</w:t>
      </w:r>
      <w:r w:rsidR="000B2B75">
        <w:rPr>
          <w:bCs/>
          <w:lang w:val="fr-FR"/>
        </w:rPr>
        <w:t>’</w:t>
      </w:r>
      <w:r w:rsidR="00BD1B68" w:rsidRPr="00F82F28">
        <w:rPr>
          <w:bCs/>
          <w:lang w:val="fr-FR"/>
        </w:rPr>
        <w:t xml:space="preserve">un nouveau numéro ONU </w:t>
      </w:r>
      <w:r w:rsidR="00BD1B68">
        <w:rPr>
          <w:bCs/>
          <w:lang w:val="fr-FR"/>
        </w:rPr>
        <w:br/>
      </w:r>
      <w:r w:rsidR="00BD1B68" w:rsidRPr="00F82F28">
        <w:rPr>
          <w:bCs/>
          <w:lang w:val="fr-FR"/>
        </w:rPr>
        <w:t>pour la poudre de dihydroxyde de cobalt</w:t>
      </w:r>
      <w:r w:rsidR="00BD1B68">
        <w:rPr>
          <w:bCs/>
          <w:lang w:val="fr-FR"/>
        </w:rPr>
        <w:tab/>
      </w:r>
      <w:r w:rsidR="00BD1B68">
        <w:rPr>
          <w:bCs/>
          <w:lang w:val="fr-FR"/>
        </w:rPr>
        <w:tab/>
        <w:t>36−37</w:t>
      </w:r>
      <w:r w:rsidR="00BD1B68">
        <w:rPr>
          <w:bCs/>
          <w:lang w:val="fr-FR"/>
        </w:rPr>
        <w:tab/>
      </w:r>
      <w:r w:rsidR="002A1B1F">
        <w:rPr>
          <w:bCs/>
          <w:lang w:val="fr-FR"/>
        </w:rPr>
        <w:t>11</w:t>
      </w:r>
    </w:p>
    <w:p w14:paraId="5E80A991" w14:textId="7E67C84D" w:rsidR="00BD1B68" w:rsidRDefault="00BD1B68" w:rsidP="00BD0702">
      <w:pPr>
        <w:tabs>
          <w:tab w:val="right" w:leader="dot" w:pos="7654"/>
          <w:tab w:val="right" w:pos="8929"/>
          <w:tab w:val="right" w:pos="9638"/>
        </w:tabs>
        <w:spacing w:after="120"/>
        <w:ind w:left="1559" w:hanging="425"/>
        <w:rPr>
          <w:bCs/>
          <w:lang w:val="fr-FR"/>
        </w:rPr>
      </w:pPr>
      <w:r>
        <w:rPr>
          <w:bCs/>
          <w:lang w:val="fr-FR"/>
        </w:rPr>
        <w:t>J.</w:t>
      </w:r>
      <w:r>
        <w:rPr>
          <w:bCs/>
          <w:lang w:val="fr-FR"/>
        </w:rPr>
        <w:tab/>
      </w:r>
      <w:r w:rsidRPr="00F82F28">
        <w:rPr>
          <w:bCs/>
          <w:lang w:val="fr-FR"/>
        </w:rPr>
        <w:t>Amendements à l</w:t>
      </w:r>
      <w:r w:rsidR="000B2B75">
        <w:rPr>
          <w:bCs/>
          <w:lang w:val="fr-FR"/>
        </w:rPr>
        <w:t>’</w:t>
      </w:r>
      <w:r w:rsidRPr="00F82F28">
        <w:rPr>
          <w:bCs/>
          <w:lang w:val="fr-FR"/>
        </w:rPr>
        <w:t>instruction d</w:t>
      </w:r>
      <w:r w:rsidR="000B2B75">
        <w:rPr>
          <w:bCs/>
          <w:lang w:val="fr-FR"/>
        </w:rPr>
        <w:t>’</w:t>
      </w:r>
      <w:r w:rsidRPr="00F82F28">
        <w:rPr>
          <w:bCs/>
          <w:lang w:val="fr-FR"/>
        </w:rPr>
        <w:t>emballage P621</w:t>
      </w:r>
      <w:r>
        <w:rPr>
          <w:bCs/>
          <w:lang w:val="fr-FR"/>
        </w:rPr>
        <w:tab/>
      </w:r>
      <w:r>
        <w:rPr>
          <w:bCs/>
          <w:lang w:val="fr-FR"/>
        </w:rPr>
        <w:tab/>
        <w:t>38</w:t>
      </w:r>
      <w:r>
        <w:rPr>
          <w:bCs/>
          <w:lang w:val="fr-FR"/>
        </w:rPr>
        <w:tab/>
      </w:r>
      <w:r w:rsidR="002A1B1F">
        <w:rPr>
          <w:bCs/>
          <w:lang w:val="fr-FR"/>
        </w:rPr>
        <w:t>11</w:t>
      </w:r>
    </w:p>
    <w:p w14:paraId="08F5F998" w14:textId="2E61314D" w:rsidR="00BD1B68" w:rsidRDefault="00BD1B68" w:rsidP="00BD0702">
      <w:pPr>
        <w:tabs>
          <w:tab w:val="right" w:leader="dot" w:pos="7654"/>
          <w:tab w:val="right" w:pos="8929"/>
          <w:tab w:val="right" w:pos="9638"/>
        </w:tabs>
        <w:spacing w:after="120"/>
        <w:ind w:left="1559" w:hanging="425"/>
        <w:rPr>
          <w:bCs/>
          <w:lang w:val="fr-FR"/>
        </w:rPr>
      </w:pPr>
      <w:r>
        <w:rPr>
          <w:bCs/>
          <w:lang w:val="fr-FR"/>
        </w:rPr>
        <w:t>K.</w:t>
      </w:r>
      <w:r>
        <w:rPr>
          <w:bCs/>
          <w:lang w:val="fr-FR"/>
        </w:rPr>
        <w:tab/>
      </w:r>
      <w:r w:rsidRPr="00F82F28">
        <w:rPr>
          <w:bCs/>
          <w:lang w:val="fr-FR"/>
        </w:rPr>
        <w:t>Modification du classement des toxines extraites d</w:t>
      </w:r>
      <w:r w:rsidR="000B2B75">
        <w:rPr>
          <w:bCs/>
          <w:lang w:val="fr-FR"/>
        </w:rPr>
        <w:t>’</w:t>
      </w:r>
      <w:r w:rsidRPr="00F82F28">
        <w:rPr>
          <w:bCs/>
          <w:lang w:val="fr-FR"/>
        </w:rPr>
        <w:t>organismes vivants</w:t>
      </w:r>
      <w:r>
        <w:rPr>
          <w:bCs/>
          <w:lang w:val="fr-FR"/>
        </w:rPr>
        <w:tab/>
      </w:r>
      <w:r>
        <w:rPr>
          <w:bCs/>
          <w:lang w:val="fr-FR"/>
        </w:rPr>
        <w:tab/>
        <w:t>39</w:t>
      </w:r>
      <w:r>
        <w:rPr>
          <w:bCs/>
          <w:lang w:val="fr-FR"/>
        </w:rPr>
        <w:tab/>
      </w:r>
      <w:r w:rsidR="002A1B1F">
        <w:rPr>
          <w:bCs/>
          <w:lang w:val="fr-FR"/>
        </w:rPr>
        <w:t>11</w:t>
      </w:r>
    </w:p>
    <w:p w14:paraId="5F74EE7E" w14:textId="77777777" w:rsidR="00BD1B68" w:rsidRDefault="00BD1B68" w:rsidP="00BD0702">
      <w:pPr>
        <w:tabs>
          <w:tab w:val="right" w:leader="dot" w:pos="7654"/>
          <w:tab w:val="right" w:pos="8929"/>
          <w:tab w:val="right" w:pos="9638"/>
        </w:tabs>
        <w:spacing w:after="120"/>
        <w:ind w:left="1559" w:hanging="425"/>
        <w:rPr>
          <w:bCs/>
          <w:lang w:val="fr-FR"/>
        </w:rPr>
      </w:pPr>
      <w:r>
        <w:rPr>
          <w:bCs/>
          <w:lang w:val="fr-FR"/>
        </w:rPr>
        <w:t>L.</w:t>
      </w:r>
      <w:r>
        <w:rPr>
          <w:bCs/>
          <w:lang w:val="fr-FR"/>
        </w:rPr>
        <w:tab/>
      </w:r>
      <w:r w:rsidRPr="00F82F28">
        <w:rPr>
          <w:bCs/>
          <w:lang w:val="fr-FR"/>
        </w:rPr>
        <w:t>Modification des quantités exceptées pour le No ONU 3208</w:t>
      </w:r>
      <w:r>
        <w:rPr>
          <w:bCs/>
          <w:lang w:val="fr-FR"/>
        </w:rPr>
        <w:tab/>
      </w:r>
      <w:r>
        <w:rPr>
          <w:bCs/>
          <w:lang w:val="fr-FR"/>
        </w:rPr>
        <w:tab/>
        <w:t>40</w:t>
      </w:r>
      <w:r>
        <w:rPr>
          <w:bCs/>
          <w:lang w:val="fr-FR"/>
        </w:rPr>
        <w:tab/>
      </w:r>
      <w:r w:rsidR="002A1B1F">
        <w:rPr>
          <w:bCs/>
          <w:lang w:val="fr-FR"/>
        </w:rPr>
        <w:t>11</w:t>
      </w:r>
    </w:p>
    <w:p w14:paraId="23EE5368" w14:textId="77777777" w:rsidR="00BD1B68" w:rsidRDefault="00BD1B68" w:rsidP="00BD0702">
      <w:pPr>
        <w:tabs>
          <w:tab w:val="right" w:leader="dot" w:pos="7654"/>
          <w:tab w:val="right" w:pos="8929"/>
          <w:tab w:val="right" w:pos="9638"/>
        </w:tabs>
        <w:spacing w:after="120"/>
        <w:ind w:left="1559" w:hanging="425"/>
        <w:rPr>
          <w:bCs/>
          <w:lang w:val="fr-FR"/>
        </w:rPr>
      </w:pPr>
      <w:r>
        <w:rPr>
          <w:bCs/>
          <w:lang w:val="fr-FR"/>
        </w:rPr>
        <w:t>M.</w:t>
      </w:r>
      <w:r>
        <w:rPr>
          <w:bCs/>
          <w:lang w:val="fr-FR"/>
        </w:rPr>
        <w:tab/>
      </w:r>
      <w:r w:rsidRPr="00F82F28">
        <w:rPr>
          <w:bCs/>
          <w:lang w:val="fr-FR"/>
        </w:rPr>
        <w:t>Observations sur le document ST/SG/AC.10/C.3/2020/32</w:t>
      </w:r>
      <w:r>
        <w:rPr>
          <w:bCs/>
          <w:lang w:val="fr-FR"/>
        </w:rPr>
        <w:tab/>
      </w:r>
      <w:r>
        <w:rPr>
          <w:bCs/>
          <w:lang w:val="fr-FR"/>
        </w:rPr>
        <w:tab/>
        <w:t>41</w:t>
      </w:r>
      <w:r>
        <w:rPr>
          <w:bCs/>
          <w:lang w:val="fr-FR"/>
        </w:rPr>
        <w:tab/>
      </w:r>
      <w:r w:rsidR="002A1B1F">
        <w:rPr>
          <w:bCs/>
          <w:lang w:val="fr-FR"/>
        </w:rPr>
        <w:t>11</w:t>
      </w:r>
    </w:p>
    <w:p w14:paraId="09028B62" w14:textId="77777777" w:rsidR="00BD1B68" w:rsidRDefault="00BD1B68" w:rsidP="00BD0702">
      <w:pPr>
        <w:tabs>
          <w:tab w:val="right" w:leader="dot" w:pos="7654"/>
          <w:tab w:val="right" w:pos="8929"/>
          <w:tab w:val="right" w:pos="9638"/>
        </w:tabs>
        <w:spacing w:after="120"/>
        <w:ind w:left="1559" w:hanging="425"/>
        <w:rPr>
          <w:bCs/>
          <w:lang w:val="fr-FR"/>
        </w:rPr>
      </w:pPr>
      <w:r>
        <w:rPr>
          <w:bCs/>
          <w:lang w:val="fr-FR"/>
        </w:rPr>
        <w:t>N.</w:t>
      </w:r>
      <w:r>
        <w:rPr>
          <w:bCs/>
          <w:lang w:val="fr-FR"/>
        </w:rPr>
        <w:tab/>
      </w:r>
      <w:r w:rsidRPr="00F82F28">
        <w:rPr>
          <w:bCs/>
          <w:lang w:val="fr-FR"/>
        </w:rPr>
        <w:t>Actualisation des renvois à une norme</w:t>
      </w:r>
      <w:r>
        <w:rPr>
          <w:bCs/>
          <w:lang w:val="fr-FR"/>
        </w:rPr>
        <w:tab/>
      </w:r>
      <w:r>
        <w:rPr>
          <w:bCs/>
          <w:lang w:val="fr-FR"/>
        </w:rPr>
        <w:tab/>
        <w:t>42</w:t>
      </w:r>
      <w:r>
        <w:rPr>
          <w:bCs/>
          <w:lang w:val="fr-FR"/>
        </w:rPr>
        <w:tab/>
      </w:r>
      <w:r w:rsidR="002A1B1F">
        <w:rPr>
          <w:bCs/>
          <w:lang w:val="fr-FR"/>
        </w:rPr>
        <w:t>12</w:t>
      </w:r>
    </w:p>
    <w:p w14:paraId="41A9F6D5" w14:textId="77777777" w:rsidR="00BD1B68" w:rsidRDefault="00BD1B68" w:rsidP="00BD0702">
      <w:pPr>
        <w:tabs>
          <w:tab w:val="right" w:leader="dot" w:pos="7654"/>
          <w:tab w:val="right" w:pos="8929"/>
          <w:tab w:val="right" w:pos="9638"/>
        </w:tabs>
        <w:spacing w:after="120"/>
        <w:ind w:left="1559" w:hanging="425"/>
        <w:rPr>
          <w:bCs/>
          <w:lang w:val="fr-FR"/>
        </w:rPr>
      </w:pPr>
      <w:r>
        <w:rPr>
          <w:bCs/>
          <w:lang w:val="fr-FR"/>
        </w:rPr>
        <w:t>O.</w:t>
      </w:r>
      <w:r>
        <w:rPr>
          <w:bCs/>
          <w:lang w:val="fr-FR"/>
        </w:rPr>
        <w:tab/>
      </w:r>
      <w:r w:rsidRPr="00F82F28">
        <w:rPr>
          <w:bCs/>
          <w:lang w:val="fr-FR"/>
        </w:rPr>
        <w:t>Disposition spéciale pour le No ONU 1013, dioxyde de carbone</w:t>
      </w:r>
      <w:r>
        <w:rPr>
          <w:bCs/>
          <w:lang w:val="fr-FR"/>
        </w:rPr>
        <w:tab/>
      </w:r>
      <w:r>
        <w:rPr>
          <w:bCs/>
          <w:lang w:val="fr-FR"/>
        </w:rPr>
        <w:tab/>
        <w:t>43</w:t>
      </w:r>
      <w:r>
        <w:rPr>
          <w:bCs/>
          <w:lang w:val="fr-FR"/>
        </w:rPr>
        <w:tab/>
      </w:r>
      <w:r w:rsidR="002A1B1F">
        <w:rPr>
          <w:bCs/>
          <w:lang w:val="fr-FR"/>
        </w:rPr>
        <w:t>12</w:t>
      </w:r>
    </w:p>
    <w:p w14:paraId="306F271E" w14:textId="4B72F607" w:rsidR="00BD1B68" w:rsidRDefault="00BD1B68" w:rsidP="00BD0702">
      <w:pPr>
        <w:tabs>
          <w:tab w:val="right" w:leader="dot" w:pos="7654"/>
          <w:tab w:val="right" w:pos="8929"/>
          <w:tab w:val="right" w:pos="9638"/>
        </w:tabs>
        <w:spacing w:after="120"/>
        <w:ind w:left="1559" w:hanging="425"/>
        <w:rPr>
          <w:bCs/>
          <w:lang w:val="fr-FR"/>
        </w:rPr>
      </w:pPr>
      <w:r>
        <w:rPr>
          <w:bCs/>
          <w:lang w:val="fr-FR"/>
        </w:rPr>
        <w:t>P.</w:t>
      </w:r>
      <w:r>
        <w:rPr>
          <w:bCs/>
          <w:lang w:val="fr-FR"/>
        </w:rPr>
        <w:tab/>
      </w:r>
      <w:r w:rsidRPr="00F82F28">
        <w:rPr>
          <w:bCs/>
          <w:lang w:val="fr-FR"/>
        </w:rPr>
        <w:t>Clarification du champ d</w:t>
      </w:r>
      <w:r w:rsidR="000B2B75">
        <w:rPr>
          <w:bCs/>
          <w:lang w:val="fr-FR"/>
        </w:rPr>
        <w:t>’</w:t>
      </w:r>
      <w:r w:rsidRPr="00F82F28">
        <w:rPr>
          <w:bCs/>
          <w:lang w:val="fr-FR"/>
        </w:rPr>
        <w:t>application de la disposition spéciale 354</w:t>
      </w:r>
      <w:r>
        <w:rPr>
          <w:bCs/>
          <w:lang w:val="fr-FR"/>
        </w:rPr>
        <w:tab/>
      </w:r>
      <w:r>
        <w:rPr>
          <w:bCs/>
          <w:lang w:val="fr-FR"/>
        </w:rPr>
        <w:tab/>
        <w:t>44</w:t>
      </w:r>
      <w:r>
        <w:rPr>
          <w:bCs/>
          <w:lang w:val="fr-FR"/>
        </w:rPr>
        <w:tab/>
      </w:r>
      <w:r w:rsidR="002A1B1F">
        <w:rPr>
          <w:bCs/>
          <w:lang w:val="fr-FR"/>
        </w:rPr>
        <w:t>12</w:t>
      </w:r>
    </w:p>
    <w:p w14:paraId="333C664B" w14:textId="27DC61E0" w:rsidR="00BD1B68" w:rsidRDefault="00BD1B68" w:rsidP="00BD0702">
      <w:pPr>
        <w:tabs>
          <w:tab w:val="right" w:leader="dot" w:pos="7654"/>
          <w:tab w:val="right" w:pos="8929"/>
          <w:tab w:val="right" w:pos="9638"/>
        </w:tabs>
        <w:spacing w:after="120"/>
        <w:ind w:left="1559" w:hanging="425"/>
        <w:rPr>
          <w:bCs/>
          <w:lang w:val="fr-FR"/>
        </w:rPr>
      </w:pPr>
      <w:r>
        <w:rPr>
          <w:bCs/>
          <w:lang w:val="fr-FR"/>
        </w:rPr>
        <w:t>Q.</w:t>
      </w:r>
      <w:r>
        <w:rPr>
          <w:bCs/>
          <w:lang w:val="fr-FR"/>
        </w:rPr>
        <w:tab/>
      </w:r>
      <w:r w:rsidRPr="00F82F28">
        <w:rPr>
          <w:bCs/>
          <w:lang w:val="fr-FR"/>
        </w:rPr>
        <w:t>Classement du No ONU 1891 BROMURE D</w:t>
      </w:r>
      <w:r w:rsidR="000B2B75">
        <w:rPr>
          <w:bCs/>
          <w:lang w:val="fr-FR"/>
        </w:rPr>
        <w:t>’</w:t>
      </w:r>
      <w:r w:rsidRPr="00F82F28">
        <w:rPr>
          <w:bCs/>
          <w:lang w:val="fr-FR"/>
        </w:rPr>
        <w:t>ÉTHYLE</w:t>
      </w:r>
      <w:r>
        <w:rPr>
          <w:bCs/>
          <w:lang w:val="fr-FR"/>
        </w:rPr>
        <w:tab/>
      </w:r>
      <w:r>
        <w:rPr>
          <w:bCs/>
          <w:lang w:val="fr-FR"/>
        </w:rPr>
        <w:tab/>
        <w:t>45</w:t>
      </w:r>
      <w:r>
        <w:rPr>
          <w:bCs/>
          <w:lang w:val="fr-FR"/>
        </w:rPr>
        <w:tab/>
      </w:r>
      <w:r w:rsidR="002A1B1F">
        <w:rPr>
          <w:bCs/>
          <w:lang w:val="fr-FR"/>
        </w:rPr>
        <w:t>12</w:t>
      </w:r>
    </w:p>
    <w:p w14:paraId="2F2D0E29" w14:textId="77777777" w:rsidR="00BD1B68" w:rsidRDefault="00BD1B68" w:rsidP="00BD0702">
      <w:pPr>
        <w:tabs>
          <w:tab w:val="right" w:leader="dot" w:pos="7654"/>
          <w:tab w:val="right" w:pos="8929"/>
          <w:tab w:val="right" w:pos="9638"/>
        </w:tabs>
        <w:spacing w:after="120"/>
        <w:ind w:left="1559" w:hanging="425"/>
        <w:rPr>
          <w:bCs/>
          <w:lang w:val="fr-FR"/>
        </w:rPr>
      </w:pPr>
      <w:r>
        <w:rPr>
          <w:bCs/>
          <w:lang w:val="fr-FR"/>
        </w:rPr>
        <w:t>R.</w:t>
      </w:r>
      <w:r>
        <w:rPr>
          <w:bCs/>
          <w:lang w:val="fr-FR"/>
        </w:rPr>
        <w:tab/>
      </w:r>
      <w:r w:rsidRPr="00F82F28">
        <w:rPr>
          <w:bCs/>
          <w:lang w:val="fr-FR"/>
        </w:rPr>
        <w:t>Amendement à la disposition spéciale 142</w:t>
      </w:r>
      <w:r>
        <w:rPr>
          <w:bCs/>
          <w:lang w:val="fr-FR"/>
        </w:rPr>
        <w:tab/>
      </w:r>
      <w:r>
        <w:rPr>
          <w:bCs/>
          <w:lang w:val="fr-FR"/>
        </w:rPr>
        <w:tab/>
        <w:t>46</w:t>
      </w:r>
      <w:r>
        <w:rPr>
          <w:bCs/>
          <w:lang w:val="fr-FR"/>
        </w:rPr>
        <w:tab/>
      </w:r>
      <w:r w:rsidR="002A1B1F">
        <w:rPr>
          <w:bCs/>
          <w:lang w:val="fr-FR"/>
        </w:rPr>
        <w:t>12</w:t>
      </w:r>
    </w:p>
    <w:p w14:paraId="6E84F63C" w14:textId="3CC11FEE" w:rsidR="00BD1B68" w:rsidRDefault="00BD1B68" w:rsidP="00BD0702">
      <w:pPr>
        <w:tabs>
          <w:tab w:val="right" w:leader="dot" w:pos="7654"/>
          <w:tab w:val="right" w:pos="8929"/>
          <w:tab w:val="right" w:pos="9638"/>
        </w:tabs>
        <w:spacing w:after="120"/>
        <w:ind w:left="1559" w:hanging="425"/>
        <w:rPr>
          <w:bCs/>
          <w:lang w:val="fr-FR"/>
        </w:rPr>
      </w:pPr>
      <w:r>
        <w:rPr>
          <w:bCs/>
          <w:lang w:val="fr-FR"/>
        </w:rPr>
        <w:t>S.</w:t>
      </w:r>
      <w:r>
        <w:rPr>
          <w:bCs/>
          <w:lang w:val="fr-FR"/>
        </w:rPr>
        <w:tab/>
      </w:r>
      <w:r w:rsidRPr="00F82F28">
        <w:rPr>
          <w:bCs/>
          <w:lang w:val="fr-FR"/>
        </w:rPr>
        <w:t xml:space="preserve">Numéro ONU 2189 </w:t>
      </w:r>
      <w:r>
        <w:rPr>
          <w:bCs/>
          <w:lang w:val="fr-FR"/>
        </w:rPr>
        <w:t>−</w:t>
      </w:r>
      <w:r w:rsidRPr="00F82F28">
        <w:rPr>
          <w:bCs/>
          <w:lang w:val="fr-FR"/>
        </w:rPr>
        <w:t xml:space="preserve"> Correction</w:t>
      </w:r>
      <w:r>
        <w:rPr>
          <w:bCs/>
          <w:lang w:val="fr-FR"/>
        </w:rPr>
        <w:t xml:space="preserve"> apportée</w:t>
      </w:r>
      <w:r w:rsidRPr="00F82F28">
        <w:rPr>
          <w:bCs/>
          <w:lang w:val="fr-FR"/>
        </w:rPr>
        <w:t xml:space="preserve"> à </w:t>
      </w:r>
      <w:r>
        <w:rPr>
          <w:bCs/>
          <w:lang w:val="fr-FR"/>
        </w:rPr>
        <w:t>l</w:t>
      </w:r>
      <w:r w:rsidR="000B2B75">
        <w:rPr>
          <w:bCs/>
          <w:lang w:val="fr-FR"/>
        </w:rPr>
        <w:t>’</w:t>
      </w:r>
      <w:r>
        <w:rPr>
          <w:bCs/>
          <w:lang w:val="fr-FR"/>
        </w:rPr>
        <w:t xml:space="preserve">instruction </w:t>
      </w:r>
      <w:r w:rsidRPr="00F82F28">
        <w:rPr>
          <w:bCs/>
          <w:lang w:val="fr-FR"/>
        </w:rPr>
        <w:t>P200</w:t>
      </w:r>
      <w:r>
        <w:rPr>
          <w:bCs/>
          <w:lang w:val="fr-FR"/>
        </w:rPr>
        <w:tab/>
      </w:r>
      <w:r>
        <w:rPr>
          <w:bCs/>
          <w:lang w:val="fr-FR"/>
        </w:rPr>
        <w:tab/>
        <w:t>47</w:t>
      </w:r>
      <w:r>
        <w:rPr>
          <w:bCs/>
          <w:lang w:val="fr-FR"/>
        </w:rPr>
        <w:tab/>
      </w:r>
      <w:r w:rsidR="002A1B1F">
        <w:rPr>
          <w:bCs/>
          <w:lang w:val="fr-FR"/>
        </w:rPr>
        <w:t>12</w:t>
      </w:r>
    </w:p>
    <w:p w14:paraId="7DE7569A" w14:textId="77777777" w:rsidR="00BD1B68" w:rsidRDefault="00BD1B68" w:rsidP="00BD0702">
      <w:pPr>
        <w:tabs>
          <w:tab w:val="right" w:leader="dot" w:pos="7654"/>
          <w:tab w:val="right" w:pos="8929"/>
          <w:tab w:val="right" w:pos="9638"/>
        </w:tabs>
        <w:spacing w:after="120"/>
        <w:ind w:left="1559" w:hanging="425"/>
        <w:rPr>
          <w:bCs/>
          <w:lang w:val="fr-FR"/>
        </w:rPr>
      </w:pPr>
      <w:r>
        <w:rPr>
          <w:bCs/>
          <w:lang w:val="fr-FR"/>
        </w:rPr>
        <w:t>T.</w:t>
      </w:r>
      <w:r>
        <w:rPr>
          <w:bCs/>
          <w:lang w:val="fr-FR"/>
        </w:rPr>
        <w:tab/>
      </w:r>
      <w:r w:rsidRPr="00F82F28">
        <w:rPr>
          <w:bCs/>
          <w:lang w:val="fr-FR"/>
        </w:rPr>
        <w:t>Révision de la disposition spéciale 301</w:t>
      </w:r>
      <w:r>
        <w:rPr>
          <w:bCs/>
          <w:lang w:val="fr-FR"/>
        </w:rPr>
        <w:tab/>
      </w:r>
      <w:r>
        <w:rPr>
          <w:bCs/>
          <w:lang w:val="fr-FR"/>
        </w:rPr>
        <w:tab/>
        <w:t>48</w:t>
      </w:r>
      <w:r>
        <w:rPr>
          <w:bCs/>
          <w:lang w:val="fr-FR"/>
        </w:rPr>
        <w:tab/>
      </w:r>
      <w:r w:rsidR="002A1B1F">
        <w:rPr>
          <w:bCs/>
          <w:lang w:val="fr-FR"/>
        </w:rPr>
        <w:t>12</w:t>
      </w:r>
    </w:p>
    <w:p w14:paraId="2EF2470F" w14:textId="333859E9" w:rsidR="00BD1B68" w:rsidRDefault="00BD1B68" w:rsidP="00BD0702">
      <w:pPr>
        <w:tabs>
          <w:tab w:val="right" w:leader="dot" w:pos="7654"/>
          <w:tab w:val="right" w:pos="8929"/>
          <w:tab w:val="right" w:pos="9638"/>
        </w:tabs>
        <w:spacing w:after="120"/>
        <w:ind w:left="1559" w:hanging="425"/>
        <w:rPr>
          <w:bCs/>
          <w:lang w:val="fr-FR"/>
        </w:rPr>
      </w:pPr>
      <w:r>
        <w:rPr>
          <w:bCs/>
          <w:lang w:val="fr-FR"/>
        </w:rPr>
        <w:t>U.</w:t>
      </w:r>
      <w:r>
        <w:rPr>
          <w:bCs/>
          <w:lang w:val="fr-FR"/>
        </w:rPr>
        <w:tab/>
      </w:r>
      <w:r w:rsidRPr="00F82F28">
        <w:rPr>
          <w:bCs/>
          <w:lang w:val="fr-FR"/>
        </w:rPr>
        <w:t>Proposition d</w:t>
      </w:r>
      <w:r w:rsidR="000B2B75">
        <w:rPr>
          <w:bCs/>
          <w:lang w:val="fr-FR"/>
        </w:rPr>
        <w:t>’</w:t>
      </w:r>
      <w:r w:rsidRPr="00F82F28">
        <w:rPr>
          <w:bCs/>
          <w:lang w:val="fr-FR"/>
        </w:rPr>
        <w:t>amendement à la disposition spéciale 396 telle qu</w:t>
      </w:r>
      <w:r w:rsidR="000B2B75">
        <w:rPr>
          <w:bCs/>
          <w:lang w:val="fr-FR"/>
        </w:rPr>
        <w:t>’</w:t>
      </w:r>
      <w:r w:rsidRPr="00F82F28">
        <w:rPr>
          <w:bCs/>
          <w:lang w:val="fr-FR"/>
        </w:rPr>
        <w:t xml:space="preserve">adoptée </w:t>
      </w:r>
      <w:r>
        <w:rPr>
          <w:bCs/>
          <w:lang w:val="fr-FR"/>
        </w:rPr>
        <w:br/>
      </w:r>
      <w:r w:rsidRPr="00F82F28">
        <w:rPr>
          <w:bCs/>
          <w:lang w:val="fr-FR"/>
        </w:rPr>
        <w:t>à la cinquante-sixième session</w:t>
      </w:r>
      <w:r>
        <w:rPr>
          <w:bCs/>
          <w:lang w:val="fr-FR"/>
        </w:rPr>
        <w:tab/>
      </w:r>
      <w:r>
        <w:rPr>
          <w:bCs/>
          <w:lang w:val="fr-FR"/>
        </w:rPr>
        <w:tab/>
        <w:t>49</w:t>
      </w:r>
      <w:r>
        <w:rPr>
          <w:bCs/>
          <w:lang w:val="fr-FR"/>
        </w:rPr>
        <w:tab/>
      </w:r>
      <w:r w:rsidR="002A1B1F">
        <w:rPr>
          <w:bCs/>
          <w:lang w:val="fr-FR"/>
        </w:rPr>
        <w:t>13</w:t>
      </w:r>
    </w:p>
    <w:p w14:paraId="1F9CE0B2" w14:textId="7192011A" w:rsidR="00BD1B68" w:rsidRDefault="00BD1B68" w:rsidP="00BD1B68">
      <w:pPr>
        <w:tabs>
          <w:tab w:val="right" w:pos="850"/>
          <w:tab w:val="right" w:leader="dot" w:pos="7654"/>
          <w:tab w:val="right" w:pos="8929"/>
          <w:tab w:val="right" w:pos="9638"/>
        </w:tabs>
        <w:spacing w:after="120"/>
        <w:ind w:left="1134" w:hanging="1134"/>
        <w:rPr>
          <w:lang w:val="fr-FR"/>
        </w:rPr>
      </w:pPr>
      <w:r>
        <w:rPr>
          <w:bCs/>
          <w:lang w:val="fr-FR"/>
        </w:rPr>
        <w:tab/>
        <w:t>V.</w:t>
      </w:r>
      <w:r>
        <w:rPr>
          <w:bCs/>
          <w:lang w:val="fr-FR"/>
        </w:rPr>
        <w:tab/>
      </w:r>
      <w:r w:rsidR="00973EB7" w:rsidRPr="005C707D">
        <w:rPr>
          <w:lang w:val="fr-FR"/>
        </w:rPr>
        <w:t>Systèmes de stockage de l</w:t>
      </w:r>
      <w:r w:rsidR="000B2B75">
        <w:rPr>
          <w:lang w:val="fr-FR"/>
        </w:rPr>
        <w:t>’</w:t>
      </w:r>
      <w:r w:rsidR="00973EB7" w:rsidRPr="005C707D">
        <w:rPr>
          <w:lang w:val="fr-FR"/>
        </w:rPr>
        <w:t>électricité (point 4 de l</w:t>
      </w:r>
      <w:r w:rsidR="000B2B75">
        <w:rPr>
          <w:lang w:val="fr-FR"/>
        </w:rPr>
        <w:t>’</w:t>
      </w:r>
      <w:r w:rsidR="00973EB7" w:rsidRPr="005C707D">
        <w:rPr>
          <w:lang w:val="fr-FR"/>
        </w:rPr>
        <w:t>ordre du jour)</w:t>
      </w:r>
      <w:r w:rsidR="00973EB7">
        <w:rPr>
          <w:lang w:val="fr-FR"/>
        </w:rPr>
        <w:tab/>
      </w:r>
      <w:r w:rsidR="00973EB7">
        <w:rPr>
          <w:lang w:val="fr-FR"/>
        </w:rPr>
        <w:tab/>
        <w:t>50−63</w:t>
      </w:r>
      <w:r w:rsidR="00973EB7">
        <w:rPr>
          <w:lang w:val="fr-FR"/>
        </w:rPr>
        <w:tab/>
      </w:r>
      <w:r w:rsidR="002A1B1F">
        <w:rPr>
          <w:lang w:val="fr-FR"/>
        </w:rPr>
        <w:t>13</w:t>
      </w:r>
    </w:p>
    <w:p w14:paraId="6064C2C3" w14:textId="77777777" w:rsidR="00973EB7" w:rsidRDefault="00973EB7" w:rsidP="00973EB7">
      <w:pPr>
        <w:tabs>
          <w:tab w:val="right" w:leader="dot" w:pos="7654"/>
          <w:tab w:val="right" w:pos="8929"/>
          <w:tab w:val="right" w:pos="9638"/>
        </w:tabs>
        <w:spacing w:after="120"/>
        <w:ind w:left="1559" w:hanging="425"/>
        <w:rPr>
          <w:bCs/>
          <w:lang w:val="fr-FR"/>
        </w:rPr>
      </w:pPr>
      <w:r>
        <w:rPr>
          <w:bCs/>
          <w:lang w:val="fr-FR"/>
        </w:rPr>
        <w:t>A.</w:t>
      </w:r>
      <w:r>
        <w:rPr>
          <w:bCs/>
          <w:lang w:val="fr-FR"/>
        </w:rPr>
        <w:tab/>
      </w:r>
      <w:r w:rsidR="0069134B" w:rsidRPr="00F82F28">
        <w:rPr>
          <w:lang w:val="fr-FR"/>
        </w:rPr>
        <w:t>Épreuves pour les batteries au lithium</w:t>
      </w:r>
      <w:r w:rsidR="0069134B">
        <w:rPr>
          <w:lang w:val="fr-FR"/>
        </w:rPr>
        <w:tab/>
      </w:r>
      <w:r w:rsidR="0069134B">
        <w:rPr>
          <w:lang w:val="fr-FR"/>
        </w:rPr>
        <w:tab/>
        <w:t>50−52</w:t>
      </w:r>
      <w:r w:rsidR="0069134B">
        <w:rPr>
          <w:lang w:val="fr-FR"/>
        </w:rPr>
        <w:tab/>
      </w:r>
      <w:r w:rsidR="002A1B1F">
        <w:rPr>
          <w:lang w:val="fr-FR"/>
        </w:rPr>
        <w:t>13</w:t>
      </w:r>
    </w:p>
    <w:p w14:paraId="1490923A" w14:textId="7624BDF1" w:rsidR="00466C5C" w:rsidRDefault="0069134B" w:rsidP="0069134B">
      <w:pPr>
        <w:tabs>
          <w:tab w:val="right" w:leader="dot" w:pos="7654"/>
          <w:tab w:val="right" w:pos="8929"/>
          <w:tab w:val="right" w:pos="9638"/>
        </w:tabs>
        <w:spacing w:after="120"/>
        <w:ind w:left="1984" w:hanging="425"/>
        <w:rPr>
          <w:lang w:val="fr-FR"/>
        </w:rPr>
      </w:pPr>
      <w:r>
        <w:rPr>
          <w:lang w:val="fr-FR"/>
        </w:rPr>
        <w:t>1.</w:t>
      </w:r>
      <w:r>
        <w:rPr>
          <w:lang w:val="fr-FR"/>
        </w:rPr>
        <w:tab/>
      </w:r>
      <w:r w:rsidRPr="00F82F28">
        <w:rPr>
          <w:lang w:val="fr-FR"/>
        </w:rPr>
        <w:t>Applicabilité de l</w:t>
      </w:r>
      <w:r w:rsidR="000B2B75">
        <w:rPr>
          <w:lang w:val="fr-FR"/>
        </w:rPr>
        <w:t>’</w:t>
      </w:r>
      <w:r w:rsidRPr="00F82F28">
        <w:rPr>
          <w:lang w:val="fr-FR"/>
        </w:rPr>
        <w:t>instruction d</w:t>
      </w:r>
      <w:r w:rsidR="000B2B75">
        <w:rPr>
          <w:lang w:val="fr-FR"/>
        </w:rPr>
        <w:t>’</w:t>
      </w:r>
      <w:r w:rsidRPr="00F82F28">
        <w:rPr>
          <w:lang w:val="fr-FR"/>
        </w:rPr>
        <w:t xml:space="preserve">emballage LP906 et précisions </w:t>
      </w:r>
      <w:r>
        <w:rPr>
          <w:lang w:val="fr-FR"/>
        </w:rPr>
        <w:br/>
      </w:r>
      <w:r w:rsidRPr="00F82F28">
        <w:rPr>
          <w:lang w:val="fr-FR"/>
        </w:rPr>
        <w:t>concernant l</w:t>
      </w:r>
      <w:r w:rsidR="000B2B75">
        <w:rPr>
          <w:lang w:val="fr-FR"/>
        </w:rPr>
        <w:t>’</w:t>
      </w:r>
      <w:r w:rsidRPr="00F82F28">
        <w:rPr>
          <w:lang w:val="fr-FR"/>
        </w:rPr>
        <w:t>instruction d</w:t>
      </w:r>
      <w:r w:rsidR="000B2B75">
        <w:rPr>
          <w:lang w:val="fr-FR"/>
        </w:rPr>
        <w:t>’</w:t>
      </w:r>
      <w:r w:rsidRPr="00F82F28">
        <w:rPr>
          <w:lang w:val="fr-FR"/>
        </w:rPr>
        <w:t>emballage P911</w:t>
      </w:r>
      <w:r>
        <w:rPr>
          <w:lang w:val="fr-FR"/>
        </w:rPr>
        <w:tab/>
      </w:r>
      <w:r>
        <w:rPr>
          <w:lang w:val="fr-FR"/>
        </w:rPr>
        <w:tab/>
        <w:t>50</w:t>
      </w:r>
      <w:r>
        <w:rPr>
          <w:lang w:val="fr-FR"/>
        </w:rPr>
        <w:tab/>
      </w:r>
      <w:r w:rsidR="002A1B1F">
        <w:rPr>
          <w:lang w:val="fr-FR"/>
        </w:rPr>
        <w:t>13</w:t>
      </w:r>
    </w:p>
    <w:p w14:paraId="09467751" w14:textId="2B54B000" w:rsidR="0069134B" w:rsidRDefault="0069134B" w:rsidP="0069134B">
      <w:pPr>
        <w:tabs>
          <w:tab w:val="right" w:leader="dot" w:pos="7654"/>
          <w:tab w:val="right" w:pos="8929"/>
          <w:tab w:val="right" w:pos="9638"/>
        </w:tabs>
        <w:spacing w:after="120"/>
        <w:ind w:left="1984" w:hanging="425"/>
        <w:rPr>
          <w:bCs/>
          <w:lang w:val="fr-FR"/>
        </w:rPr>
      </w:pPr>
      <w:r>
        <w:rPr>
          <w:lang w:val="fr-FR"/>
        </w:rPr>
        <w:t>2.</w:t>
      </w:r>
      <w:r>
        <w:rPr>
          <w:lang w:val="fr-FR"/>
        </w:rPr>
        <w:tab/>
      </w:r>
      <w:r w:rsidRPr="00F82F28">
        <w:rPr>
          <w:bCs/>
          <w:lang w:val="fr-FR"/>
        </w:rPr>
        <w:t>Résumé du procès-</w:t>
      </w:r>
      <w:r w:rsidRPr="006355EE">
        <w:rPr>
          <w:lang w:val="fr-FR"/>
        </w:rPr>
        <w:t>verbal</w:t>
      </w:r>
      <w:r w:rsidRPr="00F82F28">
        <w:rPr>
          <w:bCs/>
          <w:lang w:val="fr-FR"/>
        </w:rPr>
        <w:t xml:space="preserve"> d</w:t>
      </w:r>
      <w:r w:rsidR="000B2B75">
        <w:rPr>
          <w:bCs/>
          <w:lang w:val="fr-FR"/>
        </w:rPr>
        <w:t>’</w:t>
      </w:r>
      <w:r w:rsidRPr="00F82F28">
        <w:rPr>
          <w:bCs/>
          <w:lang w:val="fr-FR"/>
        </w:rPr>
        <w:t xml:space="preserve">épreuve concernant </w:t>
      </w:r>
      <w:r>
        <w:rPr>
          <w:bCs/>
          <w:lang w:val="fr-FR"/>
        </w:rPr>
        <w:br/>
      </w:r>
      <w:r w:rsidRPr="00F82F28">
        <w:rPr>
          <w:bCs/>
          <w:lang w:val="fr-FR"/>
        </w:rPr>
        <w:t>les batteries au lithium</w:t>
      </w:r>
      <w:r>
        <w:rPr>
          <w:bCs/>
          <w:lang w:val="fr-FR"/>
        </w:rPr>
        <w:tab/>
      </w:r>
      <w:r>
        <w:rPr>
          <w:bCs/>
          <w:lang w:val="fr-FR"/>
        </w:rPr>
        <w:tab/>
        <w:t>51−52</w:t>
      </w:r>
      <w:r>
        <w:rPr>
          <w:bCs/>
          <w:lang w:val="fr-FR"/>
        </w:rPr>
        <w:tab/>
      </w:r>
      <w:r w:rsidR="002A1B1F">
        <w:rPr>
          <w:bCs/>
          <w:lang w:val="fr-FR"/>
        </w:rPr>
        <w:t>13</w:t>
      </w:r>
    </w:p>
    <w:p w14:paraId="6F5C1366" w14:textId="77777777" w:rsidR="0069134B" w:rsidRDefault="0069134B" w:rsidP="0069134B">
      <w:pPr>
        <w:tabs>
          <w:tab w:val="right" w:leader="dot" w:pos="7654"/>
          <w:tab w:val="right" w:pos="8929"/>
          <w:tab w:val="right" w:pos="9638"/>
        </w:tabs>
        <w:spacing w:after="120"/>
        <w:ind w:left="1559" w:hanging="425"/>
        <w:rPr>
          <w:lang w:val="fr-FR"/>
        </w:rPr>
      </w:pPr>
      <w:r>
        <w:rPr>
          <w:lang w:val="fr-FR"/>
        </w:rPr>
        <w:t>B.</w:t>
      </w:r>
      <w:r>
        <w:rPr>
          <w:lang w:val="fr-FR"/>
        </w:rPr>
        <w:tab/>
      </w:r>
      <w:r w:rsidRPr="00F82F28">
        <w:rPr>
          <w:lang w:val="fr-FR"/>
        </w:rPr>
        <w:t>Système de classification des batteries au lithium en fonction du danger</w:t>
      </w:r>
      <w:r>
        <w:rPr>
          <w:lang w:val="fr-FR"/>
        </w:rPr>
        <w:tab/>
      </w:r>
      <w:r>
        <w:rPr>
          <w:lang w:val="fr-FR"/>
        </w:rPr>
        <w:tab/>
        <w:t>53</w:t>
      </w:r>
      <w:r>
        <w:rPr>
          <w:lang w:val="fr-FR"/>
        </w:rPr>
        <w:tab/>
      </w:r>
      <w:r w:rsidR="002A1B1F">
        <w:rPr>
          <w:lang w:val="fr-FR"/>
        </w:rPr>
        <w:t>13</w:t>
      </w:r>
    </w:p>
    <w:p w14:paraId="3A611A01" w14:textId="77777777" w:rsidR="0069134B" w:rsidRDefault="0069134B" w:rsidP="0069134B">
      <w:pPr>
        <w:tabs>
          <w:tab w:val="right" w:leader="dot" w:pos="7654"/>
          <w:tab w:val="right" w:pos="8929"/>
          <w:tab w:val="right" w:pos="9638"/>
        </w:tabs>
        <w:spacing w:after="120"/>
        <w:ind w:left="1559" w:hanging="425"/>
        <w:rPr>
          <w:lang w:val="fr-FR"/>
        </w:rPr>
      </w:pPr>
      <w:r>
        <w:rPr>
          <w:lang w:val="fr-FR"/>
        </w:rPr>
        <w:t>C.</w:t>
      </w:r>
      <w:r>
        <w:rPr>
          <w:lang w:val="fr-FR"/>
        </w:rPr>
        <w:tab/>
      </w:r>
      <w:r w:rsidRPr="00F82F28">
        <w:rPr>
          <w:lang w:val="fr-FR"/>
        </w:rPr>
        <w:t>Dispositions relatives au transport</w:t>
      </w:r>
      <w:r>
        <w:rPr>
          <w:lang w:val="fr-FR"/>
        </w:rPr>
        <w:tab/>
      </w:r>
      <w:r>
        <w:rPr>
          <w:lang w:val="fr-FR"/>
        </w:rPr>
        <w:tab/>
        <w:t>54−58</w:t>
      </w:r>
      <w:r>
        <w:rPr>
          <w:lang w:val="fr-FR"/>
        </w:rPr>
        <w:tab/>
      </w:r>
      <w:r w:rsidR="002A1B1F">
        <w:rPr>
          <w:lang w:val="fr-FR"/>
        </w:rPr>
        <w:t>13</w:t>
      </w:r>
    </w:p>
    <w:p w14:paraId="3A2F6C35" w14:textId="77777777" w:rsidR="0069134B" w:rsidRDefault="0069134B" w:rsidP="0069134B">
      <w:pPr>
        <w:tabs>
          <w:tab w:val="right" w:leader="dot" w:pos="7654"/>
          <w:tab w:val="right" w:pos="8929"/>
          <w:tab w:val="right" w:pos="9638"/>
        </w:tabs>
        <w:spacing w:after="120"/>
        <w:ind w:left="1984" w:hanging="425"/>
        <w:rPr>
          <w:lang w:val="fr-FR"/>
        </w:rPr>
      </w:pPr>
      <w:r>
        <w:rPr>
          <w:lang w:val="fr-FR"/>
        </w:rPr>
        <w:lastRenderedPageBreak/>
        <w:t>1.</w:t>
      </w:r>
      <w:r>
        <w:rPr>
          <w:lang w:val="fr-FR"/>
        </w:rPr>
        <w:tab/>
      </w:r>
      <w:r w:rsidRPr="00F82F28">
        <w:rPr>
          <w:lang w:val="fr-FR"/>
        </w:rPr>
        <w:t xml:space="preserve">Révision du chapitre 2.9.4 en vue de distinguer le système de gestion </w:t>
      </w:r>
      <w:r>
        <w:rPr>
          <w:lang w:val="fr-FR"/>
        </w:rPr>
        <w:br/>
      </w:r>
      <w:r w:rsidRPr="00F82F28">
        <w:rPr>
          <w:lang w:val="fr-FR"/>
        </w:rPr>
        <w:t>de la qualité des prescriptions relatives à la classification</w:t>
      </w:r>
      <w:r>
        <w:rPr>
          <w:lang w:val="fr-FR"/>
        </w:rPr>
        <w:tab/>
      </w:r>
      <w:r>
        <w:rPr>
          <w:lang w:val="fr-FR"/>
        </w:rPr>
        <w:tab/>
        <w:t>54</w:t>
      </w:r>
      <w:r>
        <w:rPr>
          <w:lang w:val="fr-FR"/>
        </w:rPr>
        <w:tab/>
      </w:r>
      <w:r w:rsidR="002A1B1F">
        <w:rPr>
          <w:lang w:val="fr-FR"/>
        </w:rPr>
        <w:t>13</w:t>
      </w:r>
    </w:p>
    <w:p w14:paraId="485710E9" w14:textId="672D3BFC" w:rsidR="0069134B" w:rsidRDefault="0069134B" w:rsidP="0069134B">
      <w:pPr>
        <w:tabs>
          <w:tab w:val="right" w:leader="dot" w:pos="7654"/>
          <w:tab w:val="right" w:pos="8929"/>
          <w:tab w:val="right" w:pos="9638"/>
        </w:tabs>
        <w:spacing w:after="120"/>
        <w:ind w:left="1984" w:hanging="425"/>
        <w:rPr>
          <w:lang w:val="fr-FR"/>
        </w:rPr>
      </w:pPr>
      <w:r>
        <w:rPr>
          <w:lang w:val="fr-FR"/>
        </w:rPr>
        <w:t>2.</w:t>
      </w:r>
      <w:r>
        <w:rPr>
          <w:lang w:val="fr-FR"/>
        </w:rPr>
        <w:tab/>
      </w:r>
      <w:r w:rsidRPr="00F82F28">
        <w:rPr>
          <w:lang w:val="fr-FR"/>
        </w:rPr>
        <w:t>Utilisation d</w:t>
      </w:r>
      <w:r w:rsidR="000B2B75">
        <w:rPr>
          <w:lang w:val="fr-FR"/>
        </w:rPr>
        <w:t>’</w:t>
      </w:r>
      <w:r w:rsidRPr="00F82F28">
        <w:rPr>
          <w:lang w:val="fr-FR"/>
        </w:rPr>
        <w:t xml:space="preserve">emballages non soumis à la prescription </w:t>
      </w:r>
      <w:r>
        <w:rPr>
          <w:lang w:val="fr-FR"/>
        </w:rPr>
        <w:br/>
      </w:r>
      <w:r w:rsidRPr="00F82F28">
        <w:rPr>
          <w:lang w:val="fr-FR"/>
        </w:rPr>
        <w:t>du point 4.1.1.3 et d</w:t>
      </w:r>
      <w:r w:rsidR="000B2B75">
        <w:rPr>
          <w:lang w:val="fr-FR"/>
        </w:rPr>
        <w:t>’</w:t>
      </w:r>
      <w:r w:rsidRPr="00F82F28">
        <w:rPr>
          <w:lang w:val="fr-FR"/>
        </w:rPr>
        <w:t xml:space="preserve">une masse nette supérieure à 400 kg </w:t>
      </w:r>
      <w:r>
        <w:rPr>
          <w:lang w:val="fr-FR"/>
        </w:rPr>
        <w:br/>
      </w:r>
      <w:r w:rsidRPr="00F82F28">
        <w:rPr>
          <w:lang w:val="fr-FR"/>
        </w:rPr>
        <w:t>pour le transport de batteries au lithium</w:t>
      </w:r>
      <w:r>
        <w:rPr>
          <w:lang w:val="fr-FR"/>
        </w:rPr>
        <w:tab/>
      </w:r>
      <w:r>
        <w:rPr>
          <w:lang w:val="fr-FR"/>
        </w:rPr>
        <w:tab/>
        <w:t>55</w:t>
      </w:r>
      <w:r>
        <w:rPr>
          <w:lang w:val="fr-FR"/>
        </w:rPr>
        <w:tab/>
      </w:r>
      <w:r w:rsidR="00930D8C">
        <w:rPr>
          <w:lang w:val="fr-FR"/>
        </w:rPr>
        <w:t>14</w:t>
      </w:r>
    </w:p>
    <w:p w14:paraId="4F308473" w14:textId="77777777" w:rsidR="0069134B" w:rsidRDefault="0069134B" w:rsidP="0069134B">
      <w:pPr>
        <w:tabs>
          <w:tab w:val="right" w:leader="dot" w:pos="7654"/>
          <w:tab w:val="right" w:pos="8929"/>
          <w:tab w:val="right" w:pos="9638"/>
        </w:tabs>
        <w:spacing w:after="120"/>
        <w:ind w:left="1984" w:hanging="425"/>
        <w:rPr>
          <w:lang w:val="fr-FR"/>
        </w:rPr>
      </w:pPr>
      <w:r>
        <w:rPr>
          <w:lang w:val="fr-FR"/>
        </w:rPr>
        <w:t>3.</w:t>
      </w:r>
      <w:r>
        <w:rPr>
          <w:lang w:val="fr-FR"/>
        </w:rPr>
        <w:tab/>
      </w:r>
      <w:r w:rsidRPr="00F82F28">
        <w:rPr>
          <w:lang w:val="fr-FR"/>
        </w:rPr>
        <w:t>Numéro de téléphone apposé sur la marque des batteries au lithium</w:t>
      </w:r>
      <w:r>
        <w:rPr>
          <w:lang w:val="fr-FR"/>
        </w:rPr>
        <w:tab/>
      </w:r>
      <w:r>
        <w:rPr>
          <w:lang w:val="fr-FR"/>
        </w:rPr>
        <w:tab/>
        <w:t>56</w:t>
      </w:r>
      <w:r>
        <w:rPr>
          <w:lang w:val="fr-FR"/>
        </w:rPr>
        <w:tab/>
      </w:r>
      <w:r w:rsidR="00930D8C">
        <w:rPr>
          <w:lang w:val="fr-FR"/>
        </w:rPr>
        <w:t>14</w:t>
      </w:r>
    </w:p>
    <w:p w14:paraId="13560666" w14:textId="4AB38F50" w:rsidR="0069134B" w:rsidRDefault="0069134B" w:rsidP="0069134B">
      <w:pPr>
        <w:tabs>
          <w:tab w:val="right" w:leader="dot" w:pos="7654"/>
          <w:tab w:val="right" w:pos="8929"/>
          <w:tab w:val="right" w:pos="9638"/>
        </w:tabs>
        <w:spacing w:after="120"/>
        <w:ind w:left="1984" w:hanging="425"/>
        <w:rPr>
          <w:lang w:val="fr-FR"/>
        </w:rPr>
      </w:pPr>
      <w:r>
        <w:rPr>
          <w:lang w:val="fr-FR"/>
        </w:rPr>
        <w:t>4.</w:t>
      </w:r>
      <w:r>
        <w:rPr>
          <w:lang w:val="fr-FR"/>
        </w:rPr>
        <w:tab/>
      </w:r>
      <w:r w:rsidRPr="00F82F28">
        <w:rPr>
          <w:lang w:val="fr-FR"/>
        </w:rPr>
        <w:t xml:space="preserve">Proposition </w:t>
      </w:r>
      <w:r>
        <w:rPr>
          <w:lang w:val="fr-FR"/>
        </w:rPr>
        <w:t>d</w:t>
      </w:r>
      <w:r w:rsidR="000B2B75">
        <w:rPr>
          <w:lang w:val="fr-FR"/>
        </w:rPr>
        <w:t>’</w:t>
      </w:r>
      <w:r>
        <w:rPr>
          <w:lang w:val="fr-FR"/>
        </w:rPr>
        <w:t xml:space="preserve">amendement à </w:t>
      </w:r>
      <w:r w:rsidRPr="00F82F28">
        <w:rPr>
          <w:lang w:val="fr-FR"/>
        </w:rPr>
        <w:t>l</w:t>
      </w:r>
      <w:r w:rsidR="000B2B75">
        <w:rPr>
          <w:lang w:val="fr-FR"/>
        </w:rPr>
        <w:t>’</w:t>
      </w:r>
      <w:r w:rsidRPr="00F82F28">
        <w:rPr>
          <w:lang w:val="fr-FR"/>
        </w:rPr>
        <w:t>instruction d</w:t>
      </w:r>
      <w:r w:rsidR="000B2B75">
        <w:rPr>
          <w:lang w:val="fr-FR"/>
        </w:rPr>
        <w:t>’</w:t>
      </w:r>
      <w:r w:rsidRPr="00F82F28">
        <w:rPr>
          <w:lang w:val="fr-FR"/>
        </w:rPr>
        <w:t>emballage LP903</w:t>
      </w:r>
      <w:r>
        <w:rPr>
          <w:lang w:val="fr-FR"/>
        </w:rPr>
        <w:tab/>
      </w:r>
      <w:r>
        <w:rPr>
          <w:lang w:val="fr-FR"/>
        </w:rPr>
        <w:tab/>
        <w:t>57</w:t>
      </w:r>
      <w:r>
        <w:rPr>
          <w:lang w:val="fr-FR"/>
        </w:rPr>
        <w:tab/>
      </w:r>
      <w:r w:rsidR="00930D8C">
        <w:rPr>
          <w:lang w:val="fr-FR"/>
        </w:rPr>
        <w:t>14</w:t>
      </w:r>
    </w:p>
    <w:p w14:paraId="664029A1" w14:textId="62701E96" w:rsidR="0069134B" w:rsidRDefault="0069134B" w:rsidP="0069134B">
      <w:pPr>
        <w:tabs>
          <w:tab w:val="right" w:leader="dot" w:pos="7654"/>
          <w:tab w:val="right" w:pos="8929"/>
          <w:tab w:val="right" w:pos="9638"/>
        </w:tabs>
        <w:spacing w:after="120"/>
        <w:ind w:left="1984" w:hanging="425"/>
        <w:rPr>
          <w:bCs/>
          <w:lang w:val="fr-FR"/>
        </w:rPr>
      </w:pPr>
      <w:r>
        <w:rPr>
          <w:lang w:val="fr-FR"/>
        </w:rPr>
        <w:t>5.</w:t>
      </w:r>
      <w:r>
        <w:rPr>
          <w:lang w:val="fr-FR"/>
        </w:rPr>
        <w:tab/>
      </w:r>
      <w:r w:rsidRPr="00F82F28">
        <w:rPr>
          <w:bCs/>
          <w:lang w:val="fr-FR"/>
        </w:rPr>
        <w:t xml:space="preserve">Emballages intérieurs pour piles et batteries au lithium </w:t>
      </w:r>
      <w:r>
        <w:rPr>
          <w:bCs/>
          <w:lang w:val="fr-FR"/>
        </w:rPr>
        <w:t>−</w:t>
      </w:r>
      <w:r w:rsidRPr="00F82F28">
        <w:rPr>
          <w:bCs/>
          <w:lang w:val="fr-FR"/>
        </w:rPr>
        <w:t xml:space="preserve"> Précisions </w:t>
      </w:r>
      <w:r>
        <w:rPr>
          <w:bCs/>
          <w:lang w:val="fr-FR"/>
        </w:rPr>
        <w:br/>
      </w:r>
      <w:r w:rsidRPr="00F82F28">
        <w:rPr>
          <w:bCs/>
          <w:lang w:val="fr-FR"/>
        </w:rPr>
        <w:t>apportées aux prescriptions de l</w:t>
      </w:r>
      <w:r w:rsidR="000B2B75">
        <w:rPr>
          <w:bCs/>
          <w:lang w:val="fr-FR"/>
        </w:rPr>
        <w:t>’</w:t>
      </w:r>
      <w:r w:rsidRPr="00F82F28">
        <w:rPr>
          <w:bCs/>
          <w:lang w:val="fr-FR"/>
        </w:rPr>
        <w:t>instruction d</w:t>
      </w:r>
      <w:r w:rsidR="000B2B75">
        <w:rPr>
          <w:bCs/>
          <w:lang w:val="fr-FR"/>
        </w:rPr>
        <w:t>’</w:t>
      </w:r>
      <w:r w:rsidRPr="00F82F28">
        <w:rPr>
          <w:bCs/>
          <w:lang w:val="fr-FR"/>
        </w:rPr>
        <w:t>emballage P903</w:t>
      </w:r>
      <w:r>
        <w:rPr>
          <w:bCs/>
          <w:lang w:val="fr-FR"/>
        </w:rPr>
        <w:tab/>
      </w:r>
      <w:r>
        <w:rPr>
          <w:bCs/>
          <w:lang w:val="fr-FR"/>
        </w:rPr>
        <w:tab/>
        <w:t>58</w:t>
      </w:r>
      <w:r>
        <w:rPr>
          <w:bCs/>
          <w:lang w:val="fr-FR"/>
        </w:rPr>
        <w:tab/>
      </w:r>
      <w:r w:rsidR="00930D8C">
        <w:rPr>
          <w:bCs/>
          <w:lang w:val="fr-FR"/>
        </w:rPr>
        <w:t>14</w:t>
      </w:r>
    </w:p>
    <w:p w14:paraId="4689F6A1" w14:textId="77777777" w:rsidR="0069134B" w:rsidRDefault="0069134B" w:rsidP="0069134B">
      <w:pPr>
        <w:tabs>
          <w:tab w:val="right" w:leader="dot" w:pos="7654"/>
          <w:tab w:val="right" w:pos="8929"/>
          <w:tab w:val="right" w:pos="9638"/>
        </w:tabs>
        <w:spacing w:after="120"/>
        <w:ind w:left="1559" w:hanging="425"/>
        <w:rPr>
          <w:lang w:val="fr-FR"/>
        </w:rPr>
      </w:pPr>
      <w:r>
        <w:rPr>
          <w:lang w:val="fr-FR"/>
        </w:rPr>
        <w:t>D.</w:t>
      </w:r>
      <w:r>
        <w:rPr>
          <w:lang w:val="fr-FR"/>
        </w:rPr>
        <w:tab/>
      </w:r>
      <w:r w:rsidRPr="002728EA">
        <w:rPr>
          <w:lang w:val="fr-FR"/>
        </w:rPr>
        <w:t>Batteries au lithium endommagées ou défectueuses</w:t>
      </w:r>
      <w:r>
        <w:rPr>
          <w:lang w:val="fr-FR"/>
        </w:rPr>
        <w:tab/>
      </w:r>
      <w:r>
        <w:rPr>
          <w:lang w:val="fr-FR"/>
        </w:rPr>
        <w:tab/>
        <w:t>59</w:t>
      </w:r>
      <w:r>
        <w:rPr>
          <w:lang w:val="fr-FR"/>
        </w:rPr>
        <w:tab/>
      </w:r>
      <w:r w:rsidR="00930D8C">
        <w:rPr>
          <w:lang w:val="fr-FR"/>
        </w:rPr>
        <w:t>14</w:t>
      </w:r>
    </w:p>
    <w:p w14:paraId="35C762F8" w14:textId="77777777" w:rsidR="0069134B" w:rsidRDefault="00653497" w:rsidP="0069134B">
      <w:pPr>
        <w:tabs>
          <w:tab w:val="right" w:leader="dot" w:pos="7654"/>
          <w:tab w:val="right" w:pos="8929"/>
          <w:tab w:val="right" w:pos="9638"/>
        </w:tabs>
        <w:spacing w:after="120"/>
        <w:ind w:left="1559" w:hanging="425"/>
        <w:rPr>
          <w:lang w:val="fr-FR"/>
        </w:rPr>
      </w:pPr>
      <w:r>
        <w:rPr>
          <w:lang w:val="fr-FR"/>
        </w:rPr>
        <w:t>E.</w:t>
      </w:r>
      <w:r>
        <w:rPr>
          <w:lang w:val="fr-FR"/>
        </w:rPr>
        <w:tab/>
      </w:r>
      <w:r w:rsidRPr="00653497">
        <w:rPr>
          <w:lang w:val="fr-FR"/>
        </w:rPr>
        <w:t>Batteries au sodium-ion</w:t>
      </w:r>
      <w:r>
        <w:rPr>
          <w:lang w:val="fr-FR"/>
        </w:rPr>
        <w:tab/>
      </w:r>
      <w:r>
        <w:rPr>
          <w:lang w:val="fr-FR"/>
        </w:rPr>
        <w:tab/>
        <w:t>60−62</w:t>
      </w:r>
      <w:r>
        <w:rPr>
          <w:lang w:val="fr-FR"/>
        </w:rPr>
        <w:tab/>
      </w:r>
      <w:r w:rsidR="00930D8C">
        <w:rPr>
          <w:lang w:val="fr-FR"/>
        </w:rPr>
        <w:t>14</w:t>
      </w:r>
    </w:p>
    <w:p w14:paraId="3D2C8DD3" w14:textId="2801DBA3" w:rsidR="00653497" w:rsidRDefault="00EA4B32" w:rsidP="00EA4B32">
      <w:pPr>
        <w:tabs>
          <w:tab w:val="right" w:leader="dot" w:pos="7654"/>
          <w:tab w:val="right" w:pos="8929"/>
          <w:tab w:val="right" w:pos="9638"/>
        </w:tabs>
        <w:spacing w:after="120"/>
        <w:ind w:left="1984" w:hanging="425"/>
        <w:rPr>
          <w:lang w:val="fr-FR"/>
        </w:rPr>
      </w:pPr>
      <w:r>
        <w:rPr>
          <w:lang w:val="fr-FR"/>
        </w:rPr>
        <w:t>1.</w:t>
      </w:r>
      <w:r>
        <w:rPr>
          <w:lang w:val="fr-FR"/>
        </w:rPr>
        <w:tab/>
      </w:r>
      <w:r w:rsidRPr="00F82F28">
        <w:rPr>
          <w:lang w:val="fr-FR"/>
        </w:rPr>
        <w:t>Batteries sodium</w:t>
      </w:r>
      <w:r>
        <w:rPr>
          <w:lang w:val="fr-FR"/>
        </w:rPr>
        <w:t>-</w:t>
      </w:r>
      <w:r w:rsidRPr="00F82F28">
        <w:rPr>
          <w:lang w:val="fr-FR"/>
        </w:rPr>
        <w:t xml:space="preserve">ion </w:t>
      </w:r>
      <w:r>
        <w:rPr>
          <w:lang w:val="fr-FR"/>
        </w:rPr>
        <w:t>−</w:t>
      </w:r>
      <w:r w:rsidRPr="00F82F28">
        <w:rPr>
          <w:lang w:val="fr-FR"/>
        </w:rPr>
        <w:t xml:space="preserve"> Affectation d</w:t>
      </w:r>
      <w:r w:rsidR="000B2B75">
        <w:rPr>
          <w:lang w:val="fr-FR"/>
        </w:rPr>
        <w:t>’</w:t>
      </w:r>
      <w:r w:rsidRPr="00F82F28">
        <w:rPr>
          <w:lang w:val="fr-FR"/>
        </w:rPr>
        <w:t xml:space="preserve">un numéro ONU ad hoc </w:t>
      </w:r>
      <w:r>
        <w:rPr>
          <w:lang w:val="fr-FR"/>
        </w:rPr>
        <w:br/>
      </w:r>
      <w:r w:rsidRPr="00F82F28">
        <w:rPr>
          <w:lang w:val="fr-FR"/>
        </w:rPr>
        <w:t>et dispositions spéciales correspondantes</w:t>
      </w:r>
      <w:r>
        <w:rPr>
          <w:lang w:val="fr-FR"/>
        </w:rPr>
        <w:tab/>
      </w:r>
      <w:r>
        <w:rPr>
          <w:lang w:val="fr-FR"/>
        </w:rPr>
        <w:tab/>
        <w:t>60−61</w:t>
      </w:r>
      <w:r>
        <w:rPr>
          <w:lang w:val="fr-FR"/>
        </w:rPr>
        <w:tab/>
      </w:r>
      <w:r w:rsidR="00930D8C">
        <w:rPr>
          <w:lang w:val="fr-FR"/>
        </w:rPr>
        <w:t>14</w:t>
      </w:r>
    </w:p>
    <w:p w14:paraId="7149A74C" w14:textId="2CBDC5F8" w:rsidR="00EA4B32" w:rsidRDefault="00EA4B32" w:rsidP="00EA4B32">
      <w:pPr>
        <w:tabs>
          <w:tab w:val="right" w:leader="dot" w:pos="7654"/>
          <w:tab w:val="right" w:pos="8929"/>
          <w:tab w:val="right" w:pos="9638"/>
        </w:tabs>
        <w:spacing w:after="120"/>
        <w:ind w:left="1984" w:hanging="425"/>
        <w:rPr>
          <w:bCs/>
          <w:lang w:val="fr-FR"/>
        </w:rPr>
      </w:pPr>
      <w:r>
        <w:rPr>
          <w:lang w:val="fr-FR"/>
        </w:rPr>
        <w:t>2.</w:t>
      </w:r>
      <w:r>
        <w:rPr>
          <w:lang w:val="fr-FR"/>
        </w:rPr>
        <w:tab/>
      </w:r>
      <w:r w:rsidRPr="00F82F28">
        <w:rPr>
          <w:bCs/>
          <w:lang w:val="fr-FR"/>
        </w:rPr>
        <w:t>Résumé du procès-</w:t>
      </w:r>
      <w:r w:rsidRPr="006355EE">
        <w:rPr>
          <w:lang w:val="fr-FR"/>
        </w:rPr>
        <w:t>verbal</w:t>
      </w:r>
      <w:r w:rsidRPr="00F82F28">
        <w:rPr>
          <w:bCs/>
          <w:lang w:val="fr-FR"/>
        </w:rPr>
        <w:t xml:space="preserve"> d</w:t>
      </w:r>
      <w:r w:rsidR="000B2B75">
        <w:rPr>
          <w:bCs/>
          <w:lang w:val="fr-FR"/>
        </w:rPr>
        <w:t>’</w:t>
      </w:r>
      <w:r w:rsidRPr="00F82F28">
        <w:rPr>
          <w:bCs/>
          <w:lang w:val="fr-FR"/>
        </w:rPr>
        <w:t xml:space="preserve">épreuve concernant </w:t>
      </w:r>
      <w:r>
        <w:rPr>
          <w:bCs/>
          <w:lang w:val="fr-FR"/>
        </w:rPr>
        <w:br/>
      </w:r>
      <w:r w:rsidRPr="00F82F28">
        <w:rPr>
          <w:bCs/>
          <w:lang w:val="fr-FR"/>
        </w:rPr>
        <w:t>les batteries au lithium</w:t>
      </w:r>
      <w:r>
        <w:rPr>
          <w:bCs/>
          <w:lang w:val="fr-FR"/>
        </w:rPr>
        <w:tab/>
      </w:r>
      <w:r>
        <w:rPr>
          <w:bCs/>
          <w:lang w:val="fr-FR"/>
        </w:rPr>
        <w:tab/>
        <w:t>62</w:t>
      </w:r>
      <w:r>
        <w:rPr>
          <w:bCs/>
          <w:lang w:val="fr-FR"/>
        </w:rPr>
        <w:tab/>
      </w:r>
      <w:r w:rsidR="00930D8C">
        <w:rPr>
          <w:bCs/>
          <w:lang w:val="fr-FR"/>
        </w:rPr>
        <w:t>15</w:t>
      </w:r>
    </w:p>
    <w:p w14:paraId="31A41209" w14:textId="77777777" w:rsidR="00EA4B32" w:rsidRDefault="00EA4B32" w:rsidP="00EA4B32">
      <w:pPr>
        <w:tabs>
          <w:tab w:val="right" w:leader="dot" w:pos="7654"/>
          <w:tab w:val="right" w:pos="8929"/>
          <w:tab w:val="right" w:pos="9638"/>
        </w:tabs>
        <w:spacing w:after="120"/>
        <w:ind w:left="1559" w:hanging="425"/>
        <w:rPr>
          <w:bCs/>
          <w:lang w:val="fr-FR"/>
        </w:rPr>
      </w:pPr>
      <w:r>
        <w:rPr>
          <w:lang w:val="fr-FR"/>
        </w:rPr>
        <w:t>F.</w:t>
      </w:r>
      <w:r>
        <w:rPr>
          <w:lang w:val="fr-FR"/>
        </w:rPr>
        <w:tab/>
        <w:t xml:space="preserve">Autres </w:t>
      </w:r>
      <w:r>
        <w:rPr>
          <w:bCs/>
          <w:lang w:val="fr-FR"/>
        </w:rPr>
        <w:t>q</w:t>
      </w:r>
      <w:r w:rsidRPr="00F82F28">
        <w:rPr>
          <w:bCs/>
          <w:lang w:val="fr-FR"/>
        </w:rPr>
        <w:t>uestions</w:t>
      </w:r>
      <w:r>
        <w:rPr>
          <w:bCs/>
          <w:lang w:val="fr-FR"/>
        </w:rPr>
        <w:tab/>
      </w:r>
      <w:r>
        <w:rPr>
          <w:bCs/>
          <w:lang w:val="fr-FR"/>
        </w:rPr>
        <w:tab/>
        <w:t>63</w:t>
      </w:r>
      <w:r>
        <w:rPr>
          <w:bCs/>
          <w:lang w:val="fr-FR"/>
        </w:rPr>
        <w:tab/>
      </w:r>
      <w:r w:rsidR="00930D8C">
        <w:rPr>
          <w:bCs/>
          <w:lang w:val="fr-FR"/>
        </w:rPr>
        <w:t>15</w:t>
      </w:r>
    </w:p>
    <w:p w14:paraId="7E54ADD2" w14:textId="1EB74C94" w:rsidR="00EA4B32" w:rsidRDefault="00EA4B32" w:rsidP="00EA4B32">
      <w:pPr>
        <w:tabs>
          <w:tab w:val="right" w:pos="850"/>
          <w:tab w:val="right" w:leader="dot" w:pos="7654"/>
          <w:tab w:val="right" w:pos="8929"/>
          <w:tab w:val="right" w:pos="9638"/>
        </w:tabs>
        <w:spacing w:after="120"/>
        <w:ind w:left="1134" w:hanging="1134"/>
        <w:rPr>
          <w:lang w:val="fr-FR"/>
        </w:rPr>
      </w:pPr>
      <w:r>
        <w:rPr>
          <w:lang w:val="fr-FR"/>
        </w:rPr>
        <w:tab/>
        <w:t>VI.</w:t>
      </w:r>
      <w:r>
        <w:rPr>
          <w:lang w:val="fr-FR"/>
        </w:rPr>
        <w:tab/>
      </w:r>
      <w:r w:rsidRPr="005C707D">
        <w:rPr>
          <w:lang w:val="fr-FR"/>
        </w:rPr>
        <w:t>Transport de gaz (point 5 de l</w:t>
      </w:r>
      <w:r w:rsidR="000B2B75">
        <w:rPr>
          <w:lang w:val="fr-FR"/>
        </w:rPr>
        <w:t>’</w:t>
      </w:r>
      <w:r w:rsidRPr="005C707D">
        <w:rPr>
          <w:lang w:val="fr-FR"/>
        </w:rPr>
        <w:t>ordre du jour)</w:t>
      </w:r>
      <w:r>
        <w:rPr>
          <w:lang w:val="fr-FR"/>
        </w:rPr>
        <w:tab/>
      </w:r>
      <w:r>
        <w:rPr>
          <w:lang w:val="fr-FR"/>
        </w:rPr>
        <w:tab/>
        <w:t>64−67</w:t>
      </w:r>
      <w:r>
        <w:rPr>
          <w:lang w:val="fr-FR"/>
        </w:rPr>
        <w:tab/>
      </w:r>
      <w:r w:rsidR="00930D8C">
        <w:rPr>
          <w:lang w:val="fr-FR"/>
        </w:rPr>
        <w:t>15</w:t>
      </w:r>
    </w:p>
    <w:p w14:paraId="119D473B" w14:textId="77777777" w:rsidR="00EA4B32" w:rsidRDefault="00EA4B32" w:rsidP="00EA4B32">
      <w:pPr>
        <w:tabs>
          <w:tab w:val="right" w:leader="dot" w:pos="7654"/>
          <w:tab w:val="right" w:pos="8929"/>
          <w:tab w:val="right" w:pos="9638"/>
        </w:tabs>
        <w:spacing w:after="120"/>
        <w:ind w:left="1559" w:hanging="425"/>
        <w:rPr>
          <w:lang w:val="fr-FR"/>
        </w:rPr>
      </w:pPr>
      <w:r>
        <w:rPr>
          <w:lang w:val="fr-FR"/>
        </w:rPr>
        <w:t>A.</w:t>
      </w:r>
      <w:r>
        <w:rPr>
          <w:lang w:val="fr-FR"/>
        </w:rPr>
        <w:tab/>
      </w:r>
      <w:r w:rsidRPr="00F82F28">
        <w:rPr>
          <w:lang w:val="fr-FR"/>
        </w:rPr>
        <w:t>Reconnaissance universelle des récipients à pression ONU et non</w:t>
      </w:r>
      <w:r>
        <w:rPr>
          <w:lang w:val="fr-FR"/>
        </w:rPr>
        <w:t xml:space="preserve"> </w:t>
      </w:r>
      <w:r w:rsidRPr="00F82F28">
        <w:rPr>
          <w:lang w:val="fr-FR"/>
        </w:rPr>
        <w:t>ONU</w:t>
      </w:r>
      <w:r>
        <w:rPr>
          <w:lang w:val="fr-FR"/>
        </w:rPr>
        <w:tab/>
      </w:r>
      <w:r>
        <w:rPr>
          <w:lang w:val="fr-FR"/>
        </w:rPr>
        <w:tab/>
        <w:t>64</w:t>
      </w:r>
      <w:r>
        <w:rPr>
          <w:lang w:val="fr-FR"/>
        </w:rPr>
        <w:tab/>
      </w:r>
      <w:r w:rsidR="00930D8C">
        <w:rPr>
          <w:lang w:val="fr-FR"/>
        </w:rPr>
        <w:t>15</w:t>
      </w:r>
    </w:p>
    <w:p w14:paraId="59C25250" w14:textId="77777777" w:rsidR="00EA4B32" w:rsidRDefault="00EA4B32" w:rsidP="00EA4B32">
      <w:pPr>
        <w:tabs>
          <w:tab w:val="right" w:leader="dot" w:pos="7654"/>
          <w:tab w:val="right" w:pos="8929"/>
          <w:tab w:val="right" w:pos="9638"/>
        </w:tabs>
        <w:spacing w:after="120"/>
        <w:ind w:left="1559" w:hanging="425"/>
        <w:rPr>
          <w:bCs/>
          <w:lang w:val="fr-FR"/>
        </w:rPr>
      </w:pPr>
      <w:r>
        <w:rPr>
          <w:lang w:val="fr-FR"/>
        </w:rPr>
        <w:t>B.</w:t>
      </w:r>
      <w:r>
        <w:rPr>
          <w:lang w:val="fr-FR"/>
        </w:rPr>
        <w:tab/>
        <w:t xml:space="preserve">Autres </w:t>
      </w:r>
      <w:r>
        <w:rPr>
          <w:bCs/>
          <w:lang w:val="fr-FR"/>
        </w:rPr>
        <w:t>q</w:t>
      </w:r>
      <w:r w:rsidRPr="00F82F28">
        <w:rPr>
          <w:bCs/>
          <w:lang w:val="fr-FR"/>
        </w:rPr>
        <w:t>uestions</w:t>
      </w:r>
      <w:r>
        <w:rPr>
          <w:bCs/>
          <w:lang w:val="fr-FR"/>
        </w:rPr>
        <w:tab/>
      </w:r>
      <w:r>
        <w:rPr>
          <w:bCs/>
          <w:lang w:val="fr-FR"/>
        </w:rPr>
        <w:tab/>
        <w:t>65</w:t>
      </w:r>
      <w:r w:rsidR="00F16310">
        <w:rPr>
          <w:bCs/>
          <w:lang w:val="fr-FR"/>
        </w:rPr>
        <w:t>−67</w:t>
      </w:r>
      <w:r>
        <w:rPr>
          <w:bCs/>
          <w:lang w:val="fr-FR"/>
        </w:rPr>
        <w:tab/>
      </w:r>
      <w:r w:rsidR="00930D8C">
        <w:rPr>
          <w:lang w:val="fr-FR"/>
        </w:rPr>
        <w:t>1</w:t>
      </w:r>
      <w:r w:rsidR="00930D8C">
        <w:rPr>
          <w:bCs/>
          <w:lang w:val="fr-FR"/>
        </w:rPr>
        <w:t>5</w:t>
      </w:r>
    </w:p>
    <w:p w14:paraId="0EDCA387" w14:textId="3DD3F189" w:rsidR="00EA4B32" w:rsidRDefault="00EA4B32" w:rsidP="00EA4B32">
      <w:pPr>
        <w:tabs>
          <w:tab w:val="right" w:leader="dot" w:pos="7654"/>
          <w:tab w:val="right" w:pos="8929"/>
          <w:tab w:val="right" w:pos="9638"/>
        </w:tabs>
        <w:spacing w:after="120"/>
        <w:ind w:left="1984" w:hanging="425"/>
        <w:rPr>
          <w:lang w:val="fr-FR"/>
        </w:rPr>
      </w:pPr>
      <w:r>
        <w:rPr>
          <w:lang w:val="fr-FR"/>
        </w:rPr>
        <w:t>1.</w:t>
      </w:r>
      <w:r>
        <w:rPr>
          <w:lang w:val="fr-FR"/>
        </w:rPr>
        <w:tab/>
      </w:r>
      <w:r w:rsidRPr="00F82F28">
        <w:rPr>
          <w:lang w:val="fr-FR"/>
        </w:rPr>
        <w:t>Mise à jour des valeurs de la CL</w:t>
      </w:r>
      <w:r w:rsidRPr="00F82F28">
        <w:rPr>
          <w:vertAlign w:val="subscript"/>
          <w:lang w:val="fr-FR"/>
        </w:rPr>
        <w:t xml:space="preserve">50 </w:t>
      </w:r>
      <w:r>
        <w:rPr>
          <w:vertAlign w:val="subscript"/>
          <w:lang w:val="fr-FR"/>
        </w:rPr>
        <w:br/>
      </w:r>
      <w:r w:rsidRPr="00F82F28">
        <w:rPr>
          <w:lang w:val="fr-FR"/>
        </w:rPr>
        <w:t>dans l</w:t>
      </w:r>
      <w:r w:rsidR="000B2B75">
        <w:rPr>
          <w:lang w:val="fr-FR"/>
        </w:rPr>
        <w:t>’</w:t>
      </w:r>
      <w:r w:rsidRPr="00F82F28">
        <w:rPr>
          <w:lang w:val="fr-FR"/>
        </w:rPr>
        <w:t>instruction d</w:t>
      </w:r>
      <w:r w:rsidR="000B2B75">
        <w:rPr>
          <w:lang w:val="fr-FR"/>
        </w:rPr>
        <w:t>’</w:t>
      </w:r>
      <w:r w:rsidRPr="00F82F28">
        <w:rPr>
          <w:lang w:val="fr-FR"/>
        </w:rPr>
        <w:t>emballage P200</w:t>
      </w:r>
      <w:r>
        <w:rPr>
          <w:lang w:val="fr-FR"/>
        </w:rPr>
        <w:tab/>
      </w:r>
      <w:r>
        <w:rPr>
          <w:lang w:val="fr-FR"/>
        </w:rPr>
        <w:tab/>
        <w:t>65</w:t>
      </w:r>
      <w:r>
        <w:rPr>
          <w:lang w:val="fr-FR"/>
        </w:rPr>
        <w:tab/>
      </w:r>
      <w:r w:rsidR="00930D8C">
        <w:rPr>
          <w:lang w:val="fr-FR"/>
        </w:rPr>
        <w:t>15</w:t>
      </w:r>
    </w:p>
    <w:p w14:paraId="417A2B10" w14:textId="77777777" w:rsidR="00EA4B32" w:rsidRDefault="00EA4B32" w:rsidP="00EA4B32">
      <w:pPr>
        <w:tabs>
          <w:tab w:val="right" w:leader="dot" w:pos="7654"/>
          <w:tab w:val="right" w:pos="8929"/>
          <w:tab w:val="right" w:pos="9638"/>
        </w:tabs>
        <w:spacing w:after="120"/>
        <w:ind w:left="1984" w:hanging="425"/>
        <w:rPr>
          <w:lang w:val="fr-FR"/>
        </w:rPr>
      </w:pPr>
      <w:r>
        <w:rPr>
          <w:lang w:val="fr-FR"/>
        </w:rPr>
        <w:t>2.</w:t>
      </w:r>
      <w:r>
        <w:rPr>
          <w:lang w:val="fr-FR"/>
        </w:rPr>
        <w:tab/>
      </w:r>
      <w:r w:rsidRPr="00F82F28">
        <w:rPr>
          <w:lang w:val="fr-FR"/>
        </w:rPr>
        <w:t>Mélanges de gaz contenant du fluor (No ONU 1045)</w:t>
      </w:r>
      <w:r>
        <w:rPr>
          <w:lang w:val="fr-FR"/>
        </w:rPr>
        <w:tab/>
      </w:r>
      <w:r>
        <w:rPr>
          <w:lang w:val="fr-FR"/>
        </w:rPr>
        <w:tab/>
        <w:t>66</w:t>
      </w:r>
      <w:r>
        <w:rPr>
          <w:lang w:val="fr-FR"/>
        </w:rPr>
        <w:tab/>
      </w:r>
      <w:r w:rsidR="00930D8C">
        <w:rPr>
          <w:lang w:val="fr-FR"/>
        </w:rPr>
        <w:t>15</w:t>
      </w:r>
    </w:p>
    <w:p w14:paraId="06D2E76C" w14:textId="77777777" w:rsidR="00EA4B32" w:rsidRDefault="00EA4B32" w:rsidP="00EA4B32">
      <w:pPr>
        <w:tabs>
          <w:tab w:val="right" w:leader="dot" w:pos="7654"/>
          <w:tab w:val="right" w:pos="8929"/>
          <w:tab w:val="right" w:pos="9638"/>
        </w:tabs>
        <w:spacing w:after="120"/>
        <w:ind w:left="1984" w:hanging="425"/>
        <w:rPr>
          <w:lang w:val="fr-FR"/>
        </w:rPr>
      </w:pPr>
      <w:r>
        <w:rPr>
          <w:lang w:val="fr-FR"/>
        </w:rPr>
        <w:t>3.</w:t>
      </w:r>
      <w:r>
        <w:rPr>
          <w:lang w:val="fr-FR"/>
        </w:rPr>
        <w:tab/>
      </w:r>
      <w:r w:rsidRPr="00F82F28">
        <w:rPr>
          <w:lang w:val="fr-FR"/>
        </w:rPr>
        <w:t>Normes ISO mises à jour dans la classe 2</w:t>
      </w:r>
      <w:r>
        <w:rPr>
          <w:lang w:val="fr-FR"/>
        </w:rPr>
        <w:tab/>
      </w:r>
      <w:r>
        <w:rPr>
          <w:lang w:val="fr-FR"/>
        </w:rPr>
        <w:tab/>
        <w:t>67</w:t>
      </w:r>
      <w:r>
        <w:rPr>
          <w:lang w:val="fr-FR"/>
        </w:rPr>
        <w:tab/>
      </w:r>
      <w:r w:rsidR="00913616">
        <w:rPr>
          <w:lang w:val="fr-FR"/>
        </w:rPr>
        <w:t>16</w:t>
      </w:r>
    </w:p>
    <w:p w14:paraId="6404CF35" w14:textId="2445ADF0" w:rsidR="00EA4B32" w:rsidRDefault="00EA4B32" w:rsidP="00EA4B32">
      <w:pPr>
        <w:tabs>
          <w:tab w:val="right" w:pos="850"/>
          <w:tab w:val="right" w:leader="dot" w:pos="7654"/>
          <w:tab w:val="right" w:pos="8929"/>
          <w:tab w:val="right" w:pos="9638"/>
        </w:tabs>
        <w:spacing w:after="120"/>
        <w:ind w:left="1134" w:hanging="1134"/>
        <w:rPr>
          <w:lang w:val="fr-FR"/>
        </w:rPr>
      </w:pPr>
      <w:r>
        <w:rPr>
          <w:lang w:val="fr-FR"/>
        </w:rPr>
        <w:tab/>
        <w:t>VII.</w:t>
      </w:r>
      <w:r>
        <w:rPr>
          <w:lang w:val="fr-FR"/>
        </w:rPr>
        <w:tab/>
      </w:r>
      <w:r w:rsidRPr="00DF1B08">
        <w:rPr>
          <w:lang w:val="fr-FR"/>
        </w:rPr>
        <w:t>Propositions diverses d</w:t>
      </w:r>
      <w:r w:rsidR="000B2B75">
        <w:rPr>
          <w:lang w:val="fr-FR"/>
        </w:rPr>
        <w:t>’</w:t>
      </w:r>
      <w:r w:rsidRPr="00DF1B08">
        <w:rPr>
          <w:lang w:val="fr-FR"/>
        </w:rPr>
        <w:t xml:space="preserve">amendements au Règlement type pour le transport </w:t>
      </w:r>
      <w:r>
        <w:rPr>
          <w:lang w:val="fr-FR"/>
        </w:rPr>
        <w:br/>
      </w:r>
      <w:r w:rsidRPr="00DF1B08">
        <w:rPr>
          <w:lang w:val="fr-FR"/>
        </w:rPr>
        <w:t>des marchandises dangereuses (point 6 de l</w:t>
      </w:r>
      <w:r w:rsidR="000B2B75">
        <w:rPr>
          <w:lang w:val="fr-FR"/>
        </w:rPr>
        <w:t>’</w:t>
      </w:r>
      <w:r w:rsidRPr="00DF1B08">
        <w:rPr>
          <w:lang w:val="fr-FR"/>
        </w:rPr>
        <w:t>ordre du jour)</w:t>
      </w:r>
      <w:r>
        <w:rPr>
          <w:lang w:val="fr-FR"/>
        </w:rPr>
        <w:tab/>
      </w:r>
      <w:r>
        <w:rPr>
          <w:lang w:val="fr-FR"/>
        </w:rPr>
        <w:tab/>
        <w:t>68−88</w:t>
      </w:r>
      <w:r>
        <w:rPr>
          <w:lang w:val="fr-FR"/>
        </w:rPr>
        <w:tab/>
      </w:r>
      <w:r w:rsidR="00913616">
        <w:rPr>
          <w:lang w:val="fr-FR"/>
        </w:rPr>
        <w:t>16</w:t>
      </w:r>
    </w:p>
    <w:p w14:paraId="278E0E34" w14:textId="77777777" w:rsidR="00EA4B32" w:rsidRDefault="00EA4B32" w:rsidP="00EA4B32">
      <w:pPr>
        <w:tabs>
          <w:tab w:val="right" w:leader="dot" w:pos="7654"/>
          <w:tab w:val="right" w:pos="8929"/>
          <w:tab w:val="right" w:pos="9638"/>
        </w:tabs>
        <w:spacing w:after="120"/>
        <w:ind w:left="1559" w:hanging="425"/>
        <w:rPr>
          <w:lang w:val="fr-FR"/>
        </w:rPr>
      </w:pPr>
      <w:r>
        <w:rPr>
          <w:lang w:val="fr-FR"/>
        </w:rPr>
        <w:t>A.</w:t>
      </w:r>
      <w:r>
        <w:rPr>
          <w:lang w:val="fr-FR"/>
        </w:rPr>
        <w:tab/>
      </w:r>
      <w:r w:rsidRPr="00F82F28">
        <w:rPr>
          <w:lang w:val="fr-FR"/>
        </w:rPr>
        <w:t>Marquage et étiquetage</w:t>
      </w:r>
      <w:r>
        <w:rPr>
          <w:lang w:val="fr-FR"/>
        </w:rPr>
        <w:tab/>
      </w:r>
      <w:r>
        <w:rPr>
          <w:lang w:val="fr-FR"/>
        </w:rPr>
        <w:tab/>
        <w:t>68</w:t>
      </w:r>
      <w:r>
        <w:rPr>
          <w:lang w:val="fr-FR"/>
        </w:rPr>
        <w:tab/>
      </w:r>
      <w:r w:rsidR="00913616">
        <w:rPr>
          <w:lang w:val="fr-FR"/>
        </w:rPr>
        <w:t>16</w:t>
      </w:r>
    </w:p>
    <w:p w14:paraId="0FC3B497" w14:textId="77777777" w:rsidR="00EA4B32" w:rsidRDefault="00EA4B32" w:rsidP="00EA4B32">
      <w:pPr>
        <w:tabs>
          <w:tab w:val="right" w:leader="dot" w:pos="7654"/>
          <w:tab w:val="right" w:pos="8929"/>
          <w:tab w:val="right" w:pos="9638"/>
        </w:tabs>
        <w:spacing w:after="120"/>
        <w:ind w:left="1559" w:hanging="425"/>
        <w:rPr>
          <w:lang w:val="fr-FR"/>
        </w:rPr>
      </w:pPr>
      <w:r>
        <w:rPr>
          <w:lang w:val="fr-FR"/>
        </w:rPr>
        <w:t>B.</w:t>
      </w:r>
      <w:r>
        <w:rPr>
          <w:lang w:val="fr-FR"/>
        </w:rPr>
        <w:tab/>
      </w:r>
      <w:r w:rsidRPr="00F82F28">
        <w:rPr>
          <w:lang w:val="fr-FR"/>
        </w:rPr>
        <w:t>Emballages</w:t>
      </w:r>
      <w:r>
        <w:rPr>
          <w:lang w:val="fr-FR"/>
        </w:rPr>
        <w:tab/>
      </w:r>
      <w:r>
        <w:rPr>
          <w:lang w:val="fr-FR"/>
        </w:rPr>
        <w:tab/>
        <w:t>69−78</w:t>
      </w:r>
      <w:r>
        <w:rPr>
          <w:lang w:val="fr-FR"/>
        </w:rPr>
        <w:tab/>
      </w:r>
      <w:r w:rsidR="00913616">
        <w:rPr>
          <w:lang w:val="fr-FR"/>
        </w:rPr>
        <w:t>16</w:t>
      </w:r>
    </w:p>
    <w:p w14:paraId="61F3B435" w14:textId="52933CD0" w:rsidR="00EA4B32" w:rsidRDefault="00EA4B32" w:rsidP="00EA4B32">
      <w:pPr>
        <w:tabs>
          <w:tab w:val="right" w:leader="dot" w:pos="7654"/>
          <w:tab w:val="right" w:pos="8929"/>
          <w:tab w:val="right" w:pos="9638"/>
        </w:tabs>
        <w:spacing w:after="120"/>
        <w:ind w:left="1984" w:hanging="425"/>
        <w:rPr>
          <w:bCs/>
          <w:lang w:val="fr-FR"/>
        </w:rPr>
      </w:pPr>
      <w:r>
        <w:rPr>
          <w:lang w:val="fr-FR"/>
        </w:rPr>
        <w:t>1.</w:t>
      </w:r>
      <w:r>
        <w:rPr>
          <w:lang w:val="fr-FR"/>
        </w:rPr>
        <w:tab/>
      </w:r>
      <w:r w:rsidRPr="00F82F28">
        <w:rPr>
          <w:bCs/>
          <w:lang w:val="fr-FR"/>
        </w:rPr>
        <w:t>Autres méthodes d</w:t>
      </w:r>
      <w:r w:rsidR="000B2B75">
        <w:rPr>
          <w:bCs/>
          <w:lang w:val="fr-FR"/>
        </w:rPr>
        <w:t>’</w:t>
      </w:r>
      <w:r w:rsidRPr="00F82F28">
        <w:rPr>
          <w:bCs/>
          <w:lang w:val="fr-FR"/>
        </w:rPr>
        <w:t xml:space="preserve">épreuve </w:t>
      </w:r>
      <w:r w:rsidRPr="002112BB">
        <w:rPr>
          <w:lang w:val="fr-FR"/>
        </w:rPr>
        <w:t>des</w:t>
      </w:r>
      <w:r w:rsidRPr="00F82F28">
        <w:rPr>
          <w:bCs/>
          <w:lang w:val="fr-FR"/>
        </w:rPr>
        <w:t xml:space="preserve"> emballages − Amendements </w:t>
      </w:r>
      <w:r w:rsidR="00301FBC">
        <w:rPr>
          <w:bCs/>
          <w:lang w:val="fr-FR"/>
        </w:rPr>
        <w:br/>
      </w:r>
      <w:r w:rsidRPr="00F82F28">
        <w:rPr>
          <w:bCs/>
          <w:lang w:val="fr-FR"/>
        </w:rPr>
        <w:t>résultant des dispositions du paragraphe 80 et de l</w:t>
      </w:r>
      <w:r w:rsidR="000B2B75">
        <w:rPr>
          <w:bCs/>
          <w:lang w:val="fr-FR"/>
        </w:rPr>
        <w:t>’</w:t>
      </w:r>
      <w:r w:rsidRPr="00F82F28">
        <w:rPr>
          <w:bCs/>
          <w:lang w:val="fr-FR"/>
        </w:rPr>
        <w:t xml:space="preserve">annexe I </w:t>
      </w:r>
      <w:r w:rsidR="00301FBC">
        <w:rPr>
          <w:bCs/>
          <w:lang w:val="fr-FR"/>
        </w:rPr>
        <w:br/>
      </w:r>
      <w:r w:rsidRPr="00F82F28">
        <w:rPr>
          <w:bCs/>
          <w:lang w:val="fr-FR"/>
        </w:rPr>
        <w:t>du document ST/SG/AC.10/C.3/112</w:t>
      </w:r>
      <w:r w:rsidR="00301FBC">
        <w:rPr>
          <w:bCs/>
          <w:lang w:val="fr-FR"/>
        </w:rPr>
        <w:tab/>
      </w:r>
      <w:r w:rsidR="00301FBC">
        <w:rPr>
          <w:bCs/>
          <w:lang w:val="fr-FR"/>
        </w:rPr>
        <w:tab/>
        <w:t>69</w:t>
      </w:r>
      <w:r w:rsidR="00301FBC">
        <w:rPr>
          <w:bCs/>
          <w:lang w:val="fr-FR"/>
        </w:rPr>
        <w:tab/>
      </w:r>
      <w:r w:rsidR="00913616">
        <w:rPr>
          <w:bCs/>
          <w:lang w:val="fr-FR"/>
        </w:rPr>
        <w:t>16</w:t>
      </w:r>
    </w:p>
    <w:p w14:paraId="5D554DAA" w14:textId="593FBD52" w:rsidR="00301FBC" w:rsidRDefault="00A94AB2" w:rsidP="00EA4B32">
      <w:pPr>
        <w:tabs>
          <w:tab w:val="right" w:leader="dot" w:pos="7654"/>
          <w:tab w:val="right" w:pos="8929"/>
          <w:tab w:val="right" w:pos="9638"/>
        </w:tabs>
        <w:spacing w:after="120"/>
        <w:ind w:left="1984" w:hanging="425"/>
        <w:rPr>
          <w:bCs/>
          <w:lang w:val="fr-FR"/>
        </w:rPr>
      </w:pPr>
      <w:r>
        <w:rPr>
          <w:bCs/>
          <w:lang w:val="fr-FR"/>
        </w:rPr>
        <w:t>2.</w:t>
      </w:r>
      <w:r>
        <w:rPr>
          <w:bCs/>
          <w:lang w:val="fr-FR"/>
        </w:rPr>
        <w:tab/>
      </w:r>
      <w:r w:rsidRPr="00F82F28">
        <w:rPr>
          <w:bCs/>
          <w:lang w:val="fr-FR"/>
        </w:rPr>
        <w:t>Proposition d</w:t>
      </w:r>
      <w:r w:rsidR="000B2B75">
        <w:rPr>
          <w:bCs/>
          <w:lang w:val="fr-FR"/>
        </w:rPr>
        <w:t>’</w:t>
      </w:r>
      <w:r w:rsidRPr="00F82F28">
        <w:rPr>
          <w:bCs/>
          <w:lang w:val="fr-FR"/>
        </w:rPr>
        <w:t>amendement relative à l</w:t>
      </w:r>
      <w:r w:rsidR="000B2B75">
        <w:rPr>
          <w:bCs/>
          <w:lang w:val="fr-FR"/>
        </w:rPr>
        <w:t>’</w:t>
      </w:r>
      <w:r w:rsidRPr="00F82F28">
        <w:rPr>
          <w:bCs/>
          <w:lang w:val="fr-FR"/>
        </w:rPr>
        <w:t xml:space="preserve">orientation des échantillons </w:t>
      </w:r>
      <w:r>
        <w:rPr>
          <w:bCs/>
          <w:lang w:val="fr-FR"/>
        </w:rPr>
        <w:br/>
      </w:r>
      <w:r w:rsidRPr="00F82F28">
        <w:rPr>
          <w:bCs/>
          <w:lang w:val="fr-FR"/>
        </w:rPr>
        <w:t>pour l</w:t>
      </w:r>
      <w:r w:rsidR="000B2B75">
        <w:rPr>
          <w:bCs/>
          <w:lang w:val="fr-FR"/>
        </w:rPr>
        <w:t>’</w:t>
      </w:r>
      <w:r w:rsidRPr="00F82F28">
        <w:rPr>
          <w:bCs/>
          <w:lang w:val="fr-FR"/>
        </w:rPr>
        <w:t>épreuve de chute des caisses</w:t>
      </w:r>
      <w:r>
        <w:rPr>
          <w:bCs/>
          <w:lang w:val="fr-FR"/>
        </w:rPr>
        <w:tab/>
      </w:r>
      <w:r>
        <w:rPr>
          <w:bCs/>
          <w:lang w:val="fr-FR"/>
        </w:rPr>
        <w:tab/>
        <w:t>70</w:t>
      </w:r>
      <w:r>
        <w:rPr>
          <w:bCs/>
          <w:lang w:val="fr-FR"/>
        </w:rPr>
        <w:tab/>
      </w:r>
      <w:r w:rsidR="00913616">
        <w:rPr>
          <w:bCs/>
          <w:lang w:val="fr-FR"/>
        </w:rPr>
        <w:t>16</w:t>
      </w:r>
    </w:p>
    <w:p w14:paraId="2C9148A1" w14:textId="6C4BF0C5" w:rsidR="00A94AB2" w:rsidRDefault="00A94AB2" w:rsidP="00EA4B32">
      <w:pPr>
        <w:tabs>
          <w:tab w:val="right" w:leader="dot" w:pos="7654"/>
          <w:tab w:val="right" w:pos="8929"/>
          <w:tab w:val="right" w:pos="9638"/>
        </w:tabs>
        <w:spacing w:after="120"/>
        <w:ind w:left="1984" w:hanging="425"/>
        <w:rPr>
          <w:bCs/>
          <w:lang w:val="fr-FR"/>
        </w:rPr>
      </w:pPr>
      <w:r>
        <w:rPr>
          <w:bCs/>
          <w:lang w:val="fr-FR"/>
        </w:rPr>
        <w:t>3.</w:t>
      </w:r>
      <w:r>
        <w:rPr>
          <w:bCs/>
          <w:lang w:val="fr-FR"/>
        </w:rPr>
        <w:tab/>
      </w:r>
      <w:r w:rsidRPr="00F82F28">
        <w:rPr>
          <w:bCs/>
          <w:lang w:val="fr-FR"/>
        </w:rPr>
        <w:t>Introduction d</w:t>
      </w:r>
      <w:r w:rsidR="000B2B75">
        <w:rPr>
          <w:bCs/>
          <w:lang w:val="fr-FR"/>
        </w:rPr>
        <w:t>’</w:t>
      </w:r>
      <w:r w:rsidRPr="00F82F28">
        <w:rPr>
          <w:bCs/>
          <w:lang w:val="fr-FR"/>
        </w:rPr>
        <w:t>un facteur d</w:t>
      </w:r>
      <w:r w:rsidR="000B2B75">
        <w:rPr>
          <w:bCs/>
          <w:lang w:val="fr-FR"/>
        </w:rPr>
        <w:t>’</w:t>
      </w:r>
      <w:r w:rsidRPr="00F82F28">
        <w:rPr>
          <w:bCs/>
          <w:lang w:val="fr-FR"/>
        </w:rPr>
        <w:t>ajustement selon la température de l</w:t>
      </w:r>
      <w:r w:rsidR="000B2B75">
        <w:rPr>
          <w:bCs/>
          <w:lang w:val="fr-FR"/>
        </w:rPr>
        <w:t>’</w:t>
      </w:r>
      <w:r w:rsidRPr="00F82F28">
        <w:rPr>
          <w:bCs/>
          <w:lang w:val="fr-FR"/>
        </w:rPr>
        <w:t xml:space="preserve">eau </w:t>
      </w:r>
      <w:r>
        <w:rPr>
          <w:bCs/>
          <w:lang w:val="fr-FR"/>
        </w:rPr>
        <w:br/>
      </w:r>
      <w:r w:rsidRPr="00F82F28">
        <w:rPr>
          <w:bCs/>
          <w:lang w:val="fr-FR"/>
        </w:rPr>
        <w:t>pour l</w:t>
      </w:r>
      <w:r w:rsidR="000B2B75">
        <w:rPr>
          <w:bCs/>
          <w:lang w:val="fr-FR"/>
        </w:rPr>
        <w:t>’</w:t>
      </w:r>
      <w:r w:rsidRPr="00F82F28">
        <w:rPr>
          <w:bCs/>
          <w:lang w:val="fr-FR"/>
        </w:rPr>
        <w:t>épreuve de pression hydraulique</w:t>
      </w:r>
      <w:r>
        <w:rPr>
          <w:bCs/>
          <w:lang w:val="fr-FR"/>
        </w:rPr>
        <w:tab/>
      </w:r>
      <w:r>
        <w:rPr>
          <w:bCs/>
          <w:lang w:val="fr-FR"/>
        </w:rPr>
        <w:tab/>
        <w:t>71</w:t>
      </w:r>
      <w:r>
        <w:rPr>
          <w:bCs/>
          <w:lang w:val="fr-FR"/>
        </w:rPr>
        <w:tab/>
      </w:r>
      <w:r w:rsidR="000414B0">
        <w:rPr>
          <w:bCs/>
          <w:lang w:val="fr-FR"/>
        </w:rPr>
        <w:t>17</w:t>
      </w:r>
    </w:p>
    <w:p w14:paraId="5C9C021B" w14:textId="6FE54700" w:rsidR="00A94AB2" w:rsidRDefault="00A94AB2" w:rsidP="00EA4B32">
      <w:pPr>
        <w:tabs>
          <w:tab w:val="right" w:leader="dot" w:pos="7654"/>
          <w:tab w:val="right" w:pos="8929"/>
          <w:tab w:val="right" w:pos="9638"/>
        </w:tabs>
        <w:spacing w:after="120"/>
        <w:ind w:left="1984" w:hanging="425"/>
        <w:rPr>
          <w:bCs/>
          <w:lang w:val="fr-FR"/>
        </w:rPr>
      </w:pPr>
      <w:r>
        <w:rPr>
          <w:bCs/>
          <w:lang w:val="fr-FR"/>
        </w:rPr>
        <w:t>4.</w:t>
      </w:r>
      <w:r>
        <w:rPr>
          <w:bCs/>
          <w:lang w:val="fr-FR"/>
        </w:rPr>
        <w:tab/>
      </w:r>
      <w:r w:rsidRPr="00F82F28">
        <w:rPr>
          <w:bCs/>
          <w:lang w:val="fr-FR"/>
        </w:rPr>
        <w:t>Élargissement de l</w:t>
      </w:r>
      <w:r w:rsidR="000B2B75">
        <w:rPr>
          <w:bCs/>
          <w:lang w:val="fr-FR"/>
        </w:rPr>
        <w:t>’</w:t>
      </w:r>
      <w:r w:rsidRPr="00F82F28">
        <w:rPr>
          <w:bCs/>
          <w:lang w:val="fr-FR"/>
        </w:rPr>
        <w:t xml:space="preserve">utilisation de matières plastiques recyclées </w:t>
      </w:r>
      <w:r>
        <w:rPr>
          <w:bCs/>
          <w:lang w:val="fr-FR"/>
        </w:rPr>
        <w:br/>
      </w:r>
      <w:r w:rsidRPr="00F82F28">
        <w:rPr>
          <w:bCs/>
          <w:lang w:val="fr-FR"/>
        </w:rPr>
        <w:t xml:space="preserve">à tous les emballages plastiques, GRV plastiques </w:t>
      </w:r>
      <w:r>
        <w:rPr>
          <w:bCs/>
          <w:lang w:val="fr-FR"/>
        </w:rPr>
        <w:br/>
      </w:r>
      <w:r w:rsidRPr="00F82F28">
        <w:rPr>
          <w:bCs/>
          <w:lang w:val="fr-FR"/>
        </w:rPr>
        <w:t>et grands emballages plastiques</w:t>
      </w:r>
      <w:r>
        <w:rPr>
          <w:bCs/>
          <w:lang w:val="fr-FR"/>
        </w:rPr>
        <w:tab/>
      </w:r>
      <w:r>
        <w:rPr>
          <w:bCs/>
          <w:lang w:val="fr-FR"/>
        </w:rPr>
        <w:tab/>
        <w:t>72−73</w:t>
      </w:r>
      <w:r>
        <w:rPr>
          <w:bCs/>
          <w:lang w:val="fr-FR"/>
        </w:rPr>
        <w:tab/>
      </w:r>
      <w:r w:rsidR="000414B0">
        <w:rPr>
          <w:bCs/>
          <w:lang w:val="fr-FR"/>
        </w:rPr>
        <w:t>17</w:t>
      </w:r>
    </w:p>
    <w:p w14:paraId="6809B9CC" w14:textId="77777777" w:rsidR="00A94AB2" w:rsidRDefault="00A94AB2" w:rsidP="00EA4B32">
      <w:pPr>
        <w:tabs>
          <w:tab w:val="right" w:leader="dot" w:pos="7654"/>
          <w:tab w:val="right" w:pos="8929"/>
          <w:tab w:val="right" w:pos="9638"/>
        </w:tabs>
        <w:spacing w:after="120"/>
        <w:ind w:left="1984" w:hanging="425"/>
        <w:rPr>
          <w:bCs/>
          <w:lang w:val="fr-FR"/>
        </w:rPr>
      </w:pPr>
      <w:r>
        <w:rPr>
          <w:bCs/>
          <w:lang w:val="fr-FR"/>
        </w:rPr>
        <w:t>5.</w:t>
      </w:r>
      <w:r>
        <w:rPr>
          <w:bCs/>
          <w:lang w:val="fr-FR"/>
        </w:rPr>
        <w:tab/>
      </w:r>
      <w:r w:rsidRPr="00F82F28">
        <w:rPr>
          <w:bCs/>
          <w:lang w:val="fr-FR"/>
        </w:rPr>
        <w:t>Définition des matières plastiques recyclées</w:t>
      </w:r>
      <w:r>
        <w:rPr>
          <w:bCs/>
          <w:lang w:val="fr-FR"/>
        </w:rPr>
        <w:tab/>
      </w:r>
      <w:r>
        <w:rPr>
          <w:bCs/>
          <w:lang w:val="fr-FR"/>
        </w:rPr>
        <w:tab/>
        <w:t>74</w:t>
      </w:r>
      <w:r>
        <w:rPr>
          <w:bCs/>
          <w:lang w:val="fr-FR"/>
        </w:rPr>
        <w:tab/>
      </w:r>
      <w:r w:rsidR="000414B0">
        <w:rPr>
          <w:bCs/>
          <w:lang w:val="fr-FR"/>
        </w:rPr>
        <w:t>17</w:t>
      </w:r>
    </w:p>
    <w:p w14:paraId="5829A7D7" w14:textId="734F1D77" w:rsidR="00A94AB2" w:rsidRDefault="00A94AB2" w:rsidP="00EA4B32">
      <w:pPr>
        <w:tabs>
          <w:tab w:val="right" w:leader="dot" w:pos="7654"/>
          <w:tab w:val="right" w:pos="8929"/>
          <w:tab w:val="right" w:pos="9638"/>
        </w:tabs>
        <w:spacing w:after="120"/>
        <w:ind w:left="1984" w:hanging="425"/>
        <w:rPr>
          <w:bCs/>
          <w:lang w:val="fr-FR"/>
        </w:rPr>
      </w:pPr>
      <w:r>
        <w:rPr>
          <w:bCs/>
          <w:lang w:val="fr-FR"/>
        </w:rPr>
        <w:t>6.</w:t>
      </w:r>
      <w:r>
        <w:rPr>
          <w:bCs/>
          <w:lang w:val="fr-FR"/>
        </w:rPr>
        <w:tab/>
      </w:r>
      <w:r w:rsidRPr="00F82F28">
        <w:rPr>
          <w:bCs/>
          <w:lang w:val="fr-FR"/>
        </w:rPr>
        <w:t xml:space="preserve">Diamètre de la barre cylindrique en acier utilisée </w:t>
      </w:r>
      <w:r>
        <w:rPr>
          <w:bCs/>
          <w:lang w:val="fr-FR"/>
        </w:rPr>
        <w:br/>
      </w:r>
      <w:r w:rsidRPr="00F82F28">
        <w:rPr>
          <w:bCs/>
          <w:lang w:val="fr-FR"/>
        </w:rPr>
        <w:t>pour l</w:t>
      </w:r>
      <w:r w:rsidR="000B2B75">
        <w:rPr>
          <w:bCs/>
          <w:lang w:val="fr-FR"/>
        </w:rPr>
        <w:t>’</w:t>
      </w:r>
      <w:r w:rsidRPr="00F82F28">
        <w:rPr>
          <w:bCs/>
          <w:lang w:val="fr-FR"/>
        </w:rPr>
        <w:t>épreuve de perforation du 6.3.5.4</w:t>
      </w:r>
      <w:r>
        <w:rPr>
          <w:bCs/>
          <w:lang w:val="fr-FR"/>
        </w:rPr>
        <w:tab/>
      </w:r>
      <w:r>
        <w:rPr>
          <w:bCs/>
          <w:lang w:val="fr-FR"/>
        </w:rPr>
        <w:tab/>
        <w:t>75</w:t>
      </w:r>
      <w:r>
        <w:rPr>
          <w:bCs/>
          <w:lang w:val="fr-FR"/>
        </w:rPr>
        <w:tab/>
      </w:r>
      <w:r w:rsidR="000414B0">
        <w:rPr>
          <w:bCs/>
          <w:lang w:val="fr-FR"/>
        </w:rPr>
        <w:t>17</w:t>
      </w:r>
    </w:p>
    <w:p w14:paraId="5118D00D" w14:textId="77777777" w:rsidR="00A94AB2" w:rsidRDefault="00A94AB2" w:rsidP="00EA4B32">
      <w:pPr>
        <w:tabs>
          <w:tab w:val="right" w:leader="dot" w:pos="7654"/>
          <w:tab w:val="right" w:pos="8929"/>
          <w:tab w:val="right" w:pos="9638"/>
        </w:tabs>
        <w:spacing w:after="120"/>
        <w:ind w:left="1984" w:hanging="425"/>
        <w:rPr>
          <w:bCs/>
          <w:lang w:val="fr-FR"/>
        </w:rPr>
      </w:pPr>
      <w:r>
        <w:rPr>
          <w:bCs/>
          <w:lang w:val="fr-FR"/>
        </w:rPr>
        <w:t>7.</w:t>
      </w:r>
      <w:r>
        <w:rPr>
          <w:bCs/>
          <w:lang w:val="fr-FR"/>
        </w:rPr>
        <w:tab/>
      </w:r>
      <w:r w:rsidRPr="00F82F28">
        <w:rPr>
          <w:bCs/>
          <w:lang w:val="fr-FR"/>
        </w:rPr>
        <w:t>Épreuve de gerbage selon le 6.1.5.6</w:t>
      </w:r>
      <w:r>
        <w:rPr>
          <w:bCs/>
          <w:lang w:val="fr-FR"/>
        </w:rPr>
        <w:tab/>
      </w:r>
      <w:r>
        <w:rPr>
          <w:bCs/>
          <w:lang w:val="fr-FR"/>
        </w:rPr>
        <w:tab/>
        <w:t>76</w:t>
      </w:r>
      <w:r>
        <w:rPr>
          <w:bCs/>
          <w:lang w:val="fr-FR"/>
        </w:rPr>
        <w:tab/>
      </w:r>
      <w:r w:rsidR="000414B0">
        <w:rPr>
          <w:bCs/>
          <w:lang w:val="fr-FR"/>
        </w:rPr>
        <w:t>17</w:t>
      </w:r>
    </w:p>
    <w:p w14:paraId="3FF2609C" w14:textId="19F1E2A1" w:rsidR="00A94AB2" w:rsidRDefault="00A94AB2" w:rsidP="00EA4B32">
      <w:pPr>
        <w:tabs>
          <w:tab w:val="right" w:leader="dot" w:pos="7654"/>
          <w:tab w:val="right" w:pos="8929"/>
          <w:tab w:val="right" w:pos="9638"/>
        </w:tabs>
        <w:spacing w:after="120"/>
        <w:ind w:left="1984" w:hanging="425"/>
        <w:rPr>
          <w:bCs/>
          <w:lang w:val="fr-FR"/>
        </w:rPr>
      </w:pPr>
      <w:r>
        <w:rPr>
          <w:bCs/>
          <w:lang w:val="fr-FR"/>
        </w:rPr>
        <w:t>8.</w:t>
      </w:r>
      <w:r>
        <w:rPr>
          <w:bCs/>
          <w:lang w:val="fr-FR"/>
        </w:rPr>
        <w:tab/>
      </w:r>
      <w:r w:rsidRPr="00F82F28">
        <w:rPr>
          <w:bCs/>
          <w:lang w:val="fr-FR"/>
        </w:rPr>
        <w:t xml:space="preserve">Sacs en papier </w:t>
      </w:r>
      <w:proofErr w:type="spellStart"/>
      <w:r w:rsidRPr="00F82F28">
        <w:rPr>
          <w:bCs/>
          <w:lang w:val="fr-FR"/>
        </w:rPr>
        <w:t>multiplis</w:t>
      </w:r>
      <w:proofErr w:type="spellEnd"/>
      <w:r w:rsidRPr="00F82F28">
        <w:rPr>
          <w:bCs/>
          <w:lang w:val="fr-FR"/>
        </w:rPr>
        <w:t xml:space="preserve"> résistants à l</w:t>
      </w:r>
      <w:r w:rsidR="000B2B75">
        <w:rPr>
          <w:bCs/>
          <w:lang w:val="fr-FR"/>
        </w:rPr>
        <w:t>’</w:t>
      </w:r>
      <w:r w:rsidRPr="00F82F28">
        <w:rPr>
          <w:bCs/>
          <w:lang w:val="fr-FR"/>
        </w:rPr>
        <w:t>eau (5M2)</w:t>
      </w:r>
      <w:r>
        <w:rPr>
          <w:bCs/>
          <w:lang w:val="fr-FR"/>
        </w:rPr>
        <w:tab/>
      </w:r>
      <w:r>
        <w:rPr>
          <w:bCs/>
          <w:lang w:val="fr-FR"/>
        </w:rPr>
        <w:tab/>
        <w:t>77</w:t>
      </w:r>
      <w:r>
        <w:rPr>
          <w:bCs/>
          <w:lang w:val="fr-FR"/>
        </w:rPr>
        <w:tab/>
      </w:r>
      <w:r w:rsidR="000414B0">
        <w:rPr>
          <w:bCs/>
          <w:lang w:val="fr-FR"/>
        </w:rPr>
        <w:t>17</w:t>
      </w:r>
    </w:p>
    <w:p w14:paraId="50710B00" w14:textId="7F839014" w:rsidR="007C57F5" w:rsidRDefault="007C57F5" w:rsidP="00EA4B32">
      <w:pPr>
        <w:tabs>
          <w:tab w:val="right" w:leader="dot" w:pos="7654"/>
          <w:tab w:val="right" w:pos="8929"/>
          <w:tab w:val="right" w:pos="9638"/>
        </w:tabs>
        <w:spacing w:after="120"/>
        <w:ind w:left="1984" w:hanging="425"/>
        <w:rPr>
          <w:bCs/>
          <w:lang w:val="fr-FR"/>
        </w:rPr>
      </w:pPr>
      <w:r>
        <w:rPr>
          <w:bCs/>
          <w:lang w:val="fr-FR"/>
        </w:rPr>
        <w:t>9.</w:t>
      </w:r>
      <w:r>
        <w:rPr>
          <w:bCs/>
          <w:lang w:val="fr-FR"/>
        </w:rPr>
        <w:tab/>
      </w:r>
      <w:r w:rsidRPr="00F82F28">
        <w:rPr>
          <w:bCs/>
          <w:lang w:val="fr-FR"/>
        </w:rPr>
        <w:t>Définition du type d</w:t>
      </w:r>
      <w:r w:rsidR="000B2B75">
        <w:rPr>
          <w:bCs/>
          <w:lang w:val="fr-FR"/>
        </w:rPr>
        <w:t>’</w:t>
      </w:r>
      <w:r w:rsidRPr="00F82F28">
        <w:rPr>
          <w:bCs/>
          <w:lang w:val="fr-FR"/>
        </w:rPr>
        <w:t>emballage 4G et version chinoise</w:t>
      </w:r>
      <w:r>
        <w:rPr>
          <w:bCs/>
          <w:lang w:val="fr-FR"/>
        </w:rPr>
        <w:tab/>
      </w:r>
      <w:r>
        <w:rPr>
          <w:bCs/>
          <w:lang w:val="fr-FR"/>
        </w:rPr>
        <w:tab/>
        <w:t>78</w:t>
      </w:r>
      <w:r>
        <w:rPr>
          <w:bCs/>
          <w:lang w:val="fr-FR"/>
        </w:rPr>
        <w:tab/>
      </w:r>
      <w:r w:rsidR="000414B0">
        <w:rPr>
          <w:bCs/>
          <w:lang w:val="fr-FR"/>
        </w:rPr>
        <w:t>17</w:t>
      </w:r>
    </w:p>
    <w:p w14:paraId="1BBFE009" w14:textId="77777777" w:rsidR="007C57F5" w:rsidRDefault="007C57F5" w:rsidP="007C57F5">
      <w:pPr>
        <w:tabs>
          <w:tab w:val="right" w:leader="dot" w:pos="7654"/>
          <w:tab w:val="right" w:pos="8929"/>
          <w:tab w:val="right" w:pos="9638"/>
        </w:tabs>
        <w:spacing w:after="120"/>
        <w:ind w:left="1559" w:hanging="425"/>
        <w:rPr>
          <w:lang w:val="fr-FR"/>
        </w:rPr>
      </w:pPr>
      <w:r>
        <w:rPr>
          <w:lang w:val="fr-FR"/>
        </w:rPr>
        <w:t>C.</w:t>
      </w:r>
      <w:r>
        <w:rPr>
          <w:lang w:val="fr-FR"/>
        </w:rPr>
        <w:tab/>
      </w:r>
      <w:r w:rsidRPr="00F82F28">
        <w:rPr>
          <w:lang w:val="fr-FR"/>
        </w:rPr>
        <w:t xml:space="preserve">Citernes mobiles en </w:t>
      </w:r>
      <w:r>
        <w:rPr>
          <w:lang w:val="fr-FR"/>
        </w:rPr>
        <w:t xml:space="preserve">matière </w:t>
      </w:r>
      <w:r w:rsidRPr="00F82F28">
        <w:rPr>
          <w:lang w:val="fr-FR"/>
        </w:rPr>
        <w:t>plastique renforcé</w:t>
      </w:r>
      <w:r>
        <w:rPr>
          <w:lang w:val="fr-FR"/>
        </w:rPr>
        <w:t>e</w:t>
      </w:r>
      <w:r w:rsidRPr="00F82F28">
        <w:rPr>
          <w:lang w:val="fr-FR"/>
        </w:rPr>
        <w:t xml:space="preserve"> de fibres (PRF)</w:t>
      </w:r>
      <w:r>
        <w:rPr>
          <w:lang w:val="fr-FR"/>
        </w:rPr>
        <w:tab/>
      </w:r>
      <w:r>
        <w:rPr>
          <w:lang w:val="fr-FR"/>
        </w:rPr>
        <w:tab/>
        <w:t>79</w:t>
      </w:r>
      <w:r>
        <w:rPr>
          <w:lang w:val="fr-FR"/>
        </w:rPr>
        <w:tab/>
      </w:r>
      <w:r w:rsidR="000414B0">
        <w:rPr>
          <w:lang w:val="fr-FR"/>
        </w:rPr>
        <w:t>18</w:t>
      </w:r>
    </w:p>
    <w:p w14:paraId="2B02755D" w14:textId="77777777" w:rsidR="007C57F5" w:rsidRDefault="007C57F5" w:rsidP="007C57F5">
      <w:pPr>
        <w:tabs>
          <w:tab w:val="right" w:leader="dot" w:pos="7654"/>
          <w:tab w:val="right" w:pos="8929"/>
          <w:tab w:val="right" w:pos="9638"/>
        </w:tabs>
        <w:spacing w:after="120"/>
        <w:ind w:left="1559" w:hanging="425"/>
        <w:rPr>
          <w:lang w:val="fr-FR"/>
        </w:rPr>
      </w:pPr>
      <w:r>
        <w:rPr>
          <w:lang w:val="fr-FR"/>
        </w:rPr>
        <w:lastRenderedPageBreak/>
        <w:t>D.</w:t>
      </w:r>
      <w:r>
        <w:rPr>
          <w:lang w:val="fr-FR"/>
        </w:rPr>
        <w:tab/>
      </w:r>
      <w:r w:rsidRPr="00F82F28">
        <w:rPr>
          <w:lang w:val="fr-FR"/>
        </w:rPr>
        <w:t xml:space="preserve">Citernes mobiles (autres que les citernes mobiles </w:t>
      </w:r>
      <w:r>
        <w:rPr>
          <w:lang w:val="fr-FR"/>
        </w:rPr>
        <w:br/>
      </w:r>
      <w:r w:rsidRPr="00F82F28">
        <w:rPr>
          <w:lang w:val="fr-FR"/>
        </w:rPr>
        <w:t xml:space="preserve">en </w:t>
      </w:r>
      <w:r>
        <w:rPr>
          <w:lang w:val="fr-FR"/>
        </w:rPr>
        <w:t xml:space="preserve">matière </w:t>
      </w:r>
      <w:r w:rsidRPr="00F82F28">
        <w:rPr>
          <w:lang w:val="fr-FR"/>
        </w:rPr>
        <w:t>plastique renforcé</w:t>
      </w:r>
      <w:r>
        <w:rPr>
          <w:lang w:val="fr-FR"/>
        </w:rPr>
        <w:t>e</w:t>
      </w:r>
      <w:r w:rsidRPr="00F82F28">
        <w:rPr>
          <w:lang w:val="fr-FR"/>
        </w:rPr>
        <w:t xml:space="preserve"> de fibres)</w:t>
      </w:r>
      <w:r>
        <w:rPr>
          <w:lang w:val="fr-FR"/>
        </w:rPr>
        <w:tab/>
      </w:r>
      <w:r>
        <w:rPr>
          <w:lang w:val="fr-FR"/>
        </w:rPr>
        <w:tab/>
        <w:t>80</w:t>
      </w:r>
      <w:r>
        <w:rPr>
          <w:lang w:val="fr-FR"/>
        </w:rPr>
        <w:tab/>
      </w:r>
      <w:r w:rsidR="000414B0">
        <w:rPr>
          <w:lang w:val="fr-FR"/>
        </w:rPr>
        <w:t>18</w:t>
      </w:r>
    </w:p>
    <w:p w14:paraId="185D3E30" w14:textId="77777777" w:rsidR="007C57F5" w:rsidRDefault="007C57F5" w:rsidP="007C57F5">
      <w:pPr>
        <w:tabs>
          <w:tab w:val="right" w:leader="dot" w:pos="7654"/>
          <w:tab w:val="right" w:pos="8929"/>
          <w:tab w:val="right" w:pos="9638"/>
        </w:tabs>
        <w:spacing w:after="120"/>
        <w:ind w:left="1559" w:hanging="425"/>
        <w:rPr>
          <w:bCs/>
          <w:lang w:val="fr-FR"/>
        </w:rPr>
      </w:pPr>
      <w:r>
        <w:rPr>
          <w:lang w:val="fr-FR"/>
        </w:rPr>
        <w:t>E.</w:t>
      </w:r>
      <w:r>
        <w:rPr>
          <w:lang w:val="fr-FR"/>
        </w:rPr>
        <w:tab/>
      </w:r>
      <w:r w:rsidRPr="00F82F28">
        <w:rPr>
          <w:bCs/>
          <w:lang w:val="fr-FR"/>
        </w:rPr>
        <w:t>Autres propositions diverses</w:t>
      </w:r>
      <w:r>
        <w:rPr>
          <w:bCs/>
          <w:lang w:val="fr-FR"/>
        </w:rPr>
        <w:tab/>
      </w:r>
      <w:r>
        <w:rPr>
          <w:bCs/>
          <w:lang w:val="fr-FR"/>
        </w:rPr>
        <w:tab/>
        <w:t>81</w:t>
      </w:r>
      <w:r w:rsidR="00DB4B25">
        <w:rPr>
          <w:bCs/>
          <w:lang w:val="fr-FR"/>
        </w:rPr>
        <w:t>−88</w:t>
      </w:r>
      <w:r w:rsidR="00DB4B25">
        <w:rPr>
          <w:bCs/>
          <w:lang w:val="fr-FR"/>
        </w:rPr>
        <w:tab/>
      </w:r>
      <w:r w:rsidR="000414B0">
        <w:rPr>
          <w:bCs/>
          <w:lang w:val="fr-FR"/>
        </w:rPr>
        <w:t>18</w:t>
      </w:r>
    </w:p>
    <w:p w14:paraId="4C278344" w14:textId="019DA6BD" w:rsidR="00DB4B25" w:rsidRDefault="00DB4B25" w:rsidP="00DB4B25">
      <w:pPr>
        <w:tabs>
          <w:tab w:val="right" w:leader="dot" w:pos="7654"/>
          <w:tab w:val="right" w:pos="8929"/>
          <w:tab w:val="right" w:pos="9638"/>
        </w:tabs>
        <w:spacing w:after="120"/>
        <w:ind w:left="1984" w:hanging="425"/>
        <w:rPr>
          <w:lang w:val="fr-FR"/>
        </w:rPr>
      </w:pPr>
      <w:r>
        <w:rPr>
          <w:lang w:val="fr-FR"/>
        </w:rPr>
        <w:t>1.</w:t>
      </w:r>
      <w:r>
        <w:rPr>
          <w:lang w:val="fr-FR"/>
        </w:rPr>
        <w:tab/>
      </w:r>
      <w:r w:rsidRPr="00F82F28">
        <w:rPr>
          <w:lang w:val="fr-FR"/>
        </w:rPr>
        <w:t>Amendement au 5.4.1.5.12</w:t>
      </w:r>
      <w:r>
        <w:rPr>
          <w:lang w:val="fr-FR"/>
        </w:rPr>
        <w:t> </w:t>
      </w:r>
      <w:r w:rsidRPr="00F82F28">
        <w:rPr>
          <w:lang w:val="fr-FR"/>
        </w:rPr>
        <w:t xml:space="preserve">: rubriques supplémentaires </w:t>
      </w:r>
      <w:r>
        <w:rPr>
          <w:lang w:val="fr-FR"/>
        </w:rPr>
        <w:br/>
      </w:r>
      <w:r w:rsidRPr="00F82F28">
        <w:rPr>
          <w:lang w:val="fr-FR"/>
        </w:rPr>
        <w:t>en cas d</w:t>
      </w:r>
      <w:r w:rsidR="000B2B75">
        <w:rPr>
          <w:lang w:val="fr-FR"/>
        </w:rPr>
        <w:t>’</w:t>
      </w:r>
      <w:r w:rsidRPr="00F82F28">
        <w:rPr>
          <w:lang w:val="fr-FR"/>
        </w:rPr>
        <w:t>application de dispositions spéciales</w:t>
      </w:r>
      <w:r>
        <w:rPr>
          <w:lang w:val="fr-FR"/>
        </w:rPr>
        <w:tab/>
      </w:r>
      <w:r>
        <w:rPr>
          <w:lang w:val="fr-FR"/>
        </w:rPr>
        <w:tab/>
        <w:t>81</w:t>
      </w:r>
      <w:r>
        <w:rPr>
          <w:lang w:val="fr-FR"/>
        </w:rPr>
        <w:tab/>
      </w:r>
      <w:r w:rsidR="000414B0">
        <w:rPr>
          <w:lang w:val="fr-FR"/>
        </w:rPr>
        <w:t>18</w:t>
      </w:r>
    </w:p>
    <w:p w14:paraId="22E39AA7" w14:textId="77777777" w:rsidR="00DB4B25" w:rsidRDefault="00DB4B25" w:rsidP="00DB4B25">
      <w:pPr>
        <w:tabs>
          <w:tab w:val="right" w:leader="dot" w:pos="7654"/>
          <w:tab w:val="right" w:pos="8929"/>
          <w:tab w:val="right" w:pos="9638"/>
        </w:tabs>
        <w:spacing w:after="120"/>
        <w:ind w:left="1984" w:hanging="425"/>
        <w:rPr>
          <w:bCs/>
          <w:lang w:val="fr-FR"/>
        </w:rPr>
      </w:pPr>
      <w:r>
        <w:rPr>
          <w:lang w:val="fr-FR"/>
        </w:rPr>
        <w:t>2.</w:t>
      </w:r>
      <w:r>
        <w:rPr>
          <w:lang w:val="fr-FR"/>
        </w:rPr>
        <w:tab/>
      </w:r>
      <w:r w:rsidRPr="00F82F28">
        <w:rPr>
          <w:bCs/>
          <w:lang w:val="fr-FR"/>
        </w:rPr>
        <w:t>Transport du butylène</w:t>
      </w:r>
      <w:r>
        <w:rPr>
          <w:bCs/>
          <w:lang w:val="fr-FR"/>
        </w:rPr>
        <w:tab/>
      </w:r>
      <w:r>
        <w:rPr>
          <w:bCs/>
          <w:lang w:val="fr-FR"/>
        </w:rPr>
        <w:tab/>
        <w:t>82</w:t>
      </w:r>
      <w:r>
        <w:rPr>
          <w:bCs/>
          <w:lang w:val="fr-FR"/>
        </w:rPr>
        <w:tab/>
      </w:r>
      <w:r w:rsidR="000414B0">
        <w:rPr>
          <w:bCs/>
          <w:lang w:val="fr-FR"/>
        </w:rPr>
        <w:t>18</w:t>
      </w:r>
    </w:p>
    <w:p w14:paraId="10B0AF12" w14:textId="11A2DADB" w:rsidR="00DB4B25" w:rsidRDefault="00DB4B25" w:rsidP="00DB4B25">
      <w:pPr>
        <w:tabs>
          <w:tab w:val="right" w:leader="dot" w:pos="7654"/>
          <w:tab w:val="right" w:pos="8929"/>
          <w:tab w:val="right" w:pos="9638"/>
        </w:tabs>
        <w:spacing w:after="120"/>
        <w:ind w:left="1984" w:hanging="425"/>
        <w:rPr>
          <w:bCs/>
          <w:lang w:val="fr-FR"/>
        </w:rPr>
      </w:pPr>
      <w:r>
        <w:rPr>
          <w:bCs/>
          <w:lang w:val="fr-FR"/>
        </w:rPr>
        <w:t>3.</w:t>
      </w:r>
      <w:r>
        <w:rPr>
          <w:bCs/>
          <w:lang w:val="fr-FR"/>
        </w:rPr>
        <w:tab/>
      </w:r>
      <w:r w:rsidRPr="00F82F28">
        <w:rPr>
          <w:bCs/>
          <w:lang w:val="fr-FR"/>
        </w:rPr>
        <w:t>Propositions diverses d</w:t>
      </w:r>
      <w:r w:rsidR="000B2B75">
        <w:rPr>
          <w:bCs/>
          <w:lang w:val="fr-FR"/>
        </w:rPr>
        <w:t>’</w:t>
      </w:r>
      <w:r w:rsidRPr="00F82F28">
        <w:rPr>
          <w:bCs/>
          <w:lang w:val="fr-FR"/>
        </w:rPr>
        <w:t xml:space="preserve">amendements au Règlement type </w:t>
      </w:r>
      <w:r>
        <w:rPr>
          <w:bCs/>
          <w:lang w:val="fr-FR"/>
        </w:rPr>
        <w:br/>
      </w:r>
      <w:r w:rsidRPr="00F82F28">
        <w:rPr>
          <w:bCs/>
          <w:lang w:val="fr-FR"/>
        </w:rPr>
        <w:t>pour le transport des marchandises dangereuses</w:t>
      </w:r>
      <w:r>
        <w:rPr>
          <w:bCs/>
          <w:lang w:val="fr-FR"/>
        </w:rPr>
        <w:tab/>
      </w:r>
      <w:r>
        <w:rPr>
          <w:bCs/>
          <w:lang w:val="fr-FR"/>
        </w:rPr>
        <w:tab/>
        <w:t>83</w:t>
      </w:r>
      <w:r>
        <w:rPr>
          <w:bCs/>
          <w:lang w:val="fr-FR"/>
        </w:rPr>
        <w:tab/>
      </w:r>
      <w:r w:rsidR="000414B0">
        <w:rPr>
          <w:bCs/>
          <w:lang w:val="fr-FR"/>
        </w:rPr>
        <w:t>18</w:t>
      </w:r>
    </w:p>
    <w:p w14:paraId="6538F411" w14:textId="45309352" w:rsidR="00DB4B25" w:rsidRDefault="00DB4B25" w:rsidP="00DB4B25">
      <w:pPr>
        <w:tabs>
          <w:tab w:val="right" w:leader="dot" w:pos="7654"/>
          <w:tab w:val="right" w:pos="8929"/>
          <w:tab w:val="right" w:pos="9638"/>
        </w:tabs>
        <w:spacing w:after="120"/>
        <w:ind w:left="1984" w:hanging="425"/>
        <w:rPr>
          <w:bCs/>
          <w:lang w:val="fr-FR"/>
        </w:rPr>
      </w:pPr>
      <w:r>
        <w:rPr>
          <w:bCs/>
          <w:lang w:val="fr-FR"/>
        </w:rPr>
        <w:t>4.</w:t>
      </w:r>
      <w:r>
        <w:rPr>
          <w:bCs/>
          <w:lang w:val="fr-FR"/>
        </w:rPr>
        <w:tab/>
      </w:r>
      <w:r w:rsidRPr="00F82F28">
        <w:rPr>
          <w:bCs/>
          <w:lang w:val="fr-FR"/>
        </w:rPr>
        <w:t xml:space="preserve">Informations à indiquer dans le document de transport </w:t>
      </w:r>
      <w:r>
        <w:rPr>
          <w:bCs/>
          <w:lang w:val="fr-FR"/>
        </w:rPr>
        <w:br/>
      </w:r>
      <w:r w:rsidRPr="00F82F28">
        <w:rPr>
          <w:bCs/>
          <w:lang w:val="fr-FR"/>
        </w:rPr>
        <w:t>lors de l</w:t>
      </w:r>
      <w:r w:rsidR="000B2B75">
        <w:rPr>
          <w:bCs/>
          <w:lang w:val="fr-FR"/>
        </w:rPr>
        <w:t>’</w:t>
      </w:r>
      <w:r w:rsidRPr="00F82F28">
        <w:rPr>
          <w:bCs/>
          <w:lang w:val="fr-FR"/>
        </w:rPr>
        <w:t>utilisation d</w:t>
      </w:r>
      <w:r w:rsidR="000B2B75">
        <w:rPr>
          <w:bCs/>
          <w:lang w:val="fr-FR"/>
        </w:rPr>
        <w:t>’</w:t>
      </w:r>
      <w:r w:rsidRPr="00F82F28">
        <w:rPr>
          <w:bCs/>
          <w:lang w:val="fr-FR"/>
        </w:rPr>
        <w:t xml:space="preserve">emballages non agréés </w:t>
      </w:r>
      <w:r>
        <w:rPr>
          <w:bCs/>
          <w:lang w:val="fr-FR"/>
        </w:rPr>
        <w:br/>
      </w:r>
      <w:r w:rsidRPr="00F82F28">
        <w:rPr>
          <w:bCs/>
          <w:lang w:val="fr-FR"/>
        </w:rPr>
        <w:t>comme emballages de secours</w:t>
      </w:r>
      <w:r>
        <w:rPr>
          <w:bCs/>
          <w:lang w:val="fr-FR"/>
        </w:rPr>
        <w:tab/>
      </w:r>
      <w:r>
        <w:rPr>
          <w:bCs/>
          <w:lang w:val="fr-FR"/>
        </w:rPr>
        <w:tab/>
        <w:t>84</w:t>
      </w:r>
      <w:r>
        <w:rPr>
          <w:bCs/>
          <w:lang w:val="fr-FR"/>
        </w:rPr>
        <w:tab/>
      </w:r>
      <w:r w:rsidR="000414B0">
        <w:rPr>
          <w:bCs/>
          <w:lang w:val="fr-FR"/>
        </w:rPr>
        <w:t>18</w:t>
      </w:r>
    </w:p>
    <w:p w14:paraId="54F828A9" w14:textId="77777777" w:rsidR="00DB4B25" w:rsidRDefault="00DB4B25" w:rsidP="00DB4B25">
      <w:pPr>
        <w:tabs>
          <w:tab w:val="right" w:leader="dot" w:pos="7654"/>
          <w:tab w:val="right" w:pos="8929"/>
          <w:tab w:val="right" w:pos="9638"/>
        </w:tabs>
        <w:spacing w:after="120"/>
        <w:ind w:left="1984" w:hanging="425"/>
        <w:rPr>
          <w:bCs/>
          <w:lang w:val="fr-FR"/>
        </w:rPr>
      </w:pPr>
      <w:r>
        <w:rPr>
          <w:bCs/>
          <w:lang w:val="fr-FR"/>
        </w:rPr>
        <w:t>5.</w:t>
      </w:r>
      <w:r>
        <w:rPr>
          <w:bCs/>
          <w:lang w:val="fr-FR"/>
        </w:rPr>
        <w:tab/>
        <w:t>T</w:t>
      </w:r>
      <w:r w:rsidRPr="00F82F28">
        <w:rPr>
          <w:bCs/>
          <w:lang w:val="fr-FR"/>
        </w:rPr>
        <w:t>ermes «</w:t>
      </w:r>
      <w:r>
        <w:rPr>
          <w:bCs/>
          <w:lang w:val="fr-FR"/>
        </w:rPr>
        <w:t> </w:t>
      </w:r>
      <w:proofErr w:type="spellStart"/>
      <w:r w:rsidRPr="00F82F28">
        <w:rPr>
          <w:bCs/>
          <w:lang w:val="fr-FR"/>
        </w:rPr>
        <w:t>aromatic</w:t>
      </w:r>
      <w:proofErr w:type="spellEnd"/>
      <w:r>
        <w:rPr>
          <w:bCs/>
          <w:lang w:val="fr-FR"/>
        </w:rPr>
        <w:t> </w:t>
      </w:r>
      <w:r w:rsidRPr="00F82F28">
        <w:rPr>
          <w:bCs/>
          <w:lang w:val="fr-FR"/>
        </w:rPr>
        <w:t>» et «</w:t>
      </w:r>
      <w:r>
        <w:rPr>
          <w:bCs/>
          <w:lang w:val="fr-FR"/>
        </w:rPr>
        <w:t> </w:t>
      </w:r>
      <w:proofErr w:type="spellStart"/>
      <w:r w:rsidRPr="00F82F28">
        <w:rPr>
          <w:bCs/>
          <w:lang w:val="fr-FR"/>
        </w:rPr>
        <w:t>flavouring</w:t>
      </w:r>
      <w:proofErr w:type="spellEnd"/>
      <w:r>
        <w:rPr>
          <w:bCs/>
          <w:lang w:val="fr-FR"/>
        </w:rPr>
        <w:t> </w:t>
      </w:r>
      <w:r w:rsidRPr="00F82F28">
        <w:rPr>
          <w:bCs/>
          <w:lang w:val="fr-FR"/>
        </w:rPr>
        <w:t xml:space="preserve">» </w:t>
      </w:r>
      <w:r>
        <w:rPr>
          <w:bCs/>
          <w:lang w:val="fr-FR"/>
        </w:rPr>
        <w:br/>
      </w:r>
      <w:r w:rsidRPr="00F82F28">
        <w:rPr>
          <w:bCs/>
          <w:lang w:val="fr-FR"/>
        </w:rPr>
        <w:t>dans les Nos ONU 1169 et 1197</w:t>
      </w:r>
      <w:r>
        <w:rPr>
          <w:bCs/>
          <w:lang w:val="fr-FR"/>
        </w:rPr>
        <w:tab/>
      </w:r>
      <w:r>
        <w:rPr>
          <w:bCs/>
          <w:lang w:val="fr-FR"/>
        </w:rPr>
        <w:tab/>
        <w:t>85</w:t>
      </w:r>
      <w:r>
        <w:rPr>
          <w:bCs/>
          <w:lang w:val="fr-FR"/>
        </w:rPr>
        <w:tab/>
      </w:r>
      <w:r w:rsidR="00262927">
        <w:rPr>
          <w:bCs/>
          <w:lang w:val="fr-FR"/>
        </w:rPr>
        <w:t>19</w:t>
      </w:r>
    </w:p>
    <w:p w14:paraId="4F3CB83B" w14:textId="0D92D81A" w:rsidR="00DB4B25" w:rsidRDefault="00DB4B25" w:rsidP="00DB4B25">
      <w:pPr>
        <w:tabs>
          <w:tab w:val="right" w:leader="dot" w:pos="7654"/>
          <w:tab w:val="right" w:pos="8929"/>
          <w:tab w:val="right" w:pos="9638"/>
        </w:tabs>
        <w:spacing w:after="120"/>
        <w:ind w:left="1984" w:hanging="425"/>
        <w:rPr>
          <w:bCs/>
          <w:lang w:val="fr-FR"/>
        </w:rPr>
      </w:pPr>
      <w:r>
        <w:rPr>
          <w:bCs/>
          <w:lang w:val="fr-FR"/>
        </w:rPr>
        <w:t>6.</w:t>
      </w:r>
      <w:r>
        <w:rPr>
          <w:bCs/>
          <w:lang w:val="fr-FR"/>
        </w:rPr>
        <w:tab/>
      </w:r>
      <w:r w:rsidRPr="00F82F28">
        <w:rPr>
          <w:bCs/>
          <w:lang w:val="fr-FR"/>
        </w:rPr>
        <w:t xml:space="preserve">Augmentation de la pression interne maximale autorisée </w:t>
      </w:r>
      <w:r>
        <w:rPr>
          <w:bCs/>
          <w:lang w:val="fr-FR"/>
        </w:rPr>
        <w:br/>
      </w:r>
      <w:r w:rsidRPr="00F82F28">
        <w:rPr>
          <w:bCs/>
          <w:lang w:val="fr-FR"/>
        </w:rPr>
        <w:t>pour les générateurs d</w:t>
      </w:r>
      <w:r w:rsidR="000B2B75">
        <w:rPr>
          <w:bCs/>
          <w:lang w:val="fr-FR"/>
        </w:rPr>
        <w:t>’</w:t>
      </w:r>
      <w:r w:rsidRPr="00F82F28">
        <w:rPr>
          <w:bCs/>
          <w:lang w:val="fr-FR"/>
        </w:rPr>
        <w:t>aérosols</w:t>
      </w:r>
      <w:r>
        <w:rPr>
          <w:bCs/>
          <w:lang w:val="fr-FR"/>
        </w:rPr>
        <w:tab/>
      </w:r>
      <w:r>
        <w:rPr>
          <w:bCs/>
          <w:lang w:val="fr-FR"/>
        </w:rPr>
        <w:tab/>
        <w:t>86</w:t>
      </w:r>
      <w:r>
        <w:rPr>
          <w:bCs/>
          <w:lang w:val="fr-FR"/>
        </w:rPr>
        <w:tab/>
      </w:r>
      <w:r w:rsidR="00262927">
        <w:rPr>
          <w:bCs/>
          <w:lang w:val="fr-FR"/>
        </w:rPr>
        <w:t>19</w:t>
      </w:r>
    </w:p>
    <w:p w14:paraId="67748B4B" w14:textId="7C638EF4" w:rsidR="00DB4B25" w:rsidRDefault="00DB4B25" w:rsidP="00DB4B25">
      <w:pPr>
        <w:tabs>
          <w:tab w:val="right" w:leader="dot" w:pos="7654"/>
          <w:tab w:val="right" w:pos="8929"/>
          <w:tab w:val="right" w:pos="9638"/>
        </w:tabs>
        <w:spacing w:after="120"/>
        <w:ind w:left="1984" w:hanging="425"/>
        <w:rPr>
          <w:bCs/>
          <w:lang w:val="fr-FR"/>
        </w:rPr>
      </w:pPr>
      <w:r>
        <w:rPr>
          <w:bCs/>
          <w:lang w:val="fr-FR"/>
        </w:rPr>
        <w:t>7.</w:t>
      </w:r>
      <w:r>
        <w:rPr>
          <w:bCs/>
          <w:lang w:val="fr-FR"/>
        </w:rPr>
        <w:tab/>
      </w:r>
      <w:r w:rsidRPr="00F82F28">
        <w:rPr>
          <w:bCs/>
          <w:lang w:val="fr-FR"/>
        </w:rPr>
        <w:t>Proposition d</w:t>
      </w:r>
      <w:r w:rsidR="000B2B75">
        <w:rPr>
          <w:bCs/>
          <w:lang w:val="fr-FR"/>
        </w:rPr>
        <w:t>’</w:t>
      </w:r>
      <w:r w:rsidRPr="00F82F28">
        <w:rPr>
          <w:bCs/>
          <w:lang w:val="fr-FR"/>
        </w:rPr>
        <w:t>amendements concernant l</w:t>
      </w:r>
      <w:r w:rsidR="000B2B75">
        <w:rPr>
          <w:bCs/>
          <w:lang w:val="fr-FR"/>
        </w:rPr>
        <w:t>’</w:t>
      </w:r>
      <w:r w:rsidRPr="00F82F28">
        <w:rPr>
          <w:bCs/>
          <w:lang w:val="fr-FR"/>
        </w:rPr>
        <w:t xml:space="preserve">emploi des termes </w:t>
      </w:r>
      <w:r>
        <w:rPr>
          <w:bCs/>
          <w:lang w:val="fr-FR"/>
        </w:rPr>
        <w:br/>
      </w:r>
      <w:r w:rsidRPr="00F82F28">
        <w:rPr>
          <w:bCs/>
          <w:lang w:val="fr-FR"/>
        </w:rPr>
        <w:t>«</w:t>
      </w:r>
      <w:r>
        <w:rPr>
          <w:bCs/>
          <w:lang w:val="fr-FR"/>
        </w:rPr>
        <w:t> </w:t>
      </w:r>
      <w:r w:rsidRPr="00F82F28">
        <w:rPr>
          <w:bCs/>
          <w:lang w:val="fr-FR"/>
        </w:rPr>
        <w:t>risque</w:t>
      </w:r>
      <w:r>
        <w:rPr>
          <w:bCs/>
          <w:lang w:val="fr-FR"/>
        </w:rPr>
        <w:t> </w:t>
      </w:r>
      <w:r w:rsidRPr="00F82F28">
        <w:rPr>
          <w:bCs/>
          <w:lang w:val="fr-FR"/>
        </w:rPr>
        <w:t>» et «</w:t>
      </w:r>
      <w:r>
        <w:rPr>
          <w:bCs/>
          <w:lang w:val="fr-FR"/>
        </w:rPr>
        <w:t> </w:t>
      </w:r>
      <w:r w:rsidRPr="00F82F28">
        <w:rPr>
          <w:bCs/>
          <w:lang w:val="fr-FR"/>
        </w:rPr>
        <w:t>danger</w:t>
      </w:r>
      <w:r>
        <w:rPr>
          <w:bCs/>
          <w:lang w:val="fr-FR"/>
        </w:rPr>
        <w:t> </w:t>
      </w:r>
      <w:r w:rsidRPr="00F82F28">
        <w:rPr>
          <w:bCs/>
          <w:lang w:val="fr-FR"/>
        </w:rPr>
        <w:t xml:space="preserve">» dans les Recommandations </w:t>
      </w:r>
      <w:r>
        <w:rPr>
          <w:bCs/>
          <w:lang w:val="fr-FR"/>
        </w:rPr>
        <w:br/>
      </w:r>
      <w:r w:rsidRPr="00F82F28">
        <w:rPr>
          <w:bCs/>
          <w:lang w:val="fr-FR"/>
        </w:rPr>
        <w:t>et le Règlement type</w:t>
      </w:r>
      <w:r>
        <w:rPr>
          <w:bCs/>
          <w:lang w:val="fr-FR"/>
        </w:rPr>
        <w:tab/>
      </w:r>
      <w:r>
        <w:rPr>
          <w:bCs/>
          <w:lang w:val="fr-FR"/>
        </w:rPr>
        <w:tab/>
        <w:t>87</w:t>
      </w:r>
      <w:r>
        <w:rPr>
          <w:bCs/>
          <w:lang w:val="fr-FR"/>
        </w:rPr>
        <w:tab/>
      </w:r>
      <w:r w:rsidR="00262927">
        <w:rPr>
          <w:bCs/>
          <w:lang w:val="fr-FR"/>
        </w:rPr>
        <w:t>19</w:t>
      </w:r>
    </w:p>
    <w:p w14:paraId="7D10B09B" w14:textId="77777777" w:rsidR="00DB4B25" w:rsidRDefault="00DB4B25" w:rsidP="00DB4B25">
      <w:pPr>
        <w:tabs>
          <w:tab w:val="right" w:leader="dot" w:pos="7654"/>
          <w:tab w:val="right" w:pos="8929"/>
          <w:tab w:val="right" w:pos="9638"/>
        </w:tabs>
        <w:spacing w:after="120"/>
        <w:ind w:left="1984" w:hanging="425"/>
        <w:rPr>
          <w:bCs/>
          <w:lang w:val="fr-FR"/>
        </w:rPr>
      </w:pPr>
      <w:r>
        <w:rPr>
          <w:bCs/>
          <w:lang w:val="fr-FR"/>
        </w:rPr>
        <w:t>8.</w:t>
      </w:r>
      <w:r>
        <w:rPr>
          <w:bCs/>
          <w:lang w:val="fr-FR"/>
        </w:rPr>
        <w:tab/>
      </w:r>
      <w:r w:rsidRPr="00F82F28">
        <w:rPr>
          <w:bCs/>
          <w:lang w:val="fr-FR"/>
        </w:rPr>
        <w:t xml:space="preserve">Nouvelle rubrique ONU pour les </w:t>
      </w:r>
      <w:proofErr w:type="spellStart"/>
      <w:r w:rsidRPr="00F82F28">
        <w:rPr>
          <w:bCs/>
          <w:lang w:val="fr-FR"/>
        </w:rPr>
        <w:t>chlorophénols</w:t>
      </w:r>
      <w:proofErr w:type="spellEnd"/>
      <w:r>
        <w:rPr>
          <w:bCs/>
          <w:lang w:val="fr-FR"/>
        </w:rPr>
        <w:tab/>
      </w:r>
      <w:r>
        <w:rPr>
          <w:bCs/>
          <w:lang w:val="fr-FR"/>
        </w:rPr>
        <w:tab/>
        <w:t>88</w:t>
      </w:r>
      <w:r>
        <w:rPr>
          <w:bCs/>
          <w:lang w:val="fr-FR"/>
        </w:rPr>
        <w:tab/>
      </w:r>
      <w:r w:rsidR="00262927">
        <w:rPr>
          <w:bCs/>
          <w:lang w:val="fr-FR"/>
        </w:rPr>
        <w:t>19</w:t>
      </w:r>
    </w:p>
    <w:p w14:paraId="04542DE3" w14:textId="71C312E8" w:rsidR="00DB4B25" w:rsidRDefault="00DB4B25" w:rsidP="00DB4B25">
      <w:pPr>
        <w:tabs>
          <w:tab w:val="right" w:pos="850"/>
          <w:tab w:val="right" w:leader="dot" w:pos="7654"/>
          <w:tab w:val="right" w:pos="8929"/>
          <w:tab w:val="right" w:pos="9638"/>
        </w:tabs>
        <w:spacing w:after="120"/>
        <w:ind w:left="1134" w:hanging="1134"/>
        <w:rPr>
          <w:lang w:val="fr-FR"/>
        </w:rPr>
      </w:pPr>
      <w:r>
        <w:rPr>
          <w:lang w:val="fr-FR"/>
        </w:rPr>
        <w:tab/>
        <w:t>VIII.</w:t>
      </w:r>
      <w:r>
        <w:rPr>
          <w:lang w:val="fr-FR"/>
        </w:rPr>
        <w:tab/>
      </w:r>
      <w:r w:rsidRPr="001C7FC5">
        <w:rPr>
          <w:lang w:val="fr-FR"/>
        </w:rPr>
        <w:t xml:space="preserve">Harmonisation générale des règlements </w:t>
      </w:r>
      <w:r>
        <w:rPr>
          <w:lang w:val="fr-FR"/>
        </w:rPr>
        <w:t>relatifs au</w:t>
      </w:r>
      <w:r w:rsidRPr="001C7FC5">
        <w:rPr>
          <w:lang w:val="fr-FR"/>
        </w:rPr>
        <w:t xml:space="preserve"> transport des marchandises </w:t>
      </w:r>
      <w:r w:rsidR="00BD0A5A">
        <w:rPr>
          <w:lang w:val="fr-FR"/>
        </w:rPr>
        <w:br/>
      </w:r>
      <w:r w:rsidRPr="001C7FC5">
        <w:rPr>
          <w:lang w:val="fr-FR"/>
        </w:rPr>
        <w:t>dangereuses avec le Règlement type (point</w:t>
      </w:r>
      <w:r>
        <w:rPr>
          <w:lang w:val="fr-FR"/>
        </w:rPr>
        <w:t> </w:t>
      </w:r>
      <w:r w:rsidRPr="001C7FC5">
        <w:rPr>
          <w:lang w:val="fr-FR"/>
        </w:rPr>
        <w:t>7 de l</w:t>
      </w:r>
      <w:r w:rsidR="000B2B75">
        <w:rPr>
          <w:lang w:val="fr-FR"/>
        </w:rPr>
        <w:t>’</w:t>
      </w:r>
      <w:r w:rsidRPr="001C7FC5">
        <w:rPr>
          <w:lang w:val="fr-FR"/>
        </w:rPr>
        <w:t>ordre du jour)</w:t>
      </w:r>
      <w:r w:rsidR="00BD0A5A">
        <w:rPr>
          <w:lang w:val="fr-FR"/>
        </w:rPr>
        <w:tab/>
      </w:r>
      <w:r w:rsidR="00BD0A5A">
        <w:rPr>
          <w:lang w:val="fr-FR"/>
        </w:rPr>
        <w:tab/>
        <w:t>89−95</w:t>
      </w:r>
      <w:r w:rsidR="00BD0A5A">
        <w:rPr>
          <w:lang w:val="fr-FR"/>
        </w:rPr>
        <w:tab/>
      </w:r>
      <w:r w:rsidR="00262927">
        <w:rPr>
          <w:lang w:val="fr-FR"/>
        </w:rPr>
        <w:t>19</w:t>
      </w:r>
    </w:p>
    <w:p w14:paraId="2C710F72" w14:textId="77777777" w:rsidR="00BD0A5A" w:rsidRDefault="00BD0A5A" w:rsidP="00BD0A5A">
      <w:pPr>
        <w:tabs>
          <w:tab w:val="right" w:leader="dot" w:pos="7654"/>
          <w:tab w:val="right" w:pos="8929"/>
          <w:tab w:val="right" w:pos="9638"/>
        </w:tabs>
        <w:spacing w:after="120"/>
        <w:ind w:left="1559" w:hanging="425"/>
        <w:rPr>
          <w:lang w:val="fr-FR"/>
        </w:rPr>
      </w:pPr>
      <w:r>
        <w:rPr>
          <w:lang w:val="fr-FR"/>
        </w:rPr>
        <w:t>A.</w:t>
      </w:r>
      <w:r>
        <w:rPr>
          <w:lang w:val="fr-FR"/>
        </w:rPr>
        <w:tab/>
      </w:r>
      <w:r w:rsidRPr="00F82F28">
        <w:rPr>
          <w:lang w:val="fr-FR"/>
        </w:rPr>
        <w:t xml:space="preserve">Transport des vaccins contre la COVID-19 à base </w:t>
      </w:r>
      <w:r>
        <w:rPr>
          <w:lang w:val="fr-FR"/>
        </w:rPr>
        <w:br/>
      </w:r>
      <w:r w:rsidRPr="00F82F28">
        <w:rPr>
          <w:lang w:val="fr-FR"/>
        </w:rPr>
        <w:t>de micro-organismes génétiquement modifiés</w:t>
      </w:r>
      <w:r>
        <w:rPr>
          <w:lang w:val="fr-FR"/>
        </w:rPr>
        <w:tab/>
      </w:r>
      <w:r>
        <w:rPr>
          <w:lang w:val="fr-FR"/>
        </w:rPr>
        <w:tab/>
        <w:t>89−93</w:t>
      </w:r>
      <w:r>
        <w:rPr>
          <w:lang w:val="fr-FR"/>
        </w:rPr>
        <w:tab/>
      </w:r>
      <w:r w:rsidR="00262927">
        <w:rPr>
          <w:lang w:val="fr-FR"/>
        </w:rPr>
        <w:t>19</w:t>
      </w:r>
    </w:p>
    <w:p w14:paraId="086A41D0" w14:textId="5353076A" w:rsidR="00BD0A5A" w:rsidRDefault="00BD0A5A" w:rsidP="00BD0A5A">
      <w:pPr>
        <w:tabs>
          <w:tab w:val="right" w:leader="dot" w:pos="7654"/>
          <w:tab w:val="right" w:pos="8929"/>
          <w:tab w:val="right" w:pos="9638"/>
        </w:tabs>
        <w:spacing w:after="120"/>
        <w:ind w:left="1559" w:hanging="425"/>
        <w:rPr>
          <w:lang w:val="fr-FR"/>
        </w:rPr>
      </w:pPr>
      <w:r>
        <w:rPr>
          <w:lang w:val="fr-FR"/>
        </w:rPr>
        <w:t>B.</w:t>
      </w:r>
      <w:r>
        <w:rPr>
          <w:lang w:val="fr-FR"/>
        </w:rPr>
        <w:tab/>
      </w:r>
      <w:r w:rsidRPr="00F473C1">
        <w:rPr>
          <w:lang w:val="fr-FR"/>
        </w:rPr>
        <w:t>Demande d</w:t>
      </w:r>
      <w:r w:rsidR="000B2B75">
        <w:rPr>
          <w:lang w:val="fr-FR"/>
        </w:rPr>
        <w:t>’</w:t>
      </w:r>
      <w:r w:rsidRPr="00F473C1">
        <w:rPr>
          <w:lang w:val="fr-FR"/>
        </w:rPr>
        <w:t xml:space="preserve">une enquête pour </w:t>
      </w:r>
      <w:r w:rsidRPr="00F82F28">
        <w:rPr>
          <w:lang w:val="fr-FR"/>
        </w:rPr>
        <w:t xml:space="preserve">mieux cerner les besoins mondiaux </w:t>
      </w:r>
      <w:r>
        <w:rPr>
          <w:lang w:val="fr-FR"/>
        </w:rPr>
        <w:br/>
      </w:r>
      <w:r w:rsidRPr="00F82F28">
        <w:rPr>
          <w:lang w:val="fr-FR"/>
        </w:rPr>
        <w:t>en matière de formation sur les marchandises dangereuses</w:t>
      </w:r>
      <w:r>
        <w:rPr>
          <w:lang w:val="fr-FR"/>
        </w:rPr>
        <w:tab/>
      </w:r>
      <w:r>
        <w:rPr>
          <w:lang w:val="fr-FR"/>
        </w:rPr>
        <w:tab/>
        <w:t>94</w:t>
      </w:r>
      <w:r>
        <w:rPr>
          <w:lang w:val="fr-FR"/>
        </w:rPr>
        <w:tab/>
      </w:r>
      <w:r w:rsidR="00262927">
        <w:rPr>
          <w:lang w:val="fr-FR"/>
        </w:rPr>
        <w:t>20</w:t>
      </w:r>
    </w:p>
    <w:p w14:paraId="6F6B8148" w14:textId="2DCA6518" w:rsidR="00BD0A5A" w:rsidRDefault="00BD0A5A" w:rsidP="00BD0A5A">
      <w:pPr>
        <w:tabs>
          <w:tab w:val="right" w:leader="dot" w:pos="7654"/>
          <w:tab w:val="right" w:pos="8929"/>
          <w:tab w:val="right" w:pos="9638"/>
        </w:tabs>
        <w:spacing w:after="120"/>
        <w:ind w:left="1559" w:hanging="425"/>
        <w:rPr>
          <w:lang w:val="fr-FR"/>
        </w:rPr>
      </w:pPr>
      <w:r>
        <w:rPr>
          <w:lang w:val="fr-FR"/>
        </w:rPr>
        <w:t>C.</w:t>
      </w:r>
      <w:r>
        <w:rPr>
          <w:lang w:val="fr-FR"/>
        </w:rPr>
        <w:tab/>
      </w:r>
      <w:r w:rsidRPr="00F82F28">
        <w:rPr>
          <w:lang w:val="fr-FR"/>
        </w:rPr>
        <w:t>Enquête visant à mieux cerner les</w:t>
      </w:r>
      <w:r>
        <w:rPr>
          <w:lang w:val="fr-FR"/>
        </w:rPr>
        <w:t xml:space="preserve"> </w:t>
      </w:r>
      <w:r w:rsidRPr="00F473C1">
        <w:rPr>
          <w:lang w:val="fr-FR"/>
        </w:rPr>
        <w:t xml:space="preserve">exigences en matière de formation </w:t>
      </w:r>
      <w:r>
        <w:rPr>
          <w:lang w:val="fr-FR"/>
        </w:rPr>
        <w:br/>
      </w:r>
      <w:r w:rsidRPr="00F473C1">
        <w:rPr>
          <w:lang w:val="fr-FR"/>
        </w:rPr>
        <w:t>sur les marchandises dangereuses à l</w:t>
      </w:r>
      <w:r w:rsidR="000B2B75">
        <w:rPr>
          <w:lang w:val="fr-FR"/>
        </w:rPr>
        <w:t>’</w:t>
      </w:r>
      <w:r w:rsidRPr="00F473C1">
        <w:rPr>
          <w:lang w:val="fr-FR"/>
        </w:rPr>
        <w:t>échelle mondiale</w:t>
      </w:r>
      <w:r>
        <w:rPr>
          <w:lang w:val="fr-FR"/>
        </w:rPr>
        <w:tab/>
      </w:r>
      <w:r>
        <w:rPr>
          <w:lang w:val="fr-FR"/>
        </w:rPr>
        <w:tab/>
        <w:t>95</w:t>
      </w:r>
      <w:r>
        <w:rPr>
          <w:lang w:val="fr-FR"/>
        </w:rPr>
        <w:tab/>
      </w:r>
      <w:r w:rsidR="00262927">
        <w:rPr>
          <w:lang w:val="fr-FR"/>
        </w:rPr>
        <w:t>20</w:t>
      </w:r>
    </w:p>
    <w:p w14:paraId="0A4B9441" w14:textId="59CA2A47" w:rsidR="00BD0A5A" w:rsidRDefault="00BD0A5A" w:rsidP="00BD0A5A">
      <w:pPr>
        <w:tabs>
          <w:tab w:val="right" w:pos="850"/>
          <w:tab w:val="right" w:leader="dot" w:pos="7654"/>
          <w:tab w:val="right" w:pos="8929"/>
          <w:tab w:val="right" w:pos="9638"/>
        </w:tabs>
        <w:spacing w:after="120"/>
        <w:ind w:left="1134" w:hanging="1134"/>
        <w:rPr>
          <w:lang w:val="fr-FR"/>
        </w:rPr>
      </w:pPr>
      <w:r>
        <w:rPr>
          <w:lang w:val="fr-FR"/>
        </w:rPr>
        <w:tab/>
        <w:t>IX.</w:t>
      </w:r>
      <w:r>
        <w:rPr>
          <w:lang w:val="fr-FR"/>
        </w:rPr>
        <w:tab/>
      </w:r>
      <w:r w:rsidRPr="002C029C">
        <w:rPr>
          <w:lang w:val="fr-FR"/>
        </w:rPr>
        <w:t>Coopération avec l</w:t>
      </w:r>
      <w:r w:rsidR="000B2B75">
        <w:rPr>
          <w:lang w:val="fr-FR"/>
        </w:rPr>
        <w:t>’</w:t>
      </w:r>
      <w:r w:rsidRPr="002C029C">
        <w:rPr>
          <w:lang w:val="fr-FR"/>
        </w:rPr>
        <w:t>Agence internationale de l</w:t>
      </w:r>
      <w:r w:rsidR="000B2B75">
        <w:rPr>
          <w:lang w:val="fr-FR"/>
        </w:rPr>
        <w:t>’</w:t>
      </w:r>
      <w:r w:rsidRPr="002C029C">
        <w:rPr>
          <w:lang w:val="fr-FR"/>
        </w:rPr>
        <w:t xml:space="preserve">énergie atomique </w:t>
      </w:r>
      <w:r>
        <w:rPr>
          <w:lang w:val="fr-FR"/>
        </w:rPr>
        <w:br/>
      </w:r>
      <w:r w:rsidRPr="002C029C">
        <w:rPr>
          <w:lang w:val="fr-FR"/>
        </w:rPr>
        <w:t>(point 8 de l</w:t>
      </w:r>
      <w:r w:rsidR="000B2B75">
        <w:rPr>
          <w:lang w:val="fr-FR"/>
        </w:rPr>
        <w:t>’</w:t>
      </w:r>
      <w:r w:rsidRPr="002C029C">
        <w:rPr>
          <w:lang w:val="fr-FR"/>
        </w:rPr>
        <w:t>ordre du jour)</w:t>
      </w:r>
      <w:r>
        <w:rPr>
          <w:lang w:val="fr-FR"/>
        </w:rPr>
        <w:tab/>
      </w:r>
      <w:r>
        <w:rPr>
          <w:lang w:val="fr-FR"/>
        </w:rPr>
        <w:tab/>
        <w:t>96−97</w:t>
      </w:r>
      <w:r>
        <w:rPr>
          <w:lang w:val="fr-FR"/>
        </w:rPr>
        <w:tab/>
      </w:r>
      <w:r w:rsidR="00262927">
        <w:rPr>
          <w:lang w:val="fr-FR"/>
        </w:rPr>
        <w:t>20</w:t>
      </w:r>
    </w:p>
    <w:p w14:paraId="10834713" w14:textId="0859E01C" w:rsidR="00BD0A5A" w:rsidRDefault="00BD0A5A" w:rsidP="00BD0A5A">
      <w:pPr>
        <w:tabs>
          <w:tab w:val="right" w:leader="dot" w:pos="7654"/>
          <w:tab w:val="right" w:pos="8929"/>
          <w:tab w:val="right" w:pos="9638"/>
        </w:tabs>
        <w:spacing w:after="120"/>
        <w:ind w:left="1559" w:hanging="425"/>
        <w:rPr>
          <w:lang w:val="fr-FR"/>
        </w:rPr>
      </w:pPr>
      <w:r>
        <w:rPr>
          <w:lang w:val="fr-FR"/>
        </w:rPr>
        <w:t>A.</w:t>
      </w:r>
      <w:r>
        <w:rPr>
          <w:lang w:val="fr-FR"/>
        </w:rPr>
        <w:tab/>
      </w:r>
      <w:r w:rsidRPr="00F82F28">
        <w:rPr>
          <w:lang w:val="fr-FR"/>
        </w:rPr>
        <w:t xml:space="preserve">Références au Règlement de transport </w:t>
      </w:r>
      <w:r>
        <w:rPr>
          <w:lang w:val="fr-FR"/>
        </w:rPr>
        <w:br/>
      </w:r>
      <w:r w:rsidRPr="00F82F28">
        <w:rPr>
          <w:lang w:val="fr-FR"/>
        </w:rPr>
        <w:t>des matières radioactives de l</w:t>
      </w:r>
      <w:r w:rsidR="000B2B75">
        <w:rPr>
          <w:lang w:val="fr-FR"/>
        </w:rPr>
        <w:t>’</w:t>
      </w:r>
      <w:r w:rsidRPr="00F82F28">
        <w:rPr>
          <w:lang w:val="fr-FR"/>
        </w:rPr>
        <w:t>AIEA</w:t>
      </w:r>
      <w:r>
        <w:rPr>
          <w:lang w:val="fr-FR"/>
        </w:rPr>
        <w:tab/>
      </w:r>
      <w:r>
        <w:rPr>
          <w:lang w:val="fr-FR"/>
        </w:rPr>
        <w:tab/>
        <w:t>96</w:t>
      </w:r>
      <w:r>
        <w:rPr>
          <w:lang w:val="fr-FR"/>
        </w:rPr>
        <w:tab/>
      </w:r>
      <w:r w:rsidR="00262927">
        <w:rPr>
          <w:lang w:val="fr-FR"/>
        </w:rPr>
        <w:t>20</w:t>
      </w:r>
    </w:p>
    <w:p w14:paraId="174A65FE" w14:textId="7C73F4BF" w:rsidR="00BD0A5A" w:rsidRDefault="00BD0A5A" w:rsidP="00BD0A5A">
      <w:pPr>
        <w:tabs>
          <w:tab w:val="right" w:leader="dot" w:pos="7654"/>
          <w:tab w:val="right" w:pos="8929"/>
          <w:tab w:val="right" w:pos="9638"/>
        </w:tabs>
        <w:spacing w:after="120"/>
        <w:ind w:left="1559" w:hanging="425"/>
        <w:rPr>
          <w:lang w:val="fr-FR"/>
        </w:rPr>
      </w:pPr>
      <w:r>
        <w:rPr>
          <w:lang w:val="fr-FR"/>
        </w:rPr>
        <w:t>B.</w:t>
      </w:r>
      <w:r>
        <w:rPr>
          <w:lang w:val="fr-FR"/>
        </w:rPr>
        <w:tab/>
      </w:r>
      <w:r w:rsidRPr="00F82F28">
        <w:rPr>
          <w:lang w:val="fr-FR"/>
        </w:rPr>
        <w:t xml:space="preserve">Harmonisation avec le Règlement de transport </w:t>
      </w:r>
      <w:r>
        <w:rPr>
          <w:lang w:val="fr-FR"/>
        </w:rPr>
        <w:br/>
      </w:r>
      <w:r w:rsidRPr="00F82F28">
        <w:rPr>
          <w:lang w:val="fr-FR"/>
        </w:rPr>
        <w:t>des matières radioactives de l</w:t>
      </w:r>
      <w:r w:rsidR="000B2B75">
        <w:rPr>
          <w:lang w:val="fr-FR"/>
        </w:rPr>
        <w:t>’</w:t>
      </w:r>
      <w:r w:rsidRPr="00F82F28">
        <w:rPr>
          <w:lang w:val="fr-FR"/>
        </w:rPr>
        <w:t>AIEA</w:t>
      </w:r>
      <w:r>
        <w:rPr>
          <w:lang w:val="fr-FR"/>
        </w:rPr>
        <w:tab/>
      </w:r>
      <w:r>
        <w:rPr>
          <w:lang w:val="fr-FR"/>
        </w:rPr>
        <w:tab/>
        <w:t>97</w:t>
      </w:r>
      <w:r>
        <w:rPr>
          <w:lang w:val="fr-FR"/>
        </w:rPr>
        <w:tab/>
      </w:r>
      <w:r w:rsidR="00262927">
        <w:rPr>
          <w:lang w:val="fr-FR"/>
        </w:rPr>
        <w:t>20</w:t>
      </w:r>
    </w:p>
    <w:p w14:paraId="1C377CB2" w14:textId="0607BE3A" w:rsidR="00BD0A5A" w:rsidRDefault="00BD0A5A" w:rsidP="00BD0A5A">
      <w:pPr>
        <w:tabs>
          <w:tab w:val="right" w:pos="850"/>
          <w:tab w:val="right" w:leader="dot" w:pos="7654"/>
          <w:tab w:val="right" w:pos="8929"/>
          <w:tab w:val="right" w:pos="9638"/>
        </w:tabs>
        <w:spacing w:after="120"/>
        <w:ind w:left="1134" w:hanging="1134"/>
        <w:rPr>
          <w:lang w:val="fr-FR"/>
        </w:rPr>
      </w:pPr>
      <w:r>
        <w:rPr>
          <w:lang w:val="fr-FR"/>
        </w:rPr>
        <w:tab/>
        <w:t>X.</w:t>
      </w:r>
      <w:r>
        <w:rPr>
          <w:lang w:val="fr-FR"/>
        </w:rPr>
        <w:tab/>
      </w:r>
      <w:r w:rsidRPr="002C029C">
        <w:rPr>
          <w:lang w:val="fr-FR"/>
        </w:rPr>
        <w:t>Principes directeurs du Règlement type (point 9 de l</w:t>
      </w:r>
      <w:r w:rsidR="000B2B75">
        <w:rPr>
          <w:lang w:val="fr-FR"/>
        </w:rPr>
        <w:t>’</w:t>
      </w:r>
      <w:r w:rsidRPr="002C029C">
        <w:rPr>
          <w:lang w:val="fr-FR"/>
        </w:rPr>
        <w:t>ordre du jour)</w:t>
      </w:r>
      <w:r>
        <w:rPr>
          <w:lang w:val="fr-FR"/>
        </w:rPr>
        <w:tab/>
      </w:r>
      <w:r>
        <w:rPr>
          <w:lang w:val="fr-FR"/>
        </w:rPr>
        <w:tab/>
        <w:t>98</w:t>
      </w:r>
      <w:r>
        <w:rPr>
          <w:lang w:val="fr-FR"/>
        </w:rPr>
        <w:tab/>
      </w:r>
      <w:r w:rsidR="0029643E">
        <w:rPr>
          <w:lang w:val="fr-FR"/>
        </w:rPr>
        <w:t>21</w:t>
      </w:r>
    </w:p>
    <w:p w14:paraId="17B76DB7" w14:textId="52788148" w:rsidR="00BD0A5A" w:rsidRDefault="003269D6" w:rsidP="003269D6">
      <w:pPr>
        <w:tabs>
          <w:tab w:val="right" w:pos="850"/>
          <w:tab w:val="right" w:leader="dot" w:pos="7654"/>
          <w:tab w:val="right" w:pos="8929"/>
          <w:tab w:val="right" w:pos="9638"/>
        </w:tabs>
        <w:spacing w:after="120"/>
        <w:ind w:left="1134" w:hanging="1134"/>
        <w:rPr>
          <w:bCs/>
          <w:szCs w:val="28"/>
          <w:lang w:val="fr-FR"/>
        </w:rPr>
      </w:pPr>
      <w:r>
        <w:rPr>
          <w:lang w:val="fr-FR"/>
        </w:rPr>
        <w:tab/>
        <w:t>XI.</w:t>
      </w:r>
      <w:r>
        <w:rPr>
          <w:lang w:val="fr-FR"/>
        </w:rPr>
        <w:tab/>
      </w:r>
      <w:r w:rsidRPr="002C029C">
        <w:rPr>
          <w:bCs/>
          <w:szCs w:val="28"/>
          <w:lang w:val="fr-FR"/>
        </w:rPr>
        <w:t xml:space="preserve">Nouvelles propositions (point </w:t>
      </w:r>
      <w:r w:rsidRPr="00D02483">
        <w:rPr>
          <w:lang w:val="fr-FR"/>
        </w:rPr>
        <w:t>10</w:t>
      </w:r>
      <w:r w:rsidRPr="002C029C">
        <w:rPr>
          <w:bCs/>
          <w:szCs w:val="28"/>
          <w:lang w:val="fr-FR"/>
        </w:rPr>
        <w:t xml:space="preserve"> de l</w:t>
      </w:r>
      <w:r w:rsidR="000B2B75">
        <w:rPr>
          <w:bCs/>
          <w:szCs w:val="28"/>
          <w:lang w:val="fr-FR"/>
        </w:rPr>
        <w:t>’</w:t>
      </w:r>
      <w:r w:rsidRPr="002C029C">
        <w:rPr>
          <w:bCs/>
          <w:szCs w:val="28"/>
          <w:lang w:val="fr-FR"/>
        </w:rPr>
        <w:t>ordre du jour)</w:t>
      </w:r>
      <w:r>
        <w:rPr>
          <w:bCs/>
          <w:szCs w:val="28"/>
          <w:lang w:val="fr-FR"/>
        </w:rPr>
        <w:tab/>
      </w:r>
      <w:r>
        <w:rPr>
          <w:bCs/>
          <w:szCs w:val="28"/>
          <w:lang w:val="fr-FR"/>
        </w:rPr>
        <w:tab/>
        <w:t>99−105</w:t>
      </w:r>
      <w:r>
        <w:rPr>
          <w:bCs/>
          <w:szCs w:val="28"/>
          <w:lang w:val="fr-FR"/>
        </w:rPr>
        <w:tab/>
      </w:r>
      <w:r w:rsidR="0029643E">
        <w:rPr>
          <w:bCs/>
          <w:szCs w:val="28"/>
          <w:lang w:val="fr-FR"/>
        </w:rPr>
        <w:t>21</w:t>
      </w:r>
    </w:p>
    <w:p w14:paraId="72F8D008" w14:textId="77777777" w:rsidR="003269D6" w:rsidRDefault="003269D6" w:rsidP="003269D6">
      <w:pPr>
        <w:tabs>
          <w:tab w:val="right" w:leader="dot" w:pos="7654"/>
          <w:tab w:val="right" w:pos="8929"/>
          <w:tab w:val="right" w:pos="9638"/>
        </w:tabs>
        <w:spacing w:after="120"/>
        <w:ind w:left="1559" w:hanging="425"/>
        <w:rPr>
          <w:lang w:val="fr-FR"/>
        </w:rPr>
      </w:pPr>
      <w:r>
        <w:rPr>
          <w:lang w:val="fr-FR"/>
        </w:rPr>
        <w:t>A.</w:t>
      </w:r>
      <w:r>
        <w:rPr>
          <w:lang w:val="fr-FR"/>
        </w:rPr>
        <w:tab/>
      </w:r>
      <w:r w:rsidRPr="00F82F28">
        <w:rPr>
          <w:lang w:val="fr-FR"/>
        </w:rPr>
        <w:t xml:space="preserve">Amendements aux dispositions spéciales 172 et 290 du chapitre 3.3 </w:t>
      </w:r>
      <w:r>
        <w:rPr>
          <w:lang w:val="fr-FR"/>
        </w:rPr>
        <w:br/>
      </w:r>
      <w:r w:rsidRPr="00F82F28">
        <w:rPr>
          <w:lang w:val="fr-FR"/>
        </w:rPr>
        <w:t>du Règlement type pour le transport des marchandises dangereuses</w:t>
      </w:r>
      <w:r>
        <w:rPr>
          <w:lang w:val="fr-FR"/>
        </w:rPr>
        <w:tab/>
      </w:r>
      <w:r>
        <w:rPr>
          <w:lang w:val="fr-FR"/>
        </w:rPr>
        <w:tab/>
        <w:t>99</w:t>
      </w:r>
      <w:r>
        <w:rPr>
          <w:lang w:val="fr-FR"/>
        </w:rPr>
        <w:tab/>
      </w:r>
      <w:r w:rsidR="0029643E">
        <w:rPr>
          <w:lang w:val="fr-FR"/>
        </w:rPr>
        <w:t>21</w:t>
      </w:r>
    </w:p>
    <w:p w14:paraId="4E51B8D8" w14:textId="21AAD376" w:rsidR="003269D6" w:rsidRDefault="003269D6" w:rsidP="003269D6">
      <w:pPr>
        <w:tabs>
          <w:tab w:val="right" w:leader="dot" w:pos="7654"/>
          <w:tab w:val="right" w:pos="8929"/>
          <w:tab w:val="right" w:pos="9638"/>
        </w:tabs>
        <w:spacing w:after="120"/>
        <w:ind w:left="1559" w:hanging="425"/>
        <w:rPr>
          <w:lang w:val="fr-FR"/>
        </w:rPr>
      </w:pPr>
      <w:r>
        <w:rPr>
          <w:lang w:val="fr-FR"/>
        </w:rPr>
        <w:t>B.</w:t>
      </w:r>
      <w:r>
        <w:rPr>
          <w:lang w:val="fr-FR"/>
        </w:rPr>
        <w:tab/>
      </w:r>
      <w:r w:rsidRPr="00F82F28">
        <w:rPr>
          <w:lang w:val="fr-FR"/>
        </w:rPr>
        <w:t>Critères d</w:t>
      </w:r>
      <w:r w:rsidR="000B2B75">
        <w:rPr>
          <w:lang w:val="fr-FR"/>
        </w:rPr>
        <w:t>’</w:t>
      </w:r>
      <w:r w:rsidRPr="00F82F28">
        <w:rPr>
          <w:lang w:val="fr-FR"/>
        </w:rPr>
        <w:t>acceptation applicables pour l</w:t>
      </w:r>
      <w:r w:rsidR="000B2B75">
        <w:rPr>
          <w:lang w:val="fr-FR"/>
        </w:rPr>
        <w:t>’</w:t>
      </w:r>
      <w:r w:rsidRPr="00F82F28">
        <w:rPr>
          <w:lang w:val="fr-FR"/>
        </w:rPr>
        <w:t xml:space="preserve">épreuve de levage par le haut </w:t>
      </w:r>
      <w:r>
        <w:rPr>
          <w:lang w:val="fr-FR"/>
        </w:rPr>
        <w:br/>
      </w:r>
      <w:r w:rsidRPr="00F82F28">
        <w:rPr>
          <w:lang w:val="fr-FR"/>
        </w:rPr>
        <w:t>pour les grands emballages en bois et les grands emballages en carton</w:t>
      </w:r>
      <w:r>
        <w:rPr>
          <w:lang w:val="fr-FR"/>
        </w:rPr>
        <w:tab/>
      </w:r>
      <w:r>
        <w:rPr>
          <w:lang w:val="fr-FR"/>
        </w:rPr>
        <w:tab/>
        <w:t>100</w:t>
      </w:r>
      <w:r>
        <w:rPr>
          <w:lang w:val="fr-FR"/>
        </w:rPr>
        <w:tab/>
      </w:r>
      <w:r w:rsidR="0029643E">
        <w:rPr>
          <w:lang w:val="fr-FR"/>
        </w:rPr>
        <w:t>21</w:t>
      </w:r>
    </w:p>
    <w:p w14:paraId="302D0CB6" w14:textId="77777777" w:rsidR="003269D6" w:rsidRDefault="003269D6" w:rsidP="003269D6">
      <w:pPr>
        <w:tabs>
          <w:tab w:val="right" w:leader="dot" w:pos="7654"/>
          <w:tab w:val="right" w:pos="8929"/>
          <w:tab w:val="right" w:pos="9638"/>
        </w:tabs>
        <w:spacing w:after="120"/>
        <w:ind w:left="1559" w:hanging="425"/>
        <w:rPr>
          <w:bCs/>
          <w:lang w:val="fr-FR"/>
        </w:rPr>
      </w:pPr>
      <w:r>
        <w:rPr>
          <w:lang w:val="fr-FR"/>
        </w:rPr>
        <w:t>C.</w:t>
      </w:r>
      <w:r>
        <w:rPr>
          <w:lang w:val="fr-FR"/>
        </w:rPr>
        <w:tab/>
      </w:r>
      <w:r w:rsidRPr="00F82F28">
        <w:rPr>
          <w:bCs/>
          <w:lang w:val="fr-FR"/>
        </w:rPr>
        <w:t>Précisions sur les instructions P908 et P910</w:t>
      </w:r>
      <w:r>
        <w:rPr>
          <w:bCs/>
          <w:lang w:val="fr-FR"/>
        </w:rPr>
        <w:tab/>
      </w:r>
      <w:r>
        <w:rPr>
          <w:bCs/>
          <w:lang w:val="fr-FR"/>
        </w:rPr>
        <w:tab/>
        <w:t>101</w:t>
      </w:r>
      <w:r>
        <w:rPr>
          <w:bCs/>
          <w:lang w:val="fr-FR"/>
        </w:rPr>
        <w:tab/>
      </w:r>
      <w:r w:rsidR="0029643E">
        <w:rPr>
          <w:bCs/>
          <w:lang w:val="fr-FR"/>
        </w:rPr>
        <w:t>21</w:t>
      </w:r>
    </w:p>
    <w:p w14:paraId="4B4D7E94" w14:textId="2C301B36" w:rsidR="003269D6" w:rsidRDefault="003269D6" w:rsidP="003269D6">
      <w:pPr>
        <w:tabs>
          <w:tab w:val="right" w:leader="dot" w:pos="7654"/>
          <w:tab w:val="right" w:pos="8929"/>
          <w:tab w:val="right" w:pos="9638"/>
        </w:tabs>
        <w:spacing w:after="120"/>
        <w:ind w:left="1559" w:hanging="425"/>
        <w:rPr>
          <w:bCs/>
          <w:lang w:val="fr-FR"/>
        </w:rPr>
      </w:pPr>
      <w:r>
        <w:rPr>
          <w:bCs/>
          <w:lang w:val="fr-FR"/>
        </w:rPr>
        <w:t>D.</w:t>
      </w:r>
      <w:r>
        <w:rPr>
          <w:bCs/>
          <w:lang w:val="fr-FR"/>
        </w:rPr>
        <w:tab/>
      </w:r>
      <w:r w:rsidRPr="00F82F28">
        <w:rPr>
          <w:bCs/>
          <w:lang w:val="fr-FR"/>
        </w:rPr>
        <w:t xml:space="preserve">Questions de </w:t>
      </w:r>
      <w:r w:rsidRPr="00D02483">
        <w:rPr>
          <w:lang w:val="fr-FR"/>
        </w:rPr>
        <w:t>l</w:t>
      </w:r>
      <w:r w:rsidR="000B2B75">
        <w:rPr>
          <w:lang w:val="fr-FR"/>
        </w:rPr>
        <w:t>’</w:t>
      </w:r>
      <w:r w:rsidRPr="00D02483">
        <w:rPr>
          <w:lang w:val="fr-FR"/>
        </w:rPr>
        <w:t>Allemagne</w:t>
      </w:r>
      <w:r w:rsidRPr="00F82F28">
        <w:rPr>
          <w:bCs/>
          <w:lang w:val="fr-FR"/>
        </w:rPr>
        <w:t xml:space="preserve"> au sujet des paragraphes 6.7.2.19.5 </w:t>
      </w:r>
      <w:r w:rsidR="00301DF7">
        <w:rPr>
          <w:bCs/>
          <w:lang w:val="fr-FR"/>
        </w:rPr>
        <w:br/>
      </w:r>
      <w:r w:rsidRPr="00F82F28">
        <w:rPr>
          <w:bCs/>
          <w:lang w:val="fr-FR"/>
        </w:rPr>
        <w:t>et 6.7.3.15.5 sur l</w:t>
      </w:r>
      <w:r w:rsidR="000B2B75">
        <w:rPr>
          <w:bCs/>
          <w:lang w:val="fr-FR"/>
        </w:rPr>
        <w:t>’</w:t>
      </w:r>
      <w:r w:rsidRPr="00F82F28">
        <w:rPr>
          <w:bCs/>
          <w:lang w:val="fr-FR"/>
        </w:rPr>
        <w:t>omission de l</w:t>
      </w:r>
      <w:r w:rsidR="000B2B75">
        <w:rPr>
          <w:bCs/>
          <w:lang w:val="fr-FR"/>
        </w:rPr>
        <w:t>’</w:t>
      </w:r>
      <w:r w:rsidRPr="00F82F28">
        <w:rPr>
          <w:bCs/>
          <w:lang w:val="fr-FR"/>
        </w:rPr>
        <w:t>examen intérieur</w:t>
      </w:r>
      <w:r>
        <w:rPr>
          <w:bCs/>
          <w:lang w:val="fr-FR"/>
        </w:rPr>
        <w:tab/>
      </w:r>
      <w:r>
        <w:rPr>
          <w:bCs/>
          <w:lang w:val="fr-FR"/>
        </w:rPr>
        <w:tab/>
      </w:r>
      <w:r w:rsidR="00301DF7">
        <w:rPr>
          <w:bCs/>
          <w:lang w:val="fr-FR"/>
        </w:rPr>
        <w:t>102</w:t>
      </w:r>
      <w:r w:rsidR="00301DF7">
        <w:rPr>
          <w:bCs/>
          <w:lang w:val="fr-FR"/>
        </w:rPr>
        <w:tab/>
      </w:r>
      <w:r w:rsidR="0029643E">
        <w:rPr>
          <w:bCs/>
          <w:lang w:val="fr-FR"/>
        </w:rPr>
        <w:t>21</w:t>
      </w:r>
    </w:p>
    <w:p w14:paraId="76FDD325" w14:textId="257A37B6" w:rsidR="00301DF7" w:rsidRDefault="00301DF7" w:rsidP="003269D6">
      <w:pPr>
        <w:tabs>
          <w:tab w:val="right" w:leader="dot" w:pos="7654"/>
          <w:tab w:val="right" w:pos="8929"/>
          <w:tab w:val="right" w:pos="9638"/>
        </w:tabs>
        <w:spacing w:after="120"/>
        <w:ind w:left="1559" w:hanging="425"/>
        <w:rPr>
          <w:bCs/>
          <w:lang w:val="fr-FR"/>
        </w:rPr>
      </w:pPr>
      <w:r>
        <w:rPr>
          <w:bCs/>
          <w:lang w:val="fr-FR"/>
        </w:rPr>
        <w:t>E.</w:t>
      </w:r>
      <w:r>
        <w:rPr>
          <w:bCs/>
          <w:lang w:val="fr-FR"/>
        </w:rPr>
        <w:tab/>
      </w:r>
      <w:r w:rsidRPr="00F82F28">
        <w:rPr>
          <w:bCs/>
          <w:lang w:val="fr-FR"/>
        </w:rPr>
        <w:t>Proposition d</w:t>
      </w:r>
      <w:r w:rsidR="000B2B75">
        <w:rPr>
          <w:bCs/>
          <w:lang w:val="fr-FR"/>
        </w:rPr>
        <w:t>’</w:t>
      </w:r>
      <w:r w:rsidRPr="00F82F28">
        <w:rPr>
          <w:bCs/>
          <w:lang w:val="fr-FR"/>
        </w:rPr>
        <w:t xml:space="preserve">approche expérimentale pour la fourniture de données </w:t>
      </w:r>
      <w:r>
        <w:rPr>
          <w:bCs/>
          <w:lang w:val="fr-FR"/>
        </w:rPr>
        <w:br/>
      </w:r>
      <w:r w:rsidRPr="00F82F28">
        <w:rPr>
          <w:bCs/>
          <w:lang w:val="fr-FR"/>
        </w:rPr>
        <w:t>à l</w:t>
      </w:r>
      <w:r w:rsidR="000B2B75">
        <w:rPr>
          <w:bCs/>
          <w:lang w:val="fr-FR"/>
        </w:rPr>
        <w:t>’</w:t>
      </w:r>
      <w:r w:rsidRPr="00F82F28">
        <w:rPr>
          <w:bCs/>
          <w:lang w:val="fr-FR"/>
        </w:rPr>
        <w:t xml:space="preserve">appui des amendements concernant le texte relatif à la farine </w:t>
      </w:r>
      <w:r>
        <w:rPr>
          <w:bCs/>
          <w:lang w:val="fr-FR"/>
        </w:rPr>
        <w:br/>
      </w:r>
      <w:r w:rsidRPr="00F82F28">
        <w:rPr>
          <w:bCs/>
          <w:lang w:val="fr-FR"/>
        </w:rPr>
        <w:t>de poisson (déchets de poisson) stabilisée (</w:t>
      </w:r>
      <w:r>
        <w:rPr>
          <w:bCs/>
          <w:lang w:val="fr-FR"/>
        </w:rPr>
        <w:t xml:space="preserve">Numéro </w:t>
      </w:r>
      <w:r w:rsidRPr="00F82F28">
        <w:rPr>
          <w:bCs/>
          <w:lang w:val="fr-FR"/>
        </w:rPr>
        <w:t>ONU 2216, classe 9)</w:t>
      </w:r>
      <w:r>
        <w:rPr>
          <w:bCs/>
          <w:lang w:val="fr-FR"/>
        </w:rPr>
        <w:tab/>
      </w:r>
      <w:r>
        <w:rPr>
          <w:bCs/>
          <w:lang w:val="fr-FR"/>
        </w:rPr>
        <w:tab/>
        <w:t>103</w:t>
      </w:r>
      <w:r>
        <w:rPr>
          <w:bCs/>
          <w:lang w:val="fr-FR"/>
        </w:rPr>
        <w:tab/>
      </w:r>
      <w:r w:rsidR="0029643E">
        <w:rPr>
          <w:bCs/>
          <w:lang w:val="fr-FR"/>
        </w:rPr>
        <w:t>21</w:t>
      </w:r>
    </w:p>
    <w:p w14:paraId="029A3B6A" w14:textId="77777777" w:rsidR="00301DF7" w:rsidRDefault="00301DF7" w:rsidP="003269D6">
      <w:pPr>
        <w:tabs>
          <w:tab w:val="right" w:leader="dot" w:pos="7654"/>
          <w:tab w:val="right" w:pos="8929"/>
          <w:tab w:val="right" w:pos="9638"/>
        </w:tabs>
        <w:spacing w:after="120"/>
        <w:ind w:left="1559" w:hanging="425"/>
        <w:rPr>
          <w:bCs/>
          <w:lang w:val="fr-FR"/>
        </w:rPr>
      </w:pPr>
      <w:r>
        <w:rPr>
          <w:lang w:val="fr-FR"/>
        </w:rPr>
        <w:t>F.</w:t>
      </w:r>
      <w:r>
        <w:rPr>
          <w:lang w:val="fr-FR"/>
        </w:rPr>
        <w:tab/>
      </w:r>
      <w:r w:rsidRPr="00F82F28">
        <w:rPr>
          <w:bCs/>
          <w:lang w:val="fr-FR"/>
        </w:rPr>
        <w:t>Amendement au 5.1.2.2 − Emploi du mot « colis »</w:t>
      </w:r>
      <w:r>
        <w:rPr>
          <w:bCs/>
          <w:lang w:val="fr-FR"/>
        </w:rPr>
        <w:tab/>
      </w:r>
      <w:r>
        <w:rPr>
          <w:bCs/>
          <w:lang w:val="fr-FR"/>
        </w:rPr>
        <w:tab/>
        <w:t>104</w:t>
      </w:r>
      <w:r>
        <w:rPr>
          <w:bCs/>
          <w:lang w:val="fr-FR"/>
        </w:rPr>
        <w:tab/>
      </w:r>
      <w:r w:rsidR="00F77504">
        <w:rPr>
          <w:bCs/>
          <w:lang w:val="fr-FR"/>
        </w:rPr>
        <w:t>22</w:t>
      </w:r>
    </w:p>
    <w:p w14:paraId="71E6067B" w14:textId="77777777" w:rsidR="00301DF7" w:rsidRDefault="00301DF7" w:rsidP="003269D6">
      <w:pPr>
        <w:tabs>
          <w:tab w:val="right" w:leader="dot" w:pos="7654"/>
          <w:tab w:val="right" w:pos="8929"/>
          <w:tab w:val="right" w:pos="9638"/>
        </w:tabs>
        <w:spacing w:after="120"/>
        <w:ind w:left="1559" w:hanging="425"/>
        <w:rPr>
          <w:bCs/>
          <w:lang w:val="fr-FR"/>
        </w:rPr>
      </w:pPr>
      <w:r>
        <w:rPr>
          <w:bCs/>
          <w:lang w:val="fr-FR"/>
        </w:rPr>
        <w:t>G.</w:t>
      </w:r>
      <w:r>
        <w:rPr>
          <w:bCs/>
          <w:lang w:val="fr-FR"/>
        </w:rPr>
        <w:tab/>
      </w:r>
      <w:r w:rsidRPr="00F82F28">
        <w:rPr>
          <w:bCs/>
          <w:lang w:val="fr-FR"/>
        </w:rPr>
        <w:t xml:space="preserve">Emploi des notes de </w:t>
      </w:r>
      <w:r w:rsidRPr="00D02483">
        <w:rPr>
          <w:lang w:val="fr-FR"/>
        </w:rPr>
        <w:t>bas</w:t>
      </w:r>
      <w:r w:rsidRPr="00F82F28">
        <w:rPr>
          <w:bCs/>
          <w:lang w:val="fr-FR"/>
        </w:rPr>
        <w:t xml:space="preserve"> de page dans le Règlement type</w:t>
      </w:r>
      <w:r>
        <w:rPr>
          <w:bCs/>
          <w:lang w:val="fr-FR"/>
        </w:rPr>
        <w:tab/>
      </w:r>
      <w:r>
        <w:rPr>
          <w:bCs/>
          <w:lang w:val="fr-FR"/>
        </w:rPr>
        <w:tab/>
        <w:t>105</w:t>
      </w:r>
      <w:r>
        <w:rPr>
          <w:bCs/>
          <w:lang w:val="fr-FR"/>
        </w:rPr>
        <w:tab/>
      </w:r>
      <w:r w:rsidR="00F77504">
        <w:rPr>
          <w:bCs/>
          <w:lang w:val="fr-FR"/>
        </w:rPr>
        <w:t>22</w:t>
      </w:r>
    </w:p>
    <w:p w14:paraId="209386A3" w14:textId="6841264F" w:rsidR="00301DF7" w:rsidRDefault="003F0C47" w:rsidP="003F0C47">
      <w:pPr>
        <w:tabs>
          <w:tab w:val="right" w:pos="850"/>
          <w:tab w:val="right" w:leader="dot" w:pos="7654"/>
          <w:tab w:val="right" w:pos="8929"/>
          <w:tab w:val="right" w:pos="9638"/>
        </w:tabs>
        <w:spacing w:after="120"/>
        <w:ind w:left="1134" w:hanging="1134"/>
        <w:rPr>
          <w:lang w:val="fr-FR"/>
        </w:rPr>
      </w:pPr>
      <w:r>
        <w:rPr>
          <w:lang w:val="fr-FR"/>
        </w:rPr>
        <w:lastRenderedPageBreak/>
        <w:tab/>
        <w:t>XII.</w:t>
      </w:r>
      <w:r>
        <w:rPr>
          <w:lang w:val="fr-FR"/>
        </w:rPr>
        <w:tab/>
      </w:r>
      <w:r w:rsidRPr="002C029C">
        <w:rPr>
          <w:lang w:val="fr-FR"/>
        </w:rPr>
        <w:t xml:space="preserve">Questions relatives au Système général harmonisé de classification </w:t>
      </w:r>
      <w:r>
        <w:rPr>
          <w:lang w:val="fr-FR"/>
        </w:rPr>
        <w:br/>
      </w:r>
      <w:r w:rsidRPr="002C029C">
        <w:rPr>
          <w:lang w:val="fr-FR"/>
        </w:rPr>
        <w:t>et d</w:t>
      </w:r>
      <w:r w:rsidR="000B2B75">
        <w:rPr>
          <w:lang w:val="fr-FR"/>
        </w:rPr>
        <w:t>’</w:t>
      </w:r>
      <w:r w:rsidRPr="002C029C">
        <w:rPr>
          <w:lang w:val="fr-FR"/>
        </w:rPr>
        <w:t>étiquetage des produits chimiques (SGH) (point 11 de l</w:t>
      </w:r>
      <w:r w:rsidR="000B2B75">
        <w:rPr>
          <w:lang w:val="fr-FR"/>
        </w:rPr>
        <w:t>’</w:t>
      </w:r>
      <w:r w:rsidRPr="002C029C">
        <w:rPr>
          <w:lang w:val="fr-FR"/>
        </w:rPr>
        <w:t>ordre du jour)</w:t>
      </w:r>
      <w:r>
        <w:rPr>
          <w:lang w:val="fr-FR"/>
        </w:rPr>
        <w:tab/>
      </w:r>
      <w:r>
        <w:rPr>
          <w:lang w:val="fr-FR"/>
        </w:rPr>
        <w:tab/>
        <w:t>106−112</w:t>
      </w:r>
      <w:r>
        <w:rPr>
          <w:lang w:val="fr-FR"/>
        </w:rPr>
        <w:tab/>
      </w:r>
      <w:r w:rsidR="00F77504">
        <w:rPr>
          <w:lang w:val="fr-FR"/>
        </w:rPr>
        <w:t>22</w:t>
      </w:r>
    </w:p>
    <w:p w14:paraId="56A0DFA0" w14:textId="77777777" w:rsidR="00A95B60" w:rsidRDefault="00A95B60" w:rsidP="00A95B60">
      <w:pPr>
        <w:tabs>
          <w:tab w:val="right" w:leader="dot" w:pos="7654"/>
          <w:tab w:val="right" w:pos="8929"/>
          <w:tab w:val="right" w:pos="9638"/>
        </w:tabs>
        <w:spacing w:after="120"/>
        <w:ind w:left="1559" w:hanging="425"/>
        <w:rPr>
          <w:lang w:val="fr-FR"/>
        </w:rPr>
      </w:pPr>
      <w:r>
        <w:rPr>
          <w:lang w:val="fr-FR"/>
        </w:rPr>
        <w:t>A.</w:t>
      </w:r>
      <w:r>
        <w:rPr>
          <w:lang w:val="fr-FR"/>
        </w:rPr>
        <w:tab/>
      </w:r>
      <w:r w:rsidRPr="00F82F28">
        <w:rPr>
          <w:lang w:val="fr-FR"/>
        </w:rPr>
        <w:t>Révision du chapitre 2.1</w:t>
      </w:r>
      <w:r>
        <w:rPr>
          <w:lang w:val="fr-FR"/>
        </w:rPr>
        <w:tab/>
      </w:r>
      <w:r>
        <w:rPr>
          <w:lang w:val="fr-FR"/>
        </w:rPr>
        <w:tab/>
        <w:t>106</w:t>
      </w:r>
      <w:r>
        <w:rPr>
          <w:lang w:val="fr-FR"/>
        </w:rPr>
        <w:tab/>
      </w:r>
      <w:r w:rsidR="00F77504">
        <w:rPr>
          <w:lang w:val="fr-FR"/>
        </w:rPr>
        <w:t>22</w:t>
      </w:r>
    </w:p>
    <w:p w14:paraId="74AFD0BE" w14:textId="77777777" w:rsidR="00F16310" w:rsidRDefault="00F16310" w:rsidP="00F16310">
      <w:pPr>
        <w:tabs>
          <w:tab w:val="right" w:leader="dot" w:pos="7654"/>
          <w:tab w:val="right" w:pos="8929"/>
          <w:tab w:val="right" w:pos="9638"/>
        </w:tabs>
        <w:spacing w:after="120"/>
        <w:ind w:left="1984" w:hanging="425"/>
        <w:rPr>
          <w:lang w:val="fr-FR"/>
        </w:rPr>
      </w:pPr>
      <w:r w:rsidRPr="00F82F28">
        <w:rPr>
          <w:lang w:val="fr-FR"/>
        </w:rPr>
        <w:t xml:space="preserve">Nouveau </w:t>
      </w:r>
      <w:r w:rsidRPr="00F16310">
        <w:rPr>
          <w:bCs/>
          <w:lang w:val="fr-FR"/>
        </w:rPr>
        <w:t>chapitre</w:t>
      </w:r>
      <w:r w:rsidRPr="00F82F28">
        <w:rPr>
          <w:lang w:val="fr-FR"/>
        </w:rPr>
        <w:t xml:space="preserve"> 2.1 du SGH</w:t>
      </w:r>
      <w:r>
        <w:rPr>
          <w:lang w:val="fr-FR"/>
        </w:rPr>
        <w:tab/>
      </w:r>
      <w:r>
        <w:rPr>
          <w:lang w:val="fr-FR"/>
        </w:rPr>
        <w:tab/>
        <w:t>106</w:t>
      </w:r>
      <w:r>
        <w:rPr>
          <w:lang w:val="fr-FR"/>
        </w:rPr>
        <w:tab/>
        <w:t>22</w:t>
      </w:r>
    </w:p>
    <w:p w14:paraId="17E7FE24" w14:textId="77777777" w:rsidR="00A95B60" w:rsidRDefault="00A95B60" w:rsidP="00A95B60">
      <w:pPr>
        <w:tabs>
          <w:tab w:val="right" w:leader="dot" w:pos="7654"/>
          <w:tab w:val="right" w:pos="8929"/>
          <w:tab w:val="right" w:pos="9638"/>
        </w:tabs>
        <w:spacing w:after="120"/>
        <w:ind w:left="1559" w:hanging="425"/>
        <w:rPr>
          <w:bCs/>
          <w:lang w:val="fr-FR"/>
        </w:rPr>
      </w:pPr>
      <w:r>
        <w:rPr>
          <w:lang w:val="fr-FR"/>
        </w:rPr>
        <w:t>B.</w:t>
      </w:r>
      <w:r>
        <w:rPr>
          <w:lang w:val="fr-FR"/>
        </w:rPr>
        <w:tab/>
      </w:r>
      <w:r w:rsidRPr="00F82F28">
        <w:rPr>
          <w:bCs/>
          <w:lang w:val="fr-FR"/>
        </w:rPr>
        <w:t xml:space="preserve">Précision </w:t>
      </w:r>
      <w:r>
        <w:rPr>
          <w:bCs/>
          <w:lang w:val="fr-FR"/>
        </w:rPr>
        <w:t xml:space="preserve">du paragraphe </w:t>
      </w:r>
      <w:r w:rsidRPr="00F82F28">
        <w:rPr>
          <w:bCs/>
          <w:lang w:val="fr-FR"/>
        </w:rPr>
        <w:t xml:space="preserve">2.9.3.4.3.4 du </w:t>
      </w:r>
      <w:r w:rsidRPr="00EC505F">
        <w:rPr>
          <w:lang w:val="fr-FR"/>
        </w:rPr>
        <w:t>Règlement</w:t>
      </w:r>
      <w:r w:rsidRPr="00F82F28">
        <w:rPr>
          <w:bCs/>
          <w:lang w:val="fr-FR"/>
        </w:rPr>
        <w:t xml:space="preserve"> type </w:t>
      </w:r>
      <w:r>
        <w:rPr>
          <w:bCs/>
          <w:lang w:val="fr-FR"/>
        </w:rPr>
        <w:br/>
      </w:r>
      <w:r w:rsidRPr="00F82F28">
        <w:rPr>
          <w:bCs/>
          <w:lang w:val="fr-FR"/>
        </w:rPr>
        <w:t xml:space="preserve">et </w:t>
      </w:r>
      <w:r>
        <w:rPr>
          <w:bCs/>
          <w:lang w:val="fr-FR"/>
        </w:rPr>
        <w:t xml:space="preserve">du paragraphe </w:t>
      </w:r>
      <w:r w:rsidRPr="00F82F28">
        <w:rPr>
          <w:bCs/>
          <w:lang w:val="fr-FR"/>
        </w:rPr>
        <w:t>4.1.3.3.4 du SGH</w:t>
      </w:r>
      <w:r>
        <w:rPr>
          <w:bCs/>
          <w:lang w:val="fr-FR"/>
        </w:rPr>
        <w:tab/>
      </w:r>
      <w:r>
        <w:rPr>
          <w:bCs/>
          <w:lang w:val="fr-FR"/>
        </w:rPr>
        <w:tab/>
        <w:t>107</w:t>
      </w:r>
      <w:r>
        <w:rPr>
          <w:bCs/>
          <w:lang w:val="fr-FR"/>
        </w:rPr>
        <w:tab/>
      </w:r>
      <w:r w:rsidR="00F77504">
        <w:rPr>
          <w:bCs/>
          <w:lang w:val="fr-FR"/>
        </w:rPr>
        <w:t>22</w:t>
      </w:r>
    </w:p>
    <w:p w14:paraId="3A0D5AF5" w14:textId="77777777" w:rsidR="00A95B60" w:rsidRDefault="00A95B60" w:rsidP="00A95B60">
      <w:pPr>
        <w:tabs>
          <w:tab w:val="right" w:leader="dot" w:pos="7654"/>
          <w:tab w:val="right" w:pos="8929"/>
          <w:tab w:val="right" w:pos="9638"/>
        </w:tabs>
        <w:spacing w:after="120"/>
        <w:ind w:left="1559" w:hanging="425"/>
        <w:rPr>
          <w:bCs/>
          <w:lang w:val="fr-FR"/>
        </w:rPr>
      </w:pPr>
      <w:r>
        <w:rPr>
          <w:bCs/>
          <w:lang w:val="fr-FR"/>
        </w:rPr>
        <w:t>C.</w:t>
      </w:r>
      <w:r>
        <w:rPr>
          <w:bCs/>
          <w:lang w:val="fr-FR"/>
        </w:rPr>
        <w:tab/>
      </w:r>
      <w:r w:rsidRPr="00F82F28">
        <w:rPr>
          <w:bCs/>
          <w:lang w:val="fr-FR"/>
        </w:rPr>
        <w:t>Épreuves relatives aux matières comburantes</w:t>
      </w:r>
      <w:r>
        <w:rPr>
          <w:bCs/>
          <w:lang w:val="fr-FR"/>
        </w:rPr>
        <w:tab/>
      </w:r>
      <w:r>
        <w:rPr>
          <w:bCs/>
          <w:lang w:val="fr-FR"/>
        </w:rPr>
        <w:tab/>
        <w:t>108</w:t>
      </w:r>
      <w:r>
        <w:rPr>
          <w:bCs/>
          <w:lang w:val="fr-FR"/>
        </w:rPr>
        <w:tab/>
      </w:r>
      <w:r w:rsidR="00860395">
        <w:rPr>
          <w:bCs/>
          <w:lang w:val="fr-FR"/>
        </w:rPr>
        <w:t>23</w:t>
      </w:r>
    </w:p>
    <w:p w14:paraId="2D674578" w14:textId="77777777" w:rsidR="00A95B60" w:rsidRDefault="00A95B60" w:rsidP="00A95B60">
      <w:pPr>
        <w:tabs>
          <w:tab w:val="right" w:leader="dot" w:pos="7654"/>
          <w:tab w:val="right" w:pos="8929"/>
          <w:tab w:val="right" w:pos="9638"/>
        </w:tabs>
        <w:spacing w:after="120"/>
        <w:ind w:left="1559" w:hanging="425"/>
        <w:rPr>
          <w:bCs/>
          <w:lang w:val="fr-FR"/>
        </w:rPr>
      </w:pPr>
      <w:r>
        <w:rPr>
          <w:bCs/>
          <w:lang w:val="fr-FR"/>
        </w:rPr>
        <w:t>D.</w:t>
      </w:r>
      <w:r>
        <w:rPr>
          <w:bCs/>
          <w:lang w:val="fr-FR"/>
        </w:rPr>
        <w:tab/>
      </w:r>
      <w:r w:rsidRPr="00F82F28">
        <w:rPr>
          <w:bCs/>
          <w:lang w:val="fr-FR"/>
        </w:rPr>
        <w:t>Produits chimiques sous pression</w:t>
      </w:r>
      <w:r>
        <w:rPr>
          <w:bCs/>
          <w:lang w:val="fr-FR"/>
        </w:rPr>
        <w:tab/>
      </w:r>
      <w:r>
        <w:rPr>
          <w:bCs/>
          <w:lang w:val="fr-FR"/>
        </w:rPr>
        <w:tab/>
        <w:t>109</w:t>
      </w:r>
      <w:r>
        <w:rPr>
          <w:bCs/>
          <w:lang w:val="fr-FR"/>
        </w:rPr>
        <w:tab/>
      </w:r>
      <w:r w:rsidR="00860395">
        <w:rPr>
          <w:bCs/>
          <w:lang w:val="fr-FR"/>
        </w:rPr>
        <w:t>23</w:t>
      </w:r>
    </w:p>
    <w:p w14:paraId="6DE0C59D" w14:textId="6F92F615" w:rsidR="00A95B60" w:rsidRDefault="00A95B60" w:rsidP="00A95B60">
      <w:pPr>
        <w:tabs>
          <w:tab w:val="right" w:leader="dot" w:pos="7654"/>
          <w:tab w:val="right" w:pos="8929"/>
          <w:tab w:val="right" w:pos="9638"/>
        </w:tabs>
        <w:spacing w:after="120"/>
        <w:ind w:left="1559" w:hanging="425"/>
        <w:rPr>
          <w:bCs/>
          <w:lang w:val="fr-FR"/>
        </w:rPr>
      </w:pPr>
      <w:r>
        <w:rPr>
          <w:bCs/>
          <w:lang w:val="fr-FR"/>
        </w:rPr>
        <w:t>E.</w:t>
      </w:r>
      <w:r>
        <w:rPr>
          <w:bCs/>
          <w:lang w:val="fr-FR"/>
        </w:rPr>
        <w:tab/>
      </w:r>
      <w:r w:rsidRPr="00F82F28">
        <w:rPr>
          <w:bCs/>
          <w:lang w:val="fr-FR"/>
        </w:rPr>
        <w:t>Mise à jour des références aux directives de l</w:t>
      </w:r>
      <w:r w:rsidR="000B2B75">
        <w:rPr>
          <w:bCs/>
          <w:lang w:val="fr-FR"/>
        </w:rPr>
        <w:t>’</w:t>
      </w:r>
      <w:r w:rsidRPr="00F82F28">
        <w:rPr>
          <w:bCs/>
          <w:lang w:val="fr-FR"/>
        </w:rPr>
        <w:t>OCDE</w:t>
      </w:r>
      <w:r>
        <w:rPr>
          <w:bCs/>
          <w:lang w:val="fr-FR"/>
        </w:rPr>
        <w:tab/>
      </w:r>
      <w:r>
        <w:rPr>
          <w:bCs/>
          <w:lang w:val="fr-FR"/>
        </w:rPr>
        <w:tab/>
        <w:t>110</w:t>
      </w:r>
      <w:r>
        <w:rPr>
          <w:bCs/>
          <w:lang w:val="fr-FR"/>
        </w:rPr>
        <w:tab/>
      </w:r>
      <w:r w:rsidR="00860395">
        <w:rPr>
          <w:bCs/>
          <w:lang w:val="fr-FR"/>
        </w:rPr>
        <w:t>23</w:t>
      </w:r>
    </w:p>
    <w:p w14:paraId="6309FAA4" w14:textId="77777777" w:rsidR="00A95B60" w:rsidRDefault="002E147D" w:rsidP="00A95B60">
      <w:pPr>
        <w:tabs>
          <w:tab w:val="right" w:leader="dot" w:pos="7654"/>
          <w:tab w:val="right" w:pos="8929"/>
          <w:tab w:val="right" w:pos="9638"/>
        </w:tabs>
        <w:spacing w:after="120"/>
        <w:ind w:left="1559" w:hanging="425"/>
        <w:rPr>
          <w:bCs/>
          <w:lang w:val="fr-FR"/>
        </w:rPr>
      </w:pPr>
      <w:r>
        <w:rPr>
          <w:bCs/>
          <w:lang w:val="fr-FR"/>
        </w:rPr>
        <w:t>F.</w:t>
      </w:r>
      <w:r>
        <w:rPr>
          <w:bCs/>
          <w:lang w:val="fr-FR"/>
        </w:rPr>
        <w:tab/>
      </w:r>
      <w:r w:rsidRPr="00F82F28">
        <w:rPr>
          <w:bCs/>
          <w:lang w:val="fr-FR"/>
        </w:rPr>
        <w:t xml:space="preserve">Classification simultanée des dangers physiques </w:t>
      </w:r>
      <w:r>
        <w:rPr>
          <w:bCs/>
          <w:lang w:val="fr-FR"/>
        </w:rPr>
        <w:br/>
      </w:r>
      <w:r w:rsidRPr="00F82F28">
        <w:rPr>
          <w:bCs/>
          <w:lang w:val="fr-FR"/>
        </w:rPr>
        <w:t>et ordre de prépondérance des dangers</w:t>
      </w:r>
      <w:r>
        <w:rPr>
          <w:bCs/>
          <w:lang w:val="fr-FR"/>
        </w:rPr>
        <w:tab/>
      </w:r>
      <w:r>
        <w:rPr>
          <w:bCs/>
          <w:lang w:val="fr-FR"/>
        </w:rPr>
        <w:tab/>
        <w:t>111</w:t>
      </w:r>
      <w:r>
        <w:rPr>
          <w:bCs/>
          <w:lang w:val="fr-FR"/>
        </w:rPr>
        <w:tab/>
      </w:r>
      <w:r w:rsidR="00860395">
        <w:rPr>
          <w:bCs/>
          <w:lang w:val="fr-FR"/>
        </w:rPr>
        <w:t>23</w:t>
      </w:r>
    </w:p>
    <w:p w14:paraId="10E140EB" w14:textId="77777777" w:rsidR="002E147D" w:rsidRDefault="002E147D" w:rsidP="00A95B60">
      <w:pPr>
        <w:tabs>
          <w:tab w:val="right" w:leader="dot" w:pos="7654"/>
          <w:tab w:val="right" w:pos="8929"/>
          <w:tab w:val="right" w:pos="9638"/>
        </w:tabs>
        <w:spacing w:after="120"/>
        <w:ind w:left="1559" w:hanging="425"/>
        <w:rPr>
          <w:bCs/>
          <w:lang w:val="fr-FR"/>
        </w:rPr>
      </w:pPr>
      <w:r>
        <w:rPr>
          <w:bCs/>
          <w:lang w:val="fr-FR"/>
        </w:rPr>
        <w:t>G.</w:t>
      </w:r>
      <w:r>
        <w:rPr>
          <w:bCs/>
          <w:lang w:val="fr-FR"/>
        </w:rPr>
        <w:tab/>
        <w:t>A</w:t>
      </w:r>
      <w:r w:rsidRPr="00BB7751">
        <w:rPr>
          <w:bCs/>
          <w:lang w:val="fr-FR"/>
        </w:rPr>
        <w:t>utres</w:t>
      </w:r>
      <w:r>
        <w:rPr>
          <w:lang w:val="fr-FR"/>
        </w:rPr>
        <w:t xml:space="preserve"> </w:t>
      </w:r>
      <w:r>
        <w:rPr>
          <w:bCs/>
          <w:lang w:val="fr-FR"/>
        </w:rPr>
        <w:t>q</w:t>
      </w:r>
      <w:r w:rsidRPr="00F82F28">
        <w:rPr>
          <w:bCs/>
          <w:lang w:val="fr-FR"/>
        </w:rPr>
        <w:t>uestions</w:t>
      </w:r>
      <w:r>
        <w:rPr>
          <w:bCs/>
          <w:lang w:val="fr-FR"/>
        </w:rPr>
        <w:tab/>
      </w:r>
      <w:r>
        <w:rPr>
          <w:bCs/>
          <w:lang w:val="fr-FR"/>
        </w:rPr>
        <w:tab/>
        <w:t>112</w:t>
      </w:r>
      <w:r>
        <w:rPr>
          <w:bCs/>
          <w:lang w:val="fr-FR"/>
        </w:rPr>
        <w:tab/>
      </w:r>
      <w:r w:rsidR="00860395">
        <w:rPr>
          <w:bCs/>
          <w:lang w:val="fr-FR"/>
        </w:rPr>
        <w:t>23</w:t>
      </w:r>
    </w:p>
    <w:p w14:paraId="2C843AF5" w14:textId="75CC1F43" w:rsidR="002E147D" w:rsidRDefault="002E147D" w:rsidP="002E147D">
      <w:pPr>
        <w:tabs>
          <w:tab w:val="right" w:pos="850"/>
          <w:tab w:val="right" w:leader="dot" w:pos="7654"/>
          <w:tab w:val="right" w:pos="8929"/>
          <w:tab w:val="right" w:pos="9638"/>
        </w:tabs>
        <w:spacing w:after="120"/>
        <w:ind w:left="1134" w:hanging="1134"/>
        <w:rPr>
          <w:lang w:val="fr-FR"/>
        </w:rPr>
      </w:pPr>
      <w:r>
        <w:rPr>
          <w:lang w:val="fr-FR"/>
        </w:rPr>
        <w:tab/>
        <w:t>XIII.</w:t>
      </w:r>
      <w:r>
        <w:rPr>
          <w:lang w:val="fr-FR"/>
        </w:rPr>
        <w:tab/>
      </w:r>
      <w:r w:rsidRPr="002C029C">
        <w:rPr>
          <w:lang w:val="fr-FR"/>
        </w:rPr>
        <w:t xml:space="preserve">Programme de travail pour la période biennale 2021-2022 </w:t>
      </w:r>
      <w:r>
        <w:rPr>
          <w:lang w:val="fr-FR"/>
        </w:rPr>
        <w:br/>
      </w:r>
      <w:r w:rsidRPr="002C029C">
        <w:rPr>
          <w:lang w:val="fr-FR"/>
        </w:rPr>
        <w:t>(point 12 de l</w:t>
      </w:r>
      <w:r w:rsidR="000B2B75">
        <w:rPr>
          <w:lang w:val="fr-FR"/>
        </w:rPr>
        <w:t>’</w:t>
      </w:r>
      <w:r w:rsidRPr="002C029C">
        <w:rPr>
          <w:lang w:val="fr-FR"/>
        </w:rPr>
        <w:t>ordre du jour)</w:t>
      </w:r>
      <w:r>
        <w:rPr>
          <w:lang w:val="fr-FR"/>
        </w:rPr>
        <w:tab/>
      </w:r>
      <w:r>
        <w:rPr>
          <w:lang w:val="fr-FR"/>
        </w:rPr>
        <w:tab/>
        <w:t>113−120</w:t>
      </w:r>
      <w:r>
        <w:rPr>
          <w:lang w:val="fr-FR"/>
        </w:rPr>
        <w:tab/>
      </w:r>
      <w:r w:rsidR="00860395">
        <w:rPr>
          <w:lang w:val="fr-FR"/>
        </w:rPr>
        <w:t>23</w:t>
      </w:r>
    </w:p>
    <w:p w14:paraId="67D69CB2" w14:textId="77777777" w:rsidR="002E147D" w:rsidRDefault="002E147D" w:rsidP="002E147D">
      <w:pPr>
        <w:tabs>
          <w:tab w:val="right" w:leader="dot" w:pos="7654"/>
          <w:tab w:val="right" w:pos="8929"/>
          <w:tab w:val="right" w:pos="9638"/>
        </w:tabs>
        <w:spacing w:after="120"/>
        <w:ind w:left="1559" w:hanging="425"/>
        <w:rPr>
          <w:bCs/>
          <w:lang w:val="fr-FR"/>
        </w:rPr>
      </w:pPr>
      <w:r>
        <w:rPr>
          <w:lang w:val="fr-FR"/>
        </w:rPr>
        <w:t>A.</w:t>
      </w:r>
      <w:r>
        <w:rPr>
          <w:lang w:val="fr-FR"/>
        </w:rPr>
        <w:tab/>
      </w:r>
      <w:r w:rsidRPr="00F82F28">
        <w:rPr>
          <w:bCs/>
          <w:lang w:val="fr-FR"/>
        </w:rPr>
        <w:t>Uniformisation des interprétations</w:t>
      </w:r>
      <w:r>
        <w:rPr>
          <w:bCs/>
          <w:lang w:val="fr-FR"/>
        </w:rPr>
        <w:tab/>
      </w:r>
      <w:r>
        <w:rPr>
          <w:bCs/>
          <w:lang w:val="fr-FR"/>
        </w:rPr>
        <w:tab/>
        <w:t>113</w:t>
      </w:r>
      <w:r>
        <w:rPr>
          <w:bCs/>
          <w:lang w:val="fr-FR"/>
        </w:rPr>
        <w:tab/>
      </w:r>
      <w:r w:rsidR="00860395">
        <w:rPr>
          <w:bCs/>
          <w:lang w:val="fr-FR"/>
        </w:rPr>
        <w:t>23</w:t>
      </w:r>
    </w:p>
    <w:p w14:paraId="2F4654BF" w14:textId="2FDB96F8" w:rsidR="002E147D" w:rsidRDefault="002E147D" w:rsidP="002E147D">
      <w:pPr>
        <w:tabs>
          <w:tab w:val="right" w:leader="dot" w:pos="7654"/>
          <w:tab w:val="right" w:pos="8929"/>
          <w:tab w:val="right" w:pos="9638"/>
        </w:tabs>
        <w:spacing w:after="120"/>
        <w:ind w:left="1559" w:hanging="425"/>
        <w:rPr>
          <w:bCs/>
          <w:lang w:val="fr-FR"/>
        </w:rPr>
      </w:pPr>
      <w:r>
        <w:rPr>
          <w:lang w:val="fr-FR"/>
        </w:rPr>
        <w:t>B.</w:t>
      </w:r>
      <w:r>
        <w:rPr>
          <w:lang w:val="fr-FR"/>
        </w:rPr>
        <w:tab/>
      </w:r>
      <w:r w:rsidRPr="00F82F28">
        <w:rPr>
          <w:bCs/>
          <w:lang w:val="fr-FR"/>
        </w:rPr>
        <w:t>Mise en œuvre du Règlement type de l</w:t>
      </w:r>
      <w:r w:rsidR="000B2B75">
        <w:rPr>
          <w:bCs/>
          <w:lang w:val="fr-FR"/>
        </w:rPr>
        <w:t>’</w:t>
      </w:r>
      <w:r w:rsidRPr="00F82F28">
        <w:rPr>
          <w:bCs/>
          <w:lang w:val="fr-FR"/>
        </w:rPr>
        <w:t>ONU</w:t>
      </w:r>
      <w:r>
        <w:rPr>
          <w:bCs/>
          <w:lang w:val="fr-FR"/>
        </w:rPr>
        <w:tab/>
      </w:r>
      <w:r>
        <w:rPr>
          <w:bCs/>
          <w:lang w:val="fr-FR"/>
        </w:rPr>
        <w:tab/>
        <w:t>114−117</w:t>
      </w:r>
      <w:r>
        <w:rPr>
          <w:bCs/>
          <w:lang w:val="fr-FR"/>
        </w:rPr>
        <w:tab/>
      </w:r>
      <w:r w:rsidR="00860395">
        <w:rPr>
          <w:bCs/>
          <w:lang w:val="fr-FR"/>
        </w:rPr>
        <w:t>23</w:t>
      </w:r>
    </w:p>
    <w:p w14:paraId="382DF56F" w14:textId="77777777" w:rsidR="002E147D" w:rsidRDefault="002E147D" w:rsidP="002E147D">
      <w:pPr>
        <w:tabs>
          <w:tab w:val="right" w:leader="dot" w:pos="7654"/>
          <w:tab w:val="right" w:pos="8929"/>
          <w:tab w:val="right" w:pos="9638"/>
        </w:tabs>
        <w:spacing w:after="120"/>
        <w:ind w:left="1559" w:hanging="425"/>
        <w:rPr>
          <w:bCs/>
          <w:lang w:val="fr-FR"/>
        </w:rPr>
      </w:pPr>
      <w:r>
        <w:rPr>
          <w:bCs/>
          <w:lang w:val="fr-FR"/>
        </w:rPr>
        <w:t>C.</w:t>
      </w:r>
      <w:r>
        <w:rPr>
          <w:bCs/>
          <w:lang w:val="fr-FR"/>
        </w:rPr>
        <w:tab/>
      </w:r>
      <w:r w:rsidRPr="00F82F28">
        <w:rPr>
          <w:bCs/>
          <w:lang w:val="fr-FR"/>
        </w:rPr>
        <w:t xml:space="preserve">Formation à la sécurité et renforcement des capacités </w:t>
      </w:r>
      <w:r>
        <w:rPr>
          <w:bCs/>
          <w:lang w:val="fr-FR"/>
        </w:rPr>
        <w:br/>
      </w:r>
      <w:r w:rsidRPr="00F82F28">
        <w:rPr>
          <w:bCs/>
          <w:lang w:val="fr-FR"/>
        </w:rPr>
        <w:t xml:space="preserve">en </w:t>
      </w:r>
      <w:r>
        <w:rPr>
          <w:bCs/>
          <w:lang w:val="fr-FR"/>
        </w:rPr>
        <w:t xml:space="preserve">ce qui concerne les </w:t>
      </w:r>
      <w:r w:rsidRPr="00F82F28">
        <w:rPr>
          <w:bCs/>
          <w:lang w:val="fr-FR"/>
        </w:rPr>
        <w:t>marchandises dangereuses</w:t>
      </w:r>
      <w:r>
        <w:rPr>
          <w:bCs/>
          <w:lang w:val="fr-FR"/>
        </w:rPr>
        <w:tab/>
      </w:r>
      <w:r>
        <w:rPr>
          <w:bCs/>
          <w:lang w:val="fr-FR"/>
        </w:rPr>
        <w:tab/>
        <w:t>118</w:t>
      </w:r>
      <w:r>
        <w:rPr>
          <w:bCs/>
          <w:lang w:val="fr-FR"/>
        </w:rPr>
        <w:tab/>
      </w:r>
      <w:r w:rsidR="00D13A02">
        <w:rPr>
          <w:bCs/>
          <w:lang w:val="fr-FR"/>
        </w:rPr>
        <w:t>24</w:t>
      </w:r>
    </w:p>
    <w:p w14:paraId="562D7931" w14:textId="77777777" w:rsidR="002E147D" w:rsidRDefault="002E147D" w:rsidP="002E147D">
      <w:pPr>
        <w:tabs>
          <w:tab w:val="right" w:leader="dot" w:pos="7654"/>
          <w:tab w:val="right" w:pos="8929"/>
          <w:tab w:val="right" w:pos="9638"/>
        </w:tabs>
        <w:spacing w:after="120"/>
        <w:ind w:left="1559" w:hanging="425"/>
        <w:rPr>
          <w:bCs/>
          <w:lang w:val="fr-FR"/>
        </w:rPr>
      </w:pPr>
      <w:r>
        <w:rPr>
          <w:lang w:val="fr-FR"/>
        </w:rPr>
        <w:t>D.</w:t>
      </w:r>
      <w:r>
        <w:rPr>
          <w:lang w:val="fr-FR"/>
        </w:rPr>
        <w:tab/>
      </w:r>
      <w:r w:rsidRPr="00F82F28">
        <w:rPr>
          <w:bCs/>
          <w:lang w:val="fr-FR"/>
        </w:rPr>
        <w:t>Gaz de la division 2.2 transportés en petites quantités</w:t>
      </w:r>
      <w:r>
        <w:rPr>
          <w:bCs/>
          <w:lang w:val="fr-FR"/>
        </w:rPr>
        <w:tab/>
      </w:r>
      <w:r>
        <w:rPr>
          <w:bCs/>
          <w:lang w:val="fr-FR"/>
        </w:rPr>
        <w:tab/>
        <w:t>119</w:t>
      </w:r>
      <w:r>
        <w:rPr>
          <w:bCs/>
          <w:lang w:val="fr-FR"/>
        </w:rPr>
        <w:tab/>
      </w:r>
      <w:r w:rsidR="00D13A02">
        <w:rPr>
          <w:bCs/>
          <w:lang w:val="fr-FR"/>
        </w:rPr>
        <w:t>24</w:t>
      </w:r>
    </w:p>
    <w:p w14:paraId="298F2CC9" w14:textId="77777777" w:rsidR="002E147D" w:rsidRDefault="002E147D" w:rsidP="002E147D">
      <w:pPr>
        <w:tabs>
          <w:tab w:val="right" w:leader="dot" w:pos="7654"/>
          <w:tab w:val="right" w:pos="8929"/>
          <w:tab w:val="right" w:pos="9638"/>
        </w:tabs>
        <w:spacing w:after="120"/>
        <w:ind w:left="1559" w:hanging="425"/>
        <w:rPr>
          <w:bCs/>
          <w:lang w:val="fr-FR"/>
        </w:rPr>
      </w:pPr>
      <w:r>
        <w:rPr>
          <w:bCs/>
          <w:lang w:val="fr-FR"/>
        </w:rPr>
        <w:t>E.</w:t>
      </w:r>
      <w:r>
        <w:rPr>
          <w:bCs/>
          <w:lang w:val="fr-FR"/>
        </w:rPr>
        <w:tab/>
      </w:r>
      <w:r w:rsidRPr="00F82F28">
        <w:rPr>
          <w:bCs/>
          <w:lang w:val="fr-FR"/>
        </w:rPr>
        <w:t>Programme de travail pour la période 2021-2022</w:t>
      </w:r>
      <w:r>
        <w:rPr>
          <w:bCs/>
          <w:lang w:val="fr-FR"/>
        </w:rPr>
        <w:tab/>
      </w:r>
      <w:r>
        <w:rPr>
          <w:bCs/>
          <w:lang w:val="fr-FR"/>
        </w:rPr>
        <w:tab/>
        <w:t>120</w:t>
      </w:r>
      <w:r>
        <w:rPr>
          <w:bCs/>
          <w:lang w:val="fr-FR"/>
        </w:rPr>
        <w:tab/>
      </w:r>
      <w:r w:rsidR="00D13A02">
        <w:rPr>
          <w:bCs/>
          <w:lang w:val="fr-FR"/>
        </w:rPr>
        <w:t>24</w:t>
      </w:r>
    </w:p>
    <w:p w14:paraId="74B5E8A4" w14:textId="7FE6CE2E" w:rsidR="002E147D" w:rsidRDefault="002E147D" w:rsidP="002E147D">
      <w:pPr>
        <w:tabs>
          <w:tab w:val="right" w:pos="850"/>
          <w:tab w:val="right" w:leader="dot" w:pos="7654"/>
          <w:tab w:val="right" w:pos="8929"/>
          <w:tab w:val="right" w:pos="9638"/>
        </w:tabs>
        <w:spacing w:after="120"/>
        <w:ind w:left="1134" w:hanging="1134"/>
        <w:rPr>
          <w:lang w:val="fr-FR"/>
        </w:rPr>
      </w:pPr>
      <w:r>
        <w:rPr>
          <w:lang w:val="fr-FR"/>
        </w:rPr>
        <w:tab/>
        <w:t>XIV.</w:t>
      </w:r>
      <w:r>
        <w:rPr>
          <w:lang w:val="fr-FR"/>
        </w:rPr>
        <w:tab/>
      </w:r>
      <w:r w:rsidRPr="002C029C">
        <w:rPr>
          <w:lang w:val="fr-FR"/>
        </w:rPr>
        <w:t xml:space="preserve">Projet de résolution 2021/… du Conseil économique et social </w:t>
      </w:r>
      <w:r>
        <w:rPr>
          <w:lang w:val="fr-FR"/>
        </w:rPr>
        <w:br/>
      </w:r>
      <w:r w:rsidRPr="002C029C">
        <w:rPr>
          <w:lang w:val="fr-FR"/>
        </w:rPr>
        <w:t>(point 13 de l</w:t>
      </w:r>
      <w:r w:rsidR="000B2B75">
        <w:rPr>
          <w:lang w:val="fr-FR"/>
        </w:rPr>
        <w:t>’</w:t>
      </w:r>
      <w:r w:rsidRPr="002C029C">
        <w:rPr>
          <w:lang w:val="fr-FR"/>
        </w:rPr>
        <w:t>ordre du jour)</w:t>
      </w:r>
      <w:r>
        <w:rPr>
          <w:lang w:val="fr-FR"/>
        </w:rPr>
        <w:tab/>
      </w:r>
      <w:r>
        <w:rPr>
          <w:lang w:val="fr-FR"/>
        </w:rPr>
        <w:tab/>
        <w:t>121</w:t>
      </w:r>
      <w:r>
        <w:rPr>
          <w:lang w:val="fr-FR"/>
        </w:rPr>
        <w:tab/>
      </w:r>
      <w:r w:rsidR="00193EA2">
        <w:rPr>
          <w:lang w:val="fr-FR"/>
        </w:rPr>
        <w:t>25</w:t>
      </w:r>
    </w:p>
    <w:p w14:paraId="01AAE2AE" w14:textId="68396411" w:rsidR="002E147D" w:rsidRDefault="002E147D" w:rsidP="002E147D">
      <w:pPr>
        <w:tabs>
          <w:tab w:val="right" w:pos="850"/>
          <w:tab w:val="right" w:leader="dot" w:pos="7654"/>
          <w:tab w:val="right" w:pos="8929"/>
          <w:tab w:val="right" w:pos="9638"/>
        </w:tabs>
        <w:spacing w:after="120"/>
        <w:ind w:left="1134" w:hanging="1134"/>
        <w:rPr>
          <w:bCs/>
          <w:szCs w:val="28"/>
          <w:lang w:val="fr-FR"/>
        </w:rPr>
      </w:pPr>
      <w:r>
        <w:rPr>
          <w:lang w:val="fr-FR"/>
        </w:rPr>
        <w:tab/>
        <w:t>XV.</w:t>
      </w:r>
      <w:r>
        <w:rPr>
          <w:lang w:val="fr-FR"/>
        </w:rPr>
        <w:tab/>
      </w:r>
      <w:r w:rsidRPr="002C029C">
        <w:rPr>
          <w:bCs/>
          <w:szCs w:val="28"/>
          <w:lang w:val="fr-FR"/>
        </w:rPr>
        <w:t xml:space="preserve">Élection du Bureau pour la période biennale 2021-2022 </w:t>
      </w:r>
      <w:r>
        <w:rPr>
          <w:bCs/>
          <w:szCs w:val="28"/>
          <w:lang w:val="fr-FR"/>
        </w:rPr>
        <w:br/>
      </w:r>
      <w:r w:rsidRPr="002C029C">
        <w:rPr>
          <w:bCs/>
          <w:szCs w:val="28"/>
          <w:lang w:val="fr-FR"/>
        </w:rPr>
        <w:t>(point 14 de l</w:t>
      </w:r>
      <w:r w:rsidR="000B2B75">
        <w:rPr>
          <w:bCs/>
          <w:szCs w:val="28"/>
          <w:lang w:val="fr-FR"/>
        </w:rPr>
        <w:t>’</w:t>
      </w:r>
      <w:r w:rsidRPr="002C029C">
        <w:rPr>
          <w:bCs/>
          <w:szCs w:val="28"/>
          <w:lang w:val="fr-FR"/>
        </w:rPr>
        <w:t>ordre du jour)</w:t>
      </w:r>
      <w:r>
        <w:rPr>
          <w:bCs/>
          <w:szCs w:val="28"/>
          <w:lang w:val="fr-FR"/>
        </w:rPr>
        <w:tab/>
      </w:r>
      <w:r>
        <w:rPr>
          <w:bCs/>
          <w:szCs w:val="28"/>
          <w:lang w:val="fr-FR"/>
        </w:rPr>
        <w:tab/>
        <w:t>122</w:t>
      </w:r>
      <w:r>
        <w:rPr>
          <w:bCs/>
          <w:szCs w:val="28"/>
          <w:lang w:val="fr-FR"/>
        </w:rPr>
        <w:tab/>
      </w:r>
      <w:r w:rsidR="00193EA2">
        <w:rPr>
          <w:bCs/>
          <w:szCs w:val="28"/>
          <w:lang w:val="fr-FR"/>
        </w:rPr>
        <w:t>25</w:t>
      </w:r>
    </w:p>
    <w:p w14:paraId="13C6CD82" w14:textId="0D1C6A0B" w:rsidR="002E147D" w:rsidRDefault="002E147D" w:rsidP="002E147D">
      <w:pPr>
        <w:tabs>
          <w:tab w:val="right" w:pos="850"/>
          <w:tab w:val="right" w:leader="dot" w:pos="7654"/>
          <w:tab w:val="right" w:pos="8929"/>
          <w:tab w:val="right" w:pos="9638"/>
        </w:tabs>
        <w:spacing w:after="120"/>
        <w:ind w:left="1134" w:hanging="1134"/>
        <w:rPr>
          <w:bCs/>
          <w:szCs w:val="28"/>
          <w:lang w:val="fr-FR"/>
        </w:rPr>
      </w:pPr>
      <w:r>
        <w:rPr>
          <w:bCs/>
          <w:szCs w:val="28"/>
          <w:lang w:val="fr-FR"/>
        </w:rPr>
        <w:tab/>
        <w:t>XVI.</w:t>
      </w:r>
      <w:r>
        <w:rPr>
          <w:bCs/>
          <w:szCs w:val="28"/>
          <w:lang w:val="fr-FR"/>
        </w:rPr>
        <w:tab/>
      </w:r>
      <w:r w:rsidRPr="002C029C">
        <w:rPr>
          <w:bCs/>
          <w:szCs w:val="28"/>
          <w:lang w:val="fr-FR"/>
        </w:rPr>
        <w:t xml:space="preserve">Questions diverses (point </w:t>
      </w:r>
      <w:r w:rsidRPr="00BB7751">
        <w:rPr>
          <w:lang w:val="fr-FR"/>
        </w:rPr>
        <w:t>15</w:t>
      </w:r>
      <w:r w:rsidRPr="002C029C">
        <w:rPr>
          <w:bCs/>
          <w:szCs w:val="28"/>
          <w:lang w:val="fr-FR"/>
        </w:rPr>
        <w:t xml:space="preserve"> de l</w:t>
      </w:r>
      <w:r w:rsidR="000B2B75">
        <w:rPr>
          <w:bCs/>
          <w:szCs w:val="28"/>
          <w:lang w:val="fr-FR"/>
        </w:rPr>
        <w:t>’</w:t>
      </w:r>
      <w:r w:rsidRPr="002C029C">
        <w:rPr>
          <w:bCs/>
          <w:szCs w:val="28"/>
          <w:lang w:val="fr-FR"/>
        </w:rPr>
        <w:t>ordre du jour)</w:t>
      </w:r>
      <w:r>
        <w:rPr>
          <w:bCs/>
          <w:szCs w:val="28"/>
          <w:lang w:val="fr-FR"/>
        </w:rPr>
        <w:tab/>
      </w:r>
      <w:r>
        <w:rPr>
          <w:bCs/>
          <w:szCs w:val="28"/>
          <w:lang w:val="fr-FR"/>
        </w:rPr>
        <w:tab/>
        <w:t>123−12</w:t>
      </w:r>
      <w:r w:rsidR="00F16310">
        <w:rPr>
          <w:bCs/>
          <w:szCs w:val="28"/>
          <w:lang w:val="fr-FR"/>
        </w:rPr>
        <w:t>6</w:t>
      </w:r>
      <w:r>
        <w:rPr>
          <w:bCs/>
          <w:szCs w:val="28"/>
          <w:lang w:val="fr-FR"/>
        </w:rPr>
        <w:tab/>
      </w:r>
      <w:r w:rsidR="00193EA2">
        <w:rPr>
          <w:bCs/>
          <w:szCs w:val="28"/>
          <w:lang w:val="fr-FR"/>
        </w:rPr>
        <w:t>25</w:t>
      </w:r>
    </w:p>
    <w:p w14:paraId="4CC6B2B8" w14:textId="77777777" w:rsidR="0029708D" w:rsidRDefault="0029708D" w:rsidP="002E147D">
      <w:pPr>
        <w:tabs>
          <w:tab w:val="right" w:pos="850"/>
          <w:tab w:val="right" w:leader="dot" w:pos="7654"/>
          <w:tab w:val="right" w:pos="8929"/>
          <w:tab w:val="right" w:pos="9638"/>
        </w:tabs>
        <w:spacing w:after="120"/>
        <w:ind w:left="1134" w:hanging="1134"/>
        <w:rPr>
          <w:lang w:val="fr-FR"/>
        </w:rPr>
      </w:pPr>
      <w:r>
        <w:rPr>
          <w:bCs/>
          <w:szCs w:val="28"/>
          <w:lang w:val="fr-FR"/>
        </w:rPr>
        <w:tab/>
      </w:r>
      <w:r>
        <w:rPr>
          <w:bCs/>
          <w:szCs w:val="28"/>
          <w:lang w:val="fr-FR"/>
        </w:rPr>
        <w:tab/>
      </w:r>
      <w:r w:rsidRPr="00F82F28">
        <w:rPr>
          <w:lang w:val="fr-FR"/>
        </w:rPr>
        <w:t>Autres questions</w:t>
      </w:r>
      <w:r>
        <w:rPr>
          <w:lang w:val="fr-FR"/>
        </w:rPr>
        <w:tab/>
      </w:r>
      <w:r>
        <w:rPr>
          <w:lang w:val="fr-FR"/>
        </w:rPr>
        <w:tab/>
        <w:t>125</w:t>
      </w:r>
      <w:r>
        <w:rPr>
          <w:lang w:val="fr-FR"/>
        </w:rPr>
        <w:tab/>
      </w:r>
      <w:r w:rsidR="00193EA2">
        <w:rPr>
          <w:lang w:val="fr-FR"/>
        </w:rPr>
        <w:t>26</w:t>
      </w:r>
    </w:p>
    <w:p w14:paraId="7DC31A0D" w14:textId="77777777" w:rsidR="0029708D" w:rsidRDefault="0029708D" w:rsidP="002E147D">
      <w:pPr>
        <w:tabs>
          <w:tab w:val="right" w:pos="850"/>
          <w:tab w:val="right" w:leader="dot" w:pos="7654"/>
          <w:tab w:val="right" w:pos="8929"/>
          <w:tab w:val="right" w:pos="9638"/>
        </w:tabs>
        <w:spacing w:after="120"/>
        <w:ind w:left="1134" w:hanging="1134"/>
        <w:rPr>
          <w:lang w:val="fr-FR"/>
        </w:rPr>
      </w:pPr>
      <w:r>
        <w:rPr>
          <w:lang w:val="fr-FR"/>
        </w:rPr>
        <w:tab/>
      </w:r>
      <w:r>
        <w:rPr>
          <w:lang w:val="fr-FR"/>
        </w:rPr>
        <w:tab/>
      </w:r>
      <w:r w:rsidRPr="00F82F28">
        <w:rPr>
          <w:lang w:val="fr-FR"/>
        </w:rPr>
        <w:t>Hommages</w:t>
      </w:r>
      <w:r>
        <w:rPr>
          <w:lang w:val="fr-FR"/>
        </w:rPr>
        <w:tab/>
      </w:r>
      <w:r>
        <w:rPr>
          <w:lang w:val="fr-FR"/>
        </w:rPr>
        <w:tab/>
        <w:t>126</w:t>
      </w:r>
      <w:r>
        <w:rPr>
          <w:lang w:val="fr-FR"/>
        </w:rPr>
        <w:tab/>
      </w:r>
      <w:r w:rsidR="00193EA2">
        <w:rPr>
          <w:lang w:val="fr-FR"/>
        </w:rPr>
        <w:t>26</w:t>
      </w:r>
    </w:p>
    <w:p w14:paraId="40CB636D" w14:textId="6F529DA4" w:rsidR="0029708D" w:rsidRDefault="0029708D" w:rsidP="002E147D">
      <w:pPr>
        <w:tabs>
          <w:tab w:val="right" w:pos="850"/>
          <w:tab w:val="right" w:leader="dot" w:pos="7654"/>
          <w:tab w:val="right" w:pos="8929"/>
          <w:tab w:val="right" w:pos="9638"/>
        </w:tabs>
        <w:spacing w:after="120"/>
        <w:ind w:left="1134" w:hanging="1134"/>
        <w:rPr>
          <w:bCs/>
          <w:szCs w:val="28"/>
          <w:lang w:val="fr-FR"/>
        </w:rPr>
      </w:pPr>
      <w:r>
        <w:rPr>
          <w:bCs/>
          <w:szCs w:val="28"/>
          <w:lang w:val="fr-FR"/>
        </w:rPr>
        <w:tab/>
        <w:t>XVII.</w:t>
      </w:r>
      <w:r>
        <w:rPr>
          <w:bCs/>
          <w:szCs w:val="28"/>
          <w:lang w:val="fr-FR"/>
        </w:rPr>
        <w:tab/>
      </w:r>
      <w:r w:rsidRPr="002C029C">
        <w:rPr>
          <w:bCs/>
          <w:szCs w:val="28"/>
          <w:lang w:val="fr-FR"/>
        </w:rPr>
        <w:t xml:space="preserve">Adoption du </w:t>
      </w:r>
      <w:r w:rsidRPr="00BB7751">
        <w:rPr>
          <w:lang w:val="fr-FR"/>
        </w:rPr>
        <w:t>rapport</w:t>
      </w:r>
      <w:r w:rsidRPr="002C029C">
        <w:rPr>
          <w:bCs/>
          <w:szCs w:val="28"/>
          <w:lang w:val="fr-FR"/>
        </w:rPr>
        <w:t xml:space="preserve"> (point 16 de l</w:t>
      </w:r>
      <w:r w:rsidR="000B2B75">
        <w:rPr>
          <w:bCs/>
          <w:szCs w:val="28"/>
          <w:lang w:val="fr-FR"/>
        </w:rPr>
        <w:t>’</w:t>
      </w:r>
      <w:r w:rsidRPr="002C029C">
        <w:rPr>
          <w:bCs/>
          <w:szCs w:val="28"/>
          <w:lang w:val="fr-FR"/>
        </w:rPr>
        <w:t>ordre du jour)</w:t>
      </w:r>
      <w:r>
        <w:rPr>
          <w:bCs/>
          <w:szCs w:val="28"/>
          <w:lang w:val="fr-FR"/>
        </w:rPr>
        <w:tab/>
      </w:r>
      <w:r>
        <w:rPr>
          <w:bCs/>
          <w:szCs w:val="28"/>
          <w:lang w:val="fr-FR"/>
        </w:rPr>
        <w:tab/>
        <w:t>127</w:t>
      </w:r>
      <w:r>
        <w:rPr>
          <w:bCs/>
          <w:szCs w:val="28"/>
          <w:lang w:val="fr-FR"/>
        </w:rPr>
        <w:tab/>
      </w:r>
      <w:r w:rsidR="00193EA2">
        <w:rPr>
          <w:bCs/>
          <w:szCs w:val="28"/>
          <w:lang w:val="fr-FR"/>
        </w:rPr>
        <w:t>26</w:t>
      </w:r>
    </w:p>
    <w:p w14:paraId="55B22C6E" w14:textId="77777777" w:rsidR="008F4D9E" w:rsidRPr="008F4D9E" w:rsidRDefault="008F4D9E" w:rsidP="008F4D9E">
      <w:pPr>
        <w:tabs>
          <w:tab w:val="right" w:pos="850"/>
          <w:tab w:val="right" w:leader="dot" w:pos="7654"/>
          <w:tab w:val="right" w:pos="8929"/>
          <w:tab w:val="right" w:pos="9638"/>
        </w:tabs>
        <w:spacing w:before="480" w:after="120"/>
        <w:ind w:left="1134" w:hanging="1134"/>
        <w:rPr>
          <w:bCs/>
          <w:szCs w:val="28"/>
          <w:lang w:val="fr-FR"/>
        </w:rPr>
      </w:pPr>
      <w:r w:rsidRPr="008F4D9E">
        <w:rPr>
          <w:bCs/>
          <w:szCs w:val="28"/>
          <w:lang w:val="fr-FR"/>
        </w:rPr>
        <w:t>Annexes</w:t>
      </w:r>
    </w:p>
    <w:p w14:paraId="2F5F5E04" w14:textId="1030A708" w:rsidR="008F4D9E" w:rsidRPr="008F4D9E" w:rsidRDefault="008F4D9E" w:rsidP="008F4D9E">
      <w:pPr>
        <w:tabs>
          <w:tab w:val="right" w:pos="850"/>
          <w:tab w:val="right" w:leader="dot" w:pos="7654"/>
          <w:tab w:val="right" w:pos="8929"/>
          <w:tab w:val="right" w:pos="9638"/>
        </w:tabs>
        <w:spacing w:after="120"/>
        <w:ind w:left="1134" w:hanging="1134"/>
        <w:rPr>
          <w:bCs/>
          <w:szCs w:val="28"/>
          <w:lang w:val="fr-FR"/>
        </w:rPr>
      </w:pPr>
      <w:r>
        <w:rPr>
          <w:bCs/>
          <w:szCs w:val="28"/>
          <w:lang w:val="fr-FR"/>
        </w:rPr>
        <w:tab/>
      </w:r>
      <w:r w:rsidRPr="008F4D9E">
        <w:rPr>
          <w:bCs/>
          <w:szCs w:val="28"/>
          <w:lang w:val="fr-FR"/>
        </w:rPr>
        <w:t>I.</w:t>
      </w:r>
      <w:r w:rsidRPr="008F4D9E">
        <w:rPr>
          <w:bCs/>
          <w:szCs w:val="28"/>
          <w:lang w:val="fr-FR"/>
        </w:rPr>
        <w:tab/>
        <w:t>Projet d</w:t>
      </w:r>
      <w:r w:rsidR="000B2B75">
        <w:rPr>
          <w:bCs/>
          <w:szCs w:val="28"/>
          <w:lang w:val="fr-FR"/>
        </w:rPr>
        <w:t>’</w:t>
      </w:r>
      <w:r w:rsidRPr="008F4D9E">
        <w:rPr>
          <w:bCs/>
          <w:szCs w:val="28"/>
          <w:lang w:val="fr-FR"/>
        </w:rPr>
        <w:t xml:space="preserve">amendements à la vingt et unième édition révisée </w:t>
      </w:r>
      <w:r>
        <w:rPr>
          <w:bCs/>
          <w:szCs w:val="28"/>
          <w:lang w:val="fr-FR"/>
        </w:rPr>
        <w:br/>
      </w:r>
      <w:r w:rsidRPr="008F4D9E">
        <w:rPr>
          <w:bCs/>
          <w:szCs w:val="28"/>
          <w:lang w:val="fr-FR"/>
        </w:rPr>
        <w:t xml:space="preserve">des Recommandations relatives au transport des marchandises dangereuses, </w:t>
      </w:r>
      <w:r>
        <w:rPr>
          <w:bCs/>
          <w:szCs w:val="28"/>
          <w:lang w:val="fr-FR"/>
        </w:rPr>
        <w:br/>
      </w:r>
      <w:r w:rsidRPr="008F4D9E">
        <w:rPr>
          <w:bCs/>
          <w:szCs w:val="28"/>
          <w:lang w:val="fr-FR"/>
        </w:rPr>
        <w:t>Règlement type (ST/SG/AC.10/1/Rev.21)</w:t>
      </w:r>
      <w:r>
        <w:rPr>
          <w:rStyle w:val="FootnoteReference"/>
          <w:bCs/>
          <w:szCs w:val="28"/>
        </w:rPr>
        <w:footnoteReference w:id="2"/>
      </w:r>
      <w:r>
        <w:rPr>
          <w:bCs/>
          <w:szCs w:val="28"/>
          <w:lang w:val="fr-FR"/>
        </w:rPr>
        <w:tab/>
      </w:r>
    </w:p>
    <w:p w14:paraId="78A68210" w14:textId="561165F3" w:rsidR="008F4D9E" w:rsidRPr="008F4D9E" w:rsidRDefault="008F4D9E" w:rsidP="008F4D9E">
      <w:pPr>
        <w:tabs>
          <w:tab w:val="right" w:pos="850"/>
          <w:tab w:val="right" w:leader="dot" w:pos="7654"/>
          <w:tab w:val="right" w:pos="8929"/>
          <w:tab w:val="right" w:pos="9638"/>
        </w:tabs>
        <w:spacing w:after="120"/>
        <w:ind w:left="1134" w:hanging="1134"/>
        <w:rPr>
          <w:bCs/>
          <w:szCs w:val="28"/>
          <w:lang w:val="fr-FR"/>
        </w:rPr>
      </w:pPr>
      <w:r>
        <w:rPr>
          <w:bCs/>
          <w:szCs w:val="28"/>
          <w:lang w:val="fr-FR"/>
        </w:rPr>
        <w:tab/>
      </w:r>
      <w:r w:rsidRPr="008F4D9E">
        <w:rPr>
          <w:bCs/>
          <w:szCs w:val="28"/>
          <w:lang w:val="fr-FR"/>
        </w:rPr>
        <w:t>II.</w:t>
      </w:r>
      <w:r w:rsidRPr="008F4D9E">
        <w:rPr>
          <w:bCs/>
          <w:szCs w:val="28"/>
          <w:lang w:val="fr-FR"/>
        </w:rPr>
        <w:tab/>
        <w:t>Projet d</w:t>
      </w:r>
      <w:r w:rsidR="000B2B75">
        <w:rPr>
          <w:bCs/>
          <w:szCs w:val="28"/>
          <w:lang w:val="fr-FR"/>
        </w:rPr>
        <w:t>’</w:t>
      </w:r>
      <w:r w:rsidRPr="008F4D9E">
        <w:rPr>
          <w:bCs/>
          <w:szCs w:val="28"/>
          <w:lang w:val="fr-FR"/>
        </w:rPr>
        <w:t>amendements à la septième édition révisée du Manuel d</w:t>
      </w:r>
      <w:r w:rsidR="000B2B75">
        <w:rPr>
          <w:bCs/>
          <w:szCs w:val="28"/>
          <w:lang w:val="fr-FR"/>
        </w:rPr>
        <w:t>’</w:t>
      </w:r>
      <w:r w:rsidRPr="008F4D9E">
        <w:rPr>
          <w:bCs/>
          <w:szCs w:val="28"/>
          <w:lang w:val="fr-FR"/>
        </w:rPr>
        <w:t xml:space="preserve">épreuves </w:t>
      </w:r>
      <w:r>
        <w:rPr>
          <w:bCs/>
          <w:szCs w:val="28"/>
          <w:lang w:val="fr-FR"/>
        </w:rPr>
        <w:br/>
      </w:r>
      <w:r w:rsidRPr="008F4D9E">
        <w:rPr>
          <w:bCs/>
          <w:szCs w:val="28"/>
          <w:lang w:val="fr-FR"/>
        </w:rPr>
        <w:t>et de critères (ST/SG/AC.10/11/Rev.7)</w:t>
      </w:r>
      <w:r w:rsidRPr="008F4D9E">
        <w:rPr>
          <w:bCs/>
          <w:sz w:val="18"/>
          <w:szCs w:val="18"/>
          <w:vertAlign w:val="superscript"/>
          <w:lang w:val="fr-FR"/>
        </w:rPr>
        <w:t>1</w:t>
      </w:r>
      <w:r>
        <w:rPr>
          <w:bCs/>
          <w:szCs w:val="28"/>
          <w:lang w:val="fr-FR"/>
        </w:rPr>
        <w:tab/>
      </w:r>
    </w:p>
    <w:p w14:paraId="26D88C03" w14:textId="12315E12" w:rsidR="008F4D9E" w:rsidRPr="008F4D9E" w:rsidRDefault="008F4D9E" w:rsidP="008F4D9E">
      <w:pPr>
        <w:tabs>
          <w:tab w:val="right" w:pos="850"/>
          <w:tab w:val="right" w:leader="dot" w:pos="7654"/>
          <w:tab w:val="right" w:pos="8929"/>
          <w:tab w:val="right" w:pos="9638"/>
        </w:tabs>
        <w:spacing w:after="120"/>
        <w:ind w:left="1134" w:hanging="1134"/>
        <w:rPr>
          <w:bCs/>
          <w:szCs w:val="28"/>
          <w:lang w:val="fr-FR"/>
        </w:rPr>
      </w:pPr>
      <w:r>
        <w:rPr>
          <w:bCs/>
          <w:szCs w:val="28"/>
          <w:lang w:val="fr-FR"/>
        </w:rPr>
        <w:tab/>
      </w:r>
      <w:r w:rsidRPr="008F4D9E">
        <w:rPr>
          <w:bCs/>
          <w:szCs w:val="28"/>
          <w:lang w:val="fr-FR"/>
        </w:rPr>
        <w:t>III.</w:t>
      </w:r>
      <w:r w:rsidRPr="008F4D9E">
        <w:rPr>
          <w:bCs/>
          <w:szCs w:val="28"/>
          <w:lang w:val="fr-FR"/>
        </w:rPr>
        <w:tab/>
        <w:t>Correction à la septième édition révisée du Manuel d</w:t>
      </w:r>
      <w:r w:rsidR="000B2B75">
        <w:rPr>
          <w:bCs/>
          <w:szCs w:val="28"/>
          <w:lang w:val="fr-FR"/>
        </w:rPr>
        <w:t>’</w:t>
      </w:r>
      <w:r w:rsidRPr="008F4D9E">
        <w:rPr>
          <w:bCs/>
          <w:szCs w:val="28"/>
          <w:lang w:val="fr-FR"/>
        </w:rPr>
        <w:t xml:space="preserve">épreuves </w:t>
      </w:r>
      <w:r>
        <w:rPr>
          <w:bCs/>
          <w:szCs w:val="28"/>
          <w:lang w:val="fr-FR"/>
        </w:rPr>
        <w:br/>
      </w:r>
      <w:r w:rsidRPr="008F4D9E">
        <w:rPr>
          <w:bCs/>
          <w:szCs w:val="28"/>
          <w:lang w:val="fr-FR"/>
        </w:rPr>
        <w:t>et de critères (ST/SG/AC.10/11/Rev.7)</w:t>
      </w:r>
      <w:r w:rsidRPr="008F4D9E">
        <w:rPr>
          <w:bCs/>
          <w:sz w:val="18"/>
          <w:szCs w:val="18"/>
          <w:vertAlign w:val="superscript"/>
          <w:lang w:val="fr-FR"/>
        </w:rPr>
        <w:t>1</w:t>
      </w:r>
      <w:r>
        <w:rPr>
          <w:bCs/>
          <w:szCs w:val="28"/>
          <w:lang w:val="fr-FR"/>
        </w:rPr>
        <w:tab/>
      </w:r>
    </w:p>
    <w:p w14:paraId="5C800DA7" w14:textId="77777777" w:rsidR="008F4D9E" w:rsidRDefault="008F4D9E" w:rsidP="008F4D9E">
      <w:pPr>
        <w:tabs>
          <w:tab w:val="right" w:pos="850"/>
          <w:tab w:val="right" w:leader="dot" w:pos="7654"/>
          <w:tab w:val="right" w:pos="8929"/>
          <w:tab w:val="right" w:pos="9638"/>
        </w:tabs>
        <w:spacing w:after="120"/>
        <w:ind w:left="1134" w:hanging="1134"/>
        <w:rPr>
          <w:bCs/>
          <w:szCs w:val="28"/>
          <w:lang w:val="fr-FR"/>
        </w:rPr>
      </w:pPr>
      <w:r>
        <w:rPr>
          <w:bCs/>
          <w:szCs w:val="28"/>
          <w:lang w:val="fr-FR"/>
        </w:rPr>
        <w:tab/>
      </w:r>
      <w:r w:rsidRPr="008F4D9E">
        <w:rPr>
          <w:bCs/>
          <w:szCs w:val="28"/>
          <w:lang w:val="fr-FR"/>
        </w:rPr>
        <w:t>IV.</w:t>
      </w:r>
      <w:r w:rsidRPr="008F4D9E">
        <w:rPr>
          <w:bCs/>
          <w:szCs w:val="28"/>
          <w:lang w:val="fr-FR"/>
        </w:rPr>
        <w:tab/>
        <w:t xml:space="preserve">Correction à la vingt et unième édition révisée des Recommandations </w:t>
      </w:r>
      <w:r>
        <w:rPr>
          <w:bCs/>
          <w:szCs w:val="28"/>
          <w:lang w:val="fr-FR"/>
        </w:rPr>
        <w:br/>
      </w:r>
      <w:r w:rsidRPr="008F4D9E">
        <w:rPr>
          <w:bCs/>
          <w:szCs w:val="28"/>
          <w:lang w:val="fr-FR"/>
        </w:rPr>
        <w:t xml:space="preserve">relatives au transport des marchandises dangereuses, </w:t>
      </w:r>
      <w:r>
        <w:rPr>
          <w:bCs/>
          <w:szCs w:val="28"/>
          <w:lang w:val="fr-FR"/>
        </w:rPr>
        <w:br/>
      </w:r>
      <w:r w:rsidRPr="008F4D9E">
        <w:rPr>
          <w:bCs/>
          <w:szCs w:val="28"/>
          <w:lang w:val="fr-FR"/>
        </w:rPr>
        <w:t>Règlement type (ST/SG/AC.10/1/Rev.21)</w:t>
      </w:r>
      <w:r w:rsidRPr="008F4D9E">
        <w:rPr>
          <w:bCs/>
          <w:sz w:val="18"/>
          <w:szCs w:val="18"/>
          <w:vertAlign w:val="superscript"/>
          <w:lang w:val="fr-FR"/>
        </w:rPr>
        <w:t>1</w:t>
      </w:r>
      <w:r>
        <w:rPr>
          <w:bCs/>
          <w:szCs w:val="28"/>
          <w:lang w:val="fr-FR"/>
        </w:rPr>
        <w:tab/>
      </w:r>
    </w:p>
    <w:p w14:paraId="3798B335" w14:textId="77777777" w:rsidR="00026B0E" w:rsidRDefault="00026B0E" w:rsidP="00026B0E">
      <w:r>
        <w:br w:type="page"/>
      </w:r>
    </w:p>
    <w:p w14:paraId="781FD589" w14:textId="77777777" w:rsidR="00026B0E" w:rsidRPr="00DF0FF2" w:rsidRDefault="00026B0E" w:rsidP="00026B0E">
      <w:pPr>
        <w:pStyle w:val="HChG"/>
        <w:rPr>
          <w:lang w:val="fr-FR"/>
        </w:rPr>
      </w:pPr>
      <w:r>
        <w:rPr>
          <w:lang w:val="fr-FR"/>
        </w:rPr>
        <w:lastRenderedPageBreak/>
        <w:tab/>
      </w:r>
      <w:r w:rsidRPr="006A6FB3">
        <w:rPr>
          <w:lang w:val="fr-FR"/>
        </w:rPr>
        <w:t>I.</w:t>
      </w:r>
      <w:r w:rsidRPr="006A6FB3">
        <w:rPr>
          <w:lang w:val="fr-FR"/>
        </w:rPr>
        <w:tab/>
        <w:t>Participation</w:t>
      </w:r>
    </w:p>
    <w:p w14:paraId="784FEE70" w14:textId="5B5FDA2F" w:rsidR="00026B0E" w:rsidRPr="00DF0FF2" w:rsidRDefault="00026B0E" w:rsidP="00026B0E">
      <w:pPr>
        <w:pStyle w:val="SingleTxtG"/>
        <w:rPr>
          <w:lang w:val="fr-FR"/>
        </w:rPr>
      </w:pPr>
      <w:r w:rsidRPr="00F82F28">
        <w:rPr>
          <w:lang w:val="fr-FR"/>
        </w:rPr>
        <w:t>1.</w:t>
      </w:r>
      <w:r w:rsidRPr="00F82F28">
        <w:rPr>
          <w:lang w:val="fr-FR"/>
        </w:rPr>
        <w:tab/>
        <w:t>Le Sous-Comité d</w:t>
      </w:r>
      <w:r w:rsidR="000B2B75">
        <w:rPr>
          <w:lang w:val="fr-FR"/>
        </w:rPr>
        <w:t>’</w:t>
      </w:r>
      <w:r w:rsidRPr="00F82F28">
        <w:rPr>
          <w:lang w:val="fr-FR"/>
        </w:rPr>
        <w:t>experts du transport des marchandises dangereuses a tenu sa cinquante-septième session du 30 novembre au 8 décembre 2020, sous la présidence de M. D. Pfund (États-Unis d</w:t>
      </w:r>
      <w:r w:rsidR="000B2B75">
        <w:rPr>
          <w:lang w:val="fr-FR"/>
        </w:rPr>
        <w:t>’</w:t>
      </w:r>
      <w:r w:rsidRPr="00F82F28">
        <w:rPr>
          <w:lang w:val="fr-FR"/>
        </w:rPr>
        <w:t>Amérique) et la vice-présidence de M.</w:t>
      </w:r>
      <w:r w:rsidR="00A46BFE">
        <w:rPr>
          <w:lang w:val="fr-FR"/>
        </w:rPr>
        <w:t> </w:t>
      </w:r>
      <w:r w:rsidRPr="00F82F28">
        <w:rPr>
          <w:lang w:val="fr-FR"/>
        </w:rPr>
        <w:t>C.</w:t>
      </w:r>
      <w:r w:rsidR="00A46BFE">
        <w:rPr>
          <w:lang w:val="fr-FR"/>
        </w:rPr>
        <w:t> </w:t>
      </w:r>
      <w:proofErr w:type="spellStart"/>
      <w:r w:rsidRPr="00F82F28">
        <w:rPr>
          <w:lang w:val="fr-FR"/>
        </w:rPr>
        <w:t>Pfauvadel</w:t>
      </w:r>
      <w:proofErr w:type="spellEnd"/>
      <w:r w:rsidRPr="00F82F28">
        <w:rPr>
          <w:lang w:val="fr-FR"/>
        </w:rPr>
        <w:t xml:space="preserve"> (France)</w:t>
      </w:r>
      <w:r w:rsidR="006D1184">
        <w:rPr>
          <w:lang w:val="fr-FR"/>
        </w:rPr>
        <w:t>.</w:t>
      </w:r>
    </w:p>
    <w:p w14:paraId="2D7B40B1" w14:textId="10783E06" w:rsidR="00026B0E" w:rsidRPr="00DF0FF2" w:rsidRDefault="00026B0E" w:rsidP="00026B0E">
      <w:pPr>
        <w:pStyle w:val="SingleTxtG"/>
        <w:rPr>
          <w:lang w:val="fr-FR"/>
        </w:rPr>
      </w:pPr>
      <w:r w:rsidRPr="00037892">
        <w:rPr>
          <w:lang w:val="fr-FR"/>
        </w:rPr>
        <w:t>2</w:t>
      </w:r>
      <w:r w:rsidRPr="00F82F28">
        <w:rPr>
          <w:lang w:val="fr-FR"/>
        </w:rPr>
        <w:t>.</w:t>
      </w:r>
      <w:r w:rsidRPr="00F82F28">
        <w:rPr>
          <w:lang w:val="fr-FR"/>
        </w:rPr>
        <w:tab/>
        <w:t>Ont participé à cette session des experts des pays suivants</w:t>
      </w:r>
      <w:r w:rsidR="004D3879">
        <w:rPr>
          <w:lang w:val="fr-FR"/>
        </w:rPr>
        <w:t> </w:t>
      </w:r>
      <w:r w:rsidRPr="00F82F28">
        <w:rPr>
          <w:lang w:val="fr-FR"/>
        </w:rPr>
        <w:t>: Allemagne, Australie, Autriche, Belgique, Brésil, Canada, Chine, Espagne, États-Unis d</w:t>
      </w:r>
      <w:r w:rsidR="000B2B75">
        <w:rPr>
          <w:lang w:val="fr-FR"/>
        </w:rPr>
        <w:t>’</w:t>
      </w:r>
      <w:r w:rsidRPr="00F82F28">
        <w:rPr>
          <w:lang w:val="fr-FR"/>
        </w:rPr>
        <w:t>Amérique, Fédération de Russie, Finlande, France, Italie, Japon, Mexique, Norvège, Pays-Bas, Pologne, République de Corée, Roumanie, Royaume-Uni, Suède et Suisse.</w:t>
      </w:r>
    </w:p>
    <w:p w14:paraId="6C6D7F78" w14:textId="6B207482" w:rsidR="00026B0E" w:rsidRPr="00DF0FF2" w:rsidRDefault="00026B0E" w:rsidP="00026B0E">
      <w:pPr>
        <w:pStyle w:val="SingleTxtG"/>
        <w:rPr>
          <w:lang w:val="fr-FR"/>
        </w:rPr>
      </w:pPr>
      <w:r w:rsidRPr="00F82F28">
        <w:rPr>
          <w:lang w:val="fr-FR"/>
        </w:rPr>
        <w:t>3.</w:t>
      </w:r>
      <w:r w:rsidRPr="00F82F28">
        <w:rPr>
          <w:lang w:val="fr-FR"/>
        </w:rPr>
        <w:tab/>
        <w:t>Des observateurs de la Lettonie, du Luxembourg, de la Roumanie et de la Turquie y</w:t>
      </w:r>
      <w:r w:rsidR="00A46BFE">
        <w:rPr>
          <w:lang w:val="fr-FR"/>
        </w:rPr>
        <w:t> </w:t>
      </w:r>
      <w:r w:rsidRPr="00F82F28">
        <w:rPr>
          <w:lang w:val="fr-FR"/>
        </w:rPr>
        <w:t>ont également participé en vertu de l</w:t>
      </w:r>
      <w:r w:rsidR="000B2B75">
        <w:rPr>
          <w:lang w:val="fr-FR"/>
        </w:rPr>
        <w:t>’</w:t>
      </w:r>
      <w:r w:rsidRPr="00F82F28">
        <w:rPr>
          <w:lang w:val="fr-FR"/>
        </w:rPr>
        <w:t>article</w:t>
      </w:r>
      <w:r w:rsidR="006D1184">
        <w:rPr>
          <w:lang w:val="fr-FR"/>
        </w:rPr>
        <w:t> </w:t>
      </w:r>
      <w:r w:rsidRPr="00F82F28">
        <w:rPr>
          <w:lang w:val="fr-FR"/>
        </w:rPr>
        <w:t>72 du Règlement intérieur du Conseil économique et social.</w:t>
      </w:r>
    </w:p>
    <w:p w14:paraId="3FC00F23" w14:textId="491DB5E2" w:rsidR="00026B0E" w:rsidRPr="00DF0FF2" w:rsidRDefault="00026B0E" w:rsidP="00026B0E">
      <w:pPr>
        <w:pStyle w:val="SingleTxtG"/>
        <w:rPr>
          <w:lang w:val="fr-FR"/>
        </w:rPr>
      </w:pPr>
      <w:r w:rsidRPr="00F82F28">
        <w:rPr>
          <w:lang w:val="fr-FR"/>
        </w:rPr>
        <w:t>4.</w:t>
      </w:r>
      <w:r w:rsidRPr="00F82F28">
        <w:rPr>
          <w:lang w:val="fr-FR"/>
        </w:rPr>
        <w:tab/>
        <w:t>L</w:t>
      </w:r>
      <w:r w:rsidR="000B2B75">
        <w:rPr>
          <w:lang w:val="fr-FR"/>
        </w:rPr>
        <w:t>’</w:t>
      </w:r>
      <w:r w:rsidRPr="00F82F28">
        <w:rPr>
          <w:lang w:val="fr-FR"/>
        </w:rPr>
        <w:t>Organisation intergouvernementale pour les transports internationaux ferroviaires (OTIF) et l</w:t>
      </w:r>
      <w:r w:rsidR="000B2B75">
        <w:rPr>
          <w:lang w:val="fr-FR"/>
        </w:rPr>
        <w:t>’</w:t>
      </w:r>
      <w:r w:rsidRPr="00F82F28">
        <w:rPr>
          <w:lang w:val="fr-FR"/>
        </w:rPr>
        <w:t>Union européenne (UE) étaient aussi représentées.</w:t>
      </w:r>
    </w:p>
    <w:p w14:paraId="461184F6" w14:textId="6958DF7F" w:rsidR="00026B0E" w:rsidRPr="00DF0FF2" w:rsidRDefault="00026B0E" w:rsidP="00026B0E">
      <w:pPr>
        <w:pStyle w:val="SingleTxtG"/>
        <w:rPr>
          <w:lang w:val="fr-FR"/>
        </w:rPr>
      </w:pPr>
      <w:r w:rsidRPr="00F82F28">
        <w:rPr>
          <w:lang w:val="fr-FR"/>
        </w:rPr>
        <w:t>5.</w:t>
      </w:r>
      <w:r w:rsidRPr="00F82F28">
        <w:rPr>
          <w:lang w:val="fr-FR"/>
        </w:rPr>
        <w:tab/>
        <w:t>Des représentants de l</w:t>
      </w:r>
      <w:r w:rsidR="000B2B75">
        <w:rPr>
          <w:lang w:val="fr-FR"/>
        </w:rPr>
        <w:t>’</w:t>
      </w:r>
      <w:r w:rsidRPr="00F82F28">
        <w:rPr>
          <w:lang w:val="fr-FR"/>
        </w:rPr>
        <w:t>Organisation de l</w:t>
      </w:r>
      <w:r w:rsidR="000B2B75">
        <w:rPr>
          <w:lang w:val="fr-FR"/>
        </w:rPr>
        <w:t>’</w:t>
      </w:r>
      <w:r w:rsidRPr="00F82F28">
        <w:rPr>
          <w:lang w:val="fr-FR"/>
        </w:rPr>
        <w:t>aviation civile internationale (OACI), de l</w:t>
      </w:r>
      <w:r w:rsidR="000B2B75">
        <w:rPr>
          <w:lang w:val="fr-FR"/>
        </w:rPr>
        <w:t>’</w:t>
      </w:r>
      <w:r w:rsidRPr="00F82F28">
        <w:rPr>
          <w:lang w:val="fr-FR"/>
        </w:rPr>
        <w:t>Organisation des Nations Unies pour l</w:t>
      </w:r>
      <w:r w:rsidR="000B2B75">
        <w:rPr>
          <w:lang w:val="fr-FR"/>
        </w:rPr>
        <w:t>’</w:t>
      </w:r>
      <w:r w:rsidRPr="00F82F28">
        <w:rPr>
          <w:lang w:val="fr-FR"/>
        </w:rPr>
        <w:t>alimentation et l</w:t>
      </w:r>
      <w:r w:rsidR="000B2B75">
        <w:rPr>
          <w:lang w:val="fr-FR"/>
        </w:rPr>
        <w:t>’</w:t>
      </w:r>
      <w:r w:rsidRPr="00F82F28">
        <w:rPr>
          <w:lang w:val="fr-FR"/>
        </w:rPr>
        <w:t>agriculture (FAO), de l</w:t>
      </w:r>
      <w:r w:rsidR="000B2B75">
        <w:rPr>
          <w:lang w:val="fr-FR"/>
        </w:rPr>
        <w:t>’</w:t>
      </w:r>
      <w:r w:rsidRPr="00F82F28">
        <w:rPr>
          <w:lang w:val="fr-FR"/>
        </w:rPr>
        <w:t>Organisation maritime internationale (OMI) et de l</w:t>
      </w:r>
      <w:r w:rsidR="000B2B75">
        <w:rPr>
          <w:lang w:val="fr-FR"/>
        </w:rPr>
        <w:t>’</w:t>
      </w:r>
      <w:r w:rsidRPr="00F82F28">
        <w:rPr>
          <w:lang w:val="fr-FR"/>
        </w:rPr>
        <w:t>Organisation mondiale de la Santé (OMS) étaient également présents.</w:t>
      </w:r>
    </w:p>
    <w:p w14:paraId="2926A3A4" w14:textId="23032176" w:rsidR="00026B0E" w:rsidRPr="00DF0FF2" w:rsidRDefault="00026B0E" w:rsidP="00026B0E">
      <w:pPr>
        <w:pStyle w:val="SingleTxtG"/>
        <w:rPr>
          <w:lang w:val="fr-FR"/>
        </w:rPr>
      </w:pPr>
      <w:r w:rsidRPr="00F82F28">
        <w:rPr>
          <w:lang w:val="fr-FR"/>
        </w:rPr>
        <w:t>6.</w:t>
      </w:r>
      <w:r w:rsidRPr="00F82F28">
        <w:rPr>
          <w:lang w:val="fr-FR"/>
        </w:rPr>
        <w:tab/>
        <w:t>Ont participé aux débats sur les points intéressant leur organisation des représentants des organisations non gouvernementales suivantes</w:t>
      </w:r>
      <w:r w:rsidR="006D1184">
        <w:rPr>
          <w:lang w:val="fr-FR"/>
        </w:rPr>
        <w:t> </w:t>
      </w:r>
      <w:r w:rsidRPr="00F82F28">
        <w:rPr>
          <w:lang w:val="fr-FR"/>
        </w:rPr>
        <w:t>: Association des fabricants européens de munitions de sport (AFEMS)</w:t>
      </w:r>
      <w:r w:rsidR="006D1184">
        <w:rPr>
          <w:lang w:val="fr-FR"/>
        </w:rPr>
        <w:t> </w:t>
      </w:r>
      <w:r w:rsidRPr="00F82F28">
        <w:rPr>
          <w:lang w:val="fr-FR"/>
        </w:rPr>
        <w:t xml:space="preserve">; </w:t>
      </w:r>
      <w:proofErr w:type="spellStart"/>
      <w:r w:rsidRPr="00F82F28">
        <w:rPr>
          <w:lang w:val="fr-FR"/>
        </w:rPr>
        <w:t>Australian</w:t>
      </w:r>
      <w:proofErr w:type="spellEnd"/>
      <w:r w:rsidRPr="00F82F28">
        <w:rPr>
          <w:lang w:val="fr-FR"/>
        </w:rPr>
        <w:t xml:space="preserve"> Explosives </w:t>
      </w:r>
      <w:proofErr w:type="spellStart"/>
      <w:r w:rsidRPr="00F82F28">
        <w:rPr>
          <w:lang w:val="fr-FR"/>
        </w:rPr>
        <w:t>Industry</w:t>
      </w:r>
      <w:proofErr w:type="spellEnd"/>
      <w:r w:rsidRPr="00F82F28">
        <w:rPr>
          <w:lang w:val="fr-FR"/>
        </w:rPr>
        <w:t xml:space="preserve"> </w:t>
      </w:r>
      <w:proofErr w:type="spellStart"/>
      <w:r w:rsidRPr="00F82F28">
        <w:rPr>
          <w:lang w:val="fr-FR"/>
        </w:rPr>
        <w:t>Safety</w:t>
      </w:r>
      <w:proofErr w:type="spellEnd"/>
      <w:r w:rsidRPr="00F82F28">
        <w:rPr>
          <w:lang w:val="fr-FR"/>
        </w:rPr>
        <w:t xml:space="preserve"> Group (AEISG)</w:t>
      </w:r>
      <w:r w:rsidR="006D1184">
        <w:rPr>
          <w:lang w:val="fr-FR"/>
        </w:rPr>
        <w:t> </w:t>
      </w:r>
      <w:r w:rsidRPr="00F82F28">
        <w:rPr>
          <w:lang w:val="fr-FR"/>
        </w:rPr>
        <w:t>; Compressed Gas Association (CGA)</w:t>
      </w:r>
      <w:r w:rsidR="006D1184">
        <w:rPr>
          <w:lang w:val="fr-FR"/>
        </w:rPr>
        <w:t> </w:t>
      </w:r>
      <w:r w:rsidRPr="00F82F28">
        <w:rPr>
          <w:lang w:val="fr-FR"/>
        </w:rPr>
        <w:t xml:space="preserve">; Council on Safe Transportation of </w:t>
      </w:r>
      <w:proofErr w:type="spellStart"/>
      <w:r w:rsidRPr="00F82F28">
        <w:rPr>
          <w:lang w:val="fr-FR"/>
        </w:rPr>
        <w:t>Hazardous</w:t>
      </w:r>
      <w:proofErr w:type="spellEnd"/>
      <w:r w:rsidRPr="00F82F28">
        <w:rPr>
          <w:lang w:val="fr-FR"/>
        </w:rPr>
        <w:t xml:space="preserve"> Articles (COSTHA)</w:t>
      </w:r>
      <w:r w:rsidR="006D1184">
        <w:rPr>
          <w:lang w:val="fr-FR"/>
        </w:rPr>
        <w:t> </w:t>
      </w:r>
      <w:r w:rsidRPr="00F82F28">
        <w:rPr>
          <w:lang w:val="fr-FR"/>
        </w:rPr>
        <w:t>; Conseil consultatif des marchandises dangereuses (DGAC)</w:t>
      </w:r>
      <w:r w:rsidR="006D1184">
        <w:rPr>
          <w:lang w:val="fr-FR"/>
        </w:rPr>
        <w:t> </w:t>
      </w:r>
      <w:r w:rsidRPr="00F82F28">
        <w:rPr>
          <w:lang w:val="fr-FR"/>
        </w:rPr>
        <w:t xml:space="preserve">; Dangerous </w:t>
      </w:r>
      <w:proofErr w:type="spellStart"/>
      <w:r w:rsidRPr="00F82F28">
        <w:rPr>
          <w:lang w:val="fr-FR"/>
        </w:rPr>
        <w:t>Goods</w:t>
      </w:r>
      <w:proofErr w:type="spellEnd"/>
      <w:r w:rsidRPr="00F82F28">
        <w:rPr>
          <w:lang w:val="fr-FR"/>
        </w:rPr>
        <w:t xml:space="preserve"> </w:t>
      </w:r>
      <w:proofErr w:type="spellStart"/>
      <w:r w:rsidRPr="00F82F28">
        <w:rPr>
          <w:lang w:val="fr-FR"/>
        </w:rPr>
        <w:t>Trainers</w:t>
      </w:r>
      <w:proofErr w:type="spellEnd"/>
      <w:r w:rsidRPr="00F82F28">
        <w:rPr>
          <w:lang w:val="fr-FR"/>
        </w:rPr>
        <w:t xml:space="preserve"> Association (DGTA)</w:t>
      </w:r>
      <w:r w:rsidR="006D1184">
        <w:rPr>
          <w:lang w:val="fr-FR"/>
        </w:rPr>
        <w:t> </w:t>
      </w:r>
      <w:r w:rsidRPr="00F82F28">
        <w:rPr>
          <w:lang w:val="fr-FR"/>
        </w:rPr>
        <w:t xml:space="preserve">; </w:t>
      </w:r>
      <w:proofErr w:type="spellStart"/>
      <w:r w:rsidRPr="00F82F28">
        <w:rPr>
          <w:lang w:val="fr-FR"/>
        </w:rPr>
        <w:t>European</w:t>
      </w:r>
      <w:proofErr w:type="spellEnd"/>
      <w:r w:rsidRPr="00F82F28">
        <w:rPr>
          <w:lang w:val="fr-FR"/>
        </w:rPr>
        <w:t xml:space="preserve"> Association for Advanced Rechargeable Batteries (RECHARGE)</w:t>
      </w:r>
      <w:r w:rsidR="006D1184">
        <w:rPr>
          <w:lang w:val="fr-FR"/>
        </w:rPr>
        <w:t> </w:t>
      </w:r>
      <w:r w:rsidRPr="00F82F28">
        <w:rPr>
          <w:lang w:val="fr-FR"/>
        </w:rPr>
        <w:t>; Association européenne des fournisseurs de l</w:t>
      </w:r>
      <w:r w:rsidR="000B2B75">
        <w:rPr>
          <w:lang w:val="fr-FR"/>
        </w:rPr>
        <w:t>’</w:t>
      </w:r>
      <w:r w:rsidRPr="00F82F28">
        <w:rPr>
          <w:lang w:val="fr-FR"/>
        </w:rPr>
        <w:t>automobile (CLEPA)</w:t>
      </w:r>
      <w:r w:rsidR="006D1184">
        <w:rPr>
          <w:lang w:val="fr-FR"/>
        </w:rPr>
        <w:t> </w:t>
      </w:r>
      <w:r w:rsidRPr="00F82F28">
        <w:rPr>
          <w:lang w:val="fr-FR"/>
        </w:rPr>
        <w:t>; Conseil européen de l</w:t>
      </w:r>
      <w:r w:rsidR="000B2B75">
        <w:rPr>
          <w:lang w:val="fr-FR"/>
        </w:rPr>
        <w:t>’</w:t>
      </w:r>
      <w:r w:rsidRPr="00F82F28">
        <w:rPr>
          <w:lang w:val="fr-FR"/>
        </w:rPr>
        <w:t>industrie chimique (CEFIC)</w:t>
      </w:r>
      <w:r w:rsidR="006D1184">
        <w:rPr>
          <w:lang w:val="fr-FR"/>
        </w:rPr>
        <w:t> </w:t>
      </w:r>
      <w:r w:rsidRPr="00F82F28">
        <w:rPr>
          <w:lang w:val="fr-FR"/>
        </w:rPr>
        <w:t>; Association européenne des gaz industriels (EIGA)</w:t>
      </w:r>
      <w:r w:rsidR="006D1184">
        <w:rPr>
          <w:lang w:val="fr-FR"/>
        </w:rPr>
        <w:t> </w:t>
      </w:r>
      <w:r w:rsidRPr="00F82F28">
        <w:rPr>
          <w:lang w:val="fr-FR"/>
        </w:rPr>
        <w:t>; Fédération européenne des aérosols (FEA)</w:t>
      </w:r>
      <w:r w:rsidR="006D1184">
        <w:rPr>
          <w:lang w:val="fr-FR"/>
        </w:rPr>
        <w:t> </w:t>
      </w:r>
      <w:r w:rsidRPr="00F82F28">
        <w:rPr>
          <w:lang w:val="fr-FR"/>
        </w:rPr>
        <w:t xml:space="preserve">; Institute of </w:t>
      </w:r>
      <w:proofErr w:type="spellStart"/>
      <w:r w:rsidRPr="00F82F28">
        <w:rPr>
          <w:lang w:val="fr-FR"/>
        </w:rPr>
        <w:t>Makers</w:t>
      </w:r>
      <w:proofErr w:type="spellEnd"/>
      <w:r w:rsidRPr="00F82F28">
        <w:rPr>
          <w:lang w:val="fr-FR"/>
        </w:rPr>
        <w:t xml:space="preserve"> of Explosives (IME)</w:t>
      </w:r>
      <w:r w:rsidR="006D1184">
        <w:rPr>
          <w:lang w:val="fr-FR"/>
        </w:rPr>
        <w:t> </w:t>
      </w:r>
      <w:r w:rsidRPr="00F82F28">
        <w:rPr>
          <w:lang w:val="fr-FR"/>
        </w:rPr>
        <w:t>; Association du transport aérien international (IATA)</w:t>
      </w:r>
      <w:r w:rsidR="006D1184">
        <w:rPr>
          <w:lang w:val="fr-FR"/>
        </w:rPr>
        <w:t> </w:t>
      </w:r>
      <w:r w:rsidRPr="00F82F28">
        <w:rPr>
          <w:lang w:val="fr-FR"/>
        </w:rPr>
        <w:t>;</w:t>
      </w:r>
      <w:r>
        <w:rPr>
          <w:lang w:val="fr-FR"/>
        </w:rPr>
        <w:t xml:space="preserve"> </w:t>
      </w:r>
      <w:r w:rsidRPr="00C35B16">
        <w:rPr>
          <w:lang w:val="fr-FR"/>
        </w:rPr>
        <w:t>Comité technique international de prévention et d</w:t>
      </w:r>
      <w:r w:rsidR="000B2B75">
        <w:rPr>
          <w:lang w:val="fr-FR"/>
        </w:rPr>
        <w:t>’</w:t>
      </w:r>
      <w:r w:rsidRPr="00C35B16">
        <w:rPr>
          <w:lang w:val="fr-FR"/>
        </w:rPr>
        <w:t>extinction du feu</w:t>
      </w:r>
      <w:r w:rsidRPr="00F82F28">
        <w:rPr>
          <w:lang w:val="fr-FR"/>
        </w:rPr>
        <w:t xml:space="preserve"> (CTIF)</w:t>
      </w:r>
      <w:r w:rsidR="004D3879">
        <w:rPr>
          <w:lang w:val="fr-FR"/>
        </w:rPr>
        <w:t> </w:t>
      </w:r>
      <w:r w:rsidRPr="00F82F28">
        <w:rPr>
          <w:lang w:val="fr-FR"/>
        </w:rPr>
        <w:t xml:space="preserve">; International </w:t>
      </w:r>
      <w:proofErr w:type="spellStart"/>
      <w:r w:rsidRPr="00F82F28">
        <w:rPr>
          <w:lang w:val="fr-FR"/>
        </w:rPr>
        <w:t>Confederation</w:t>
      </w:r>
      <w:proofErr w:type="spellEnd"/>
      <w:r w:rsidRPr="00F82F28">
        <w:rPr>
          <w:lang w:val="fr-FR"/>
        </w:rPr>
        <w:t xml:space="preserve"> of Container </w:t>
      </w:r>
      <w:proofErr w:type="spellStart"/>
      <w:r w:rsidRPr="00F82F28">
        <w:rPr>
          <w:lang w:val="fr-FR"/>
        </w:rPr>
        <w:t>Reconditioners</w:t>
      </w:r>
      <w:proofErr w:type="spellEnd"/>
      <w:r w:rsidRPr="00F82F28">
        <w:rPr>
          <w:lang w:val="fr-FR"/>
        </w:rPr>
        <w:t xml:space="preserve"> (ICCR)</w:t>
      </w:r>
      <w:r w:rsidR="006D1184">
        <w:rPr>
          <w:lang w:val="fr-FR"/>
        </w:rPr>
        <w:t> </w:t>
      </w:r>
      <w:r w:rsidRPr="00F82F28">
        <w:rPr>
          <w:lang w:val="fr-FR"/>
        </w:rPr>
        <w:t xml:space="preserve">; International </w:t>
      </w:r>
      <w:proofErr w:type="spellStart"/>
      <w:r w:rsidRPr="00F82F28">
        <w:rPr>
          <w:lang w:val="fr-FR"/>
        </w:rPr>
        <w:t>Confederation</w:t>
      </w:r>
      <w:proofErr w:type="spellEnd"/>
      <w:r w:rsidRPr="00F82F28">
        <w:rPr>
          <w:lang w:val="fr-FR"/>
        </w:rPr>
        <w:t xml:space="preserve"> of </w:t>
      </w:r>
      <w:proofErr w:type="spellStart"/>
      <w:r w:rsidRPr="00F82F28">
        <w:rPr>
          <w:lang w:val="fr-FR"/>
        </w:rPr>
        <w:t>Intermediate</w:t>
      </w:r>
      <w:proofErr w:type="spellEnd"/>
      <w:r w:rsidRPr="00F82F28">
        <w:rPr>
          <w:lang w:val="fr-FR"/>
        </w:rPr>
        <w:t xml:space="preserve"> Bulk Container Associations (ICIBCA)</w:t>
      </w:r>
      <w:r w:rsidR="006D1184">
        <w:rPr>
          <w:lang w:val="fr-FR"/>
        </w:rPr>
        <w:t> </w:t>
      </w:r>
      <w:r w:rsidRPr="00F82F28">
        <w:rPr>
          <w:lang w:val="fr-FR"/>
        </w:rPr>
        <w:t xml:space="preserve">; International </w:t>
      </w:r>
      <w:proofErr w:type="spellStart"/>
      <w:r w:rsidRPr="00F82F28">
        <w:rPr>
          <w:lang w:val="fr-FR"/>
        </w:rPr>
        <w:t>Confederation</w:t>
      </w:r>
      <w:proofErr w:type="spellEnd"/>
      <w:r w:rsidRPr="00F82F28">
        <w:rPr>
          <w:lang w:val="fr-FR"/>
        </w:rPr>
        <w:t xml:space="preserve"> of Plastics Packaging </w:t>
      </w:r>
      <w:proofErr w:type="spellStart"/>
      <w:r w:rsidRPr="00F82F28">
        <w:rPr>
          <w:lang w:val="fr-FR"/>
        </w:rPr>
        <w:t>Manufacturers</w:t>
      </w:r>
      <w:proofErr w:type="spellEnd"/>
      <w:r w:rsidRPr="00F82F28">
        <w:rPr>
          <w:lang w:val="fr-FR"/>
        </w:rPr>
        <w:t xml:space="preserve"> (ICPP)</w:t>
      </w:r>
      <w:r w:rsidR="006D1184">
        <w:rPr>
          <w:lang w:val="fr-FR"/>
        </w:rPr>
        <w:t> </w:t>
      </w:r>
      <w:r w:rsidRPr="00F82F28">
        <w:rPr>
          <w:lang w:val="fr-FR"/>
        </w:rPr>
        <w:t xml:space="preserve">; International Fibre </w:t>
      </w:r>
      <w:proofErr w:type="spellStart"/>
      <w:r w:rsidRPr="00F82F28">
        <w:rPr>
          <w:lang w:val="fr-FR"/>
        </w:rPr>
        <w:t>Drum</w:t>
      </w:r>
      <w:proofErr w:type="spellEnd"/>
      <w:r w:rsidRPr="00F82F28">
        <w:rPr>
          <w:lang w:val="fr-FR"/>
        </w:rPr>
        <w:t xml:space="preserve"> Institute (IFDI)</w:t>
      </w:r>
      <w:r w:rsidR="006D1184">
        <w:rPr>
          <w:lang w:val="fr-FR"/>
        </w:rPr>
        <w:t> </w:t>
      </w:r>
      <w:r w:rsidRPr="00F82F28">
        <w:rPr>
          <w:lang w:val="fr-FR"/>
        </w:rPr>
        <w:t>; Organisation internationale de normalisation (ISO)</w:t>
      </w:r>
      <w:r w:rsidR="006D1184">
        <w:rPr>
          <w:lang w:val="fr-FR"/>
        </w:rPr>
        <w:t> </w:t>
      </w:r>
      <w:r w:rsidRPr="00F82F28">
        <w:rPr>
          <w:lang w:val="fr-FR"/>
        </w:rPr>
        <w:t xml:space="preserve">; International Vessel </w:t>
      </w:r>
      <w:proofErr w:type="spellStart"/>
      <w:r w:rsidRPr="00F82F28">
        <w:rPr>
          <w:lang w:val="fr-FR"/>
        </w:rPr>
        <w:t>Operators</w:t>
      </w:r>
      <w:proofErr w:type="spellEnd"/>
      <w:r w:rsidRPr="00F82F28">
        <w:rPr>
          <w:lang w:val="fr-FR"/>
        </w:rPr>
        <w:t xml:space="preserve"> Dangerous </w:t>
      </w:r>
      <w:proofErr w:type="spellStart"/>
      <w:r w:rsidRPr="00F82F28">
        <w:rPr>
          <w:lang w:val="fr-FR"/>
        </w:rPr>
        <w:t>Goods</w:t>
      </w:r>
      <w:proofErr w:type="spellEnd"/>
      <w:r w:rsidRPr="00F82F28">
        <w:rPr>
          <w:lang w:val="fr-FR"/>
        </w:rPr>
        <w:t xml:space="preserve"> Association (IVODGA)</w:t>
      </w:r>
      <w:r w:rsidR="006D1184">
        <w:rPr>
          <w:lang w:val="fr-FR"/>
        </w:rPr>
        <w:t> </w:t>
      </w:r>
      <w:r w:rsidRPr="00F82F28">
        <w:rPr>
          <w:lang w:val="fr-FR"/>
        </w:rPr>
        <w:t xml:space="preserve">; </w:t>
      </w:r>
      <w:proofErr w:type="spellStart"/>
      <w:r w:rsidRPr="00F82F28">
        <w:rPr>
          <w:lang w:val="fr-FR"/>
        </w:rPr>
        <w:t>KiloFarad</w:t>
      </w:r>
      <w:proofErr w:type="spellEnd"/>
      <w:r w:rsidRPr="00F82F28">
        <w:rPr>
          <w:lang w:val="fr-FR"/>
        </w:rPr>
        <w:t xml:space="preserve"> International (KFI)</w:t>
      </w:r>
      <w:r w:rsidR="006D1184">
        <w:rPr>
          <w:lang w:val="fr-FR"/>
        </w:rPr>
        <w:t> </w:t>
      </w:r>
      <w:r w:rsidRPr="00F82F28">
        <w:rPr>
          <w:lang w:val="fr-FR"/>
        </w:rPr>
        <w:t xml:space="preserve">; </w:t>
      </w:r>
      <w:proofErr w:type="spellStart"/>
      <w:r w:rsidRPr="00F82F28">
        <w:rPr>
          <w:lang w:val="fr-FR"/>
        </w:rPr>
        <w:t>Medical</w:t>
      </w:r>
      <w:proofErr w:type="spellEnd"/>
      <w:r w:rsidRPr="00F82F28">
        <w:rPr>
          <w:lang w:val="fr-FR"/>
        </w:rPr>
        <w:t xml:space="preserve"> </w:t>
      </w:r>
      <w:proofErr w:type="spellStart"/>
      <w:r w:rsidRPr="00F82F28">
        <w:rPr>
          <w:lang w:val="fr-FR"/>
        </w:rPr>
        <w:t>Device</w:t>
      </w:r>
      <w:proofErr w:type="spellEnd"/>
      <w:r w:rsidRPr="00F82F28">
        <w:rPr>
          <w:lang w:val="fr-FR"/>
        </w:rPr>
        <w:t xml:space="preserve"> Battery Transport Council (MDBTC)</w:t>
      </w:r>
      <w:r w:rsidR="006D1184">
        <w:rPr>
          <w:lang w:val="fr-FR"/>
        </w:rPr>
        <w:t> </w:t>
      </w:r>
      <w:r w:rsidRPr="00F82F28">
        <w:rPr>
          <w:lang w:val="fr-FR"/>
        </w:rPr>
        <w:t>; Association des batteries rechargeables (PRBA)</w:t>
      </w:r>
      <w:r w:rsidR="006D1184">
        <w:rPr>
          <w:lang w:val="fr-FR"/>
        </w:rPr>
        <w:t> </w:t>
      </w:r>
      <w:r w:rsidRPr="00F82F28">
        <w:rPr>
          <w:lang w:val="fr-FR"/>
        </w:rPr>
        <w:t xml:space="preserve">; </w:t>
      </w:r>
      <w:proofErr w:type="spellStart"/>
      <w:r w:rsidRPr="00F82F28">
        <w:rPr>
          <w:lang w:val="fr-FR"/>
        </w:rPr>
        <w:t>Responsible</w:t>
      </w:r>
      <w:proofErr w:type="spellEnd"/>
      <w:r w:rsidRPr="00F82F28">
        <w:rPr>
          <w:lang w:val="fr-FR"/>
        </w:rPr>
        <w:t xml:space="preserve"> Packaging Management Association of </w:t>
      </w:r>
      <w:proofErr w:type="spellStart"/>
      <w:r w:rsidRPr="00F82F28">
        <w:rPr>
          <w:lang w:val="fr-FR"/>
        </w:rPr>
        <w:t>Southern</w:t>
      </w:r>
      <w:proofErr w:type="spellEnd"/>
      <w:r w:rsidRPr="00F82F28">
        <w:rPr>
          <w:lang w:val="fr-FR"/>
        </w:rPr>
        <w:t xml:space="preserve"> </w:t>
      </w:r>
      <w:proofErr w:type="spellStart"/>
      <w:r w:rsidRPr="00F82F28">
        <w:rPr>
          <w:lang w:val="fr-FR"/>
        </w:rPr>
        <w:t>Africa</w:t>
      </w:r>
      <w:proofErr w:type="spellEnd"/>
      <w:r w:rsidRPr="00F82F28">
        <w:rPr>
          <w:lang w:val="fr-FR"/>
        </w:rPr>
        <w:t xml:space="preserve"> (RPMASA)</w:t>
      </w:r>
      <w:r w:rsidR="006D1184">
        <w:rPr>
          <w:lang w:val="fr-FR"/>
        </w:rPr>
        <w:t> </w:t>
      </w:r>
      <w:r w:rsidRPr="00F82F28">
        <w:rPr>
          <w:lang w:val="fr-FR"/>
        </w:rPr>
        <w:t xml:space="preserve">; </w:t>
      </w:r>
      <w:proofErr w:type="spellStart"/>
      <w:r w:rsidRPr="00F82F28">
        <w:rPr>
          <w:lang w:val="fr-FR"/>
        </w:rPr>
        <w:t>Sporting</w:t>
      </w:r>
      <w:proofErr w:type="spellEnd"/>
      <w:r w:rsidRPr="00F82F28">
        <w:rPr>
          <w:lang w:val="fr-FR"/>
        </w:rPr>
        <w:t xml:space="preserve"> Arms and Ammunition </w:t>
      </w:r>
      <w:proofErr w:type="spellStart"/>
      <w:r w:rsidRPr="00F82F28">
        <w:rPr>
          <w:lang w:val="fr-FR"/>
        </w:rPr>
        <w:t>Manufacturers</w:t>
      </w:r>
      <w:proofErr w:type="spellEnd"/>
      <w:r w:rsidR="000B2B75">
        <w:rPr>
          <w:lang w:val="fr-FR"/>
        </w:rPr>
        <w:t>’</w:t>
      </w:r>
      <w:r w:rsidR="00A46BFE">
        <w:rPr>
          <w:lang w:val="fr-FR"/>
        </w:rPr>
        <w:t xml:space="preserve"> </w:t>
      </w:r>
      <w:r w:rsidRPr="00F82F28">
        <w:rPr>
          <w:lang w:val="fr-FR"/>
        </w:rPr>
        <w:t>Institute (SAAMI)</w:t>
      </w:r>
      <w:r w:rsidR="006D1184">
        <w:rPr>
          <w:lang w:val="fr-FR"/>
        </w:rPr>
        <w:t> </w:t>
      </w:r>
      <w:r w:rsidRPr="00F82F28">
        <w:rPr>
          <w:lang w:val="fr-FR"/>
        </w:rPr>
        <w:t xml:space="preserve">; </w:t>
      </w:r>
      <w:r w:rsidRPr="001C5EA7">
        <w:rPr>
          <w:lang w:val="fr-FR"/>
        </w:rPr>
        <w:t>International Paint and Printing Ink Council</w:t>
      </w:r>
      <w:r w:rsidR="006D1184">
        <w:rPr>
          <w:lang w:val="fr-FR"/>
        </w:rPr>
        <w:t> </w:t>
      </w:r>
      <w:r w:rsidRPr="00F82F28">
        <w:rPr>
          <w:lang w:val="fr-FR"/>
        </w:rPr>
        <w:t>; et Association mondiale du GPL (WLPGA).</w:t>
      </w:r>
    </w:p>
    <w:p w14:paraId="4A608EFD" w14:textId="68192FBF" w:rsidR="00026B0E" w:rsidRPr="00DF0FF2" w:rsidRDefault="00026B0E" w:rsidP="00026B0E">
      <w:pPr>
        <w:pStyle w:val="H1G"/>
        <w:rPr>
          <w:lang w:val="fr-FR"/>
        </w:rPr>
      </w:pPr>
      <w:r w:rsidRPr="00F82F28">
        <w:rPr>
          <w:lang w:val="fr-FR"/>
        </w:rPr>
        <w:tab/>
      </w:r>
      <w:r w:rsidRPr="00F82F28">
        <w:rPr>
          <w:lang w:val="fr-FR"/>
        </w:rPr>
        <w:tab/>
        <w:t>Questions d</w:t>
      </w:r>
      <w:r w:rsidR="000B2B75">
        <w:rPr>
          <w:lang w:val="fr-FR"/>
        </w:rPr>
        <w:t>’</w:t>
      </w:r>
      <w:r w:rsidRPr="00F82F28">
        <w:rPr>
          <w:lang w:val="fr-FR"/>
        </w:rPr>
        <w:t>organisation</w:t>
      </w:r>
    </w:p>
    <w:p w14:paraId="755A5387" w14:textId="2EDD10BD" w:rsidR="00026B0E" w:rsidRPr="00DF0FF2" w:rsidRDefault="00026B0E" w:rsidP="00026B0E">
      <w:pPr>
        <w:pStyle w:val="SingleTxtG"/>
        <w:rPr>
          <w:lang w:val="fr-FR"/>
        </w:rPr>
      </w:pPr>
      <w:r w:rsidRPr="00F82F28">
        <w:rPr>
          <w:lang w:val="fr-FR"/>
        </w:rPr>
        <w:t>7.</w:t>
      </w:r>
      <w:r w:rsidRPr="00F82F28">
        <w:rPr>
          <w:lang w:val="fr-FR"/>
        </w:rPr>
        <w:tab/>
        <w:t>La cinquante-septième session du Sous-Comité d</w:t>
      </w:r>
      <w:r w:rsidR="000B2B75">
        <w:rPr>
          <w:lang w:val="fr-FR"/>
        </w:rPr>
        <w:t>’</w:t>
      </w:r>
      <w:r w:rsidRPr="00F82F28">
        <w:rPr>
          <w:lang w:val="fr-FR"/>
        </w:rPr>
        <w:t>experts du transport des marchandises dangereuses (Sous-Comité TMD) du Conseil économique et social devait initialement se tenir du 29 juin au 8 juillet 2020. En raison de la pandémie de maladie à coronavirus (COVID-19) et des mesures mises en œuvre par la Commission économique pour l</w:t>
      </w:r>
      <w:r w:rsidR="000B2B75">
        <w:rPr>
          <w:lang w:val="fr-FR"/>
        </w:rPr>
        <w:t>’</w:t>
      </w:r>
      <w:r w:rsidRPr="00F82F28">
        <w:rPr>
          <w:lang w:val="fr-FR"/>
        </w:rPr>
        <w:t>Europe (CEE) et les États Membres de l</w:t>
      </w:r>
      <w:r w:rsidR="000B2B75">
        <w:rPr>
          <w:lang w:val="fr-FR"/>
        </w:rPr>
        <w:t>’</w:t>
      </w:r>
      <w:r w:rsidRPr="00F82F28">
        <w:rPr>
          <w:lang w:val="fr-FR"/>
        </w:rPr>
        <w:t>ONU pour protéger la santé publique, telles</w:t>
      </w:r>
      <w:r w:rsidR="00055F52">
        <w:rPr>
          <w:lang w:val="fr-FR"/>
        </w:rPr>
        <w:t> </w:t>
      </w:r>
      <w:r w:rsidRPr="00F82F28">
        <w:rPr>
          <w:lang w:val="fr-FR"/>
        </w:rPr>
        <w:t>que les restrictions en matière de voyage, la session a été reportée à la période du 30</w:t>
      </w:r>
      <w:r w:rsidR="00A46BFE">
        <w:rPr>
          <w:lang w:val="fr-FR"/>
        </w:rPr>
        <w:t> </w:t>
      </w:r>
      <w:r w:rsidRPr="00F82F28">
        <w:rPr>
          <w:lang w:val="fr-FR"/>
        </w:rPr>
        <w:t>novembre au 8 décembre 2020, à la place de la cinquante-huitième session. De plus, en</w:t>
      </w:r>
      <w:r w:rsidR="00A46BFE">
        <w:rPr>
          <w:lang w:val="fr-FR"/>
        </w:rPr>
        <w:t> </w:t>
      </w:r>
      <w:r w:rsidRPr="00F82F28">
        <w:rPr>
          <w:lang w:val="fr-FR"/>
        </w:rPr>
        <w:t>raison de l</w:t>
      </w:r>
      <w:r w:rsidR="000B2B75">
        <w:rPr>
          <w:lang w:val="fr-FR"/>
        </w:rPr>
        <w:t>’</w:t>
      </w:r>
      <w:r w:rsidRPr="00F82F28">
        <w:rPr>
          <w:lang w:val="fr-FR"/>
        </w:rPr>
        <w:t xml:space="preserve">effet cumulé des mesures prises pour faire face à la COVID-19, des contraintes financières </w:t>
      </w:r>
      <w:r>
        <w:rPr>
          <w:lang w:val="fr-FR"/>
        </w:rPr>
        <w:t xml:space="preserve">découlant de </w:t>
      </w:r>
      <w:r w:rsidRPr="00F82F28">
        <w:rPr>
          <w:lang w:val="fr-FR"/>
        </w:rPr>
        <w:t>la crise de liquidités à laquelle l</w:t>
      </w:r>
      <w:r w:rsidR="000B2B75">
        <w:rPr>
          <w:lang w:val="fr-FR"/>
        </w:rPr>
        <w:t>’</w:t>
      </w:r>
      <w:r w:rsidRPr="00F82F28">
        <w:rPr>
          <w:lang w:val="fr-FR"/>
        </w:rPr>
        <w:t>Organisation des Nations Unies est confrontée, des travaux de rénovation en cours au Palais des Nations dans le cadre du Plan stratégique patrimonial et des contraintes techniques liées au nombre de salles de réunion disponibles pour des réunions hybrides, la part des services de réunion avec interprétation allouée à la CEE a été réduite à une seule par jour pour le dernier trimestre 2020.</w:t>
      </w:r>
    </w:p>
    <w:p w14:paraId="25435728" w14:textId="270917A6" w:rsidR="00026B0E" w:rsidRPr="00DF0FF2" w:rsidRDefault="00026B0E" w:rsidP="00026B0E">
      <w:pPr>
        <w:pStyle w:val="SingleTxtG"/>
        <w:rPr>
          <w:lang w:val="fr-FR"/>
        </w:rPr>
      </w:pPr>
      <w:r w:rsidRPr="00F82F28">
        <w:rPr>
          <w:lang w:val="fr-FR"/>
        </w:rPr>
        <w:lastRenderedPageBreak/>
        <w:t>8.</w:t>
      </w:r>
      <w:r w:rsidRPr="00F82F28">
        <w:rPr>
          <w:lang w:val="fr-FR"/>
        </w:rPr>
        <w:tab/>
        <w:t>Compte tenu de ces facteurs</w:t>
      </w:r>
      <w:r>
        <w:rPr>
          <w:lang w:val="fr-FR"/>
        </w:rPr>
        <w:t xml:space="preserve">, des mesures de quarantaine </w:t>
      </w:r>
      <w:r w:rsidRPr="00F82F28">
        <w:rPr>
          <w:lang w:val="fr-FR"/>
        </w:rPr>
        <w:t xml:space="preserve">et des </w:t>
      </w:r>
      <w:r>
        <w:rPr>
          <w:lang w:val="fr-FR"/>
        </w:rPr>
        <w:t xml:space="preserve">restrictions en matière </w:t>
      </w:r>
      <w:r w:rsidRPr="00F82F28">
        <w:rPr>
          <w:lang w:val="fr-FR"/>
        </w:rPr>
        <w:t>de voyage en vigueur, et après consultation du secrétariat et des services de conférence de l</w:t>
      </w:r>
      <w:r w:rsidR="000B2B75">
        <w:rPr>
          <w:lang w:val="fr-FR"/>
        </w:rPr>
        <w:t>’</w:t>
      </w:r>
      <w:r w:rsidRPr="00F82F28">
        <w:rPr>
          <w:lang w:val="fr-FR"/>
        </w:rPr>
        <w:t xml:space="preserve">ONUG, les </w:t>
      </w:r>
      <w:r>
        <w:rPr>
          <w:lang w:val="fr-FR"/>
        </w:rPr>
        <w:t>P</w:t>
      </w:r>
      <w:r w:rsidRPr="00F82F28">
        <w:rPr>
          <w:lang w:val="fr-FR"/>
        </w:rPr>
        <w:t>résidents du Sous-Comité ont décidé d</w:t>
      </w:r>
      <w:r w:rsidR="000B2B75">
        <w:rPr>
          <w:lang w:val="fr-FR"/>
        </w:rPr>
        <w:t>’</w:t>
      </w:r>
      <w:r w:rsidRPr="00F82F28">
        <w:rPr>
          <w:lang w:val="fr-FR"/>
        </w:rPr>
        <w:t>adapter le format de la cinquante</w:t>
      </w:r>
      <w:r w:rsidR="00055F52">
        <w:rPr>
          <w:lang w:val="fr-FR"/>
        </w:rPr>
        <w:noBreakHyphen/>
      </w:r>
      <w:r w:rsidRPr="00F82F28">
        <w:rPr>
          <w:lang w:val="fr-FR"/>
        </w:rPr>
        <w:t>septième session. À la suite de consultations avec le Bureau, le secrétariat a mis en place une plateforme en ligne</w:t>
      </w:r>
      <w:r>
        <w:rPr>
          <w:lang w:val="fr-FR"/>
        </w:rPr>
        <w:t xml:space="preserve"> permettant</w:t>
      </w:r>
      <w:r w:rsidRPr="00F82F28">
        <w:rPr>
          <w:lang w:val="fr-FR"/>
        </w:rPr>
        <w:t xml:space="preserve"> </w:t>
      </w:r>
      <w:r>
        <w:rPr>
          <w:lang w:val="fr-FR"/>
        </w:rPr>
        <w:t>d</w:t>
      </w:r>
      <w:r w:rsidR="000B2B75">
        <w:rPr>
          <w:lang w:val="fr-FR"/>
        </w:rPr>
        <w:t>’</w:t>
      </w:r>
      <w:r w:rsidRPr="00F82F28">
        <w:rPr>
          <w:lang w:val="fr-FR"/>
        </w:rPr>
        <w:t>échanger des observations écrites sur les propositions qui avaient été initialement soumises pour discussion à la session de juin-juillet 2020. Plusieurs discussions informelles virtuelles ont aussi eu lieu pour clarifier certaines propositions et les faire avancer sur la base des observations écrites reçues par l</w:t>
      </w:r>
      <w:r w:rsidR="000B2B75">
        <w:rPr>
          <w:lang w:val="fr-FR"/>
        </w:rPr>
        <w:t>’</w:t>
      </w:r>
      <w:r w:rsidRPr="00F82F28">
        <w:rPr>
          <w:lang w:val="fr-FR"/>
        </w:rPr>
        <w:t>intermédiaire de la plateforme en ligne. Ces discussions étant considérées comme des sessions informelles, aucune décision n</w:t>
      </w:r>
      <w:r w:rsidR="000B2B75">
        <w:rPr>
          <w:lang w:val="fr-FR"/>
        </w:rPr>
        <w:t>’</w:t>
      </w:r>
      <w:r w:rsidRPr="00F82F28">
        <w:rPr>
          <w:lang w:val="fr-FR"/>
        </w:rPr>
        <w:t xml:space="preserve">y a été prise. Ces arrangements ont été fort appréciés par les délégations car ils ont permis au Sous-Comité de progresser dans son programme de travail en </w:t>
      </w:r>
      <w:r>
        <w:rPr>
          <w:lang w:val="fr-FR"/>
        </w:rPr>
        <w:t>vue</w:t>
      </w:r>
      <w:r w:rsidRPr="00F82F28">
        <w:rPr>
          <w:lang w:val="fr-FR"/>
        </w:rPr>
        <w:t xml:space="preserve"> de la session de novembre-décembre.</w:t>
      </w:r>
    </w:p>
    <w:p w14:paraId="23736FC7" w14:textId="77777777" w:rsidR="00026B0E" w:rsidRPr="00DF0FF2" w:rsidRDefault="00026B0E" w:rsidP="00026B0E">
      <w:pPr>
        <w:pStyle w:val="SingleTxtG"/>
        <w:rPr>
          <w:lang w:val="fr-FR"/>
        </w:rPr>
      </w:pPr>
      <w:r w:rsidRPr="00F82F28">
        <w:rPr>
          <w:lang w:val="fr-FR"/>
        </w:rPr>
        <w:t>9.</w:t>
      </w:r>
      <w:r w:rsidRPr="00F82F28">
        <w:rPr>
          <w:lang w:val="fr-FR"/>
        </w:rPr>
        <w:tab/>
      </w:r>
      <w:r>
        <w:rPr>
          <w:lang w:val="fr-FR"/>
        </w:rPr>
        <w:t xml:space="preserve">Celle-ci </w:t>
      </w:r>
      <w:r w:rsidRPr="00F82F28">
        <w:rPr>
          <w:lang w:val="fr-FR"/>
        </w:rPr>
        <w:t xml:space="preserve">a été la dernière du présent exercice biennal (2019-2020) et le Sous-Comité était censé avoir achevé les tâches portant sur les points inscrits à son programme de travail pour cette période. Il était donc de la plus haute importance que le Bureau organise la session de décembre sous une forme qui permette au Sous-Comité de prendre des décisions </w:t>
      </w:r>
      <w:r>
        <w:rPr>
          <w:lang w:val="fr-FR"/>
        </w:rPr>
        <w:t>officie</w:t>
      </w:r>
      <w:r w:rsidRPr="00F82F28">
        <w:rPr>
          <w:lang w:val="fr-FR"/>
        </w:rPr>
        <w:t>lles.</w:t>
      </w:r>
    </w:p>
    <w:p w14:paraId="1E93DB65" w14:textId="3B5A6EED" w:rsidR="00026B0E" w:rsidRPr="00DF0FF2" w:rsidRDefault="00026B0E" w:rsidP="00026B0E">
      <w:pPr>
        <w:pStyle w:val="SingleTxtG"/>
        <w:rPr>
          <w:lang w:val="fr-FR"/>
        </w:rPr>
      </w:pPr>
      <w:r w:rsidRPr="00F82F28">
        <w:rPr>
          <w:lang w:val="fr-FR"/>
        </w:rPr>
        <w:t>10.</w:t>
      </w:r>
      <w:r w:rsidRPr="00F82F28">
        <w:rPr>
          <w:lang w:val="fr-FR"/>
        </w:rPr>
        <w:tab/>
        <w:t xml:space="preserve">Le Sous-Comité a </w:t>
      </w:r>
      <w:r>
        <w:rPr>
          <w:lang w:val="fr-FR"/>
        </w:rPr>
        <w:t>salué</w:t>
      </w:r>
      <w:r w:rsidRPr="00F82F28">
        <w:rPr>
          <w:lang w:val="fr-FR"/>
        </w:rPr>
        <w:t xml:space="preserve"> les efforts du secrétariat</w:t>
      </w:r>
      <w:r>
        <w:rPr>
          <w:lang w:val="fr-FR"/>
        </w:rPr>
        <w:t>,</w:t>
      </w:r>
      <w:r w:rsidRPr="00F82F28">
        <w:rPr>
          <w:lang w:val="fr-FR"/>
        </w:rPr>
        <w:t xml:space="preserve"> qui avait de nouveau mis en place une plateforme en ligne pour l</w:t>
      </w:r>
      <w:r w:rsidR="000B2B75">
        <w:rPr>
          <w:lang w:val="fr-FR"/>
        </w:rPr>
        <w:t>’</w:t>
      </w:r>
      <w:r w:rsidRPr="00F82F28">
        <w:rPr>
          <w:lang w:val="fr-FR"/>
        </w:rPr>
        <w:t>échange d</w:t>
      </w:r>
      <w:r w:rsidR="000B2B75">
        <w:rPr>
          <w:lang w:val="fr-FR"/>
        </w:rPr>
        <w:t>’</w:t>
      </w:r>
      <w:r w:rsidRPr="00F82F28">
        <w:rPr>
          <w:lang w:val="fr-FR"/>
        </w:rPr>
        <w:t>observations écrites sur tous les points à l</w:t>
      </w:r>
      <w:r w:rsidR="000B2B75">
        <w:rPr>
          <w:lang w:val="fr-FR"/>
        </w:rPr>
        <w:t>’</w:t>
      </w:r>
      <w:r w:rsidRPr="00F82F28">
        <w:rPr>
          <w:lang w:val="fr-FR"/>
        </w:rPr>
        <w:t>ordre du jour de la session de novembre-décembre. Les délégations avaient donc été en mesure d</w:t>
      </w:r>
      <w:r w:rsidR="000B2B75">
        <w:rPr>
          <w:lang w:val="fr-FR"/>
        </w:rPr>
        <w:t>’</w:t>
      </w:r>
      <w:r w:rsidRPr="00F82F28">
        <w:rPr>
          <w:lang w:val="fr-FR"/>
        </w:rPr>
        <w:t>indiquer si leurs propositions étaient prêtes à solliciter le soutien du Sous-Comité pour adopter les amendements proposés</w:t>
      </w:r>
      <w:r>
        <w:rPr>
          <w:lang w:val="fr-FR"/>
        </w:rPr>
        <w:t>,</w:t>
      </w:r>
      <w:r w:rsidRPr="00F82F28">
        <w:rPr>
          <w:lang w:val="fr-FR"/>
        </w:rPr>
        <w:t xml:space="preserve"> ou si des modifications supplémentaires étaient nécessaires avant que l</w:t>
      </w:r>
      <w:r w:rsidR="000B2B75">
        <w:rPr>
          <w:lang w:val="fr-FR"/>
        </w:rPr>
        <w:t>’</w:t>
      </w:r>
      <w:r w:rsidRPr="00F82F28">
        <w:rPr>
          <w:lang w:val="fr-FR"/>
        </w:rPr>
        <w:t xml:space="preserve">adoption puisse être envisagée. À la fin de la période pendant laquelle des observations pouvaient être formulées sur la plateforme </w:t>
      </w:r>
      <w:r>
        <w:rPr>
          <w:lang w:val="fr-FR"/>
        </w:rPr>
        <w:t xml:space="preserve">au sujet des </w:t>
      </w:r>
      <w:r w:rsidRPr="00F82F28">
        <w:rPr>
          <w:lang w:val="fr-FR"/>
        </w:rPr>
        <w:t xml:space="preserve">documents de session, les auteurs des propositions qui </w:t>
      </w:r>
      <w:r>
        <w:rPr>
          <w:lang w:val="fr-FR"/>
        </w:rPr>
        <w:t>n</w:t>
      </w:r>
      <w:r w:rsidR="000B2B75">
        <w:rPr>
          <w:lang w:val="fr-FR"/>
        </w:rPr>
        <w:t>’</w:t>
      </w:r>
      <w:r>
        <w:rPr>
          <w:lang w:val="fr-FR"/>
        </w:rPr>
        <w:t xml:space="preserve">avaient </w:t>
      </w:r>
      <w:r w:rsidRPr="00F82F28">
        <w:rPr>
          <w:lang w:val="fr-FR"/>
        </w:rPr>
        <w:t>pas été jugées prêtes à être adoptées ont fait savoir au secrétariat s</w:t>
      </w:r>
      <w:r w:rsidR="000B2B75">
        <w:rPr>
          <w:lang w:val="fr-FR"/>
        </w:rPr>
        <w:t>’</w:t>
      </w:r>
      <w:r w:rsidRPr="00F82F28">
        <w:rPr>
          <w:lang w:val="fr-FR"/>
        </w:rPr>
        <w:t>ils avaient besoin de temps supplémentaire pour les examiner de plus près lors des sessions informelles tenues en matinée (en anglais seulement) du 30</w:t>
      </w:r>
      <w:r w:rsidR="00055F52">
        <w:rPr>
          <w:lang w:val="fr-FR"/>
        </w:rPr>
        <w:t> </w:t>
      </w:r>
      <w:r w:rsidRPr="00F82F28">
        <w:rPr>
          <w:lang w:val="fr-FR"/>
        </w:rPr>
        <w:t>novembre au 8 décembre</w:t>
      </w:r>
      <w:r>
        <w:rPr>
          <w:lang w:val="fr-FR"/>
        </w:rPr>
        <w:t>,</w:t>
      </w:r>
      <w:r w:rsidRPr="00F82F28">
        <w:rPr>
          <w:lang w:val="fr-FR"/>
        </w:rPr>
        <w:t xml:space="preserve"> ou s</w:t>
      </w:r>
      <w:r w:rsidR="000B2B75">
        <w:rPr>
          <w:lang w:val="fr-FR"/>
        </w:rPr>
        <w:t>’</w:t>
      </w:r>
      <w:r w:rsidRPr="00F82F28">
        <w:rPr>
          <w:lang w:val="fr-FR"/>
        </w:rPr>
        <w:t xml:space="preserve">ils décidaient de poursuivre le travail au cours du prochain exercice biennal. À cet égard, le </w:t>
      </w:r>
      <w:r>
        <w:rPr>
          <w:lang w:val="fr-FR"/>
        </w:rPr>
        <w:t>P</w:t>
      </w:r>
      <w:r w:rsidRPr="00F82F28">
        <w:rPr>
          <w:lang w:val="fr-FR"/>
        </w:rPr>
        <w:t>résident du Sous-Comité a établi un ordre de déroulement de la discussion lors des réunions informelles tenant compte des observations reçues de la part des auteurs des documents.</w:t>
      </w:r>
    </w:p>
    <w:p w14:paraId="29546AB7" w14:textId="05CAE0EA" w:rsidR="00026B0E" w:rsidRPr="00DF0FF2" w:rsidRDefault="00026B0E" w:rsidP="00026B0E">
      <w:pPr>
        <w:pStyle w:val="HChG"/>
        <w:rPr>
          <w:lang w:val="fr-FR"/>
        </w:rPr>
      </w:pPr>
      <w:r w:rsidRPr="008F507F">
        <w:rPr>
          <w:lang w:val="fr-FR"/>
        </w:rPr>
        <w:tab/>
        <w:t>II.</w:t>
      </w:r>
      <w:r w:rsidRPr="008F507F">
        <w:rPr>
          <w:lang w:val="fr-FR"/>
        </w:rPr>
        <w:tab/>
        <w:t>Adoption de l</w:t>
      </w:r>
      <w:r w:rsidR="000B2B75">
        <w:rPr>
          <w:lang w:val="fr-FR"/>
        </w:rPr>
        <w:t>’</w:t>
      </w:r>
      <w:r w:rsidRPr="008F507F">
        <w:rPr>
          <w:lang w:val="fr-FR"/>
        </w:rPr>
        <w:t>ordre du jour (point 1 de l</w:t>
      </w:r>
      <w:r w:rsidR="000B2B75">
        <w:rPr>
          <w:lang w:val="fr-FR"/>
        </w:rPr>
        <w:t>’</w:t>
      </w:r>
      <w:r w:rsidRPr="008F507F">
        <w:rPr>
          <w:lang w:val="fr-FR"/>
        </w:rPr>
        <w:t>ordre du jour)</w:t>
      </w:r>
    </w:p>
    <w:p w14:paraId="268EAABA" w14:textId="77777777" w:rsidR="00F60D33" w:rsidRDefault="00026B0E" w:rsidP="00F60D33">
      <w:pPr>
        <w:pStyle w:val="SingleTxtG"/>
        <w:tabs>
          <w:tab w:val="clear" w:pos="1701"/>
          <w:tab w:val="clear" w:pos="2268"/>
          <w:tab w:val="clear" w:pos="2835"/>
          <w:tab w:val="left" w:pos="3402"/>
        </w:tabs>
        <w:spacing w:after="0"/>
        <w:jc w:val="left"/>
        <w:rPr>
          <w:lang w:val="fr-FR"/>
        </w:rPr>
      </w:pPr>
      <w:r w:rsidRPr="00F82F28">
        <w:rPr>
          <w:i/>
          <w:iCs/>
          <w:lang w:val="fr-FR"/>
        </w:rPr>
        <w:t>Documents</w:t>
      </w:r>
      <w:r w:rsidR="0089683A">
        <w:rPr>
          <w:i/>
          <w:iCs/>
          <w:lang w:val="fr-FR"/>
        </w:rPr>
        <w:t> </w:t>
      </w:r>
      <w:r w:rsidRPr="00F82F28">
        <w:rPr>
          <w:i/>
          <w:iCs/>
          <w:lang w:val="fr-FR"/>
        </w:rPr>
        <w:t>:</w:t>
      </w:r>
      <w:r w:rsidRPr="00F82F28">
        <w:rPr>
          <w:lang w:val="fr-FR"/>
        </w:rPr>
        <w:tab/>
        <w:t>ST/SG/AC.10/C.3/113/Rev.1 (</w:t>
      </w:r>
      <w:r>
        <w:rPr>
          <w:lang w:val="fr-FR"/>
        </w:rPr>
        <w:t>O</w:t>
      </w:r>
      <w:r w:rsidRPr="00F82F28">
        <w:rPr>
          <w:lang w:val="fr-FR"/>
        </w:rPr>
        <w:t>rdre du jour provisoire)</w:t>
      </w:r>
    </w:p>
    <w:p w14:paraId="4A38568B" w14:textId="77777777" w:rsidR="00026B0E" w:rsidRPr="00DF0FF2" w:rsidRDefault="00026B0E" w:rsidP="00F60D33">
      <w:pPr>
        <w:pStyle w:val="SingleTxtG"/>
        <w:tabs>
          <w:tab w:val="clear" w:pos="1701"/>
          <w:tab w:val="clear" w:pos="2268"/>
          <w:tab w:val="clear" w:pos="2835"/>
          <w:tab w:val="left" w:pos="3402"/>
        </w:tabs>
        <w:ind w:left="3402"/>
        <w:jc w:val="left"/>
        <w:rPr>
          <w:lang w:val="fr-FR"/>
        </w:rPr>
      </w:pPr>
      <w:r w:rsidRPr="00F82F28">
        <w:rPr>
          <w:lang w:val="fr-FR"/>
        </w:rPr>
        <w:t xml:space="preserve">ST/SG/AC.10/C.3/113/Rev.1/Add.1 </w:t>
      </w:r>
      <w:r w:rsidR="00055F52">
        <w:rPr>
          <w:lang w:val="fr-FR"/>
        </w:rPr>
        <w:br/>
      </w:r>
      <w:r w:rsidRPr="00F82F28">
        <w:rPr>
          <w:lang w:val="fr-FR"/>
        </w:rPr>
        <w:t>(Liste des documents et annotations)</w:t>
      </w:r>
      <w:r>
        <w:rPr>
          <w:lang w:val="fr-FR"/>
        </w:rPr>
        <w:t>.</w:t>
      </w:r>
      <w:r w:rsidRPr="00F82F28">
        <w:rPr>
          <w:lang w:val="fr-FR"/>
        </w:rPr>
        <w:t xml:space="preserve"> </w:t>
      </w:r>
    </w:p>
    <w:p w14:paraId="6E5CFC71" w14:textId="77777777" w:rsidR="00F60D33" w:rsidRDefault="00026B0E" w:rsidP="00F60D33">
      <w:pPr>
        <w:pStyle w:val="SingleTxtG"/>
        <w:tabs>
          <w:tab w:val="clear" w:pos="1701"/>
          <w:tab w:val="clear" w:pos="2268"/>
          <w:tab w:val="clear" w:pos="2835"/>
          <w:tab w:val="left" w:pos="3402"/>
        </w:tabs>
        <w:spacing w:after="0"/>
        <w:jc w:val="left"/>
        <w:rPr>
          <w:lang w:val="fr-FR"/>
        </w:rPr>
      </w:pPr>
      <w:r w:rsidRPr="00F82F28">
        <w:rPr>
          <w:i/>
          <w:iCs/>
          <w:lang w:val="fr-FR"/>
        </w:rPr>
        <w:t>Documents informels</w:t>
      </w:r>
      <w:r w:rsidR="0089683A">
        <w:rPr>
          <w:i/>
          <w:iCs/>
          <w:lang w:val="fr-FR"/>
        </w:rPr>
        <w:t> </w:t>
      </w:r>
      <w:r w:rsidRPr="00F82F28">
        <w:rPr>
          <w:i/>
          <w:iCs/>
          <w:lang w:val="fr-FR"/>
        </w:rPr>
        <w:t>:</w:t>
      </w:r>
      <w:r w:rsidRPr="00F82F28">
        <w:rPr>
          <w:lang w:val="fr-FR"/>
        </w:rPr>
        <w:tab/>
        <w:t>INF.1 et INF.2 (</w:t>
      </w:r>
      <w:r>
        <w:rPr>
          <w:lang w:val="fr-FR"/>
        </w:rPr>
        <w:t>L</w:t>
      </w:r>
      <w:r w:rsidRPr="00F82F28">
        <w:rPr>
          <w:lang w:val="fr-FR"/>
        </w:rPr>
        <w:t xml:space="preserve">iste des documents) </w:t>
      </w:r>
    </w:p>
    <w:p w14:paraId="004D751D" w14:textId="77777777" w:rsidR="00F60D33" w:rsidRDefault="00026B0E" w:rsidP="00F60D33">
      <w:pPr>
        <w:pStyle w:val="SingleTxtG"/>
        <w:tabs>
          <w:tab w:val="clear" w:pos="1701"/>
          <w:tab w:val="clear" w:pos="2268"/>
          <w:tab w:val="clear" w:pos="2835"/>
          <w:tab w:val="left" w:pos="3402"/>
        </w:tabs>
        <w:spacing w:after="0"/>
        <w:ind w:left="3402"/>
        <w:jc w:val="left"/>
        <w:rPr>
          <w:lang w:val="fr-FR"/>
        </w:rPr>
      </w:pPr>
      <w:r w:rsidRPr="00F82F28">
        <w:rPr>
          <w:lang w:val="fr-FR"/>
        </w:rPr>
        <w:t>INF.28 (Modalités de travail)</w:t>
      </w:r>
    </w:p>
    <w:p w14:paraId="369288F7" w14:textId="77777777" w:rsidR="00026B0E" w:rsidRPr="00DF0FF2" w:rsidRDefault="00026B0E" w:rsidP="00F60D33">
      <w:pPr>
        <w:pStyle w:val="SingleTxtG"/>
        <w:tabs>
          <w:tab w:val="clear" w:pos="1701"/>
          <w:tab w:val="clear" w:pos="2268"/>
          <w:tab w:val="clear" w:pos="2835"/>
          <w:tab w:val="left" w:pos="3402"/>
        </w:tabs>
        <w:ind w:left="3402"/>
        <w:jc w:val="left"/>
        <w:rPr>
          <w:lang w:val="fr-FR"/>
        </w:rPr>
      </w:pPr>
      <w:r w:rsidRPr="00F82F28">
        <w:rPr>
          <w:lang w:val="fr-FR"/>
        </w:rPr>
        <w:t>INF.44 (</w:t>
      </w:r>
      <w:r>
        <w:rPr>
          <w:lang w:val="fr-FR"/>
        </w:rPr>
        <w:t>C</w:t>
      </w:r>
      <w:r w:rsidRPr="00F82F28">
        <w:rPr>
          <w:lang w:val="fr-FR"/>
        </w:rPr>
        <w:t>alendrier provisoire)</w:t>
      </w:r>
      <w:r>
        <w:rPr>
          <w:lang w:val="fr-FR"/>
        </w:rPr>
        <w:t>.</w:t>
      </w:r>
    </w:p>
    <w:p w14:paraId="2E9D44C0" w14:textId="2111877B" w:rsidR="00026B0E" w:rsidRPr="00DF0FF2" w:rsidRDefault="00026B0E" w:rsidP="00026B0E">
      <w:pPr>
        <w:pStyle w:val="SingleTxtG"/>
        <w:rPr>
          <w:lang w:val="fr-FR"/>
        </w:rPr>
      </w:pPr>
      <w:r w:rsidRPr="00F82F28">
        <w:rPr>
          <w:lang w:val="fr-FR"/>
        </w:rPr>
        <w:t>11.</w:t>
      </w:r>
      <w:r w:rsidRPr="00F82F28">
        <w:rPr>
          <w:lang w:val="fr-FR"/>
        </w:rPr>
        <w:tab/>
        <w:t>Le Sous-Comité a adopté l</w:t>
      </w:r>
      <w:r w:rsidR="000B2B75">
        <w:rPr>
          <w:lang w:val="fr-FR"/>
        </w:rPr>
        <w:t>’</w:t>
      </w:r>
      <w:r w:rsidRPr="00F82F28">
        <w:rPr>
          <w:lang w:val="fr-FR"/>
        </w:rPr>
        <w:t>ordre du jour provisoire établi par le secrétariat après l</w:t>
      </w:r>
      <w:r w:rsidR="000B2B75">
        <w:rPr>
          <w:lang w:val="fr-FR"/>
        </w:rPr>
        <w:t>’</w:t>
      </w:r>
      <w:r w:rsidRPr="00F82F28">
        <w:rPr>
          <w:lang w:val="fr-FR"/>
        </w:rPr>
        <w:t xml:space="preserve">avoir modifié afin de tenir compte des documents informels INF.1 </w:t>
      </w:r>
      <w:r>
        <w:rPr>
          <w:lang w:val="fr-FR"/>
        </w:rPr>
        <w:t xml:space="preserve">à </w:t>
      </w:r>
      <w:r w:rsidRPr="00F82F28">
        <w:rPr>
          <w:lang w:val="fr-FR"/>
        </w:rPr>
        <w:t>INF.6</w:t>
      </w:r>
      <w:r>
        <w:rPr>
          <w:lang w:val="fr-FR"/>
        </w:rPr>
        <w:t>4</w:t>
      </w:r>
      <w:r w:rsidRPr="00F82F28">
        <w:rPr>
          <w:lang w:val="fr-FR"/>
        </w:rPr>
        <w:t>.</w:t>
      </w:r>
    </w:p>
    <w:p w14:paraId="62633385" w14:textId="373234AB" w:rsidR="00026B0E" w:rsidRPr="00DF0FF2" w:rsidRDefault="00026B0E" w:rsidP="00026B0E">
      <w:pPr>
        <w:pStyle w:val="HChG"/>
        <w:rPr>
          <w:lang w:val="fr-FR"/>
        </w:rPr>
      </w:pPr>
      <w:r>
        <w:rPr>
          <w:lang w:val="fr-FR"/>
        </w:rPr>
        <w:tab/>
      </w:r>
      <w:r w:rsidRPr="008F507F">
        <w:rPr>
          <w:lang w:val="fr-FR"/>
        </w:rPr>
        <w:t>III.</w:t>
      </w:r>
      <w:r w:rsidRPr="008F507F">
        <w:rPr>
          <w:lang w:val="fr-FR"/>
        </w:rPr>
        <w:tab/>
        <w:t>Recommandations du Sous-Comité formulées à ses cinquante-cinquième et cinquante-sixième sessions et</w:t>
      </w:r>
      <w:r w:rsidR="00055F52">
        <w:rPr>
          <w:lang w:val="fr-FR"/>
        </w:rPr>
        <w:t> </w:t>
      </w:r>
      <w:r w:rsidRPr="008F507F">
        <w:rPr>
          <w:lang w:val="fr-FR"/>
        </w:rPr>
        <w:t>questions en suspens (point 2 de l</w:t>
      </w:r>
      <w:r w:rsidR="000B2B75">
        <w:rPr>
          <w:lang w:val="fr-FR"/>
        </w:rPr>
        <w:t>’</w:t>
      </w:r>
      <w:r w:rsidRPr="008F507F">
        <w:rPr>
          <w:lang w:val="fr-FR"/>
        </w:rPr>
        <w:t>ordre du jour)</w:t>
      </w:r>
    </w:p>
    <w:p w14:paraId="12BC50E2" w14:textId="5EE54F93" w:rsidR="00026B0E" w:rsidRPr="00DF0FF2" w:rsidRDefault="00026B0E" w:rsidP="00026B0E">
      <w:pPr>
        <w:pStyle w:val="H1G"/>
        <w:rPr>
          <w:lang w:val="fr-FR"/>
        </w:rPr>
      </w:pPr>
      <w:r>
        <w:rPr>
          <w:lang w:val="fr-FR"/>
        </w:rPr>
        <w:tab/>
      </w:r>
      <w:r w:rsidRPr="00F82F28">
        <w:rPr>
          <w:lang w:val="fr-FR"/>
        </w:rPr>
        <w:t>A.</w:t>
      </w:r>
      <w:r w:rsidRPr="00F82F28">
        <w:rPr>
          <w:lang w:val="fr-FR"/>
        </w:rPr>
        <w:tab/>
        <w:t>Examen des projets d</w:t>
      </w:r>
      <w:r w:rsidR="000B2B75">
        <w:rPr>
          <w:lang w:val="fr-FR"/>
        </w:rPr>
        <w:t>’</w:t>
      </w:r>
      <w:r w:rsidRPr="00F82F28">
        <w:rPr>
          <w:lang w:val="fr-FR"/>
        </w:rPr>
        <w:t xml:space="preserve">amendements déjà adoptés </w:t>
      </w:r>
      <w:r>
        <w:rPr>
          <w:lang w:val="fr-FR"/>
        </w:rPr>
        <w:br/>
      </w:r>
      <w:r w:rsidRPr="00F82F28">
        <w:rPr>
          <w:lang w:val="fr-FR"/>
        </w:rPr>
        <w:t>durant la période biennale</w:t>
      </w:r>
    </w:p>
    <w:p w14:paraId="5D77A03A" w14:textId="77777777" w:rsidR="00026B0E" w:rsidRPr="00DF0FF2" w:rsidRDefault="00026B0E" w:rsidP="004370F9">
      <w:pPr>
        <w:pStyle w:val="SingleTxtG"/>
        <w:tabs>
          <w:tab w:val="clear" w:pos="1701"/>
          <w:tab w:val="clear" w:pos="2268"/>
          <w:tab w:val="clear" w:pos="2835"/>
          <w:tab w:val="left" w:pos="3402"/>
        </w:tabs>
        <w:spacing w:after="0"/>
        <w:jc w:val="left"/>
        <w:rPr>
          <w:lang w:val="fr-FR"/>
        </w:rPr>
      </w:pPr>
      <w:r w:rsidRPr="00F82F28">
        <w:rPr>
          <w:i/>
          <w:iCs/>
          <w:lang w:val="fr-FR"/>
        </w:rPr>
        <w:t>Document</w:t>
      </w:r>
      <w:r>
        <w:rPr>
          <w:i/>
          <w:iCs/>
          <w:lang w:val="fr-FR"/>
        </w:rPr>
        <w:t> </w:t>
      </w:r>
      <w:r w:rsidRPr="00F82F28">
        <w:rPr>
          <w:i/>
          <w:iCs/>
          <w:lang w:val="fr-FR"/>
        </w:rPr>
        <w:t>:</w:t>
      </w:r>
      <w:r w:rsidRPr="00F82F28">
        <w:rPr>
          <w:lang w:val="fr-FR"/>
        </w:rPr>
        <w:tab/>
        <w:t>ST/SG/AC.10/C.3/2020/59 (</w:t>
      </w:r>
      <w:r w:rsidR="007B67AD">
        <w:rPr>
          <w:lang w:val="fr-FR"/>
        </w:rPr>
        <w:t>s</w:t>
      </w:r>
      <w:r w:rsidR="007B67AD" w:rsidRPr="00F82F28">
        <w:rPr>
          <w:lang w:val="fr-FR"/>
        </w:rPr>
        <w:t>ecrétariat</w:t>
      </w:r>
      <w:r w:rsidRPr="00F82F28">
        <w:rPr>
          <w:lang w:val="fr-FR"/>
        </w:rPr>
        <w:t>)</w:t>
      </w:r>
      <w:r>
        <w:rPr>
          <w:lang w:val="fr-FR"/>
        </w:rPr>
        <w:t>.</w:t>
      </w:r>
    </w:p>
    <w:p w14:paraId="514ABEC4" w14:textId="659F3C80" w:rsidR="00026B0E" w:rsidRPr="00055F52" w:rsidRDefault="00026B0E" w:rsidP="004370F9">
      <w:pPr>
        <w:pStyle w:val="SingleTxtG"/>
        <w:spacing w:before="120"/>
        <w:rPr>
          <w:spacing w:val="-2"/>
          <w:lang w:val="fr-FR"/>
        </w:rPr>
      </w:pPr>
      <w:r w:rsidRPr="00055F52">
        <w:rPr>
          <w:spacing w:val="-2"/>
          <w:lang w:val="fr-FR"/>
        </w:rPr>
        <w:t>12.</w:t>
      </w:r>
      <w:r w:rsidRPr="00055F52">
        <w:rPr>
          <w:spacing w:val="-2"/>
          <w:lang w:val="fr-FR"/>
        </w:rPr>
        <w:tab/>
        <w:t>Le Sous-Comité a confirmé les amendements au Règlement type et au Manuel d</w:t>
      </w:r>
      <w:r w:rsidR="000B2B75">
        <w:rPr>
          <w:spacing w:val="-2"/>
          <w:lang w:val="fr-FR"/>
        </w:rPr>
        <w:t>’</w:t>
      </w:r>
      <w:r w:rsidRPr="00055F52">
        <w:rPr>
          <w:spacing w:val="-2"/>
          <w:lang w:val="fr-FR"/>
        </w:rPr>
        <w:t>épreuves et de critères figurant dans le document ST/SG/AC.10/C.3/2020/59, y compris ceux entre crochets, en y ajoutant un amendement aux 5.2.1.7.1 et 5.2.1.7.2 a) (voir annexes</w:t>
      </w:r>
      <w:r w:rsidR="001908DD" w:rsidRPr="00055F52">
        <w:rPr>
          <w:spacing w:val="-2"/>
          <w:lang w:val="fr-FR"/>
        </w:rPr>
        <w:t> </w:t>
      </w:r>
      <w:r w:rsidRPr="00055F52">
        <w:rPr>
          <w:spacing w:val="-2"/>
          <w:lang w:val="fr-FR"/>
        </w:rPr>
        <w:t>I et II).</w:t>
      </w:r>
    </w:p>
    <w:p w14:paraId="3B853C0C" w14:textId="77777777" w:rsidR="00026B0E" w:rsidRPr="00DF0FF2" w:rsidRDefault="00026B0E" w:rsidP="00026B0E">
      <w:pPr>
        <w:pStyle w:val="H1G"/>
        <w:rPr>
          <w:lang w:val="fr-FR"/>
        </w:rPr>
      </w:pPr>
      <w:r>
        <w:rPr>
          <w:lang w:val="fr-FR"/>
        </w:rPr>
        <w:lastRenderedPageBreak/>
        <w:tab/>
      </w:r>
      <w:r w:rsidRPr="00F82F28">
        <w:rPr>
          <w:lang w:val="fr-FR"/>
        </w:rPr>
        <w:t>B.</w:t>
      </w:r>
      <w:r w:rsidRPr="00F82F28">
        <w:rPr>
          <w:lang w:val="fr-FR"/>
        </w:rPr>
        <w:tab/>
      </w:r>
      <w:r w:rsidRPr="00F82F28">
        <w:rPr>
          <w:bCs/>
          <w:lang w:val="fr-FR"/>
        </w:rPr>
        <w:t xml:space="preserve">Explosifs et questions </w:t>
      </w:r>
      <w:r w:rsidRPr="00026B0E">
        <w:rPr>
          <w:lang w:val="fr-FR"/>
        </w:rPr>
        <w:t>connexes</w:t>
      </w:r>
    </w:p>
    <w:p w14:paraId="015D5FD8" w14:textId="1E08DC95" w:rsidR="00026B0E" w:rsidRPr="00DF0FF2" w:rsidRDefault="00026B0E" w:rsidP="00026B0E">
      <w:pPr>
        <w:pStyle w:val="SingleTxtG"/>
        <w:rPr>
          <w:lang w:val="fr-FR"/>
        </w:rPr>
      </w:pPr>
      <w:r w:rsidRPr="00F82F28">
        <w:rPr>
          <w:lang w:val="fr-FR"/>
        </w:rPr>
        <w:t>13.</w:t>
      </w:r>
      <w:r w:rsidRPr="00F82F28">
        <w:rPr>
          <w:lang w:val="fr-FR"/>
        </w:rPr>
        <w:tab/>
        <w:t>M.</w:t>
      </w:r>
      <w:r w:rsidR="00055F52">
        <w:rPr>
          <w:lang w:val="fr-FR"/>
        </w:rPr>
        <w:t> </w:t>
      </w:r>
      <w:r w:rsidRPr="00F82F28">
        <w:rPr>
          <w:lang w:val="fr-FR"/>
        </w:rPr>
        <w:t>Ed de Jong (Pays-Bas) n</w:t>
      </w:r>
      <w:r w:rsidR="000B2B75">
        <w:rPr>
          <w:lang w:val="fr-FR"/>
        </w:rPr>
        <w:t>’</w:t>
      </w:r>
      <w:r w:rsidRPr="00F82F28">
        <w:rPr>
          <w:lang w:val="fr-FR"/>
        </w:rPr>
        <w:t>étant pas disponible, M.</w:t>
      </w:r>
      <w:r w:rsidR="00076651">
        <w:rPr>
          <w:lang w:val="fr-FR"/>
        </w:rPr>
        <w:t> </w:t>
      </w:r>
      <w:r w:rsidRPr="00F82F28">
        <w:rPr>
          <w:lang w:val="fr-FR"/>
        </w:rPr>
        <w:t>D.</w:t>
      </w:r>
      <w:r w:rsidR="00076651">
        <w:rPr>
          <w:lang w:val="fr-FR"/>
        </w:rPr>
        <w:t> </w:t>
      </w:r>
      <w:r w:rsidRPr="00F82F28">
        <w:rPr>
          <w:lang w:val="fr-FR"/>
        </w:rPr>
        <w:t>Pfund (États-Unis d</w:t>
      </w:r>
      <w:r w:rsidR="000B2B75">
        <w:rPr>
          <w:lang w:val="fr-FR"/>
        </w:rPr>
        <w:t>’</w:t>
      </w:r>
      <w:r w:rsidRPr="00F82F28">
        <w:rPr>
          <w:lang w:val="fr-FR"/>
        </w:rPr>
        <w:t xml:space="preserve">Amérique), Président par intérim du Groupe de travail des explosifs, a présenté les résultats de la réunion tenue en ligne par le </w:t>
      </w:r>
      <w:r>
        <w:rPr>
          <w:lang w:val="fr-FR"/>
        </w:rPr>
        <w:t>g</w:t>
      </w:r>
      <w:r w:rsidRPr="00F82F28">
        <w:rPr>
          <w:lang w:val="fr-FR"/>
        </w:rPr>
        <w:t>roupe les 17 et 18</w:t>
      </w:r>
      <w:r w:rsidR="00055F52">
        <w:rPr>
          <w:lang w:val="fr-FR"/>
        </w:rPr>
        <w:t> </w:t>
      </w:r>
      <w:r w:rsidRPr="00F82F28">
        <w:rPr>
          <w:lang w:val="fr-FR"/>
        </w:rPr>
        <w:t>novembre 2020. Ayant consulté le rapport du Groupe de travail, le Sous-Comité a pris note des informations présentées aux paragraphes 1 à 12 ci-après.</w:t>
      </w:r>
    </w:p>
    <w:p w14:paraId="76329FE2" w14:textId="77777777" w:rsidR="00026B0E" w:rsidRPr="00DF0FF2" w:rsidRDefault="00026B0E" w:rsidP="00026B0E">
      <w:pPr>
        <w:pStyle w:val="H23G"/>
        <w:rPr>
          <w:lang w:val="fr-FR"/>
        </w:rPr>
      </w:pPr>
      <w:r>
        <w:rPr>
          <w:lang w:val="fr-FR"/>
        </w:rPr>
        <w:tab/>
      </w:r>
      <w:r w:rsidRPr="00F82F28">
        <w:rPr>
          <w:lang w:val="fr-FR"/>
        </w:rPr>
        <w:t>1.</w:t>
      </w:r>
      <w:r w:rsidRPr="00F82F28">
        <w:rPr>
          <w:lang w:val="fr-FR"/>
        </w:rPr>
        <w:tab/>
        <w:t>Examen des épreuves de la série 6</w:t>
      </w:r>
    </w:p>
    <w:p w14:paraId="0F2C86B5" w14:textId="77777777" w:rsidR="00026B0E" w:rsidRPr="00DF0FF2" w:rsidRDefault="00026B0E" w:rsidP="004370F9">
      <w:pPr>
        <w:pStyle w:val="SingleTxtG"/>
        <w:tabs>
          <w:tab w:val="clear" w:pos="1701"/>
          <w:tab w:val="clear" w:pos="2268"/>
          <w:tab w:val="clear" w:pos="2835"/>
          <w:tab w:val="left" w:pos="3402"/>
        </w:tabs>
        <w:jc w:val="left"/>
        <w:rPr>
          <w:lang w:val="en-US"/>
        </w:rPr>
      </w:pPr>
      <w:r w:rsidRPr="00DF0FF2">
        <w:rPr>
          <w:i/>
          <w:iCs/>
          <w:lang w:val="en-US"/>
        </w:rPr>
        <w:t>Document</w:t>
      </w:r>
      <w:r w:rsidR="000A5309">
        <w:rPr>
          <w:i/>
          <w:iCs/>
          <w:lang w:val="en-US"/>
        </w:rPr>
        <w:t> </w:t>
      </w:r>
      <w:r w:rsidRPr="00DF0FF2">
        <w:rPr>
          <w:i/>
          <w:iCs/>
          <w:lang w:val="en-US"/>
        </w:rPr>
        <w:t>:</w:t>
      </w:r>
      <w:r w:rsidRPr="00DF0FF2">
        <w:rPr>
          <w:lang w:val="en-US"/>
        </w:rPr>
        <w:tab/>
        <w:t>ST/SG/AC.10/C.3/2020/4 (SAAMI)</w:t>
      </w:r>
      <w:r w:rsidRPr="001F6813">
        <w:rPr>
          <w:lang w:val="en-US"/>
        </w:rPr>
        <w:t>.</w:t>
      </w:r>
    </w:p>
    <w:p w14:paraId="3A389875" w14:textId="77777777" w:rsidR="00026B0E" w:rsidRPr="00DF0FF2" w:rsidRDefault="00026B0E" w:rsidP="00F60D33">
      <w:pPr>
        <w:pStyle w:val="SingleTxtG"/>
        <w:tabs>
          <w:tab w:val="clear" w:pos="1701"/>
          <w:tab w:val="clear" w:pos="2268"/>
          <w:tab w:val="clear" w:pos="2835"/>
          <w:tab w:val="left" w:pos="3402"/>
        </w:tabs>
        <w:spacing w:after="0"/>
        <w:jc w:val="left"/>
        <w:rPr>
          <w:lang w:val="fr-FR"/>
        </w:rPr>
      </w:pPr>
      <w:r w:rsidRPr="00F82F28">
        <w:rPr>
          <w:i/>
          <w:iCs/>
          <w:lang w:val="fr-FR"/>
        </w:rPr>
        <w:t>Document informel</w:t>
      </w:r>
      <w:r w:rsidR="000A5309">
        <w:rPr>
          <w:i/>
          <w:iCs/>
          <w:lang w:val="fr-FR"/>
        </w:rPr>
        <w:t> </w:t>
      </w:r>
      <w:r w:rsidRPr="00F82F28">
        <w:rPr>
          <w:i/>
          <w:iCs/>
          <w:lang w:val="fr-FR"/>
        </w:rPr>
        <w:t>:</w:t>
      </w:r>
      <w:r w:rsidRPr="00F82F28">
        <w:rPr>
          <w:lang w:val="fr-FR"/>
        </w:rPr>
        <w:tab/>
        <w:t>INF.38 (Président du Groupe de travail des explosifs)</w:t>
      </w:r>
      <w:r>
        <w:rPr>
          <w:lang w:val="fr-FR"/>
        </w:rPr>
        <w:t>.</w:t>
      </w:r>
    </w:p>
    <w:p w14:paraId="283D9E04" w14:textId="7119A702" w:rsidR="00026B0E" w:rsidRPr="00DF0FF2" w:rsidRDefault="00026B0E" w:rsidP="004370F9">
      <w:pPr>
        <w:pStyle w:val="SingleTxtG"/>
        <w:spacing w:before="120"/>
        <w:rPr>
          <w:lang w:val="fr-FR"/>
        </w:rPr>
      </w:pPr>
      <w:r w:rsidRPr="00F82F28">
        <w:rPr>
          <w:lang w:val="fr-FR"/>
        </w:rPr>
        <w:t>14.</w:t>
      </w:r>
      <w:r w:rsidRPr="00F82F28">
        <w:rPr>
          <w:lang w:val="fr-FR"/>
        </w:rPr>
        <w:tab/>
        <w:t>Le Sous-Comité a noté que le Groupe de travail avait décidé de reporter l</w:t>
      </w:r>
      <w:r w:rsidR="000B2B75">
        <w:rPr>
          <w:lang w:val="fr-FR"/>
        </w:rPr>
        <w:t>’</w:t>
      </w:r>
      <w:r w:rsidRPr="00F82F28">
        <w:rPr>
          <w:lang w:val="fr-FR"/>
        </w:rPr>
        <w:t>examen des épreuves de la série 6 à la prochaine période biennale.</w:t>
      </w:r>
    </w:p>
    <w:p w14:paraId="5EE3CD4D" w14:textId="77777777" w:rsidR="00026B0E" w:rsidRPr="00DF0FF2" w:rsidRDefault="00026B0E" w:rsidP="004370F9">
      <w:pPr>
        <w:pStyle w:val="H23G"/>
        <w:rPr>
          <w:lang w:val="fr-FR"/>
        </w:rPr>
      </w:pPr>
      <w:r>
        <w:rPr>
          <w:lang w:val="fr-FR"/>
        </w:rPr>
        <w:tab/>
      </w:r>
      <w:r w:rsidRPr="00F82F28">
        <w:rPr>
          <w:lang w:val="fr-FR"/>
        </w:rPr>
        <w:t>2.</w:t>
      </w:r>
      <w:r w:rsidRPr="00F82F28">
        <w:rPr>
          <w:lang w:val="fr-FR"/>
        </w:rPr>
        <w:tab/>
        <w:t xml:space="preserve">Amélioration des </w:t>
      </w:r>
      <w:r>
        <w:rPr>
          <w:lang w:val="fr-FR"/>
        </w:rPr>
        <w:t>épreuves</w:t>
      </w:r>
      <w:r w:rsidRPr="00F82F28">
        <w:rPr>
          <w:lang w:val="fr-FR"/>
        </w:rPr>
        <w:t xml:space="preserve"> de la série 8</w:t>
      </w:r>
    </w:p>
    <w:p w14:paraId="6447F89C" w14:textId="77777777" w:rsidR="00026B0E" w:rsidRPr="00DF0FF2" w:rsidRDefault="00026B0E" w:rsidP="004370F9">
      <w:pPr>
        <w:pStyle w:val="SingleTxtG"/>
        <w:tabs>
          <w:tab w:val="clear" w:pos="1701"/>
          <w:tab w:val="clear" w:pos="2268"/>
          <w:tab w:val="clear" w:pos="2835"/>
          <w:tab w:val="left" w:pos="3402"/>
        </w:tabs>
        <w:jc w:val="left"/>
        <w:rPr>
          <w:lang w:val="fr-FR"/>
        </w:rPr>
      </w:pPr>
      <w:r w:rsidRPr="00F82F28">
        <w:rPr>
          <w:i/>
          <w:iCs/>
          <w:lang w:val="fr-FR"/>
        </w:rPr>
        <w:t>Document informel</w:t>
      </w:r>
      <w:r w:rsidR="000A5309">
        <w:rPr>
          <w:i/>
          <w:iCs/>
          <w:lang w:val="fr-FR"/>
        </w:rPr>
        <w:t> </w:t>
      </w:r>
      <w:r w:rsidRPr="00F82F28">
        <w:rPr>
          <w:i/>
          <w:iCs/>
          <w:lang w:val="fr-FR"/>
        </w:rPr>
        <w:t>:</w:t>
      </w:r>
      <w:r w:rsidRPr="00F82F28">
        <w:rPr>
          <w:lang w:val="fr-FR"/>
        </w:rPr>
        <w:tab/>
        <w:t>INF.13 (IME).</w:t>
      </w:r>
    </w:p>
    <w:p w14:paraId="38195941" w14:textId="406EA3F8" w:rsidR="00026B0E" w:rsidRPr="00DF0FF2" w:rsidRDefault="00026B0E" w:rsidP="00026B0E">
      <w:pPr>
        <w:pStyle w:val="SingleTxtG"/>
        <w:rPr>
          <w:lang w:val="fr-FR"/>
        </w:rPr>
      </w:pPr>
      <w:r w:rsidRPr="00F82F28">
        <w:rPr>
          <w:lang w:val="fr-FR"/>
        </w:rPr>
        <w:t>15.</w:t>
      </w:r>
      <w:r w:rsidRPr="00F82F28">
        <w:rPr>
          <w:lang w:val="fr-FR"/>
        </w:rPr>
        <w:tab/>
        <w:t>Le Sous-Comité a noté que l</w:t>
      </w:r>
      <w:r w:rsidR="000B2B75">
        <w:rPr>
          <w:lang w:val="fr-FR"/>
        </w:rPr>
        <w:t>’</w:t>
      </w:r>
      <w:r w:rsidRPr="00F82F28">
        <w:rPr>
          <w:lang w:val="fr-FR"/>
        </w:rPr>
        <w:t>IME</w:t>
      </w:r>
      <w:r>
        <w:rPr>
          <w:lang w:val="fr-FR"/>
        </w:rPr>
        <w:t xml:space="preserve"> </w:t>
      </w:r>
      <w:r w:rsidRPr="00F82F28">
        <w:rPr>
          <w:lang w:val="fr-FR"/>
        </w:rPr>
        <w:t>avait accepté d</w:t>
      </w:r>
      <w:r w:rsidR="000B2B75">
        <w:rPr>
          <w:lang w:val="fr-FR"/>
        </w:rPr>
        <w:t>’</w:t>
      </w:r>
      <w:r w:rsidRPr="00F82F28">
        <w:rPr>
          <w:lang w:val="fr-FR"/>
        </w:rPr>
        <w:t>élaborer une proposition officielle pour examen au cours de la prochaine période biennale.</w:t>
      </w:r>
    </w:p>
    <w:p w14:paraId="3F81F19F" w14:textId="491CEA5A" w:rsidR="00026B0E" w:rsidRPr="00DF0FF2" w:rsidRDefault="00026B0E" w:rsidP="004370F9">
      <w:pPr>
        <w:pStyle w:val="H23G"/>
        <w:rPr>
          <w:lang w:val="fr-FR"/>
        </w:rPr>
      </w:pPr>
      <w:r>
        <w:rPr>
          <w:lang w:val="fr-FR"/>
        </w:rPr>
        <w:tab/>
      </w:r>
      <w:r w:rsidRPr="00F82F28">
        <w:rPr>
          <w:lang w:val="fr-FR"/>
        </w:rPr>
        <w:t>3.</w:t>
      </w:r>
      <w:r w:rsidRPr="00F82F28">
        <w:rPr>
          <w:lang w:val="fr-FR"/>
        </w:rPr>
        <w:tab/>
        <w:t>Révision des épreuves des parties I, II et III du Manuel d</w:t>
      </w:r>
      <w:r w:rsidR="000B2B75">
        <w:rPr>
          <w:lang w:val="fr-FR"/>
        </w:rPr>
        <w:t>’</w:t>
      </w:r>
      <w:r w:rsidRPr="00F82F28">
        <w:rPr>
          <w:lang w:val="fr-FR"/>
        </w:rPr>
        <w:t>épreuves et de critères</w:t>
      </w:r>
    </w:p>
    <w:p w14:paraId="771F46E3" w14:textId="77777777" w:rsidR="00026B0E" w:rsidRPr="00DF0FF2" w:rsidRDefault="00026B0E" w:rsidP="004370F9">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4370F9">
        <w:rPr>
          <w:i/>
          <w:iCs/>
          <w:lang w:val="fr-FR"/>
        </w:rPr>
        <w:t> </w:t>
      </w:r>
      <w:r w:rsidRPr="00F82F28">
        <w:rPr>
          <w:i/>
          <w:iCs/>
          <w:lang w:val="fr-FR"/>
        </w:rPr>
        <w:t>:</w:t>
      </w:r>
      <w:r w:rsidRPr="00F82F28">
        <w:rPr>
          <w:lang w:val="fr-FR"/>
        </w:rPr>
        <w:tab/>
        <w:t xml:space="preserve">ST/SG/AC.10/C.3/2020/3 </w:t>
      </w:r>
      <w:r w:rsidR="007B67AD">
        <w:rPr>
          <w:lang w:val="fr-FR"/>
        </w:rPr>
        <w:br/>
      </w:r>
      <w:r w:rsidRPr="00F82F28">
        <w:rPr>
          <w:lang w:val="fr-FR"/>
        </w:rPr>
        <w:t>(Président du Groupe de travail des explosifs)</w:t>
      </w:r>
      <w:r>
        <w:rPr>
          <w:lang w:val="fr-FR"/>
        </w:rPr>
        <w:t>.</w:t>
      </w:r>
    </w:p>
    <w:p w14:paraId="05EF6269" w14:textId="77777777" w:rsidR="00026B0E" w:rsidRPr="00DF0FF2" w:rsidRDefault="00026B0E" w:rsidP="00F60D33">
      <w:pPr>
        <w:pStyle w:val="SingleTxtG"/>
        <w:tabs>
          <w:tab w:val="clear" w:pos="1701"/>
          <w:tab w:val="clear" w:pos="2268"/>
          <w:tab w:val="clear" w:pos="2835"/>
          <w:tab w:val="left" w:pos="3402"/>
        </w:tabs>
        <w:spacing w:after="0"/>
        <w:jc w:val="left"/>
        <w:rPr>
          <w:lang w:val="fr-FR"/>
        </w:rPr>
      </w:pPr>
      <w:r w:rsidRPr="00F82F28">
        <w:rPr>
          <w:i/>
          <w:iCs/>
          <w:lang w:val="fr-FR"/>
        </w:rPr>
        <w:t>Document informel</w:t>
      </w:r>
      <w:r w:rsidR="004370F9">
        <w:rPr>
          <w:i/>
          <w:iCs/>
          <w:lang w:val="fr-FR"/>
        </w:rPr>
        <w:t> </w:t>
      </w:r>
      <w:r w:rsidRPr="00F82F28">
        <w:rPr>
          <w:lang w:val="fr-FR"/>
        </w:rPr>
        <w:t>:</w:t>
      </w:r>
      <w:r w:rsidRPr="00F82F28">
        <w:rPr>
          <w:lang w:val="fr-FR"/>
        </w:rPr>
        <w:tab/>
        <w:t>INF.38 (Président du Groupe de travail des explosifs)</w:t>
      </w:r>
      <w:r>
        <w:rPr>
          <w:lang w:val="fr-FR"/>
        </w:rPr>
        <w:t>.</w:t>
      </w:r>
    </w:p>
    <w:p w14:paraId="4B9F1802" w14:textId="37072D48" w:rsidR="00026B0E" w:rsidRPr="00DF0FF2" w:rsidRDefault="00026B0E" w:rsidP="004370F9">
      <w:pPr>
        <w:pStyle w:val="SingleTxtG"/>
        <w:spacing w:before="120"/>
        <w:rPr>
          <w:lang w:val="fr-FR"/>
        </w:rPr>
      </w:pPr>
      <w:r w:rsidRPr="00F82F28">
        <w:rPr>
          <w:lang w:val="fr-FR"/>
        </w:rPr>
        <w:t>16.</w:t>
      </w:r>
      <w:r w:rsidRPr="00F82F28">
        <w:rPr>
          <w:lang w:val="fr-FR"/>
        </w:rPr>
        <w:tab/>
        <w:t>Le Sous-Comité a adopté les amendements au chapitre 28 du Manuel d</w:t>
      </w:r>
      <w:r w:rsidR="000B2B75">
        <w:rPr>
          <w:lang w:val="fr-FR"/>
        </w:rPr>
        <w:t>’</w:t>
      </w:r>
      <w:r w:rsidRPr="00F82F28">
        <w:rPr>
          <w:lang w:val="fr-FR"/>
        </w:rPr>
        <w:t>épreuves et de critères (ST/SG/AC.10/11/Rev.7) proposés dans la section «</w:t>
      </w:r>
      <w:r w:rsidR="007B67AD">
        <w:rPr>
          <w:lang w:val="fr-FR"/>
        </w:rPr>
        <w:t> </w:t>
      </w:r>
      <w:proofErr w:type="spellStart"/>
      <w:r w:rsidRPr="00F82F28">
        <w:rPr>
          <w:lang w:val="fr-FR"/>
        </w:rPr>
        <w:t>Amendment</w:t>
      </w:r>
      <w:proofErr w:type="spellEnd"/>
      <w:r w:rsidRPr="00F82F28">
        <w:rPr>
          <w:lang w:val="fr-FR"/>
        </w:rPr>
        <w:t xml:space="preserve"> 1</w:t>
      </w:r>
      <w:r w:rsidR="007B67AD">
        <w:rPr>
          <w:lang w:val="fr-FR"/>
        </w:rPr>
        <w:t> </w:t>
      </w:r>
      <w:r w:rsidRPr="00F82F28">
        <w:rPr>
          <w:lang w:val="fr-FR"/>
        </w:rPr>
        <w:t>» de l</w:t>
      </w:r>
      <w:r w:rsidR="000B2B75">
        <w:rPr>
          <w:lang w:val="fr-FR"/>
        </w:rPr>
        <w:t>’</w:t>
      </w:r>
      <w:r w:rsidRPr="00F82F28">
        <w:rPr>
          <w:lang w:val="fr-FR"/>
        </w:rPr>
        <w:t>annexe</w:t>
      </w:r>
      <w:r w:rsidR="007B67AD">
        <w:rPr>
          <w:lang w:val="fr-FR"/>
        </w:rPr>
        <w:t> </w:t>
      </w:r>
      <w:r w:rsidRPr="00F82F28">
        <w:rPr>
          <w:lang w:val="fr-FR"/>
        </w:rPr>
        <w:t>3 du document informel INF.38 (voir annexe II).</w:t>
      </w:r>
    </w:p>
    <w:p w14:paraId="3168D19B" w14:textId="77777777" w:rsidR="00026B0E" w:rsidRPr="00DF0FF2" w:rsidRDefault="00026B0E" w:rsidP="004370F9">
      <w:pPr>
        <w:pStyle w:val="H23G"/>
        <w:rPr>
          <w:lang w:val="fr-FR"/>
        </w:rPr>
      </w:pPr>
      <w:r>
        <w:rPr>
          <w:lang w:val="fr-FR"/>
        </w:rPr>
        <w:tab/>
      </w:r>
      <w:r w:rsidRPr="00F82F28">
        <w:rPr>
          <w:lang w:val="fr-FR"/>
        </w:rPr>
        <w:t>4.</w:t>
      </w:r>
      <w:r w:rsidRPr="00F82F28">
        <w:rPr>
          <w:lang w:val="fr-FR"/>
        </w:rPr>
        <w:tab/>
        <w:t>Détonateurs normalisés «</w:t>
      </w:r>
      <w:r w:rsidR="007B67AD">
        <w:rPr>
          <w:lang w:val="fr-FR"/>
        </w:rPr>
        <w:t> </w:t>
      </w:r>
      <w:r w:rsidRPr="00F82F28">
        <w:rPr>
          <w:lang w:val="fr-FR"/>
        </w:rPr>
        <w:t>UN</w:t>
      </w:r>
      <w:r w:rsidR="007B67AD">
        <w:rPr>
          <w:lang w:val="fr-FR"/>
        </w:rPr>
        <w:t> </w:t>
      </w:r>
      <w:r w:rsidRPr="00F82F28">
        <w:rPr>
          <w:lang w:val="fr-FR"/>
        </w:rPr>
        <w:t>»</w:t>
      </w:r>
    </w:p>
    <w:p w14:paraId="1D3DE8B9" w14:textId="698202C0" w:rsidR="00026B0E" w:rsidRPr="00DF0FF2" w:rsidRDefault="00026B0E" w:rsidP="00026B0E">
      <w:pPr>
        <w:pStyle w:val="SingleTxtG"/>
        <w:rPr>
          <w:lang w:val="fr-FR"/>
        </w:rPr>
      </w:pPr>
      <w:r w:rsidRPr="00F82F28">
        <w:rPr>
          <w:lang w:val="fr-FR"/>
        </w:rPr>
        <w:t>17.</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6B15CAA2" w14:textId="78723BA0" w:rsidR="00026B0E" w:rsidRPr="00DF0FF2" w:rsidRDefault="00026B0E" w:rsidP="004370F9">
      <w:pPr>
        <w:pStyle w:val="H23G"/>
        <w:rPr>
          <w:lang w:val="fr-FR"/>
        </w:rPr>
      </w:pPr>
      <w:r>
        <w:rPr>
          <w:lang w:val="fr-FR"/>
        </w:rPr>
        <w:tab/>
      </w:r>
      <w:r w:rsidRPr="00F82F28">
        <w:rPr>
          <w:lang w:val="fr-FR"/>
        </w:rPr>
        <w:t>5.</w:t>
      </w:r>
      <w:r w:rsidRPr="00F82F28">
        <w:rPr>
          <w:lang w:val="fr-FR"/>
        </w:rPr>
        <w:tab/>
      </w:r>
      <w:r w:rsidRPr="00F82F28">
        <w:rPr>
          <w:bCs/>
          <w:lang w:val="fr-FR"/>
        </w:rPr>
        <w:t xml:space="preserve">Révision des instructions </w:t>
      </w:r>
      <w:r w:rsidRPr="004370F9">
        <w:rPr>
          <w:lang w:val="fr-FR"/>
        </w:rPr>
        <w:t>d</w:t>
      </w:r>
      <w:r w:rsidR="000B2B75">
        <w:rPr>
          <w:lang w:val="fr-FR"/>
        </w:rPr>
        <w:t>’</w:t>
      </w:r>
      <w:r w:rsidRPr="004370F9">
        <w:rPr>
          <w:lang w:val="fr-FR"/>
        </w:rPr>
        <w:t>emballage</w:t>
      </w:r>
      <w:r w:rsidRPr="00F82F28">
        <w:rPr>
          <w:bCs/>
          <w:lang w:val="fr-FR"/>
        </w:rPr>
        <w:t xml:space="preserve"> relatives aux explosifs</w:t>
      </w:r>
    </w:p>
    <w:p w14:paraId="3E0BA95B" w14:textId="77777777" w:rsidR="00026B0E" w:rsidRPr="00DF0FF2" w:rsidRDefault="00026B0E" w:rsidP="00DF2F89">
      <w:pPr>
        <w:pStyle w:val="SingleTxtG"/>
        <w:tabs>
          <w:tab w:val="clear" w:pos="1701"/>
          <w:tab w:val="clear" w:pos="2268"/>
          <w:tab w:val="clear" w:pos="2835"/>
          <w:tab w:val="left" w:pos="3402"/>
        </w:tabs>
        <w:ind w:left="3402" w:hanging="2268"/>
        <w:jc w:val="left"/>
        <w:rPr>
          <w:lang w:val="fr-FR"/>
        </w:rPr>
      </w:pPr>
      <w:r w:rsidRPr="00F82F28">
        <w:rPr>
          <w:i/>
          <w:iCs/>
          <w:lang w:val="fr-FR"/>
        </w:rPr>
        <w:t>Documents</w:t>
      </w:r>
      <w:r w:rsidR="000A5309">
        <w:rPr>
          <w:i/>
          <w:iCs/>
          <w:lang w:val="fr-FR"/>
        </w:rPr>
        <w:t> </w:t>
      </w:r>
      <w:r w:rsidRPr="00F82F28">
        <w:rPr>
          <w:i/>
          <w:iCs/>
          <w:lang w:val="fr-FR"/>
        </w:rPr>
        <w:t>:</w:t>
      </w:r>
      <w:r w:rsidRPr="00F82F28">
        <w:rPr>
          <w:lang w:val="fr-FR"/>
        </w:rPr>
        <w:tab/>
        <w:t>ST/SG/AC.10/C.3/2020/51 (Royaume-Uni) ST/SG/AC.10/C.3/2020/53 (Royaume-Uni)</w:t>
      </w:r>
      <w:r>
        <w:rPr>
          <w:lang w:val="fr-FR"/>
        </w:rPr>
        <w:t>.</w:t>
      </w:r>
    </w:p>
    <w:p w14:paraId="606CCF50" w14:textId="77777777" w:rsidR="00026B0E" w:rsidRPr="00DF0FF2" w:rsidRDefault="00026B0E" w:rsidP="00DF2F89">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0A5309">
        <w:rPr>
          <w:i/>
          <w:iCs/>
          <w:lang w:val="fr-FR"/>
        </w:rPr>
        <w:t> </w:t>
      </w:r>
      <w:r w:rsidRPr="000A5309">
        <w:rPr>
          <w:i/>
          <w:iCs/>
          <w:lang w:val="fr-FR"/>
        </w:rPr>
        <w:t>:</w:t>
      </w:r>
      <w:r w:rsidRPr="00F82F28">
        <w:rPr>
          <w:lang w:val="fr-FR"/>
        </w:rPr>
        <w:tab/>
        <w:t>INF.38 (Président du Groupe de travail des explosifs)</w:t>
      </w:r>
      <w:r>
        <w:rPr>
          <w:lang w:val="fr-FR"/>
        </w:rPr>
        <w:t>.</w:t>
      </w:r>
    </w:p>
    <w:p w14:paraId="495A264D" w14:textId="25D01C17" w:rsidR="00026B0E" w:rsidRPr="00DF0FF2" w:rsidRDefault="00026B0E" w:rsidP="00026B0E">
      <w:pPr>
        <w:pStyle w:val="SingleTxtG"/>
        <w:rPr>
          <w:lang w:val="fr-FR"/>
        </w:rPr>
      </w:pPr>
      <w:r w:rsidRPr="00F82F28">
        <w:rPr>
          <w:lang w:val="fr-FR"/>
        </w:rPr>
        <w:t>18.</w:t>
      </w:r>
      <w:r w:rsidRPr="00F82F28">
        <w:rPr>
          <w:lang w:val="fr-FR"/>
        </w:rPr>
        <w:tab/>
        <w:t>Le Sous-Comité a adopté les amendements à l</w:t>
      </w:r>
      <w:r w:rsidR="000B2B75">
        <w:rPr>
          <w:lang w:val="fr-FR"/>
        </w:rPr>
        <w:t>’</w:t>
      </w:r>
      <w:r w:rsidRPr="00F82F28">
        <w:rPr>
          <w:lang w:val="fr-FR"/>
        </w:rPr>
        <w:t>instruction d</w:t>
      </w:r>
      <w:r w:rsidR="000B2B75">
        <w:rPr>
          <w:lang w:val="fr-FR"/>
        </w:rPr>
        <w:t>’</w:t>
      </w:r>
      <w:r w:rsidRPr="00F82F28">
        <w:rPr>
          <w:lang w:val="fr-FR"/>
        </w:rPr>
        <w:t>emballage P137 du Règlement type proposés dans la section «</w:t>
      </w:r>
      <w:r w:rsidR="007B67AD">
        <w:rPr>
          <w:lang w:val="fr-FR"/>
        </w:rPr>
        <w:t> </w:t>
      </w:r>
      <w:proofErr w:type="spellStart"/>
      <w:r w:rsidRPr="00F82F28">
        <w:rPr>
          <w:lang w:val="fr-FR"/>
        </w:rPr>
        <w:t>Amendment</w:t>
      </w:r>
      <w:proofErr w:type="spellEnd"/>
      <w:r w:rsidRPr="00F82F28">
        <w:rPr>
          <w:lang w:val="fr-FR"/>
        </w:rPr>
        <w:t xml:space="preserve"> 1</w:t>
      </w:r>
      <w:r w:rsidR="007B67AD">
        <w:rPr>
          <w:lang w:val="fr-FR"/>
        </w:rPr>
        <w:t> </w:t>
      </w:r>
      <w:r w:rsidRPr="00F82F28">
        <w:rPr>
          <w:lang w:val="fr-FR"/>
        </w:rPr>
        <w:t>» de l</w:t>
      </w:r>
      <w:r w:rsidR="000B2B75">
        <w:rPr>
          <w:lang w:val="fr-FR"/>
        </w:rPr>
        <w:t>’</w:t>
      </w:r>
      <w:r w:rsidRPr="00F82F28">
        <w:rPr>
          <w:lang w:val="fr-FR"/>
        </w:rPr>
        <w:t>annexe 2 du document informel INF.38 (voir annexe I au présent rapport).</w:t>
      </w:r>
    </w:p>
    <w:p w14:paraId="227C2394" w14:textId="77777777" w:rsidR="00026B0E" w:rsidRPr="00DF0FF2" w:rsidRDefault="00026B0E" w:rsidP="00DF2F89">
      <w:pPr>
        <w:pStyle w:val="H23G"/>
        <w:rPr>
          <w:lang w:val="fr-FR"/>
        </w:rPr>
      </w:pPr>
      <w:r>
        <w:rPr>
          <w:lang w:val="fr-FR"/>
        </w:rPr>
        <w:tab/>
      </w:r>
      <w:r w:rsidRPr="00F82F28">
        <w:rPr>
          <w:lang w:val="fr-FR"/>
        </w:rPr>
        <w:t>6.</w:t>
      </w:r>
      <w:r w:rsidRPr="00F82F28">
        <w:rPr>
          <w:lang w:val="fr-FR"/>
        </w:rPr>
        <w:tab/>
      </w:r>
      <w:r w:rsidRPr="00F82F28">
        <w:rPr>
          <w:bCs/>
          <w:lang w:val="fr-FR"/>
        </w:rPr>
        <w:t xml:space="preserve">Application des dispositions relatives à la sûreté </w:t>
      </w:r>
      <w:r w:rsidR="00DF2F89">
        <w:rPr>
          <w:bCs/>
          <w:lang w:val="fr-FR"/>
        </w:rPr>
        <w:br/>
      </w:r>
      <w:r w:rsidRPr="00F82F28">
        <w:rPr>
          <w:bCs/>
          <w:lang w:val="fr-FR"/>
        </w:rPr>
        <w:t xml:space="preserve">aux explosifs relevant de rubriques </w:t>
      </w:r>
      <w:proofErr w:type="spellStart"/>
      <w:r w:rsidRPr="00F82F28">
        <w:rPr>
          <w:bCs/>
          <w:lang w:val="fr-FR"/>
        </w:rPr>
        <w:t>n.s.a</w:t>
      </w:r>
      <w:proofErr w:type="spellEnd"/>
    </w:p>
    <w:p w14:paraId="0F6DA2CF" w14:textId="68DC08A1" w:rsidR="00026B0E" w:rsidRPr="00DF0FF2" w:rsidRDefault="00026B0E" w:rsidP="00026B0E">
      <w:pPr>
        <w:pStyle w:val="SingleTxtG"/>
        <w:rPr>
          <w:lang w:val="fr-FR"/>
        </w:rPr>
      </w:pPr>
      <w:r w:rsidRPr="00F82F28">
        <w:rPr>
          <w:lang w:val="fr-FR"/>
        </w:rPr>
        <w:t>19.</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7C0BA1F5" w14:textId="77777777" w:rsidR="00026B0E" w:rsidRPr="00DF0FF2" w:rsidRDefault="00026B0E" w:rsidP="00DF2F89">
      <w:pPr>
        <w:pStyle w:val="H23G"/>
        <w:rPr>
          <w:lang w:val="fr-FR"/>
        </w:rPr>
      </w:pPr>
      <w:r>
        <w:rPr>
          <w:lang w:val="fr-FR"/>
        </w:rPr>
        <w:tab/>
      </w:r>
      <w:r w:rsidRPr="00F82F28">
        <w:rPr>
          <w:lang w:val="fr-FR"/>
        </w:rPr>
        <w:t>7.</w:t>
      </w:r>
      <w:r w:rsidRPr="00F82F28">
        <w:rPr>
          <w:lang w:val="fr-FR"/>
        </w:rPr>
        <w:tab/>
        <w:t>Épreuve N.1 pour les matières solides facilement inflammables</w:t>
      </w:r>
    </w:p>
    <w:p w14:paraId="65512E23" w14:textId="77777777" w:rsidR="00026B0E" w:rsidRPr="00DF0FF2" w:rsidRDefault="00026B0E" w:rsidP="00DF2F89">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r>
      <w:r>
        <w:rPr>
          <w:lang w:val="fr-FR"/>
        </w:rPr>
        <w:tab/>
      </w:r>
      <w:r w:rsidRPr="00F82F28">
        <w:rPr>
          <w:lang w:val="fr-FR"/>
        </w:rPr>
        <w:t>ST/SG/AC.10/C.3/2020/34 (Chine)</w:t>
      </w:r>
      <w:r>
        <w:rPr>
          <w:lang w:val="fr-FR"/>
        </w:rPr>
        <w:t>.</w:t>
      </w:r>
    </w:p>
    <w:p w14:paraId="7663D18C" w14:textId="77777777" w:rsidR="00026B0E" w:rsidRPr="00DF0FF2" w:rsidRDefault="00026B0E" w:rsidP="00DF2F89">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0A5309">
        <w:rPr>
          <w:i/>
          <w:iCs/>
          <w:lang w:val="fr-FR"/>
        </w:rPr>
        <w:t> </w:t>
      </w:r>
      <w:r w:rsidRPr="000A5309">
        <w:rPr>
          <w:i/>
          <w:iCs/>
          <w:lang w:val="fr-FR"/>
        </w:rPr>
        <w:t>:</w:t>
      </w:r>
      <w:r w:rsidRPr="00F82F28">
        <w:rPr>
          <w:lang w:val="fr-FR"/>
        </w:rPr>
        <w:tab/>
        <w:t>INF.38 (Président du Groupe de travail des explosifs)</w:t>
      </w:r>
      <w:r>
        <w:rPr>
          <w:lang w:val="fr-FR"/>
        </w:rPr>
        <w:t>.</w:t>
      </w:r>
    </w:p>
    <w:p w14:paraId="6E6AEA15" w14:textId="6818E2D1" w:rsidR="00026B0E" w:rsidRPr="00DF0FF2" w:rsidRDefault="00026B0E" w:rsidP="00026B0E">
      <w:pPr>
        <w:pStyle w:val="SingleTxtG"/>
        <w:rPr>
          <w:lang w:val="fr-FR"/>
        </w:rPr>
      </w:pPr>
      <w:r w:rsidRPr="00F82F28">
        <w:rPr>
          <w:lang w:val="fr-FR"/>
        </w:rPr>
        <w:t>20.</w:t>
      </w:r>
      <w:r w:rsidRPr="00F82F28">
        <w:rPr>
          <w:lang w:val="fr-FR"/>
        </w:rPr>
        <w:tab/>
        <w:t xml:space="preserve">Le Sous-Comité a adopté les amendements </w:t>
      </w:r>
      <w:r>
        <w:rPr>
          <w:lang w:val="fr-FR"/>
        </w:rPr>
        <w:t>au paragraphe</w:t>
      </w:r>
      <w:r w:rsidRPr="00F82F28">
        <w:rPr>
          <w:lang w:val="fr-FR"/>
        </w:rPr>
        <w:t xml:space="preserve"> 33.2.4.2 et à la figure</w:t>
      </w:r>
      <w:r w:rsidR="007B67AD">
        <w:rPr>
          <w:lang w:val="fr-FR"/>
        </w:rPr>
        <w:t> </w:t>
      </w:r>
      <w:r w:rsidRPr="00F82F28">
        <w:rPr>
          <w:lang w:val="fr-FR"/>
        </w:rPr>
        <w:t>33.2.4.1 (A) de la section 33.2.4 du Manuel d</w:t>
      </w:r>
      <w:r w:rsidR="000B2B75">
        <w:rPr>
          <w:lang w:val="fr-FR"/>
        </w:rPr>
        <w:t>’</w:t>
      </w:r>
      <w:r w:rsidRPr="00F82F28">
        <w:rPr>
          <w:lang w:val="fr-FR"/>
        </w:rPr>
        <w:t>épreuves et de critères proposés dans les sections «</w:t>
      </w:r>
      <w:r w:rsidR="007B67AD">
        <w:rPr>
          <w:lang w:val="fr-FR"/>
        </w:rPr>
        <w:t> </w:t>
      </w:r>
      <w:proofErr w:type="spellStart"/>
      <w:r w:rsidRPr="00F82F28">
        <w:rPr>
          <w:lang w:val="fr-FR"/>
        </w:rPr>
        <w:t>Amendment</w:t>
      </w:r>
      <w:proofErr w:type="spellEnd"/>
      <w:r w:rsidRPr="00F82F28">
        <w:rPr>
          <w:lang w:val="fr-FR"/>
        </w:rPr>
        <w:t xml:space="preserve"> 2</w:t>
      </w:r>
      <w:r w:rsidR="007B67AD">
        <w:rPr>
          <w:lang w:val="fr-FR"/>
        </w:rPr>
        <w:t> </w:t>
      </w:r>
      <w:r w:rsidRPr="00F82F28">
        <w:rPr>
          <w:lang w:val="fr-FR"/>
        </w:rPr>
        <w:t>» et «</w:t>
      </w:r>
      <w:r w:rsidR="007B67AD">
        <w:rPr>
          <w:lang w:val="fr-FR"/>
        </w:rPr>
        <w:t> </w:t>
      </w:r>
      <w:proofErr w:type="spellStart"/>
      <w:r w:rsidRPr="00F82F28">
        <w:rPr>
          <w:lang w:val="fr-FR"/>
        </w:rPr>
        <w:t>Amendment</w:t>
      </w:r>
      <w:proofErr w:type="spellEnd"/>
      <w:r w:rsidRPr="00F82F28">
        <w:rPr>
          <w:lang w:val="fr-FR"/>
        </w:rPr>
        <w:t xml:space="preserve"> 3</w:t>
      </w:r>
      <w:r w:rsidR="007B67AD">
        <w:rPr>
          <w:lang w:val="fr-FR"/>
        </w:rPr>
        <w:t> </w:t>
      </w:r>
      <w:r w:rsidRPr="00F82F28">
        <w:rPr>
          <w:lang w:val="fr-FR"/>
        </w:rPr>
        <w:t>» de l</w:t>
      </w:r>
      <w:r w:rsidR="000B2B75">
        <w:rPr>
          <w:lang w:val="fr-FR"/>
        </w:rPr>
        <w:t>’</w:t>
      </w:r>
      <w:r w:rsidRPr="00F82F28">
        <w:rPr>
          <w:lang w:val="fr-FR"/>
        </w:rPr>
        <w:t xml:space="preserve">annexe 3 du document informel INF.38 (voir annexe II au présent rapport). </w:t>
      </w:r>
    </w:p>
    <w:p w14:paraId="16A31C25" w14:textId="77777777" w:rsidR="00026B0E" w:rsidRPr="00DF0FF2" w:rsidRDefault="00026B0E" w:rsidP="00DF2F89">
      <w:pPr>
        <w:pStyle w:val="H23G"/>
        <w:rPr>
          <w:lang w:val="fr-FR"/>
        </w:rPr>
      </w:pPr>
      <w:r>
        <w:rPr>
          <w:lang w:val="fr-FR"/>
        </w:rPr>
        <w:lastRenderedPageBreak/>
        <w:tab/>
      </w:r>
      <w:r w:rsidRPr="00F82F28">
        <w:rPr>
          <w:lang w:val="fr-FR"/>
        </w:rPr>
        <w:t>8.</w:t>
      </w:r>
      <w:r w:rsidRPr="00F82F28">
        <w:rPr>
          <w:lang w:val="fr-FR"/>
        </w:rPr>
        <w:tab/>
      </w:r>
      <w:r w:rsidRPr="00F82F28">
        <w:rPr>
          <w:bCs/>
          <w:lang w:val="fr-FR"/>
        </w:rPr>
        <w:t xml:space="preserve">Révision du </w:t>
      </w:r>
      <w:r w:rsidRPr="00DF2F89">
        <w:rPr>
          <w:lang w:val="fr-FR"/>
        </w:rPr>
        <w:t>chapitre</w:t>
      </w:r>
      <w:r w:rsidRPr="00F82F28">
        <w:rPr>
          <w:bCs/>
          <w:lang w:val="fr-FR"/>
        </w:rPr>
        <w:t xml:space="preserve"> 2.1 du SGH</w:t>
      </w:r>
    </w:p>
    <w:p w14:paraId="0A7B7C4E" w14:textId="41D5B80C" w:rsidR="00026B0E" w:rsidRPr="00DF0FF2" w:rsidRDefault="00026B0E" w:rsidP="00026B0E">
      <w:pPr>
        <w:pStyle w:val="SingleTxtG"/>
        <w:rPr>
          <w:lang w:val="fr-FR"/>
        </w:rPr>
      </w:pPr>
      <w:r w:rsidRPr="00F82F28">
        <w:rPr>
          <w:lang w:val="fr-FR"/>
        </w:rPr>
        <w:t>21.</w:t>
      </w:r>
      <w:r w:rsidRPr="00F82F28">
        <w:rPr>
          <w:lang w:val="fr-FR"/>
        </w:rPr>
        <w:tab/>
        <w:t>Le Sous-</w:t>
      </w:r>
      <w:r>
        <w:rPr>
          <w:lang w:val="fr-FR"/>
        </w:rPr>
        <w:t>C</w:t>
      </w:r>
      <w:r w:rsidRPr="00F82F28">
        <w:rPr>
          <w:lang w:val="fr-FR"/>
        </w:rPr>
        <w:t xml:space="preserve">omité a examiné cette question au </w:t>
      </w:r>
      <w:r>
        <w:rPr>
          <w:lang w:val="fr-FR"/>
        </w:rPr>
        <w:t xml:space="preserve">titre du </w:t>
      </w:r>
      <w:r w:rsidRPr="00F82F28">
        <w:rPr>
          <w:lang w:val="fr-FR"/>
        </w:rPr>
        <w:t>point 11 de l</w:t>
      </w:r>
      <w:r w:rsidR="000B2B75">
        <w:rPr>
          <w:lang w:val="fr-FR"/>
        </w:rPr>
        <w:t>’</w:t>
      </w:r>
      <w:r w:rsidRPr="00F82F28">
        <w:rPr>
          <w:lang w:val="fr-FR"/>
        </w:rPr>
        <w:t>ordre du jour (voir</w:t>
      </w:r>
      <w:r w:rsidR="007B67AD">
        <w:rPr>
          <w:lang w:val="fr-FR"/>
        </w:rPr>
        <w:t> </w:t>
      </w:r>
      <w:r w:rsidRPr="00F82F28">
        <w:rPr>
          <w:lang w:val="fr-FR"/>
        </w:rPr>
        <w:t>paragraphes 106</w:t>
      </w:r>
      <w:r>
        <w:rPr>
          <w:lang w:val="fr-FR"/>
        </w:rPr>
        <w:t xml:space="preserve"> à </w:t>
      </w:r>
      <w:r w:rsidRPr="00F82F28">
        <w:rPr>
          <w:lang w:val="fr-FR"/>
        </w:rPr>
        <w:t>112).</w:t>
      </w:r>
    </w:p>
    <w:p w14:paraId="3E5C6D0A" w14:textId="77777777" w:rsidR="00026B0E" w:rsidRPr="00DF0FF2" w:rsidRDefault="00026B0E" w:rsidP="00DF2F89">
      <w:pPr>
        <w:pStyle w:val="H23G"/>
        <w:rPr>
          <w:lang w:val="fr-FR"/>
        </w:rPr>
      </w:pPr>
      <w:r>
        <w:rPr>
          <w:lang w:val="fr-FR"/>
        </w:rPr>
        <w:tab/>
      </w:r>
      <w:r w:rsidRPr="00F82F28">
        <w:rPr>
          <w:lang w:val="fr-FR"/>
        </w:rPr>
        <w:t>9.</w:t>
      </w:r>
      <w:r w:rsidRPr="00F82F28">
        <w:rPr>
          <w:lang w:val="fr-FR"/>
        </w:rPr>
        <w:tab/>
      </w:r>
      <w:r w:rsidRPr="00F82F28">
        <w:rPr>
          <w:bCs/>
          <w:lang w:val="fr-FR"/>
        </w:rPr>
        <w:t xml:space="preserve">Échantillons </w:t>
      </w:r>
      <w:r w:rsidRPr="00DF2F89">
        <w:rPr>
          <w:lang w:val="fr-FR"/>
        </w:rPr>
        <w:t>énergétiques</w:t>
      </w:r>
    </w:p>
    <w:p w14:paraId="7ACFF504" w14:textId="4D0EB8A4" w:rsidR="00026B0E" w:rsidRPr="00DF0FF2" w:rsidRDefault="00026B0E" w:rsidP="00026B0E">
      <w:pPr>
        <w:pStyle w:val="SingleTxtG"/>
        <w:rPr>
          <w:lang w:val="fr-FR"/>
        </w:rPr>
      </w:pPr>
      <w:r w:rsidRPr="00F82F28">
        <w:rPr>
          <w:lang w:val="fr-FR"/>
        </w:rPr>
        <w:t>22.</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16F7993C" w14:textId="77777777" w:rsidR="00026B0E" w:rsidRPr="00DF0FF2" w:rsidRDefault="00026B0E" w:rsidP="00DF2F89">
      <w:pPr>
        <w:pStyle w:val="H23G"/>
        <w:rPr>
          <w:lang w:val="fr-FR"/>
        </w:rPr>
      </w:pPr>
      <w:r>
        <w:rPr>
          <w:lang w:val="fr-FR"/>
        </w:rPr>
        <w:tab/>
      </w:r>
      <w:r w:rsidRPr="00F82F28">
        <w:rPr>
          <w:lang w:val="fr-FR"/>
        </w:rPr>
        <w:t>10.</w:t>
      </w:r>
      <w:r w:rsidRPr="00F82F28">
        <w:rPr>
          <w:lang w:val="fr-FR"/>
        </w:rPr>
        <w:tab/>
      </w:r>
      <w:r w:rsidRPr="00F82F28">
        <w:rPr>
          <w:bCs/>
          <w:lang w:val="fr-FR"/>
        </w:rPr>
        <w:t>Questions liées à la définition des explosifs</w:t>
      </w:r>
    </w:p>
    <w:p w14:paraId="33BE5329" w14:textId="0DE2932C" w:rsidR="00026B0E" w:rsidRPr="00DF0FF2" w:rsidRDefault="00026B0E" w:rsidP="00026B0E">
      <w:pPr>
        <w:pStyle w:val="SingleTxtG"/>
        <w:rPr>
          <w:lang w:val="fr-FR"/>
        </w:rPr>
      </w:pPr>
      <w:r w:rsidRPr="00F82F28">
        <w:rPr>
          <w:lang w:val="fr-FR"/>
        </w:rPr>
        <w:t>23.</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278926DC" w14:textId="282AF07D" w:rsidR="00026B0E" w:rsidRPr="00DF0FF2" w:rsidRDefault="00026B0E" w:rsidP="00DF2F89">
      <w:pPr>
        <w:pStyle w:val="H23G"/>
        <w:rPr>
          <w:lang w:val="fr-FR"/>
        </w:rPr>
      </w:pPr>
      <w:r>
        <w:rPr>
          <w:lang w:val="fr-FR"/>
        </w:rPr>
        <w:tab/>
      </w:r>
      <w:r w:rsidRPr="00F82F28">
        <w:rPr>
          <w:lang w:val="fr-FR"/>
        </w:rPr>
        <w:t>11.</w:t>
      </w:r>
      <w:r w:rsidRPr="00F82F28">
        <w:rPr>
          <w:lang w:val="fr-FR"/>
        </w:rPr>
        <w:tab/>
      </w:r>
      <w:r w:rsidRPr="00F82F28">
        <w:rPr>
          <w:bCs/>
          <w:lang w:val="fr-FR"/>
        </w:rPr>
        <w:t xml:space="preserve">Examen des </w:t>
      </w:r>
      <w:r w:rsidRPr="00DF2F89">
        <w:rPr>
          <w:lang w:val="fr-FR"/>
        </w:rPr>
        <w:t>prescriptions</w:t>
      </w:r>
      <w:r w:rsidRPr="00F82F28">
        <w:rPr>
          <w:bCs/>
          <w:lang w:val="fr-FR"/>
        </w:rPr>
        <w:t xml:space="preserve"> en matière d</w:t>
      </w:r>
      <w:r w:rsidR="000B2B75">
        <w:rPr>
          <w:bCs/>
          <w:lang w:val="fr-FR"/>
        </w:rPr>
        <w:t>’</w:t>
      </w:r>
      <w:r w:rsidRPr="00F82F28">
        <w:rPr>
          <w:bCs/>
          <w:lang w:val="fr-FR"/>
        </w:rPr>
        <w:t>emballage et de transport</w:t>
      </w:r>
      <w:r>
        <w:rPr>
          <w:bCs/>
          <w:lang w:val="fr-FR"/>
        </w:rPr>
        <w:t xml:space="preserve"> pour les </w:t>
      </w:r>
      <w:r w:rsidRPr="00F82F28">
        <w:rPr>
          <w:bCs/>
          <w:lang w:val="fr-FR"/>
        </w:rPr>
        <w:t>ENA</w:t>
      </w:r>
    </w:p>
    <w:p w14:paraId="53A48D07" w14:textId="1BCA9284" w:rsidR="00026B0E" w:rsidRPr="00DF0FF2" w:rsidRDefault="00026B0E" w:rsidP="00026B0E">
      <w:pPr>
        <w:pStyle w:val="SingleTxtG"/>
        <w:rPr>
          <w:lang w:val="fr-FR"/>
        </w:rPr>
      </w:pPr>
      <w:r w:rsidRPr="00F82F28">
        <w:rPr>
          <w:lang w:val="fr-FR"/>
        </w:rPr>
        <w:t>24.</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6AC32DD7" w14:textId="77777777" w:rsidR="00026B0E" w:rsidRPr="007F3B53" w:rsidRDefault="00026B0E" w:rsidP="00DF2F89">
      <w:pPr>
        <w:pStyle w:val="H23G"/>
        <w:rPr>
          <w:lang w:val="fr-FR"/>
        </w:rPr>
      </w:pPr>
      <w:r>
        <w:rPr>
          <w:lang w:val="fr-FR"/>
        </w:rPr>
        <w:tab/>
      </w:r>
      <w:r w:rsidRPr="00F82F28">
        <w:rPr>
          <w:lang w:val="fr-FR"/>
        </w:rPr>
        <w:t>12.</w:t>
      </w:r>
      <w:r w:rsidRPr="00F82F28">
        <w:rPr>
          <w:lang w:val="fr-FR"/>
        </w:rPr>
        <w:tab/>
      </w:r>
      <w:r>
        <w:rPr>
          <w:lang w:val="fr-FR"/>
        </w:rPr>
        <w:t xml:space="preserve">Autres </w:t>
      </w:r>
      <w:r w:rsidRPr="00DF2F89">
        <w:rPr>
          <w:lang w:val="fr-FR"/>
        </w:rPr>
        <w:t>questions</w:t>
      </w:r>
    </w:p>
    <w:p w14:paraId="5CC28B50" w14:textId="557B8710" w:rsidR="00026B0E" w:rsidRPr="007F3B53" w:rsidRDefault="00026B0E" w:rsidP="00DF2F89">
      <w:pPr>
        <w:pStyle w:val="SingleTxtG"/>
        <w:ind w:left="1701" w:hanging="567"/>
        <w:rPr>
          <w:b/>
          <w:lang w:val="fr-FR"/>
        </w:rPr>
      </w:pPr>
      <w:r w:rsidRPr="00F841EB">
        <w:rPr>
          <w:lang w:val="fr-FR"/>
        </w:rPr>
        <w:t>a)</w:t>
      </w:r>
      <w:r w:rsidRPr="00F82F28">
        <w:rPr>
          <w:lang w:val="fr-FR"/>
        </w:rPr>
        <w:tab/>
      </w:r>
      <w:r w:rsidRPr="00F841EB">
        <w:rPr>
          <w:lang w:val="fr-FR"/>
        </w:rPr>
        <w:t>Incohérence concernant la description de l</w:t>
      </w:r>
      <w:r w:rsidR="000B2B75">
        <w:rPr>
          <w:lang w:val="fr-FR"/>
        </w:rPr>
        <w:t>’</w:t>
      </w:r>
      <w:r w:rsidRPr="00F841EB">
        <w:rPr>
          <w:lang w:val="fr-FR"/>
        </w:rPr>
        <w:t>épreuve d</w:t>
      </w:r>
      <w:r w:rsidR="000B2B75">
        <w:rPr>
          <w:lang w:val="fr-FR"/>
        </w:rPr>
        <w:t>’</w:t>
      </w:r>
      <w:r w:rsidRPr="00F841EB">
        <w:rPr>
          <w:lang w:val="fr-FR"/>
        </w:rPr>
        <w:t>amorçage de la détonation de l</w:t>
      </w:r>
      <w:r w:rsidR="000B2B75">
        <w:rPr>
          <w:lang w:val="fr-FR"/>
        </w:rPr>
        <w:t>’</w:t>
      </w:r>
      <w:r w:rsidRPr="00F841EB">
        <w:rPr>
          <w:lang w:val="fr-FR"/>
        </w:rPr>
        <w:t>ONU dans la version française du Manuel d</w:t>
      </w:r>
      <w:r w:rsidR="000B2B75">
        <w:rPr>
          <w:lang w:val="fr-FR"/>
        </w:rPr>
        <w:t>’</w:t>
      </w:r>
      <w:r w:rsidRPr="00F841EB">
        <w:rPr>
          <w:lang w:val="fr-FR"/>
        </w:rPr>
        <w:t>épreuves et de critères</w:t>
      </w:r>
    </w:p>
    <w:p w14:paraId="2E675FB8" w14:textId="77777777" w:rsidR="00026B0E" w:rsidRPr="007F3B53" w:rsidRDefault="00026B0E" w:rsidP="00DF2F89">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ST/SG/AC.10/C.3/2020/17 (</w:t>
      </w:r>
      <w:r>
        <w:rPr>
          <w:lang w:val="fr-FR"/>
        </w:rPr>
        <w:t>s</w:t>
      </w:r>
      <w:r w:rsidRPr="00F82F28">
        <w:rPr>
          <w:lang w:val="fr-FR"/>
        </w:rPr>
        <w:t>ecrétariat)</w:t>
      </w:r>
      <w:r>
        <w:rPr>
          <w:lang w:val="fr-FR"/>
        </w:rPr>
        <w:t>.</w:t>
      </w:r>
    </w:p>
    <w:p w14:paraId="4ECFDFA6" w14:textId="3CE2A687" w:rsidR="00026B0E" w:rsidRPr="007F3B53" w:rsidRDefault="00026B0E" w:rsidP="00026B0E">
      <w:pPr>
        <w:pStyle w:val="SingleTxtG"/>
        <w:rPr>
          <w:lang w:val="fr-FR"/>
        </w:rPr>
      </w:pPr>
      <w:r w:rsidRPr="00F82F28">
        <w:rPr>
          <w:lang w:val="fr-FR"/>
        </w:rPr>
        <w:t>25.</w:t>
      </w:r>
      <w:r w:rsidRPr="00F82F28">
        <w:rPr>
          <w:lang w:val="fr-FR"/>
        </w:rPr>
        <w:tab/>
        <w:t>Le Sous-Comité a adopté la proposition énoncée dans le document ST/SG/AC.10/C.3/2020/17, qui vise à corriger la version française du 11.4.1.2.1 du Manuel d</w:t>
      </w:r>
      <w:r w:rsidR="000B2B75">
        <w:rPr>
          <w:lang w:val="fr-FR"/>
        </w:rPr>
        <w:t>’</w:t>
      </w:r>
      <w:r w:rsidRPr="00F82F28">
        <w:rPr>
          <w:lang w:val="fr-FR"/>
        </w:rPr>
        <w:t>épreuves et de critères (voir annexe III).</w:t>
      </w:r>
    </w:p>
    <w:p w14:paraId="17C3B9ED" w14:textId="5BE6C72F" w:rsidR="00026B0E" w:rsidRPr="007F3B53" w:rsidRDefault="00026B0E" w:rsidP="00DF2F89">
      <w:pPr>
        <w:pStyle w:val="SingleTxtG"/>
        <w:ind w:left="1701" w:hanging="567"/>
        <w:rPr>
          <w:b/>
          <w:bCs/>
          <w:lang w:val="fr-FR"/>
        </w:rPr>
      </w:pPr>
      <w:r w:rsidRPr="00F841EB">
        <w:rPr>
          <w:bCs/>
          <w:lang w:val="fr-FR"/>
        </w:rPr>
        <w:t>b)</w:t>
      </w:r>
      <w:r w:rsidRPr="00F82F28">
        <w:rPr>
          <w:lang w:val="fr-FR"/>
        </w:rPr>
        <w:tab/>
      </w:r>
      <w:r>
        <w:rPr>
          <w:bCs/>
          <w:lang w:val="fr-FR"/>
        </w:rPr>
        <w:t>M</w:t>
      </w:r>
      <w:r w:rsidRPr="00F841EB">
        <w:rPr>
          <w:bCs/>
          <w:lang w:val="fr-FR"/>
        </w:rPr>
        <w:t xml:space="preserve">andat pour les travaux au sein du </w:t>
      </w:r>
      <w:r w:rsidRPr="00DF2F89">
        <w:rPr>
          <w:lang w:val="fr-FR"/>
        </w:rPr>
        <w:t>Groupe</w:t>
      </w:r>
      <w:r w:rsidRPr="00F841EB">
        <w:rPr>
          <w:bCs/>
          <w:lang w:val="fr-FR"/>
        </w:rPr>
        <w:t xml:space="preserve"> de travail des explosifs sur «</w:t>
      </w:r>
      <w:r w:rsidR="007B67AD">
        <w:rPr>
          <w:bCs/>
          <w:lang w:val="fr-FR"/>
        </w:rPr>
        <w:t> </w:t>
      </w:r>
      <w:r w:rsidRPr="00F841EB">
        <w:rPr>
          <w:bCs/>
          <w:lang w:val="fr-FR"/>
        </w:rPr>
        <w:t>l</w:t>
      </w:r>
      <w:r w:rsidR="000B2B75">
        <w:rPr>
          <w:bCs/>
          <w:lang w:val="fr-FR"/>
        </w:rPr>
        <w:t>’</w:t>
      </w:r>
      <w:r w:rsidRPr="00F841EB">
        <w:rPr>
          <w:bCs/>
          <w:lang w:val="fr-FR"/>
        </w:rPr>
        <w:t>exclusion de la classe 1</w:t>
      </w:r>
      <w:r w:rsidR="007B67AD">
        <w:rPr>
          <w:bCs/>
          <w:lang w:val="fr-FR"/>
        </w:rPr>
        <w:t> </w:t>
      </w:r>
      <w:r w:rsidRPr="00F841EB">
        <w:rPr>
          <w:bCs/>
          <w:lang w:val="fr-FR"/>
        </w:rPr>
        <w:t>»</w:t>
      </w:r>
    </w:p>
    <w:p w14:paraId="4AC06BAD" w14:textId="77777777" w:rsidR="00026B0E" w:rsidRPr="007F3B53" w:rsidRDefault="00026B0E" w:rsidP="00DF2F89">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 xml:space="preserve">ST/SG/AC.10/C.3/2020/25 (France </w:t>
      </w:r>
      <w:r>
        <w:rPr>
          <w:lang w:val="fr-FR"/>
        </w:rPr>
        <w:t xml:space="preserve">et </w:t>
      </w:r>
      <w:r w:rsidRPr="00F82F28">
        <w:rPr>
          <w:lang w:val="fr-FR"/>
        </w:rPr>
        <w:t>COSTHA)</w:t>
      </w:r>
      <w:r>
        <w:rPr>
          <w:lang w:val="fr-FR"/>
        </w:rPr>
        <w:t>.</w:t>
      </w:r>
    </w:p>
    <w:p w14:paraId="52EF96A0" w14:textId="6C32FE11" w:rsidR="00026B0E" w:rsidRPr="007F3B53" w:rsidRDefault="00026B0E" w:rsidP="00026B0E">
      <w:pPr>
        <w:pStyle w:val="SingleTxtG"/>
        <w:rPr>
          <w:lang w:val="fr-FR"/>
        </w:rPr>
      </w:pPr>
      <w:r w:rsidRPr="00F82F28">
        <w:rPr>
          <w:lang w:val="fr-FR"/>
        </w:rPr>
        <w:t>26.</w:t>
      </w:r>
      <w:r w:rsidRPr="00F82F28">
        <w:rPr>
          <w:lang w:val="fr-FR"/>
        </w:rPr>
        <w:tab/>
        <w:t>Il a été décidé de reporter l</w:t>
      </w:r>
      <w:r w:rsidR="000B2B75">
        <w:rPr>
          <w:lang w:val="fr-FR"/>
        </w:rPr>
        <w:t>’</w:t>
      </w:r>
      <w:r w:rsidRPr="00F82F28">
        <w:rPr>
          <w:lang w:val="fr-FR"/>
        </w:rPr>
        <w:t>examen du document ST/SG/AC.10/C.3/2020/25 à la prochaine période biennale.</w:t>
      </w:r>
    </w:p>
    <w:p w14:paraId="4C725C9A" w14:textId="7682EE2E" w:rsidR="00026B0E" w:rsidRPr="007F3B53" w:rsidRDefault="00026B0E" w:rsidP="00DF2F89">
      <w:pPr>
        <w:pStyle w:val="SingleTxtG"/>
        <w:ind w:left="1701" w:hanging="567"/>
        <w:rPr>
          <w:b/>
          <w:bCs/>
          <w:lang w:val="fr-FR"/>
        </w:rPr>
      </w:pPr>
      <w:r w:rsidRPr="00F841EB">
        <w:rPr>
          <w:bCs/>
          <w:lang w:val="fr-FR"/>
        </w:rPr>
        <w:t>c)</w:t>
      </w:r>
      <w:r w:rsidRPr="00F841EB">
        <w:rPr>
          <w:bCs/>
          <w:lang w:val="fr-FR"/>
        </w:rPr>
        <w:tab/>
        <w:t>Nouvelle rubrique pour les appareils d</w:t>
      </w:r>
      <w:r w:rsidR="000B2B75">
        <w:rPr>
          <w:bCs/>
          <w:lang w:val="fr-FR"/>
        </w:rPr>
        <w:t>’</w:t>
      </w:r>
      <w:r w:rsidRPr="00F841EB">
        <w:rPr>
          <w:bCs/>
          <w:lang w:val="fr-FR"/>
        </w:rPr>
        <w:t>extinction d</w:t>
      </w:r>
      <w:r w:rsidR="000B2B75">
        <w:rPr>
          <w:bCs/>
          <w:lang w:val="fr-FR"/>
        </w:rPr>
        <w:t>’</w:t>
      </w:r>
      <w:r w:rsidRPr="00F841EB">
        <w:rPr>
          <w:bCs/>
          <w:lang w:val="fr-FR"/>
        </w:rPr>
        <w:t>incendie par diffusion d</w:t>
      </w:r>
      <w:r w:rsidR="000B2B75">
        <w:rPr>
          <w:bCs/>
          <w:lang w:val="fr-FR"/>
        </w:rPr>
        <w:t>’</w:t>
      </w:r>
      <w:r w:rsidRPr="00F841EB">
        <w:rPr>
          <w:bCs/>
          <w:lang w:val="fr-FR"/>
        </w:rPr>
        <w:t>aérosols</w:t>
      </w:r>
    </w:p>
    <w:p w14:paraId="5A577009" w14:textId="77777777" w:rsidR="00026B0E" w:rsidRPr="007F3B53" w:rsidRDefault="00026B0E" w:rsidP="00DF2F89">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0A5309">
        <w:rPr>
          <w:i/>
          <w:iCs/>
          <w:lang w:val="fr-FR"/>
        </w:rPr>
        <w:t> </w:t>
      </w:r>
      <w:r w:rsidRPr="00F82F28">
        <w:rPr>
          <w:i/>
          <w:iCs/>
          <w:lang w:val="fr-FR"/>
        </w:rPr>
        <w:t>:</w:t>
      </w:r>
      <w:r w:rsidRPr="00F82F28">
        <w:rPr>
          <w:lang w:val="fr-FR"/>
        </w:rPr>
        <w:tab/>
        <w:t>INF.6 (COSTHA)</w:t>
      </w:r>
      <w:r>
        <w:rPr>
          <w:lang w:val="fr-FR"/>
        </w:rPr>
        <w:t>.</w:t>
      </w:r>
    </w:p>
    <w:p w14:paraId="6771FF48" w14:textId="2BCD8B50" w:rsidR="00026B0E" w:rsidRPr="007F3B53" w:rsidRDefault="00026B0E" w:rsidP="00026B0E">
      <w:pPr>
        <w:pStyle w:val="SingleTxtG"/>
        <w:rPr>
          <w:lang w:val="fr-FR"/>
        </w:rPr>
      </w:pPr>
      <w:r w:rsidRPr="00F82F28">
        <w:rPr>
          <w:lang w:val="fr-FR"/>
        </w:rPr>
        <w:t>27.</w:t>
      </w:r>
      <w:r w:rsidRPr="00F82F28">
        <w:rPr>
          <w:lang w:val="fr-FR"/>
        </w:rPr>
        <w:tab/>
        <w:t>Il a été décidé de reporter l</w:t>
      </w:r>
      <w:r w:rsidR="000B2B75">
        <w:rPr>
          <w:lang w:val="fr-FR"/>
        </w:rPr>
        <w:t>’</w:t>
      </w:r>
      <w:r w:rsidRPr="00F82F28">
        <w:rPr>
          <w:lang w:val="fr-FR"/>
        </w:rPr>
        <w:t>examen de cette question à la prochaine période biennale.</w:t>
      </w:r>
    </w:p>
    <w:p w14:paraId="1B5B4A38" w14:textId="7AC0FEAF" w:rsidR="00026B0E" w:rsidRPr="007F3B53" w:rsidRDefault="00026B0E" w:rsidP="00DF2F89">
      <w:pPr>
        <w:pStyle w:val="HChG"/>
        <w:rPr>
          <w:lang w:val="fr-FR"/>
        </w:rPr>
      </w:pPr>
      <w:r>
        <w:rPr>
          <w:lang w:val="fr-FR"/>
        </w:rPr>
        <w:tab/>
      </w:r>
      <w:r w:rsidRPr="005C707D">
        <w:rPr>
          <w:lang w:val="fr-FR"/>
        </w:rPr>
        <w:t>IV.</w:t>
      </w:r>
      <w:r w:rsidRPr="005C707D">
        <w:rPr>
          <w:lang w:val="fr-FR"/>
        </w:rPr>
        <w:tab/>
        <w:t xml:space="preserve">Inscription, classement et emballage </w:t>
      </w:r>
      <w:r w:rsidR="00DF2F89">
        <w:rPr>
          <w:lang w:val="fr-FR"/>
        </w:rPr>
        <w:br/>
      </w:r>
      <w:r w:rsidRPr="005C707D">
        <w:rPr>
          <w:lang w:val="fr-FR"/>
        </w:rPr>
        <w:t>(point 3 de l</w:t>
      </w:r>
      <w:r w:rsidR="000B2B75">
        <w:rPr>
          <w:lang w:val="fr-FR"/>
        </w:rPr>
        <w:t>’</w:t>
      </w:r>
      <w:r w:rsidRPr="005C707D">
        <w:rPr>
          <w:lang w:val="fr-FR"/>
        </w:rPr>
        <w:t>ordre du jour)</w:t>
      </w:r>
    </w:p>
    <w:p w14:paraId="183B10C0" w14:textId="06AAE1BE" w:rsidR="00026B0E" w:rsidRPr="007F3B53" w:rsidRDefault="00026B0E" w:rsidP="00E31F85">
      <w:pPr>
        <w:pStyle w:val="H1G"/>
        <w:rPr>
          <w:lang w:val="fr-FR"/>
        </w:rPr>
      </w:pPr>
      <w:r>
        <w:rPr>
          <w:lang w:val="fr-FR"/>
        </w:rPr>
        <w:tab/>
      </w:r>
      <w:r w:rsidRPr="00F82F28">
        <w:rPr>
          <w:lang w:val="fr-FR"/>
        </w:rPr>
        <w:t>A.</w:t>
      </w:r>
      <w:r w:rsidRPr="00F82F28">
        <w:rPr>
          <w:lang w:val="fr-FR"/>
        </w:rPr>
        <w:tab/>
        <w:t>Températures de régulation et températures critiques pour les préparations énumérées dans l</w:t>
      </w:r>
      <w:r w:rsidR="000B2B75">
        <w:rPr>
          <w:lang w:val="fr-FR"/>
        </w:rPr>
        <w:t>’</w:t>
      </w:r>
      <w:r w:rsidRPr="00F82F28">
        <w:rPr>
          <w:lang w:val="fr-FR"/>
        </w:rPr>
        <w:t>instruction d</w:t>
      </w:r>
      <w:r w:rsidR="000B2B75">
        <w:rPr>
          <w:lang w:val="fr-FR"/>
        </w:rPr>
        <w:t>’</w:t>
      </w:r>
      <w:r w:rsidRPr="00F82F28">
        <w:rPr>
          <w:lang w:val="fr-FR"/>
        </w:rPr>
        <w:t xml:space="preserve">emballage IBC520 </w:t>
      </w:r>
      <w:r w:rsidR="00E31F85">
        <w:rPr>
          <w:lang w:val="fr-FR"/>
        </w:rPr>
        <w:br/>
      </w:r>
      <w:r w:rsidRPr="00F82F28">
        <w:rPr>
          <w:lang w:val="fr-FR"/>
        </w:rPr>
        <w:t>et dans l</w:t>
      </w:r>
      <w:r w:rsidR="000B2B75">
        <w:rPr>
          <w:lang w:val="fr-FR"/>
        </w:rPr>
        <w:t>’</w:t>
      </w:r>
      <w:r w:rsidRPr="00F82F28">
        <w:rPr>
          <w:lang w:val="fr-FR"/>
        </w:rPr>
        <w:t>instruction de transport en citerne mobile T23</w:t>
      </w:r>
      <w:r w:rsidR="007B67AD">
        <w:rPr>
          <w:lang w:val="fr-FR"/>
        </w:rPr>
        <w:t> </w:t>
      </w:r>
      <w:r w:rsidRPr="00F82F28">
        <w:rPr>
          <w:lang w:val="fr-FR"/>
        </w:rPr>
        <w:t>: clarifications</w:t>
      </w:r>
    </w:p>
    <w:p w14:paraId="2CFE5764"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 xml:space="preserve">ST/SG/AC.10/C.3/2020/6 (République de Corée </w:t>
      </w:r>
      <w:r>
        <w:rPr>
          <w:lang w:val="fr-FR"/>
        </w:rPr>
        <w:t xml:space="preserve">et </w:t>
      </w:r>
      <w:r w:rsidRPr="00F82F28">
        <w:rPr>
          <w:lang w:val="fr-FR"/>
        </w:rPr>
        <w:t>CEFIC)</w:t>
      </w:r>
      <w:r>
        <w:rPr>
          <w:lang w:val="fr-FR"/>
        </w:rPr>
        <w:t>.</w:t>
      </w:r>
    </w:p>
    <w:p w14:paraId="346B4F4D" w14:textId="77777777" w:rsidR="00026B0E" w:rsidRPr="007F3B53" w:rsidRDefault="00026B0E" w:rsidP="00026B0E">
      <w:pPr>
        <w:pStyle w:val="SingleTxtG"/>
        <w:rPr>
          <w:lang w:val="fr-FR"/>
        </w:rPr>
      </w:pPr>
      <w:r w:rsidRPr="00F82F28">
        <w:rPr>
          <w:lang w:val="fr-FR"/>
        </w:rPr>
        <w:t>28.</w:t>
      </w:r>
      <w:r w:rsidRPr="00F82F28">
        <w:rPr>
          <w:lang w:val="fr-FR"/>
        </w:rPr>
        <w:tab/>
        <w:t>Le Sous-Comité a adopté les amendements aux 2.4.2.3.2.3, 2.5.3.2.4, 4.1.4.2 (IBC520) et 4.2.5.2.6 (T23) (voir annexe I).</w:t>
      </w:r>
    </w:p>
    <w:p w14:paraId="13CE0AC0" w14:textId="77777777" w:rsidR="00026B0E" w:rsidRPr="007F3B53" w:rsidRDefault="00026B0E" w:rsidP="00E31F85">
      <w:pPr>
        <w:pStyle w:val="H1G"/>
        <w:rPr>
          <w:lang w:val="fr-FR"/>
        </w:rPr>
      </w:pPr>
      <w:r>
        <w:rPr>
          <w:lang w:val="fr-FR"/>
        </w:rPr>
        <w:tab/>
      </w:r>
      <w:r w:rsidRPr="00F82F28">
        <w:rPr>
          <w:lang w:val="fr-FR"/>
        </w:rPr>
        <w:t>B.</w:t>
      </w:r>
      <w:r w:rsidRPr="00F82F28">
        <w:rPr>
          <w:lang w:val="fr-FR"/>
        </w:rPr>
        <w:tab/>
      </w:r>
      <w:r w:rsidRPr="00F82F28">
        <w:rPr>
          <w:bCs/>
          <w:lang w:val="fr-FR"/>
        </w:rPr>
        <w:t xml:space="preserve">Toxicité </w:t>
      </w:r>
      <w:proofErr w:type="spellStart"/>
      <w:r w:rsidRPr="00F82F28">
        <w:rPr>
          <w:bCs/>
          <w:lang w:val="fr-FR"/>
        </w:rPr>
        <w:t>des</w:t>
      </w:r>
      <w:proofErr w:type="spellEnd"/>
      <w:r w:rsidRPr="00F82F28">
        <w:rPr>
          <w:bCs/>
          <w:lang w:val="fr-FR"/>
        </w:rPr>
        <w:t xml:space="preserve"> Nos ONU 2248, 2264 et </w:t>
      </w:r>
      <w:r w:rsidRPr="00E31F85">
        <w:rPr>
          <w:lang w:val="fr-FR"/>
        </w:rPr>
        <w:t>2357</w:t>
      </w:r>
    </w:p>
    <w:p w14:paraId="627F300E"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ST/SG/AC.10/C.3/2020/7/Rev.1 (République de Corée)</w:t>
      </w:r>
      <w:r>
        <w:rPr>
          <w:lang w:val="fr-FR"/>
        </w:rPr>
        <w:t>.</w:t>
      </w:r>
    </w:p>
    <w:p w14:paraId="44636DCA" w14:textId="1E66AC94" w:rsidR="00026B0E" w:rsidRPr="007F3B53" w:rsidRDefault="00026B0E" w:rsidP="00026B0E">
      <w:pPr>
        <w:pStyle w:val="SingleTxtG"/>
        <w:rPr>
          <w:lang w:val="fr-FR"/>
        </w:rPr>
      </w:pPr>
      <w:r w:rsidRPr="00F82F28">
        <w:rPr>
          <w:lang w:val="fr-FR"/>
        </w:rPr>
        <w:t>29.</w:t>
      </w:r>
      <w:r w:rsidRPr="00F82F28">
        <w:rPr>
          <w:lang w:val="fr-FR"/>
        </w:rPr>
        <w:tab/>
        <w:t>Les experts ont eu des avis divergents sur la pertinence des propositions d</w:t>
      </w:r>
      <w:r w:rsidR="000B2B75">
        <w:rPr>
          <w:lang w:val="fr-FR"/>
        </w:rPr>
        <w:t>’</w:t>
      </w:r>
      <w:r w:rsidRPr="00F82F28">
        <w:rPr>
          <w:lang w:val="fr-FR"/>
        </w:rPr>
        <w:t>amendements concernant les Nos ONU 2248, 2264 et 2357. Certains ont estimé qu</w:t>
      </w:r>
      <w:r w:rsidR="000B2B75">
        <w:rPr>
          <w:lang w:val="fr-FR"/>
        </w:rPr>
        <w:t>’</w:t>
      </w:r>
      <w:r w:rsidRPr="00F82F28">
        <w:rPr>
          <w:lang w:val="fr-FR"/>
        </w:rPr>
        <w:t>il était nécessaire de disposer de données supplémentaires et de poursuivre l</w:t>
      </w:r>
      <w:r w:rsidR="000B2B75">
        <w:rPr>
          <w:lang w:val="fr-FR"/>
        </w:rPr>
        <w:t>’</w:t>
      </w:r>
      <w:r w:rsidRPr="00F82F28">
        <w:rPr>
          <w:lang w:val="fr-FR"/>
        </w:rPr>
        <w:t xml:space="preserve">examen de la question. </w:t>
      </w:r>
      <w:r w:rsidRPr="00F82F28">
        <w:rPr>
          <w:lang w:val="fr-FR"/>
        </w:rPr>
        <w:lastRenderedPageBreak/>
        <w:t>Tenant compte des observations reçues, l</w:t>
      </w:r>
      <w:r w:rsidR="000B2B75">
        <w:rPr>
          <w:lang w:val="fr-FR"/>
        </w:rPr>
        <w:t>’</w:t>
      </w:r>
      <w:r w:rsidRPr="00F82F28">
        <w:rPr>
          <w:lang w:val="fr-FR"/>
        </w:rPr>
        <w:t>expert de la République de Corée a retiré la proposition et dit qu</w:t>
      </w:r>
      <w:r w:rsidR="000B2B75">
        <w:rPr>
          <w:lang w:val="fr-FR"/>
        </w:rPr>
        <w:t>’</w:t>
      </w:r>
      <w:r w:rsidRPr="00F82F28">
        <w:rPr>
          <w:lang w:val="fr-FR"/>
        </w:rPr>
        <w:t>il collaborerait avec d</w:t>
      </w:r>
      <w:r w:rsidR="000B2B75">
        <w:rPr>
          <w:lang w:val="fr-FR"/>
        </w:rPr>
        <w:t>’</w:t>
      </w:r>
      <w:r w:rsidRPr="00F82F28">
        <w:rPr>
          <w:lang w:val="fr-FR"/>
        </w:rPr>
        <w:t>autres délégations en vue de soumettre une proposition révisée au cours de la prochaine période biennale.</w:t>
      </w:r>
    </w:p>
    <w:p w14:paraId="3577BD05" w14:textId="26B4E32F" w:rsidR="00026B0E" w:rsidRPr="007F3B53" w:rsidRDefault="00026B0E" w:rsidP="00E31F85">
      <w:pPr>
        <w:pStyle w:val="H1G"/>
        <w:rPr>
          <w:lang w:val="fr-FR"/>
        </w:rPr>
      </w:pPr>
      <w:r>
        <w:rPr>
          <w:lang w:val="fr-FR"/>
        </w:rPr>
        <w:tab/>
      </w:r>
      <w:r w:rsidRPr="00F82F28">
        <w:rPr>
          <w:lang w:val="fr-FR"/>
        </w:rPr>
        <w:t>C.</w:t>
      </w:r>
      <w:r w:rsidRPr="00F82F28">
        <w:rPr>
          <w:lang w:val="fr-FR"/>
        </w:rPr>
        <w:tab/>
      </w:r>
      <w:r w:rsidRPr="00F82F28">
        <w:rPr>
          <w:bCs/>
          <w:lang w:val="fr-FR"/>
        </w:rPr>
        <w:t>Précisions concernant le champ d</w:t>
      </w:r>
      <w:r w:rsidR="000B2B75">
        <w:rPr>
          <w:bCs/>
          <w:lang w:val="fr-FR"/>
        </w:rPr>
        <w:t>’</w:t>
      </w:r>
      <w:r w:rsidRPr="00F82F28">
        <w:rPr>
          <w:bCs/>
          <w:lang w:val="fr-FR"/>
        </w:rPr>
        <w:t xml:space="preserve">application </w:t>
      </w:r>
      <w:r w:rsidR="00E31F85">
        <w:rPr>
          <w:bCs/>
          <w:lang w:val="fr-FR"/>
        </w:rPr>
        <w:br/>
      </w:r>
      <w:r w:rsidRPr="00F82F28">
        <w:rPr>
          <w:bCs/>
          <w:lang w:val="fr-FR"/>
        </w:rPr>
        <w:t>du No ONU 1002, AIR COMPRIMÉ</w:t>
      </w:r>
    </w:p>
    <w:p w14:paraId="4D9B2C1A" w14:textId="77777777" w:rsidR="00026B0E" w:rsidRPr="00DF0FF2" w:rsidRDefault="00026B0E" w:rsidP="00E31F85">
      <w:pPr>
        <w:pStyle w:val="SingleTxtG"/>
        <w:tabs>
          <w:tab w:val="clear" w:pos="1701"/>
          <w:tab w:val="clear" w:pos="2268"/>
          <w:tab w:val="clear" w:pos="2835"/>
          <w:tab w:val="left" w:pos="3402"/>
        </w:tabs>
        <w:ind w:left="3402" w:hanging="2268"/>
        <w:jc w:val="left"/>
        <w:rPr>
          <w:lang w:val="en-US"/>
        </w:rPr>
      </w:pPr>
      <w:r w:rsidRPr="001F6813">
        <w:rPr>
          <w:i/>
          <w:iCs/>
          <w:lang w:val="en-US"/>
        </w:rPr>
        <w:t>Document</w:t>
      </w:r>
      <w:r w:rsidR="000A5309">
        <w:rPr>
          <w:i/>
          <w:iCs/>
          <w:lang w:val="en-US"/>
        </w:rPr>
        <w:t> </w:t>
      </w:r>
      <w:r w:rsidRPr="001F6813">
        <w:rPr>
          <w:i/>
          <w:iCs/>
          <w:lang w:val="en-US"/>
        </w:rPr>
        <w:t>:</w:t>
      </w:r>
      <w:r w:rsidRPr="001F6813">
        <w:rPr>
          <w:lang w:val="en-US"/>
        </w:rPr>
        <w:tab/>
        <w:t>ST/SG/AC.10/C.3/2020/9 (</w:t>
      </w:r>
      <w:r w:rsidRPr="000A5309">
        <w:rPr>
          <w:lang w:val="en-US"/>
        </w:rPr>
        <w:t>EIGA</w:t>
      </w:r>
      <w:r w:rsidRPr="001F6813">
        <w:rPr>
          <w:lang w:val="en-US"/>
        </w:rPr>
        <w:t>).</w:t>
      </w:r>
    </w:p>
    <w:p w14:paraId="54F7BFA1"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0A5309">
        <w:rPr>
          <w:i/>
          <w:iCs/>
          <w:lang w:val="fr-FR"/>
        </w:rPr>
        <w:t> </w:t>
      </w:r>
      <w:r w:rsidRPr="000A5309">
        <w:rPr>
          <w:i/>
          <w:iCs/>
          <w:lang w:val="fr-FR"/>
        </w:rPr>
        <w:t>:</w:t>
      </w:r>
      <w:r w:rsidRPr="00F82F28">
        <w:rPr>
          <w:lang w:val="fr-FR"/>
        </w:rPr>
        <w:tab/>
        <w:t>INF.35 (EIGA)</w:t>
      </w:r>
      <w:r>
        <w:rPr>
          <w:lang w:val="fr-FR"/>
        </w:rPr>
        <w:t>.</w:t>
      </w:r>
    </w:p>
    <w:p w14:paraId="3F7F69B1" w14:textId="77777777" w:rsidR="00026B0E" w:rsidRPr="007F3B53" w:rsidRDefault="00026B0E" w:rsidP="00026B0E">
      <w:pPr>
        <w:pStyle w:val="SingleTxtG"/>
        <w:rPr>
          <w:lang w:val="fr-FR"/>
        </w:rPr>
      </w:pPr>
      <w:r w:rsidRPr="00F82F28">
        <w:rPr>
          <w:lang w:val="fr-FR"/>
        </w:rPr>
        <w:t>30.</w:t>
      </w:r>
      <w:r w:rsidRPr="00F82F28">
        <w:rPr>
          <w:lang w:val="fr-FR"/>
        </w:rPr>
        <w:tab/>
        <w:t>Le Sous-Comité a adopté les amendements proposés dans le document ST/SG/AC.10/C.3/2020/9 (voir annexe I).</w:t>
      </w:r>
    </w:p>
    <w:p w14:paraId="16067BDA" w14:textId="305AE324" w:rsidR="00026B0E" w:rsidRPr="007F3B53" w:rsidRDefault="00026B0E" w:rsidP="00E31F85">
      <w:pPr>
        <w:pStyle w:val="H1G"/>
        <w:rPr>
          <w:lang w:val="fr-FR"/>
        </w:rPr>
      </w:pPr>
      <w:r>
        <w:rPr>
          <w:lang w:val="fr-FR"/>
        </w:rPr>
        <w:tab/>
      </w:r>
      <w:r w:rsidRPr="00F82F28">
        <w:rPr>
          <w:lang w:val="fr-FR"/>
        </w:rPr>
        <w:t>D.</w:t>
      </w:r>
      <w:r w:rsidRPr="00F82F28">
        <w:rPr>
          <w:lang w:val="fr-FR"/>
        </w:rPr>
        <w:tab/>
        <w:t>Transport d</w:t>
      </w:r>
      <w:r w:rsidR="000B2B75">
        <w:rPr>
          <w:lang w:val="fr-FR"/>
        </w:rPr>
        <w:t>’</w:t>
      </w:r>
      <w:r w:rsidRPr="00F82F28">
        <w:rPr>
          <w:lang w:val="fr-FR"/>
        </w:rPr>
        <w:t xml:space="preserve">extincteurs portatifs conformément </w:t>
      </w:r>
      <w:r w:rsidR="00E31F85">
        <w:rPr>
          <w:lang w:val="fr-FR"/>
        </w:rPr>
        <w:br/>
      </w:r>
      <w:r w:rsidRPr="00F82F28">
        <w:rPr>
          <w:lang w:val="fr-FR"/>
        </w:rPr>
        <w:t>à la disposition spéciale 225</w:t>
      </w:r>
    </w:p>
    <w:p w14:paraId="11CA17CA"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ST/SG/AC.10/C.3/2020/10/Rev.1 (Allemagne)</w:t>
      </w:r>
      <w:r>
        <w:rPr>
          <w:lang w:val="fr-FR"/>
        </w:rPr>
        <w:t>.</w:t>
      </w:r>
    </w:p>
    <w:p w14:paraId="10FF5FB3" w14:textId="77777777" w:rsidR="00026B0E" w:rsidRPr="007F3B53" w:rsidRDefault="00026B0E" w:rsidP="00026B0E">
      <w:pPr>
        <w:pStyle w:val="SingleTxtG"/>
        <w:rPr>
          <w:lang w:val="fr-FR"/>
        </w:rPr>
      </w:pPr>
      <w:r w:rsidRPr="00F82F28">
        <w:rPr>
          <w:lang w:val="fr-FR"/>
        </w:rPr>
        <w:t>31.</w:t>
      </w:r>
      <w:r w:rsidRPr="00F82F28">
        <w:rPr>
          <w:lang w:val="fr-FR"/>
        </w:rPr>
        <w:tab/>
        <w:t>Le Sous-Comité a adopté les amendements présentés dans le document ST/SG/AC.10/C.3/2020/10/Rev.1 et décidé de supprimer le mot «</w:t>
      </w:r>
      <w:r w:rsidR="001914A2">
        <w:rPr>
          <w:lang w:val="fr-FR"/>
        </w:rPr>
        <w:t> </w:t>
      </w:r>
      <w:proofErr w:type="spellStart"/>
      <w:r w:rsidRPr="00F82F28">
        <w:rPr>
          <w:lang w:val="fr-FR"/>
        </w:rPr>
        <w:t>marked</w:t>
      </w:r>
      <w:proofErr w:type="spellEnd"/>
      <w:r w:rsidR="001914A2">
        <w:rPr>
          <w:lang w:val="fr-FR"/>
        </w:rPr>
        <w:t> </w:t>
      </w:r>
      <w:r w:rsidRPr="00F82F28">
        <w:rPr>
          <w:lang w:val="fr-FR"/>
        </w:rPr>
        <w:t>» («</w:t>
      </w:r>
      <w:r w:rsidR="001914A2">
        <w:rPr>
          <w:lang w:val="fr-FR"/>
        </w:rPr>
        <w:t> </w:t>
      </w:r>
      <w:r w:rsidRPr="00F82F28">
        <w:rPr>
          <w:lang w:val="fr-FR"/>
        </w:rPr>
        <w:t>marqués</w:t>
      </w:r>
      <w:r w:rsidR="001914A2">
        <w:rPr>
          <w:lang w:val="fr-FR"/>
        </w:rPr>
        <w:t> </w:t>
      </w:r>
      <w:r w:rsidRPr="00F82F28">
        <w:rPr>
          <w:lang w:val="fr-FR"/>
        </w:rPr>
        <w:t>») tout en conservant le mot «</w:t>
      </w:r>
      <w:r w:rsidR="001914A2">
        <w:rPr>
          <w:lang w:val="fr-FR"/>
        </w:rPr>
        <w:t> </w:t>
      </w:r>
      <w:proofErr w:type="spellStart"/>
      <w:r w:rsidRPr="00F82F28">
        <w:rPr>
          <w:lang w:val="fr-FR"/>
        </w:rPr>
        <w:t>identified</w:t>
      </w:r>
      <w:proofErr w:type="spellEnd"/>
      <w:r w:rsidR="001914A2">
        <w:rPr>
          <w:lang w:val="fr-FR"/>
        </w:rPr>
        <w:t> </w:t>
      </w:r>
      <w:r w:rsidRPr="00F82F28">
        <w:rPr>
          <w:lang w:val="fr-FR"/>
        </w:rPr>
        <w:t>» («</w:t>
      </w:r>
      <w:r w:rsidR="001914A2">
        <w:rPr>
          <w:lang w:val="fr-FR"/>
        </w:rPr>
        <w:t> </w:t>
      </w:r>
      <w:r w:rsidRPr="00F82F28">
        <w:rPr>
          <w:lang w:val="fr-FR"/>
        </w:rPr>
        <w:t>identifiés</w:t>
      </w:r>
      <w:r w:rsidR="001914A2">
        <w:rPr>
          <w:lang w:val="fr-FR"/>
        </w:rPr>
        <w:t> </w:t>
      </w:r>
      <w:r w:rsidRPr="00F82F28">
        <w:rPr>
          <w:lang w:val="fr-FR"/>
        </w:rPr>
        <w:t>») dans le nota proposé pour la disposition spéciale 225 (voir annexe I).</w:t>
      </w:r>
    </w:p>
    <w:p w14:paraId="30071C29" w14:textId="0D1B9C45" w:rsidR="00026B0E" w:rsidRPr="007F3B53" w:rsidRDefault="00026B0E" w:rsidP="00E31F85">
      <w:pPr>
        <w:pStyle w:val="H1G"/>
        <w:rPr>
          <w:lang w:val="fr-FR"/>
        </w:rPr>
      </w:pPr>
      <w:r>
        <w:rPr>
          <w:lang w:val="fr-FR"/>
        </w:rPr>
        <w:tab/>
      </w:r>
      <w:r w:rsidRPr="00F82F28">
        <w:rPr>
          <w:lang w:val="fr-FR"/>
        </w:rPr>
        <w:t>E.</w:t>
      </w:r>
      <w:r w:rsidRPr="00F82F28">
        <w:rPr>
          <w:lang w:val="fr-FR"/>
        </w:rPr>
        <w:tab/>
      </w:r>
      <w:r w:rsidRPr="00F82F28">
        <w:rPr>
          <w:bCs/>
          <w:lang w:val="fr-FR"/>
        </w:rPr>
        <w:t>Création d</w:t>
      </w:r>
      <w:r w:rsidR="000B2B75">
        <w:rPr>
          <w:bCs/>
          <w:lang w:val="fr-FR"/>
        </w:rPr>
        <w:t>’</w:t>
      </w:r>
      <w:r w:rsidRPr="00F82F28">
        <w:rPr>
          <w:bCs/>
          <w:lang w:val="fr-FR"/>
        </w:rPr>
        <w:t>une nouvelle rubrique concernant l</w:t>
      </w:r>
      <w:r w:rsidR="000B2B75">
        <w:rPr>
          <w:bCs/>
          <w:lang w:val="fr-FR"/>
        </w:rPr>
        <w:t>’</w:t>
      </w:r>
      <w:r w:rsidRPr="00F82F28">
        <w:rPr>
          <w:bCs/>
          <w:lang w:val="fr-FR"/>
        </w:rPr>
        <w:t xml:space="preserve">acide </w:t>
      </w:r>
      <w:r w:rsidR="001914A2">
        <w:rPr>
          <w:bCs/>
          <w:lang w:val="fr-FR"/>
        </w:rPr>
        <w:br/>
      </w:r>
      <w:r w:rsidRPr="00F82F28">
        <w:rPr>
          <w:bCs/>
          <w:lang w:val="fr-FR"/>
        </w:rPr>
        <w:t xml:space="preserve">(7-méthoxy-5-méthyle-benzothiophène-2-yl) </w:t>
      </w:r>
      <w:proofErr w:type="spellStart"/>
      <w:r w:rsidRPr="00F82F28">
        <w:rPr>
          <w:bCs/>
          <w:lang w:val="fr-FR"/>
        </w:rPr>
        <w:t>boronique</w:t>
      </w:r>
      <w:proofErr w:type="spellEnd"/>
      <w:r w:rsidRPr="00F82F28">
        <w:rPr>
          <w:bCs/>
          <w:lang w:val="fr-FR"/>
        </w:rPr>
        <w:t xml:space="preserve"> en tant que</w:t>
      </w:r>
      <w:r w:rsidR="001914A2">
        <w:rPr>
          <w:bCs/>
          <w:lang w:val="fr-FR"/>
        </w:rPr>
        <w:t> </w:t>
      </w:r>
      <w:r w:rsidRPr="00F82F28">
        <w:rPr>
          <w:bCs/>
          <w:lang w:val="fr-FR"/>
        </w:rPr>
        <w:t xml:space="preserve">matière </w:t>
      </w:r>
      <w:proofErr w:type="spellStart"/>
      <w:r w:rsidRPr="00F82F28">
        <w:rPr>
          <w:bCs/>
          <w:lang w:val="fr-FR"/>
        </w:rPr>
        <w:t>autoréactive</w:t>
      </w:r>
      <w:proofErr w:type="spellEnd"/>
      <w:r w:rsidRPr="00F82F28">
        <w:rPr>
          <w:bCs/>
          <w:lang w:val="fr-FR"/>
        </w:rPr>
        <w:t xml:space="preserve"> au paragraphe 2.4.2.3.2.3 du Règlement type pour le transport des marchandises dangereuses</w:t>
      </w:r>
    </w:p>
    <w:p w14:paraId="1BD02B56" w14:textId="77777777" w:rsidR="00026B0E" w:rsidRPr="00DF0FF2" w:rsidRDefault="00026B0E" w:rsidP="00E31F85">
      <w:pPr>
        <w:pStyle w:val="SingleTxtG"/>
        <w:tabs>
          <w:tab w:val="clear" w:pos="1701"/>
          <w:tab w:val="clear" w:pos="2268"/>
          <w:tab w:val="clear" w:pos="2835"/>
          <w:tab w:val="left" w:pos="3402"/>
        </w:tabs>
        <w:ind w:left="3402" w:hanging="2268"/>
        <w:jc w:val="left"/>
        <w:rPr>
          <w:lang w:val="fr-FR"/>
        </w:rPr>
      </w:pPr>
      <w:r w:rsidRPr="00DF0FF2">
        <w:rPr>
          <w:i/>
          <w:iCs/>
          <w:lang w:val="fr-FR"/>
        </w:rPr>
        <w:t>Document</w:t>
      </w:r>
      <w:r w:rsidR="000A5309">
        <w:rPr>
          <w:i/>
          <w:iCs/>
          <w:lang w:val="fr-FR"/>
        </w:rPr>
        <w:t> </w:t>
      </w:r>
      <w:r w:rsidRPr="00DF0FF2">
        <w:rPr>
          <w:i/>
          <w:iCs/>
          <w:lang w:val="fr-FR"/>
        </w:rPr>
        <w:t>:</w:t>
      </w:r>
      <w:r w:rsidRPr="00DF0FF2">
        <w:rPr>
          <w:lang w:val="fr-FR"/>
        </w:rPr>
        <w:tab/>
        <w:t>ST/SG/AC.10/C.3/2020/12 (CEFIC).</w:t>
      </w:r>
    </w:p>
    <w:p w14:paraId="1C1B3EF0" w14:textId="77777777" w:rsidR="00026B0E" w:rsidRPr="007F3B53" w:rsidRDefault="00026B0E" w:rsidP="00026B0E">
      <w:pPr>
        <w:pStyle w:val="SingleTxtG"/>
        <w:rPr>
          <w:lang w:val="fr-FR"/>
        </w:rPr>
      </w:pPr>
      <w:r w:rsidRPr="00F82F28">
        <w:rPr>
          <w:lang w:val="fr-FR"/>
        </w:rPr>
        <w:t>32.</w:t>
      </w:r>
      <w:r w:rsidRPr="00F82F28">
        <w:rPr>
          <w:lang w:val="fr-FR"/>
        </w:rPr>
        <w:tab/>
        <w:t>Le Sous-Comité a adopté les amendements proposés dans le document ST/SG/AC.10/C.3/2020/12 (voir annexe I).</w:t>
      </w:r>
    </w:p>
    <w:p w14:paraId="5C4A359B" w14:textId="77777777" w:rsidR="00026B0E" w:rsidRPr="007F3B53" w:rsidRDefault="00026B0E" w:rsidP="00E31F85">
      <w:pPr>
        <w:pStyle w:val="H1G"/>
        <w:rPr>
          <w:lang w:val="fr-FR"/>
        </w:rPr>
      </w:pPr>
      <w:r>
        <w:rPr>
          <w:lang w:val="fr-FR"/>
        </w:rPr>
        <w:tab/>
      </w:r>
      <w:r w:rsidRPr="00F82F28">
        <w:rPr>
          <w:lang w:val="fr-FR"/>
        </w:rPr>
        <w:t>F.</w:t>
      </w:r>
      <w:r w:rsidRPr="00F82F28">
        <w:rPr>
          <w:lang w:val="fr-FR"/>
        </w:rPr>
        <w:tab/>
      </w:r>
      <w:r w:rsidRPr="00F82F28">
        <w:rPr>
          <w:bCs/>
          <w:lang w:val="fr-FR"/>
        </w:rPr>
        <w:t>Peroxydes organiques</w:t>
      </w:r>
      <w:r w:rsidR="004D3879">
        <w:rPr>
          <w:bCs/>
          <w:lang w:val="fr-FR"/>
        </w:rPr>
        <w:t> </w:t>
      </w:r>
      <w:r w:rsidRPr="00F82F28">
        <w:rPr>
          <w:bCs/>
          <w:lang w:val="fr-FR"/>
        </w:rPr>
        <w:t xml:space="preserve">: </w:t>
      </w:r>
      <w:r w:rsidRPr="00E31F85">
        <w:rPr>
          <w:lang w:val="fr-FR"/>
        </w:rPr>
        <w:t>nouvelles</w:t>
      </w:r>
      <w:r w:rsidRPr="00F82F28">
        <w:rPr>
          <w:bCs/>
          <w:lang w:val="fr-FR"/>
        </w:rPr>
        <w:t xml:space="preserve"> préparations </w:t>
      </w:r>
      <w:r w:rsidR="004D3879">
        <w:rPr>
          <w:bCs/>
          <w:lang w:val="fr-FR"/>
        </w:rPr>
        <w:br/>
      </w:r>
      <w:r w:rsidRPr="00F82F28">
        <w:rPr>
          <w:bCs/>
          <w:lang w:val="fr-FR"/>
        </w:rPr>
        <w:t>devant figurer au paragraphe 2.5.3.2.4</w:t>
      </w:r>
    </w:p>
    <w:p w14:paraId="25F772E5"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ST/SG/AC.10/C.3/2020/14 (Japon)</w:t>
      </w:r>
      <w:r>
        <w:rPr>
          <w:lang w:val="fr-FR"/>
        </w:rPr>
        <w:t>.</w:t>
      </w:r>
    </w:p>
    <w:p w14:paraId="20FF9123" w14:textId="77777777" w:rsidR="00026B0E" w:rsidRPr="007F3B53" w:rsidRDefault="00026B0E" w:rsidP="00026B0E">
      <w:pPr>
        <w:pStyle w:val="SingleTxtG"/>
        <w:rPr>
          <w:lang w:val="fr-FR"/>
        </w:rPr>
      </w:pPr>
      <w:r w:rsidRPr="00F82F28">
        <w:rPr>
          <w:lang w:val="fr-FR"/>
        </w:rPr>
        <w:t>33.</w:t>
      </w:r>
      <w:r w:rsidRPr="00F82F28">
        <w:rPr>
          <w:lang w:val="fr-FR"/>
        </w:rPr>
        <w:tab/>
        <w:t>Le Sous-Comité a adopté les deux nouvelles entrées de la liste des peroxydes organiques au 2.5.3.2.4 (voir annexe I).</w:t>
      </w:r>
    </w:p>
    <w:p w14:paraId="076FAC4F" w14:textId="37F6F26F" w:rsidR="00026B0E" w:rsidRPr="007F3B53" w:rsidRDefault="00026B0E" w:rsidP="00E31F85">
      <w:pPr>
        <w:pStyle w:val="H1G"/>
        <w:rPr>
          <w:lang w:val="fr-FR"/>
        </w:rPr>
      </w:pPr>
      <w:r>
        <w:rPr>
          <w:lang w:val="fr-FR"/>
        </w:rPr>
        <w:tab/>
      </w:r>
      <w:r w:rsidRPr="00F82F28">
        <w:rPr>
          <w:lang w:val="fr-FR"/>
        </w:rPr>
        <w:t>G.</w:t>
      </w:r>
      <w:r w:rsidRPr="00F82F28">
        <w:rPr>
          <w:lang w:val="fr-FR"/>
        </w:rPr>
        <w:tab/>
      </w:r>
      <w:r w:rsidRPr="00F82F28">
        <w:rPr>
          <w:bCs/>
          <w:lang w:val="fr-FR"/>
        </w:rPr>
        <w:t xml:space="preserve">Amendements </w:t>
      </w:r>
      <w:r>
        <w:rPr>
          <w:bCs/>
          <w:lang w:val="fr-FR"/>
        </w:rPr>
        <w:t>liés à</w:t>
      </w:r>
      <w:r w:rsidRPr="00F82F28">
        <w:rPr>
          <w:bCs/>
          <w:lang w:val="fr-FR"/>
        </w:rPr>
        <w:t xml:space="preserve"> </w:t>
      </w:r>
      <w:r w:rsidRPr="00E31F85">
        <w:rPr>
          <w:lang w:val="fr-FR"/>
        </w:rPr>
        <w:t>l</w:t>
      </w:r>
      <w:r w:rsidR="000B2B75">
        <w:rPr>
          <w:lang w:val="fr-FR"/>
        </w:rPr>
        <w:t>’</w:t>
      </w:r>
      <w:r w:rsidRPr="00E31F85">
        <w:rPr>
          <w:lang w:val="fr-FR"/>
        </w:rPr>
        <w:t>introduction</w:t>
      </w:r>
      <w:r w:rsidRPr="00F82F28">
        <w:rPr>
          <w:bCs/>
          <w:lang w:val="fr-FR"/>
        </w:rPr>
        <w:t xml:space="preserve"> de l</w:t>
      </w:r>
      <w:r w:rsidR="000B2B75">
        <w:rPr>
          <w:bCs/>
          <w:lang w:val="fr-FR"/>
        </w:rPr>
        <w:t>’</w:t>
      </w:r>
      <w:r w:rsidRPr="00F82F28">
        <w:rPr>
          <w:bCs/>
          <w:lang w:val="fr-FR"/>
        </w:rPr>
        <w:t>expression «</w:t>
      </w:r>
      <w:r w:rsidR="001914A2">
        <w:rPr>
          <w:bCs/>
          <w:lang w:val="fr-FR"/>
        </w:rPr>
        <w:t> </w:t>
      </w:r>
      <w:r w:rsidRPr="00F82F28">
        <w:rPr>
          <w:bCs/>
          <w:lang w:val="fr-FR"/>
        </w:rPr>
        <w:t>AVEC</w:t>
      </w:r>
      <w:r w:rsidR="001914A2">
        <w:rPr>
          <w:bCs/>
          <w:lang w:val="fr-FR"/>
        </w:rPr>
        <w:t xml:space="preserve"> </w:t>
      </w:r>
      <w:r w:rsidRPr="00F82F28">
        <w:rPr>
          <w:bCs/>
          <w:lang w:val="fr-FR"/>
        </w:rPr>
        <w:t>RÉGULATION DE TEMPÉRATURE</w:t>
      </w:r>
      <w:r w:rsidR="001914A2">
        <w:rPr>
          <w:bCs/>
          <w:lang w:val="fr-FR"/>
        </w:rPr>
        <w:t> </w:t>
      </w:r>
      <w:r w:rsidRPr="00F82F28">
        <w:rPr>
          <w:bCs/>
          <w:lang w:val="fr-FR"/>
        </w:rPr>
        <w:t xml:space="preserve">» au paragraphe 3.1.2.6 </w:t>
      </w:r>
      <w:r w:rsidR="001914A2">
        <w:rPr>
          <w:bCs/>
          <w:lang w:val="fr-FR"/>
        </w:rPr>
        <w:br/>
      </w:r>
      <w:r w:rsidRPr="00F82F28">
        <w:rPr>
          <w:bCs/>
          <w:lang w:val="fr-FR"/>
        </w:rPr>
        <w:t xml:space="preserve">et </w:t>
      </w:r>
      <w:r>
        <w:rPr>
          <w:bCs/>
          <w:lang w:val="fr-FR"/>
        </w:rPr>
        <w:t>à l</w:t>
      </w:r>
      <w:r w:rsidR="000B2B75">
        <w:rPr>
          <w:bCs/>
          <w:lang w:val="fr-FR"/>
        </w:rPr>
        <w:t>’</w:t>
      </w:r>
      <w:r>
        <w:rPr>
          <w:bCs/>
          <w:lang w:val="fr-FR"/>
        </w:rPr>
        <w:t xml:space="preserve">inclusion </w:t>
      </w:r>
      <w:r w:rsidRPr="00F82F28">
        <w:rPr>
          <w:bCs/>
          <w:lang w:val="fr-FR"/>
        </w:rPr>
        <w:t>du terme «</w:t>
      </w:r>
      <w:r w:rsidR="001914A2">
        <w:rPr>
          <w:bCs/>
          <w:lang w:val="fr-FR"/>
        </w:rPr>
        <w:t> </w:t>
      </w:r>
      <w:r w:rsidRPr="00F82F28">
        <w:rPr>
          <w:bCs/>
          <w:lang w:val="fr-FR"/>
        </w:rPr>
        <w:t>FONDU</w:t>
      </w:r>
      <w:r w:rsidR="001914A2">
        <w:rPr>
          <w:bCs/>
          <w:lang w:val="fr-FR"/>
        </w:rPr>
        <w:t> </w:t>
      </w:r>
      <w:r w:rsidRPr="00F82F28">
        <w:rPr>
          <w:bCs/>
          <w:lang w:val="fr-FR"/>
        </w:rPr>
        <w:t>» dans la désignation officielle de</w:t>
      </w:r>
      <w:r w:rsidR="001914A2">
        <w:rPr>
          <w:bCs/>
          <w:lang w:val="fr-FR"/>
        </w:rPr>
        <w:t> </w:t>
      </w:r>
      <w:r w:rsidRPr="00F82F28">
        <w:rPr>
          <w:bCs/>
          <w:lang w:val="fr-FR"/>
        </w:rPr>
        <w:t xml:space="preserve">transport </w:t>
      </w:r>
      <w:r>
        <w:rPr>
          <w:bCs/>
          <w:lang w:val="fr-FR"/>
        </w:rPr>
        <w:t xml:space="preserve">figurant </w:t>
      </w:r>
      <w:r w:rsidRPr="00F82F28">
        <w:rPr>
          <w:bCs/>
          <w:lang w:val="fr-FR"/>
        </w:rPr>
        <w:t>dans le document de transport</w:t>
      </w:r>
    </w:p>
    <w:p w14:paraId="6231F5D7"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Documents</w:t>
      </w:r>
      <w:r w:rsidR="000A5309">
        <w:rPr>
          <w:i/>
          <w:iCs/>
          <w:lang w:val="fr-FR"/>
        </w:rPr>
        <w:t> </w:t>
      </w:r>
      <w:r w:rsidRPr="00F82F28">
        <w:rPr>
          <w:i/>
          <w:iCs/>
          <w:lang w:val="fr-FR"/>
        </w:rPr>
        <w:t>:</w:t>
      </w:r>
      <w:r w:rsidRPr="00F82F28">
        <w:rPr>
          <w:lang w:val="fr-FR"/>
        </w:rPr>
        <w:tab/>
        <w:t>ST/SG/AC.10/C.3/2020/15 et ST/SG/AC.10/C.3/2020/68 (Espagne)</w:t>
      </w:r>
      <w:r>
        <w:rPr>
          <w:lang w:val="fr-FR"/>
        </w:rPr>
        <w:t>.</w:t>
      </w:r>
    </w:p>
    <w:p w14:paraId="31B11A37" w14:textId="05F4963C" w:rsidR="00026B0E" w:rsidRPr="007F3B53" w:rsidRDefault="00026B0E" w:rsidP="00026B0E">
      <w:pPr>
        <w:pStyle w:val="SingleTxtG"/>
        <w:rPr>
          <w:lang w:val="fr-FR"/>
        </w:rPr>
      </w:pPr>
      <w:r w:rsidRPr="00F82F28">
        <w:rPr>
          <w:lang w:val="fr-FR"/>
        </w:rPr>
        <w:t>34.</w:t>
      </w:r>
      <w:r w:rsidRPr="00F82F28">
        <w:rPr>
          <w:lang w:val="fr-FR"/>
        </w:rPr>
        <w:tab/>
        <w:t>Suite aux observations reçues au cours de la session informelle, l</w:t>
      </w:r>
      <w:r w:rsidR="000B2B75">
        <w:rPr>
          <w:lang w:val="fr-FR"/>
        </w:rPr>
        <w:t>’</w:t>
      </w:r>
      <w:r w:rsidRPr="00F82F28">
        <w:rPr>
          <w:lang w:val="fr-FR"/>
        </w:rPr>
        <w:t>expert de l</w:t>
      </w:r>
      <w:r w:rsidR="000B2B75">
        <w:rPr>
          <w:lang w:val="fr-FR"/>
        </w:rPr>
        <w:t>’</w:t>
      </w:r>
      <w:r w:rsidRPr="00F82F28">
        <w:rPr>
          <w:lang w:val="fr-FR"/>
        </w:rPr>
        <w:t>Espagne a retiré le document ST/SG/AC.10/C.3/2020/68. Le Sous-Comité a adopté les amendements présentés dans le document ST/SG/AC.10/C.3/2020/15, sous réserve de la suppression, dans les propositions d</w:t>
      </w:r>
      <w:r w:rsidR="000B2B75">
        <w:rPr>
          <w:lang w:val="fr-FR"/>
        </w:rPr>
        <w:t>’</w:t>
      </w:r>
      <w:r w:rsidRPr="00F82F28">
        <w:rPr>
          <w:lang w:val="fr-FR"/>
        </w:rPr>
        <w:t>amendements au 7.1.5.3.2 a), des mots «</w:t>
      </w:r>
      <w:r w:rsidR="001914A2">
        <w:rPr>
          <w:lang w:val="fr-FR"/>
        </w:rPr>
        <w:t> </w:t>
      </w:r>
      <w:r w:rsidRPr="00F82F28">
        <w:rPr>
          <w:lang w:val="fr-FR"/>
        </w:rPr>
        <w:t>STABILIZED or</w:t>
      </w:r>
      <w:r w:rsidR="001914A2">
        <w:rPr>
          <w:lang w:val="fr-FR"/>
        </w:rPr>
        <w:t> </w:t>
      </w:r>
      <w:r w:rsidRPr="00F82F28">
        <w:rPr>
          <w:lang w:val="fr-FR"/>
        </w:rPr>
        <w:t>» («</w:t>
      </w:r>
      <w:r w:rsidR="001914A2">
        <w:rPr>
          <w:lang w:val="fr-FR"/>
        </w:rPr>
        <w:t> </w:t>
      </w:r>
      <w:r w:rsidRPr="00F82F28">
        <w:rPr>
          <w:lang w:val="fr-FR"/>
        </w:rPr>
        <w:t>STABILISÉ ou</w:t>
      </w:r>
      <w:r>
        <w:rPr>
          <w:lang w:val="fr-FR"/>
        </w:rPr>
        <w:t xml:space="preserve"> la mention</w:t>
      </w:r>
      <w:r w:rsidR="001914A2">
        <w:rPr>
          <w:lang w:val="fr-FR"/>
        </w:rPr>
        <w:t> </w:t>
      </w:r>
      <w:r w:rsidRPr="00F82F28">
        <w:rPr>
          <w:lang w:val="fr-FR"/>
        </w:rPr>
        <w:t>») (voir annexe I).</w:t>
      </w:r>
    </w:p>
    <w:p w14:paraId="7247730A" w14:textId="77777777" w:rsidR="00026B0E" w:rsidRPr="007F3B53" w:rsidRDefault="00026B0E" w:rsidP="00E31F85">
      <w:pPr>
        <w:pStyle w:val="H1G"/>
        <w:rPr>
          <w:lang w:val="fr-FR"/>
        </w:rPr>
      </w:pPr>
      <w:r>
        <w:rPr>
          <w:lang w:val="fr-FR"/>
        </w:rPr>
        <w:lastRenderedPageBreak/>
        <w:tab/>
      </w:r>
      <w:r w:rsidRPr="00F82F28">
        <w:rPr>
          <w:lang w:val="fr-FR"/>
        </w:rPr>
        <w:t>H.</w:t>
      </w:r>
      <w:r w:rsidRPr="00F82F28">
        <w:rPr>
          <w:lang w:val="fr-FR"/>
        </w:rPr>
        <w:tab/>
        <w:t>Modifications relatives aux récipients à pression de secours</w:t>
      </w:r>
    </w:p>
    <w:p w14:paraId="3A153647"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r>
      <w:r>
        <w:rPr>
          <w:lang w:val="fr-FR"/>
        </w:rPr>
        <w:tab/>
      </w:r>
      <w:r w:rsidRPr="00F82F28">
        <w:rPr>
          <w:lang w:val="fr-FR"/>
        </w:rPr>
        <w:t>ST/SG/AC.10/C.3/2020/18 (Allemagne)</w:t>
      </w:r>
      <w:r>
        <w:rPr>
          <w:lang w:val="fr-FR"/>
        </w:rPr>
        <w:t>.</w:t>
      </w:r>
    </w:p>
    <w:p w14:paraId="5AD00E25" w14:textId="77777777" w:rsidR="00E31F85" w:rsidRDefault="00026B0E" w:rsidP="00E31F85">
      <w:pPr>
        <w:pStyle w:val="SingleTxtG"/>
        <w:tabs>
          <w:tab w:val="clear" w:pos="1701"/>
          <w:tab w:val="clear" w:pos="2268"/>
          <w:tab w:val="clear" w:pos="2835"/>
          <w:tab w:val="left" w:pos="3402"/>
        </w:tabs>
        <w:spacing w:after="0"/>
        <w:ind w:left="3402" w:hanging="2268"/>
        <w:jc w:val="left"/>
        <w:rPr>
          <w:lang w:val="fr-FR"/>
        </w:rPr>
      </w:pPr>
      <w:r w:rsidRPr="00F82F28">
        <w:rPr>
          <w:i/>
          <w:iCs/>
          <w:lang w:val="fr-FR"/>
        </w:rPr>
        <w:t>Documents informels</w:t>
      </w:r>
      <w:r w:rsidR="000A5309">
        <w:rPr>
          <w:i/>
          <w:iCs/>
          <w:lang w:val="fr-FR"/>
        </w:rPr>
        <w:t> </w:t>
      </w:r>
      <w:r w:rsidRPr="00F82F28">
        <w:rPr>
          <w:i/>
          <w:iCs/>
          <w:lang w:val="fr-FR"/>
        </w:rPr>
        <w:t>:</w:t>
      </w:r>
      <w:r w:rsidRPr="00F82F28">
        <w:rPr>
          <w:lang w:val="fr-FR"/>
        </w:rPr>
        <w:tab/>
        <w:t xml:space="preserve">INF.52 (ECMA) </w:t>
      </w:r>
    </w:p>
    <w:p w14:paraId="7ABB7ECC" w14:textId="77777777" w:rsidR="00026B0E" w:rsidRPr="007F3B53" w:rsidRDefault="00026B0E" w:rsidP="00E31F85">
      <w:pPr>
        <w:pStyle w:val="SingleTxtG"/>
        <w:tabs>
          <w:tab w:val="clear" w:pos="1701"/>
          <w:tab w:val="clear" w:pos="2268"/>
          <w:tab w:val="clear" w:pos="2835"/>
          <w:tab w:val="left" w:pos="3402"/>
        </w:tabs>
        <w:ind w:left="3402"/>
        <w:jc w:val="left"/>
        <w:rPr>
          <w:lang w:val="fr-FR"/>
        </w:rPr>
      </w:pPr>
      <w:r w:rsidRPr="00F82F28">
        <w:rPr>
          <w:lang w:val="fr-FR"/>
        </w:rPr>
        <w:t>INF.53 (Allemagne)</w:t>
      </w:r>
      <w:r>
        <w:rPr>
          <w:lang w:val="fr-FR"/>
        </w:rPr>
        <w:t>.</w:t>
      </w:r>
      <w:r w:rsidRPr="007F3B53">
        <w:rPr>
          <w:lang w:val="fr-FR"/>
        </w:rPr>
        <w:t xml:space="preserve"> </w:t>
      </w:r>
    </w:p>
    <w:p w14:paraId="05FC64C1" w14:textId="57F6A909" w:rsidR="00026B0E" w:rsidRPr="007F3B53" w:rsidRDefault="00026B0E" w:rsidP="00026B0E">
      <w:pPr>
        <w:pStyle w:val="SingleTxtG"/>
        <w:rPr>
          <w:lang w:val="fr-FR"/>
        </w:rPr>
      </w:pPr>
      <w:r w:rsidRPr="00F82F28">
        <w:rPr>
          <w:lang w:val="fr-FR"/>
        </w:rPr>
        <w:t>35.</w:t>
      </w:r>
      <w:r w:rsidRPr="00F82F28">
        <w:rPr>
          <w:lang w:val="fr-FR"/>
        </w:rPr>
        <w:tab/>
        <w:t>Suite aux observations reçues, au cours de la session informelle, sur les documents informels INF.52 et INF.53, le Sous-Comité a adopté les amendements présentés au titre de la proposition 3 dans le document ST/SG/AC.10/C.3/2020/18 (voir annexe I). Il a été décidé de mettre en place un groupe de travail intersessions, dirigé par l</w:t>
      </w:r>
      <w:r w:rsidR="000B2B75">
        <w:rPr>
          <w:lang w:val="fr-FR"/>
        </w:rPr>
        <w:t>’</w:t>
      </w:r>
      <w:r w:rsidRPr="00F82F28">
        <w:rPr>
          <w:lang w:val="fr-FR"/>
        </w:rPr>
        <w:t>Allemagne, afin de poursuivre l</w:t>
      </w:r>
      <w:r w:rsidR="000B2B75">
        <w:rPr>
          <w:lang w:val="fr-FR"/>
        </w:rPr>
        <w:t>’</w:t>
      </w:r>
      <w:r w:rsidRPr="00F82F28">
        <w:rPr>
          <w:lang w:val="fr-FR"/>
        </w:rPr>
        <w:t>examen des propositions 1 et 2, et de soumettre une nouvelle proposition pour examen au cours de la prochaine période biennale.</w:t>
      </w:r>
    </w:p>
    <w:p w14:paraId="3EB1F157" w14:textId="4FA2602B" w:rsidR="00026B0E" w:rsidRPr="007F3B53" w:rsidRDefault="00026B0E" w:rsidP="00E31F85">
      <w:pPr>
        <w:pStyle w:val="H1G"/>
        <w:rPr>
          <w:lang w:val="fr-FR"/>
        </w:rPr>
      </w:pPr>
      <w:r>
        <w:rPr>
          <w:lang w:val="fr-FR"/>
        </w:rPr>
        <w:tab/>
      </w:r>
      <w:r w:rsidRPr="00F82F28">
        <w:rPr>
          <w:lang w:val="fr-FR"/>
        </w:rPr>
        <w:t>I.</w:t>
      </w:r>
      <w:r w:rsidRPr="00F82F28">
        <w:rPr>
          <w:lang w:val="fr-FR"/>
        </w:rPr>
        <w:tab/>
      </w:r>
      <w:r w:rsidRPr="00F82F28">
        <w:rPr>
          <w:bCs/>
          <w:lang w:val="fr-FR"/>
        </w:rPr>
        <w:t>Demande d</w:t>
      </w:r>
      <w:r w:rsidR="000B2B75">
        <w:rPr>
          <w:bCs/>
          <w:lang w:val="fr-FR"/>
        </w:rPr>
        <w:t>’</w:t>
      </w:r>
      <w:r w:rsidRPr="00F82F28">
        <w:rPr>
          <w:bCs/>
          <w:lang w:val="fr-FR"/>
        </w:rPr>
        <w:t xml:space="preserve">un nouveau numéro ONU </w:t>
      </w:r>
      <w:r w:rsidR="00E31F85">
        <w:rPr>
          <w:bCs/>
          <w:lang w:val="fr-FR"/>
        </w:rPr>
        <w:br/>
      </w:r>
      <w:r w:rsidRPr="00F82F28">
        <w:rPr>
          <w:bCs/>
          <w:lang w:val="fr-FR"/>
        </w:rPr>
        <w:t>pour la poudre de dihydroxyde de cobalt</w:t>
      </w:r>
    </w:p>
    <w:p w14:paraId="4B847D68"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r>
      <w:r>
        <w:rPr>
          <w:lang w:val="fr-FR"/>
        </w:rPr>
        <w:tab/>
      </w:r>
      <w:r w:rsidRPr="00F82F28">
        <w:rPr>
          <w:lang w:val="fr-FR"/>
        </w:rPr>
        <w:t>ST/SG/AC.10/C.3/2020/21/Rev.1 (RPMASA et ICPP)</w:t>
      </w:r>
      <w:r>
        <w:rPr>
          <w:lang w:val="fr-FR"/>
        </w:rPr>
        <w:t>.</w:t>
      </w:r>
      <w:r w:rsidRPr="007F3B53">
        <w:rPr>
          <w:lang w:val="fr-FR"/>
        </w:rPr>
        <w:t xml:space="preserve"> </w:t>
      </w:r>
    </w:p>
    <w:p w14:paraId="34CBE0B7"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Documents informels</w:t>
      </w:r>
      <w:r w:rsidR="000A5309">
        <w:rPr>
          <w:i/>
          <w:iCs/>
          <w:lang w:val="fr-FR"/>
        </w:rPr>
        <w:t> </w:t>
      </w:r>
      <w:r w:rsidRPr="00F82F28">
        <w:rPr>
          <w:i/>
          <w:iCs/>
          <w:lang w:val="fr-FR"/>
        </w:rPr>
        <w:t>:</w:t>
      </w:r>
      <w:r w:rsidRPr="00F82F28">
        <w:rPr>
          <w:lang w:val="fr-FR"/>
        </w:rPr>
        <w:tab/>
        <w:t>INF.5, INF.20 et INF.45 (RPMASA et ICPP)</w:t>
      </w:r>
      <w:r>
        <w:rPr>
          <w:lang w:val="fr-FR"/>
        </w:rPr>
        <w:t>.</w:t>
      </w:r>
    </w:p>
    <w:p w14:paraId="0C788F78" w14:textId="55A01F8A" w:rsidR="00026B0E" w:rsidRPr="007F3B53" w:rsidRDefault="00026B0E" w:rsidP="00026B0E">
      <w:pPr>
        <w:pStyle w:val="SingleTxtG"/>
        <w:rPr>
          <w:lang w:val="fr-FR"/>
        </w:rPr>
      </w:pPr>
      <w:r w:rsidRPr="00F82F28">
        <w:rPr>
          <w:lang w:val="fr-FR"/>
        </w:rPr>
        <w:t>36.</w:t>
      </w:r>
      <w:r w:rsidRPr="00F82F28">
        <w:rPr>
          <w:lang w:val="fr-FR"/>
        </w:rPr>
        <w:tab/>
        <w:t>Le Sous-Comité a examiné le document ST/SG/AC.10/C.3/2020/21/Rev.1 et a adopté les amendements aux paragraphes 13, 17 et 18 tels qu</w:t>
      </w:r>
      <w:r w:rsidR="000B2B75">
        <w:rPr>
          <w:lang w:val="fr-FR"/>
        </w:rPr>
        <w:t>’</w:t>
      </w:r>
      <w:r w:rsidRPr="00F82F28">
        <w:rPr>
          <w:lang w:val="fr-FR"/>
        </w:rPr>
        <w:t>ils figurent dans le document informel INF.45, moyennant quelques modifications supplémentaires (voir annexe I).</w:t>
      </w:r>
    </w:p>
    <w:p w14:paraId="0824B0E9" w14:textId="02F444E9" w:rsidR="00026B0E" w:rsidRPr="007F3B53" w:rsidRDefault="00026B0E" w:rsidP="00026B0E">
      <w:pPr>
        <w:pStyle w:val="SingleTxtG"/>
        <w:rPr>
          <w:lang w:val="fr-FR"/>
        </w:rPr>
      </w:pPr>
      <w:r w:rsidRPr="00F82F28">
        <w:rPr>
          <w:lang w:val="fr-FR"/>
        </w:rPr>
        <w:t>37.</w:t>
      </w:r>
      <w:r w:rsidRPr="00F82F28">
        <w:rPr>
          <w:lang w:val="fr-FR"/>
        </w:rPr>
        <w:tab/>
        <w:t xml:space="preserve">Le Sous-Comité a invité les auteurs à poursuivre leurs travaux sur les dispositions relatives aux épreuves </w:t>
      </w:r>
      <w:r>
        <w:rPr>
          <w:lang w:val="fr-FR"/>
        </w:rPr>
        <w:t>po</w:t>
      </w:r>
      <w:r w:rsidRPr="00F82F28">
        <w:rPr>
          <w:lang w:val="fr-FR"/>
        </w:rPr>
        <w:t>ur les GRV souples au chapitre 6.5 et sur une proposition révisée d</w:t>
      </w:r>
      <w:r w:rsidR="000B2B75">
        <w:rPr>
          <w:lang w:val="fr-FR"/>
        </w:rPr>
        <w:t>’</w:t>
      </w:r>
      <w:r w:rsidRPr="00F82F28">
        <w:rPr>
          <w:lang w:val="fr-FR"/>
        </w:rPr>
        <w:t xml:space="preserve">amendements aux </w:t>
      </w:r>
      <w:r>
        <w:rPr>
          <w:lang w:val="fr-FR"/>
        </w:rPr>
        <w:t>P</w:t>
      </w:r>
      <w:r w:rsidRPr="00F82F28">
        <w:rPr>
          <w:lang w:val="fr-FR"/>
        </w:rPr>
        <w:t>rincipes directeurs.</w:t>
      </w:r>
    </w:p>
    <w:p w14:paraId="02A3849C" w14:textId="21628055" w:rsidR="00026B0E" w:rsidRPr="007F3B53" w:rsidRDefault="00026B0E" w:rsidP="00E31F85">
      <w:pPr>
        <w:pStyle w:val="H1G"/>
        <w:rPr>
          <w:lang w:val="fr-FR"/>
        </w:rPr>
      </w:pPr>
      <w:r>
        <w:rPr>
          <w:lang w:val="fr-FR"/>
        </w:rPr>
        <w:tab/>
      </w:r>
      <w:r w:rsidRPr="00F82F28">
        <w:rPr>
          <w:lang w:val="fr-FR"/>
        </w:rPr>
        <w:t>J.</w:t>
      </w:r>
      <w:r w:rsidRPr="00F82F28">
        <w:rPr>
          <w:lang w:val="fr-FR"/>
        </w:rPr>
        <w:tab/>
      </w:r>
      <w:r w:rsidRPr="00F82F28">
        <w:rPr>
          <w:bCs/>
          <w:lang w:val="fr-FR"/>
        </w:rPr>
        <w:t>Amendements à l</w:t>
      </w:r>
      <w:r w:rsidR="000B2B75">
        <w:rPr>
          <w:bCs/>
          <w:lang w:val="fr-FR"/>
        </w:rPr>
        <w:t>’</w:t>
      </w:r>
      <w:r w:rsidRPr="00F82F28">
        <w:rPr>
          <w:bCs/>
          <w:lang w:val="fr-FR"/>
        </w:rPr>
        <w:t>instruction d</w:t>
      </w:r>
      <w:r w:rsidR="000B2B75">
        <w:rPr>
          <w:bCs/>
          <w:lang w:val="fr-FR"/>
        </w:rPr>
        <w:t>’</w:t>
      </w:r>
      <w:r w:rsidRPr="00F82F28">
        <w:rPr>
          <w:bCs/>
          <w:lang w:val="fr-FR"/>
        </w:rPr>
        <w:t>emballage P621</w:t>
      </w:r>
    </w:p>
    <w:p w14:paraId="5622FD5B"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ST/SG/AC.10/C.3/2020/24/Rev.1 (Belgique)</w:t>
      </w:r>
    </w:p>
    <w:p w14:paraId="175E7E1B" w14:textId="6848D3F5" w:rsidR="00026B0E" w:rsidRPr="007F3B53" w:rsidRDefault="00026B0E" w:rsidP="00026B0E">
      <w:pPr>
        <w:pStyle w:val="SingleTxtG"/>
        <w:rPr>
          <w:lang w:val="fr-FR"/>
        </w:rPr>
      </w:pPr>
      <w:r w:rsidRPr="00F82F28">
        <w:rPr>
          <w:lang w:val="fr-FR"/>
        </w:rPr>
        <w:t>38.</w:t>
      </w:r>
      <w:r w:rsidRPr="00F82F28">
        <w:rPr>
          <w:lang w:val="fr-FR"/>
        </w:rPr>
        <w:tab/>
        <w:t>Le Sous-Comité a adopté les amendements proposés pour l</w:t>
      </w:r>
      <w:r w:rsidR="000B2B75">
        <w:rPr>
          <w:lang w:val="fr-FR"/>
        </w:rPr>
        <w:t>’</w:t>
      </w:r>
      <w:r w:rsidRPr="00F82F28">
        <w:rPr>
          <w:lang w:val="fr-FR"/>
        </w:rPr>
        <w:t>instruction d</w:t>
      </w:r>
      <w:r w:rsidR="000B2B75">
        <w:rPr>
          <w:lang w:val="fr-FR"/>
        </w:rPr>
        <w:t>’</w:t>
      </w:r>
      <w:r w:rsidRPr="00F82F28">
        <w:rPr>
          <w:lang w:val="fr-FR"/>
        </w:rPr>
        <w:t>emballage P621 (voir annexe I).</w:t>
      </w:r>
    </w:p>
    <w:p w14:paraId="1F188776" w14:textId="6B1878E7" w:rsidR="00026B0E" w:rsidRPr="007F3B53" w:rsidRDefault="00026B0E" w:rsidP="00E31F85">
      <w:pPr>
        <w:pStyle w:val="H1G"/>
        <w:rPr>
          <w:lang w:val="fr-FR"/>
        </w:rPr>
      </w:pPr>
      <w:r>
        <w:rPr>
          <w:lang w:val="fr-FR"/>
        </w:rPr>
        <w:tab/>
      </w:r>
      <w:r w:rsidRPr="00F82F28">
        <w:rPr>
          <w:lang w:val="fr-FR"/>
        </w:rPr>
        <w:t>K.</w:t>
      </w:r>
      <w:r w:rsidRPr="00F82F28">
        <w:rPr>
          <w:lang w:val="fr-FR"/>
        </w:rPr>
        <w:tab/>
      </w:r>
      <w:r w:rsidRPr="00F82F28">
        <w:rPr>
          <w:bCs/>
          <w:lang w:val="fr-FR"/>
        </w:rPr>
        <w:t>Modification du classement des toxines extraites d</w:t>
      </w:r>
      <w:r w:rsidR="000B2B75">
        <w:rPr>
          <w:bCs/>
          <w:lang w:val="fr-FR"/>
        </w:rPr>
        <w:t>’</w:t>
      </w:r>
      <w:r w:rsidRPr="00F82F28">
        <w:rPr>
          <w:bCs/>
          <w:lang w:val="fr-FR"/>
        </w:rPr>
        <w:t>organismes vivants</w:t>
      </w:r>
    </w:p>
    <w:p w14:paraId="0B116F72"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ST/SG/AC.10/C.3/2020/31 (Chine)</w:t>
      </w:r>
      <w:r>
        <w:rPr>
          <w:lang w:val="fr-FR"/>
        </w:rPr>
        <w:t>.</w:t>
      </w:r>
    </w:p>
    <w:p w14:paraId="36ED1705" w14:textId="3AB73F8F" w:rsidR="00026B0E" w:rsidRPr="007F3B53" w:rsidRDefault="00026B0E" w:rsidP="00026B0E">
      <w:pPr>
        <w:pStyle w:val="SingleTxtG"/>
        <w:rPr>
          <w:lang w:val="fr-FR"/>
        </w:rPr>
      </w:pPr>
      <w:r w:rsidRPr="00F82F28">
        <w:rPr>
          <w:lang w:val="fr-FR"/>
        </w:rPr>
        <w:t>39.</w:t>
      </w:r>
      <w:r w:rsidRPr="00F82F28">
        <w:rPr>
          <w:lang w:val="fr-FR"/>
        </w:rPr>
        <w:tab/>
        <w:t xml:space="preserve">Le Sous-Comité a adopté le </w:t>
      </w:r>
      <w:r>
        <w:rPr>
          <w:lang w:val="fr-FR"/>
        </w:rPr>
        <w:t>n</w:t>
      </w:r>
      <w:r w:rsidRPr="00F82F28">
        <w:rPr>
          <w:lang w:val="fr-FR"/>
        </w:rPr>
        <w:t>ota modifié sous l</w:t>
      </w:r>
      <w:r w:rsidR="000B2B75">
        <w:rPr>
          <w:lang w:val="fr-FR"/>
        </w:rPr>
        <w:t>’</w:t>
      </w:r>
      <w:r w:rsidRPr="00F82F28">
        <w:rPr>
          <w:lang w:val="fr-FR"/>
        </w:rPr>
        <w:t>intitulé du chapitre 2.6 (voir annexe</w:t>
      </w:r>
      <w:r w:rsidR="002A1B1F">
        <w:rPr>
          <w:lang w:val="fr-FR"/>
        </w:rPr>
        <w:t> </w:t>
      </w:r>
      <w:r w:rsidRPr="00F82F28">
        <w:rPr>
          <w:lang w:val="fr-FR"/>
        </w:rPr>
        <w:t>I).</w:t>
      </w:r>
    </w:p>
    <w:p w14:paraId="4098F3E8" w14:textId="77777777" w:rsidR="00026B0E" w:rsidRPr="007F3B53" w:rsidRDefault="00026B0E" w:rsidP="00E31F85">
      <w:pPr>
        <w:pStyle w:val="H1G"/>
        <w:rPr>
          <w:lang w:val="fr-FR"/>
        </w:rPr>
      </w:pPr>
      <w:r>
        <w:rPr>
          <w:lang w:val="fr-FR"/>
        </w:rPr>
        <w:tab/>
      </w:r>
      <w:r w:rsidRPr="00F82F28">
        <w:rPr>
          <w:lang w:val="fr-FR"/>
        </w:rPr>
        <w:t>L.</w:t>
      </w:r>
      <w:r w:rsidRPr="00F82F28">
        <w:rPr>
          <w:lang w:val="fr-FR"/>
        </w:rPr>
        <w:tab/>
      </w:r>
      <w:r w:rsidRPr="00F82F28">
        <w:rPr>
          <w:bCs/>
          <w:lang w:val="fr-FR"/>
        </w:rPr>
        <w:t>Modification des quantités exceptées pour le No ONU 3208</w:t>
      </w:r>
    </w:p>
    <w:p w14:paraId="46D1E3FF"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ST/SG/AC.10/C.3/2020/32 (Chine)</w:t>
      </w:r>
      <w:r>
        <w:rPr>
          <w:lang w:val="fr-FR"/>
        </w:rPr>
        <w:t>.</w:t>
      </w:r>
    </w:p>
    <w:p w14:paraId="7D2489DF" w14:textId="71D9F58F" w:rsidR="00026B0E" w:rsidRPr="007F3B53" w:rsidRDefault="00026B0E" w:rsidP="00026B0E">
      <w:pPr>
        <w:pStyle w:val="SingleTxtG"/>
        <w:rPr>
          <w:lang w:val="fr-FR"/>
        </w:rPr>
      </w:pPr>
      <w:r w:rsidRPr="00F82F28">
        <w:rPr>
          <w:lang w:val="fr-FR"/>
        </w:rPr>
        <w:t>40.</w:t>
      </w:r>
      <w:r w:rsidRPr="00F82F28">
        <w:rPr>
          <w:lang w:val="fr-FR"/>
        </w:rPr>
        <w:tab/>
        <w:t>Le Sous-Comité a adopté l</w:t>
      </w:r>
      <w:r w:rsidR="000B2B75">
        <w:rPr>
          <w:lang w:val="fr-FR"/>
        </w:rPr>
        <w:t>’</w:t>
      </w:r>
      <w:r w:rsidRPr="00F82F28">
        <w:rPr>
          <w:lang w:val="fr-FR"/>
        </w:rPr>
        <w:t>amendement à la liste des marchandises dangereuses du chapitre 3.2 (voir annexe I).</w:t>
      </w:r>
    </w:p>
    <w:p w14:paraId="7DCA20DA" w14:textId="77777777" w:rsidR="00026B0E" w:rsidRPr="007F3B53" w:rsidRDefault="00026B0E" w:rsidP="00E31F85">
      <w:pPr>
        <w:pStyle w:val="H1G"/>
        <w:rPr>
          <w:lang w:val="fr-FR"/>
        </w:rPr>
      </w:pPr>
      <w:r>
        <w:rPr>
          <w:lang w:val="fr-FR"/>
        </w:rPr>
        <w:tab/>
      </w:r>
      <w:r w:rsidRPr="00F82F28">
        <w:rPr>
          <w:lang w:val="fr-FR"/>
        </w:rPr>
        <w:t>M.</w:t>
      </w:r>
      <w:r w:rsidRPr="00F82F28">
        <w:rPr>
          <w:lang w:val="fr-FR"/>
        </w:rPr>
        <w:tab/>
      </w:r>
      <w:r w:rsidRPr="00F82F28">
        <w:rPr>
          <w:bCs/>
          <w:lang w:val="fr-FR"/>
        </w:rPr>
        <w:t>Observations sur le document ST/SG/AC.10/C.3/2020/32</w:t>
      </w:r>
    </w:p>
    <w:p w14:paraId="4E5B3A50"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ST/SG/AC.10/C.3/2020/78 (OACI)</w:t>
      </w:r>
      <w:r>
        <w:rPr>
          <w:lang w:val="fr-FR"/>
        </w:rPr>
        <w:t>.</w:t>
      </w:r>
    </w:p>
    <w:p w14:paraId="1CD8F74A" w14:textId="2C6C5706" w:rsidR="00026B0E" w:rsidRPr="007F3B53" w:rsidRDefault="00026B0E" w:rsidP="00026B0E">
      <w:pPr>
        <w:pStyle w:val="SingleTxtG"/>
        <w:rPr>
          <w:lang w:val="fr-FR"/>
        </w:rPr>
      </w:pPr>
      <w:r w:rsidRPr="00F82F28">
        <w:rPr>
          <w:lang w:val="fr-FR"/>
        </w:rPr>
        <w:t>41.</w:t>
      </w:r>
      <w:r w:rsidRPr="00F82F28">
        <w:rPr>
          <w:lang w:val="fr-FR"/>
        </w:rPr>
        <w:tab/>
        <w:t>Le Sous-Comité a adopté l</w:t>
      </w:r>
      <w:r w:rsidR="000B2B75">
        <w:rPr>
          <w:lang w:val="fr-FR"/>
        </w:rPr>
        <w:t>’</w:t>
      </w:r>
      <w:r w:rsidRPr="00F82F28">
        <w:rPr>
          <w:lang w:val="fr-FR"/>
        </w:rPr>
        <w:t xml:space="preserve">amendement </w:t>
      </w:r>
      <w:r>
        <w:rPr>
          <w:lang w:val="fr-FR"/>
        </w:rPr>
        <w:t xml:space="preserve">proposé pour les </w:t>
      </w:r>
      <w:r w:rsidRPr="00F82F28">
        <w:rPr>
          <w:lang w:val="fr-FR"/>
        </w:rPr>
        <w:t>Nos ONU 3208 et 3209 de la liste des marchandises dangereuses du chapitre 3.2 (voir annexe I).</w:t>
      </w:r>
    </w:p>
    <w:p w14:paraId="4A939EC2" w14:textId="77777777" w:rsidR="00026B0E" w:rsidRPr="007F3B53" w:rsidRDefault="00026B0E" w:rsidP="002A1B1F">
      <w:pPr>
        <w:pStyle w:val="H1G"/>
        <w:rPr>
          <w:lang w:val="fr-FR"/>
        </w:rPr>
      </w:pPr>
      <w:r>
        <w:rPr>
          <w:lang w:val="fr-FR"/>
        </w:rPr>
        <w:lastRenderedPageBreak/>
        <w:tab/>
      </w:r>
      <w:r w:rsidRPr="00F82F28">
        <w:rPr>
          <w:lang w:val="fr-FR"/>
        </w:rPr>
        <w:t>N.</w:t>
      </w:r>
      <w:r w:rsidRPr="00F82F28">
        <w:rPr>
          <w:lang w:val="fr-FR"/>
        </w:rPr>
        <w:tab/>
      </w:r>
      <w:r w:rsidRPr="00F82F28">
        <w:rPr>
          <w:bCs/>
          <w:lang w:val="fr-FR"/>
        </w:rPr>
        <w:t>Actualisation des renvois à une norme</w:t>
      </w:r>
    </w:p>
    <w:p w14:paraId="1C3E6041" w14:textId="77777777" w:rsidR="00026B0E" w:rsidRPr="007F3B53" w:rsidRDefault="00026B0E" w:rsidP="002A1B1F">
      <w:pPr>
        <w:pStyle w:val="SingleTxtG"/>
        <w:keepNext/>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ST/SG/AC.10/C.3/2020/50 (Royaume-Uni)</w:t>
      </w:r>
      <w:r>
        <w:rPr>
          <w:lang w:val="fr-FR"/>
        </w:rPr>
        <w:t>.</w:t>
      </w:r>
    </w:p>
    <w:p w14:paraId="1FFF670C" w14:textId="77777777" w:rsidR="00026B0E" w:rsidRPr="007F3B53" w:rsidRDefault="00026B0E" w:rsidP="002A1B1F">
      <w:pPr>
        <w:pStyle w:val="SingleTxtG"/>
        <w:keepNext/>
        <w:rPr>
          <w:lang w:val="fr-FR"/>
        </w:rPr>
      </w:pPr>
      <w:r w:rsidRPr="00F82F28">
        <w:rPr>
          <w:lang w:val="fr-FR"/>
        </w:rPr>
        <w:t>42.</w:t>
      </w:r>
      <w:r w:rsidRPr="00F82F28">
        <w:rPr>
          <w:lang w:val="fr-FR"/>
        </w:rPr>
        <w:tab/>
        <w:t>Le Sous-Comité a adopté la mise à jour des renvois à la norme ISO 16106:2020 (voir annexe I).</w:t>
      </w:r>
    </w:p>
    <w:p w14:paraId="2420EB23" w14:textId="77777777" w:rsidR="00026B0E" w:rsidRPr="007F3B53" w:rsidRDefault="00026B0E" w:rsidP="00E31F85">
      <w:pPr>
        <w:pStyle w:val="H1G"/>
        <w:rPr>
          <w:lang w:val="fr-FR"/>
        </w:rPr>
      </w:pPr>
      <w:r>
        <w:rPr>
          <w:lang w:val="fr-FR"/>
        </w:rPr>
        <w:tab/>
      </w:r>
      <w:r w:rsidRPr="00F82F28">
        <w:rPr>
          <w:lang w:val="fr-FR"/>
        </w:rPr>
        <w:t>O.</w:t>
      </w:r>
      <w:r w:rsidRPr="00F82F28">
        <w:rPr>
          <w:lang w:val="fr-FR"/>
        </w:rPr>
        <w:tab/>
      </w:r>
      <w:r w:rsidRPr="00F82F28">
        <w:rPr>
          <w:bCs/>
          <w:lang w:val="fr-FR"/>
        </w:rPr>
        <w:t>Disposition spéciale pour le No ONU 1013, dioxyde de carbone</w:t>
      </w:r>
    </w:p>
    <w:p w14:paraId="1DE964E6" w14:textId="77777777" w:rsidR="00026B0E" w:rsidRPr="0031787F" w:rsidRDefault="00026B0E" w:rsidP="00E31F85">
      <w:pPr>
        <w:pStyle w:val="SingleTxtG"/>
        <w:tabs>
          <w:tab w:val="clear" w:pos="1701"/>
          <w:tab w:val="clear" w:pos="2268"/>
          <w:tab w:val="clear" w:pos="2835"/>
          <w:tab w:val="left" w:pos="3402"/>
        </w:tabs>
        <w:ind w:left="3402" w:hanging="2268"/>
        <w:jc w:val="left"/>
        <w:rPr>
          <w:lang w:val="en-US"/>
        </w:rPr>
      </w:pPr>
      <w:r w:rsidRPr="007F3B53">
        <w:rPr>
          <w:i/>
          <w:iCs/>
          <w:lang w:val="en-US"/>
        </w:rPr>
        <w:t>Document</w:t>
      </w:r>
      <w:r w:rsidR="000A5309">
        <w:rPr>
          <w:i/>
          <w:iCs/>
          <w:lang w:val="en-US"/>
        </w:rPr>
        <w:t> </w:t>
      </w:r>
      <w:r w:rsidRPr="007F3B53">
        <w:rPr>
          <w:i/>
          <w:iCs/>
          <w:lang w:val="en-US"/>
        </w:rPr>
        <w:t>:</w:t>
      </w:r>
      <w:r w:rsidRPr="007F3B53">
        <w:rPr>
          <w:lang w:val="en-US"/>
        </w:rPr>
        <w:tab/>
        <w:t>ST/SG/AC.10/C.3/2020/54 (</w:t>
      </w:r>
      <w:r w:rsidRPr="000A5309">
        <w:rPr>
          <w:lang w:val="en-US"/>
        </w:rPr>
        <w:t>COSTHA</w:t>
      </w:r>
      <w:r w:rsidRPr="007F3B53">
        <w:rPr>
          <w:lang w:val="en-US"/>
        </w:rPr>
        <w:t>)</w:t>
      </w:r>
      <w:r>
        <w:rPr>
          <w:lang w:val="en-US"/>
        </w:rPr>
        <w:t>.</w:t>
      </w:r>
    </w:p>
    <w:p w14:paraId="1DD09476" w14:textId="77777777" w:rsidR="00026B0E" w:rsidRDefault="00026B0E" w:rsidP="00026B0E">
      <w:pPr>
        <w:pStyle w:val="SingleTxtG"/>
        <w:rPr>
          <w:lang w:val="fr-FR"/>
        </w:rPr>
      </w:pPr>
      <w:r w:rsidRPr="00F82F28">
        <w:rPr>
          <w:lang w:val="fr-FR"/>
        </w:rPr>
        <w:t>43.</w:t>
      </w:r>
      <w:r w:rsidRPr="00F82F28">
        <w:rPr>
          <w:lang w:val="fr-FR"/>
        </w:rPr>
        <w:tab/>
        <w:t>Le représentant du COSTHA a retiré sa proposition.</w:t>
      </w:r>
    </w:p>
    <w:p w14:paraId="65DC4297" w14:textId="3AFAF87D" w:rsidR="00026B0E" w:rsidRPr="007F3B53" w:rsidRDefault="00026B0E" w:rsidP="00E31F85">
      <w:pPr>
        <w:pStyle w:val="H1G"/>
        <w:rPr>
          <w:lang w:val="fr-FR"/>
        </w:rPr>
      </w:pPr>
      <w:r>
        <w:rPr>
          <w:lang w:val="fr-FR"/>
        </w:rPr>
        <w:tab/>
      </w:r>
      <w:r w:rsidRPr="00F82F28">
        <w:rPr>
          <w:lang w:val="fr-FR"/>
        </w:rPr>
        <w:t>P.</w:t>
      </w:r>
      <w:r w:rsidRPr="00F82F28">
        <w:rPr>
          <w:lang w:val="fr-FR"/>
        </w:rPr>
        <w:tab/>
      </w:r>
      <w:r w:rsidRPr="00F82F28">
        <w:rPr>
          <w:bCs/>
          <w:lang w:val="fr-FR"/>
        </w:rPr>
        <w:t>Clarification du champ d</w:t>
      </w:r>
      <w:r w:rsidR="000B2B75">
        <w:rPr>
          <w:bCs/>
          <w:lang w:val="fr-FR"/>
        </w:rPr>
        <w:t>’</w:t>
      </w:r>
      <w:r w:rsidRPr="00F82F28">
        <w:rPr>
          <w:bCs/>
          <w:lang w:val="fr-FR"/>
        </w:rPr>
        <w:t>application de la disposition spéciale 354</w:t>
      </w:r>
    </w:p>
    <w:p w14:paraId="4DF37EE2"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ST/SG/AC.10/C.3/2020/61 (Pays-Bas)</w:t>
      </w:r>
      <w:r>
        <w:rPr>
          <w:lang w:val="fr-FR"/>
        </w:rPr>
        <w:t>.</w:t>
      </w:r>
    </w:p>
    <w:p w14:paraId="115790C0" w14:textId="65CDBA25" w:rsidR="00026B0E" w:rsidRPr="007F3B53" w:rsidRDefault="00026B0E" w:rsidP="00026B0E">
      <w:pPr>
        <w:pStyle w:val="SingleTxtG"/>
        <w:rPr>
          <w:lang w:val="fr-FR"/>
        </w:rPr>
      </w:pPr>
      <w:r w:rsidRPr="00F82F28">
        <w:rPr>
          <w:lang w:val="fr-FR"/>
        </w:rPr>
        <w:t>44.</w:t>
      </w:r>
      <w:r w:rsidRPr="00F82F28">
        <w:rPr>
          <w:lang w:val="fr-FR"/>
        </w:rPr>
        <w:tab/>
        <w:t>Suite aux observations reçues, l</w:t>
      </w:r>
      <w:r w:rsidR="000B2B75">
        <w:rPr>
          <w:lang w:val="fr-FR"/>
        </w:rPr>
        <w:t>’</w:t>
      </w:r>
      <w:r w:rsidRPr="00F82F28">
        <w:rPr>
          <w:lang w:val="fr-FR"/>
        </w:rPr>
        <w:t>experte des Pays-Bas a retiré le document et annoncé qu</w:t>
      </w:r>
      <w:r w:rsidR="000B2B75">
        <w:rPr>
          <w:lang w:val="fr-FR"/>
        </w:rPr>
        <w:t>’</w:t>
      </w:r>
      <w:r w:rsidRPr="00F82F28">
        <w:rPr>
          <w:lang w:val="fr-FR"/>
        </w:rPr>
        <w:t xml:space="preserve">elle </w:t>
      </w:r>
      <w:r>
        <w:rPr>
          <w:lang w:val="fr-FR"/>
        </w:rPr>
        <w:t xml:space="preserve">envisagerait de soumettre </w:t>
      </w:r>
      <w:r w:rsidRPr="00F82F28">
        <w:rPr>
          <w:lang w:val="fr-FR"/>
        </w:rPr>
        <w:t xml:space="preserve">une proposition révisée pour la prochaine période biennale. Les représentants ont été invités à </w:t>
      </w:r>
      <w:r>
        <w:rPr>
          <w:lang w:val="fr-FR"/>
        </w:rPr>
        <w:t xml:space="preserve">lui </w:t>
      </w:r>
      <w:r w:rsidRPr="00F82F28">
        <w:rPr>
          <w:lang w:val="fr-FR"/>
        </w:rPr>
        <w:t>adresser leurs observations écrites.</w:t>
      </w:r>
    </w:p>
    <w:p w14:paraId="6758D7C2" w14:textId="42D9B41D" w:rsidR="00026B0E" w:rsidRPr="007F3B53" w:rsidRDefault="00026B0E" w:rsidP="00E31F85">
      <w:pPr>
        <w:pStyle w:val="H1G"/>
        <w:rPr>
          <w:lang w:val="fr-FR"/>
        </w:rPr>
      </w:pPr>
      <w:r>
        <w:rPr>
          <w:lang w:val="fr-FR"/>
        </w:rPr>
        <w:tab/>
      </w:r>
      <w:r w:rsidRPr="00F82F28">
        <w:rPr>
          <w:lang w:val="fr-FR"/>
        </w:rPr>
        <w:t>Q.</w:t>
      </w:r>
      <w:r w:rsidRPr="00F82F28">
        <w:rPr>
          <w:lang w:val="fr-FR"/>
        </w:rPr>
        <w:tab/>
      </w:r>
      <w:r w:rsidRPr="00F82F28">
        <w:rPr>
          <w:bCs/>
          <w:lang w:val="fr-FR"/>
        </w:rPr>
        <w:t>Classement du No ONU 1891 BROMURE D</w:t>
      </w:r>
      <w:r w:rsidR="000B2B75">
        <w:rPr>
          <w:bCs/>
          <w:lang w:val="fr-FR"/>
        </w:rPr>
        <w:t>’</w:t>
      </w:r>
      <w:r w:rsidRPr="00F82F28">
        <w:rPr>
          <w:bCs/>
          <w:lang w:val="fr-FR"/>
        </w:rPr>
        <w:t>ÉTHYLE</w:t>
      </w:r>
    </w:p>
    <w:p w14:paraId="565A2EA7"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A5309">
        <w:rPr>
          <w:i/>
          <w:iCs/>
          <w:lang w:val="fr-FR"/>
        </w:rPr>
        <w:t> </w:t>
      </w:r>
      <w:r w:rsidRPr="00F82F28">
        <w:rPr>
          <w:i/>
          <w:iCs/>
          <w:lang w:val="fr-FR"/>
        </w:rPr>
        <w:t>:</w:t>
      </w:r>
      <w:r w:rsidRPr="00F82F28">
        <w:rPr>
          <w:lang w:val="fr-FR"/>
        </w:rPr>
        <w:tab/>
        <w:t>ST/SG/AC.10/C.3/2020/72 (Belgique)</w:t>
      </w:r>
      <w:r>
        <w:rPr>
          <w:lang w:val="fr-FR"/>
        </w:rPr>
        <w:t>.</w:t>
      </w:r>
    </w:p>
    <w:p w14:paraId="5CBC9C33"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Documents informels</w:t>
      </w:r>
      <w:r w:rsidR="001A6A7E">
        <w:rPr>
          <w:i/>
          <w:iCs/>
          <w:lang w:val="fr-FR"/>
        </w:rPr>
        <w:t> </w:t>
      </w:r>
      <w:r w:rsidRPr="00F82F28">
        <w:rPr>
          <w:i/>
          <w:iCs/>
          <w:lang w:val="fr-FR"/>
        </w:rPr>
        <w:t>:</w:t>
      </w:r>
      <w:r w:rsidRPr="00F82F28">
        <w:rPr>
          <w:lang w:val="fr-FR"/>
        </w:rPr>
        <w:tab/>
        <w:t>INF.21, INF.22 et INF.62 (Belgique)</w:t>
      </w:r>
      <w:r>
        <w:rPr>
          <w:lang w:val="fr-FR"/>
        </w:rPr>
        <w:t>.</w:t>
      </w:r>
    </w:p>
    <w:p w14:paraId="4AC14112" w14:textId="7F0EE443" w:rsidR="00026B0E" w:rsidRPr="007F3B53" w:rsidRDefault="00026B0E" w:rsidP="00026B0E">
      <w:pPr>
        <w:pStyle w:val="SingleTxtG"/>
        <w:rPr>
          <w:lang w:val="fr-FR"/>
        </w:rPr>
      </w:pPr>
      <w:r w:rsidRPr="00F82F28">
        <w:rPr>
          <w:lang w:val="fr-FR"/>
        </w:rPr>
        <w:t>45.</w:t>
      </w:r>
      <w:r w:rsidRPr="00F82F28">
        <w:rPr>
          <w:lang w:val="fr-FR"/>
        </w:rPr>
        <w:tab/>
        <w:t>Le Sous-Comité a pris note des informations figurant dans le document informel INF.62 et adopté l</w:t>
      </w:r>
      <w:r w:rsidR="000B2B75">
        <w:rPr>
          <w:lang w:val="fr-FR"/>
        </w:rPr>
        <w:t>’</w:t>
      </w:r>
      <w:r w:rsidRPr="00F82F28">
        <w:rPr>
          <w:lang w:val="fr-FR"/>
        </w:rPr>
        <w:t>amendement au numéro ONU 1891 dans la Liste des marchandises dangereuses (voir annexe I).</w:t>
      </w:r>
    </w:p>
    <w:p w14:paraId="72EA22A2" w14:textId="77777777" w:rsidR="00026B0E" w:rsidRPr="007F3B53" w:rsidRDefault="00026B0E" w:rsidP="00E31F85">
      <w:pPr>
        <w:pStyle w:val="H1G"/>
        <w:rPr>
          <w:lang w:val="fr-FR"/>
        </w:rPr>
      </w:pPr>
      <w:r>
        <w:rPr>
          <w:lang w:val="fr-FR"/>
        </w:rPr>
        <w:tab/>
      </w:r>
      <w:r w:rsidRPr="00F82F28">
        <w:rPr>
          <w:lang w:val="fr-FR"/>
        </w:rPr>
        <w:t>R.</w:t>
      </w:r>
      <w:r w:rsidRPr="00F82F28">
        <w:rPr>
          <w:lang w:val="fr-FR"/>
        </w:rPr>
        <w:tab/>
      </w:r>
      <w:r w:rsidRPr="00F82F28">
        <w:rPr>
          <w:bCs/>
          <w:lang w:val="fr-FR"/>
        </w:rPr>
        <w:t>Amendement à la disposition spéciale 142</w:t>
      </w:r>
    </w:p>
    <w:p w14:paraId="1B3F8B8D"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1A6A7E">
        <w:rPr>
          <w:i/>
          <w:iCs/>
          <w:lang w:val="fr-FR"/>
        </w:rPr>
        <w:t>:</w:t>
      </w:r>
      <w:r w:rsidRPr="00F82F28">
        <w:rPr>
          <w:lang w:val="fr-FR"/>
        </w:rPr>
        <w:tab/>
        <w:t>INF.8 (Chine)</w:t>
      </w:r>
      <w:r>
        <w:rPr>
          <w:lang w:val="fr-FR"/>
        </w:rPr>
        <w:t>.</w:t>
      </w:r>
    </w:p>
    <w:p w14:paraId="6FD96CDF" w14:textId="394F3FB2" w:rsidR="00026B0E" w:rsidRPr="007F3B53" w:rsidRDefault="00026B0E" w:rsidP="00026B0E">
      <w:pPr>
        <w:pStyle w:val="SingleTxtG"/>
        <w:rPr>
          <w:lang w:val="fr-FR"/>
        </w:rPr>
      </w:pPr>
      <w:r w:rsidRPr="00F82F28">
        <w:rPr>
          <w:lang w:val="fr-FR"/>
        </w:rPr>
        <w:t>46.</w:t>
      </w:r>
      <w:r w:rsidRPr="00F82F28">
        <w:rPr>
          <w:lang w:val="fr-FR"/>
        </w:rPr>
        <w:tab/>
        <w:t>Il a été décidé de reporter l</w:t>
      </w:r>
      <w:r w:rsidR="000B2B75">
        <w:rPr>
          <w:lang w:val="fr-FR"/>
        </w:rPr>
        <w:t>’</w:t>
      </w:r>
      <w:r w:rsidRPr="00F82F28">
        <w:rPr>
          <w:lang w:val="fr-FR"/>
        </w:rPr>
        <w:t>examen de ce document informel à la prochaine période biennale.</w:t>
      </w:r>
    </w:p>
    <w:p w14:paraId="0332A040" w14:textId="5951BD91" w:rsidR="00026B0E" w:rsidRPr="007F3B53" w:rsidRDefault="00026B0E" w:rsidP="00E31F85">
      <w:pPr>
        <w:pStyle w:val="H1G"/>
        <w:rPr>
          <w:lang w:val="fr-FR"/>
        </w:rPr>
      </w:pPr>
      <w:r>
        <w:rPr>
          <w:lang w:val="fr-FR"/>
        </w:rPr>
        <w:tab/>
      </w:r>
      <w:r w:rsidRPr="00F82F28">
        <w:rPr>
          <w:lang w:val="fr-FR"/>
        </w:rPr>
        <w:t>S.</w:t>
      </w:r>
      <w:r w:rsidRPr="00F82F28">
        <w:rPr>
          <w:lang w:val="fr-FR"/>
        </w:rPr>
        <w:tab/>
      </w:r>
      <w:r w:rsidRPr="00F82F28">
        <w:rPr>
          <w:bCs/>
          <w:lang w:val="fr-FR"/>
        </w:rPr>
        <w:t xml:space="preserve">Numéro ONU 2189 </w:t>
      </w:r>
      <w:r w:rsidR="00BD1B68">
        <w:rPr>
          <w:bCs/>
          <w:lang w:val="fr-FR"/>
        </w:rPr>
        <w:t>−</w:t>
      </w:r>
      <w:r w:rsidRPr="00F82F28">
        <w:rPr>
          <w:bCs/>
          <w:lang w:val="fr-FR"/>
        </w:rPr>
        <w:t xml:space="preserve"> Correction</w:t>
      </w:r>
      <w:r>
        <w:rPr>
          <w:bCs/>
          <w:lang w:val="fr-FR"/>
        </w:rPr>
        <w:t xml:space="preserve"> apportée</w:t>
      </w:r>
      <w:r w:rsidRPr="00F82F28">
        <w:rPr>
          <w:bCs/>
          <w:lang w:val="fr-FR"/>
        </w:rPr>
        <w:t xml:space="preserve"> à </w:t>
      </w:r>
      <w:r>
        <w:rPr>
          <w:bCs/>
          <w:lang w:val="fr-FR"/>
        </w:rPr>
        <w:t>l</w:t>
      </w:r>
      <w:r w:rsidR="000B2B75">
        <w:rPr>
          <w:bCs/>
          <w:lang w:val="fr-FR"/>
        </w:rPr>
        <w:t>’</w:t>
      </w:r>
      <w:r>
        <w:rPr>
          <w:bCs/>
          <w:lang w:val="fr-FR"/>
        </w:rPr>
        <w:t xml:space="preserve">instruction </w:t>
      </w:r>
      <w:r w:rsidRPr="00F82F28">
        <w:rPr>
          <w:bCs/>
          <w:lang w:val="fr-FR"/>
        </w:rPr>
        <w:t>P200</w:t>
      </w:r>
    </w:p>
    <w:p w14:paraId="483A66D4"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1A6A7E">
        <w:rPr>
          <w:i/>
          <w:iCs/>
          <w:lang w:val="fr-FR"/>
        </w:rPr>
        <w:t>:</w:t>
      </w:r>
      <w:r w:rsidRPr="00F82F28">
        <w:rPr>
          <w:lang w:val="fr-FR"/>
        </w:rPr>
        <w:tab/>
        <w:t>INF.18 (EIGA)</w:t>
      </w:r>
      <w:r>
        <w:rPr>
          <w:lang w:val="fr-FR"/>
        </w:rPr>
        <w:t>.</w:t>
      </w:r>
    </w:p>
    <w:p w14:paraId="0387B9F9" w14:textId="1797E905" w:rsidR="00026B0E" w:rsidRPr="007F3B53" w:rsidRDefault="00026B0E" w:rsidP="00026B0E">
      <w:pPr>
        <w:pStyle w:val="SingleTxtG"/>
        <w:rPr>
          <w:lang w:val="fr-FR"/>
        </w:rPr>
      </w:pPr>
      <w:r w:rsidRPr="00F82F28">
        <w:rPr>
          <w:lang w:val="fr-FR"/>
        </w:rPr>
        <w:t>47.</w:t>
      </w:r>
      <w:r w:rsidRPr="00F82F28">
        <w:rPr>
          <w:lang w:val="fr-FR"/>
        </w:rPr>
        <w:tab/>
        <w:t>Il a été décidé de reporter l</w:t>
      </w:r>
      <w:r w:rsidR="000B2B75">
        <w:rPr>
          <w:lang w:val="fr-FR"/>
        </w:rPr>
        <w:t>’</w:t>
      </w:r>
      <w:r w:rsidRPr="00F82F28">
        <w:rPr>
          <w:lang w:val="fr-FR"/>
        </w:rPr>
        <w:t>examen de ce document informel à la prochaine période biennale.</w:t>
      </w:r>
    </w:p>
    <w:p w14:paraId="08F63F9B" w14:textId="77777777" w:rsidR="00026B0E" w:rsidRPr="007F3B53" w:rsidRDefault="00026B0E" w:rsidP="00E31F85">
      <w:pPr>
        <w:pStyle w:val="H1G"/>
        <w:rPr>
          <w:lang w:val="fr-FR"/>
        </w:rPr>
      </w:pPr>
      <w:r>
        <w:rPr>
          <w:lang w:val="fr-FR"/>
        </w:rPr>
        <w:tab/>
      </w:r>
      <w:r w:rsidRPr="00F82F28">
        <w:rPr>
          <w:lang w:val="fr-FR"/>
        </w:rPr>
        <w:t>T.</w:t>
      </w:r>
      <w:r w:rsidRPr="00F82F28">
        <w:rPr>
          <w:lang w:val="fr-FR"/>
        </w:rPr>
        <w:tab/>
      </w:r>
      <w:r w:rsidRPr="00F82F28">
        <w:rPr>
          <w:bCs/>
          <w:lang w:val="fr-FR"/>
        </w:rPr>
        <w:t>Révision de la disposition spéciale 301</w:t>
      </w:r>
    </w:p>
    <w:p w14:paraId="69F2CEFC"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Pr>
          <w:lang w:val="fr-FR"/>
        </w:rPr>
        <w:tab/>
      </w:r>
      <w:r w:rsidRPr="00F82F28">
        <w:rPr>
          <w:lang w:val="fr-FR"/>
        </w:rPr>
        <w:t>ST/SG/AC.10/C.3/2020/41 (IATA)</w:t>
      </w:r>
      <w:r>
        <w:rPr>
          <w:lang w:val="fr-FR"/>
        </w:rPr>
        <w:t>.</w:t>
      </w:r>
    </w:p>
    <w:p w14:paraId="22FB83CC"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1A6A7E">
        <w:rPr>
          <w:i/>
          <w:iCs/>
          <w:lang w:val="fr-FR"/>
        </w:rPr>
        <w:t>:</w:t>
      </w:r>
      <w:r w:rsidRPr="00F82F28">
        <w:rPr>
          <w:lang w:val="fr-FR"/>
        </w:rPr>
        <w:tab/>
        <w:t>INF.58 (IATA)</w:t>
      </w:r>
      <w:r>
        <w:rPr>
          <w:lang w:val="fr-FR"/>
        </w:rPr>
        <w:t>.</w:t>
      </w:r>
    </w:p>
    <w:p w14:paraId="25FBF251" w14:textId="5269D2B5" w:rsidR="00026B0E" w:rsidRPr="007F3B53" w:rsidRDefault="00026B0E" w:rsidP="00026B0E">
      <w:pPr>
        <w:pStyle w:val="SingleTxtG"/>
        <w:rPr>
          <w:lang w:val="fr-FR"/>
        </w:rPr>
      </w:pPr>
      <w:r w:rsidRPr="00F82F28">
        <w:rPr>
          <w:lang w:val="fr-FR"/>
        </w:rPr>
        <w:t>48.</w:t>
      </w:r>
      <w:r w:rsidRPr="00F82F28">
        <w:rPr>
          <w:lang w:val="fr-FR"/>
        </w:rPr>
        <w:tab/>
        <w:t>Le Sous-Comité a appuyé la proposition dans son principe</w:t>
      </w:r>
      <w:r>
        <w:rPr>
          <w:lang w:val="fr-FR"/>
        </w:rPr>
        <w:t>,</w:t>
      </w:r>
      <w:r w:rsidRPr="00F82F28">
        <w:rPr>
          <w:lang w:val="fr-FR"/>
        </w:rPr>
        <w:t xml:space="preserve"> mais recommandé de reporter l</w:t>
      </w:r>
      <w:r w:rsidR="000B2B75">
        <w:rPr>
          <w:lang w:val="fr-FR"/>
        </w:rPr>
        <w:t>’</w:t>
      </w:r>
      <w:r w:rsidRPr="00F82F28">
        <w:rPr>
          <w:lang w:val="fr-FR"/>
        </w:rPr>
        <w:t>examen de cette question au prochain exercice biennal. L</w:t>
      </w:r>
      <w:r w:rsidR="000B2B75">
        <w:rPr>
          <w:lang w:val="fr-FR"/>
        </w:rPr>
        <w:t>’</w:t>
      </w:r>
      <w:r w:rsidRPr="00F82F28">
        <w:rPr>
          <w:lang w:val="fr-FR"/>
        </w:rPr>
        <w:t>expert de l</w:t>
      </w:r>
      <w:r w:rsidR="000B2B75">
        <w:rPr>
          <w:lang w:val="fr-FR"/>
        </w:rPr>
        <w:t>’</w:t>
      </w:r>
      <w:r w:rsidRPr="00F82F28">
        <w:rPr>
          <w:lang w:val="fr-FR"/>
        </w:rPr>
        <w:t>IATA s</w:t>
      </w:r>
      <w:r w:rsidR="000B2B75">
        <w:rPr>
          <w:lang w:val="fr-FR"/>
        </w:rPr>
        <w:t>’</w:t>
      </w:r>
      <w:r w:rsidRPr="00F82F28">
        <w:rPr>
          <w:lang w:val="fr-FR"/>
        </w:rPr>
        <w:t>est dit prêt à soumettre à la prochaine session une proposition révisée sur la base des observations reçues.</w:t>
      </w:r>
    </w:p>
    <w:p w14:paraId="4D8BD2A9" w14:textId="2ACD1F8C" w:rsidR="00026B0E" w:rsidRPr="007F3B53" w:rsidRDefault="00026B0E" w:rsidP="00E31F85">
      <w:pPr>
        <w:pStyle w:val="H1G"/>
        <w:rPr>
          <w:lang w:val="fr-FR"/>
        </w:rPr>
      </w:pPr>
      <w:r>
        <w:rPr>
          <w:lang w:val="fr-FR"/>
        </w:rPr>
        <w:lastRenderedPageBreak/>
        <w:tab/>
      </w:r>
      <w:r w:rsidRPr="00F82F28">
        <w:rPr>
          <w:lang w:val="fr-FR"/>
        </w:rPr>
        <w:t>U.</w:t>
      </w:r>
      <w:r w:rsidRPr="00F82F28">
        <w:rPr>
          <w:lang w:val="fr-FR"/>
        </w:rPr>
        <w:tab/>
      </w:r>
      <w:r w:rsidRPr="00F82F28">
        <w:rPr>
          <w:bCs/>
          <w:lang w:val="fr-FR"/>
        </w:rPr>
        <w:t>Proposition d</w:t>
      </w:r>
      <w:r w:rsidR="000B2B75">
        <w:rPr>
          <w:bCs/>
          <w:lang w:val="fr-FR"/>
        </w:rPr>
        <w:t>’</w:t>
      </w:r>
      <w:r w:rsidRPr="00F82F28">
        <w:rPr>
          <w:bCs/>
          <w:lang w:val="fr-FR"/>
        </w:rPr>
        <w:t xml:space="preserve">amendement à la disposition spéciale 396 </w:t>
      </w:r>
      <w:r w:rsidR="00BD1B68">
        <w:rPr>
          <w:bCs/>
          <w:lang w:val="fr-FR"/>
        </w:rPr>
        <w:br/>
      </w:r>
      <w:r w:rsidRPr="00F82F28">
        <w:rPr>
          <w:bCs/>
          <w:lang w:val="fr-FR"/>
        </w:rPr>
        <w:t>telle qu</w:t>
      </w:r>
      <w:r w:rsidR="000B2B75">
        <w:rPr>
          <w:bCs/>
          <w:lang w:val="fr-FR"/>
        </w:rPr>
        <w:t>’</w:t>
      </w:r>
      <w:r w:rsidRPr="00F82F28">
        <w:rPr>
          <w:bCs/>
          <w:lang w:val="fr-FR"/>
        </w:rPr>
        <w:t>adoptée à la cinquante-sixième session</w:t>
      </w:r>
    </w:p>
    <w:p w14:paraId="081D70F1"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ST/SG/AC.10/C.3/2020/49 (Royaume-Uni)</w:t>
      </w:r>
      <w:r>
        <w:rPr>
          <w:lang w:val="fr-FR"/>
        </w:rPr>
        <w:t>.</w:t>
      </w:r>
    </w:p>
    <w:p w14:paraId="6C829554" w14:textId="77777777" w:rsidR="00026B0E" w:rsidRPr="007F3B53" w:rsidRDefault="00026B0E" w:rsidP="00E31F85">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1A6A7E">
        <w:rPr>
          <w:i/>
          <w:iCs/>
          <w:lang w:val="fr-FR"/>
        </w:rPr>
        <w:t>:</w:t>
      </w:r>
      <w:r w:rsidRPr="00F82F28">
        <w:rPr>
          <w:lang w:val="fr-FR"/>
        </w:rPr>
        <w:tab/>
        <w:t>INF.54 (Royaume-Uni)</w:t>
      </w:r>
      <w:r>
        <w:rPr>
          <w:lang w:val="fr-FR"/>
        </w:rPr>
        <w:t>.</w:t>
      </w:r>
    </w:p>
    <w:p w14:paraId="68A7B82A" w14:textId="5EC963EB" w:rsidR="00026B0E" w:rsidRPr="007F3B53" w:rsidRDefault="00026B0E" w:rsidP="00026B0E">
      <w:pPr>
        <w:pStyle w:val="SingleTxtG"/>
        <w:rPr>
          <w:lang w:val="fr-FR"/>
        </w:rPr>
      </w:pPr>
      <w:r w:rsidRPr="00F82F28">
        <w:rPr>
          <w:lang w:val="fr-FR"/>
        </w:rPr>
        <w:t>49.</w:t>
      </w:r>
      <w:r w:rsidRPr="00F82F28">
        <w:rPr>
          <w:lang w:val="fr-FR"/>
        </w:rPr>
        <w:tab/>
        <w:t>À la suite de la discussion sur le transport de transformateurs équipés de bouteilles à gaz, le Sous-Comité n</w:t>
      </w:r>
      <w:r w:rsidR="000B2B75">
        <w:rPr>
          <w:lang w:val="fr-FR"/>
        </w:rPr>
        <w:t>’</w:t>
      </w:r>
      <w:r w:rsidRPr="00F82F28">
        <w:rPr>
          <w:lang w:val="fr-FR"/>
        </w:rPr>
        <w:t>a pas appuyé les modifications proposées. L</w:t>
      </w:r>
      <w:r w:rsidR="000B2B75">
        <w:rPr>
          <w:lang w:val="fr-FR"/>
        </w:rPr>
        <w:t>’</w:t>
      </w:r>
      <w:r w:rsidRPr="00F82F28">
        <w:rPr>
          <w:lang w:val="fr-FR"/>
        </w:rPr>
        <w:t>expert du Royaume-Uni a retiré le document et proposé de soumettre une nouvelle proposition pour la prochaine session en tenant compte des observations reçues.</w:t>
      </w:r>
    </w:p>
    <w:p w14:paraId="05511ED2" w14:textId="2FFF27A4" w:rsidR="00026B0E" w:rsidRPr="007F3B53" w:rsidRDefault="00026B0E" w:rsidP="00E31F85">
      <w:pPr>
        <w:pStyle w:val="HChG"/>
        <w:rPr>
          <w:lang w:val="fr-FR"/>
        </w:rPr>
      </w:pPr>
      <w:r>
        <w:rPr>
          <w:lang w:val="fr-FR"/>
        </w:rPr>
        <w:tab/>
      </w:r>
      <w:r w:rsidRPr="005C707D">
        <w:rPr>
          <w:lang w:val="fr-FR"/>
        </w:rPr>
        <w:t>V.</w:t>
      </w:r>
      <w:r w:rsidRPr="005C707D">
        <w:rPr>
          <w:lang w:val="fr-FR"/>
        </w:rPr>
        <w:tab/>
        <w:t>Systèmes de stockage de l</w:t>
      </w:r>
      <w:r w:rsidR="000B2B75">
        <w:rPr>
          <w:lang w:val="fr-FR"/>
        </w:rPr>
        <w:t>’</w:t>
      </w:r>
      <w:r w:rsidRPr="005C707D">
        <w:rPr>
          <w:lang w:val="fr-FR"/>
        </w:rPr>
        <w:t xml:space="preserve">électricité </w:t>
      </w:r>
      <w:r w:rsidR="00E31F85">
        <w:rPr>
          <w:lang w:val="fr-FR"/>
        </w:rPr>
        <w:br/>
      </w:r>
      <w:r w:rsidRPr="005C707D">
        <w:rPr>
          <w:lang w:val="fr-FR"/>
        </w:rPr>
        <w:t>(point 4 de l</w:t>
      </w:r>
      <w:r w:rsidR="000B2B75">
        <w:rPr>
          <w:lang w:val="fr-FR"/>
        </w:rPr>
        <w:t>’</w:t>
      </w:r>
      <w:r w:rsidRPr="005C707D">
        <w:rPr>
          <w:lang w:val="fr-FR"/>
        </w:rPr>
        <w:t>ordre du jour)</w:t>
      </w:r>
    </w:p>
    <w:p w14:paraId="1417FF8F" w14:textId="77777777" w:rsidR="00026B0E" w:rsidRPr="007F3B53" w:rsidRDefault="00026B0E" w:rsidP="00E31F85">
      <w:pPr>
        <w:pStyle w:val="H1G"/>
        <w:rPr>
          <w:lang w:val="fr-FR"/>
        </w:rPr>
      </w:pPr>
      <w:r>
        <w:rPr>
          <w:lang w:val="fr-FR"/>
        </w:rPr>
        <w:tab/>
      </w:r>
      <w:r w:rsidRPr="00F82F28">
        <w:rPr>
          <w:lang w:val="fr-FR"/>
        </w:rPr>
        <w:t>A.</w:t>
      </w:r>
      <w:r w:rsidRPr="00F82F28">
        <w:rPr>
          <w:lang w:val="fr-FR"/>
        </w:rPr>
        <w:tab/>
        <w:t>Épreuves pour les batteries au lithium</w:t>
      </w:r>
    </w:p>
    <w:p w14:paraId="77B3DD4C" w14:textId="0B579F69" w:rsidR="00026B0E" w:rsidRPr="007F3B53" w:rsidRDefault="00026B0E" w:rsidP="006355EE">
      <w:pPr>
        <w:pStyle w:val="H23G"/>
        <w:rPr>
          <w:lang w:val="fr-FR"/>
        </w:rPr>
      </w:pPr>
      <w:r>
        <w:rPr>
          <w:lang w:val="fr-FR"/>
        </w:rPr>
        <w:tab/>
      </w:r>
      <w:r w:rsidRPr="00F82F28">
        <w:rPr>
          <w:lang w:val="fr-FR"/>
        </w:rPr>
        <w:t>1.</w:t>
      </w:r>
      <w:r w:rsidRPr="00F82F28">
        <w:rPr>
          <w:lang w:val="fr-FR"/>
        </w:rPr>
        <w:tab/>
        <w:t>Applicabilité de l</w:t>
      </w:r>
      <w:r w:rsidR="000B2B75">
        <w:rPr>
          <w:lang w:val="fr-FR"/>
        </w:rPr>
        <w:t>’</w:t>
      </w:r>
      <w:r w:rsidRPr="00F82F28">
        <w:rPr>
          <w:lang w:val="fr-FR"/>
        </w:rPr>
        <w:t>instruction d</w:t>
      </w:r>
      <w:r w:rsidR="000B2B75">
        <w:rPr>
          <w:lang w:val="fr-FR"/>
        </w:rPr>
        <w:t>’</w:t>
      </w:r>
      <w:r w:rsidRPr="00F82F28">
        <w:rPr>
          <w:lang w:val="fr-FR"/>
        </w:rPr>
        <w:t>emballage LP906 et précisions concernant l</w:t>
      </w:r>
      <w:r w:rsidR="000B2B75">
        <w:rPr>
          <w:lang w:val="fr-FR"/>
        </w:rPr>
        <w:t>’</w:t>
      </w:r>
      <w:r w:rsidRPr="00F82F28">
        <w:rPr>
          <w:lang w:val="fr-FR"/>
        </w:rPr>
        <w:t>instruction d</w:t>
      </w:r>
      <w:r w:rsidR="000B2B75">
        <w:rPr>
          <w:lang w:val="fr-FR"/>
        </w:rPr>
        <w:t>’</w:t>
      </w:r>
      <w:r w:rsidRPr="00F82F28">
        <w:rPr>
          <w:lang w:val="fr-FR"/>
        </w:rPr>
        <w:t>emballage P911</w:t>
      </w:r>
    </w:p>
    <w:p w14:paraId="4A3DB055"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ST/SG/AC.10/C.3/2020/29 (RECHARGE, OICA, PRBA et COSTHA)</w:t>
      </w:r>
      <w:r>
        <w:rPr>
          <w:lang w:val="fr-FR"/>
        </w:rPr>
        <w:t>.</w:t>
      </w:r>
    </w:p>
    <w:p w14:paraId="3BA2934E"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INF.12 (RECHARGE, OICA, PRBA et COSTHA)</w:t>
      </w:r>
      <w:r>
        <w:rPr>
          <w:lang w:val="fr-FR"/>
        </w:rPr>
        <w:t>.</w:t>
      </w:r>
    </w:p>
    <w:p w14:paraId="66F9FCC9" w14:textId="77777777" w:rsidR="00026B0E" w:rsidRPr="007F3B53" w:rsidRDefault="00026B0E" w:rsidP="00026B0E">
      <w:pPr>
        <w:pStyle w:val="SingleTxtG"/>
        <w:rPr>
          <w:lang w:val="fr-FR"/>
        </w:rPr>
      </w:pPr>
      <w:r w:rsidRPr="00F82F28">
        <w:rPr>
          <w:lang w:val="fr-FR"/>
        </w:rPr>
        <w:t>50.</w:t>
      </w:r>
      <w:r w:rsidRPr="00F82F28">
        <w:rPr>
          <w:lang w:val="fr-FR"/>
        </w:rPr>
        <w:tab/>
        <w:t>Le Sous-Comité a adopté les amendements proposés dans le document ST/SG/AC.10/C.3/2020/29 tels que modifiés dans le document informel INF.12 moyennant quelques modifications supplémentaires (voir annexe I).</w:t>
      </w:r>
    </w:p>
    <w:p w14:paraId="1F63A8FA" w14:textId="689FF2B9" w:rsidR="00026B0E" w:rsidRPr="007F3B53" w:rsidRDefault="00026B0E" w:rsidP="006355EE">
      <w:pPr>
        <w:pStyle w:val="H23G"/>
        <w:rPr>
          <w:lang w:val="fr-FR"/>
        </w:rPr>
      </w:pPr>
      <w:r>
        <w:rPr>
          <w:lang w:val="fr-FR"/>
        </w:rPr>
        <w:tab/>
      </w:r>
      <w:r w:rsidRPr="00F82F28">
        <w:rPr>
          <w:lang w:val="fr-FR"/>
        </w:rPr>
        <w:t>2.</w:t>
      </w:r>
      <w:r w:rsidRPr="00F82F28">
        <w:rPr>
          <w:lang w:val="fr-FR"/>
        </w:rPr>
        <w:tab/>
      </w:r>
      <w:r w:rsidRPr="00F82F28">
        <w:rPr>
          <w:bCs/>
          <w:lang w:val="fr-FR"/>
        </w:rPr>
        <w:t>Résumé du procès-</w:t>
      </w:r>
      <w:r w:rsidRPr="006355EE">
        <w:rPr>
          <w:lang w:val="fr-FR"/>
        </w:rPr>
        <w:t>verbal</w:t>
      </w:r>
      <w:r w:rsidRPr="00F82F28">
        <w:rPr>
          <w:bCs/>
          <w:lang w:val="fr-FR"/>
        </w:rPr>
        <w:t xml:space="preserve"> d</w:t>
      </w:r>
      <w:r w:rsidR="000B2B75">
        <w:rPr>
          <w:bCs/>
          <w:lang w:val="fr-FR"/>
        </w:rPr>
        <w:t>’</w:t>
      </w:r>
      <w:r w:rsidRPr="00F82F28">
        <w:rPr>
          <w:bCs/>
          <w:lang w:val="fr-FR"/>
        </w:rPr>
        <w:t>épreuve concernant les batteries au lithium</w:t>
      </w:r>
    </w:p>
    <w:p w14:paraId="4D563F42"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Documents</w:t>
      </w:r>
      <w:r w:rsidR="001A6A7E">
        <w:rPr>
          <w:i/>
          <w:iCs/>
          <w:lang w:val="fr-FR"/>
        </w:rPr>
        <w:t> </w:t>
      </w:r>
      <w:r w:rsidRPr="00F82F28">
        <w:rPr>
          <w:i/>
          <w:iCs/>
          <w:lang w:val="fr-FR"/>
        </w:rPr>
        <w:t>:</w:t>
      </w:r>
      <w:r w:rsidRPr="00F82F28">
        <w:rPr>
          <w:lang w:val="fr-FR"/>
        </w:rPr>
        <w:tab/>
        <w:t>ST/SG/AC.10/C.3/2020/47 et ST/SG/AC.10/C.3/2020/77 (MDBTC, DGAC, PRBA, COSTHA, RECHARGE, SAAMI et DGTA)</w:t>
      </w:r>
      <w:r>
        <w:rPr>
          <w:lang w:val="fr-FR"/>
        </w:rPr>
        <w:t>.</w:t>
      </w:r>
    </w:p>
    <w:p w14:paraId="00C5A8E9" w14:textId="0F125A62" w:rsidR="00026B0E" w:rsidRPr="007F3B53" w:rsidRDefault="00026B0E" w:rsidP="00026B0E">
      <w:pPr>
        <w:pStyle w:val="SingleTxtG"/>
        <w:rPr>
          <w:lang w:val="fr-FR"/>
        </w:rPr>
      </w:pPr>
      <w:r w:rsidRPr="00F82F28">
        <w:rPr>
          <w:lang w:val="fr-FR"/>
        </w:rPr>
        <w:t>51.</w:t>
      </w:r>
      <w:r w:rsidRPr="00F82F28">
        <w:rPr>
          <w:lang w:val="fr-FR"/>
        </w:rPr>
        <w:tab/>
        <w:t>Le Sous-Comité n</w:t>
      </w:r>
      <w:r w:rsidR="000B2B75">
        <w:rPr>
          <w:lang w:val="fr-FR"/>
        </w:rPr>
        <w:t>’</w:t>
      </w:r>
      <w:r w:rsidRPr="00F82F28">
        <w:rPr>
          <w:lang w:val="fr-FR"/>
        </w:rPr>
        <w:t>a adopté à la majorité</w:t>
      </w:r>
      <w:r>
        <w:rPr>
          <w:lang w:val="fr-FR"/>
        </w:rPr>
        <w:t xml:space="preserve"> que</w:t>
      </w:r>
      <w:r w:rsidRPr="00F82F28">
        <w:rPr>
          <w:lang w:val="fr-FR"/>
        </w:rPr>
        <w:t xml:space="preserve"> les amendements relatifs aux piles de type bouton</w:t>
      </w:r>
      <w:r>
        <w:rPr>
          <w:lang w:val="fr-FR"/>
        </w:rPr>
        <w:t>,</w:t>
      </w:r>
      <w:r w:rsidRPr="00F82F28">
        <w:rPr>
          <w:lang w:val="fr-FR"/>
        </w:rPr>
        <w:t xml:space="preserve"> lorsqu</w:t>
      </w:r>
      <w:r w:rsidR="000B2B75">
        <w:rPr>
          <w:lang w:val="fr-FR"/>
        </w:rPr>
        <w:t>’</w:t>
      </w:r>
      <w:r w:rsidRPr="00F82F28">
        <w:rPr>
          <w:lang w:val="fr-FR"/>
        </w:rPr>
        <w:t>elles sont installées dans un équipement (y compris les circuits imprimés)</w:t>
      </w:r>
      <w:r>
        <w:rPr>
          <w:lang w:val="fr-FR"/>
        </w:rPr>
        <w:t>,</w:t>
      </w:r>
      <w:r w:rsidRPr="00F82F28">
        <w:rPr>
          <w:lang w:val="fr-FR"/>
        </w:rPr>
        <w:t xml:space="preserve"> et la validation du résumé du procès-verbal d</w:t>
      </w:r>
      <w:r w:rsidR="000B2B75">
        <w:rPr>
          <w:lang w:val="fr-FR"/>
        </w:rPr>
        <w:t>’</w:t>
      </w:r>
      <w:r w:rsidRPr="00F82F28">
        <w:rPr>
          <w:lang w:val="fr-FR"/>
        </w:rPr>
        <w:t>épreuve (signature) figurant dans le document ST/SG/AC.10/C.3/2020/77</w:t>
      </w:r>
      <w:r>
        <w:rPr>
          <w:lang w:val="fr-FR"/>
        </w:rPr>
        <w:t>,</w:t>
      </w:r>
      <w:r w:rsidRPr="00F82F28">
        <w:rPr>
          <w:lang w:val="fr-FR"/>
        </w:rPr>
        <w:t xml:space="preserve"> </w:t>
      </w:r>
      <w:r>
        <w:rPr>
          <w:lang w:val="fr-FR"/>
        </w:rPr>
        <w:t>moyennant</w:t>
      </w:r>
      <w:r w:rsidRPr="00F82F28">
        <w:rPr>
          <w:lang w:val="fr-FR"/>
        </w:rPr>
        <w:t xml:space="preserve"> une modification supplémentaire (</w:t>
      </w:r>
      <w:r w:rsidRPr="00F16310">
        <w:rPr>
          <w:lang w:val="fr-FR"/>
        </w:rPr>
        <w:t>voir annexe I</w:t>
      </w:r>
      <w:r w:rsidRPr="00F82F28">
        <w:rPr>
          <w:lang w:val="fr-FR"/>
        </w:rPr>
        <w:t>).</w:t>
      </w:r>
    </w:p>
    <w:p w14:paraId="39EDB5A2" w14:textId="1477E8EE" w:rsidR="00026B0E" w:rsidRPr="007F3B53" w:rsidRDefault="00026B0E" w:rsidP="00026B0E">
      <w:pPr>
        <w:pStyle w:val="SingleTxtG"/>
        <w:rPr>
          <w:lang w:val="fr-FR"/>
        </w:rPr>
      </w:pPr>
      <w:r w:rsidRPr="00F82F28">
        <w:rPr>
          <w:lang w:val="fr-FR"/>
        </w:rPr>
        <w:t>52.</w:t>
      </w:r>
      <w:r w:rsidRPr="00F82F28">
        <w:rPr>
          <w:lang w:val="fr-FR"/>
        </w:rPr>
        <w:tab/>
        <w:t>Le Sous-</w:t>
      </w:r>
      <w:r>
        <w:rPr>
          <w:lang w:val="fr-FR"/>
        </w:rPr>
        <w:t>C</w:t>
      </w:r>
      <w:r w:rsidRPr="00F82F28">
        <w:rPr>
          <w:lang w:val="fr-FR"/>
        </w:rPr>
        <w:t xml:space="preserve">omité a confirmé que les exigences </w:t>
      </w:r>
      <w:r>
        <w:rPr>
          <w:lang w:val="fr-FR"/>
        </w:rPr>
        <w:t>relatives aux épreuves</w:t>
      </w:r>
      <w:r w:rsidRPr="00F82F28">
        <w:rPr>
          <w:lang w:val="fr-FR"/>
        </w:rPr>
        <w:t xml:space="preserve"> </w:t>
      </w:r>
      <w:r>
        <w:rPr>
          <w:lang w:val="fr-FR"/>
        </w:rPr>
        <w:t xml:space="preserve">du </w:t>
      </w:r>
      <w:r w:rsidRPr="00F82F28">
        <w:rPr>
          <w:lang w:val="fr-FR"/>
        </w:rPr>
        <w:t>type s</w:t>
      </w:r>
      <w:r w:rsidR="000B2B75">
        <w:rPr>
          <w:lang w:val="fr-FR"/>
        </w:rPr>
        <w:t>’</w:t>
      </w:r>
      <w:r w:rsidRPr="00F82F28">
        <w:rPr>
          <w:lang w:val="fr-FR"/>
        </w:rPr>
        <w:t>appliqu</w:t>
      </w:r>
      <w:r>
        <w:rPr>
          <w:lang w:val="fr-FR"/>
        </w:rPr>
        <w:t>ai</w:t>
      </w:r>
      <w:r w:rsidRPr="00F82F28">
        <w:rPr>
          <w:lang w:val="fr-FR"/>
        </w:rPr>
        <w:t xml:space="preserve">ent aux piles boutons. </w:t>
      </w:r>
      <w:r>
        <w:rPr>
          <w:lang w:val="fr-FR"/>
        </w:rPr>
        <w:t>I</w:t>
      </w:r>
      <w:r w:rsidRPr="00F82F28">
        <w:rPr>
          <w:lang w:val="fr-FR"/>
        </w:rPr>
        <w:t xml:space="preserve">l a </w:t>
      </w:r>
      <w:r>
        <w:rPr>
          <w:lang w:val="fr-FR"/>
        </w:rPr>
        <w:t xml:space="preserve">également </w:t>
      </w:r>
      <w:r w:rsidRPr="00F82F28">
        <w:rPr>
          <w:lang w:val="fr-FR"/>
        </w:rPr>
        <w:t>confirmé que les procès-verbaux d</w:t>
      </w:r>
      <w:r w:rsidR="000B2B75">
        <w:rPr>
          <w:lang w:val="fr-FR"/>
        </w:rPr>
        <w:t>’</w:t>
      </w:r>
      <w:r w:rsidRPr="00F82F28">
        <w:rPr>
          <w:lang w:val="fr-FR"/>
        </w:rPr>
        <w:t>épreuves devaient être accessibles au public (par exemple sur le site Web du fabricant de piles ou de batteries), mais qu</w:t>
      </w:r>
      <w:r w:rsidR="000B2B75">
        <w:rPr>
          <w:lang w:val="fr-FR"/>
        </w:rPr>
        <w:t>’</w:t>
      </w:r>
      <w:r w:rsidRPr="00F82F28">
        <w:rPr>
          <w:lang w:val="fr-FR"/>
        </w:rPr>
        <w:t>ils ne devaient pas obligatoirement accompagner le document de transport.</w:t>
      </w:r>
    </w:p>
    <w:p w14:paraId="6F5DCA29" w14:textId="77777777" w:rsidR="00026B0E" w:rsidRPr="007F3B53" w:rsidRDefault="00026B0E" w:rsidP="006355EE">
      <w:pPr>
        <w:pStyle w:val="H1G"/>
        <w:rPr>
          <w:lang w:val="fr-FR"/>
        </w:rPr>
      </w:pPr>
      <w:r>
        <w:rPr>
          <w:lang w:val="fr-FR"/>
        </w:rPr>
        <w:tab/>
      </w:r>
      <w:r w:rsidRPr="00F82F28">
        <w:rPr>
          <w:lang w:val="fr-FR"/>
        </w:rPr>
        <w:t>B.</w:t>
      </w:r>
      <w:r w:rsidRPr="00F82F28">
        <w:rPr>
          <w:lang w:val="fr-FR"/>
        </w:rPr>
        <w:tab/>
        <w:t>Système de classification des batteries au lithium en fonction du danger</w:t>
      </w:r>
    </w:p>
    <w:p w14:paraId="7C21890B" w14:textId="7345B061" w:rsidR="00026B0E" w:rsidRPr="007F3B53" w:rsidRDefault="00026B0E" w:rsidP="00026B0E">
      <w:pPr>
        <w:pStyle w:val="SingleTxtG"/>
        <w:rPr>
          <w:lang w:val="fr-FR"/>
        </w:rPr>
      </w:pPr>
      <w:r w:rsidRPr="00F82F28">
        <w:rPr>
          <w:lang w:val="fr-FR"/>
        </w:rPr>
        <w:t>53.</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2D935878" w14:textId="77777777" w:rsidR="00026B0E" w:rsidRPr="007F3B53" w:rsidRDefault="00026B0E" w:rsidP="006355EE">
      <w:pPr>
        <w:pStyle w:val="H1G"/>
        <w:rPr>
          <w:lang w:val="fr-FR"/>
        </w:rPr>
      </w:pPr>
      <w:r>
        <w:rPr>
          <w:lang w:val="fr-FR"/>
        </w:rPr>
        <w:tab/>
      </w:r>
      <w:r w:rsidRPr="00F82F28">
        <w:rPr>
          <w:lang w:val="fr-FR"/>
        </w:rPr>
        <w:t>C.</w:t>
      </w:r>
      <w:r w:rsidRPr="00F82F28">
        <w:rPr>
          <w:lang w:val="fr-FR"/>
        </w:rPr>
        <w:tab/>
        <w:t>Dispositions relatives au transport</w:t>
      </w:r>
    </w:p>
    <w:p w14:paraId="08B5B59C" w14:textId="77777777" w:rsidR="00026B0E" w:rsidRPr="007F3B53" w:rsidRDefault="00026B0E" w:rsidP="006355EE">
      <w:pPr>
        <w:pStyle w:val="H23G"/>
        <w:rPr>
          <w:lang w:val="fr-FR"/>
        </w:rPr>
      </w:pPr>
      <w:r>
        <w:rPr>
          <w:lang w:val="fr-FR"/>
        </w:rPr>
        <w:tab/>
      </w:r>
      <w:r w:rsidRPr="00F82F28">
        <w:rPr>
          <w:lang w:val="fr-FR"/>
        </w:rPr>
        <w:t>1.</w:t>
      </w:r>
      <w:r w:rsidRPr="00F82F28">
        <w:rPr>
          <w:lang w:val="fr-FR"/>
        </w:rPr>
        <w:tab/>
        <w:t xml:space="preserve">Révision du chapitre 2.9.4 en vue de distinguer le système de gestion </w:t>
      </w:r>
      <w:r w:rsidR="006355EE">
        <w:rPr>
          <w:lang w:val="fr-FR"/>
        </w:rPr>
        <w:br/>
      </w:r>
      <w:r w:rsidRPr="00F82F28">
        <w:rPr>
          <w:lang w:val="fr-FR"/>
        </w:rPr>
        <w:t>de la qualité des prescriptions relatives à la classification</w:t>
      </w:r>
    </w:p>
    <w:p w14:paraId="3E04D61F"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ST/SG/AC.10/C.3/2020/40 (IATA)</w:t>
      </w:r>
      <w:r>
        <w:rPr>
          <w:lang w:val="fr-FR"/>
        </w:rPr>
        <w:t>.</w:t>
      </w:r>
    </w:p>
    <w:p w14:paraId="5A9742CB" w14:textId="3795BF82" w:rsidR="00026B0E" w:rsidRPr="007F3B53" w:rsidRDefault="00026B0E" w:rsidP="00026B0E">
      <w:pPr>
        <w:pStyle w:val="SingleTxtG"/>
        <w:rPr>
          <w:lang w:val="fr-FR"/>
        </w:rPr>
      </w:pPr>
      <w:r w:rsidRPr="00F82F28">
        <w:rPr>
          <w:lang w:val="fr-FR"/>
        </w:rPr>
        <w:t>54.</w:t>
      </w:r>
      <w:r w:rsidRPr="00F82F28">
        <w:rPr>
          <w:lang w:val="fr-FR"/>
        </w:rPr>
        <w:tab/>
        <w:t>Bien que le Sous-Comité ait admis qu</w:t>
      </w:r>
      <w:r w:rsidR="000B2B75">
        <w:rPr>
          <w:lang w:val="fr-FR"/>
        </w:rPr>
        <w:t>’</w:t>
      </w:r>
      <w:r w:rsidRPr="00F82F28">
        <w:rPr>
          <w:lang w:val="fr-FR"/>
        </w:rPr>
        <w:t>il n</w:t>
      </w:r>
      <w:r w:rsidR="000B2B75">
        <w:rPr>
          <w:lang w:val="fr-FR"/>
        </w:rPr>
        <w:t>’</w:t>
      </w:r>
      <w:r w:rsidRPr="00F82F28">
        <w:rPr>
          <w:lang w:val="fr-FR"/>
        </w:rPr>
        <w:t>était pas obligatoire d</w:t>
      </w:r>
      <w:r w:rsidR="000B2B75">
        <w:rPr>
          <w:lang w:val="fr-FR"/>
        </w:rPr>
        <w:t>’</w:t>
      </w:r>
      <w:r w:rsidRPr="00F82F28">
        <w:rPr>
          <w:lang w:val="fr-FR"/>
        </w:rPr>
        <w:t>ajouter un exemplaire du programme de gestion de la qualité aux documents de transport, l</w:t>
      </w:r>
      <w:r w:rsidR="000B2B75">
        <w:rPr>
          <w:lang w:val="fr-FR"/>
        </w:rPr>
        <w:t>’</w:t>
      </w:r>
      <w:r w:rsidRPr="00F82F28">
        <w:rPr>
          <w:lang w:val="fr-FR"/>
        </w:rPr>
        <w:t xml:space="preserve">approche </w:t>
      </w:r>
      <w:r w:rsidRPr="00F82F28">
        <w:rPr>
          <w:lang w:val="fr-FR"/>
        </w:rPr>
        <w:lastRenderedPageBreak/>
        <w:t>adoptée dans la proposition de clarification de la question n</w:t>
      </w:r>
      <w:r w:rsidR="000B2B75">
        <w:rPr>
          <w:lang w:val="fr-FR"/>
        </w:rPr>
        <w:t>’</w:t>
      </w:r>
      <w:r w:rsidRPr="00F82F28">
        <w:rPr>
          <w:lang w:val="fr-FR"/>
        </w:rPr>
        <w:t>a pas obtenu un soutien unanime. Certaines délégations ont fait valoir qu</w:t>
      </w:r>
      <w:r w:rsidR="000B2B75">
        <w:rPr>
          <w:lang w:val="fr-FR"/>
        </w:rPr>
        <w:t>’</w:t>
      </w:r>
      <w:r w:rsidRPr="00F82F28">
        <w:rPr>
          <w:lang w:val="fr-FR"/>
        </w:rPr>
        <w:t>une approche plus simple, par exemple l</w:t>
      </w:r>
      <w:r w:rsidR="000B2B75">
        <w:rPr>
          <w:lang w:val="fr-FR"/>
        </w:rPr>
        <w:t>’</w:t>
      </w:r>
      <w:r w:rsidRPr="00F82F28">
        <w:rPr>
          <w:lang w:val="fr-FR"/>
        </w:rPr>
        <w:t>ajout d</w:t>
      </w:r>
      <w:r w:rsidR="000B2B75">
        <w:rPr>
          <w:lang w:val="fr-FR"/>
        </w:rPr>
        <w:t>’</w:t>
      </w:r>
      <w:r w:rsidRPr="00F82F28">
        <w:rPr>
          <w:lang w:val="fr-FR"/>
        </w:rPr>
        <w:t>un nota, serait plus judicieuse.</w:t>
      </w:r>
    </w:p>
    <w:p w14:paraId="77EA5649" w14:textId="32C04F16" w:rsidR="00026B0E" w:rsidRPr="007F3B53" w:rsidRDefault="00026B0E" w:rsidP="006355EE">
      <w:pPr>
        <w:pStyle w:val="H23G"/>
        <w:rPr>
          <w:lang w:val="fr-FR"/>
        </w:rPr>
      </w:pPr>
      <w:r>
        <w:rPr>
          <w:lang w:val="fr-FR"/>
        </w:rPr>
        <w:tab/>
      </w:r>
      <w:r w:rsidRPr="00F82F28">
        <w:rPr>
          <w:lang w:val="fr-FR"/>
        </w:rPr>
        <w:t>2.</w:t>
      </w:r>
      <w:r w:rsidRPr="00F82F28">
        <w:rPr>
          <w:lang w:val="fr-FR"/>
        </w:rPr>
        <w:tab/>
        <w:t>Utilisation d</w:t>
      </w:r>
      <w:r w:rsidR="000B2B75">
        <w:rPr>
          <w:lang w:val="fr-FR"/>
        </w:rPr>
        <w:t>’</w:t>
      </w:r>
      <w:r w:rsidRPr="00F82F28">
        <w:rPr>
          <w:lang w:val="fr-FR"/>
        </w:rPr>
        <w:t>emballages non soumis à la prescription du point 4.1.1.3 et d</w:t>
      </w:r>
      <w:r w:rsidR="000B2B75">
        <w:rPr>
          <w:lang w:val="fr-FR"/>
        </w:rPr>
        <w:t>’</w:t>
      </w:r>
      <w:r w:rsidRPr="00F82F28">
        <w:rPr>
          <w:lang w:val="fr-FR"/>
        </w:rPr>
        <w:t>une masse nette supérieure à 400 kg pour le transport de batteries au lithium</w:t>
      </w:r>
    </w:p>
    <w:p w14:paraId="73FD27FA"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Documents</w:t>
      </w:r>
      <w:r w:rsidR="001A6A7E">
        <w:rPr>
          <w:i/>
          <w:iCs/>
          <w:lang w:val="fr-FR"/>
        </w:rPr>
        <w:t> </w:t>
      </w:r>
      <w:r w:rsidRPr="00F82F28">
        <w:rPr>
          <w:i/>
          <w:iCs/>
          <w:lang w:val="fr-FR"/>
        </w:rPr>
        <w:t>:</w:t>
      </w:r>
      <w:r w:rsidRPr="00F82F28">
        <w:rPr>
          <w:lang w:val="fr-FR"/>
        </w:rPr>
        <w:tab/>
        <w:t>ST/SG/AC.10/C.3/2020/46 et ST/SG/AC.10/C.3/2020/75 (PRBA et RECHARGE)</w:t>
      </w:r>
      <w:r>
        <w:rPr>
          <w:lang w:val="fr-FR"/>
        </w:rPr>
        <w:t>.</w:t>
      </w:r>
    </w:p>
    <w:p w14:paraId="51F38C98" w14:textId="77777777" w:rsidR="00026B0E" w:rsidRPr="007F3B53" w:rsidRDefault="00026B0E" w:rsidP="00026B0E">
      <w:pPr>
        <w:pStyle w:val="SingleTxtG"/>
        <w:rPr>
          <w:b/>
          <w:lang w:val="fr-FR"/>
        </w:rPr>
      </w:pPr>
      <w:r w:rsidRPr="00F82F28">
        <w:rPr>
          <w:lang w:val="fr-FR"/>
        </w:rPr>
        <w:t>55.</w:t>
      </w:r>
      <w:r w:rsidRPr="00F82F28">
        <w:rPr>
          <w:lang w:val="fr-FR"/>
        </w:rPr>
        <w:tab/>
        <w:t>Le Sous-Comité a adopté à la majorité les modifications proposées dans le document ST/SG/AC.10/C.3/2020/75, ainsi que des modifications supplémentaires concernant le 4.1.3.3 (voir annexe I).</w:t>
      </w:r>
    </w:p>
    <w:p w14:paraId="076576EB" w14:textId="77777777" w:rsidR="00026B0E" w:rsidRPr="007F3B53" w:rsidRDefault="00026B0E" w:rsidP="006355EE">
      <w:pPr>
        <w:pStyle w:val="H23G"/>
        <w:rPr>
          <w:lang w:val="fr-FR"/>
        </w:rPr>
      </w:pPr>
      <w:r>
        <w:rPr>
          <w:lang w:val="fr-FR"/>
        </w:rPr>
        <w:tab/>
      </w:r>
      <w:r w:rsidRPr="00F82F28">
        <w:rPr>
          <w:lang w:val="fr-FR"/>
        </w:rPr>
        <w:t>3.</w:t>
      </w:r>
      <w:r w:rsidRPr="00F82F28">
        <w:rPr>
          <w:lang w:val="fr-FR"/>
        </w:rPr>
        <w:tab/>
        <w:t>Numéro de téléphone apposé sur la marque des batteries au lithium</w:t>
      </w:r>
    </w:p>
    <w:p w14:paraId="5A8FC4B9"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Documents</w:t>
      </w:r>
      <w:r w:rsidR="001A6A7E">
        <w:rPr>
          <w:i/>
          <w:iCs/>
          <w:lang w:val="fr-FR"/>
        </w:rPr>
        <w:t> </w:t>
      </w:r>
      <w:r w:rsidRPr="00F82F28">
        <w:rPr>
          <w:i/>
          <w:iCs/>
          <w:lang w:val="fr-FR"/>
        </w:rPr>
        <w:t>:</w:t>
      </w:r>
      <w:r w:rsidRPr="00F82F28">
        <w:rPr>
          <w:lang w:val="fr-FR"/>
        </w:rPr>
        <w:tab/>
        <w:t>ST/SG/AC.10/C.3/2020/48 et ST/SG/AC.10/C.3/2020/76 (PRBA et RECHARGE)</w:t>
      </w:r>
      <w:r>
        <w:rPr>
          <w:lang w:val="fr-FR"/>
        </w:rPr>
        <w:t>.</w:t>
      </w:r>
    </w:p>
    <w:p w14:paraId="587AE59E" w14:textId="1A8E4CE8" w:rsidR="00026B0E" w:rsidRPr="007F3B53" w:rsidRDefault="00026B0E" w:rsidP="00026B0E">
      <w:pPr>
        <w:pStyle w:val="SingleTxtG"/>
        <w:rPr>
          <w:lang w:val="fr-FR"/>
        </w:rPr>
      </w:pPr>
      <w:r w:rsidRPr="00F82F28">
        <w:rPr>
          <w:lang w:val="fr-FR"/>
        </w:rPr>
        <w:t>56.</w:t>
      </w:r>
      <w:r w:rsidRPr="00F82F28">
        <w:rPr>
          <w:lang w:val="fr-FR"/>
        </w:rPr>
        <w:tab/>
        <w:t xml:space="preserve">Le Sous-Comité a adopté les amendements proposés dans le document ST/SG/AC.10/C.3/2020/76 (voir annexe I). Il a été </w:t>
      </w:r>
      <w:r>
        <w:rPr>
          <w:lang w:val="fr-FR"/>
        </w:rPr>
        <w:t xml:space="preserve">indiqué </w:t>
      </w:r>
      <w:r w:rsidRPr="00F82F28">
        <w:rPr>
          <w:lang w:val="fr-FR"/>
        </w:rPr>
        <w:t>qu</w:t>
      </w:r>
      <w:r w:rsidR="000B2B75">
        <w:rPr>
          <w:lang w:val="fr-FR"/>
        </w:rPr>
        <w:t>’</w:t>
      </w:r>
      <w:r w:rsidRPr="00F82F28">
        <w:rPr>
          <w:lang w:val="fr-FR"/>
        </w:rPr>
        <w:t>il y aurait suffisamment de temps au cours des deux prochains exercices biennaux pour modifier le contenu de la note sur la période transitoire si nécessaire.</w:t>
      </w:r>
    </w:p>
    <w:p w14:paraId="7DC7B443" w14:textId="32E54009" w:rsidR="00026B0E" w:rsidRPr="007F3B53" w:rsidRDefault="00026B0E" w:rsidP="006355EE">
      <w:pPr>
        <w:pStyle w:val="H23G"/>
        <w:rPr>
          <w:lang w:val="fr-FR"/>
        </w:rPr>
      </w:pPr>
      <w:r>
        <w:rPr>
          <w:lang w:val="fr-FR"/>
        </w:rPr>
        <w:tab/>
      </w:r>
      <w:r w:rsidRPr="00F82F28">
        <w:rPr>
          <w:lang w:val="fr-FR"/>
        </w:rPr>
        <w:t>4.</w:t>
      </w:r>
      <w:r w:rsidRPr="00F82F28">
        <w:rPr>
          <w:lang w:val="fr-FR"/>
        </w:rPr>
        <w:tab/>
        <w:t xml:space="preserve">Proposition </w:t>
      </w:r>
      <w:r>
        <w:rPr>
          <w:lang w:val="fr-FR"/>
        </w:rPr>
        <w:t>d</w:t>
      </w:r>
      <w:r w:rsidR="000B2B75">
        <w:rPr>
          <w:lang w:val="fr-FR"/>
        </w:rPr>
        <w:t>’</w:t>
      </w:r>
      <w:r>
        <w:rPr>
          <w:lang w:val="fr-FR"/>
        </w:rPr>
        <w:t xml:space="preserve">amendement à </w:t>
      </w:r>
      <w:r w:rsidRPr="00F82F28">
        <w:rPr>
          <w:lang w:val="fr-FR"/>
        </w:rPr>
        <w:t>l</w:t>
      </w:r>
      <w:r w:rsidR="000B2B75">
        <w:rPr>
          <w:lang w:val="fr-FR"/>
        </w:rPr>
        <w:t>’</w:t>
      </w:r>
      <w:r w:rsidRPr="00F82F28">
        <w:rPr>
          <w:lang w:val="fr-FR"/>
        </w:rPr>
        <w:t>instruction d</w:t>
      </w:r>
      <w:r w:rsidR="000B2B75">
        <w:rPr>
          <w:lang w:val="fr-FR"/>
        </w:rPr>
        <w:t>’</w:t>
      </w:r>
      <w:r w:rsidRPr="00F82F28">
        <w:rPr>
          <w:lang w:val="fr-FR"/>
        </w:rPr>
        <w:t>emballage LP903</w:t>
      </w:r>
    </w:p>
    <w:p w14:paraId="715B74AF"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ST/SG/AC.10/C.3/2020/52 (Royaume-Uni)</w:t>
      </w:r>
      <w:r>
        <w:rPr>
          <w:lang w:val="fr-FR"/>
        </w:rPr>
        <w:t>.</w:t>
      </w:r>
    </w:p>
    <w:p w14:paraId="5C9851A3"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INF.34 (PRBA)</w:t>
      </w:r>
      <w:r>
        <w:rPr>
          <w:lang w:val="fr-FR"/>
        </w:rPr>
        <w:t>.</w:t>
      </w:r>
    </w:p>
    <w:p w14:paraId="5A80C1FD" w14:textId="6174F10B" w:rsidR="00026B0E" w:rsidRPr="007F3B53" w:rsidRDefault="00026B0E" w:rsidP="00026B0E">
      <w:pPr>
        <w:pStyle w:val="SingleTxtG"/>
        <w:rPr>
          <w:lang w:val="fr-FR"/>
        </w:rPr>
      </w:pPr>
      <w:r w:rsidRPr="00F82F28">
        <w:rPr>
          <w:lang w:val="fr-FR"/>
        </w:rPr>
        <w:t>57.</w:t>
      </w:r>
      <w:r w:rsidRPr="00F82F28">
        <w:rPr>
          <w:lang w:val="fr-FR"/>
        </w:rPr>
        <w:tab/>
        <w:t>Certains experts, estimant qu</w:t>
      </w:r>
      <w:r w:rsidR="000B2B75">
        <w:rPr>
          <w:lang w:val="fr-FR"/>
        </w:rPr>
        <w:t>’</w:t>
      </w:r>
      <w:r w:rsidRPr="00F82F28">
        <w:rPr>
          <w:lang w:val="fr-FR"/>
        </w:rPr>
        <w:t>il était prématuré d</w:t>
      </w:r>
      <w:r w:rsidR="000B2B75">
        <w:rPr>
          <w:lang w:val="fr-FR"/>
        </w:rPr>
        <w:t>’</w:t>
      </w:r>
      <w:r w:rsidRPr="00F82F28">
        <w:rPr>
          <w:lang w:val="fr-FR"/>
        </w:rPr>
        <w:t>adopter les modifications de l</w:t>
      </w:r>
      <w:r w:rsidR="000B2B75">
        <w:rPr>
          <w:lang w:val="fr-FR"/>
        </w:rPr>
        <w:t>’</w:t>
      </w:r>
      <w:r w:rsidRPr="00F82F28">
        <w:rPr>
          <w:lang w:val="fr-FR"/>
        </w:rPr>
        <w:t>instruction d</w:t>
      </w:r>
      <w:r w:rsidR="000B2B75">
        <w:rPr>
          <w:lang w:val="fr-FR"/>
        </w:rPr>
        <w:t>’</w:t>
      </w:r>
      <w:r w:rsidRPr="00F82F28">
        <w:rPr>
          <w:lang w:val="fr-FR"/>
        </w:rPr>
        <w:t>emballage LP903 proposées, ont dit préférer en reprendre l</w:t>
      </w:r>
      <w:r w:rsidR="000B2B75">
        <w:rPr>
          <w:lang w:val="fr-FR"/>
        </w:rPr>
        <w:t>’</w:t>
      </w:r>
      <w:r w:rsidRPr="00F82F28">
        <w:rPr>
          <w:lang w:val="fr-FR"/>
        </w:rPr>
        <w:t>examen au cours de la prochaine période biennale.</w:t>
      </w:r>
    </w:p>
    <w:p w14:paraId="189EF6B5" w14:textId="273AB8C2" w:rsidR="00026B0E" w:rsidRPr="007F3B53" w:rsidRDefault="00026B0E" w:rsidP="006355EE">
      <w:pPr>
        <w:pStyle w:val="H23G"/>
        <w:rPr>
          <w:lang w:val="fr-FR"/>
        </w:rPr>
      </w:pPr>
      <w:r>
        <w:rPr>
          <w:lang w:val="fr-FR"/>
        </w:rPr>
        <w:tab/>
      </w:r>
      <w:r w:rsidRPr="00F82F28">
        <w:rPr>
          <w:lang w:val="fr-FR"/>
        </w:rPr>
        <w:t>5.</w:t>
      </w:r>
      <w:r w:rsidRPr="00F82F28">
        <w:rPr>
          <w:lang w:val="fr-FR"/>
        </w:rPr>
        <w:tab/>
      </w:r>
      <w:r w:rsidRPr="00F82F28">
        <w:rPr>
          <w:bCs/>
          <w:lang w:val="fr-FR"/>
        </w:rPr>
        <w:t xml:space="preserve">Emballages intérieurs pour piles et batteries au lithium </w:t>
      </w:r>
      <w:r w:rsidR="00930D8C">
        <w:rPr>
          <w:bCs/>
          <w:lang w:val="fr-FR"/>
        </w:rPr>
        <w:t>−</w:t>
      </w:r>
      <w:r w:rsidRPr="00F82F28">
        <w:rPr>
          <w:bCs/>
          <w:lang w:val="fr-FR"/>
        </w:rPr>
        <w:t xml:space="preserve"> Précisions apportées aux prescriptions de l</w:t>
      </w:r>
      <w:r w:rsidR="000B2B75">
        <w:rPr>
          <w:bCs/>
          <w:lang w:val="fr-FR"/>
        </w:rPr>
        <w:t>’</w:t>
      </w:r>
      <w:r w:rsidRPr="00F82F28">
        <w:rPr>
          <w:bCs/>
          <w:lang w:val="fr-FR"/>
        </w:rPr>
        <w:t>instruction d</w:t>
      </w:r>
      <w:r w:rsidR="000B2B75">
        <w:rPr>
          <w:bCs/>
          <w:lang w:val="fr-FR"/>
        </w:rPr>
        <w:t>’</w:t>
      </w:r>
      <w:r w:rsidRPr="00F82F28">
        <w:rPr>
          <w:bCs/>
          <w:lang w:val="fr-FR"/>
        </w:rPr>
        <w:t>emballage P903</w:t>
      </w:r>
    </w:p>
    <w:p w14:paraId="256B3188" w14:textId="1FE9B923"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ST/SG/AC.10/C.3/2020/56/Rev.1 (États-Unis d</w:t>
      </w:r>
      <w:r w:rsidR="000B2B75">
        <w:rPr>
          <w:lang w:val="fr-FR"/>
        </w:rPr>
        <w:t>’</w:t>
      </w:r>
      <w:r w:rsidRPr="00F82F28">
        <w:rPr>
          <w:lang w:val="fr-FR"/>
        </w:rPr>
        <w:t>Amérique)</w:t>
      </w:r>
      <w:r>
        <w:rPr>
          <w:lang w:val="fr-FR"/>
        </w:rPr>
        <w:t>.</w:t>
      </w:r>
    </w:p>
    <w:p w14:paraId="1C57F597" w14:textId="3F62800A" w:rsidR="00026B0E" w:rsidRPr="007F3B53" w:rsidRDefault="00026B0E" w:rsidP="00026B0E">
      <w:pPr>
        <w:pStyle w:val="SingleTxtG"/>
        <w:rPr>
          <w:lang w:val="fr-FR"/>
        </w:rPr>
      </w:pPr>
      <w:r w:rsidRPr="00F82F28">
        <w:rPr>
          <w:lang w:val="fr-FR"/>
        </w:rPr>
        <w:t>58.</w:t>
      </w:r>
      <w:r w:rsidRPr="00F82F28">
        <w:rPr>
          <w:lang w:val="fr-FR"/>
        </w:rPr>
        <w:tab/>
        <w:t>Il a été décidé de reporter l</w:t>
      </w:r>
      <w:r w:rsidR="000B2B75">
        <w:rPr>
          <w:lang w:val="fr-FR"/>
        </w:rPr>
        <w:t>’</w:t>
      </w:r>
      <w:r w:rsidRPr="00F82F28">
        <w:rPr>
          <w:lang w:val="fr-FR"/>
        </w:rPr>
        <w:t>examen de cette question à la prochaine période biennale.</w:t>
      </w:r>
    </w:p>
    <w:p w14:paraId="75756AC2" w14:textId="77777777" w:rsidR="00026B0E" w:rsidRPr="007F3B53" w:rsidRDefault="00026B0E" w:rsidP="006355EE">
      <w:pPr>
        <w:pStyle w:val="H1G"/>
        <w:rPr>
          <w:lang w:val="fr-FR"/>
        </w:rPr>
      </w:pPr>
      <w:r>
        <w:rPr>
          <w:lang w:val="fr-FR"/>
        </w:rPr>
        <w:tab/>
      </w:r>
      <w:r w:rsidRPr="002728EA">
        <w:rPr>
          <w:lang w:val="fr-FR"/>
        </w:rPr>
        <w:t>D.</w:t>
      </w:r>
      <w:r w:rsidRPr="002728EA">
        <w:rPr>
          <w:lang w:val="fr-FR"/>
        </w:rPr>
        <w:tab/>
        <w:t>Batteries au lithium endommagées ou défectueuses</w:t>
      </w:r>
    </w:p>
    <w:p w14:paraId="348D8A91" w14:textId="78683D59" w:rsidR="00026B0E" w:rsidRPr="007F3B53" w:rsidRDefault="00026B0E" w:rsidP="00026B0E">
      <w:pPr>
        <w:pStyle w:val="SingleTxtG"/>
        <w:rPr>
          <w:lang w:val="fr-FR"/>
        </w:rPr>
      </w:pPr>
      <w:r w:rsidRPr="00F82F28">
        <w:rPr>
          <w:lang w:val="fr-FR"/>
        </w:rPr>
        <w:t>59.</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35099A58" w14:textId="77777777" w:rsidR="00026B0E" w:rsidRPr="007F3B53" w:rsidRDefault="00026B0E" w:rsidP="006355EE">
      <w:pPr>
        <w:pStyle w:val="H1G"/>
        <w:rPr>
          <w:sz w:val="28"/>
          <w:szCs w:val="28"/>
          <w:lang w:val="fr-FR"/>
        </w:rPr>
      </w:pPr>
      <w:r>
        <w:rPr>
          <w:lang w:val="fr-FR"/>
        </w:rPr>
        <w:tab/>
      </w:r>
      <w:r w:rsidRPr="002728EA">
        <w:rPr>
          <w:sz w:val="28"/>
          <w:szCs w:val="28"/>
          <w:lang w:val="fr-FR"/>
        </w:rPr>
        <w:t>E.</w:t>
      </w:r>
      <w:r w:rsidRPr="002728EA">
        <w:rPr>
          <w:sz w:val="28"/>
          <w:szCs w:val="28"/>
          <w:lang w:val="fr-FR"/>
        </w:rPr>
        <w:tab/>
      </w:r>
      <w:r w:rsidRPr="002728EA">
        <w:rPr>
          <w:bCs/>
          <w:sz w:val="28"/>
          <w:szCs w:val="28"/>
          <w:lang w:val="fr-FR"/>
        </w:rPr>
        <w:t>Batteries au sodium</w:t>
      </w:r>
      <w:r>
        <w:rPr>
          <w:bCs/>
          <w:sz w:val="28"/>
          <w:szCs w:val="28"/>
          <w:lang w:val="fr-FR"/>
        </w:rPr>
        <w:t>-</w:t>
      </w:r>
      <w:r w:rsidRPr="002728EA">
        <w:rPr>
          <w:bCs/>
          <w:sz w:val="28"/>
          <w:szCs w:val="28"/>
          <w:lang w:val="fr-FR"/>
        </w:rPr>
        <w:t>ion</w:t>
      </w:r>
    </w:p>
    <w:p w14:paraId="4C72E840" w14:textId="5CF30C8D" w:rsidR="00026B0E" w:rsidRPr="007F3B53" w:rsidRDefault="00026B0E" w:rsidP="006355EE">
      <w:pPr>
        <w:pStyle w:val="H23G"/>
        <w:rPr>
          <w:lang w:val="fr-FR"/>
        </w:rPr>
      </w:pPr>
      <w:r>
        <w:rPr>
          <w:lang w:val="fr-FR"/>
        </w:rPr>
        <w:tab/>
      </w:r>
      <w:r w:rsidRPr="00F82F28">
        <w:rPr>
          <w:lang w:val="fr-FR"/>
        </w:rPr>
        <w:t>1.</w:t>
      </w:r>
      <w:r w:rsidRPr="00F82F28">
        <w:rPr>
          <w:lang w:val="fr-FR"/>
        </w:rPr>
        <w:tab/>
      </w:r>
      <w:r w:rsidRPr="001C5EA7">
        <w:rPr>
          <w:lang w:val="fr-FR"/>
        </w:rPr>
        <w:t>Batteries sodium-ion</w:t>
      </w:r>
      <w:r w:rsidRPr="00F82F28">
        <w:rPr>
          <w:lang w:val="fr-FR"/>
        </w:rPr>
        <w:t xml:space="preserve"> </w:t>
      </w:r>
      <w:r w:rsidR="00653497">
        <w:rPr>
          <w:lang w:val="fr-FR"/>
        </w:rPr>
        <w:t>−</w:t>
      </w:r>
      <w:r w:rsidRPr="00F82F28">
        <w:rPr>
          <w:lang w:val="fr-FR"/>
        </w:rPr>
        <w:t xml:space="preserve"> Affectation d</w:t>
      </w:r>
      <w:r w:rsidR="000B2B75">
        <w:rPr>
          <w:lang w:val="fr-FR"/>
        </w:rPr>
        <w:t>’</w:t>
      </w:r>
      <w:r w:rsidRPr="00F82F28">
        <w:rPr>
          <w:lang w:val="fr-FR"/>
        </w:rPr>
        <w:t>un numéro ONU ad hoc et dispositions spéciales correspondantes</w:t>
      </w:r>
    </w:p>
    <w:p w14:paraId="6F44C79F" w14:textId="77777777" w:rsidR="00026B0E" w:rsidRPr="007F3B53" w:rsidRDefault="00026B0E" w:rsidP="006355EE">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ST/SG/AC.10/C.3/2020/45/Rev.1 (France et Royaume-Uni)</w:t>
      </w:r>
      <w:r>
        <w:rPr>
          <w:lang w:val="fr-FR"/>
        </w:rPr>
        <w:t>.</w:t>
      </w:r>
    </w:p>
    <w:p w14:paraId="3CAB1FF0" w14:textId="77777777" w:rsidR="00930D8C" w:rsidRDefault="00026B0E" w:rsidP="00930D8C">
      <w:pPr>
        <w:pStyle w:val="SingleTxtG"/>
        <w:tabs>
          <w:tab w:val="clear" w:pos="1701"/>
          <w:tab w:val="clear" w:pos="2268"/>
          <w:tab w:val="clear" w:pos="2835"/>
          <w:tab w:val="left" w:pos="3402"/>
        </w:tabs>
        <w:spacing w:after="0"/>
        <w:ind w:left="3402" w:hanging="2268"/>
        <w:jc w:val="left"/>
        <w:rPr>
          <w:lang w:val="fr-FR"/>
        </w:rPr>
      </w:pPr>
      <w:r w:rsidRPr="00F82F28">
        <w:rPr>
          <w:i/>
          <w:iCs/>
          <w:lang w:val="fr-FR"/>
        </w:rPr>
        <w:t>Documents informels</w:t>
      </w:r>
      <w:r w:rsidR="001A6A7E">
        <w:rPr>
          <w:i/>
          <w:iCs/>
          <w:lang w:val="fr-FR"/>
        </w:rPr>
        <w:t> </w:t>
      </w:r>
      <w:r w:rsidRPr="00F82F28">
        <w:rPr>
          <w:i/>
          <w:iCs/>
          <w:lang w:val="fr-FR"/>
        </w:rPr>
        <w:t>:</w:t>
      </w:r>
      <w:r w:rsidRPr="00F82F28">
        <w:rPr>
          <w:lang w:val="fr-FR"/>
        </w:rPr>
        <w:tab/>
        <w:t>INF.9 et INF.50 (France et Royaume-Uni)</w:t>
      </w:r>
    </w:p>
    <w:p w14:paraId="0BF519B9" w14:textId="77777777" w:rsidR="00026B0E" w:rsidRPr="007F3B53" w:rsidRDefault="00026B0E" w:rsidP="00930D8C">
      <w:pPr>
        <w:pStyle w:val="SingleTxtG"/>
        <w:tabs>
          <w:tab w:val="clear" w:pos="1701"/>
          <w:tab w:val="clear" w:pos="2268"/>
          <w:tab w:val="clear" w:pos="2835"/>
          <w:tab w:val="left" w:pos="3402"/>
        </w:tabs>
        <w:ind w:left="3402"/>
        <w:jc w:val="left"/>
        <w:rPr>
          <w:lang w:val="fr-FR"/>
        </w:rPr>
      </w:pPr>
      <w:r w:rsidRPr="00F82F28">
        <w:rPr>
          <w:lang w:val="fr-FR"/>
        </w:rPr>
        <w:t>INF.39 (France)</w:t>
      </w:r>
      <w:r>
        <w:rPr>
          <w:lang w:val="fr-FR"/>
        </w:rPr>
        <w:t>.</w:t>
      </w:r>
    </w:p>
    <w:p w14:paraId="54E89863" w14:textId="370E3562" w:rsidR="00026B0E" w:rsidRPr="007F3B53" w:rsidRDefault="00026B0E" w:rsidP="00026B0E">
      <w:pPr>
        <w:pStyle w:val="SingleTxtG"/>
        <w:rPr>
          <w:lang w:val="fr-FR"/>
        </w:rPr>
      </w:pPr>
      <w:r w:rsidRPr="00F82F28">
        <w:rPr>
          <w:lang w:val="fr-FR"/>
        </w:rPr>
        <w:t>60.</w:t>
      </w:r>
      <w:r w:rsidRPr="00F82F28">
        <w:rPr>
          <w:lang w:val="fr-FR"/>
        </w:rPr>
        <w:tab/>
        <w:t xml:space="preserve">Le Sous-Comité </w:t>
      </w:r>
      <w:r>
        <w:rPr>
          <w:lang w:val="fr-FR"/>
        </w:rPr>
        <w:t xml:space="preserve">a accueilli avec satisfaction les </w:t>
      </w:r>
      <w:r w:rsidRPr="00F82F28">
        <w:rPr>
          <w:lang w:val="fr-FR"/>
        </w:rPr>
        <w:t>informations actualisées figurant dans le document informel INF.50</w:t>
      </w:r>
      <w:r>
        <w:rPr>
          <w:lang w:val="fr-FR"/>
        </w:rPr>
        <w:t>,</w:t>
      </w:r>
      <w:r w:rsidRPr="00F82F28">
        <w:rPr>
          <w:lang w:val="fr-FR"/>
        </w:rPr>
        <w:t xml:space="preserve"> concernant un ensemble de propositions permettant d</w:t>
      </w:r>
      <w:r w:rsidR="000B2B75">
        <w:rPr>
          <w:lang w:val="fr-FR"/>
        </w:rPr>
        <w:t>’</w:t>
      </w:r>
      <w:r w:rsidRPr="00F82F28">
        <w:rPr>
          <w:lang w:val="fr-FR"/>
        </w:rPr>
        <w:t xml:space="preserve">introduire de nouvelles dispositions relatives aux batteries </w:t>
      </w:r>
      <w:r>
        <w:rPr>
          <w:lang w:val="fr-FR"/>
        </w:rPr>
        <w:t xml:space="preserve">au </w:t>
      </w:r>
      <w:r w:rsidRPr="00F82F28">
        <w:rPr>
          <w:lang w:val="fr-FR"/>
        </w:rPr>
        <w:t>sodium</w:t>
      </w:r>
      <w:r>
        <w:rPr>
          <w:lang w:val="fr-FR"/>
        </w:rPr>
        <w:t xml:space="preserve"> </w:t>
      </w:r>
      <w:r w:rsidRPr="00F82F28">
        <w:rPr>
          <w:lang w:val="fr-FR"/>
        </w:rPr>
        <w:t>ion</w:t>
      </w:r>
      <w:r>
        <w:rPr>
          <w:lang w:val="fr-FR"/>
        </w:rPr>
        <w:t>ique</w:t>
      </w:r>
      <w:r w:rsidRPr="00F82F28">
        <w:rPr>
          <w:lang w:val="fr-FR"/>
        </w:rPr>
        <w:t xml:space="preserve"> et tous les amendements qui en découleraient tant dans le Règlement type que dans le Manuel d</w:t>
      </w:r>
      <w:r w:rsidR="000B2B75">
        <w:rPr>
          <w:lang w:val="fr-FR"/>
        </w:rPr>
        <w:t>’</w:t>
      </w:r>
      <w:r w:rsidRPr="00F82F28">
        <w:rPr>
          <w:lang w:val="fr-FR"/>
        </w:rPr>
        <w:t xml:space="preserve">épreuves et de critères. De nombreuses délégations </w:t>
      </w:r>
      <w:r>
        <w:rPr>
          <w:lang w:val="fr-FR"/>
        </w:rPr>
        <w:t xml:space="preserve">ont appuyé le </w:t>
      </w:r>
      <w:r w:rsidRPr="00F82F28">
        <w:rPr>
          <w:lang w:val="fr-FR"/>
        </w:rPr>
        <w:t xml:space="preserve">principe </w:t>
      </w:r>
      <w:r>
        <w:rPr>
          <w:lang w:val="fr-FR"/>
        </w:rPr>
        <w:t xml:space="preserve">consistant à traiter les </w:t>
      </w:r>
      <w:r w:rsidRPr="00F82F28">
        <w:rPr>
          <w:lang w:val="fr-FR"/>
        </w:rPr>
        <w:t>batteries sodium</w:t>
      </w:r>
      <w:r>
        <w:rPr>
          <w:lang w:val="fr-FR"/>
        </w:rPr>
        <w:t>-</w:t>
      </w:r>
      <w:r w:rsidRPr="00F82F28">
        <w:rPr>
          <w:lang w:val="fr-FR"/>
        </w:rPr>
        <w:t xml:space="preserve">ion de la même manière que les batteries lithium-ion. Certains experts ont </w:t>
      </w:r>
      <w:r>
        <w:rPr>
          <w:lang w:val="fr-FR"/>
        </w:rPr>
        <w:t xml:space="preserve">toutefois </w:t>
      </w:r>
      <w:r w:rsidRPr="00F82F28">
        <w:rPr>
          <w:lang w:val="fr-FR"/>
        </w:rPr>
        <w:t>estimé qu</w:t>
      </w:r>
      <w:r w:rsidR="000B2B75">
        <w:rPr>
          <w:lang w:val="fr-FR"/>
        </w:rPr>
        <w:t>’</w:t>
      </w:r>
      <w:r w:rsidRPr="00F82F28">
        <w:rPr>
          <w:lang w:val="fr-FR"/>
        </w:rPr>
        <w:t>il était prématuré d</w:t>
      </w:r>
      <w:r w:rsidR="000B2B75">
        <w:rPr>
          <w:lang w:val="fr-FR"/>
        </w:rPr>
        <w:t>’</w:t>
      </w:r>
      <w:r w:rsidRPr="00F82F28">
        <w:rPr>
          <w:lang w:val="fr-FR"/>
        </w:rPr>
        <w:t xml:space="preserve">adopter les propositions à ce stade. </w:t>
      </w:r>
      <w:r w:rsidR="00930D8C">
        <w:rPr>
          <w:lang w:val="fr-FR"/>
        </w:rPr>
        <w:lastRenderedPageBreak/>
        <w:t>À </w:t>
      </w:r>
      <w:r>
        <w:rPr>
          <w:lang w:val="fr-FR"/>
        </w:rPr>
        <w:t>l</w:t>
      </w:r>
      <w:r w:rsidR="000B2B75">
        <w:rPr>
          <w:lang w:val="fr-FR"/>
        </w:rPr>
        <w:t>’</w:t>
      </w:r>
      <w:r>
        <w:rPr>
          <w:lang w:val="fr-FR"/>
        </w:rPr>
        <w:t>issue du débat</w:t>
      </w:r>
      <w:r w:rsidRPr="00F82F28">
        <w:rPr>
          <w:lang w:val="fr-FR"/>
        </w:rPr>
        <w:t xml:space="preserve">, il a été convenu de reporter </w:t>
      </w:r>
      <w:r>
        <w:rPr>
          <w:lang w:val="fr-FR"/>
        </w:rPr>
        <w:t>l</w:t>
      </w:r>
      <w:r w:rsidR="000B2B75">
        <w:rPr>
          <w:lang w:val="fr-FR"/>
        </w:rPr>
        <w:t>’</w:t>
      </w:r>
      <w:r>
        <w:rPr>
          <w:lang w:val="fr-FR"/>
        </w:rPr>
        <w:t xml:space="preserve">examen de </w:t>
      </w:r>
      <w:r w:rsidRPr="00F82F28">
        <w:rPr>
          <w:lang w:val="fr-FR"/>
        </w:rPr>
        <w:t>ce sujet à la prochaine période biennale.</w:t>
      </w:r>
    </w:p>
    <w:p w14:paraId="7A2AE10F" w14:textId="3F51B079" w:rsidR="00026B0E" w:rsidRPr="007F3B53" w:rsidRDefault="00026B0E" w:rsidP="00026B0E">
      <w:pPr>
        <w:pStyle w:val="SingleTxtG"/>
        <w:rPr>
          <w:lang w:val="fr-FR"/>
        </w:rPr>
      </w:pPr>
      <w:r w:rsidRPr="00F82F28">
        <w:rPr>
          <w:lang w:val="fr-FR"/>
        </w:rPr>
        <w:t>61.</w:t>
      </w:r>
      <w:r w:rsidRPr="00F82F28">
        <w:rPr>
          <w:lang w:val="fr-FR"/>
        </w:rPr>
        <w:tab/>
      </w:r>
      <w:r>
        <w:rPr>
          <w:lang w:val="fr-FR"/>
        </w:rPr>
        <w:t>L</w:t>
      </w:r>
      <w:r w:rsidR="000B2B75">
        <w:rPr>
          <w:lang w:val="fr-FR"/>
        </w:rPr>
        <w:t>’</w:t>
      </w:r>
      <w:r w:rsidRPr="00F82F28">
        <w:rPr>
          <w:lang w:val="fr-FR"/>
        </w:rPr>
        <w:t>expert de la France a invité les autorités compétentes à envisager, dans l</w:t>
      </w:r>
      <w:r w:rsidR="000B2B75">
        <w:rPr>
          <w:lang w:val="fr-FR"/>
        </w:rPr>
        <w:t>’</w:t>
      </w:r>
      <w:r w:rsidRPr="00F82F28">
        <w:rPr>
          <w:lang w:val="fr-FR"/>
        </w:rPr>
        <w:t xml:space="preserve">intervalle, des exemptions fondées sur des accords multilatéraux, et à recueillir des données supplémentaires sur le transport des batteries </w:t>
      </w:r>
      <w:r>
        <w:rPr>
          <w:lang w:val="fr-FR"/>
        </w:rPr>
        <w:t xml:space="preserve">au </w:t>
      </w:r>
      <w:r w:rsidRPr="00F82F28">
        <w:rPr>
          <w:lang w:val="fr-FR"/>
        </w:rPr>
        <w:t>sodium</w:t>
      </w:r>
      <w:r>
        <w:rPr>
          <w:lang w:val="fr-FR"/>
        </w:rPr>
        <w:t xml:space="preserve"> </w:t>
      </w:r>
      <w:r w:rsidRPr="00F82F28">
        <w:rPr>
          <w:lang w:val="fr-FR"/>
        </w:rPr>
        <w:t>ion</w:t>
      </w:r>
      <w:r>
        <w:rPr>
          <w:lang w:val="fr-FR"/>
        </w:rPr>
        <w:t>ique</w:t>
      </w:r>
      <w:r w:rsidRPr="00F82F28">
        <w:rPr>
          <w:lang w:val="fr-FR"/>
        </w:rPr>
        <w:t>.</w:t>
      </w:r>
    </w:p>
    <w:p w14:paraId="5A08E725" w14:textId="77777777" w:rsidR="00026B0E" w:rsidRPr="007F3B53" w:rsidRDefault="00026B0E" w:rsidP="006355EE">
      <w:pPr>
        <w:pStyle w:val="H23G"/>
        <w:rPr>
          <w:lang w:val="fr-FR"/>
        </w:rPr>
      </w:pPr>
      <w:r>
        <w:rPr>
          <w:lang w:val="fr-FR"/>
        </w:rPr>
        <w:tab/>
      </w:r>
      <w:r w:rsidRPr="00A00829">
        <w:rPr>
          <w:lang w:val="fr-FR"/>
        </w:rPr>
        <w:t>2.</w:t>
      </w:r>
      <w:r w:rsidRPr="00F82F28">
        <w:rPr>
          <w:lang w:val="fr-FR"/>
        </w:rPr>
        <w:tab/>
        <w:t>Épreuves réalisées sur des batteries au sodium ionique à faible densité énergétique</w:t>
      </w:r>
    </w:p>
    <w:p w14:paraId="22986975" w14:textId="77777777" w:rsidR="00026B0E" w:rsidRPr="00DF0FF2" w:rsidRDefault="00026B0E" w:rsidP="006355EE">
      <w:pPr>
        <w:pStyle w:val="SingleTxtG"/>
        <w:tabs>
          <w:tab w:val="clear" w:pos="1701"/>
          <w:tab w:val="clear" w:pos="2268"/>
          <w:tab w:val="clear" w:pos="2835"/>
          <w:tab w:val="left" w:pos="3402"/>
        </w:tabs>
        <w:ind w:left="3402" w:hanging="2268"/>
        <w:jc w:val="left"/>
        <w:rPr>
          <w:lang w:val="fr-FR"/>
        </w:rPr>
      </w:pPr>
      <w:r w:rsidRPr="00DF0FF2">
        <w:rPr>
          <w:i/>
          <w:iCs/>
          <w:lang w:val="fr-FR"/>
        </w:rPr>
        <w:t>Document</w:t>
      </w:r>
      <w:r w:rsidR="001A6A7E">
        <w:rPr>
          <w:i/>
          <w:iCs/>
          <w:lang w:val="fr-FR"/>
        </w:rPr>
        <w:t> </w:t>
      </w:r>
      <w:r w:rsidRPr="00DF0FF2">
        <w:rPr>
          <w:i/>
          <w:iCs/>
          <w:lang w:val="fr-FR"/>
        </w:rPr>
        <w:t>:</w:t>
      </w:r>
      <w:r w:rsidRPr="00DF0FF2">
        <w:rPr>
          <w:lang w:val="fr-FR"/>
        </w:rPr>
        <w:tab/>
        <w:t>ST/SG/AC.10/C.3/2020/65 (KFI).</w:t>
      </w:r>
    </w:p>
    <w:p w14:paraId="4C128060" w14:textId="127B3D01" w:rsidR="00026B0E" w:rsidRPr="007F3B53" w:rsidRDefault="00026B0E" w:rsidP="00026B0E">
      <w:pPr>
        <w:pStyle w:val="SingleTxtG"/>
        <w:rPr>
          <w:lang w:val="fr-FR"/>
        </w:rPr>
      </w:pPr>
      <w:r w:rsidRPr="00F82F28">
        <w:rPr>
          <w:lang w:val="fr-FR"/>
        </w:rPr>
        <w:t>62.</w:t>
      </w:r>
      <w:r w:rsidRPr="00F82F28">
        <w:rPr>
          <w:lang w:val="fr-FR"/>
        </w:rPr>
        <w:tab/>
        <w:t>Le Sous-Comité a relevé la position de KFI selon laquelle les piles au sodium ionique à faible densité énergétique ne posaient aucun risque pour la sécurité qui justifierait de les considérer comme des marchandises dangereuses. Il a été recommandé de reporter l</w:t>
      </w:r>
      <w:r w:rsidR="000B2B75">
        <w:rPr>
          <w:lang w:val="fr-FR"/>
        </w:rPr>
        <w:t>’</w:t>
      </w:r>
      <w:r w:rsidRPr="00F82F28">
        <w:rPr>
          <w:lang w:val="fr-FR"/>
        </w:rPr>
        <w:t>examen de cette question à la prochaine période biennale et d</w:t>
      </w:r>
      <w:r w:rsidR="000B2B75">
        <w:rPr>
          <w:lang w:val="fr-FR"/>
        </w:rPr>
        <w:t>’</w:t>
      </w:r>
      <w:r w:rsidRPr="00F82F28">
        <w:rPr>
          <w:lang w:val="fr-FR"/>
        </w:rPr>
        <w:t>échanger des informations supplémentaires sur les épreuves et études connexes.</w:t>
      </w:r>
    </w:p>
    <w:p w14:paraId="7CD3B8AA" w14:textId="77777777" w:rsidR="00026B0E" w:rsidRPr="007F3B53" w:rsidRDefault="00026B0E" w:rsidP="006355EE">
      <w:pPr>
        <w:pStyle w:val="H1G"/>
        <w:rPr>
          <w:lang w:val="fr-FR"/>
        </w:rPr>
      </w:pPr>
      <w:r>
        <w:rPr>
          <w:lang w:val="fr-FR"/>
        </w:rPr>
        <w:tab/>
      </w:r>
      <w:r w:rsidRPr="00F82F28">
        <w:rPr>
          <w:lang w:val="fr-FR"/>
        </w:rPr>
        <w:t>F.</w:t>
      </w:r>
      <w:r w:rsidRPr="00F82F28">
        <w:rPr>
          <w:lang w:val="fr-FR"/>
        </w:rPr>
        <w:tab/>
      </w:r>
      <w:r>
        <w:rPr>
          <w:lang w:val="fr-FR"/>
        </w:rPr>
        <w:t xml:space="preserve">Autres </w:t>
      </w:r>
      <w:r>
        <w:rPr>
          <w:bCs/>
          <w:lang w:val="fr-FR"/>
        </w:rPr>
        <w:t>q</w:t>
      </w:r>
      <w:r w:rsidRPr="00F82F28">
        <w:rPr>
          <w:bCs/>
          <w:lang w:val="fr-FR"/>
        </w:rPr>
        <w:t>uestions</w:t>
      </w:r>
    </w:p>
    <w:p w14:paraId="61605122" w14:textId="233EC045" w:rsidR="00026B0E" w:rsidRPr="007F3B53" w:rsidRDefault="00026B0E" w:rsidP="00026B0E">
      <w:pPr>
        <w:pStyle w:val="SingleTxtG"/>
        <w:rPr>
          <w:lang w:val="fr-FR"/>
        </w:rPr>
      </w:pPr>
      <w:r w:rsidRPr="00F82F28">
        <w:rPr>
          <w:lang w:val="fr-FR"/>
        </w:rPr>
        <w:t>63.</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47157D76" w14:textId="226215BC" w:rsidR="00026B0E" w:rsidRPr="007F3B53" w:rsidRDefault="00026B0E" w:rsidP="006355EE">
      <w:pPr>
        <w:pStyle w:val="HChG"/>
        <w:rPr>
          <w:lang w:val="fr-FR"/>
        </w:rPr>
      </w:pPr>
      <w:r>
        <w:rPr>
          <w:lang w:val="fr-FR"/>
        </w:rPr>
        <w:tab/>
      </w:r>
      <w:r w:rsidRPr="005C707D">
        <w:rPr>
          <w:lang w:val="fr-FR"/>
        </w:rPr>
        <w:t>VI.</w:t>
      </w:r>
      <w:r w:rsidRPr="005C707D">
        <w:rPr>
          <w:lang w:val="fr-FR"/>
        </w:rPr>
        <w:tab/>
        <w:t>Transport de gaz (point 5 de l</w:t>
      </w:r>
      <w:r w:rsidR="000B2B75">
        <w:rPr>
          <w:lang w:val="fr-FR"/>
        </w:rPr>
        <w:t>’</w:t>
      </w:r>
      <w:r w:rsidRPr="005C707D">
        <w:rPr>
          <w:lang w:val="fr-FR"/>
        </w:rPr>
        <w:t>ordre du jour)</w:t>
      </w:r>
    </w:p>
    <w:p w14:paraId="1E7AF83A" w14:textId="77777777" w:rsidR="00026B0E" w:rsidRPr="007F3B53" w:rsidRDefault="00026B0E" w:rsidP="006355EE">
      <w:pPr>
        <w:pStyle w:val="H1G"/>
        <w:rPr>
          <w:lang w:val="fr-FR"/>
        </w:rPr>
      </w:pPr>
      <w:r>
        <w:rPr>
          <w:lang w:val="fr-FR"/>
        </w:rPr>
        <w:tab/>
      </w:r>
      <w:r w:rsidRPr="00F82F28">
        <w:rPr>
          <w:lang w:val="fr-FR"/>
        </w:rPr>
        <w:t>A.</w:t>
      </w:r>
      <w:r w:rsidRPr="00F82F28">
        <w:rPr>
          <w:lang w:val="fr-FR"/>
        </w:rPr>
        <w:tab/>
        <w:t>Reconnaissance universelle des récipients à pression ONU et non</w:t>
      </w:r>
      <w:r>
        <w:rPr>
          <w:lang w:val="fr-FR"/>
        </w:rPr>
        <w:t xml:space="preserve"> </w:t>
      </w:r>
      <w:r w:rsidRPr="00F82F28">
        <w:rPr>
          <w:lang w:val="fr-FR"/>
        </w:rPr>
        <w:t>ONU</w:t>
      </w:r>
    </w:p>
    <w:p w14:paraId="6E91932C" w14:textId="6DED1FD1" w:rsidR="00026B0E" w:rsidRPr="007F3B53" w:rsidRDefault="00026B0E" w:rsidP="00026B0E">
      <w:pPr>
        <w:pStyle w:val="SingleTxtG"/>
        <w:rPr>
          <w:lang w:val="fr-FR"/>
        </w:rPr>
      </w:pPr>
      <w:r w:rsidRPr="00F82F28">
        <w:rPr>
          <w:lang w:val="fr-FR"/>
        </w:rPr>
        <w:t>64.</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61C7F179" w14:textId="77777777" w:rsidR="00026B0E" w:rsidRPr="007F3B53" w:rsidRDefault="00026B0E" w:rsidP="006355EE">
      <w:pPr>
        <w:pStyle w:val="H1G"/>
        <w:rPr>
          <w:lang w:val="fr-FR"/>
        </w:rPr>
      </w:pPr>
      <w:r>
        <w:rPr>
          <w:lang w:val="fr-FR"/>
        </w:rPr>
        <w:tab/>
      </w:r>
      <w:r w:rsidRPr="00F82F28">
        <w:rPr>
          <w:lang w:val="fr-FR"/>
        </w:rPr>
        <w:t>B.</w:t>
      </w:r>
      <w:r w:rsidRPr="00F82F28">
        <w:rPr>
          <w:lang w:val="fr-FR"/>
        </w:rPr>
        <w:tab/>
      </w:r>
      <w:r>
        <w:rPr>
          <w:lang w:val="fr-FR"/>
        </w:rPr>
        <w:t xml:space="preserve">Autres </w:t>
      </w:r>
      <w:r>
        <w:rPr>
          <w:bCs/>
          <w:lang w:val="fr-FR"/>
        </w:rPr>
        <w:t>q</w:t>
      </w:r>
      <w:r w:rsidRPr="00F82F28">
        <w:rPr>
          <w:bCs/>
          <w:lang w:val="fr-FR"/>
        </w:rPr>
        <w:t>uestions</w:t>
      </w:r>
    </w:p>
    <w:p w14:paraId="4E879DC7" w14:textId="11998612" w:rsidR="00026B0E" w:rsidRPr="007F3B53" w:rsidRDefault="00026B0E" w:rsidP="006355EE">
      <w:pPr>
        <w:pStyle w:val="H23G"/>
        <w:rPr>
          <w:lang w:val="fr-FR"/>
        </w:rPr>
      </w:pPr>
      <w:r>
        <w:rPr>
          <w:lang w:val="fr-FR"/>
        </w:rPr>
        <w:tab/>
      </w:r>
      <w:r w:rsidRPr="00F82F28">
        <w:rPr>
          <w:lang w:val="fr-FR"/>
        </w:rPr>
        <w:t>1.</w:t>
      </w:r>
      <w:r w:rsidRPr="00F82F28">
        <w:rPr>
          <w:lang w:val="fr-FR"/>
        </w:rPr>
        <w:tab/>
        <w:t>Mise à jour des valeurs de la CL</w:t>
      </w:r>
      <w:r w:rsidRPr="00F82F28">
        <w:rPr>
          <w:vertAlign w:val="subscript"/>
          <w:lang w:val="fr-FR"/>
        </w:rPr>
        <w:t xml:space="preserve">50 </w:t>
      </w:r>
      <w:r w:rsidRPr="00F82F28">
        <w:rPr>
          <w:lang w:val="fr-FR"/>
        </w:rPr>
        <w:t>dans l</w:t>
      </w:r>
      <w:r w:rsidR="000B2B75">
        <w:rPr>
          <w:lang w:val="fr-FR"/>
        </w:rPr>
        <w:t>’</w:t>
      </w:r>
      <w:r w:rsidRPr="00F82F28">
        <w:rPr>
          <w:lang w:val="fr-FR"/>
        </w:rPr>
        <w:t>instruction d</w:t>
      </w:r>
      <w:r w:rsidR="000B2B75">
        <w:rPr>
          <w:lang w:val="fr-FR"/>
        </w:rPr>
        <w:t>’</w:t>
      </w:r>
      <w:r w:rsidRPr="00F82F28">
        <w:rPr>
          <w:lang w:val="fr-FR"/>
        </w:rPr>
        <w:t>emballage P200</w:t>
      </w:r>
    </w:p>
    <w:p w14:paraId="43BCA792" w14:textId="77777777" w:rsidR="00026B0E" w:rsidRPr="00DF0FF2" w:rsidRDefault="00026B0E" w:rsidP="006355EE">
      <w:pPr>
        <w:pStyle w:val="SingleTxtG"/>
        <w:tabs>
          <w:tab w:val="clear" w:pos="1701"/>
          <w:tab w:val="clear" w:pos="2268"/>
          <w:tab w:val="clear" w:pos="2835"/>
          <w:tab w:val="left" w:pos="3402"/>
        </w:tabs>
        <w:ind w:left="3402" w:hanging="2268"/>
        <w:jc w:val="left"/>
        <w:rPr>
          <w:lang w:val="en-US"/>
        </w:rPr>
      </w:pPr>
      <w:r w:rsidRPr="001F6813">
        <w:rPr>
          <w:i/>
          <w:iCs/>
          <w:lang w:val="en-US"/>
        </w:rPr>
        <w:t>Document</w:t>
      </w:r>
      <w:r w:rsidR="001A6A7E">
        <w:rPr>
          <w:i/>
          <w:iCs/>
          <w:lang w:val="en-US"/>
        </w:rPr>
        <w:t> </w:t>
      </w:r>
      <w:r w:rsidRPr="001F6813">
        <w:rPr>
          <w:i/>
          <w:iCs/>
          <w:lang w:val="en-US"/>
        </w:rPr>
        <w:t>:</w:t>
      </w:r>
      <w:r w:rsidRPr="001F6813">
        <w:rPr>
          <w:lang w:val="en-US"/>
        </w:rPr>
        <w:tab/>
      </w:r>
      <w:r w:rsidRPr="001F6813">
        <w:rPr>
          <w:lang w:val="en-US"/>
        </w:rPr>
        <w:tab/>
        <w:t>ST/SG/AC.10/C.3/</w:t>
      </w:r>
      <w:r w:rsidRPr="00F64EC4">
        <w:rPr>
          <w:lang w:val="en-US"/>
        </w:rPr>
        <w:t>2020</w:t>
      </w:r>
      <w:r w:rsidRPr="001F6813">
        <w:rPr>
          <w:lang w:val="en-US"/>
        </w:rPr>
        <w:t>/8 (EIGA).</w:t>
      </w:r>
    </w:p>
    <w:p w14:paraId="3775626F" w14:textId="77777777" w:rsidR="00F64EC4" w:rsidRDefault="00026B0E" w:rsidP="00F64EC4">
      <w:pPr>
        <w:pStyle w:val="SingleTxtG"/>
        <w:tabs>
          <w:tab w:val="clear" w:pos="1701"/>
          <w:tab w:val="clear" w:pos="2268"/>
          <w:tab w:val="clear" w:pos="2835"/>
          <w:tab w:val="left" w:pos="3402"/>
        </w:tabs>
        <w:spacing w:after="0"/>
        <w:ind w:left="3402" w:hanging="2268"/>
        <w:jc w:val="left"/>
        <w:rPr>
          <w:lang w:val="fr-FR"/>
        </w:rPr>
      </w:pPr>
      <w:r w:rsidRPr="00F82F28">
        <w:rPr>
          <w:i/>
          <w:iCs/>
          <w:lang w:val="fr-FR"/>
        </w:rPr>
        <w:t>Documents informels</w:t>
      </w:r>
      <w:r w:rsidR="001A6A7E">
        <w:rPr>
          <w:i/>
          <w:iCs/>
          <w:lang w:val="fr-FR"/>
        </w:rPr>
        <w:t> </w:t>
      </w:r>
      <w:r w:rsidRPr="00F82F28">
        <w:rPr>
          <w:i/>
          <w:iCs/>
          <w:lang w:val="fr-FR"/>
        </w:rPr>
        <w:t>:</w:t>
      </w:r>
      <w:r w:rsidRPr="00F82F28">
        <w:rPr>
          <w:lang w:val="fr-FR"/>
        </w:rPr>
        <w:tab/>
        <w:t xml:space="preserve">INF.40 (EIGA) </w:t>
      </w:r>
    </w:p>
    <w:p w14:paraId="2D4E005C" w14:textId="77777777" w:rsidR="00026B0E" w:rsidRPr="007F3B53" w:rsidRDefault="00026B0E" w:rsidP="00F64EC4">
      <w:pPr>
        <w:pStyle w:val="SingleTxtG"/>
        <w:tabs>
          <w:tab w:val="clear" w:pos="1701"/>
          <w:tab w:val="clear" w:pos="2268"/>
          <w:tab w:val="clear" w:pos="2835"/>
          <w:tab w:val="left" w:pos="3402"/>
        </w:tabs>
        <w:ind w:left="3402"/>
        <w:jc w:val="left"/>
        <w:rPr>
          <w:lang w:val="fr-FR"/>
        </w:rPr>
      </w:pPr>
      <w:r w:rsidRPr="00F82F28">
        <w:rPr>
          <w:lang w:val="fr-FR"/>
        </w:rPr>
        <w:t>INF.41 (DGAC)</w:t>
      </w:r>
      <w:r>
        <w:rPr>
          <w:lang w:val="fr-FR"/>
        </w:rPr>
        <w:t>.</w:t>
      </w:r>
    </w:p>
    <w:p w14:paraId="2470A091" w14:textId="66B6E720" w:rsidR="00026B0E" w:rsidRPr="007F3B53" w:rsidRDefault="00026B0E" w:rsidP="00026B0E">
      <w:pPr>
        <w:pStyle w:val="SingleTxtG"/>
        <w:rPr>
          <w:lang w:val="fr-FR"/>
        </w:rPr>
      </w:pPr>
      <w:r w:rsidRPr="00F82F28">
        <w:rPr>
          <w:lang w:val="fr-FR"/>
        </w:rPr>
        <w:t>65.</w:t>
      </w:r>
      <w:r w:rsidRPr="00F82F28">
        <w:rPr>
          <w:lang w:val="fr-FR"/>
        </w:rPr>
        <w:tab/>
        <w:t>Le représentant de l</w:t>
      </w:r>
      <w:r w:rsidR="000B2B75">
        <w:rPr>
          <w:lang w:val="fr-FR"/>
        </w:rPr>
        <w:t>’</w:t>
      </w:r>
      <w:r w:rsidRPr="00F82F28">
        <w:rPr>
          <w:lang w:val="fr-FR"/>
        </w:rPr>
        <w:t xml:space="preserve">EIGA a retiré les propositions </w:t>
      </w:r>
      <w:r>
        <w:rPr>
          <w:lang w:val="fr-FR"/>
        </w:rPr>
        <w:t>d</w:t>
      </w:r>
      <w:r w:rsidR="000B2B75">
        <w:rPr>
          <w:lang w:val="fr-FR"/>
        </w:rPr>
        <w:t>’</w:t>
      </w:r>
      <w:r>
        <w:rPr>
          <w:lang w:val="fr-FR"/>
        </w:rPr>
        <w:t xml:space="preserve">amendements </w:t>
      </w:r>
      <w:r w:rsidRPr="00F82F28">
        <w:rPr>
          <w:lang w:val="fr-FR"/>
        </w:rPr>
        <w:t>concernant le numéro ONU 1005 AMMONIAC ANHYDRE</w:t>
      </w:r>
      <w:r>
        <w:rPr>
          <w:lang w:val="fr-FR"/>
        </w:rPr>
        <w:t>,</w:t>
      </w:r>
      <w:r w:rsidRPr="00F82F28">
        <w:rPr>
          <w:lang w:val="fr-FR"/>
        </w:rPr>
        <w:t xml:space="preserve"> énoncées dans le document ST/SG/AC.10/C.3/2020/8. Le Sous-Comité a examiné et adopté les autres propositions </w:t>
      </w:r>
      <w:r>
        <w:rPr>
          <w:lang w:val="fr-FR"/>
        </w:rPr>
        <w:t>d</w:t>
      </w:r>
      <w:r w:rsidR="000B2B75">
        <w:rPr>
          <w:lang w:val="fr-FR"/>
        </w:rPr>
        <w:t>’</w:t>
      </w:r>
      <w:r>
        <w:rPr>
          <w:lang w:val="fr-FR"/>
        </w:rPr>
        <w:t xml:space="preserve">amendements </w:t>
      </w:r>
      <w:r w:rsidRPr="00F82F28">
        <w:rPr>
          <w:lang w:val="fr-FR"/>
        </w:rPr>
        <w:t>relatives au tableau 2 de l</w:t>
      </w:r>
      <w:r w:rsidR="000B2B75">
        <w:rPr>
          <w:lang w:val="fr-FR"/>
        </w:rPr>
        <w:t>’</w:t>
      </w:r>
      <w:r w:rsidRPr="00F82F28">
        <w:rPr>
          <w:lang w:val="fr-FR"/>
        </w:rPr>
        <w:t>instruction d</w:t>
      </w:r>
      <w:r w:rsidR="000B2B75">
        <w:rPr>
          <w:lang w:val="fr-FR"/>
        </w:rPr>
        <w:t>’</w:t>
      </w:r>
      <w:r w:rsidRPr="00F82F28">
        <w:rPr>
          <w:lang w:val="fr-FR"/>
        </w:rPr>
        <w:t>emballage P200 pour les gaz relevant des numéros ONU 1008, 2196, 2198 et 1052, ainsi que les amendements corollaires proposés dans le document informel INF.41 en ce qui concerne les numéros ONU 2196 et 2198 (voir annexe I).</w:t>
      </w:r>
    </w:p>
    <w:p w14:paraId="0FCC97AC" w14:textId="77777777" w:rsidR="00026B0E" w:rsidRPr="007F3B53" w:rsidRDefault="00026B0E" w:rsidP="00F64EC4">
      <w:pPr>
        <w:pStyle w:val="H23G"/>
        <w:rPr>
          <w:lang w:val="fr-FR"/>
        </w:rPr>
      </w:pPr>
      <w:r>
        <w:rPr>
          <w:lang w:val="fr-FR"/>
        </w:rPr>
        <w:tab/>
      </w:r>
      <w:r w:rsidRPr="00F82F28">
        <w:rPr>
          <w:lang w:val="fr-FR"/>
        </w:rPr>
        <w:t>2.</w:t>
      </w:r>
      <w:r w:rsidRPr="00F82F28">
        <w:rPr>
          <w:lang w:val="fr-FR"/>
        </w:rPr>
        <w:tab/>
        <w:t>Mélanges de gaz contenant du fluor (No ONU 1045)</w:t>
      </w:r>
    </w:p>
    <w:p w14:paraId="36E34F6B" w14:textId="77777777" w:rsidR="00026B0E" w:rsidRPr="007F3B53" w:rsidRDefault="00026B0E" w:rsidP="00F64EC4">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r>
      <w:r>
        <w:rPr>
          <w:lang w:val="fr-FR"/>
        </w:rPr>
        <w:tab/>
      </w:r>
      <w:r w:rsidR="00F64EC4">
        <w:rPr>
          <w:lang w:val="fr-FR"/>
        </w:rPr>
        <w:t>S</w:t>
      </w:r>
      <w:r w:rsidRPr="00F82F28">
        <w:rPr>
          <w:lang w:val="fr-FR"/>
        </w:rPr>
        <w:t>T/SG/AC.10/C.3/2020/19/Rev.1 (</w:t>
      </w:r>
      <w:r w:rsidRPr="00F64EC4">
        <w:t>Allemagne</w:t>
      </w:r>
      <w:r w:rsidRPr="00F82F28">
        <w:rPr>
          <w:lang w:val="fr-FR"/>
        </w:rPr>
        <w:t>)</w:t>
      </w:r>
      <w:r>
        <w:rPr>
          <w:lang w:val="fr-FR"/>
        </w:rPr>
        <w:t>.</w:t>
      </w:r>
    </w:p>
    <w:p w14:paraId="496A7C9C" w14:textId="77777777" w:rsidR="00026B0E" w:rsidRPr="007F3B53" w:rsidRDefault="00026B0E" w:rsidP="00F64EC4">
      <w:pPr>
        <w:pStyle w:val="SingleTxtG"/>
        <w:tabs>
          <w:tab w:val="clear" w:pos="1701"/>
          <w:tab w:val="clear" w:pos="2268"/>
          <w:tab w:val="clear" w:pos="2835"/>
          <w:tab w:val="left" w:pos="3402"/>
        </w:tabs>
        <w:ind w:left="3402" w:hanging="2268"/>
        <w:jc w:val="left"/>
        <w:rPr>
          <w:lang w:val="fr-FR"/>
        </w:rPr>
      </w:pPr>
      <w:r w:rsidRPr="00F82F28">
        <w:rPr>
          <w:i/>
          <w:iCs/>
          <w:lang w:val="fr-FR"/>
        </w:rPr>
        <w:t>Documents informels</w:t>
      </w:r>
      <w:r w:rsidR="001A6A7E">
        <w:rPr>
          <w:i/>
          <w:iCs/>
          <w:lang w:val="fr-FR"/>
        </w:rPr>
        <w:t> </w:t>
      </w:r>
      <w:r w:rsidRPr="00F82F28">
        <w:rPr>
          <w:i/>
          <w:iCs/>
          <w:lang w:val="fr-FR"/>
        </w:rPr>
        <w:t>:</w:t>
      </w:r>
      <w:r w:rsidRPr="00F82F28">
        <w:rPr>
          <w:lang w:val="fr-FR"/>
        </w:rPr>
        <w:tab/>
        <w:t>INF.29 (Allemagne).</w:t>
      </w:r>
    </w:p>
    <w:p w14:paraId="153B441E" w14:textId="62791C3E" w:rsidR="00026B0E" w:rsidRPr="007F3B53" w:rsidRDefault="00026B0E" w:rsidP="00026B0E">
      <w:pPr>
        <w:pStyle w:val="SingleTxtG"/>
        <w:rPr>
          <w:lang w:val="fr-FR"/>
        </w:rPr>
      </w:pPr>
      <w:r w:rsidRPr="00F82F28">
        <w:rPr>
          <w:lang w:val="fr-FR"/>
        </w:rPr>
        <w:t>66.</w:t>
      </w:r>
      <w:r w:rsidRPr="00F82F28">
        <w:rPr>
          <w:lang w:val="fr-FR"/>
        </w:rPr>
        <w:tab/>
        <w:t>Le Sous-Comité a adopté</w:t>
      </w:r>
      <w:r>
        <w:rPr>
          <w:lang w:val="fr-FR"/>
        </w:rPr>
        <w:t xml:space="preserve"> l</w:t>
      </w:r>
      <w:r w:rsidR="000B2B75">
        <w:rPr>
          <w:lang w:val="fr-FR"/>
        </w:rPr>
        <w:t>’</w:t>
      </w:r>
      <w:r>
        <w:rPr>
          <w:lang w:val="fr-FR"/>
        </w:rPr>
        <w:t>amendement</w:t>
      </w:r>
      <w:r w:rsidRPr="00F82F28">
        <w:rPr>
          <w:lang w:val="fr-FR"/>
        </w:rPr>
        <w:t xml:space="preserve"> proposé pour l</w:t>
      </w:r>
      <w:r w:rsidR="000B2B75">
        <w:rPr>
          <w:lang w:val="fr-FR"/>
        </w:rPr>
        <w:t>’</w:t>
      </w:r>
      <w:r w:rsidRPr="00F82F28">
        <w:rPr>
          <w:lang w:val="fr-FR"/>
        </w:rPr>
        <w:t>instruction d</w:t>
      </w:r>
      <w:r w:rsidR="000B2B75">
        <w:rPr>
          <w:lang w:val="fr-FR"/>
        </w:rPr>
        <w:t>’</w:t>
      </w:r>
      <w:r w:rsidRPr="00F82F28">
        <w:rPr>
          <w:lang w:val="fr-FR"/>
        </w:rPr>
        <w:t>emballage P200 en ce qui concerne le numéro ONU 1045 (voir annexe I).</w:t>
      </w:r>
    </w:p>
    <w:p w14:paraId="1DB0E567" w14:textId="77777777" w:rsidR="00026B0E" w:rsidRPr="007F3B53" w:rsidRDefault="00026B0E" w:rsidP="00930D8C">
      <w:pPr>
        <w:pStyle w:val="H23G"/>
        <w:rPr>
          <w:lang w:val="fr-FR"/>
        </w:rPr>
      </w:pPr>
      <w:r>
        <w:rPr>
          <w:lang w:val="fr-FR"/>
        </w:rPr>
        <w:lastRenderedPageBreak/>
        <w:tab/>
      </w:r>
      <w:r w:rsidRPr="00F82F28">
        <w:rPr>
          <w:lang w:val="fr-FR"/>
        </w:rPr>
        <w:t>3.</w:t>
      </w:r>
      <w:r w:rsidRPr="00F82F28">
        <w:rPr>
          <w:lang w:val="fr-FR"/>
        </w:rPr>
        <w:tab/>
        <w:t>Normes ISO mises à jour dans la classe 2</w:t>
      </w:r>
    </w:p>
    <w:p w14:paraId="265D643B" w14:textId="77777777" w:rsidR="00026B0E" w:rsidRPr="00DF0FF2" w:rsidRDefault="00026B0E" w:rsidP="00930D8C">
      <w:pPr>
        <w:pStyle w:val="SingleTxtG"/>
        <w:keepNext/>
        <w:tabs>
          <w:tab w:val="clear" w:pos="1701"/>
          <w:tab w:val="clear" w:pos="2268"/>
          <w:tab w:val="clear" w:pos="2835"/>
          <w:tab w:val="left" w:pos="3402"/>
        </w:tabs>
        <w:ind w:left="3402" w:hanging="2268"/>
        <w:jc w:val="left"/>
        <w:rPr>
          <w:lang w:val="fr-FR"/>
        </w:rPr>
      </w:pPr>
      <w:r w:rsidRPr="00DF0FF2">
        <w:rPr>
          <w:i/>
          <w:iCs/>
          <w:lang w:val="fr-FR"/>
        </w:rPr>
        <w:t>Document</w:t>
      </w:r>
      <w:r w:rsidR="001A6A7E">
        <w:rPr>
          <w:i/>
          <w:iCs/>
          <w:lang w:val="fr-FR"/>
        </w:rPr>
        <w:t> </w:t>
      </w:r>
      <w:r w:rsidRPr="00DF0FF2">
        <w:rPr>
          <w:i/>
          <w:iCs/>
          <w:lang w:val="fr-FR"/>
        </w:rPr>
        <w:t>:</w:t>
      </w:r>
      <w:r w:rsidRPr="00DF0FF2">
        <w:rPr>
          <w:lang w:val="fr-FR"/>
        </w:rPr>
        <w:tab/>
        <w:t>ST/SG/AC.10/C.3/2020/13 (ISO).</w:t>
      </w:r>
    </w:p>
    <w:p w14:paraId="67DAEDAB" w14:textId="77777777" w:rsidR="00026B0E" w:rsidRPr="007F3B53" w:rsidRDefault="00026B0E" w:rsidP="00930D8C">
      <w:pPr>
        <w:pStyle w:val="SingleTxtG"/>
        <w:keepNext/>
        <w:tabs>
          <w:tab w:val="clear" w:pos="1701"/>
          <w:tab w:val="clear" w:pos="2268"/>
          <w:tab w:val="clear" w:pos="2835"/>
          <w:tab w:val="left" w:pos="3402"/>
        </w:tabs>
        <w:ind w:left="3402" w:hanging="2268"/>
        <w:jc w:val="left"/>
        <w:rPr>
          <w:lang w:val="fr-FR"/>
        </w:rPr>
      </w:pPr>
      <w:r w:rsidRPr="00F82F28">
        <w:rPr>
          <w:i/>
          <w:iCs/>
          <w:lang w:val="fr-FR"/>
        </w:rPr>
        <w:t>Documents informels</w:t>
      </w:r>
      <w:r w:rsidR="001A6A7E">
        <w:rPr>
          <w:i/>
          <w:iCs/>
          <w:lang w:val="fr-FR"/>
        </w:rPr>
        <w:t> </w:t>
      </w:r>
      <w:r w:rsidRPr="00F82F28">
        <w:rPr>
          <w:i/>
          <w:iCs/>
          <w:lang w:val="fr-FR"/>
        </w:rPr>
        <w:t>:</w:t>
      </w:r>
      <w:r w:rsidRPr="00F82F28">
        <w:rPr>
          <w:lang w:val="fr-FR"/>
        </w:rPr>
        <w:tab/>
        <w:t>INF.31/Rev.1, INF.46 et INF.57 (ISO)</w:t>
      </w:r>
      <w:r>
        <w:rPr>
          <w:lang w:val="fr-FR"/>
        </w:rPr>
        <w:t>.</w:t>
      </w:r>
    </w:p>
    <w:p w14:paraId="54DCA8D7" w14:textId="30011146" w:rsidR="00026B0E" w:rsidRPr="007F3B53" w:rsidRDefault="00026B0E" w:rsidP="00930D8C">
      <w:pPr>
        <w:pStyle w:val="SingleTxtG"/>
        <w:keepNext/>
        <w:rPr>
          <w:lang w:val="fr-FR"/>
        </w:rPr>
      </w:pPr>
      <w:r w:rsidRPr="00F82F28">
        <w:rPr>
          <w:lang w:val="fr-FR"/>
        </w:rPr>
        <w:t>67.</w:t>
      </w:r>
      <w:r w:rsidRPr="00F82F28">
        <w:rPr>
          <w:lang w:val="fr-FR"/>
        </w:rPr>
        <w:tab/>
        <w:t>Le Sous-Comité a adopté les amendements visant à mettre à jour les références aux normes ISO proposés dans le document ST/SG/AC.10/C.3/2020/13, tels que révisés dans le document informel INF.57 (voir annexe I). En ce qui concerne la proposition 2, une délégation a fait part de sa préoccupation quant à l</w:t>
      </w:r>
      <w:r w:rsidR="000B2B75">
        <w:rPr>
          <w:lang w:val="fr-FR"/>
        </w:rPr>
        <w:t>’</w:t>
      </w:r>
      <w:r w:rsidRPr="00F82F28">
        <w:rPr>
          <w:lang w:val="fr-FR"/>
        </w:rPr>
        <w:t>utilisation de l</w:t>
      </w:r>
      <w:r w:rsidR="000B2B75">
        <w:rPr>
          <w:lang w:val="fr-FR"/>
        </w:rPr>
        <w:t>’</w:t>
      </w:r>
      <w:r w:rsidRPr="00F82F28">
        <w:rPr>
          <w:lang w:val="fr-FR"/>
        </w:rPr>
        <w:t>essai de pliage pour les essais sur prototypes seulement. Aucune objection n</w:t>
      </w:r>
      <w:r w:rsidR="000B2B75">
        <w:rPr>
          <w:lang w:val="fr-FR"/>
        </w:rPr>
        <w:t>’</w:t>
      </w:r>
      <w:r w:rsidRPr="00F82F28">
        <w:rPr>
          <w:lang w:val="fr-FR"/>
        </w:rPr>
        <w:t>a été soulevée au moment d</w:t>
      </w:r>
      <w:r w:rsidR="000B2B75">
        <w:rPr>
          <w:lang w:val="fr-FR"/>
        </w:rPr>
        <w:t>’</w:t>
      </w:r>
      <w:r w:rsidRPr="00F82F28">
        <w:rPr>
          <w:lang w:val="fr-FR"/>
        </w:rPr>
        <w:t>adopter la proposition, mais il a été convenu de poursuivre les travaux sur cette question.</w:t>
      </w:r>
    </w:p>
    <w:p w14:paraId="30461347" w14:textId="10616A55" w:rsidR="00026B0E" w:rsidRPr="007F3B53" w:rsidRDefault="00026B0E" w:rsidP="00F64EC4">
      <w:pPr>
        <w:pStyle w:val="HChG"/>
        <w:rPr>
          <w:lang w:val="fr-FR"/>
        </w:rPr>
      </w:pPr>
      <w:r>
        <w:rPr>
          <w:lang w:val="fr-FR"/>
        </w:rPr>
        <w:tab/>
      </w:r>
      <w:r w:rsidRPr="00DF1B08">
        <w:rPr>
          <w:lang w:val="fr-FR"/>
        </w:rPr>
        <w:t>VII.</w:t>
      </w:r>
      <w:r w:rsidRPr="00DF1B08">
        <w:rPr>
          <w:lang w:val="fr-FR"/>
        </w:rPr>
        <w:tab/>
        <w:t>Propositions diverses d</w:t>
      </w:r>
      <w:r w:rsidR="000B2B75">
        <w:rPr>
          <w:lang w:val="fr-FR"/>
        </w:rPr>
        <w:t>’</w:t>
      </w:r>
      <w:r w:rsidRPr="00DF1B08">
        <w:rPr>
          <w:lang w:val="fr-FR"/>
        </w:rPr>
        <w:t xml:space="preserve">amendements au Règlement type pour le transport des marchandises dangereuses </w:t>
      </w:r>
      <w:r w:rsidR="00F64EC4">
        <w:rPr>
          <w:lang w:val="fr-FR"/>
        </w:rPr>
        <w:br/>
      </w:r>
      <w:r w:rsidRPr="00DF1B08">
        <w:rPr>
          <w:lang w:val="fr-FR"/>
        </w:rPr>
        <w:t>(point 6 de l</w:t>
      </w:r>
      <w:r w:rsidR="000B2B75">
        <w:rPr>
          <w:lang w:val="fr-FR"/>
        </w:rPr>
        <w:t>’</w:t>
      </w:r>
      <w:r w:rsidRPr="00DF1B08">
        <w:rPr>
          <w:lang w:val="fr-FR"/>
        </w:rPr>
        <w:t>ordre du jour)</w:t>
      </w:r>
    </w:p>
    <w:p w14:paraId="0B5E5619" w14:textId="77777777" w:rsidR="00026B0E" w:rsidRPr="007F3B53" w:rsidRDefault="00026B0E" w:rsidP="00F64EC4">
      <w:pPr>
        <w:pStyle w:val="H1G"/>
        <w:rPr>
          <w:lang w:val="fr-FR"/>
        </w:rPr>
      </w:pPr>
      <w:r>
        <w:rPr>
          <w:lang w:val="fr-FR"/>
        </w:rPr>
        <w:tab/>
      </w:r>
      <w:r w:rsidRPr="00F82F28">
        <w:rPr>
          <w:lang w:val="fr-FR"/>
        </w:rPr>
        <w:t>A.</w:t>
      </w:r>
      <w:r w:rsidRPr="00F82F28">
        <w:rPr>
          <w:lang w:val="fr-FR"/>
        </w:rPr>
        <w:tab/>
        <w:t>Marquage et étiquetage</w:t>
      </w:r>
    </w:p>
    <w:p w14:paraId="3D19C59D" w14:textId="77777777" w:rsidR="00026B0E" w:rsidRPr="007F3B53" w:rsidRDefault="00026B0E" w:rsidP="002112BB">
      <w:pPr>
        <w:pStyle w:val="H23G"/>
        <w:rPr>
          <w:lang w:val="fr-FR"/>
        </w:rPr>
      </w:pPr>
      <w:r w:rsidRPr="00F82F28">
        <w:rPr>
          <w:lang w:val="fr-FR"/>
        </w:rPr>
        <w:tab/>
      </w:r>
      <w:r w:rsidRPr="00F82F28">
        <w:rPr>
          <w:lang w:val="fr-FR"/>
        </w:rPr>
        <w:tab/>
        <w:t>Différenciation visuelle des étiquettes/plaques-étiquettes relatives aux gaz</w:t>
      </w:r>
    </w:p>
    <w:p w14:paraId="20BEEB48" w14:textId="77777777" w:rsidR="00026B0E" w:rsidRPr="007F3B53" w:rsidRDefault="00026B0E" w:rsidP="002112BB">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 xml:space="preserve">ST/SG/AC.10/C.3/2020/39/Rev.1 (Espagne </w:t>
      </w:r>
      <w:r>
        <w:rPr>
          <w:lang w:val="fr-FR"/>
        </w:rPr>
        <w:t xml:space="preserve">et </w:t>
      </w:r>
      <w:r w:rsidRPr="00F82F28">
        <w:rPr>
          <w:lang w:val="fr-FR"/>
        </w:rPr>
        <w:t>CTIF)</w:t>
      </w:r>
      <w:r>
        <w:rPr>
          <w:lang w:val="fr-FR"/>
        </w:rPr>
        <w:t>.</w:t>
      </w:r>
    </w:p>
    <w:p w14:paraId="5754FB6D" w14:textId="77777777" w:rsidR="00026B0E" w:rsidRPr="007F3B53" w:rsidRDefault="00026B0E" w:rsidP="002112BB">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INF.10 (Association mondiale du GPL et LGE)</w:t>
      </w:r>
      <w:r>
        <w:rPr>
          <w:lang w:val="fr-FR"/>
        </w:rPr>
        <w:t>.</w:t>
      </w:r>
    </w:p>
    <w:p w14:paraId="723E6F5E" w14:textId="4BC47B0A" w:rsidR="00026B0E" w:rsidRPr="007F3B53" w:rsidRDefault="00026B0E" w:rsidP="00026B0E">
      <w:pPr>
        <w:pStyle w:val="SingleTxtG"/>
        <w:rPr>
          <w:lang w:val="fr-FR"/>
        </w:rPr>
      </w:pPr>
      <w:r w:rsidRPr="00F82F28">
        <w:rPr>
          <w:lang w:val="fr-FR"/>
        </w:rPr>
        <w:t>68.</w:t>
      </w:r>
      <w:r w:rsidRPr="00F82F28">
        <w:rPr>
          <w:lang w:val="fr-FR"/>
        </w:rPr>
        <w:tab/>
        <w:t>Le représentant du CTIF a fait un exposé sur la nécessité de différencier visuellement les plaques-étiquettes ou les étiquettes pour les gaz, décrivant les amendements proposés dans le document ST/SG/AC.10/C.3/2020/39/Rev.1. Le Sous-</w:t>
      </w:r>
      <w:r>
        <w:rPr>
          <w:lang w:val="fr-FR"/>
        </w:rPr>
        <w:t>C</w:t>
      </w:r>
      <w:r w:rsidRPr="00F82F28">
        <w:rPr>
          <w:lang w:val="fr-FR"/>
        </w:rPr>
        <w:t>omité a reconnu l</w:t>
      </w:r>
      <w:r w:rsidR="000B2B75">
        <w:rPr>
          <w:lang w:val="fr-FR"/>
        </w:rPr>
        <w:t>’</w:t>
      </w:r>
      <w:r w:rsidRPr="00F82F28">
        <w:rPr>
          <w:lang w:val="fr-FR"/>
        </w:rPr>
        <w:t>importance du système de communication des dangers pour le personnel d</w:t>
      </w:r>
      <w:r w:rsidR="000B2B75">
        <w:rPr>
          <w:lang w:val="fr-FR"/>
        </w:rPr>
        <w:t>’</w:t>
      </w:r>
      <w:r w:rsidRPr="00F82F28">
        <w:rPr>
          <w:lang w:val="fr-FR"/>
        </w:rPr>
        <w:t>intervention, mais la proposition, telle qu</w:t>
      </w:r>
      <w:r w:rsidR="000B2B75">
        <w:rPr>
          <w:lang w:val="fr-FR"/>
        </w:rPr>
        <w:t>’</w:t>
      </w:r>
      <w:r w:rsidRPr="00F82F28">
        <w:rPr>
          <w:lang w:val="fr-FR"/>
        </w:rPr>
        <w:t>elle a</w:t>
      </w:r>
      <w:r>
        <w:rPr>
          <w:lang w:val="fr-FR"/>
        </w:rPr>
        <w:t>vait</w:t>
      </w:r>
      <w:r w:rsidRPr="00F82F28">
        <w:rPr>
          <w:lang w:val="fr-FR"/>
        </w:rPr>
        <w:t xml:space="preserve"> été rédigée, n</w:t>
      </w:r>
      <w:r w:rsidR="000B2B75">
        <w:rPr>
          <w:lang w:val="fr-FR"/>
        </w:rPr>
        <w:t>’</w:t>
      </w:r>
      <w:r w:rsidRPr="00F82F28">
        <w:rPr>
          <w:lang w:val="fr-FR"/>
        </w:rPr>
        <w:t>a pas obtenu un soutien total. Certaines délégations ont estimé que ces questions de communication des dangers pouvaient être le mieux pris</w:t>
      </w:r>
      <w:r>
        <w:rPr>
          <w:lang w:val="fr-FR"/>
        </w:rPr>
        <w:t>es</w:t>
      </w:r>
      <w:r w:rsidRPr="00F82F28">
        <w:rPr>
          <w:lang w:val="fr-FR"/>
        </w:rPr>
        <w:t xml:space="preserve"> en compte dans </w:t>
      </w:r>
      <w:r>
        <w:rPr>
          <w:lang w:val="fr-FR"/>
        </w:rPr>
        <w:t>d</w:t>
      </w:r>
      <w:r w:rsidRPr="00F82F28">
        <w:rPr>
          <w:lang w:val="fr-FR"/>
        </w:rPr>
        <w:t xml:space="preserve">es règlements </w:t>
      </w:r>
      <w:r>
        <w:rPr>
          <w:lang w:val="fr-FR"/>
        </w:rPr>
        <w:t xml:space="preserve">régionaux ou </w:t>
      </w:r>
      <w:r w:rsidRPr="00F82F28">
        <w:rPr>
          <w:lang w:val="fr-FR"/>
        </w:rPr>
        <w:t>modaux, comme c</w:t>
      </w:r>
      <w:r w:rsidR="000B2B75">
        <w:rPr>
          <w:lang w:val="fr-FR"/>
        </w:rPr>
        <w:t>’</w:t>
      </w:r>
      <w:r w:rsidRPr="00F82F28">
        <w:rPr>
          <w:lang w:val="fr-FR"/>
        </w:rPr>
        <w:t xml:space="preserve">était actuellement le cas dans le RID avec la bande orange pour les gaz </w:t>
      </w:r>
      <w:r>
        <w:rPr>
          <w:lang w:val="fr-FR"/>
        </w:rPr>
        <w:t>liquéfiés</w:t>
      </w:r>
      <w:r w:rsidRPr="00F82F28">
        <w:rPr>
          <w:lang w:val="fr-FR"/>
        </w:rPr>
        <w:t>.</w:t>
      </w:r>
    </w:p>
    <w:p w14:paraId="60436321" w14:textId="77777777" w:rsidR="00026B0E" w:rsidRPr="007F3B53" w:rsidRDefault="00026B0E" w:rsidP="002112BB">
      <w:pPr>
        <w:pStyle w:val="H1G"/>
        <w:rPr>
          <w:lang w:val="fr-FR"/>
        </w:rPr>
      </w:pPr>
      <w:r>
        <w:rPr>
          <w:lang w:val="fr-FR"/>
        </w:rPr>
        <w:tab/>
      </w:r>
      <w:r w:rsidRPr="00F82F28">
        <w:rPr>
          <w:lang w:val="fr-FR"/>
        </w:rPr>
        <w:t>B.</w:t>
      </w:r>
      <w:r w:rsidRPr="00F82F28">
        <w:rPr>
          <w:lang w:val="fr-FR"/>
        </w:rPr>
        <w:tab/>
        <w:t>Emballages</w:t>
      </w:r>
    </w:p>
    <w:p w14:paraId="143EDE1B" w14:textId="497CCD98" w:rsidR="00026B0E" w:rsidRPr="007F3B53" w:rsidRDefault="00026B0E" w:rsidP="002112BB">
      <w:pPr>
        <w:pStyle w:val="H23G"/>
        <w:rPr>
          <w:lang w:val="fr-FR"/>
        </w:rPr>
      </w:pPr>
      <w:r>
        <w:rPr>
          <w:lang w:val="fr-FR"/>
        </w:rPr>
        <w:tab/>
      </w:r>
      <w:r w:rsidRPr="00F82F28">
        <w:rPr>
          <w:lang w:val="fr-FR"/>
        </w:rPr>
        <w:t>1.</w:t>
      </w:r>
      <w:r w:rsidRPr="00F82F28">
        <w:rPr>
          <w:lang w:val="fr-FR"/>
        </w:rPr>
        <w:tab/>
      </w:r>
      <w:r w:rsidRPr="00F82F28">
        <w:rPr>
          <w:bCs/>
          <w:lang w:val="fr-FR"/>
        </w:rPr>
        <w:t>Autres méthodes d</w:t>
      </w:r>
      <w:r w:rsidR="000B2B75">
        <w:rPr>
          <w:bCs/>
          <w:lang w:val="fr-FR"/>
        </w:rPr>
        <w:t>’</w:t>
      </w:r>
      <w:r w:rsidRPr="00F82F28">
        <w:rPr>
          <w:bCs/>
          <w:lang w:val="fr-FR"/>
        </w:rPr>
        <w:t xml:space="preserve">épreuve </w:t>
      </w:r>
      <w:r w:rsidRPr="002112BB">
        <w:rPr>
          <w:lang w:val="fr-FR"/>
        </w:rPr>
        <w:t>des</w:t>
      </w:r>
      <w:r w:rsidRPr="00F82F28">
        <w:rPr>
          <w:bCs/>
          <w:lang w:val="fr-FR"/>
        </w:rPr>
        <w:t xml:space="preserve"> emballages − Amendements résultant des dispositions du paragraphe 80 et de l</w:t>
      </w:r>
      <w:r w:rsidR="000B2B75">
        <w:rPr>
          <w:bCs/>
          <w:lang w:val="fr-FR"/>
        </w:rPr>
        <w:t>’</w:t>
      </w:r>
      <w:r w:rsidRPr="00F82F28">
        <w:rPr>
          <w:bCs/>
          <w:lang w:val="fr-FR"/>
        </w:rPr>
        <w:t>annexe I du document ST/SG/AC.10/C.3/112</w:t>
      </w:r>
    </w:p>
    <w:p w14:paraId="4ADB619D"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ST/SG/AC.10/C.3/2020/28/Rev.1 (Allemagne et Belgique)</w:t>
      </w:r>
      <w:r>
        <w:rPr>
          <w:lang w:val="fr-FR"/>
        </w:rPr>
        <w:t>.</w:t>
      </w:r>
    </w:p>
    <w:p w14:paraId="5D3C9987"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INF.19 (Allemagne et Belgique)</w:t>
      </w:r>
      <w:r>
        <w:rPr>
          <w:lang w:val="fr-FR"/>
        </w:rPr>
        <w:t>.</w:t>
      </w:r>
    </w:p>
    <w:p w14:paraId="78DAB38B" w14:textId="0C209657" w:rsidR="00026B0E" w:rsidRPr="007F3B53" w:rsidRDefault="00026B0E" w:rsidP="00026B0E">
      <w:pPr>
        <w:pStyle w:val="SingleTxtG"/>
        <w:rPr>
          <w:lang w:val="fr-FR"/>
        </w:rPr>
      </w:pPr>
      <w:r w:rsidRPr="00F82F28">
        <w:rPr>
          <w:lang w:val="fr-FR"/>
        </w:rPr>
        <w:t>69.</w:t>
      </w:r>
      <w:r w:rsidRPr="00F82F28">
        <w:rPr>
          <w:lang w:val="fr-FR"/>
        </w:rPr>
        <w:tab/>
        <w:t>Le Sous-Comité a adopté les amendements proposés pour les autres méthodes d</w:t>
      </w:r>
      <w:r w:rsidR="000B2B75">
        <w:rPr>
          <w:lang w:val="fr-FR"/>
        </w:rPr>
        <w:t>’</w:t>
      </w:r>
      <w:r w:rsidRPr="00F82F28">
        <w:rPr>
          <w:lang w:val="fr-FR"/>
        </w:rPr>
        <w:t>épreuve des emballages dans le document ST/SG/AC.10/C.3/2020/28/Rev.1 (voir annexe</w:t>
      </w:r>
      <w:r w:rsidR="00913616">
        <w:rPr>
          <w:lang w:val="fr-FR"/>
        </w:rPr>
        <w:t> </w:t>
      </w:r>
      <w:r w:rsidRPr="00F82F28">
        <w:rPr>
          <w:lang w:val="fr-FR"/>
        </w:rPr>
        <w:t>I). Il a été recommandé de reporter à la prochaine période biennale l</w:t>
      </w:r>
      <w:r w:rsidR="000B2B75">
        <w:rPr>
          <w:lang w:val="fr-FR"/>
        </w:rPr>
        <w:t>’</w:t>
      </w:r>
      <w:r w:rsidRPr="00F82F28">
        <w:rPr>
          <w:lang w:val="fr-FR"/>
        </w:rPr>
        <w:t>examen du document informel INF.19, portant sur la révision des définitions des termes «</w:t>
      </w:r>
      <w:r w:rsidR="00913616">
        <w:rPr>
          <w:lang w:val="fr-FR"/>
        </w:rPr>
        <w:t> </w:t>
      </w:r>
      <w:r w:rsidRPr="00F82F28">
        <w:rPr>
          <w:lang w:val="fr-FR"/>
        </w:rPr>
        <w:t>emballage réutilisé</w:t>
      </w:r>
      <w:r w:rsidR="00913616">
        <w:rPr>
          <w:lang w:val="fr-FR"/>
        </w:rPr>
        <w:t> </w:t>
      </w:r>
      <w:r w:rsidRPr="00F82F28">
        <w:rPr>
          <w:lang w:val="fr-FR"/>
        </w:rPr>
        <w:t>» et «</w:t>
      </w:r>
      <w:r w:rsidR="00913616">
        <w:rPr>
          <w:lang w:val="fr-FR"/>
        </w:rPr>
        <w:t> </w:t>
      </w:r>
      <w:r w:rsidRPr="00F82F28">
        <w:rPr>
          <w:lang w:val="fr-FR"/>
        </w:rPr>
        <w:t>grand emballage réutilisé</w:t>
      </w:r>
      <w:r w:rsidR="00913616">
        <w:rPr>
          <w:lang w:val="fr-FR"/>
        </w:rPr>
        <w:t> </w:t>
      </w:r>
      <w:r w:rsidRPr="00F82F28">
        <w:rPr>
          <w:lang w:val="fr-FR"/>
        </w:rPr>
        <w:t>».</w:t>
      </w:r>
    </w:p>
    <w:p w14:paraId="7926E416" w14:textId="6030C210" w:rsidR="00026B0E" w:rsidRPr="007F3B53" w:rsidRDefault="00026B0E" w:rsidP="00955127">
      <w:pPr>
        <w:pStyle w:val="H23G"/>
        <w:rPr>
          <w:lang w:val="fr-FR"/>
        </w:rPr>
      </w:pPr>
      <w:r>
        <w:rPr>
          <w:lang w:val="fr-FR"/>
        </w:rPr>
        <w:tab/>
      </w:r>
      <w:r w:rsidRPr="00F82F28">
        <w:rPr>
          <w:lang w:val="fr-FR"/>
        </w:rPr>
        <w:t>2.</w:t>
      </w:r>
      <w:r w:rsidRPr="00F82F28">
        <w:rPr>
          <w:lang w:val="fr-FR"/>
        </w:rPr>
        <w:tab/>
      </w:r>
      <w:r w:rsidRPr="00F82F28">
        <w:rPr>
          <w:bCs/>
          <w:lang w:val="fr-FR"/>
        </w:rPr>
        <w:t>Proposition d</w:t>
      </w:r>
      <w:r w:rsidR="000B2B75">
        <w:rPr>
          <w:bCs/>
          <w:lang w:val="fr-FR"/>
        </w:rPr>
        <w:t>’</w:t>
      </w:r>
      <w:r w:rsidRPr="00F82F28">
        <w:rPr>
          <w:bCs/>
          <w:lang w:val="fr-FR"/>
        </w:rPr>
        <w:t>amendement relative à l</w:t>
      </w:r>
      <w:r w:rsidR="000B2B75">
        <w:rPr>
          <w:bCs/>
          <w:lang w:val="fr-FR"/>
        </w:rPr>
        <w:t>’</w:t>
      </w:r>
      <w:r w:rsidRPr="00F82F28">
        <w:rPr>
          <w:bCs/>
          <w:lang w:val="fr-FR"/>
        </w:rPr>
        <w:t xml:space="preserve">orientation des échantillons </w:t>
      </w:r>
      <w:r w:rsidR="00913616">
        <w:rPr>
          <w:bCs/>
          <w:lang w:val="fr-FR"/>
        </w:rPr>
        <w:br/>
      </w:r>
      <w:r w:rsidRPr="00F82F28">
        <w:rPr>
          <w:bCs/>
          <w:lang w:val="fr-FR"/>
        </w:rPr>
        <w:t>pour l</w:t>
      </w:r>
      <w:r w:rsidR="000B2B75">
        <w:rPr>
          <w:bCs/>
          <w:lang w:val="fr-FR"/>
        </w:rPr>
        <w:t>’</w:t>
      </w:r>
      <w:r w:rsidRPr="00F82F28">
        <w:rPr>
          <w:bCs/>
          <w:lang w:val="fr-FR"/>
        </w:rPr>
        <w:t>épreuve de chute des caisses</w:t>
      </w:r>
    </w:p>
    <w:p w14:paraId="6409254A"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ST/SG/AC.10/C.3/2020/36 (Chine)</w:t>
      </w:r>
    </w:p>
    <w:p w14:paraId="4DE8671E" w14:textId="03E82256" w:rsidR="00026B0E" w:rsidRPr="007F3B53" w:rsidRDefault="00026B0E" w:rsidP="00026B0E">
      <w:pPr>
        <w:pStyle w:val="SingleTxtG"/>
        <w:rPr>
          <w:lang w:val="fr-FR"/>
        </w:rPr>
      </w:pPr>
      <w:r w:rsidRPr="00F82F28">
        <w:rPr>
          <w:lang w:val="fr-FR"/>
        </w:rPr>
        <w:t>70.</w:t>
      </w:r>
      <w:r w:rsidRPr="00F82F28">
        <w:rPr>
          <w:lang w:val="fr-FR"/>
        </w:rPr>
        <w:tab/>
        <w:t xml:space="preserve">Il a été </w:t>
      </w:r>
      <w:r>
        <w:rPr>
          <w:lang w:val="fr-FR"/>
        </w:rPr>
        <w:t>recomman</w:t>
      </w:r>
      <w:r w:rsidRPr="00F82F28">
        <w:rPr>
          <w:lang w:val="fr-FR"/>
        </w:rPr>
        <w:t>dé de reporter l</w:t>
      </w:r>
      <w:r w:rsidR="000B2B75">
        <w:rPr>
          <w:lang w:val="fr-FR"/>
        </w:rPr>
        <w:t>’</w:t>
      </w:r>
      <w:r w:rsidRPr="00F82F28">
        <w:rPr>
          <w:lang w:val="fr-FR"/>
        </w:rPr>
        <w:t>examen de cette question à la prochaine période biennale. L</w:t>
      </w:r>
      <w:r w:rsidR="000B2B75">
        <w:rPr>
          <w:lang w:val="fr-FR"/>
        </w:rPr>
        <w:t>’</w:t>
      </w:r>
      <w:r w:rsidRPr="00F82F28">
        <w:rPr>
          <w:lang w:val="fr-FR"/>
        </w:rPr>
        <w:t>expert de la Chine s</w:t>
      </w:r>
      <w:r w:rsidR="000B2B75">
        <w:rPr>
          <w:lang w:val="fr-FR"/>
        </w:rPr>
        <w:t>’</w:t>
      </w:r>
      <w:r w:rsidRPr="00F82F28">
        <w:rPr>
          <w:lang w:val="fr-FR"/>
        </w:rPr>
        <w:t>est dit prêt à soumettre en vue de la prochaine session une proposition révisée tenant compte des observations écrites reçues de certaines délégations par l</w:t>
      </w:r>
      <w:r w:rsidR="000B2B75">
        <w:rPr>
          <w:lang w:val="fr-FR"/>
        </w:rPr>
        <w:t>’</w:t>
      </w:r>
      <w:r w:rsidRPr="00F82F28">
        <w:rPr>
          <w:lang w:val="fr-FR"/>
        </w:rPr>
        <w:t>intermédiaire de la plateforme en ligne. Les autres délégations ont été invitées à lui communiquer leurs observations.</w:t>
      </w:r>
    </w:p>
    <w:p w14:paraId="67C8BE91" w14:textId="6F320A7A" w:rsidR="00026B0E" w:rsidRPr="007F3B53" w:rsidRDefault="00026B0E" w:rsidP="00955127">
      <w:pPr>
        <w:pStyle w:val="H23G"/>
        <w:rPr>
          <w:lang w:val="fr-FR"/>
        </w:rPr>
      </w:pPr>
      <w:r>
        <w:rPr>
          <w:lang w:val="fr-FR"/>
        </w:rPr>
        <w:lastRenderedPageBreak/>
        <w:tab/>
      </w:r>
      <w:r w:rsidRPr="00F82F28">
        <w:rPr>
          <w:lang w:val="fr-FR"/>
        </w:rPr>
        <w:t>3.</w:t>
      </w:r>
      <w:r w:rsidRPr="00F82F28">
        <w:rPr>
          <w:lang w:val="fr-FR"/>
        </w:rPr>
        <w:tab/>
      </w:r>
      <w:r w:rsidRPr="00F82F28">
        <w:rPr>
          <w:bCs/>
          <w:lang w:val="fr-FR"/>
        </w:rPr>
        <w:t>Introduction d</w:t>
      </w:r>
      <w:r w:rsidR="000B2B75">
        <w:rPr>
          <w:bCs/>
          <w:lang w:val="fr-FR"/>
        </w:rPr>
        <w:t>’</w:t>
      </w:r>
      <w:r w:rsidRPr="00F82F28">
        <w:rPr>
          <w:bCs/>
          <w:lang w:val="fr-FR"/>
        </w:rPr>
        <w:t>un facteur d</w:t>
      </w:r>
      <w:r w:rsidR="000B2B75">
        <w:rPr>
          <w:bCs/>
          <w:lang w:val="fr-FR"/>
        </w:rPr>
        <w:t>’</w:t>
      </w:r>
      <w:r w:rsidRPr="00F82F28">
        <w:rPr>
          <w:bCs/>
          <w:lang w:val="fr-FR"/>
        </w:rPr>
        <w:t xml:space="preserve">ajustement selon la température </w:t>
      </w:r>
      <w:r w:rsidR="000414B0">
        <w:rPr>
          <w:bCs/>
          <w:lang w:val="fr-FR"/>
        </w:rPr>
        <w:br/>
      </w:r>
      <w:r w:rsidRPr="00F82F28">
        <w:rPr>
          <w:bCs/>
          <w:lang w:val="fr-FR"/>
        </w:rPr>
        <w:t>de l</w:t>
      </w:r>
      <w:r w:rsidR="000B2B75">
        <w:rPr>
          <w:bCs/>
          <w:lang w:val="fr-FR"/>
        </w:rPr>
        <w:t>’</w:t>
      </w:r>
      <w:r w:rsidRPr="00F82F28">
        <w:rPr>
          <w:bCs/>
          <w:lang w:val="fr-FR"/>
        </w:rPr>
        <w:t>eau pour l</w:t>
      </w:r>
      <w:r w:rsidR="000B2B75">
        <w:rPr>
          <w:bCs/>
          <w:lang w:val="fr-FR"/>
        </w:rPr>
        <w:t>’</w:t>
      </w:r>
      <w:r w:rsidRPr="00F82F28">
        <w:rPr>
          <w:bCs/>
          <w:lang w:val="fr-FR"/>
        </w:rPr>
        <w:t>épreuve de pression hydraulique</w:t>
      </w:r>
    </w:p>
    <w:p w14:paraId="1B43A442"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ST/SG/AC.10/C.3/2020/37 (Chine)</w:t>
      </w:r>
      <w:r>
        <w:rPr>
          <w:lang w:val="fr-FR"/>
        </w:rPr>
        <w:t>.</w:t>
      </w:r>
    </w:p>
    <w:p w14:paraId="0D013AD1" w14:textId="712141DE" w:rsidR="00026B0E" w:rsidRPr="007F3B53" w:rsidRDefault="00026B0E" w:rsidP="00026B0E">
      <w:pPr>
        <w:pStyle w:val="SingleTxtG"/>
        <w:rPr>
          <w:lang w:val="fr-FR"/>
        </w:rPr>
      </w:pPr>
      <w:r w:rsidRPr="00F82F28">
        <w:rPr>
          <w:lang w:val="fr-FR"/>
        </w:rPr>
        <w:t>71.</w:t>
      </w:r>
      <w:r w:rsidRPr="00F82F28">
        <w:rPr>
          <w:lang w:val="fr-FR"/>
        </w:rPr>
        <w:tab/>
        <w:t xml:space="preserve">Il a </w:t>
      </w:r>
      <w:r>
        <w:rPr>
          <w:lang w:val="fr-FR"/>
        </w:rPr>
        <w:t xml:space="preserve">également </w:t>
      </w:r>
      <w:r w:rsidRPr="00F82F28">
        <w:rPr>
          <w:lang w:val="fr-FR"/>
        </w:rPr>
        <w:t xml:space="preserve">été </w:t>
      </w:r>
      <w:r>
        <w:rPr>
          <w:lang w:val="fr-FR"/>
        </w:rPr>
        <w:t>recommandé</w:t>
      </w:r>
      <w:r w:rsidRPr="00F82F28">
        <w:rPr>
          <w:lang w:val="fr-FR"/>
        </w:rPr>
        <w:t xml:space="preserve"> de reporter l</w:t>
      </w:r>
      <w:r w:rsidR="000B2B75">
        <w:rPr>
          <w:lang w:val="fr-FR"/>
        </w:rPr>
        <w:t>’</w:t>
      </w:r>
      <w:r w:rsidRPr="00F82F28">
        <w:rPr>
          <w:lang w:val="fr-FR"/>
        </w:rPr>
        <w:t>examen de cette question à la prochaine période biennale. L</w:t>
      </w:r>
      <w:r w:rsidR="000B2B75">
        <w:rPr>
          <w:lang w:val="fr-FR"/>
        </w:rPr>
        <w:t>’</w:t>
      </w:r>
      <w:r w:rsidRPr="00F82F28">
        <w:rPr>
          <w:lang w:val="fr-FR"/>
        </w:rPr>
        <w:t>expert de la Chine soumettra une proposition révisée dans laquelle il sera tenu compte des observations reçues par écrit.</w:t>
      </w:r>
    </w:p>
    <w:p w14:paraId="033A184E" w14:textId="339E2E73" w:rsidR="00026B0E" w:rsidRPr="007F3B53" w:rsidRDefault="00026B0E" w:rsidP="00955127">
      <w:pPr>
        <w:pStyle w:val="H23G"/>
        <w:rPr>
          <w:lang w:val="fr-FR"/>
        </w:rPr>
      </w:pPr>
      <w:r>
        <w:rPr>
          <w:lang w:val="fr-FR"/>
        </w:rPr>
        <w:tab/>
      </w:r>
      <w:r w:rsidRPr="00F82F28">
        <w:rPr>
          <w:lang w:val="fr-FR"/>
        </w:rPr>
        <w:t>4.</w:t>
      </w:r>
      <w:r w:rsidRPr="00F82F28">
        <w:rPr>
          <w:lang w:val="fr-FR"/>
        </w:rPr>
        <w:tab/>
      </w:r>
      <w:r w:rsidRPr="00F82F28">
        <w:rPr>
          <w:bCs/>
          <w:lang w:val="fr-FR"/>
        </w:rPr>
        <w:t>Élargissement de l</w:t>
      </w:r>
      <w:r w:rsidR="000B2B75">
        <w:rPr>
          <w:bCs/>
          <w:lang w:val="fr-FR"/>
        </w:rPr>
        <w:t>’</w:t>
      </w:r>
      <w:r w:rsidRPr="00F82F28">
        <w:rPr>
          <w:bCs/>
          <w:lang w:val="fr-FR"/>
        </w:rPr>
        <w:t>utilisation de matières plastiques recyclées à tous les emballages plastiques, GRV plastiques et grands emballages plastiques</w:t>
      </w:r>
    </w:p>
    <w:p w14:paraId="66C31A89"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r>
      <w:r>
        <w:rPr>
          <w:lang w:val="fr-FR"/>
        </w:rPr>
        <w:tab/>
      </w:r>
      <w:r w:rsidRPr="00F82F28">
        <w:rPr>
          <w:lang w:val="fr-FR"/>
        </w:rPr>
        <w:t>ST/SG/AC.10/C.3/2020/44/Rev.1 (Belgique)</w:t>
      </w:r>
      <w:r>
        <w:rPr>
          <w:lang w:val="fr-FR"/>
        </w:rPr>
        <w:t>.</w:t>
      </w:r>
    </w:p>
    <w:p w14:paraId="65DDEE6F"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INF.47 (Belgique).</w:t>
      </w:r>
    </w:p>
    <w:p w14:paraId="0E11020D" w14:textId="0C192C6E" w:rsidR="00026B0E" w:rsidRPr="007F3B53" w:rsidRDefault="00026B0E" w:rsidP="00026B0E">
      <w:pPr>
        <w:pStyle w:val="SingleTxtG"/>
        <w:rPr>
          <w:lang w:val="fr-FR"/>
        </w:rPr>
      </w:pPr>
      <w:r w:rsidRPr="00F82F28">
        <w:rPr>
          <w:lang w:val="fr-FR"/>
        </w:rPr>
        <w:t>72.</w:t>
      </w:r>
      <w:r w:rsidRPr="00F82F28">
        <w:rPr>
          <w:lang w:val="fr-FR"/>
        </w:rPr>
        <w:tab/>
        <w:t>Le Sous-Comité a adopté la proposition 1 et l</w:t>
      </w:r>
      <w:r w:rsidR="000B2B75">
        <w:rPr>
          <w:lang w:val="fr-FR"/>
        </w:rPr>
        <w:t>’</w:t>
      </w:r>
      <w:r w:rsidRPr="00F82F28">
        <w:rPr>
          <w:lang w:val="fr-FR"/>
        </w:rPr>
        <w:t>amendement au nota de la proposition</w:t>
      </w:r>
      <w:r w:rsidR="000414B0">
        <w:rPr>
          <w:lang w:val="fr-FR"/>
        </w:rPr>
        <w:t> </w:t>
      </w:r>
      <w:r w:rsidRPr="00F82F28">
        <w:rPr>
          <w:lang w:val="fr-FR"/>
        </w:rPr>
        <w:t>6 dans le document informel INF.47, moyennant quelques modifications supplémentaires (voir annexe I).</w:t>
      </w:r>
    </w:p>
    <w:p w14:paraId="3D886B83" w14:textId="2B119775" w:rsidR="00026B0E" w:rsidRPr="007F3B53" w:rsidRDefault="00026B0E" w:rsidP="00026B0E">
      <w:pPr>
        <w:pStyle w:val="SingleTxtG"/>
        <w:rPr>
          <w:lang w:val="fr-FR"/>
        </w:rPr>
      </w:pPr>
      <w:r w:rsidRPr="00F82F28">
        <w:rPr>
          <w:lang w:val="fr-FR"/>
        </w:rPr>
        <w:t>73.</w:t>
      </w:r>
      <w:r w:rsidRPr="00F82F28">
        <w:rPr>
          <w:lang w:val="fr-FR"/>
        </w:rPr>
        <w:tab/>
        <w:t>Le Sous-Comité a convenu que lorsqu</w:t>
      </w:r>
      <w:r w:rsidR="000B2B75">
        <w:rPr>
          <w:lang w:val="fr-FR"/>
        </w:rPr>
        <w:t>’</w:t>
      </w:r>
      <w:r w:rsidRPr="00F82F28">
        <w:rPr>
          <w:lang w:val="fr-FR"/>
        </w:rPr>
        <w:t>il était question dans le Règlement type d</w:t>
      </w:r>
      <w:r w:rsidR="000B2B75">
        <w:rPr>
          <w:lang w:val="fr-FR"/>
        </w:rPr>
        <w:t>’</w:t>
      </w:r>
      <w:r w:rsidRPr="00F82F28">
        <w:rPr>
          <w:lang w:val="fr-FR"/>
        </w:rPr>
        <w:t>un «</w:t>
      </w:r>
      <w:r w:rsidR="000414B0">
        <w:rPr>
          <w:lang w:val="fr-FR"/>
        </w:rPr>
        <w:t> </w:t>
      </w:r>
      <w:r w:rsidRPr="00F82F28">
        <w:rPr>
          <w:lang w:val="fr-FR"/>
        </w:rPr>
        <w:t>matériau plastique approprié</w:t>
      </w:r>
      <w:r w:rsidR="000414B0">
        <w:rPr>
          <w:lang w:val="fr-FR"/>
        </w:rPr>
        <w:t> </w:t>
      </w:r>
      <w:r w:rsidRPr="00F82F28">
        <w:rPr>
          <w:lang w:val="fr-FR"/>
        </w:rPr>
        <w:t>», l</w:t>
      </w:r>
      <w:r w:rsidR="000B2B75">
        <w:rPr>
          <w:lang w:val="fr-FR"/>
        </w:rPr>
        <w:t>’</w:t>
      </w:r>
      <w:r w:rsidRPr="00F82F28">
        <w:rPr>
          <w:lang w:val="fr-FR"/>
        </w:rPr>
        <w:t>utilisation d</w:t>
      </w:r>
      <w:r w:rsidR="000B2B75">
        <w:rPr>
          <w:lang w:val="fr-FR"/>
        </w:rPr>
        <w:t>’</w:t>
      </w:r>
      <w:r w:rsidRPr="00F82F28">
        <w:rPr>
          <w:lang w:val="fr-FR"/>
        </w:rPr>
        <w:t>un matériau plastique recyclé n</w:t>
      </w:r>
      <w:r w:rsidR="000B2B75">
        <w:rPr>
          <w:lang w:val="fr-FR"/>
        </w:rPr>
        <w:t>’</w:t>
      </w:r>
      <w:r w:rsidRPr="00F82F28">
        <w:rPr>
          <w:lang w:val="fr-FR"/>
        </w:rPr>
        <w:t>était pas interdite. Il a également été convenu d</w:t>
      </w:r>
      <w:r w:rsidR="000B2B75">
        <w:rPr>
          <w:lang w:val="fr-FR"/>
        </w:rPr>
        <w:t>’</w:t>
      </w:r>
      <w:r w:rsidRPr="00F82F28">
        <w:rPr>
          <w:lang w:val="fr-FR"/>
        </w:rPr>
        <w:t>examiner de plus près, au cours du prochain exercice biennal, la portée de l</w:t>
      </w:r>
      <w:r w:rsidR="000B2B75">
        <w:rPr>
          <w:lang w:val="fr-FR"/>
        </w:rPr>
        <w:t>’</w:t>
      </w:r>
      <w:r w:rsidRPr="00F82F28">
        <w:rPr>
          <w:lang w:val="fr-FR"/>
        </w:rPr>
        <w:t xml:space="preserve">expression </w:t>
      </w:r>
      <w:r w:rsidR="000414B0">
        <w:rPr>
          <w:lang w:val="fr-FR"/>
        </w:rPr>
        <w:t>« </w:t>
      </w:r>
      <w:r w:rsidRPr="00F82F28">
        <w:rPr>
          <w:lang w:val="fr-FR"/>
        </w:rPr>
        <w:t>matière plastique appropriée</w:t>
      </w:r>
      <w:r w:rsidR="000414B0">
        <w:rPr>
          <w:lang w:val="fr-FR"/>
        </w:rPr>
        <w:t> »</w:t>
      </w:r>
      <w:r>
        <w:rPr>
          <w:lang w:val="fr-FR"/>
        </w:rPr>
        <w:t>,</w:t>
      </w:r>
      <w:r w:rsidRPr="00F82F28">
        <w:rPr>
          <w:lang w:val="fr-FR"/>
        </w:rPr>
        <w:t xml:space="preserve"> </w:t>
      </w:r>
      <w:r>
        <w:rPr>
          <w:lang w:val="fr-FR"/>
        </w:rPr>
        <w:t xml:space="preserve">les </w:t>
      </w:r>
      <w:r w:rsidRPr="00F82F28">
        <w:rPr>
          <w:lang w:val="fr-FR"/>
        </w:rPr>
        <w:t>dispositions pertinentes de la partie 6</w:t>
      </w:r>
      <w:r>
        <w:rPr>
          <w:lang w:val="fr-FR"/>
        </w:rPr>
        <w:t>,</w:t>
      </w:r>
      <w:r w:rsidRPr="00F82F28">
        <w:rPr>
          <w:lang w:val="fr-FR"/>
        </w:rPr>
        <w:t xml:space="preserve"> </w:t>
      </w:r>
      <w:r>
        <w:rPr>
          <w:lang w:val="fr-FR"/>
        </w:rPr>
        <w:t xml:space="preserve">ainsi que </w:t>
      </w:r>
      <w:r w:rsidRPr="00F82F28">
        <w:rPr>
          <w:lang w:val="fr-FR"/>
        </w:rPr>
        <w:t>la définition de la matière plastique recyclée au point</w:t>
      </w:r>
      <w:r w:rsidR="000414B0">
        <w:rPr>
          <w:lang w:val="fr-FR"/>
        </w:rPr>
        <w:t> </w:t>
      </w:r>
      <w:r w:rsidRPr="00F82F28">
        <w:rPr>
          <w:lang w:val="fr-FR"/>
        </w:rPr>
        <w:t>1.2.1.</w:t>
      </w:r>
    </w:p>
    <w:p w14:paraId="359162AC" w14:textId="77777777" w:rsidR="00026B0E" w:rsidRPr="007F3B53" w:rsidRDefault="00026B0E" w:rsidP="00955127">
      <w:pPr>
        <w:pStyle w:val="H23G"/>
        <w:rPr>
          <w:lang w:val="fr-FR"/>
        </w:rPr>
      </w:pPr>
      <w:r>
        <w:rPr>
          <w:lang w:val="fr-FR"/>
        </w:rPr>
        <w:tab/>
      </w:r>
      <w:r w:rsidRPr="00F82F28">
        <w:rPr>
          <w:lang w:val="fr-FR"/>
        </w:rPr>
        <w:t>5.</w:t>
      </w:r>
      <w:r w:rsidRPr="00F82F28">
        <w:rPr>
          <w:lang w:val="fr-FR"/>
        </w:rPr>
        <w:tab/>
      </w:r>
      <w:r w:rsidRPr="00F82F28">
        <w:rPr>
          <w:bCs/>
          <w:lang w:val="fr-FR"/>
        </w:rPr>
        <w:t>Définition des matières plastiques recyclées</w:t>
      </w:r>
    </w:p>
    <w:p w14:paraId="25833169"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 xml:space="preserve">ST/SG/AC.10/C.3/2020/42 (ICCP </w:t>
      </w:r>
      <w:r>
        <w:rPr>
          <w:lang w:val="fr-FR"/>
        </w:rPr>
        <w:t xml:space="preserve">et </w:t>
      </w:r>
      <w:r w:rsidRPr="00F82F28">
        <w:rPr>
          <w:lang w:val="fr-FR"/>
        </w:rPr>
        <w:t>ICCR)</w:t>
      </w:r>
      <w:r>
        <w:rPr>
          <w:lang w:val="fr-FR"/>
        </w:rPr>
        <w:t>.</w:t>
      </w:r>
    </w:p>
    <w:p w14:paraId="350B4337" w14:textId="77777777" w:rsidR="00026B0E" w:rsidRPr="007F3B53" w:rsidRDefault="00026B0E" w:rsidP="00026B0E">
      <w:pPr>
        <w:pStyle w:val="SingleTxtG"/>
        <w:rPr>
          <w:b/>
          <w:lang w:val="fr-FR"/>
        </w:rPr>
      </w:pPr>
      <w:r w:rsidRPr="00F82F28">
        <w:rPr>
          <w:lang w:val="fr-FR"/>
        </w:rPr>
        <w:t>74.</w:t>
      </w:r>
      <w:r w:rsidRPr="00F82F28">
        <w:rPr>
          <w:lang w:val="fr-FR"/>
        </w:rPr>
        <w:tab/>
        <w:t>Il a été recommandé de reporter à la prochaine période biennale le débat sur la définition des matières plastiques recyclées (voir le paragraphe 73 ci-dessus).</w:t>
      </w:r>
    </w:p>
    <w:p w14:paraId="0C1E660E" w14:textId="6942E0F5" w:rsidR="00026B0E" w:rsidRPr="007F3B53" w:rsidRDefault="00026B0E" w:rsidP="00955127">
      <w:pPr>
        <w:pStyle w:val="H23G"/>
        <w:rPr>
          <w:lang w:val="fr-FR"/>
        </w:rPr>
      </w:pPr>
      <w:r>
        <w:rPr>
          <w:lang w:val="fr-FR"/>
        </w:rPr>
        <w:tab/>
      </w:r>
      <w:r w:rsidRPr="00F82F28">
        <w:rPr>
          <w:lang w:val="fr-FR"/>
        </w:rPr>
        <w:t>6.</w:t>
      </w:r>
      <w:r w:rsidRPr="00F82F28">
        <w:rPr>
          <w:lang w:val="fr-FR"/>
        </w:rPr>
        <w:tab/>
      </w:r>
      <w:r w:rsidRPr="00F82F28">
        <w:rPr>
          <w:bCs/>
          <w:lang w:val="fr-FR"/>
        </w:rPr>
        <w:t xml:space="preserve">Diamètre de la barre cylindrique en acier utilisée </w:t>
      </w:r>
      <w:r w:rsidR="00A94AB2">
        <w:rPr>
          <w:bCs/>
          <w:lang w:val="fr-FR"/>
        </w:rPr>
        <w:br/>
      </w:r>
      <w:r w:rsidRPr="00F82F28">
        <w:rPr>
          <w:bCs/>
          <w:lang w:val="fr-FR"/>
        </w:rPr>
        <w:t>pour l</w:t>
      </w:r>
      <w:r w:rsidR="000B2B75">
        <w:rPr>
          <w:bCs/>
          <w:lang w:val="fr-FR"/>
        </w:rPr>
        <w:t>’</w:t>
      </w:r>
      <w:r w:rsidRPr="00F82F28">
        <w:rPr>
          <w:bCs/>
          <w:lang w:val="fr-FR"/>
        </w:rPr>
        <w:t>épreuve de perforation du 6.3.5.4</w:t>
      </w:r>
    </w:p>
    <w:p w14:paraId="053DEF19"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INF.7 (Allemagne)</w:t>
      </w:r>
      <w:r>
        <w:rPr>
          <w:lang w:val="fr-FR"/>
        </w:rPr>
        <w:t>.</w:t>
      </w:r>
    </w:p>
    <w:p w14:paraId="340A348D" w14:textId="7D0B9927" w:rsidR="00026B0E" w:rsidRPr="007F3B53" w:rsidRDefault="00026B0E" w:rsidP="00026B0E">
      <w:pPr>
        <w:pStyle w:val="SingleTxtG"/>
        <w:rPr>
          <w:lang w:val="fr-FR"/>
        </w:rPr>
      </w:pPr>
      <w:r w:rsidRPr="00F82F28">
        <w:rPr>
          <w:lang w:val="fr-FR"/>
        </w:rPr>
        <w:t>75.</w:t>
      </w:r>
      <w:r w:rsidRPr="00F82F28">
        <w:rPr>
          <w:lang w:val="fr-FR"/>
        </w:rPr>
        <w:tab/>
        <w:t>Il a été décidé de reporter l</w:t>
      </w:r>
      <w:r w:rsidR="000B2B75">
        <w:rPr>
          <w:lang w:val="fr-FR"/>
        </w:rPr>
        <w:t>’</w:t>
      </w:r>
      <w:r w:rsidRPr="00F82F28">
        <w:rPr>
          <w:lang w:val="fr-FR"/>
        </w:rPr>
        <w:t>examen de cette question à la prochaine période biennale.</w:t>
      </w:r>
    </w:p>
    <w:p w14:paraId="068ECDFB" w14:textId="77777777" w:rsidR="00026B0E" w:rsidRPr="007F3B53" w:rsidRDefault="00026B0E" w:rsidP="00955127">
      <w:pPr>
        <w:pStyle w:val="H23G"/>
        <w:rPr>
          <w:lang w:val="fr-FR"/>
        </w:rPr>
      </w:pPr>
      <w:r>
        <w:rPr>
          <w:lang w:val="fr-FR"/>
        </w:rPr>
        <w:tab/>
      </w:r>
      <w:r w:rsidRPr="00F82F28">
        <w:rPr>
          <w:lang w:val="fr-FR"/>
        </w:rPr>
        <w:t>7.</w:t>
      </w:r>
      <w:r w:rsidRPr="00F82F28">
        <w:rPr>
          <w:lang w:val="fr-FR"/>
        </w:rPr>
        <w:tab/>
      </w:r>
      <w:r w:rsidRPr="00F82F28">
        <w:rPr>
          <w:bCs/>
          <w:lang w:val="fr-FR"/>
        </w:rPr>
        <w:t>Épreuve de gerbage selon le 6.1.5.6</w:t>
      </w:r>
    </w:p>
    <w:p w14:paraId="2F80D7F9"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INF.11 (Turquie)</w:t>
      </w:r>
      <w:r>
        <w:rPr>
          <w:lang w:val="fr-FR"/>
        </w:rPr>
        <w:t>.</w:t>
      </w:r>
    </w:p>
    <w:p w14:paraId="7CEA315D" w14:textId="23279AD8" w:rsidR="00026B0E" w:rsidRPr="007F3B53" w:rsidRDefault="00026B0E" w:rsidP="00026B0E">
      <w:pPr>
        <w:pStyle w:val="SingleTxtG"/>
        <w:rPr>
          <w:lang w:val="fr-FR"/>
        </w:rPr>
      </w:pPr>
      <w:r w:rsidRPr="00F82F28">
        <w:rPr>
          <w:lang w:val="fr-FR"/>
        </w:rPr>
        <w:t>76.</w:t>
      </w:r>
      <w:r w:rsidRPr="00F82F28">
        <w:rPr>
          <w:lang w:val="fr-FR"/>
        </w:rPr>
        <w:tab/>
        <w:t>Il a été décidé de reporter l</w:t>
      </w:r>
      <w:r w:rsidR="000B2B75">
        <w:rPr>
          <w:lang w:val="fr-FR"/>
        </w:rPr>
        <w:t>’</w:t>
      </w:r>
      <w:r w:rsidRPr="00F82F28">
        <w:rPr>
          <w:lang w:val="fr-FR"/>
        </w:rPr>
        <w:t>examen de cette question à la prochaine période biennale.</w:t>
      </w:r>
    </w:p>
    <w:p w14:paraId="3F74A8AF" w14:textId="6CCE13CF" w:rsidR="00026B0E" w:rsidRPr="007F3B53" w:rsidRDefault="00026B0E" w:rsidP="00955127">
      <w:pPr>
        <w:pStyle w:val="H23G"/>
        <w:rPr>
          <w:lang w:val="fr-FR"/>
        </w:rPr>
      </w:pPr>
      <w:r>
        <w:rPr>
          <w:lang w:val="fr-FR"/>
        </w:rPr>
        <w:tab/>
      </w:r>
      <w:r w:rsidRPr="00F82F28">
        <w:rPr>
          <w:lang w:val="fr-FR"/>
        </w:rPr>
        <w:t>8.</w:t>
      </w:r>
      <w:r w:rsidRPr="00F82F28">
        <w:rPr>
          <w:lang w:val="fr-FR"/>
        </w:rPr>
        <w:tab/>
      </w:r>
      <w:r w:rsidRPr="00F82F28">
        <w:rPr>
          <w:bCs/>
          <w:lang w:val="fr-FR"/>
        </w:rPr>
        <w:t xml:space="preserve">Sacs en papier </w:t>
      </w:r>
      <w:proofErr w:type="spellStart"/>
      <w:r w:rsidRPr="00F82F28">
        <w:rPr>
          <w:bCs/>
          <w:lang w:val="fr-FR"/>
        </w:rPr>
        <w:t>multiplis</w:t>
      </w:r>
      <w:proofErr w:type="spellEnd"/>
      <w:r w:rsidRPr="00F82F28">
        <w:rPr>
          <w:bCs/>
          <w:lang w:val="fr-FR"/>
        </w:rPr>
        <w:t xml:space="preserve"> résistants à l</w:t>
      </w:r>
      <w:r w:rsidR="000B2B75">
        <w:rPr>
          <w:bCs/>
          <w:lang w:val="fr-FR"/>
        </w:rPr>
        <w:t>’</w:t>
      </w:r>
      <w:r w:rsidRPr="00F82F28">
        <w:rPr>
          <w:bCs/>
          <w:lang w:val="fr-FR"/>
        </w:rPr>
        <w:t>eau (5M2)</w:t>
      </w:r>
    </w:p>
    <w:p w14:paraId="79780AA0"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INF.32 (Turquie)</w:t>
      </w:r>
      <w:r>
        <w:rPr>
          <w:lang w:val="fr-FR"/>
        </w:rPr>
        <w:t>.</w:t>
      </w:r>
    </w:p>
    <w:p w14:paraId="0D3CA027" w14:textId="40B1E857" w:rsidR="00026B0E" w:rsidRPr="007F3B53" w:rsidRDefault="00026B0E" w:rsidP="00026B0E">
      <w:pPr>
        <w:pStyle w:val="SingleTxtG"/>
        <w:rPr>
          <w:lang w:val="fr-FR"/>
        </w:rPr>
      </w:pPr>
      <w:r w:rsidRPr="00F82F28">
        <w:rPr>
          <w:lang w:val="fr-FR"/>
        </w:rPr>
        <w:t>77.</w:t>
      </w:r>
      <w:r w:rsidRPr="00F82F28">
        <w:rPr>
          <w:lang w:val="fr-FR"/>
        </w:rPr>
        <w:tab/>
        <w:t>Il a été décidé de reporter l</w:t>
      </w:r>
      <w:r w:rsidR="000B2B75">
        <w:rPr>
          <w:lang w:val="fr-FR"/>
        </w:rPr>
        <w:t>’</w:t>
      </w:r>
      <w:r w:rsidRPr="00F82F28">
        <w:rPr>
          <w:lang w:val="fr-FR"/>
        </w:rPr>
        <w:t>examen de cette question à la prochaine période biennale.</w:t>
      </w:r>
    </w:p>
    <w:p w14:paraId="69D8ADBD" w14:textId="091A0FFA" w:rsidR="00026B0E" w:rsidRPr="007F3B53" w:rsidRDefault="00026B0E" w:rsidP="00955127">
      <w:pPr>
        <w:pStyle w:val="H23G"/>
        <w:rPr>
          <w:lang w:val="fr-FR"/>
        </w:rPr>
      </w:pPr>
      <w:r>
        <w:rPr>
          <w:lang w:val="fr-FR"/>
        </w:rPr>
        <w:tab/>
      </w:r>
      <w:r w:rsidRPr="00F82F28">
        <w:rPr>
          <w:lang w:val="fr-FR"/>
        </w:rPr>
        <w:t>9.</w:t>
      </w:r>
      <w:r w:rsidRPr="00F82F28">
        <w:rPr>
          <w:lang w:val="fr-FR"/>
        </w:rPr>
        <w:tab/>
      </w:r>
      <w:r w:rsidRPr="00F82F28">
        <w:rPr>
          <w:bCs/>
          <w:lang w:val="fr-FR"/>
        </w:rPr>
        <w:t>Définition du type d</w:t>
      </w:r>
      <w:r w:rsidR="000B2B75">
        <w:rPr>
          <w:bCs/>
          <w:lang w:val="fr-FR"/>
        </w:rPr>
        <w:t>’</w:t>
      </w:r>
      <w:r w:rsidRPr="00F82F28">
        <w:rPr>
          <w:bCs/>
          <w:lang w:val="fr-FR"/>
        </w:rPr>
        <w:t xml:space="preserve">emballage 4G </w:t>
      </w:r>
      <w:r w:rsidRPr="001C5EA7">
        <w:rPr>
          <w:bCs/>
          <w:lang w:val="fr-FR"/>
        </w:rPr>
        <w:t>et version chinoise</w:t>
      </w:r>
    </w:p>
    <w:p w14:paraId="388E26FE"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ST/SG/AC.10/C.3/2020/35 (Chine)</w:t>
      </w:r>
      <w:r>
        <w:rPr>
          <w:lang w:val="fr-FR"/>
        </w:rPr>
        <w:t>.</w:t>
      </w:r>
    </w:p>
    <w:p w14:paraId="407AB75D" w14:textId="7FE5B77F" w:rsidR="00026B0E" w:rsidRPr="007F3B53" w:rsidRDefault="00026B0E" w:rsidP="00026B0E">
      <w:pPr>
        <w:pStyle w:val="SingleTxtG"/>
        <w:rPr>
          <w:lang w:val="fr-FR"/>
        </w:rPr>
      </w:pPr>
      <w:r w:rsidRPr="00F82F28">
        <w:rPr>
          <w:lang w:val="fr-FR"/>
        </w:rPr>
        <w:t>78.</w:t>
      </w:r>
      <w:r w:rsidRPr="00F82F28">
        <w:rPr>
          <w:lang w:val="fr-FR"/>
        </w:rPr>
        <w:tab/>
        <w:t>En réponse à la question posée par l</w:t>
      </w:r>
      <w:r w:rsidR="000B2B75">
        <w:rPr>
          <w:lang w:val="fr-FR"/>
        </w:rPr>
        <w:t>’</w:t>
      </w:r>
      <w:r w:rsidRPr="00F82F28">
        <w:rPr>
          <w:lang w:val="fr-FR"/>
        </w:rPr>
        <w:t>expert de la Chine dans le document ST/SG/AC.10/C.3/2020/35, le Sous-Comité a précisé que les caisses en carton ondulé faisaient partie des caisses en carton mentionnées au 6.1.4.12 du Règlement type.</w:t>
      </w:r>
    </w:p>
    <w:p w14:paraId="3ED94380" w14:textId="77777777" w:rsidR="00026B0E" w:rsidRPr="007F3B53" w:rsidRDefault="00026B0E" w:rsidP="00955127">
      <w:pPr>
        <w:pStyle w:val="H1G"/>
        <w:rPr>
          <w:lang w:val="fr-FR"/>
        </w:rPr>
      </w:pPr>
      <w:r>
        <w:rPr>
          <w:lang w:val="fr-FR"/>
        </w:rPr>
        <w:lastRenderedPageBreak/>
        <w:tab/>
      </w:r>
      <w:r w:rsidRPr="00F82F28">
        <w:rPr>
          <w:lang w:val="fr-FR"/>
        </w:rPr>
        <w:t>C.</w:t>
      </w:r>
      <w:r w:rsidRPr="00F82F28">
        <w:rPr>
          <w:lang w:val="fr-FR"/>
        </w:rPr>
        <w:tab/>
        <w:t xml:space="preserve">Citernes mobiles en </w:t>
      </w:r>
      <w:r>
        <w:rPr>
          <w:lang w:val="fr-FR"/>
        </w:rPr>
        <w:t xml:space="preserve">matière </w:t>
      </w:r>
      <w:r w:rsidRPr="00F82F28">
        <w:rPr>
          <w:lang w:val="fr-FR"/>
        </w:rPr>
        <w:t>plastique renforcé</w:t>
      </w:r>
      <w:r>
        <w:rPr>
          <w:lang w:val="fr-FR"/>
        </w:rPr>
        <w:t>e</w:t>
      </w:r>
      <w:r w:rsidRPr="00F82F28">
        <w:rPr>
          <w:lang w:val="fr-FR"/>
        </w:rPr>
        <w:t xml:space="preserve"> de fibres (PRF)</w:t>
      </w:r>
    </w:p>
    <w:p w14:paraId="2FFF61BD" w14:textId="77777777" w:rsidR="00026B0E" w:rsidRPr="007F3B53" w:rsidRDefault="00026B0E" w:rsidP="000414B0">
      <w:pPr>
        <w:pStyle w:val="H23G"/>
        <w:rPr>
          <w:lang w:val="fr-FR"/>
        </w:rPr>
      </w:pPr>
      <w:r w:rsidRPr="00F82F28">
        <w:rPr>
          <w:lang w:val="fr-FR"/>
        </w:rPr>
        <w:tab/>
      </w:r>
      <w:r w:rsidRPr="00F82F28">
        <w:rPr>
          <w:lang w:val="fr-FR"/>
        </w:rPr>
        <w:tab/>
        <w:t xml:space="preserve">Groupe de travail des citernes mobiles en </w:t>
      </w:r>
      <w:r>
        <w:rPr>
          <w:lang w:val="fr-FR"/>
        </w:rPr>
        <w:t xml:space="preserve">matière </w:t>
      </w:r>
      <w:r w:rsidRPr="00F82F28">
        <w:rPr>
          <w:lang w:val="fr-FR"/>
        </w:rPr>
        <w:t>plastique renforcé</w:t>
      </w:r>
      <w:r>
        <w:rPr>
          <w:lang w:val="fr-FR"/>
        </w:rPr>
        <w:t>e</w:t>
      </w:r>
      <w:r w:rsidRPr="00F82F28">
        <w:rPr>
          <w:lang w:val="fr-FR"/>
        </w:rPr>
        <w:t xml:space="preserve"> de fibres</w:t>
      </w:r>
    </w:p>
    <w:p w14:paraId="73555A23" w14:textId="77777777" w:rsidR="00026B0E" w:rsidRPr="007F3B53" w:rsidRDefault="00026B0E" w:rsidP="000414B0">
      <w:pPr>
        <w:pStyle w:val="SingleTxtG"/>
        <w:keepNext/>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w:t>
      </w:r>
      <w:r>
        <w:rPr>
          <w:lang w:val="fr-FR"/>
        </w:rPr>
        <w:t>57/Rev.1</w:t>
      </w:r>
      <w:r w:rsidRPr="00F82F28">
        <w:rPr>
          <w:lang w:val="fr-FR"/>
        </w:rPr>
        <w:t xml:space="preserve"> </w:t>
      </w:r>
      <w:r w:rsidR="000414B0">
        <w:rPr>
          <w:lang w:val="fr-FR"/>
        </w:rPr>
        <w:br/>
      </w:r>
      <w:r w:rsidRPr="00F82F28">
        <w:rPr>
          <w:lang w:val="fr-FR"/>
        </w:rPr>
        <w:t xml:space="preserve">(Président du </w:t>
      </w:r>
      <w:r>
        <w:rPr>
          <w:lang w:val="fr-FR"/>
        </w:rPr>
        <w:t>G</w:t>
      </w:r>
      <w:r w:rsidRPr="00F82F28">
        <w:rPr>
          <w:lang w:val="fr-FR"/>
        </w:rPr>
        <w:t>roupe de travail)</w:t>
      </w:r>
      <w:r>
        <w:rPr>
          <w:lang w:val="fr-FR"/>
        </w:rPr>
        <w:t>.</w:t>
      </w:r>
    </w:p>
    <w:p w14:paraId="2C6FDFAF" w14:textId="77777777" w:rsidR="00026B0E" w:rsidRDefault="00026B0E" w:rsidP="000414B0">
      <w:pPr>
        <w:pStyle w:val="SingleTxtG"/>
        <w:keepNext/>
        <w:tabs>
          <w:tab w:val="clear" w:pos="1701"/>
          <w:tab w:val="clear" w:pos="2268"/>
          <w:tab w:val="clear" w:pos="2835"/>
          <w:tab w:val="left" w:pos="3402"/>
        </w:tabs>
        <w:spacing w:after="0"/>
        <w:ind w:left="3402" w:hanging="2268"/>
        <w:jc w:val="left"/>
        <w:rPr>
          <w:lang w:val="fr-FR"/>
        </w:rPr>
      </w:pPr>
      <w:r w:rsidRPr="00F82F28">
        <w:rPr>
          <w:i/>
          <w:iCs/>
          <w:lang w:val="fr-FR"/>
        </w:rPr>
        <w:t>Documents informels</w:t>
      </w:r>
      <w:r w:rsidR="001A6A7E">
        <w:rPr>
          <w:i/>
          <w:iCs/>
          <w:lang w:val="fr-FR"/>
        </w:rPr>
        <w:t> </w:t>
      </w:r>
      <w:r w:rsidRPr="00F82F28">
        <w:rPr>
          <w:i/>
          <w:iCs/>
          <w:lang w:val="fr-FR"/>
        </w:rPr>
        <w:t>:</w:t>
      </w:r>
      <w:r w:rsidRPr="00F82F28">
        <w:rPr>
          <w:lang w:val="fr-FR"/>
        </w:rPr>
        <w:tab/>
        <w:t xml:space="preserve">INF.43 (Président du </w:t>
      </w:r>
      <w:r>
        <w:rPr>
          <w:lang w:val="fr-FR"/>
        </w:rPr>
        <w:t>G</w:t>
      </w:r>
      <w:r w:rsidRPr="00F82F28">
        <w:rPr>
          <w:lang w:val="fr-FR"/>
        </w:rPr>
        <w:t>roupe de travail)</w:t>
      </w:r>
    </w:p>
    <w:p w14:paraId="5AE516DD" w14:textId="77777777" w:rsidR="00026B0E" w:rsidRDefault="00026B0E" w:rsidP="00955127">
      <w:pPr>
        <w:pStyle w:val="SingleTxtG"/>
        <w:tabs>
          <w:tab w:val="clear" w:pos="1701"/>
          <w:tab w:val="clear" w:pos="2268"/>
          <w:tab w:val="clear" w:pos="2835"/>
          <w:tab w:val="left" w:pos="3402"/>
        </w:tabs>
        <w:spacing w:after="0"/>
        <w:ind w:left="3402"/>
        <w:jc w:val="left"/>
        <w:rPr>
          <w:lang w:val="fr-FR"/>
        </w:rPr>
      </w:pPr>
      <w:r>
        <w:rPr>
          <w:i/>
          <w:iCs/>
          <w:lang w:val="fr-FR"/>
        </w:rPr>
        <w:tab/>
      </w:r>
      <w:r w:rsidRPr="00F82F28">
        <w:rPr>
          <w:lang w:val="fr-FR"/>
        </w:rPr>
        <w:t>INF.48 (Pays-Bas)</w:t>
      </w:r>
    </w:p>
    <w:p w14:paraId="21AAF168" w14:textId="77777777" w:rsidR="00026B0E" w:rsidRDefault="00026B0E" w:rsidP="00955127">
      <w:pPr>
        <w:pStyle w:val="SingleTxtG"/>
        <w:tabs>
          <w:tab w:val="clear" w:pos="1701"/>
          <w:tab w:val="clear" w:pos="2268"/>
          <w:tab w:val="clear" w:pos="2835"/>
          <w:tab w:val="left" w:pos="3402"/>
        </w:tabs>
        <w:spacing w:after="0"/>
        <w:ind w:left="3402"/>
        <w:jc w:val="left"/>
        <w:rPr>
          <w:lang w:val="fr-FR"/>
        </w:rPr>
      </w:pPr>
      <w:r>
        <w:rPr>
          <w:lang w:val="fr-FR"/>
        </w:rPr>
        <w:tab/>
      </w:r>
      <w:r w:rsidRPr="00F82F28">
        <w:rPr>
          <w:lang w:val="fr-FR"/>
        </w:rPr>
        <w:t>INF.49 (Royaume-Uni)</w:t>
      </w:r>
    </w:p>
    <w:p w14:paraId="35FBE372" w14:textId="77777777" w:rsidR="00026B0E" w:rsidRDefault="00026B0E" w:rsidP="00955127">
      <w:pPr>
        <w:pStyle w:val="SingleTxtG"/>
        <w:tabs>
          <w:tab w:val="clear" w:pos="1701"/>
          <w:tab w:val="clear" w:pos="2268"/>
          <w:tab w:val="clear" w:pos="2835"/>
          <w:tab w:val="left" w:pos="3402"/>
        </w:tabs>
        <w:spacing w:after="0"/>
        <w:ind w:left="3402"/>
        <w:jc w:val="left"/>
        <w:rPr>
          <w:lang w:val="fr-FR"/>
        </w:rPr>
      </w:pPr>
      <w:r>
        <w:rPr>
          <w:lang w:val="fr-FR"/>
        </w:rPr>
        <w:tab/>
      </w:r>
      <w:r w:rsidRPr="00F82F28">
        <w:rPr>
          <w:lang w:val="fr-FR"/>
        </w:rPr>
        <w:t>INF.55 (Fédération de Russie)</w:t>
      </w:r>
    </w:p>
    <w:p w14:paraId="1B515CE4" w14:textId="77777777" w:rsidR="00026B0E" w:rsidRDefault="00026B0E" w:rsidP="00955127">
      <w:pPr>
        <w:pStyle w:val="SingleTxtG"/>
        <w:tabs>
          <w:tab w:val="clear" w:pos="1701"/>
          <w:tab w:val="clear" w:pos="2268"/>
          <w:tab w:val="clear" w:pos="2835"/>
          <w:tab w:val="left" w:pos="3402"/>
        </w:tabs>
        <w:spacing w:after="0"/>
        <w:ind w:left="3402"/>
        <w:jc w:val="left"/>
        <w:rPr>
          <w:lang w:val="fr-FR"/>
        </w:rPr>
      </w:pPr>
      <w:r>
        <w:rPr>
          <w:lang w:val="fr-FR"/>
        </w:rPr>
        <w:tab/>
      </w:r>
      <w:r w:rsidRPr="00F82F28">
        <w:rPr>
          <w:lang w:val="fr-FR"/>
        </w:rPr>
        <w:t>INF.60 (Allemagne)</w:t>
      </w:r>
    </w:p>
    <w:p w14:paraId="1B654D74" w14:textId="77777777" w:rsidR="00026B0E" w:rsidRPr="007F3B53" w:rsidRDefault="00026B0E" w:rsidP="00955127">
      <w:pPr>
        <w:pStyle w:val="SingleTxtG"/>
        <w:tabs>
          <w:tab w:val="clear" w:pos="1701"/>
          <w:tab w:val="clear" w:pos="2268"/>
          <w:tab w:val="clear" w:pos="2835"/>
          <w:tab w:val="left" w:pos="3402"/>
        </w:tabs>
        <w:ind w:left="3402"/>
        <w:jc w:val="left"/>
        <w:rPr>
          <w:lang w:val="fr-FR"/>
        </w:rPr>
      </w:pPr>
      <w:r>
        <w:rPr>
          <w:lang w:val="fr-FR"/>
        </w:rPr>
        <w:tab/>
      </w:r>
      <w:r w:rsidRPr="00F82F28">
        <w:rPr>
          <w:lang w:val="fr-FR"/>
        </w:rPr>
        <w:t>INF.61 (AEISG)</w:t>
      </w:r>
      <w:r>
        <w:rPr>
          <w:lang w:val="fr-FR"/>
        </w:rPr>
        <w:t>.</w:t>
      </w:r>
    </w:p>
    <w:p w14:paraId="18591E94" w14:textId="7EE84163" w:rsidR="00026B0E" w:rsidRPr="007F3B53" w:rsidRDefault="00026B0E" w:rsidP="001A6A7E">
      <w:pPr>
        <w:pStyle w:val="SingleTxtG"/>
        <w:keepNext/>
        <w:keepLines/>
        <w:rPr>
          <w:lang w:val="fr-FR"/>
        </w:rPr>
      </w:pPr>
      <w:r w:rsidRPr="00F82F28">
        <w:rPr>
          <w:lang w:val="fr-FR"/>
        </w:rPr>
        <w:t>79.</w:t>
      </w:r>
      <w:r w:rsidRPr="00F82F28">
        <w:rPr>
          <w:lang w:val="fr-FR"/>
        </w:rPr>
        <w:tab/>
        <w:t xml:space="preserve">Le Sous-Comité a pris note de certaines préoccupations </w:t>
      </w:r>
      <w:r>
        <w:rPr>
          <w:lang w:val="fr-FR"/>
        </w:rPr>
        <w:t>soulev</w:t>
      </w:r>
      <w:r w:rsidRPr="00F82F28">
        <w:rPr>
          <w:lang w:val="fr-FR"/>
        </w:rPr>
        <w:t>ées dans les documents informels INF.48 et INF.49. À l</w:t>
      </w:r>
      <w:r w:rsidR="000B2B75">
        <w:rPr>
          <w:lang w:val="fr-FR"/>
        </w:rPr>
        <w:t>’</w:t>
      </w:r>
      <w:r w:rsidRPr="00F82F28">
        <w:rPr>
          <w:lang w:val="fr-FR"/>
        </w:rPr>
        <w:t>issue d</w:t>
      </w:r>
      <w:r w:rsidR="000B2B75">
        <w:rPr>
          <w:lang w:val="fr-FR"/>
        </w:rPr>
        <w:t>’</w:t>
      </w:r>
      <w:r w:rsidRPr="00F82F28">
        <w:rPr>
          <w:lang w:val="fr-FR"/>
        </w:rPr>
        <w:t xml:space="preserve">un débat au cours duquel certaines préoccupations connexes ont été </w:t>
      </w:r>
      <w:r>
        <w:rPr>
          <w:lang w:val="fr-FR"/>
        </w:rPr>
        <w:t>exprim</w:t>
      </w:r>
      <w:r w:rsidRPr="00F82F28">
        <w:rPr>
          <w:lang w:val="fr-FR"/>
        </w:rPr>
        <w:t xml:space="preserve">ées, il a adopté à la majorité les amendements au Règlement type portant sur les citernes mobiles en plastique renforcé de fibres proposés dans le document ST/SG/AC.10/C.3/2020/57/Rev.1, tels que </w:t>
      </w:r>
      <w:r>
        <w:rPr>
          <w:lang w:val="fr-FR"/>
        </w:rPr>
        <w:t>modifi</w:t>
      </w:r>
      <w:r w:rsidRPr="00F82F28">
        <w:rPr>
          <w:lang w:val="fr-FR"/>
        </w:rPr>
        <w:t>és dans le document informel INF.43 (voir</w:t>
      </w:r>
      <w:r w:rsidR="001A6A7E">
        <w:rPr>
          <w:lang w:val="fr-FR"/>
        </w:rPr>
        <w:t> </w:t>
      </w:r>
      <w:r w:rsidRPr="00F82F28">
        <w:rPr>
          <w:lang w:val="fr-FR"/>
        </w:rPr>
        <w:t>annexe I).</w:t>
      </w:r>
    </w:p>
    <w:p w14:paraId="2DF6D986" w14:textId="77777777" w:rsidR="00026B0E" w:rsidRPr="007F3B53" w:rsidRDefault="00955127" w:rsidP="00955127">
      <w:pPr>
        <w:pStyle w:val="H1G"/>
        <w:rPr>
          <w:lang w:val="fr-FR"/>
        </w:rPr>
      </w:pPr>
      <w:r>
        <w:rPr>
          <w:lang w:val="fr-FR"/>
        </w:rPr>
        <w:tab/>
      </w:r>
      <w:r w:rsidR="00026B0E" w:rsidRPr="00F82F28">
        <w:rPr>
          <w:lang w:val="fr-FR"/>
        </w:rPr>
        <w:t>D.</w:t>
      </w:r>
      <w:r w:rsidR="00026B0E" w:rsidRPr="00F82F28">
        <w:rPr>
          <w:lang w:val="fr-FR"/>
        </w:rPr>
        <w:tab/>
        <w:t xml:space="preserve">Citernes mobiles (autres que les citernes mobiles </w:t>
      </w:r>
      <w:r w:rsidR="001A6A7E">
        <w:rPr>
          <w:lang w:val="fr-FR"/>
        </w:rPr>
        <w:br/>
      </w:r>
      <w:r w:rsidR="00026B0E" w:rsidRPr="00F82F28">
        <w:rPr>
          <w:lang w:val="fr-FR"/>
        </w:rPr>
        <w:t xml:space="preserve">en </w:t>
      </w:r>
      <w:r w:rsidR="00026B0E">
        <w:rPr>
          <w:lang w:val="fr-FR"/>
        </w:rPr>
        <w:t xml:space="preserve">matière </w:t>
      </w:r>
      <w:r w:rsidR="00026B0E" w:rsidRPr="00F82F28">
        <w:rPr>
          <w:lang w:val="fr-FR"/>
        </w:rPr>
        <w:t>plastique renforcé</w:t>
      </w:r>
      <w:r w:rsidR="00026B0E">
        <w:rPr>
          <w:lang w:val="fr-FR"/>
        </w:rPr>
        <w:t>e</w:t>
      </w:r>
      <w:r w:rsidR="00026B0E" w:rsidRPr="00F82F28">
        <w:rPr>
          <w:lang w:val="fr-FR"/>
        </w:rPr>
        <w:t xml:space="preserve"> de fibres)</w:t>
      </w:r>
    </w:p>
    <w:p w14:paraId="7203C7A3" w14:textId="2F777F60" w:rsidR="00026B0E" w:rsidRPr="007F3B53" w:rsidRDefault="00026B0E" w:rsidP="00955127">
      <w:pPr>
        <w:pStyle w:val="H23G"/>
        <w:rPr>
          <w:lang w:val="fr-FR"/>
        </w:rPr>
      </w:pPr>
      <w:r w:rsidRPr="00F82F28">
        <w:rPr>
          <w:lang w:val="fr-FR"/>
        </w:rPr>
        <w:tab/>
      </w:r>
      <w:r w:rsidRPr="00F82F28">
        <w:rPr>
          <w:lang w:val="fr-FR"/>
        </w:rPr>
        <w:tab/>
      </w:r>
      <w:r w:rsidRPr="00F82F28">
        <w:rPr>
          <w:bCs/>
          <w:lang w:val="fr-FR"/>
        </w:rPr>
        <w:t xml:space="preserve">Essai de résistance aux </w:t>
      </w:r>
      <w:r w:rsidRPr="00955127">
        <w:rPr>
          <w:lang w:val="fr-FR"/>
        </w:rPr>
        <w:t>impacts</w:t>
      </w:r>
      <w:r w:rsidRPr="00F82F28">
        <w:rPr>
          <w:bCs/>
          <w:lang w:val="fr-FR"/>
        </w:rPr>
        <w:t xml:space="preserve"> des citernes mobiles et des conteneurs à gaz à éléments multiples</w:t>
      </w:r>
      <w:r w:rsidR="004D3879">
        <w:rPr>
          <w:bCs/>
          <w:lang w:val="fr-FR"/>
        </w:rPr>
        <w:t> </w:t>
      </w:r>
      <w:r w:rsidRPr="00F82F28">
        <w:rPr>
          <w:bCs/>
          <w:lang w:val="fr-FR"/>
        </w:rPr>
        <w:t>: proposition de révision de la section 41 du Manuel d</w:t>
      </w:r>
      <w:r w:rsidR="000B2B75">
        <w:rPr>
          <w:bCs/>
          <w:lang w:val="fr-FR"/>
        </w:rPr>
        <w:t>’</w:t>
      </w:r>
      <w:r w:rsidRPr="00F82F28">
        <w:rPr>
          <w:bCs/>
          <w:lang w:val="fr-FR"/>
        </w:rPr>
        <w:t>épreuves et de critères</w:t>
      </w:r>
    </w:p>
    <w:p w14:paraId="160EAFE1"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0414B0">
        <w:rPr>
          <w:i/>
          <w:iCs/>
          <w:lang w:val="fr-FR"/>
        </w:rPr>
        <w:t>s</w:t>
      </w:r>
      <w:r w:rsidR="004D3879">
        <w:rPr>
          <w:i/>
          <w:iCs/>
          <w:lang w:val="fr-FR"/>
        </w:rPr>
        <w:t> </w:t>
      </w:r>
      <w:r w:rsidRPr="00F82F28">
        <w:rPr>
          <w:i/>
          <w:iCs/>
          <w:lang w:val="fr-FR"/>
        </w:rPr>
        <w:t>:</w:t>
      </w:r>
      <w:r w:rsidRPr="00F82F28">
        <w:rPr>
          <w:lang w:val="fr-FR"/>
        </w:rPr>
        <w:tab/>
        <w:t>ST/SG/AC.10/C.3/2020/5 et Add.1 (Canada)</w:t>
      </w:r>
      <w:r>
        <w:rPr>
          <w:lang w:val="fr-FR"/>
        </w:rPr>
        <w:t>.</w:t>
      </w:r>
    </w:p>
    <w:p w14:paraId="4C7E015C" w14:textId="3AA80264" w:rsidR="00026B0E" w:rsidRPr="007F3B53" w:rsidRDefault="00026B0E" w:rsidP="00026B0E">
      <w:pPr>
        <w:pStyle w:val="SingleTxtG"/>
        <w:rPr>
          <w:lang w:val="fr-FR"/>
        </w:rPr>
      </w:pPr>
      <w:r w:rsidRPr="00F82F28">
        <w:rPr>
          <w:lang w:val="fr-FR"/>
        </w:rPr>
        <w:t>80.</w:t>
      </w:r>
      <w:r w:rsidRPr="00F82F28">
        <w:rPr>
          <w:lang w:val="fr-FR"/>
        </w:rPr>
        <w:tab/>
        <w:t>Le Sous-Comité a adopté les amendements proposés pour réviser la section 41 du Manuel d</w:t>
      </w:r>
      <w:r w:rsidR="000B2B75">
        <w:rPr>
          <w:lang w:val="fr-FR"/>
        </w:rPr>
        <w:t>’</w:t>
      </w:r>
      <w:r w:rsidRPr="00F82F28">
        <w:rPr>
          <w:lang w:val="fr-FR"/>
        </w:rPr>
        <w:t>épreuves et de critères (voir annexe II).</w:t>
      </w:r>
    </w:p>
    <w:p w14:paraId="19071039" w14:textId="77777777" w:rsidR="00026B0E" w:rsidRPr="007F3B53" w:rsidRDefault="00026B0E" w:rsidP="00955127">
      <w:pPr>
        <w:pStyle w:val="H1G"/>
        <w:rPr>
          <w:lang w:val="fr-FR"/>
        </w:rPr>
      </w:pPr>
      <w:r>
        <w:rPr>
          <w:lang w:val="fr-FR"/>
        </w:rPr>
        <w:tab/>
      </w:r>
      <w:r w:rsidRPr="00F82F28">
        <w:rPr>
          <w:lang w:val="fr-FR"/>
        </w:rPr>
        <w:t>E.</w:t>
      </w:r>
      <w:r w:rsidRPr="00F82F28">
        <w:rPr>
          <w:lang w:val="fr-FR"/>
        </w:rPr>
        <w:tab/>
      </w:r>
      <w:r w:rsidRPr="00F82F28">
        <w:rPr>
          <w:bCs/>
          <w:lang w:val="fr-FR"/>
        </w:rPr>
        <w:t>Autres propositions diverses</w:t>
      </w:r>
    </w:p>
    <w:p w14:paraId="3F062077" w14:textId="29048E11" w:rsidR="00026B0E" w:rsidRPr="007F3B53" w:rsidRDefault="00026B0E" w:rsidP="00955127">
      <w:pPr>
        <w:pStyle w:val="H23G"/>
        <w:rPr>
          <w:lang w:val="fr-FR"/>
        </w:rPr>
      </w:pPr>
      <w:r>
        <w:rPr>
          <w:lang w:val="fr-FR"/>
        </w:rPr>
        <w:tab/>
      </w:r>
      <w:r w:rsidRPr="00F82F28">
        <w:rPr>
          <w:lang w:val="fr-FR"/>
        </w:rPr>
        <w:t>1.</w:t>
      </w:r>
      <w:r w:rsidRPr="00F82F28">
        <w:rPr>
          <w:lang w:val="fr-FR"/>
        </w:rPr>
        <w:tab/>
        <w:t>Amendement au 5.4.1.5.12</w:t>
      </w:r>
      <w:r w:rsidR="00DB4B25">
        <w:rPr>
          <w:lang w:val="fr-FR"/>
        </w:rPr>
        <w:t> </w:t>
      </w:r>
      <w:r w:rsidRPr="00F82F28">
        <w:rPr>
          <w:lang w:val="fr-FR"/>
        </w:rPr>
        <w:t xml:space="preserve">: rubriques supplémentaires </w:t>
      </w:r>
      <w:r w:rsidR="001A6A7E">
        <w:rPr>
          <w:lang w:val="fr-FR"/>
        </w:rPr>
        <w:br/>
      </w:r>
      <w:r w:rsidRPr="00F82F28">
        <w:rPr>
          <w:lang w:val="fr-FR"/>
        </w:rPr>
        <w:t>en cas d</w:t>
      </w:r>
      <w:r w:rsidR="000B2B75">
        <w:rPr>
          <w:lang w:val="fr-FR"/>
        </w:rPr>
        <w:t>’</w:t>
      </w:r>
      <w:r w:rsidRPr="00F82F28">
        <w:rPr>
          <w:lang w:val="fr-FR"/>
        </w:rPr>
        <w:t>application de dispositions spéciales</w:t>
      </w:r>
    </w:p>
    <w:p w14:paraId="69185330"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4D3879">
        <w:rPr>
          <w:i/>
          <w:iCs/>
          <w:lang w:val="fr-FR"/>
        </w:rPr>
        <w:t> </w:t>
      </w:r>
      <w:r w:rsidRPr="00F82F28">
        <w:rPr>
          <w:i/>
          <w:iCs/>
          <w:lang w:val="fr-FR"/>
        </w:rPr>
        <w:t>:</w:t>
      </w:r>
      <w:r w:rsidRPr="00F82F28">
        <w:rPr>
          <w:lang w:val="fr-FR"/>
        </w:rPr>
        <w:tab/>
        <w:t>ST/SG/AC.10/C.3/2020/11/Rev.1 (Allemagne)</w:t>
      </w:r>
      <w:r>
        <w:rPr>
          <w:lang w:val="fr-FR"/>
        </w:rPr>
        <w:t>.</w:t>
      </w:r>
    </w:p>
    <w:p w14:paraId="653C5019" w14:textId="37BDCA78" w:rsidR="00026B0E" w:rsidRPr="007F3B53" w:rsidRDefault="00026B0E" w:rsidP="00026B0E">
      <w:pPr>
        <w:pStyle w:val="SingleTxtG"/>
        <w:rPr>
          <w:lang w:val="fr-FR"/>
        </w:rPr>
      </w:pPr>
      <w:r w:rsidRPr="00F82F28">
        <w:rPr>
          <w:lang w:val="fr-FR"/>
        </w:rPr>
        <w:t>81.</w:t>
      </w:r>
      <w:r w:rsidRPr="00F82F28">
        <w:rPr>
          <w:lang w:val="fr-FR"/>
        </w:rPr>
        <w:tab/>
        <w:t>Le Sous-Comité a adopté les modifications du paragraphe 5.4.1.5.12 proposées dans l</w:t>
      </w:r>
      <w:r w:rsidR="000B2B75">
        <w:rPr>
          <w:lang w:val="fr-FR"/>
        </w:rPr>
        <w:t>’</w:t>
      </w:r>
      <w:r w:rsidRPr="00F82F28">
        <w:rPr>
          <w:lang w:val="fr-FR"/>
        </w:rPr>
        <w:t>option 1 (voir annexe I).</w:t>
      </w:r>
    </w:p>
    <w:p w14:paraId="55D9ABFE" w14:textId="77777777" w:rsidR="00026B0E" w:rsidRPr="007F3B53" w:rsidRDefault="00026B0E" w:rsidP="00955127">
      <w:pPr>
        <w:pStyle w:val="H23G"/>
        <w:rPr>
          <w:lang w:val="fr-FR"/>
        </w:rPr>
      </w:pPr>
      <w:r>
        <w:rPr>
          <w:lang w:val="fr-FR"/>
        </w:rPr>
        <w:tab/>
      </w:r>
      <w:r w:rsidRPr="00F82F28">
        <w:rPr>
          <w:lang w:val="fr-FR"/>
        </w:rPr>
        <w:t>2.</w:t>
      </w:r>
      <w:r w:rsidRPr="00F82F28">
        <w:rPr>
          <w:lang w:val="fr-FR"/>
        </w:rPr>
        <w:tab/>
      </w:r>
      <w:r w:rsidRPr="00F82F28">
        <w:rPr>
          <w:bCs/>
          <w:lang w:val="fr-FR"/>
        </w:rPr>
        <w:t>Transport du butylène</w:t>
      </w:r>
    </w:p>
    <w:p w14:paraId="1AA8121B"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Documents</w:t>
      </w:r>
      <w:r w:rsidR="004D3879">
        <w:rPr>
          <w:i/>
          <w:iCs/>
          <w:lang w:val="fr-FR"/>
        </w:rPr>
        <w:t> </w:t>
      </w:r>
      <w:r w:rsidRPr="00F82F28">
        <w:rPr>
          <w:i/>
          <w:iCs/>
          <w:lang w:val="fr-FR"/>
        </w:rPr>
        <w:t>:</w:t>
      </w:r>
      <w:r w:rsidRPr="00F82F28">
        <w:rPr>
          <w:lang w:val="fr-FR"/>
        </w:rPr>
        <w:tab/>
        <w:t>ST/SG/AC.10/C.3/2020/16 et ST/SG/AC.10/C.3/2020/69 (Espagne)</w:t>
      </w:r>
    </w:p>
    <w:p w14:paraId="3CCB5FB0" w14:textId="77777777" w:rsidR="00026B0E" w:rsidRPr="007F3B53" w:rsidRDefault="00026B0E" w:rsidP="00026B0E">
      <w:pPr>
        <w:pStyle w:val="SingleTxtG"/>
        <w:rPr>
          <w:lang w:val="fr-FR"/>
        </w:rPr>
      </w:pPr>
      <w:r w:rsidRPr="00F82F28">
        <w:rPr>
          <w:lang w:val="fr-FR"/>
        </w:rPr>
        <w:t>82.</w:t>
      </w:r>
      <w:r w:rsidRPr="00F82F28">
        <w:rPr>
          <w:lang w:val="fr-FR"/>
        </w:rPr>
        <w:tab/>
        <w:t>Le Sous-Comité a adopté à la majorité les modifications proposées aux paragraphes</w:t>
      </w:r>
      <w:r w:rsidR="000414B0">
        <w:rPr>
          <w:lang w:val="fr-FR"/>
        </w:rPr>
        <w:t> </w:t>
      </w:r>
      <w:r w:rsidRPr="00F82F28">
        <w:rPr>
          <w:lang w:val="fr-FR"/>
        </w:rPr>
        <w:t>14 et 15 du document ST/SG/AC.10/C.3/2020/69 (voir annexe I).</w:t>
      </w:r>
    </w:p>
    <w:p w14:paraId="6122C085" w14:textId="1EFAE72F" w:rsidR="00026B0E" w:rsidRPr="007F3B53" w:rsidRDefault="00026B0E" w:rsidP="00955127">
      <w:pPr>
        <w:pStyle w:val="H23G"/>
        <w:rPr>
          <w:lang w:val="fr-FR"/>
        </w:rPr>
      </w:pPr>
      <w:r>
        <w:rPr>
          <w:lang w:val="fr-FR"/>
        </w:rPr>
        <w:tab/>
      </w:r>
      <w:r w:rsidRPr="00F82F28">
        <w:rPr>
          <w:lang w:val="fr-FR"/>
        </w:rPr>
        <w:t>3.</w:t>
      </w:r>
      <w:r w:rsidRPr="00F82F28">
        <w:rPr>
          <w:lang w:val="fr-FR"/>
        </w:rPr>
        <w:tab/>
      </w:r>
      <w:r w:rsidRPr="00F82F28">
        <w:rPr>
          <w:bCs/>
          <w:lang w:val="fr-FR"/>
        </w:rPr>
        <w:t>Propositions diverses d</w:t>
      </w:r>
      <w:r w:rsidR="000B2B75">
        <w:rPr>
          <w:bCs/>
          <w:lang w:val="fr-FR"/>
        </w:rPr>
        <w:t>’</w:t>
      </w:r>
      <w:r w:rsidRPr="00F82F28">
        <w:rPr>
          <w:bCs/>
          <w:lang w:val="fr-FR"/>
        </w:rPr>
        <w:t>amendements au Règlement type pour le transport des</w:t>
      </w:r>
      <w:r w:rsidR="000414B0">
        <w:rPr>
          <w:bCs/>
          <w:lang w:val="fr-FR"/>
        </w:rPr>
        <w:t> </w:t>
      </w:r>
      <w:r w:rsidRPr="00F82F28">
        <w:rPr>
          <w:bCs/>
          <w:lang w:val="fr-FR"/>
        </w:rPr>
        <w:t>marchandises dangereuses</w:t>
      </w:r>
    </w:p>
    <w:p w14:paraId="0D40A980" w14:textId="77777777" w:rsidR="00026B0E" w:rsidRPr="007F3B53" w:rsidRDefault="00026B0E" w:rsidP="00955127">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ST/SG/AC.10/C.3/2020/26 (OACI)</w:t>
      </w:r>
      <w:r>
        <w:rPr>
          <w:lang w:val="fr-FR"/>
        </w:rPr>
        <w:t>.</w:t>
      </w:r>
    </w:p>
    <w:p w14:paraId="04B35EA8" w14:textId="487C72DA" w:rsidR="00026B0E" w:rsidRPr="007F3B53" w:rsidRDefault="00026B0E" w:rsidP="00026B0E">
      <w:pPr>
        <w:pStyle w:val="SingleTxtG"/>
        <w:rPr>
          <w:lang w:val="fr-FR"/>
        </w:rPr>
      </w:pPr>
      <w:r w:rsidRPr="00F82F28">
        <w:rPr>
          <w:lang w:val="fr-FR"/>
        </w:rPr>
        <w:t>83.</w:t>
      </w:r>
      <w:r w:rsidRPr="00F82F28">
        <w:rPr>
          <w:lang w:val="fr-FR"/>
        </w:rPr>
        <w:tab/>
        <w:t>Il a été décidé de reporter l</w:t>
      </w:r>
      <w:r w:rsidR="000B2B75">
        <w:rPr>
          <w:lang w:val="fr-FR"/>
        </w:rPr>
        <w:t>’</w:t>
      </w:r>
      <w:r w:rsidRPr="00F82F28">
        <w:rPr>
          <w:lang w:val="fr-FR"/>
        </w:rPr>
        <w:t>examen de cette question à la prochaine période biennale.</w:t>
      </w:r>
    </w:p>
    <w:p w14:paraId="70430D9F" w14:textId="2C2DA9E4" w:rsidR="00026B0E" w:rsidRPr="007F3B53" w:rsidRDefault="00026B0E" w:rsidP="00D02483">
      <w:pPr>
        <w:pStyle w:val="H23G"/>
        <w:rPr>
          <w:lang w:val="fr-FR"/>
        </w:rPr>
      </w:pPr>
      <w:r>
        <w:rPr>
          <w:lang w:val="fr-FR"/>
        </w:rPr>
        <w:tab/>
      </w:r>
      <w:r w:rsidRPr="00F82F28">
        <w:rPr>
          <w:lang w:val="fr-FR"/>
        </w:rPr>
        <w:t>4.</w:t>
      </w:r>
      <w:r w:rsidRPr="00F82F28">
        <w:rPr>
          <w:lang w:val="fr-FR"/>
        </w:rPr>
        <w:tab/>
      </w:r>
      <w:r w:rsidRPr="00F82F28">
        <w:rPr>
          <w:bCs/>
          <w:lang w:val="fr-FR"/>
        </w:rPr>
        <w:t>Informations à indiquer dans le document de transport lors de l</w:t>
      </w:r>
      <w:r w:rsidR="000B2B75">
        <w:rPr>
          <w:bCs/>
          <w:lang w:val="fr-FR"/>
        </w:rPr>
        <w:t>’</w:t>
      </w:r>
      <w:r w:rsidRPr="00F82F28">
        <w:rPr>
          <w:bCs/>
          <w:lang w:val="fr-FR"/>
        </w:rPr>
        <w:t>utilisation d</w:t>
      </w:r>
      <w:r w:rsidR="000B2B75">
        <w:rPr>
          <w:bCs/>
          <w:lang w:val="fr-FR"/>
        </w:rPr>
        <w:t>’</w:t>
      </w:r>
      <w:r w:rsidRPr="00F82F28">
        <w:rPr>
          <w:bCs/>
          <w:lang w:val="fr-FR"/>
        </w:rPr>
        <w:t>emballages non agréés comme emballages de secours</w:t>
      </w:r>
    </w:p>
    <w:p w14:paraId="576E8E9D"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ST/SG/AC.10/C.3/2020/27 (Allemagne)</w:t>
      </w:r>
      <w:r>
        <w:rPr>
          <w:lang w:val="fr-FR"/>
        </w:rPr>
        <w:t>.</w:t>
      </w:r>
    </w:p>
    <w:p w14:paraId="4761EEA2" w14:textId="77777777" w:rsidR="00026B0E" w:rsidRPr="007F3B53" w:rsidRDefault="00026B0E" w:rsidP="00026B0E">
      <w:pPr>
        <w:pStyle w:val="SingleTxtG"/>
        <w:rPr>
          <w:lang w:val="fr-FR"/>
        </w:rPr>
      </w:pPr>
      <w:r w:rsidRPr="00F82F28">
        <w:rPr>
          <w:lang w:val="fr-FR"/>
        </w:rPr>
        <w:t>84.</w:t>
      </w:r>
      <w:r w:rsidRPr="00F82F28">
        <w:rPr>
          <w:lang w:val="fr-FR"/>
        </w:rPr>
        <w:tab/>
        <w:t>Le Sous-Comité a adopté à la majorité les modifications du paragraphe 5.4.1.5.3 proposées (voir annexe I).</w:t>
      </w:r>
    </w:p>
    <w:p w14:paraId="130C8F47" w14:textId="77777777" w:rsidR="00026B0E" w:rsidRPr="007F3B53" w:rsidRDefault="00026B0E" w:rsidP="00D02483">
      <w:pPr>
        <w:pStyle w:val="H23G"/>
        <w:rPr>
          <w:lang w:val="fr-FR"/>
        </w:rPr>
      </w:pPr>
      <w:r>
        <w:rPr>
          <w:lang w:val="fr-FR"/>
        </w:rPr>
        <w:lastRenderedPageBreak/>
        <w:tab/>
      </w:r>
      <w:r w:rsidRPr="00F82F28">
        <w:rPr>
          <w:lang w:val="fr-FR"/>
        </w:rPr>
        <w:t>5.</w:t>
      </w:r>
      <w:r w:rsidRPr="00F82F28">
        <w:rPr>
          <w:lang w:val="fr-FR"/>
        </w:rPr>
        <w:tab/>
      </w:r>
      <w:r>
        <w:rPr>
          <w:bCs/>
          <w:lang w:val="fr-FR"/>
        </w:rPr>
        <w:t>T</w:t>
      </w:r>
      <w:r w:rsidRPr="00F82F28">
        <w:rPr>
          <w:bCs/>
          <w:lang w:val="fr-FR"/>
        </w:rPr>
        <w:t>ermes «</w:t>
      </w:r>
      <w:r w:rsidR="00DB4B25">
        <w:rPr>
          <w:bCs/>
          <w:lang w:val="fr-FR"/>
        </w:rPr>
        <w:t> </w:t>
      </w:r>
      <w:proofErr w:type="spellStart"/>
      <w:r w:rsidRPr="00F82F28">
        <w:rPr>
          <w:bCs/>
          <w:lang w:val="fr-FR"/>
        </w:rPr>
        <w:t>aromatic</w:t>
      </w:r>
      <w:proofErr w:type="spellEnd"/>
      <w:r w:rsidR="00DB4B25">
        <w:rPr>
          <w:bCs/>
          <w:lang w:val="fr-FR"/>
        </w:rPr>
        <w:t> </w:t>
      </w:r>
      <w:r w:rsidRPr="00F82F28">
        <w:rPr>
          <w:bCs/>
          <w:lang w:val="fr-FR"/>
        </w:rPr>
        <w:t>» et «</w:t>
      </w:r>
      <w:r w:rsidR="00DB4B25">
        <w:rPr>
          <w:bCs/>
          <w:lang w:val="fr-FR"/>
        </w:rPr>
        <w:t> </w:t>
      </w:r>
      <w:proofErr w:type="spellStart"/>
      <w:r w:rsidRPr="00F82F28">
        <w:rPr>
          <w:bCs/>
          <w:lang w:val="fr-FR"/>
        </w:rPr>
        <w:t>flavouring</w:t>
      </w:r>
      <w:proofErr w:type="spellEnd"/>
      <w:r w:rsidR="00DB4B25">
        <w:rPr>
          <w:bCs/>
          <w:lang w:val="fr-FR"/>
        </w:rPr>
        <w:t> </w:t>
      </w:r>
      <w:r w:rsidRPr="00F82F28">
        <w:rPr>
          <w:bCs/>
          <w:lang w:val="fr-FR"/>
        </w:rPr>
        <w:t>» dans les Nos ONU 1169 et 1197</w:t>
      </w:r>
    </w:p>
    <w:p w14:paraId="63E142C6"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ST/SG/AC.10/C.3/2020/38/Rev.1 (Espagne)</w:t>
      </w:r>
      <w:r>
        <w:rPr>
          <w:lang w:val="fr-FR"/>
        </w:rPr>
        <w:t>.</w:t>
      </w:r>
    </w:p>
    <w:p w14:paraId="53CB97AC" w14:textId="1EAB4D58" w:rsidR="00026B0E" w:rsidRPr="007F3B53" w:rsidRDefault="00026B0E" w:rsidP="00026B0E">
      <w:pPr>
        <w:pStyle w:val="SingleTxtG"/>
        <w:rPr>
          <w:lang w:val="fr-FR"/>
        </w:rPr>
      </w:pPr>
      <w:r w:rsidRPr="00F82F28">
        <w:rPr>
          <w:lang w:val="fr-FR"/>
        </w:rPr>
        <w:t>85.</w:t>
      </w:r>
      <w:r w:rsidRPr="00F82F28">
        <w:rPr>
          <w:lang w:val="fr-FR"/>
        </w:rPr>
        <w:tab/>
        <w:t>Le Sous-Comité a adopté à la majorité la proposition telle que modifiée au cours de la session (voir annexe I). Il a été convenu qu</w:t>
      </w:r>
      <w:r w:rsidR="000B2B75">
        <w:rPr>
          <w:lang w:val="fr-FR"/>
        </w:rPr>
        <w:t>’</w:t>
      </w:r>
      <w:r w:rsidRPr="00F82F28">
        <w:rPr>
          <w:lang w:val="fr-FR"/>
        </w:rPr>
        <w:t>aucune période transitoire n</w:t>
      </w:r>
      <w:r w:rsidR="000B2B75">
        <w:rPr>
          <w:lang w:val="fr-FR"/>
        </w:rPr>
        <w:t>’</w:t>
      </w:r>
      <w:r w:rsidRPr="00F82F28">
        <w:rPr>
          <w:lang w:val="fr-FR"/>
        </w:rPr>
        <w:t>était nécessaire.</w:t>
      </w:r>
    </w:p>
    <w:p w14:paraId="448670FC" w14:textId="4DF6CBE6" w:rsidR="00026B0E" w:rsidRPr="007F3B53" w:rsidRDefault="00026B0E" w:rsidP="00D02483">
      <w:pPr>
        <w:pStyle w:val="H23G"/>
        <w:rPr>
          <w:lang w:val="fr-FR"/>
        </w:rPr>
      </w:pPr>
      <w:r>
        <w:rPr>
          <w:lang w:val="fr-FR"/>
        </w:rPr>
        <w:tab/>
      </w:r>
      <w:r w:rsidRPr="00F82F28">
        <w:rPr>
          <w:lang w:val="fr-FR"/>
        </w:rPr>
        <w:t>6.</w:t>
      </w:r>
      <w:r w:rsidRPr="00F82F28">
        <w:rPr>
          <w:lang w:val="fr-FR"/>
        </w:rPr>
        <w:tab/>
      </w:r>
      <w:r w:rsidRPr="00F82F28">
        <w:rPr>
          <w:bCs/>
          <w:lang w:val="fr-FR"/>
        </w:rPr>
        <w:t xml:space="preserve">Augmentation de la pression interne maximale autorisée </w:t>
      </w:r>
      <w:r w:rsidR="001A6A7E">
        <w:rPr>
          <w:bCs/>
          <w:lang w:val="fr-FR"/>
        </w:rPr>
        <w:br/>
      </w:r>
      <w:r w:rsidRPr="00F82F28">
        <w:rPr>
          <w:bCs/>
          <w:lang w:val="fr-FR"/>
        </w:rPr>
        <w:t>pour les générateurs d</w:t>
      </w:r>
      <w:r w:rsidR="000B2B75">
        <w:rPr>
          <w:bCs/>
          <w:lang w:val="fr-FR"/>
        </w:rPr>
        <w:t>’</w:t>
      </w:r>
      <w:r w:rsidRPr="00F82F28">
        <w:rPr>
          <w:bCs/>
          <w:lang w:val="fr-FR"/>
        </w:rPr>
        <w:t>aérosols</w:t>
      </w:r>
    </w:p>
    <w:p w14:paraId="74A942AB"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 xml:space="preserve">ST/SG/AC.10/C.3/2020/43 (FEA </w:t>
      </w:r>
      <w:r>
        <w:rPr>
          <w:lang w:val="fr-FR"/>
        </w:rPr>
        <w:t xml:space="preserve">et </w:t>
      </w:r>
      <w:r w:rsidRPr="00F82F28">
        <w:rPr>
          <w:lang w:val="fr-FR"/>
        </w:rPr>
        <w:t>HCPA)</w:t>
      </w:r>
      <w:r>
        <w:rPr>
          <w:lang w:val="fr-FR"/>
        </w:rPr>
        <w:t>.</w:t>
      </w:r>
    </w:p>
    <w:p w14:paraId="1C6F9322" w14:textId="77777777" w:rsidR="00026B0E" w:rsidRPr="007F3B53" w:rsidRDefault="00026B0E" w:rsidP="00026B0E">
      <w:pPr>
        <w:pStyle w:val="SingleTxtG"/>
        <w:rPr>
          <w:lang w:val="fr-FR"/>
        </w:rPr>
      </w:pPr>
      <w:r w:rsidRPr="00F82F28">
        <w:rPr>
          <w:lang w:val="fr-FR"/>
        </w:rPr>
        <w:t>86.</w:t>
      </w:r>
      <w:r w:rsidRPr="00F82F28">
        <w:rPr>
          <w:lang w:val="fr-FR"/>
        </w:rPr>
        <w:tab/>
        <w:t>Le Sous-Comité a adopté à la majorité la proposition introduisant une modification dans la version anglaise (voir annexe I).</w:t>
      </w:r>
    </w:p>
    <w:p w14:paraId="7F6C4050" w14:textId="602AF332" w:rsidR="00026B0E" w:rsidRPr="007F3B53" w:rsidRDefault="00026B0E" w:rsidP="00D02483">
      <w:pPr>
        <w:pStyle w:val="H23G"/>
        <w:rPr>
          <w:lang w:val="fr-FR"/>
        </w:rPr>
      </w:pPr>
      <w:r>
        <w:rPr>
          <w:lang w:val="fr-FR"/>
        </w:rPr>
        <w:tab/>
      </w:r>
      <w:r w:rsidRPr="00F82F28">
        <w:rPr>
          <w:lang w:val="fr-FR"/>
        </w:rPr>
        <w:t>7.</w:t>
      </w:r>
      <w:r w:rsidRPr="00F82F28">
        <w:rPr>
          <w:lang w:val="fr-FR"/>
        </w:rPr>
        <w:tab/>
      </w:r>
      <w:r w:rsidR="00DB4B25" w:rsidRPr="00F82F28">
        <w:rPr>
          <w:bCs/>
          <w:lang w:val="fr-FR"/>
        </w:rPr>
        <w:t>Proposition d</w:t>
      </w:r>
      <w:r w:rsidR="000B2B75">
        <w:rPr>
          <w:bCs/>
          <w:lang w:val="fr-FR"/>
        </w:rPr>
        <w:t>’</w:t>
      </w:r>
      <w:r w:rsidR="00DB4B25" w:rsidRPr="00F82F28">
        <w:rPr>
          <w:bCs/>
          <w:lang w:val="fr-FR"/>
        </w:rPr>
        <w:t>amendements concernant l</w:t>
      </w:r>
      <w:r w:rsidR="000B2B75">
        <w:rPr>
          <w:bCs/>
          <w:lang w:val="fr-FR"/>
        </w:rPr>
        <w:t>’</w:t>
      </w:r>
      <w:r w:rsidR="00DB4B25" w:rsidRPr="00F82F28">
        <w:rPr>
          <w:bCs/>
          <w:lang w:val="fr-FR"/>
        </w:rPr>
        <w:t xml:space="preserve">emploi des termes </w:t>
      </w:r>
      <w:r w:rsidR="00DB4B25">
        <w:rPr>
          <w:bCs/>
          <w:lang w:val="fr-FR"/>
        </w:rPr>
        <w:br/>
      </w:r>
      <w:r w:rsidR="00DB4B25" w:rsidRPr="00F82F28">
        <w:rPr>
          <w:bCs/>
          <w:lang w:val="fr-FR"/>
        </w:rPr>
        <w:t>«</w:t>
      </w:r>
      <w:r w:rsidR="00DB4B25">
        <w:rPr>
          <w:bCs/>
          <w:lang w:val="fr-FR"/>
        </w:rPr>
        <w:t> </w:t>
      </w:r>
      <w:r w:rsidR="00DB4B25" w:rsidRPr="00F82F28">
        <w:rPr>
          <w:bCs/>
          <w:lang w:val="fr-FR"/>
        </w:rPr>
        <w:t>risque</w:t>
      </w:r>
      <w:r w:rsidR="00DB4B25">
        <w:rPr>
          <w:bCs/>
          <w:lang w:val="fr-FR"/>
        </w:rPr>
        <w:t> </w:t>
      </w:r>
      <w:r w:rsidR="00DB4B25" w:rsidRPr="00F82F28">
        <w:rPr>
          <w:bCs/>
          <w:lang w:val="fr-FR"/>
        </w:rPr>
        <w:t>» et «</w:t>
      </w:r>
      <w:r w:rsidR="00DB4B25">
        <w:rPr>
          <w:bCs/>
          <w:lang w:val="fr-FR"/>
        </w:rPr>
        <w:t> </w:t>
      </w:r>
      <w:r w:rsidR="00DB4B25" w:rsidRPr="00F82F28">
        <w:rPr>
          <w:bCs/>
          <w:lang w:val="fr-FR"/>
        </w:rPr>
        <w:t>danger</w:t>
      </w:r>
      <w:r w:rsidR="00DB4B25">
        <w:rPr>
          <w:bCs/>
          <w:lang w:val="fr-FR"/>
        </w:rPr>
        <w:t> </w:t>
      </w:r>
      <w:r w:rsidR="00DB4B25" w:rsidRPr="00F82F28">
        <w:rPr>
          <w:bCs/>
          <w:lang w:val="fr-FR"/>
        </w:rPr>
        <w:t xml:space="preserve">» dans les Recommandations </w:t>
      </w:r>
      <w:r w:rsidR="00DB4B25">
        <w:rPr>
          <w:bCs/>
          <w:lang w:val="fr-FR"/>
        </w:rPr>
        <w:br/>
      </w:r>
      <w:r w:rsidR="00DB4B25" w:rsidRPr="00F82F28">
        <w:rPr>
          <w:bCs/>
          <w:lang w:val="fr-FR"/>
        </w:rPr>
        <w:t>et le Règlement type</w:t>
      </w:r>
    </w:p>
    <w:p w14:paraId="76EC2968"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4D3879">
        <w:rPr>
          <w:i/>
          <w:iCs/>
          <w:lang w:val="fr-FR"/>
        </w:rPr>
        <w:t> </w:t>
      </w:r>
      <w:r w:rsidRPr="00F82F28">
        <w:rPr>
          <w:i/>
          <w:iCs/>
          <w:lang w:val="fr-FR"/>
        </w:rPr>
        <w:t>:</w:t>
      </w:r>
      <w:r w:rsidRPr="00F82F28">
        <w:rPr>
          <w:lang w:val="fr-FR"/>
        </w:rPr>
        <w:tab/>
        <w:t>ST/SG/AC.10/C.3/2020/58 (Roumanie)</w:t>
      </w:r>
      <w:r>
        <w:rPr>
          <w:lang w:val="fr-FR"/>
        </w:rPr>
        <w:t>.</w:t>
      </w:r>
    </w:p>
    <w:p w14:paraId="5CFD6DCB" w14:textId="1F816140" w:rsidR="00026B0E" w:rsidRPr="007F3B53" w:rsidRDefault="00026B0E" w:rsidP="00026B0E">
      <w:pPr>
        <w:pStyle w:val="SingleTxtG"/>
        <w:rPr>
          <w:lang w:val="fr-FR"/>
        </w:rPr>
      </w:pPr>
      <w:r w:rsidRPr="00F82F28">
        <w:rPr>
          <w:lang w:val="fr-FR"/>
        </w:rPr>
        <w:t>87.</w:t>
      </w:r>
      <w:r w:rsidRPr="00F82F28">
        <w:rPr>
          <w:lang w:val="fr-FR"/>
        </w:rPr>
        <w:tab/>
        <w:t>L</w:t>
      </w:r>
      <w:r w:rsidR="000B2B75">
        <w:rPr>
          <w:lang w:val="fr-FR"/>
        </w:rPr>
        <w:t>’</w:t>
      </w:r>
      <w:r w:rsidRPr="00F82F28">
        <w:rPr>
          <w:lang w:val="fr-FR"/>
        </w:rPr>
        <w:t xml:space="preserve">expert de la Roumanie a fait part des résultats </w:t>
      </w:r>
      <w:r>
        <w:rPr>
          <w:lang w:val="fr-FR"/>
        </w:rPr>
        <w:t xml:space="preserve">des travaux </w:t>
      </w:r>
      <w:r w:rsidRPr="00F82F28">
        <w:rPr>
          <w:lang w:val="fr-FR"/>
        </w:rPr>
        <w:t>du groupe de travail informel RID/ADR/ADN sur l</w:t>
      </w:r>
      <w:r w:rsidR="000B2B75">
        <w:rPr>
          <w:lang w:val="fr-FR"/>
        </w:rPr>
        <w:t>’</w:t>
      </w:r>
      <w:r w:rsidRPr="00F82F28">
        <w:rPr>
          <w:lang w:val="fr-FR"/>
        </w:rPr>
        <w:t>emploi des termes «</w:t>
      </w:r>
      <w:r w:rsidR="00262927">
        <w:rPr>
          <w:lang w:val="fr-FR"/>
        </w:rPr>
        <w:t> </w:t>
      </w:r>
      <w:r w:rsidRPr="00F82F28">
        <w:rPr>
          <w:lang w:val="fr-FR"/>
        </w:rPr>
        <w:t>risque</w:t>
      </w:r>
      <w:r w:rsidR="00262927">
        <w:rPr>
          <w:lang w:val="fr-FR"/>
        </w:rPr>
        <w:t> </w:t>
      </w:r>
      <w:r w:rsidRPr="00F82F28">
        <w:rPr>
          <w:lang w:val="fr-FR"/>
        </w:rPr>
        <w:t>» et «</w:t>
      </w:r>
      <w:r w:rsidR="00262927">
        <w:rPr>
          <w:lang w:val="fr-FR"/>
        </w:rPr>
        <w:t> </w:t>
      </w:r>
      <w:r w:rsidRPr="00F82F28">
        <w:rPr>
          <w:lang w:val="fr-FR"/>
        </w:rPr>
        <w:t>danger</w:t>
      </w:r>
      <w:r w:rsidR="00262927">
        <w:rPr>
          <w:lang w:val="fr-FR"/>
        </w:rPr>
        <w:t> </w:t>
      </w:r>
      <w:r w:rsidRPr="00F82F28">
        <w:rPr>
          <w:lang w:val="fr-FR"/>
        </w:rPr>
        <w:t>»</w:t>
      </w:r>
      <w:r>
        <w:rPr>
          <w:lang w:val="fr-FR"/>
        </w:rPr>
        <w:t>,</w:t>
      </w:r>
      <w:r w:rsidRPr="00F82F28">
        <w:rPr>
          <w:lang w:val="fr-FR"/>
        </w:rPr>
        <w:t xml:space="preserve"> tels qu</w:t>
      </w:r>
      <w:r w:rsidR="000B2B75">
        <w:rPr>
          <w:lang w:val="fr-FR"/>
        </w:rPr>
        <w:t>’</w:t>
      </w:r>
      <w:r w:rsidRPr="00F82F28">
        <w:rPr>
          <w:lang w:val="fr-FR"/>
        </w:rPr>
        <w:t>ils figurent dans le document ST/SG/AC.10/C.3/2020/58. Il a ajouté que le groupe de travail informel des explosifs continuerait à s</w:t>
      </w:r>
      <w:r w:rsidR="000B2B75">
        <w:rPr>
          <w:lang w:val="fr-FR"/>
        </w:rPr>
        <w:t>’</w:t>
      </w:r>
      <w:r w:rsidRPr="00F82F28">
        <w:rPr>
          <w:lang w:val="fr-FR"/>
        </w:rPr>
        <w:t>occuper de questions relatives à la classe 1. Il a</w:t>
      </w:r>
      <w:r>
        <w:rPr>
          <w:lang w:val="fr-FR"/>
        </w:rPr>
        <w:t xml:space="preserve"> en outre</w:t>
      </w:r>
      <w:r w:rsidRPr="00F82F28">
        <w:rPr>
          <w:lang w:val="fr-FR"/>
        </w:rPr>
        <w:t xml:space="preserve"> annoncé son intention d</w:t>
      </w:r>
      <w:r w:rsidR="000B2B75">
        <w:rPr>
          <w:lang w:val="fr-FR"/>
        </w:rPr>
        <w:t>’</w:t>
      </w:r>
      <w:r w:rsidRPr="00F82F28">
        <w:rPr>
          <w:lang w:val="fr-FR"/>
        </w:rPr>
        <w:t xml:space="preserve">établir une version définitive pour la session suivante. Le secrétariat a été prié de partager entre-temps ces résultats avec le groupe de coordination </w:t>
      </w:r>
      <w:proofErr w:type="spellStart"/>
      <w:r w:rsidRPr="00F82F28">
        <w:rPr>
          <w:lang w:val="fr-FR"/>
        </w:rPr>
        <w:t>interinstitutions</w:t>
      </w:r>
      <w:proofErr w:type="spellEnd"/>
      <w:r w:rsidRPr="00F82F28">
        <w:rPr>
          <w:lang w:val="fr-FR"/>
        </w:rPr>
        <w:t xml:space="preserve"> de l</w:t>
      </w:r>
      <w:r w:rsidR="000B2B75">
        <w:rPr>
          <w:lang w:val="fr-FR"/>
        </w:rPr>
        <w:t>’</w:t>
      </w:r>
      <w:r w:rsidRPr="00F82F28">
        <w:rPr>
          <w:lang w:val="fr-FR"/>
        </w:rPr>
        <w:t>AIEA lors de sa prochaine session.</w:t>
      </w:r>
    </w:p>
    <w:p w14:paraId="0169FE0F" w14:textId="77777777" w:rsidR="00026B0E" w:rsidRPr="007F3B53" w:rsidRDefault="00026B0E" w:rsidP="00D02483">
      <w:pPr>
        <w:pStyle w:val="H23G"/>
        <w:rPr>
          <w:lang w:val="fr-FR"/>
        </w:rPr>
      </w:pPr>
      <w:r>
        <w:rPr>
          <w:lang w:val="fr-FR"/>
        </w:rPr>
        <w:tab/>
      </w:r>
      <w:r w:rsidRPr="00F82F28">
        <w:rPr>
          <w:lang w:val="fr-FR"/>
        </w:rPr>
        <w:t>8.</w:t>
      </w:r>
      <w:r w:rsidRPr="00F82F28">
        <w:rPr>
          <w:lang w:val="fr-FR"/>
        </w:rPr>
        <w:tab/>
      </w:r>
      <w:r w:rsidRPr="00F82F28">
        <w:rPr>
          <w:bCs/>
          <w:lang w:val="fr-FR"/>
        </w:rPr>
        <w:t xml:space="preserve">Nouvelle rubrique ONU pour les </w:t>
      </w:r>
      <w:proofErr w:type="spellStart"/>
      <w:r w:rsidRPr="00F82F28">
        <w:rPr>
          <w:bCs/>
          <w:lang w:val="fr-FR"/>
        </w:rPr>
        <w:t>chlorophénols</w:t>
      </w:r>
      <w:proofErr w:type="spellEnd"/>
    </w:p>
    <w:p w14:paraId="5A443BD9"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4D3879">
        <w:rPr>
          <w:i/>
          <w:iCs/>
          <w:lang w:val="fr-FR"/>
        </w:rPr>
        <w:t> </w:t>
      </w:r>
      <w:r w:rsidRPr="00F82F28">
        <w:rPr>
          <w:i/>
          <w:iCs/>
          <w:lang w:val="fr-FR"/>
        </w:rPr>
        <w:t>:</w:t>
      </w:r>
      <w:r w:rsidRPr="00F82F28">
        <w:rPr>
          <w:lang w:val="fr-FR"/>
        </w:rPr>
        <w:tab/>
        <w:t>INF.27 (Allemagne)</w:t>
      </w:r>
      <w:r>
        <w:rPr>
          <w:lang w:val="fr-FR"/>
        </w:rPr>
        <w:t>.</w:t>
      </w:r>
    </w:p>
    <w:p w14:paraId="06B8C8BB" w14:textId="6546D003" w:rsidR="00026B0E" w:rsidRPr="007F3B53" w:rsidRDefault="00026B0E" w:rsidP="00026B0E">
      <w:pPr>
        <w:pStyle w:val="SingleTxtG"/>
        <w:rPr>
          <w:lang w:val="fr-FR"/>
        </w:rPr>
      </w:pPr>
      <w:r w:rsidRPr="00F82F28">
        <w:rPr>
          <w:lang w:val="fr-FR"/>
        </w:rPr>
        <w:t>88.</w:t>
      </w:r>
      <w:r w:rsidRPr="00F82F28">
        <w:rPr>
          <w:lang w:val="fr-FR"/>
        </w:rPr>
        <w:tab/>
        <w:t>Il a été décidé de reporter l</w:t>
      </w:r>
      <w:r w:rsidR="000B2B75">
        <w:rPr>
          <w:lang w:val="fr-FR"/>
        </w:rPr>
        <w:t>’</w:t>
      </w:r>
      <w:r w:rsidRPr="00F82F28">
        <w:rPr>
          <w:lang w:val="fr-FR"/>
        </w:rPr>
        <w:t>examen de cette question à la prochaine période biennale.</w:t>
      </w:r>
    </w:p>
    <w:p w14:paraId="79F96527" w14:textId="65E65794" w:rsidR="00026B0E" w:rsidRPr="007F3B53" w:rsidRDefault="00026B0E" w:rsidP="00D02483">
      <w:pPr>
        <w:pStyle w:val="HChG"/>
        <w:rPr>
          <w:lang w:val="fr-FR"/>
        </w:rPr>
      </w:pPr>
      <w:r>
        <w:rPr>
          <w:lang w:val="fr-FR"/>
        </w:rPr>
        <w:tab/>
      </w:r>
      <w:r w:rsidRPr="006640EC">
        <w:rPr>
          <w:lang w:val="fr-FR"/>
        </w:rPr>
        <w:t>VIII</w:t>
      </w:r>
      <w:r w:rsidRPr="001C7FC5">
        <w:rPr>
          <w:lang w:val="fr-FR"/>
        </w:rPr>
        <w:t>.</w:t>
      </w:r>
      <w:r w:rsidRPr="001C7FC5">
        <w:rPr>
          <w:lang w:val="fr-FR"/>
        </w:rPr>
        <w:tab/>
        <w:t xml:space="preserve">Harmonisation générale des règlements </w:t>
      </w:r>
      <w:r>
        <w:rPr>
          <w:lang w:val="fr-FR"/>
        </w:rPr>
        <w:t>relatifs au</w:t>
      </w:r>
      <w:r w:rsidRPr="001C7FC5">
        <w:rPr>
          <w:lang w:val="fr-FR"/>
        </w:rPr>
        <w:t xml:space="preserve"> transport des marchandises dangereuses avec le Règlement type (point</w:t>
      </w:r>
      <w:r w:rsidR="001A6A7E">
        <w:rPr>
          <w:lang w:val="fr-FR"/>
        </w:rPr>
        <w:t> </w:t>
      </w:r>
      <w:r w:rsidRPr="001C7FC5">
        <w:rPr>
          <w:lang w:val="fr-FR"/>
        </w:rPr>
        <w:t>7 de l</w:t>
      </w:r>
      <w:r w:rsidR="000B2B75">
        <w:rPr>
          <w:lang w:val="fr-FR"/>
        </w:rPr>
        <w:t>’</w:t>
      </w:r>
      <w:r w:rsidRPr="001C7FC5">
        <w:rPr>
          <w:lang w:val="fr-FR"/>
        </w:rPr>
        <w:t>ordre du jour)</w:t>
      </w:r>
    </w:p>
    <w:p w14:paraId="6FAA8459" w14:textId="77777777" w:rsidR="00026B0E" w:rsidRPr="007F3B53" w:rsidRDefault="00026B0E" w:rsidP="00D02483">
      <w:pPr>
        <w:pStyle w:val="H1G"/>
        <w:rPr>
          <w:lang w:val="fr-FR"/>
        </w:rPr>
      </w:pPr>
      <w:r>
        <w:rPr>
          <w:lang w:val="fr-FR"/>
        </w:rPr>
        <w:tab/>
      </w:r>
      <w:r w:rsidRPr="00F82F28">
        <w:rPr>
          <w:lang w:val="fr-FR"/>
        </w:rPr>
        <w:t>A.</w:t>
      </w:r>
      <w:r w:rsidRPr="00F82F28">
        <w:rPr>
          <w:lang w:val="fr-FR"/>
        </w:rPr>
        <w:tab/>
        <w:t xml:space="preserve">Transport des vaccins contre la COVID-19 à base </w:t>
      </w:r>
      <w:r w:rsidR="00D02483">
        <w:rPr>
          <w:lang w:val="fr-FR"/>
        </w:rPr>
        <w:br/>
      </w:r>
      <w:r w:rsidRPr="00F82F28">
        <w:rPr>
          <w:lang w:val="fr-FR"/>
        </w:rPr>
        <w:t>de micro-organismes génétiquement modifiés</w:t>
      </w:r>
    </w:p>
    <w:p w14:paraId="7BA43BD8" w14:textId="2B1D5A02" w:rsidR="00026B0E" w:rsidRPr="007F3B53" w:rsidRDefault="00026B0E" w:rsidP="00026B0E">
      <w:pPr>
        <w:pStyle w:val="SingleTxtG"/>
        <w:rPr>
          <w:lang w:val="fr-FR"/>
        </w:rPr>
      </w:pPr>
      <w:r w:rsidRPr="00F82F28">
        <w:rPr>
          <w:lang w:val="fr-FR"/>
        </w:rPr>
        <w:t>89.</w:t>
      </w:r>
      <w:r w:rsidRPr="00F82F28">
        <w:rPr>
          <w:lang w:val="fr-FR"/>
        </w:rPr>
        <w:tab/>
        <w:t>Le représentant de l</w:t>
      </w:r>
      <w:r w:rsidR="000B2B75">
        <w:rPr>
          <w:lang w:val="fr-FR"/>
        </w:rPr>
        <w:t>’</w:t>
      </w:r>
      <w:r w:rsidRPr="00F82F28">
        <w:rPr>
          <w:lang w:val="fr-FR"/>
        </w:rPr>
        <w:t>OMS a expliqué que tous les vaccins contre la COVID-19 dont la sécurité et l</w:t>
      </w:r>
      <w:r w:rsidR="000B2B75">
        <w:rPr>
          <w:lang w:val="fr-FR"/>
        </w:rPr>
        <w:t>’</w:t>
      </w:r>
      <w:r w:rsidRPr="00F82F28">
        <w:rPr>
          <w:lang w:val="fr-FR"/>
        </w:rPr>
        <w:t>efficacité avaient été démontrées devaient être livrés sans délai pour être administrés, malgré les difficultés connues, y compris la classification des vaccins à base de vecteurs viraux ou de micro-organismes génétiquement modifiés (MGM). L</w:t>
      </w:r>
      <w:r w:rsidR="000B2B75">
        <w:rPr>
          <w:lang w:val="fr-FR"/>
        </w:rPr>
        <w:t>’</w:t>
      </w:r>
      <w:r w:rsidRPr="00F82F28">
        <w:rPr>
          <w:lang w:val="fr-FR"/>
        </w:rPr>
        <w:t>OMS, l</w:t>
      </w:r>
      <w:r w:rsidR="000B2B75">
        <w:rPr>
          <w:lang w:val="fr-FR"/>
        </w:rPr>
        <w:t>’</w:t>
      </w:r>
      <w:r w:rsidRPr="00F82F28">
        <w:rPr>
          <w:lang w:val="fr-FR"/>
        </w:rPr>
        <w:t>OACI et l</w:t>
      </w:r>
      <w:r w:rsidR="000B2B75">
        <w:rPr>
          <w:lang w:val="fr-FR"/>
        </w:rPr>
        <w:t>’</w:t>
      </w:r>
      <w:r w:rsidRPr="00F82F28">
        <w:rPr>
          <w:lang w:val="fr-FR"/>
        </w:rPr>
        <w:t>IATA, associées à l</w:t>
      </w:r>
      <w:r w:rsidR="000B2B75">
        <w:rPr>
          <w:lang w:val="fr-FR"/>
        </w:rPr>
        <w:t>’</w:t>
      </w:r>
      <w:r w:rsidRPr="00F82F28">
        <w:rPr>
          <w:lang w:val="fr-FR"/>
        </w:rPr>
        <w:t>UNICEF, au Programme alimentaire mondial (PAM) et à des partenaires de l</w:t>
      </w:r>
      <w:r w:rsidR="000B2B75">
        <w:rPr>
          <w:lang w:val="fr-FR"/>
        </w:rPr>
        <w:t>’</w:t>
      </w:r>
      <w:r w:rsidRPr="00F82F28">
        <w:rPr>
          <w:lang w:val="fr-FR"/>
        </w:rPr>
        <w:t>industrie, travaillaient ensemble pour faciliter le transport. Il s</w:t>
      </w:r>
      <w:r w:rsidR="000B2B75">
        <w:rPr>
          <w:lang w:val="fr-FR"/>
        </w:rPr>
        <w:t>’</w:t>
      </w:r>
      <w:r w:rsidRPr="00F82F28">
        <w:rPr>
          <w:lang w:val="fr-FR"/>
        </w:rPr>
        <w:t>agissait là d</w:t>
      </w:r>
      <w:r w:rsidR="000B2B75">
        <w:rPr>
          <w:lang w:val="fr-FR"/>
        </w:rPr>
        <w:t>’</w:t>
      </w:r>
      <w:r w:rsidRPr="00F82F28">
        <w:rPr>
          <w:lang w:val="fr-FR"/>
        </w:rPr>
        <w:t>un très grand défi logistique pour la chaîne d</w:t>
      </w:r>
      <w:r w:rsidR="000B2B75">
        <w:rPr>
          <w:lang w:val="fr-FR"/>
        </w:rPr>
        <w:t>’</w:t>
      </w:r>
      <w:r w:rsidRPr="00F82F28">
        <w:rPr>
          <w:lang w:val="fr-FR"/>
        </w:rPr>
        <w:t>approvisionnement mondiale, qui était elle</w:t>
      </w:r>
      <w:r w:rsidR="001A6A7E">
        <w:rPr>
          <w:lang w:val="fr-FR"/>
        </w:rPr>
        <w:noBreakHyphen/>
      </w:r>
      <w:r w:rsidRPr="00F82F28">
        <w:rPr>
          <w:lang w:val="fr-FR"/>
        </w:rPr>
        <w:t>même complexe et multiforme.</w:t>
      </w:r>
    </w:p>
    <w:p w14:paraId="6698D4DD" w14:textId="348828A9" w:rsidR="00026B0E" w:rsidRPr="007F3B53" w:rsidRDefault="00026B0E" w:rsidP="00026B0E">
      <w:pPr>
        <w:pStyle w:val="SingleTxtG"/>
        <w:rPr>
          <w:lang w:val="fr-FR"/>
        </w:rPr>
      </w:pPr>
      <w:r w:rsidRPr="00F82F28">
        <w:rPr>
          <w:lang w:val="fr-FR"/>
        </w:rPr>
        <w:t>90.</w:t>
      </w:r>
      <w:r w:rsidRPr="00F82F28">
        <w:rPr>
          <w:lang w:val="fr-FR"/>
        </w:rPr>
        <w:tab/>
        <w:t>L</w:t>
      </w:r>
      <w:r w:rsidR="000B2B75">
        <w:rPr>
          <w:lang w:val="fr-FR"/>
        </w:rPr>
        <w:t>’</w:t>
      </w:r>
      <w:r w:rsidRPr="00F82F28">
        <w:rPr>
          <w:lang w:val="fr-FR"/>
        </w:rPr>
        <w:t>OMS se demandait si le fait de transporter des vaccins contenant des MGM sous le numéro ONU 3245 pouvait donner lieu à des complications. Le Sous-Comité a expliqué que, par définition, les MGM n</w:t>
      </w:r>
      <w:r w:rsidR="000B2B75">
        <w:rPr>
          <w:lang w:val="fr-FR"/>
        </w:rPr>
        <w:t>’</w:t>
      </w:r>
      <w:r w:rsidRPr="00F82F28">
        <w:rPr>
          <w:lang w:val="fr-FR"/>
        </w:rPr>
        <w:t>étaient pas soumis au Règlement type de l</w:t>
      </w:r>
      <w:r w:rsidR="000B2B75">
        <w:rPr>
          <w:lang w:val="fr-FR"/>
        </w:rPr>
        <w:t>’</w:t>
      </w:r>
      <w:r w:rsidRPr="00F82F28">
        <w:rPr>
          <w:lang w:val="fr-FR"/>
        </w:rPr>
        <w:t>ONU lorsque leur utilisation était autorisée par les autorités compétentes des pays d</w:t>
      </w:r>
      <w:r w:rsidR="000B2B75">
        <w:rPr>
          <w:lang w:val="fr-FR"/>
        </w:rPr>
        <w:t>’</w:t>
      </w:r>
      <w:r w:rsidRPr="00F82F28">
        <w:rPr>
          <w:lang w:val="fr-FR"/>
        </w:rPr>
        <w:t>origine, de transit et de destination (voir le 2.9.2).</w:t>
      </w:r>
    </w:p>
    <w:p w14:paraId="102B04D2" w14:textId="22B250F6" w:rsidR="00026B0E" w:rsidRPr="007F3B53" w:rsidRDefault="00026B0E" w:rsidP="00026B0E">
      <w:pPr>
        <w:pStyle w:val="SingleTxtG"/>
        <w:rPr>
          <w:lang w:val="fr-FR"/>
        </w:rPr>
      </w:pPr>
      <w:r w:rsidRPr="00F82F28">
        <w:rPr>
          <w:lang w:val="fr-FR"/>
        </w:rPr>
        <w:t>91.</w:t>
      </w:r>
      <w:r w:rsidRPr="00F82F28">
        <w:rPr>
          <w:lang w:val="fr-FR"/>
        </w:rPr>
        <w:tab/>
        <w:t>Il a été dit en outre qu</w:t>
      </w:r>
      <w:r w:rsidR="000B2B75">
        <w:rPr>
          <w:lang w:val="fr-FR"/>
        </w:rPr>
        <w:t>’</w:t>
      </w:r>
      <w:r w:rsidRPr="00F82F28">
        <w:rPr>
          <w:lang w:val="fr-FR"/>
        </w:rPr>
        <w:t>une solution plus large pourrait être envisagée au cours de la prochaine période biennale, à savoir quelque chose de semblable à la disposition spéciale 601 de l</w:t>
      </w:r>
      <w:r w:rsidR="000B2B75">
        <w:rPr>
          <w:lang w:val="fr-FR"/>
        </w:rPr>
        <w:t>’</w:t>
      </w:r>
      <w:r w:rsidRPr="00F82F28">
        <w:rPr>
          <w:lang w:val="fr-FR"/>
        </w:rPr>
        <w:t>ADR, qui prévoit une exclusion pour les médicaments prêts à l</w:t>
      </w:r>
      <w:r w:rsidR="000B2B75">
        <w:rPr>
          <w:lang w:val="fr-FR"/>
        </w:rPr>
        <w:t>’</w:t>
      </w:r>
      <w:r w:rsidRPr="00F82F28">
        <w:rPr>
          <w:lang w:val="fr-FR"/>
        </w:rPr>
        <w:t>emploi, qui sont fabriqués et conditionnés pour la vente ou la distribution au détail en vue d</w:t>
      </w:r>
      <w:r w:rsidR="000B2B75">
        <w:rPr>
          <w:lang w:val="fr-FR"/>
        </w:rPr>
        <w:t>’</w:t>
      </w:r>
      <w:r w:rsidRPr="00F82F28">
        <w:rPr>
          <w:lang w:val="fr-FR"/>
        </w:rPr>
        <w:t>une consommation individuelle ou familiale.</w:t>
      </w:r>
    </w:p>
    <w:p w14:paraId="5D649A4B" w14:textId="424D7F8C" w:rsidR="00026B0E" w:rsidRPr="007F3B53" w:rsidRDefault="00026B0E" w:rsidP="00026B0E">
      <w:pPr>
        <w:pStyle w:val="SingleTxtG"/>
        <w:rPr>
          <w:lang w:val="fr-FR"/>
        </w:rPr>
      </w:pPr>
      <w:r w:rsidRPr="00F82F28">
        <w:rPr>
          <w:lang w:val="fr-FR"/>
        </w:rPr>
        <w:lastRenderedPageBreak/>
        <w:t>92.</w:t>
      </w:r>
      <w:r w:rsidRPr="00F82F28">
        <w:rPr>
          <w:lang w:val="fr-FR"/>
        </w:rPr>
        <w:tab/>
      </w:r>
      <w:r>
        <w:rPr>
          <w:lang w:val="fr-FR"/>
        </w:rPr>
        <w:t xml:space="preserve">Compte tenu </w:t>
      </w:r>
      <w:r w:rsidRPr="00F82F28">
        <w:rPr>
          <w:lang w:val="fr-FR"/>
        </w:rPr>
        <w:t>de la confirmation par le Sous-Comité du fait que les vaccins considérés dans le cas de la COVID-19 n</w:t>
      </w:r>
      <w:r w:rsidR="000B2B75">
        <w:rPr>
          <w:lang w:val="fr-FR"/>
        </w:rPr>
        <w:t>’</w:t>
      </w:r>
      <w:r w:rsidRPr="00F82F28">
        <w:rPr>
          <w:lang w:val="fr-FR"/>
        </w:rPr>
        <w:t>entraient pas dans le champ d</w:t>
      </w:r>
      <w:r w:rsidR="000B2B75">
        <w:rPr>
          <w:lang w:val="fr-FR"/>
        </w:rPr>
        <w:t>’</w:t>
      </w:r>
      <w:r w:rsidRPr="00F82F28">
        <w:rPr>
          <w:lang w:val="fr-FR"/>
        </w:rPr>
        <w:t>application du Règlement type de l</w:t>
      </w:r>
      <w:r w:rsidR="000B2B75">
        <w:rPr>
          <w:lang w:val="fr-FR"/>
        </w:rPr>
        <w:t>’</w:t>
      </w:r>
      <w:r w:rsidRPr="00F82F28">
        <w:rPr>
          <w:lang w:val="fr-FR"/>
        </w:rPr>
        <w:t xml:space="preserve">ONU, et compte tenu </w:t>
      </w:r>
      <w:r>
        <w:rPr>
          <w:lang w:val="fr-FR"/>
        </w:rPr>
        <w:t xml:space="preserve">en outre </w:t>
      </w:r>
      <w:r w:rsidRPr="00F82F28">
        <w:rPr>
          <w:lang w:val="fr-FR"/>
        </w:rPr>
        <w:t>de la sécurité des vaccins, il a été proposé par l</w:t>
      </w:r>
      <w:r w:rsidR="000B2B75">
        <w:rPr>
          <w:lang w:val="fr-FR"/>
        </w:rPr>
        <w:t>’</w:t>
      </w:r>
      <w:r w:rsidRPr="00F82F28">
        <w:rPr>
          <w:lang w:val="fr-FR"/>
        </w:rPr>
        <w:t>OMS et l</w:t>
      </w:r>
      <w:r w:rsidR="000B2B75">
        <w:rPr>
          <w:lang w:val="fr-FR"/>
        </w:rPr>
        <w:t>’</w:t>
      </w:r>
      <w:r w:rsidRPr="00F82F28">
        <w:rPr>
          <w:lang w:val="fr-FR"/>
        </w:rPr>
        <w:t>OACI de recommander vivement à tous les États Membres d</w:t>
      </w:r>
      <w:r w:rsidR="000B2B75">
        <w:rPr>
          <w:lang w:val="fr-FR"/>
        </w:rPr>
        <w:t>’</w:t>
      </w:r>
      <w:r w:rsidRPr="00F82F28">
        <w:rPr>
          <w:lang w:val="fr-FR"/>
        </w:rPr>
        <w:t>exempter les vaccins à base de MGM des dispositions relatives aux marchandises dangereuses dans le cas où le vaccin était en phase d</w:t>
      </w:r>
      <w:r w:rsidR="000B2B75">
        <w:rPr>
          <w:lang w:val="fr-FR"/>
        </w:rPr>
        <w:t>’</w:t>
      </w:r>
      <w:r w:rsidRPr="00F82F28">
        <w:rPr>
          <w:lang w:val="fr-FR"/>
        </w:rPr>
        <w:t>essai clinique autorisée avant son autorisation finale par les autorités réglementaires nationales.</w:t>
      </w:r>
    </w:p>
    <w:p w14:paraId="77801D50" w14:textId="38FC21E3" w:rsidR="00026B0E" w:rsidRPr="007F3B53" w:rsidRDefault="00026B0E" w:rsidP="00026B0E">
      <w:pPr>
        <w:pStyle w:val="SingleTxtG"/>
        <w:rPr>
          <w:lang w:val="fr-FR"/>
        </w:rPr>
      </w:pPr>
      <w:r w:rsidRPr="00F82F28">
        <w:rPr>
          <w:lang w:val="fr-FR"/>
        </w:rPr>
        <w:t>93.</w:t>
      </w:r>
      <w:r w:rsidRPr="00F82F28">
        <w:rPr>
          <w:lang w:val="fr-FR"/>
        </w:rPr>
        <w:tab/>
      </w:r>
      <w:r>
        <w:rPr>
          <w:lang w:val="fr-FR"/>
        </w:rPr>
        <w:t>Le Sous-Comité</w:t>
      </w:r>
      <w:r w:rsidRPr="00F82F28">
        <w:rPr>
          <w:lang w:val="fr-FR"/>
        </w:rPr>
        <w:t xml:space="preserve"> a convenu que les vaccins à base de MGM dont l</w:t>
      </w:r>
      <w:r w:rsidR="000B2B75">
        <w:rPr>
          <w:lang w:val="fr-FR"/>
        </w:rPr>
        <w:t>’</w:t>
      </w:r>
      <w:r w:rsidRPr="00F82F28">
        <w:rPr>
          <w:lang w:val="fr-FR"/>
        </w:rPr>
        <w:t>utilisation était autorisée, y compris ceux qui étaient employés dans le cadre d</w:t>
      </w:r>
      <w:r w:rsidR="000B2B75">
        <w:rPr>
          <w:lang w:val="fr-FR"/>
        </w:rPr>
        <w:t>’</w:t>
      </w:r>
      <w:r w:rsidRPr="00F82F28">
        <w:rPr>
          <w:lang w:val="fr-FR"/>
        </w:rPr>
        <w:t>essais cliniques, ne faisaient pas l</w:t>
      </w:r>
      <w:r w:rsidR="000B2B75">
        <w:rPr>
          <w:lang w:val="fr-FR"/>
        </w:rPr>
        <w:t>’</w:t>
      </w:r>
      <w:r w:rsidRPr="00F82F28">
        <w:rPr>
          <w:lang w:val="fr-FR"/>
        </w:rPr>
        <w:t>objet du Règlement type dans sa version actuelle.</w:t>
      </w:r>
    </w:p>
    <w:p w14:paraId="08F17FC0" w14:textId="6EB9EFC9" w:rsidR="00026B0E" w:rsidRPr="007F3B53" w:rsidRDefault="00026B0E" w:rsidP="00D02483">
      <w:pPr>
        <w:pStyle w:val="H1G"/>
        <w:rPr>
          <w:lang w:val="fr-FR"/>
        </w:rPr>
      </w:pPr>
      <w:r>
        <w:rPr>
          <w:lang w:val="fr-FR"/>
        </w:rPr>
        <w:tab/>
      </w:r>
      <w:r w:rsidRPr="00F82F28">
        <w:rPr>
          <w:lang w:val="fr-FR"/>
        </w:rPr>
        <w:t>B.</w:t>
      </w:r>
      <w:r w:rsidRPr="00F82F28">
        <w:rPr>
          <w:lang w:val="fr-FR"/>
        </w:rPr>
        <w:tab/>
      </w:r>
      <w:r w:rsidRPr="00F473C1">
        <w:rPr>
          <w:lang w:val="fr-FR"/>
        </w:rPr>
        <w:t>Demande d</w:t>
      </w:r>
      <w:r w:rsidR="000B2B75">
        <w:rPr>
          <w:lang w:val="fr-FR"/>
        </w:rPr>
        <w:t>’</w:t>
      </w:r>
      <w:r w:rsidRPr="00F473C1">
        <w:rPr>
          <w:lang w:val="fr-FR"/>
        </w:rPr>
        <w:t xml:space="preserve">une enquête pour </w:t>
      </w:r>
      <w:r w:rsidRPr="00F82F28">
        <w:rPr>
          <w:lang w:val="fr-FR"/>
        </w:rPr>
        <w:t>mieux cerner les besoins mondiaux en</w:t>
      </w:r>
      <w:r w:rsidR="00BD0A5A">
        <w:rPr>
          <w:lang w:val="fr-FR"/>
        </w:rPr>
        <w:t> </w:t>
      </w:r>
      <w:r w:rsidRPr="00F82F28">
        <w:rPr>
          <w:lang w:val="fr-FR"/>
        </w:rPr>
        <w:t>matière de formation sur les marchandises dangereuses</w:t>
      </w:r>
    </w:p>
    <w:p w14:paraId="33BE9BA1"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4D3879">
        <w:rPr>
          <w:i/>
          <w:iCs/>
          <w:lang w:val="fr-FR"/>
        </w:rPr>
        <w:t> </w:t>
      </w:r>
      <w:r w:rsidRPr="00F82F28">
        <w:rPr>
          <w:i/>
          <w:iCs/>
          <w:lang w:val="fr-FR"/>
        </w:rPr>
        <w:t>:</w:t>
      </w:r>
      <w:r w:rsidRPr="00F82F28">
        <w:rPr>
          <w:lang w:val="fr-FR"/>
        </w:rPr>
        <w:tab/>
        <w:t>ST/SG/AC.10/C.3/2020/55 (MDBTC et DGTA)</w:t>
      </w:r>
    </w:p>
    <w:p w14:paraId="32652FC7" w14:textId="6439E3F0" w:rsidR="00026B0E" w:rsidRPr="007F3B53" w:rsidRDefault="00026B0E" w:rsidP="00026B0E">
      <w:pPr>
        <w:pStyle w:val="SingleTxtG"/>
        <w:rPr>
          <w:lang w:val="fr-FR"/>
        </w:rPr>
      </w:pPr>
      <w:r w:rsidRPr="00F82F28">
        <w:rPr>
          <w:lang w:val="fr-FR"/>
        </w:rPr>
        <w:t>94.</w:t>
      </w:r>
      <w:r w:rsidRPr="00F82F28">
        <w:rPr>
          <w:lang w:val="fr-FR"/>
        </w:rPr>
        <w:tab/>
        <w:t>Il a été décidé de reporter l</w:t>
      </w:r>
      <w:r w:rsidR="000B2B75">
        <w:rPr>
          <w:lang w:val="fr-FR"/>
        </w:rPr>
        <w:t>’</w:t>
      </w:r>
      <w:r w:rsidRPr="00F82F28">
        <w:rPr>
          <w:lang w:val="fr-FR"/>
        </w:rPr>
        <w:t>examen de cette question à la prochaine période biennale.</w:t>
      </w:r>
    </w:p>
    <w:p w14:paraId="6EE6B949" w14:textId="09AB5A3F" w:rsidR="00026B0E" w:rsidRPr="007F3B53" w:rsidRDefault="00026B0E" w:rsidP="00D02483">
      <w:pPr>
        <w:pStyle w:val="H1G"/>
        <w:rPr>
          <w:lang w:val="fr-FR"/>
        </w:rPr>
      </w:pPr>
      <w:r>
        <w:rPr>
          <w:lang w:val="fr-FR"/>
        </w:rPr>
        <w:tab/>
      </w:r>
      <w:r w:rsidRPr="00F82F28">
        <w:rPr>
          <w:lang w:val="fr-FR"/>
        </w:rPr>
        <w:t>C.</w:t>
      </w:r>
      <w:r w:rsidRPr="00F82F28">
        <w:rPr>
          <w:lang w:val="fr-FR"/>
        </w:rPr>
        <w:tab/>
        <w:t xml:space="preserve">Enquête visant à mieux cerner les </w:t>
      </w:r>
      <w:r w:rsidRPr="00F473C1">
        <w:rPr>
          <w:lang w:val="fr-FR"/>
        </w:rPr>
        <w:t>exigences en matière de formation sur les marchandises dangereuses à l</w:t>
      </w:r>
      <w:r w:rsidR="000B2B75">
        <w:rPr>
          <w:lang w:val="fr-FR"/>
        </w:rPr>
        <w:t>’</w:t>
      </w:r>
      <w:r w:rsidRPr="00F473C1">
        <w:rPr>
          <w:lang w:val="fr-FR"/>
        </w:rPr>
        <w:t>échelle mondiale</w:t>
      </w:r>
    </w:p>
    <w:p w14:paraId="245F171D"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ST/SG/AC.10/C.3/2020/66 (MDBTC et DGTA)</w:t>
      </w:r>
      <w:r>
        <w:rPr>
          <w:lang w:val="fr-FR"/>
        </w:rPr>
        <w:t>.</w:t>
      </w:r>
    </w:p>
    <w:p w14:paraId="6F067518" w14:textId="54FB7A13" w:rsidR="00026B0E" w:rsidRPr="007F3B53" w:rsidRDefault="00026B0E" w:rsidP="00026B0E">
      <w:pPr>
        <w:pStyle w:val="SingleTxtG"/>
        <w:rPr>
          <w:lang w:val="fr-FR"/>
        </w:rPr>
      </w:pPr>
      <w:r w:rsidRPr="00F82F28">
        <w:rPr>
          <w:lang w:val="fr-FR"/>
        </w:rPr>
        <w:t>95.</w:t>
      </w:r>
      <w:r w:rsidRPr="00F82F28">
        <w:rPr>
          <w:lang w:val="fr-FR"/>
        </w:rPr>
        <w:tab/>
        <w:t>L</w:t>
      </w:r>
      <w:r w:rsidR="000B2B75">
        <w:rPr>
          <w:lang w:val="fr-FR"/>
        </w:rPr>
        <w:t>’</w:t>
      </w:r>
      <w:r w:rsidRPr="00F82F28">
        <w:rPr>
          <w:lang w:val="fr-FR"/>
        </w:rPr>
        <w:t>expert de la DGTA a souligné l</w:t>
      </w:r>
      <w:r w:rsidR="000B2B75">
        <w:rPr>
          <w:lang w:val="fr-FR"/>
        </w:rPr>
        <w:t>’</w:t>
      </w:r>
      <w:r w:rsidRPr="00F82F28">
        <w:rPr>
          <w:lang w:val="fr-FR"/>
        </w:rPr>
        <w:t>importance d</w:t>
      </w:r>
      <w:r w:rsidR="000B2B75">
        <w:rPr>
          <w:lang w:val="fr-FR"/>
        </w:rPr>
        <w:t>’</w:t>
      </w:r>
      <w:r w:rsidRPr="00F82F28">
        <w:rPr>
          <w:lang w:val="fr-FR"/>
        </w:rPr>
        <w:t>une formation efficace, dans le monde entier, du personnel intervenant dans le transport des marchandises dangereuses et il a informé le Sous-Comité qu</w:t>
      </w:r>
      <w:r w:rsidR="000B2B75">
        <w:rPr>
          <w:lang w:val="fr-FR"/>
        </w:rPr>
        <w:t>’</w:t>
      </w:r>
      <w:r w:rsidRPr="00F82F28">
        <w:rPr>
          <w:lang w:val="fr-FR"/>
        </w:rPr>
        <w:t xml:space="preserve">une enquête était en cours à ce sujet. Il a invité toutes les délégations à répondre </w:t>
      </w:r>
      <w:r>
        <w:rPr>
          <w:lang w:val="fr-FR"/>
        </w:rPr>
        <w:t xml:space="preserve">à </w:t>
      </w:r>
      <w:r w:rsidRPr="00F82F28">
        <w:rPr>
          <w:lang w:val="fr-FR"/>
        </w:rPr>
        <w:t>cette enquête d</w:t>
      </w:r>
      <w:r w:rsidR="000B2B75">
        <w:rPr>
          <w:lang w:val="fr-FR"/>
        </w:rPr>
        <w:t>’</w:t>
      </w:r>
      <w:r w:rsidRPr="00F82F28">
        <w:rPr>
          <w:lang w:val="fr-FR"/>
        </w:rPr>
        <w:t>ici à mars 2021 ou à diffuser le lien au sein de leur organisation. Il s</w:t>
      </w:r>
      <w:r w:rsidR="000B2B75">
        <w:rPr>
          <w:lang w:val="fr-FR"/>
        </w:rPr>
        <w:t>’</w:t>
      </w:r>
      <w:r w:rsidRPr="00F82F28">
        <w:rPr>
          <w:lang w:val="fr-FR"/>
        </w:rPr>
        <w:t>est porté volontaire pour faire un compte rendu des résultats de l</w:t>
      </w:r>
      <w:r w:rsidR="000B2B75">
        <w:rPr>
          <w:lang w:val="fr-FR"/>
        </w:rPr>
        <w:t>’</w:t>
      </w:r>
      <w:r w:rsidRPr="00F82F28">
        <w:rPr>
          <w:lang w:val="fr-FR"/>
        </w:rPr>
        <w:t>enquête au Sous-Comité lors d</w:t>
      </w:r>
      <w:r w:rsidR="000B2B75">
        <w:rPr>
          <w:lang w:val="fr-FR"/>
        </w:rPr>
        <w:t>’</w:t>
      </w:r>
      <w:r w:rsidRPr="00F82F28">
        <w:rPr>
          <w:lang w:val="fr-FR"/>
        </w:rPr>
        <w:t>une prochaine session.</w:t>
      </w:r>
    </w:p>
    <w:p w14:paraId="65C71772" w14:textId="0DD5F58B" w:rsidR="00026B0E" w:rsidRPr="007F3B53" w:rsidRDefault="00026B0E" w:rsidP="00D02483">
      <w:pPr>
        <w:pStyle w:val="HChG"/>
        <w:rPr>
          <w:lang w:val="fr-FR"/>
        </w:rPr>
      </w:pPr>
      <w:r>
        <w:rPr>
          <w:lang w:val="fr-FR"/>
        </w:rPr>
        <w:tab/>
      </w:r>
      <w:r w:rsidRPr="002C029C">
        <w:rPr>
          <w:lang w:val="fr-FR"/>
        </w:rPr>
        <w:t>IX.</w:t>
      </w:r>
      <w:r w:rsidRPr="002C029C">
        <w:rPr>
          <w:lang w:val="fr-FR"/>
        </w:rPr>
        <w:tab/>
        <w:t>Coopération avec l</w:t>
      </w:r>
      <w:r w:rsidR="000B2B75">
        <w:rPr>
          <w:lang w:val="fr-FR"/>
        </w:rPr>
        <w:t>’</w:t>
      </w:r>
      <w:r w:rsidRPr="002C029C">
        <w:rPr>
          <w:lang w:val="fr-FR"/>
        </w:rPr>
        <w:t>Agence internationale de l</w:t>
      </w:r>
      <w:r w:rsidR="000B2B75">
        <w:rPr>
          <w:lang w:val="fr-FR"/>
        </w:rPr>
        <w:t>’</w:t>
      </w:r>
      <w:r w:rsidRPr="002C029C">
        <w:rPr>
          <w:lang w:val="fr-FR"/>
        </w:rPr>
        <w:t>énergie atomique (point 8 de l</w:t>
      </w:r>
      <w:r w:rsidR="000B2B75">
        <w:rPr>
          <w:lang w:val="fr-FR"/>
        </w:rPr>
        <w:t>’</w:t>
      </w:r>
      <w:r w:rsidRPr="002C029C">
        <w:rPr>
          <w:lang w:val="fr-FR"/>
        </w:rPr>
        <w:t>ordre du jour)</w:t>
      </w:r>
    </w:p>
    <w:p w14:paraId="21DB68D3" w14:textId="0F2B9FEA" w:rsidR="00026B0E" w:rsidRPr="007F3B53" w:rsidRDefault="00026B0E" w:rsidP="00D02483">
      <w:pPr>
        <w:pStyle w:val="H1G"/>
        <w:rPr>
          <w:lang w:val="fr-FR"/>
        </w:rPr>
      </w:pPr>
      <w:r>
        <w:rPr>
          <w:lang w:val="fr-FR"/>
        </w:rPr>
        <w:tab/>
      </w:r>
      <w:r w:rsidRPr="00F82F28">
        <w:rPr>
          <w:lang w:val="fr-FR"/>
        </w:rPr>
        <w:t>A.</w:t>
      </w:r>
      <w:r w:rsidRPr="00F82F28">
        <w:rPr>
          <w:lang w:val="fr-FR"/>
        </w:rPr>
        <w:tab/>
        <w:t xml:space="preserve">Références au Règlement de transport </w:t>
      </w:r>
      <w:r w:rsidR="00D02483">
        <w:rPr>
          <w:lang w:val="fr-FR"/>
        </w:rPr>
        <w:br/>
      </w:r>
      <w:r w:rsidRPr="00F82F28">
        <w:rPr>
          <w:lang w:val="fr-FR"/>
        </w:rPr>
        <w:t>des matières radioactives de l</w:t>
      </w:r>
      <w:r w:rsidR="000B2B75">
        <w:rPr>
          <w:lang w:val="fr-FR"/>
        </w:rPr>
        <w:t>’</w:t>
      </w:r>
      <w:r w:rsidRPr="00F82F28">
        <w:rPr>
          <w:lang w:val="fr-FR"/>
        </w:rPr>
        <w:t>AIEA</w:t>
      </w:r>
    </w:p>
    <w:p w14:paraId="79513C84"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r>
      <w:r>
        <w:rPr>
          <w:lang w:val="fr-FR"/>
        </w:rPr>
        <w:tab/>
      </w:r>
      <w:r w:rsidRPr="00F82F28">
        <w:rPr>
          <w:lang w:val="fr-FR"/>
        </w:rPr>
        <w:t>ST/SG/AC.10/C.3/2020/1 (</w:t>
      </w:r>
      <w:r>
        <w:rPr>
          <w:lang w:val="fr-FR"/>
        </w:rPr>
        <w:t>s</w:t>
      </w:r>
      <w:r w:rsidRPr="00F82F28">
        <w:rPr>
          <w:lang w:val="fr-FR"/>
        </w:rPr>
        <w:t>ecrétariat)</w:t>
      </w:r>
      <w:r>
        <w:rPr>
          <w:lang w:val="fr-FR"/>
        </w:rPr>
        <w:t>.</w:t>
      </w:r>
    </w:p>
    <w:p w14:paraId="3C8B9A4D"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INF.24 (</w:t>
      </w:r>
      <w:r>
        <w:rPr>
          <w:lang w:val="fr-FR"/>
        </w:rPr>
        <w:t>s</w:t>
      </w:r>
      <w:r w:rsidRPr="00F82F28">
        <w:rPr>
          <w:lang w:val="fr-FR"/>
        </w:rPr>
        <w:t>ecrétariat)</w:t>
      </w:r>
      <w:r>
        <w:rPr>
          <w:lang w:val="fr-FR"/>
        </w:rPr>
        <w:t>.</w:t>
      </w:r>
    </w:p>
    <w:p w14:paraId="52AB49AC" w14:textId="11034523" w:rsidR="00026B0E" w:rsidRPr="007F3B53" w:rsidRDefault="00026B0E" w:rsidP="00026B0E">
      <w:pPr>
        <w:pStyle w:val="SingleTxtG"/>
        <w:rPr>
          <w:lang w:val="fr-FR"/>
        </w:rPr>
      </w:pPr>
      <w:r w:rsidRPr="00F82F28">
        <w:rPr>
          <w:lang w:val="fr-FR"/>
        </w:rPr>
        <w:t>96.</w:t>
      </w:r>
      <w:r w:rsidRPr="00F82F28">
        <w:rPr>
          <w:lang w:val="fr-FR"/>
        </w:rPr>
        <w:tab/>
        <w:t>Le Sous-Comité a adopté les amendements et la correction proposés dans le document ST/SG/AC.10/C.3/2020/1, tels que modifiés par le document informel INF.24 (voir annexes</w:t>
      </w:r>
      <w:r w:rsidR="00262927">
        <w:rPr>
          <w:lang w:val="fr-FR"/>
        </w:rPr>
        <w:t> </w:t>
      </w:r>
      <w:r w:rsidRPr="00F82F28">
        <w:rPr>
          <w:lang w:val="fr-FR"/>
        </w:rPr>
        <w:t>I et IV). Il a été précisé que les changements correspondants avaient déjà été inclus dans le RID, l</w:t>
      </w:r>
      <w:r w:rsidR="000B2B75">
        <w:rPr>
          <w:lang w:val="fr-FR"/>
        </w:rPr>
        <w:t>’</w:t>
      </w:r>
      <w:r w:rsidRPr="00F82F28">
        <w:rPr>
          <w:lang w:val="fr-FR"/>
        </w:rPr>
        <w:t>ADR et l</w:t>
      </w:r>
      <w:r w:rsidR="000B2B75">
        <w:rPr>
          <w:lang w:val="fr-FR"/>
        </w:rPr>
        <w:t>’</w:t>
      </w:r>
      <w:r w:rsidRPr="00F82F28">
        <w:rPr>
          <w:lang w:val="fr-FR"/>
        </w:rPr>
        <w:t>ADN.</w:t>
      </w:r>
    </w:p>
    <w:p w14:paraId="10363330" w14:textId="5B439DC1" w:rsidR="00026B0E" w:rsidRPr="007F3B53" w:rsidRDefault="00026B0E" w:rsidP="00D02483">
      <w:pPr>
        <w:pStyle w:val="H1G"/>
        <w:rPr>
          <w:lang w:val="fr-FR"/>
        </w:rPr>
      </w:pPr>
      <w:r>
        <w:rPr>
          <w:lang w:val="fr-FR"/>
        </w:rPr>
        <w:tab/>
      </w:r>
      <w:r w:rsidRPr="00F82F28">
        <w:rPr>
          <w:lang w:val="fr-FR"/>
        </w:rPr>
        <w:t>B.</w:t>
      </w:r>
      <w:r w:rsidRPr="00F82F28">
        <w:rPr>
          <w:lang w:val="fr-FR"/>
        </w:rPr>
        <w:tab/>
        <w:t xml:space="preserve">Harmonisation avec le Règlement de transport </w:t>
      </w:r>
      <w:r w:rsidR="00262927">
        <w:rPr>
          <w:lang w:val="fr-FR"/>
        </w:rPr>
        <w:br/>
      </w:r>
      <w:r w:rsidRPr="00F82F28">
        <w:rPr>
          <w:lang w:val="fr-FR"/>
        </w:rPr>
        <w:t>des matières radioactives de l</w:t>
      </w:r>
      <w:r w:rsidR="000B2B75">
        <w:rPr>
          <w:lang w:val="fr-FR"/>
        </w:rPr>
        <w:t>’</w:t>
      </w:r>
      <w:r w:rsidRPr="00F82F28">
        <w:rPr>
          <w:lang w:val="fr-FR"/>
        </w:rPr>
        <w:t>AIEA</w:t>
      </w:r>
    </w:p>
    <w:p w14:paraId="0A567AE7"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INF.30 (A</w:t>
      </w:r>
      <w:r>
        <w:rPr>
          <w:lang w:val="fr-FR"/>
        </w:rPr>
        <w:t>I</w:t>
      </w:r>
      <w:r w:rsidRPr="00F82F28">
        <w:rPr>
          <w:lang w:val="fr-FR"/>
        </w:rPr>
        <w:t>EA)</w:t>
      </w:r>
      <w:r>
        <w:rPr>
          <w:lang w:val="fr-FR"/>
        </w:rPr>
        <w:t>.</w:t>
      </w:r>
    </w:p>
    <w:p w14:paraId="32B5A7D1" w14:textId="697D0ADB" w:rsidR="00026B0E" w:rsidRPr="007F3B53" w:rsidRDefault="00026B0E" w:rsidP="00026B0E">
      <w:pPr>
        <w:pStyle w:val="SingleTxtG"/>
        <w:rPr>
          <w:lang w:val="fr-FR"/>
        </w:rPr>
      </w:pPr>
      <w:r w:rsidRPr="00F82F28">
        <w:rPr>
          <w:lang w:val="fr-FR"/>
        </w:rPr>
        <w:t>97.</w:t>
      </w:r>
      <w:r w:rsidRPr="00F82F28">
        <w:rPr>
          <w:lang w:val="fr-FR"/>
        </w:rPr>
        <w:tab/>
        <w:t>Le Sous-Comité a fait remarquer que l</w:t>
      </w:r>
      <w:r w:rsidR="000B2B75">
        <w:rPr>
          <w:lang w:val="fr-FR"/>
        </w:rPr>
        <w:t>’</w:t>
      </w:r>
      <w:r w:rsidRPr="00F82F28">
        <w:rPr>
          <w:lang w:val="fr-FR"/>
        </w:rPr>
        <w:t xml:space="preserve">adoption des amendements proposés avait été </w:t>
      </w:r>
      <w:r>
        <w:rPr>
          <w:lang w:val="fr-FR"/>
        </w:rPr>
        <w:t xml:space="preserve">oubliée </w:t>
      </w:r>
      <w:r w:rsidRPr="00F82F28">
        <w:rPr>
          <w:lang w:val="fr-FR"/>
        </w:rPr>
        <w:t>lors de l</w:t>
      </w:r>
      <w:r w:rsidR="000B2B75">
        <w:rPr>
          <w:lang w:val="fr-FR"/>
        </w:rPr>
        <w:t>’</w:t>
      </w:r>
      <w:r w:rsidRPr="00F82F28">
        <w:rPr>
          <w:lang w:val="fr-FR"/>
        </w:rPr>
        <w:t>harmonisation de la vingt et unième édition révisée du Règlement type avec l</w:t>
      </w:r>
      <w:r w:rsidR="000B2B75">
        <w:rPr>
          <w:lang w:val="fr-FR"/>
        </w:rPr>
        <w:t>’</w:t>
      </w:r>
      <w:r w:rsidRPr="00F82F28">
        <w:rPr>
          <w:lang w:val="fr-FR"/>
        </w:rPr>
        <w:t>édition de 2018 du Règlement de transport des matières radioactives de l</w:t>
      </w:r>
      <w:r w:rsidR="000B2B75">
        <w:rPr>
          <w:lang w:val="fr-FR"/>
        </w:rPr>
        <w:t>’</w:t>
      </w:r>
      <w:r w:rsidRPr="00F82F28">
        <w:rPr>
          <w:lang w:val="fr-FR"/>
        </w:rPr>
        <w:t>AIEA. Il a adopté ces amendements (voir annexe I).</w:t>
      </w:r>
    </w:p>
    <w:p w14:paraId="7DF3C3BB" w14:textId="5D647F8D" w:rsidR="00026B0E" w:rsidRPr="007F3B53" w:rsidRDefault="00026B0E" w:rsidP="00D02483">
      <w:pPr>
        <w:pStyle w:val="HChG"/>
        <w:rPr>
          <w:lang w:val="fr-FR"/>
        </w:rPr>
      </w:pPr>
      <w:r>
        <w:rPr>
          <w:lang w:val="fr-FR"/>
        </w:rPr>
        <w:lastRenderedPageBreak/>
        <w:tab/>
      </w:r>
      <w:r w:rsidRPr="002C029C">
        <w:rPr>
          <w:lang w:val="fr-FR"/>
        </w:rPr>
        <w:t>X.</w:t>
      </w:r>
      <w:r w:rsidRPr="002C029C">
        <w:rPr>
          <w:lang w:val="fr-FR"/>
        </w:rPr>
        <w:tab/>
        <w:t xml:space="preserve">Principes directeurs du Règlement type </w:t>
      </w:r>
      <w:r w:rsidR="00D02483">
        <w:rPr>
          <w:lang w:val="fr-FR"/>
        </w:rPr>
        <w:br/>
      </w:r>
      <w:r w:rsidRPr="002C029C">
        <w:rPr>
          <w:lang w:val="fr-FR"/>
        </w:rPr>
        <w:t>(point 9 de l</w:t>
      </w:r>
      <w:r w:rsidR="000B2B75">
        <w:rPr>
          <w:lang w:val="fr-FR"/>
        </w:rPr>
        <w:t>’</w:t>
      </w:r>
      <w:r w:rsidRPr="002C029C">
        <w:rPr>
          <w:lang w:val="fr-FR"/>
        </w:rPr>
        <w:t>ordre du jour)</w:t>
      </w:r>
    </w:p>
    <w:p w14:paraId="0BA8CFBA"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r>
      <w:r>
        <w:rPr>
          <w:lang w:val="fr-FR"/>
        </w:rPr>
        <w:tab/>
      </w:r>
      <w:r w:rsidR="00D02483">
        <w:rPr>
          <w:lang w:val="fr-FR"/>
        </w:rPr>
        <w:t>S</w:t>
      </w:r>
      <w:r w:rsidRPr="00F82F28">
        <w:rPr>
          <w:lang w:val="fr-FR"/>
        </w:rPr>
        <w:t>T/SG/AC.10/C.3/2020/2 (</w:t>
      </w:r>
      <w:r>
        <w:rPr>
          <w:lang w:val="fr-FR"/>
        </w:rPr>
        <w:t>s</w:t>
      </w:r>
      <w:r w:rsidRPr="00F82F28">
        <w:rPr>
          <w:lang w:val="fr-FR"/>
        </w:rPr>
        <w:t>ecrétariat)</w:t>
      </w:r>
      <w:r>
        <w:rPr>
          <w:lang w:val="fr-FR"/>
        </w:rPr>
        <w:t>.</w:t>
      </w:r>
    </w:p>
    <w:p w14:paraId="6635D089"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Documents informels</w:t>
      </w:r>
      <w:r w:rsidR="001A6A7E">
        <w:rPr>
          <w:i/>
          <w:iCs/>
          <w:lang w:val="fr-FR"/>
        </w:rPr>
        <w:t> </w:t>
      </w:r>
      <w:r w:rsidRPr="00F82F28">
        <w:rPr>
          <w:i/>
          <w:iCs/>
          <w:lang w:val="fr-FR"/>
        </w:rPr>
        <w:t>:</w:t>
      </w:r>
      <w:r w:rsidRPr="00F82F28">
        <w:rPr>
          <w:lang w:val="fr-FR"/>
        </w:rPr>
        <w:tab/>
        <w:t>INF.3 et INF.37 (</w:t>
      </w:r>
      <w:r>
        <w:rPr>
          <w:lang w:val="fr-FR"/>
        </w:rPr>
        <w:t>s</w:t>
      </w:r>
      <w:r w:rsidRPr="00F82F28">
        <w:rPr>
          <w:lang w:val="fr-FR"/>
        </w:rPr>
        <w:t>ecrétariat)</w:t>
      </w:r>
      <w:r>
        <w:rPr>
          <w:lang w:val="fr-FR"/>
        </w:rPr>
        <w:t>.</w:t>
      </w:r>
    </w:p>
    <w:p w14:paraId="398DF9ED" w14:textId="321BA9FD" w:rsidR="00026B0E" w:rsidRPr="007F3B53" w:rsidRDefault="00026B0E" w:rsidP="00026B0E">
      <w:pPr>
        <w:pStyle w:val="SingleTxtG"/>
        <w:rPr>
          <w:lang w:val="fr-FR"/>
        </w:rPr>
      </w:pPr>
      <w:r w:rsidRPr="00F82F28">
        <w:rPr>
          <w:lang w:val="fr-FR"/>
        </w:rPr>
        <w:t>98.</w:t>
      </w:r>
      <w:r w:rsidRPr="00F82F28">
        <w:rPr>
          <w:lang w:val="fr-FR"/>
        </w:rPr>
        <w:tab/>
        <w:t>Le Sous-Comité a rappelé la raison d</w:t>
      </w:r>
      <w:r w:rsidR="000B2B75">
        <w:rPr>
          <w:lang w:val="fr-FR"/>
        </w:rPr>
        <w:t>’</w:t>
      </w:r>
      <w:r w:rsidRPr="00F82F28">
        <w:rPr>
          <w:lang w:val="fr-FR"/>
        </w:rPr>
        <w:t xml:space="preserve">être des </w:t>
      </w:r>
      <w:r>
        <w:rPr>
          <w:lang w:val="fr-FR"/>
        </w:rPr>
        <w:t>P</w:t>
      </w:r>
      <w:r w:rsidRPr="00F82F28">
        <w:rPr>
          <w:lang w:val="fr-FR"/>
        </w:rPr>
        <w:t xml:space="preserve">rincipes directeurs et souligné la nécessité de les revoir régulièrement. Il a signalé que plusieurs observations avaient été formulées sur la plateforme en ligne et incluses dans la proposition. Le Sous-Comité a adopté les propositions de modification des </w:t>
      </w:r>
      <w:r>
        <w:rPr>
          <w:lang w:val="fr-FR"/>
        </w:rPr>
        <w:t>P</w:t>
      </w:r>
      <w:r w:rsidRPr="00F82F28">
        <w:rPr>
          <w:lang w:val="fr-FR"/>
        </w:rPr>
        <w:t>rincipes directeurs, telles qu</w:t>
      </w:r>
      <w:r w:rsidR="000B2B75">
        <w:rPr>
          <w:lang w:val="fr-FR"/>
        </w:rPr>
        <w:t>’</w:t>
      </w:r>
      <w:r w:rsidRPr="00F82F28">
        <w:rPr>
          <w:lang w:val="fr-FR"/>
        </w:rPr>
        <w:t>elles figurent dans le document informel INF.37, pour publication sur le site Web de la CEE.</w:t>
      </w:r>
    </w:p>
    <w:p w14:paraId="16B9D0FE" w14:textId="5C9986FE" w:rsidR="00026B0E" w:rsidRPr="007F3B53" w:rsidRDefault="00026B0E" w:rsidP="00D02483">
      <w:pPr>
        <w:pStyle w:val="HChG"/>
        <w:rPr>
          <w:szCs w:val="28"/>
          <w:lang w:val="fr-FR"/>
        </w:rPr>
      </w:pPr>
      <w:r>
        <w:rPr>
          <w:lang w:val="fr-FR"/>
        </w:rPr>
        <w:tab/>
      </w:r>
      <w:r w:rsidRPr="002C029C">
        <w:rPr>
          <w:szCs w:val="28"/>
          <w:lang w:val="fr-FR"/>
        </w:rPr>
        <w:t>XI.</w:t>
      </w:r>
      <w:r w:rsidRPr="002C029C">
        <w:rPr>
          <w:szCs w:val="28"/>
          <w:lang w:val="fr-FR"/>
        </w:rPr>
        <w:tab/>
      </w:r>
      <w:r w:rsidRPr="002C029C">
        <w:rPr>
          <w:bCs/>
          <w:szCs w:val="28"/>
          <w:lang w:val="fr-FR"/>
        </w:rPr>
        <w:t xml:space="preserve">Nouvelles propositions (point </w:t>
      </w:r>
      <w:r w:rsidRPr="00D02483">
        <w:rPr>
          <w:lang w:val="fr-FR"/>
        </w:rPr>
        <w:t>10</w:t>
      </w:r>
      <w:r w:rsidRPr="002C029C">
        <w:rPr>
          <w:bCs/>
          <w:szCs w:val="28"/>
          <w:lang w:val="fr-FR"/>
        </w:rPr>
        <w:t xml:space="preserve"> de l</w:t>
      </w:r>
      <w:r w:rsidR="000B2B75">
        <w:rPr>
          <w:bCs/>
          <w:szCs w:val="28"/>
          <w:lang w:val="fr-FR"/>
        </w:rPr>
        <w:t>’</w:t>
      </w:r>
      <w:r w:rsidRPr="002C029C">
        <w:rPr>
          <w:bCs/>
          <w:szCs w:val="28"/>
          <w:lang w:val="fr-FR"/>
        </w:rPr>
        <w:t>ordre du jour)</w:t>
      </w:r>
    </w:p>
    <w:p w14:paraId="71935638" w14:textId="77777777" w:rsidR="00026B0E" w:rsidRPr="007F3B53" w:rsidRDefault="00026B0E" w:rsidP="00D02483">
      <w:pPr>
        <w:pStyle w:val="H1G"/>
        <w:rPr>
          <w:lang w:val="fr-FR"/>
        </w:rPr>
      </w:pPr>
      <w:r>
        <w:rPr>
          <w:lang w:val="fr-FR"/>
        </w:rPr>
        <w:tab/>
      </w:r>
      <w:r w:rsidRPr="00F82F28">
        <w:rPr>
          <w:lang w:val="fr-FR"/>
        </w:rPr>
        <w:t>A.</w:t>
      </w:r>
      <w:r w:rsidRPr="00F82F28">
        <w:rPr>
          <w:lang w:val="fr-FR"/>
        </w:rPr>
        <w:tab/>
        <w:t xml:space="preserve">Amendements aux dispositions spéciales 172 et 290 du </w:t>
      </w:r>
      <w:r w:rsidRPr="001C5EA7">
        <w:rPr>
          <w:lang w:val="fr-FR"/>
        </w:rPr>
        <w:t>chapitre 3.3 du Règlement type pour le transport des marchandises dangereuses</w:t>
      </w:r>
    </w:p>
    <w:p w14:paraId="3C5F9A28"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ST/SG/AC.10/C.3/2020/63 (Allemagne)</w:t>
      </w:r>
      <w:r>
        <w:rPr>
          <w:lang w:val="fr-FR"/>
        </w:rPr>
        <w:t>.</w:t>
      </w:r>
    </w:p>
    <w:p w14:paraId="3AA9B517" w14:textId="41C312B0" w:rsidR="00026B0E" w:rsidRPr="007F3B53" w:rsidRDefault="00026B0E" w:rsidP="00026B0E">
      <w:pPr>
        <w:pStyle w:val="SingleTxtG"/>
        <w:rPr>
          <w:lang w:val="fr-FR"/>
        </w:rPr>
      </w:pPr>
      <w:r w:rsidRPr="00F82F28">
        <w:rPr>
          <w:lang w:val="fr-FR"/>
        </w:rPr>
        <w:t>99.</w:t>
      </w:r>
      <w:r w:rsidRPr="00F82F28">
        <w:rPr>
          <w:lang w:val="fr-FR"/>
        </w:rPr>
        <w:tab/>
        <w:t>L</w:t>
      </w:r>
      <w:r w:rsidR="000B2B75">
        <w:rPr>
          <w:lang w:val="fr-FR"/>
        </w:rPr>
        <w:t>’</w:t>
      </w:r>
      <w:r w:rsidRPr="00F82F28">
        <w:rPr>
          <w:lang w:val="fr-FR"/>
        </w:rPr>
        <w:t>experte de l</w:t>
      </w:r>
      <w:r w:rsidR="000B2B75">
        <w:rPr>
          <w:lang w:val="fr-FR"/>
        </w:rPr>
        <w:t>’</w:t>
      </w:r>
      <w:r w:rsidRPr="00F82F28">
        <w:rPr>
          <w:lang w:val="fr-FR"/>
        </w:rPr>
        <w:t>Allemagne a annoncé son intention d</w:t>
      </w:r>
      <w:r w:rsidR="000B2B75">
        <w:rPr>
          <w:lang w:val="fr-FR"/>
        </w:rPr>
        <w:t>’</w:t>
      </w:r>
      <w:r w:rsidRPr="00F82F28">
        <w:rPr>
          <w:lang w:val="fr-FR"/>
        </w:rPr>
        <w:t>établir pour la prochaine session une version révisée du document sur la base des observations formulées.</w:t>
      </w:r>
    </w:p>
    <w:p w14:paraId="1B9514EA" w14:textId="31EC4405" w:rsidR="00026B0E" w:rsidRPr="007F3B53" w:rsidRDefault="00026B0E" w:rsidP="00D02483">
      <w:pPr>
        <w:pStyle w:val="H1G"/>
        <w:rPr>
          <w:lang w:val="fr-FR"/>
        </w:rPr>
      </w:pPr>
      <w:r>
        <w:rPr>
          <w:lang w:val="fr-FR"/>
        </w:rPr>
        <w:tab/>
      </w:r>
      <w:r w:rsidRPr="00F82F28">
        <w:rPr>
          <w:lang w:val="fr-FR"/>
        </w:rPr>
        <w:t>B.</w:t>
      </w:r>
      <w:r w:rsidRPr="00F82F28">
        <w:rPr>
          <w:lang w:val="fr-FR"/>
        </w:rPr>
        <w:tab/>
        <w:t>Critères d</w:t>
      </w:r>
      <w:r w:rsidR="000B2B75">
        <w:rPr>
          <w:lang w:val="fr-FR"/>
        </w:rPr>
        <w:t>’</w:t>
      </w:r>
      <w:r w:rsidRPr="00F82F28">
        <w:rPr>
          <w:lang w:val="fr-FR"/>
        </w:rPr>
        <w:t>acceptation applicables pour l</w:t>
      </w:r>
      <w:r w:rsidR="000B2B75">
        <w:rPr>
          <w:lang w:val="fr-FR"/>
        </w:rPr>
        <w:t>’</w:t>
      </w:r>
      <w:r w:rsidRPr="00F82F28">
        <w:rPr>
          <w:lang w:val="fr-FR"/>
        </w:rPr>
        <w:t>épreuve de levage par le haut pour les grands emballages en bois et les grands emballages en carton</w:t>
      </w:r>
    </w:p>
    <w:p w14:paraId="41501B84"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ST/SG/AC.10/C.3/2020/64 (Allemagne)</w:t>
      </w:r>
      <w:r>
        <w:rPr>
          <w:lang w:val="fr-FR"/>
        </w:rPr>
        <w:t>.</w:t>
      </w:r>
    </w:p>
    <w:p w14:paraId="393C6DDF" w14:textId="5D834C06" w:rsidR="00026B0E" w:rsidRPr="007F3B53" w:rsidRDefault="00026B0E" w:rsidP="00026B0E">
      <w:pPr>
        <w:pStyle w:val="SingleTxtG"/>
        <w:rPr>
          <w:lang w:val="fr-FR"/>
        </w:rPr>
      </w:pPr>
      <w:r w:rsidRPr="00F82F28">
        <w:rPr>
          <w:lang w:val="fr-FR"/>
        </w:rPr>
        <w:t>100.</w:t>
      </w:r>
      <w:r w:rsidRPr="00F82F28">
        <w:rPr>
          <w:lang w:val="fr-FR"/>
        </w:rPr>
        <w:tab/>
        <w:t>L</w:t>
      </w:r>
      <w:r w:rsidR="000B2B75">
        <w:rPr>
          <w:lang w:val="fr-FR"/>
        </w:rPr>
        <w:t>’</w:t>
      </w:r>
      <w:r w:rsidRPr="00F82F28">
        <w:rPr>
          <w:lang w:val="fr-FR"/>
        </w:rPr>
        <w:t>experte de l</w:t>
      </w:r>
      <w:r w:rsidR="000B2B75">
        <w:rPr>
          <w:lang w:val="fr-FR"/>
        </w:rPr>
        <w:t>’</w:t>
      </w:r>
      <w:r w:rsidRPr="00F82F28">
        <w:rPr>
          <w:lang w:val="fr-FR"/>
        </w:rPr>
        <w:t>Allemagne s</w:t>
      </w:r>
      <w:r w:rsidR="000B2B75">
        <w:rPr>
          <w:lang w:val="fr-FR"/>
        </w:rPr>
        <w:t>’</w:t>
      </w:r>
      <w:r w:rsidRPr="00F82F28">
        <w:rPr>
          <w:lang w:val="fr-FR"/>
        </w:rPr>
        <w:t>est portée volontaire pour établir pour la prochaine session une version révisée du document sur la base des observations formulées.</w:t>
      </w:r>
    </w:p>
    <w:p w14:paraId="5E4FD276" w14:textId="77777777" w:rsidR="00026B0E" w:rsidRPr="007F3B53" w:rsidRDefault="00026B0E" w:rsidP="00D02483">
      <w:pPr>
        <w:pStyle w:val="H1G"/>
        <w:rPr>
          <w:lang w:val="fr-FR"/>
        </w:rPr>
      </w:pPr>
      <w:r>
        <w:rPr>
          <w:lang w:val="fr-FR"/>
        </w:rPr>
        <w:tab/>
      </w:r>
      <w:r w:rsidRPr="00F82F28">
        <w:rPr>
          <w:lang w:val="fr-FR"/>
        </w:rPr>
        <w:t>C.</w:t>
      </w:r>
      <w:r w:rsidRPr="00F82F28">
        <w:rPr>
          <w:lang w:val="fr-FR"/>
        </w:rPr>
        <w:tab/>
      </w:r>
      <w:r w:rsidRPr="00F82F28">
        <w:rPr>
          <w:bCs/>
          <w:lang w:val="fr-FR"/>
        </w:rPr>
        <w:t>Précisions sur les instructions P908 et P910</w:t>
      </w:r>
    </w:p>
    <w:p w14:paraId="3749D987"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ST/SG/AC.10/C.3/2020/71 (Belgique)</w:t>
      </w:r>
      <w:r>
        <w:rPr>
          <w:lang w:val="fr-FR"/>
        </w:rPr>
        <w:t>.</w:t>
      </w:r>
    </w:p>
    <w:p w14:paraId="272ACFA9" w14:textId="3FEDE75B" w:rsidR="00026B0E" w:rsidRPr="007F3B53" w:rsidRDefault="00026B0E" w:rsidP="00026B0E">
      <w:pPr>
        <w:pStyle w:val="SingleTxtG"/>
        <w:rPr>
          <w:lang w:val="fr-FR"/>
        </w:rPr>
      </w:pPr>
      <w:r w:rsidRPr="00F82F28">
        <w:rPr>
          <w:lang w:val="fr-FR"/>
        </w:rPr>
        <w:t>101.</w:t>
      </w:r>
      <w:r w:rsidRPr="00F82F28">
        <w:rPr>
          <w:lang w:val="fr-FR"/>
        </w:rPr>
        <w:tab/>
        <w:t>Le Sous-Comité a confirmé que la non-combustibilité devait être évaluée avec le matériau d</w:t>
      </w:r>
      <w:r w:rsidR="000B2B75">
        <w:rPr>
          <w:lang w:val="fr-FR"/>
        </w:rPr>
        <w:t>’</w:t>
      </w:r>
      <w:r w:rsidRPr="00F82F28">
        <w:rPr>
          <w:lang w:val="fr-FR"/>
        </w:rPr>
        <w:t>isolation thermique et le matériau de rembourrage utilisés, mais sans l</w:t>
      </w:r>
      <w:r w:rsidR="000B2B75">
        <w:rPr>
          <w:lang w:val="fr-FR"/>
        </w:rPr>
        <w:t>’</w:t>
      </w:r>
      <w:r w:rsidRPr="00F82F28">
        <w:rPr>
          <w:lang w:val="fr-FR"/>
        </w:rPr>
        <w:t>emballage. L</w:t>
      </w:r>
      <w:r w:rsidR="000B2B75">
        <w:rPr>
          <w:lang w:val="fr-FR"/>
        </w:rPr>
        <w:t>’</w:t>
      </w:r>
      <w:r w:rsidRPr="00F82F28">
        <w:rPr>
          <w:lang w:val="fr-FR"/>
        </w:rPr>
        <w:t>expert de la Belgique s</w:t>
      </w:r>
      <w:r w:rsidR="000B2B75">
        <w:rPr>
          <w:lang w:val="fr-FR"/>
        </w:rPr>
        <w:t>’</w:t>
      </w:r>
      <w:r w:rsidRPr="00F82F28">
        <w:rPr>
          <w:lang w:val="fr-FR"/>
        </w:rPr>
        <w:t>est proposé pour établir une version révisée du document pour la prochaine session.</w:t>
      </w:r>
    </w:p>
    <w:p w14:paraId="306D420A" w14:textId="2D21A1B0" w:rsidR="00026B0E" w:rsidRPr="007F3B53" w:rsidRDefault="00026B0E" w:rsidP="00D02483">
      <w:pPr>
        <w:pStyle w:val="H1G"/>
        <w:rPr>
          <w:lang w:val="fr-FR"/>
        </w:rPr>
      </w:pPr>
      <w:r>
        <w:rPr>
          <w:lang w:val="fr-FR"/>
        </w:rPr>
        <w:tab/>
      </w:r>
      <w:r w:rsidRPr="00F82F28">
        <w:rPr>
          <w:lang w:val="fr-FR"/>
        </w:rPr>
        <w:t>D.</w:t>
      </w:r>
      <w:r w:rsidRPr="00F82F28">
        <w:rPr>
          <w:lang w:val="fr-FR"/>
        </w:rPr>
        <w:tab/>
      </w:r>
      <w:r w:rsidRPr="00F82F28">
        <w:rPr>
          <w:bCs/>
          <w:lang w:val="fr-FR"/>
        </w:rPr>
        <w:t xml:space="preserve">Questions de </w:t>
      </w:r>
      <w:r w:rsidRPr="00D02483">
        <w:rPr>
          <w:lang w:val="fr-FR"/>
        </w:rPr>
        <w:t>l</w:t>
      </w:r>
      <w:r w:rsidR="000B2B75">
        <w:rPr>
          <w:lang w:val="fr-FR"/>
        </w:rPr>
        <w:t>’</w:t>
      </w:r>
      <w:r w:rsidRPr="00D02483">
        <w:rPr>
          <w:lang w:val="fr-FR"/>
        </w:rPr>
        <w:t>Allemagne</w:t>
      </w:r>
      <w:r w:rsidRPr="00F82F28">
        <w:rPr>
          <w:bCs/>
          <w:lang w:val="fr-FR"/>
        </w:rPr>
        <w:t xml:space="preserve"> au sujet des paragraphes 6.7.2.19.5 et</w:t>
      </w:r>
      <w:r w:rsidR="0029643E">
        <w:rPr>
          <w:bCs/>
          <w:lang w:val="fr-FR"/>
        </w:rPr>
        <w:t> </w:t>
      </w:r>
      <w:r w:rsidRPr="00F82F28">
        <w:rPr>
          <w:bCs/>
          <w:lang w:val="fr-FR"/>
        </w:rPr>
        <w:t>6.7.3.15.5 sur l</w:t>
      </w:r>
      <w:r w:rsidR="000B2B75">
        <w:rPr>
          <w:bCs/>
          <w:lang w:val="fr-FR"/>
        </w:rPr>
        <w:t>’</w:t>
      </w:r>
      <w:r w:rsidRPr="00F82F28">
        <w:rPr>
          <w:bCs/>
          <w:lang w:val="fr-FR"/>
        </w:rPr>
        <w:t>omission de l</w:t>
      </w:r>
      <w:r w:rsidR="000B2B75">
        <w:rPr>
          <w:bCs/>
          <w:lang w:val="fr-FR"/>
        </w:rPr>
        <w:t>’</w:t>
      </w:r>
      <w:r w:rsidRPr="00F82F28">
        <w:rPr>
          <w:bCs/>
          <w:lang w:val="fr-FR"/>
        </w:rPr>
        <w:t>examen intérieur</w:t>
      </w:r>
    </w:p>
    <w:p w14:paraId="6A8B4396"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ST/SG/AC.10/C.3/2020/62 (Allemagne)</w:t>
      </w:r>
    </w:p>
    <w:p w14:paraId="7BACB60B" w14:textId="57F46828" w:rsidR="00026B0E" w:rsidRPr="007F3B53" w:rsidRDefault="00026B0E" w:rsidP="00026B0E">
      <w:pPr>
        <w:pStyle w:val="SingleTxtG"/>
        <w:rPr>
          <w:lang w:val="fr-FR"/>
        </w:rPr>
      </w:pPr>
      <w:r w:rsidRPr="00F82F28">
        <w:rPr>
          <w:lang w:val="fr-FR"/>
        </w:rPr>
        <w:t>102.</w:t>
      </w:r>
      <w:r w:rsidRPr="00F82F28">
        <w:rPr>
          <w:lang w:val="fr-FR"/>
        </w:rPr>
        <w:tab/>
        <w:t>Les représentants ont été invités à envoyer leurs points de vue à l</w:t>
      </w:r>
      <w:r w:rsidR="000B2B75">
        <w:rPr>
          <w:lang w:val="fr-FR"/>
        </w:rPr>
        <w:t>’</w:t>
      </w:r>
      <w:r w:rsidRPr="00F82F28">
        <w:rPr>
          <w:lang w:val="fr-FR"/>
        </w:rPr>
        <w:t>expert de l</w:t>
      </w:r>
      <w:r w:rsidR="000B2B75">
        <w:rPr>
          <w:lang w:val="fr-FR"/>
        </w:rPr>
        <w:t>’</w:t>
      </w:r>
      <w:r w:rsidRPr="00F82F28">
        <w:rPr>
          <w:lang w:val="fr-FR"/>
        </w:rPr>
        <w:t>Allemagne, lequel s</w:t>
      </w:r>
      <w:r w:rsidR="000B2B75">
        <w:rPr>
          <w:lang w:val="fr-FR"/>
        </w:rPr>
        <w:t>’</w:t>
      </w:r>
      <w:r w:rsidRPr="00F82F28">
        <w:rPr>
          <w:lang w:val="fr-FR"/>
        </w:rPr>
        <w:t>est porté volontaire pour établir, en vue de la prochaine session, un</w:t>
      </w:r>
      <w:r w:rsidR="0029643E">
        <w:rPr>
          <w:lang w:val="fr-FR"/>
        </w:rPr>
        <w:t> </w:t>
      </w:r>
      <w:r w:rsidRPr="00F82F28">
        <w:rPr>
          <w:lang w:val="fr-FR"/>
        </w:rPr>
        <w:t xml:space="preserve">document révisé fondé sur les </w:t>
      </w:r>
      <w:r>
        <w:rPr>
          <w:lang w:val="fr-FR"/>
        </w:rPr>
        <w:t>observation</w:t>
      </w:r>
      <w:r w:rsidRPr="00F82F28">
        <w:rPr>
          <w:lang w:val="fr-FR"/>
        </w:rPr>
        <w:t>s reçu</w:t>
      </w:r>
      <w:r>
        <w:rPr>
          <w:lang w:val="fr-FR"/>
        </w:rPr>
        <w:t>e</w:t>
      </w:r>
      <w:r w:rsidRPr="00F82F28">
        <w:rPr>
          <w:lang w:val="fr-FR"/>
        </w:rPr>
        <w:t>s.</w:t>
      </w:r>
    </w:p>
    <w:p w14:paraId="2BD0BB0F" w14:textId="10DDF521" w:rsidR="00026B0E" w:rsidRPr="007F3B53" w:rsidRDefault="00026B0E" w:rsidP="0029643E">
      <w:pPr>
        <w:pStyle w:val="H1G"/>
        <w:keepNext w:val="0"/>
        <w:rPr>
          <w:lang w:val="fr-FR"/>
        </w:rPr>
      </w:pPr>
      <w:r>
        <w:rPr>
          <w:lang w:val="fr-FR"/>
        </w:rPr>
        <w:tab/>
      </w:r>
      <w:r w:rsidRPr="00F82F28">
        <w:rPr>
          <w:lang w:val="fr-FR"/>
        </w:rPr>
        <w:t>E.</w:t>
      </w:r>
      <w:r w:rsidRPr="00F82F28">
        <w:rPr>
          <w:lang w:val="fr-FR"/>
        </w:rPr>
        <w:tab/>
      </w:r>
      <w:r w:rsidRPr="00F82F28">
        <w:rPr>
          <w:bCs/>
          <w:lang w:val="fr-FR"/>
        </w:rPr>
        <w:t>Proposition d</w:t>
      </w:r>
      <w:r w:rsidR="000B2B75">
        <w:rPr>
          <w:bCs/>
          <w:lang w:val="fr-FR"/>
        </w:rPr>
        <w:t>’</w:t>
      </w:r>
      <w:r w:rsidRPr="00F82F28">
        <w:rPr>
          <w:bCs/>
          <w:lang w:val="fr-FR"/>
        </w:rPr>
        <w:t>approche expérimentale pour la fourniture de données à</w:t>
      </w:r>
      <w:r w:rsidR="0029643E">
        <w:rPr>
          <w:bCs/>
          <w:lang w:val="fr-FR"/>
        </w:rPr>
        <w:t> </w:t>
      </w:r>
      <w:r w:rsidRPr="00F82F28">
        <w:rPr>
          <w:bCs/>
          <w:lang w:val="fr-FR"/>
        </w:rPr>
        <w:t>l</w:t>
      </w:r>
      <w:r w:rsidR="000B2B75">
        <w:rPr>
          <w:bCs/>
          <w:lang w:val="fr-FR"/>
        </w:rPr>
        <w:t>’</w:t>
      </w:r>
      <w:r w:rsidRPr="00F82F28">
        <w:rPr>
          <w:bCs/>
          <w:lang w:val="fr-FR"/>
        </w:rPr>
        <w:t>appui des amendements concernant le texte relatif à la farine de poisson (déchets de poisson) stabilisée (</w:t>
      </w:r>
      <w:r>
        <w:rPr>
          <w:bCs/>
          <w:lang w:val="fr-FR"/>
        </w:rPr>
        <w:t xml:space="preserve">Numéro </w:t>
      </w:r>
      <w:r w:rsidRPr="00F82F28">
        <w:rPr>
          <w:bCs/>
          <w:lang w:val="fr-FR"/>
        </w:rPr>
        <w:t>ONU 2216, classe 9)</w:t>
      </w:r>
    </w:p>
    <w:p w14:paraId="01A4FA0E" w14:textId="77777777" w:rsidR="00026B0E" w:rsidRPr="007F3B53" w:rsidRDefault="00026B0E" w:rsidP="0029643E">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ST/SG/AC.10/C.3/2020/67 (IFFO)</w:t>
      </w:r>
      <w:r>
        <w:rPr>
          <w:lang w:val="fr-FR"/>
        </w:rPr>
        <w:t>.</w:t>
      </w:r>
    </w:p>
    <w:p w14:paraId="3119A921" w14:textId="1DC1C80C" w:rsidR="00026B0E" w:rsidRPr="007F3B53" w:rsidRDefault="00026B0E" w:rsidP="0029643E">
      <w:pPr>
        <w:pStyle w:val="SingleTxtG"/>
        <w:rPr>
          <w:lang w:val="fr-FR"/>
        </w:rPr>
      </w:pPr>
      <w:r w:rsidRPr="00F82F28">
        <w:rPr>
          <w:lang w:val="fr-FR"/>
        </w:rPr>
        <w:t>103.</w:t>
      </w:r>
      <w:r w:rsidRPr="00F82F28">
        <w:rPr>
          <w:lang w:val="fr-FR"/>
        </w:rPr>
        <w:tab/>
        <w:t>Le Sous-Comité a pris note de l</w:t>
      </w:r>
      <w:r w:rsidR="000B2B75">
        <w:rPr>
          <w:lang w:val="fr-FR"/>
        </w:rPr>
        <w:t>’</w:t>
      </w:r>
      <w:r w:rsidRPr="00F82F28">
        <w:rPr>
          <w:lang w:val="fr-FR"/>
        </w:rPr>
        <w:t>initiative de l</w:t>
      </w:r>
      <w:r w:rsidR="000B2B75">
        <w:rPr>
          <w:lang w:val="fr-FR"/>
        </w:rPr>
        <w:t>’</w:t>
      </w:r>
      <w:r w:rsidRPr="00F82F28">
        <w:rPr>
          <w:lang w:val="fr-FR"/>
        </w:rPr>
        <w:t>IFFO consistant à mener un travail expérimental relatif à la possibilité de stabiliser la farine de poisson</w:t>
      </w:r>
      <w:r>
        <w:rPr>
          <w:lang w:val="fr-FR"/>
        </w:rPr>
        <w:t xml:space="preserve"> </w:t>
      </w:r>
      <w:r w:rsidRPr="00F82F28">
        <w:rPr>
          <w:lang w:val="fr-FR"/>
        </w:rPr>
        <w:t xml:space="preserve">(déchets de poisson) et à </w:t>
      </w:r>
      <w:r w:rsidRPr="00F82F28">
        <w:rPr>
          <w:lang w:val="fr-FR"/>
        </w:rPr>
        <w:lastRenderedPageBreak/>
        <w:t>rendre compte des résultats de ce travail à une prochaine session. Les experts intéressés par la question ont été invités à contacter le représentant de l</w:t>
      </w:r>
      <w:r w:rsidR="000B2B75">
        <w:rPr>
          <w:lang w:val="fr-FR"/>
        </w:rPr>
        <w:t>’</w:t>
      </w:r>
      <w:r w:rsidRPr="00F82F28">
        <w:rPr>
          <w:lang w:val="fr-FR"/>
        </w:rPr>
        <w:t>IFFO.</w:t>
      </w:r>
    </w:p>
    <w:p w14:paraId="407A19C0" w14:textId="77777777" w:rsidR="00026B0E" w:rsidRPr="007F3B53" w:rsidRDefault="00026B0E" w:rsidP="00D02483">
      <w:pPr>
        <w:pStyle w:val="H1G"/>
        <w:rPr>
          <w:lang w:val="fr-FR"/>
        </w:rPr>
      </w:pPr>
      <w:r>
        <w:rPr>
          <w:lang w:val="fr-FR"/>
        </w:rPr>
        <w:tab/>
      </w:r>
      <w:r w:rsidRPr="00F82F28">
        <w:rPr>
          <w:lang w:val="fr-FR"/>
        </w:rPr>
        <w:t>F.</w:t>
      </w:r>
      <w:r w:rsidRPr="00F82F28">
        <w:rPr>
          <w:lang w:val="fr-FR"/>
        </w:rPr>
        <w:tab/>
      </w:r>
      <w:r w:rsidRPr="00F82F28">
        <w:rPr>
          <w:bCs/>
          <w:lang w:val="fr-FR"/>
        </w:rPr>
        <w:t>Amendement au 5.1.2.2 − Emploi du mot «</w:t>
      </w:r>
      <w:r w:rsidR="00301DF7">
        <w:rPr>
          <w:bCs/>
          <w:lang w:val="fr-FR"/>
        </w:rPr>
        <w:t> </w:t>
      </w:r>
      <w:r w:rsidRPr="00F82F28">
        <w:rPr>
          <w:bCs/>
          <w:lang w:val="fr-FR"/>
        </w:rPr>
        <w:t>colis</w:t>
      </w:r>
      <w:r w:rsidR="00301DF7">
        <w:rPr>
          <w:bCs/>
          <w:lang w:val="fr-FR"/>
        </w:rPr>
        <w:t> </w:t>
      </w:r>
      <w:r w:rsidRPr="00F82F28">
        <w:rPr>
          <w:bCs/>
          <w:lang w:val="fr-FR"/>
        </w:rPr>
        <w:t>»</w:t>
      </w:r>
    </w:p>
    <w:p w14:paraId="273ABA06"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sidRPr="00F82F28">
        <w:rPr>
          <w:lang w:val="fr-FR"/>
        </w:rPr>
        <w:tab/>
        <w:t>ST/SG/AC.10/C.3/2020/70 (Autriche)</w:t>
      </w:r>
      <w:r>
        <w:rPr>
          <w:lang w:val="fr-FR"/>
        </w:rPr>
        <w:t>.</w:t>
      </w:r>
    </w:p>
    <w:p w14:paraId="12FF3D1E" w14:textId="634ACCA0" w:rsidR="00026B0E" w:rsidRPr="007F3B53" w:rsidRDefault="00026B0E" w:rsidP="00026B0E">
      <w:pPr>
        <w:pStyle w:val="SingleTxtG"/>
        <w:rPr>
          <w:lang w:val="fr-FR"/>
        </w:rPr>
      </w:pPr>
      <w:r w:rsidRPr="00F82F28">
        <w:rPr>
          <w:lang w:val="fr-FR"/>
        </w:rPr>
        <w:t>104.</w:t>
      </w:r>
      <w:r w:rsidRPr="00F82F28">
        <w:rPr>
          <w:lang w:val="fr-FR"/>
        </w:rPr>
        <w:tab/>
        <w:t>À la suite d</w:t>
      </w:r>
      <w:r w:rsidR="000B2B75">
        <w:rPr>
          <w:lang w:val="fr-FR"/>
        </w:rPr>
        <w:t>’</w:t>
      </w:r>
      <w:r w:rsidRPr="00F82F28">
        <w:rPr>
          <w:lang w:val="fr-FR"/>
        </w:rPr>
        <w:t>un échange de vues, le Sous-Comité a convenu qu</w:t>
      </w:r>
      <w:r w:rsidR="000B2B75">
        <w:rPr>
          <w:lang w:val="fr-FR"/>
        </w:rPr>
        <w:t>’</w:t>
      </w:r>
      <w:r w:rsidRPr="00F82F28">
        <w:rPr>
          <w:lang w:val="fr-FR"/>
        </w:rPr>
        <w:t>une clarification s</w:t>
      </w:r>
      <w:r w:rsidR="000B2B75">
        <w:rPr>
          <w:lang w:val="fr-FR"/>
        </w:rPr>
        <w:t>’</w:t>
      </w:r>
      <w:r w:rsidRPr="00F82F28">
        <w:rPr>
          <w:lang w:val="fr-FR"/>
        </w:rPr>
        <w:t>imposait. L</w:t>
      </w:r>
      <w:r w:rsidR="000B2B75">
        <w:rPr>
          <w:lang w:val="fr-FR"/>
        </w:rPr>
        <w:t>’</w:t>
      </w:r>
      <w:r w:rsidRPr="00F82F28">
        <w:rPr>
          <w:lang w:val="fr-FR"/>
        </w:rPr>
        <w:t>expert de l</w:t>
      </w:r>
      <w:r w:rsidR="000B2B75">
        <w:rPr>
          <w:lang w:val="fr-FR"/>
        </w:rPr>
        <w:t>’</w:t>
      </w:r>
      <w:r w:rsidRPr="00F82F28">
        <w:rPr>
          <w:lang w:val="fr-FR"/>
        </w:rPr>
        <w:t>Autriche a proposé d</w:t>
      </w:r>
      <w:r w:rsidR="000B2B75">
        <w:rPr>
          <w:lang w:val="fr-FR"/>
        </w:rPr>
        <w:t>’</w:t>
      </w:r>
      <w:r w:rsidRPr="00F82F28">
        <w:rPr>
          <w:lang w:val="fr-FR"/>
        </w:rPr>
        <w:t>étoffer son argumentation et de soumettre un document révisé en vue de la prochaine session.</w:t>
      </w:r>
    </w:p>
    <w:p w14:paraId="64D85F91" w14:textId="77777777" w:rsidR="00026B0E" w:rsidRPr="007F3B53" w:rsidRDefault="00026B0E" w:rsidP="00D02483">
      <w:pPr>
        <w:pStyle w:val="H1G"/>
        <w:rPr>
          <w:lang w:val="fr-FR"/>
        </w:rPr>
      </w:pPr>
      <w:r>
        <w:rPr>
          <w:lang w:val="fr-FR"/>
        </w:rPr>
        <w:tab/>
      </w:r>
      <w:r w:rsidRPr="00F82F28">
        <w:rPr>
          <w:lang w:val="fr-FR"/>
        </w:rPr>
        <w:t>G.</w:t>
      </w:r>
      <w:r w:rsidRPr="00F82F28">
        <w:rPr>
          <w:lang w:val="fr-FR"/>
        </w:rPr>
        <w:tab/>
      </w:r>
      <w:r w:rsidRPr="00F82F28">
        <w:rPr>
          <w:bCs/>
          <w:lang w:val="fr-FR"/>
        </w:rPr>
        <w:t xml:space="preserve">Emploi des notes de </w:t>
      </w:r>
      <w:r w:rsidRPr="00D02483">
        <w:rPr>
          <w:lang w:val="fr-FR"/>
        </w:rPr>
        <w:t>bas</w:t>
      </w:r>
      <w:r w:rsidRPr="00F82F28">
        <w:rPr>
          <w:bCs/>
          <w:lang w:val="fr-FR"/>
        </w:rPr>
        <w:t xml:space="preserve"> de page dans le Règlement type</w:t>
      </w:r>
    </w:p>
    <w:p w14:paraId="5BD73C4E"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1A6A7E">
        <w:rPr>
          <w:i/>
          <w:iCs/>
          <w:lang w:val="fr-FR"/>
        </w:rPr>
        <w:t> </w:t>
      </w:r>
      <w:r w:rsidRPr="00F82F28">
        <w:rPr>
          <w:i/>
          <w:iCs/>
          <w:lang w:val="fr-FR"/>
        </w:rPr>
        <w:t>:</w:t>
      </w:r>
      <w:r>
        <w:rPr>
          <w:lang w:val="fr-FR"/>
        </w:rPr>
        <w:tab/>
      </w:r>
      <w:r w:rsidRPr="00F82F28">
        <w:rPr>
          <w:lang w:val="fr-FR"/>
        </w:rPr>
        <w:t>ST/SG/AC.10/C.3/2020/74 (OMI)</w:t>
      </w:r>
      <w:r>
        <w:rPr>
          <w:lang w:val="fr-FR"/>
        </w:rPr>
        <w:t>.</w:t>
      </w:r>
    </w:p>
    <w:p w14:paraId="6B315520" w14:textId="77777777" w:rsidR="00026B0E" w:rsidRPr="007F3B53" w:rsidRDefault="00026B0E" w:rsidP="00D02483">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1A6A7E">
        <w:rPr>
          <w:i/>
          <w:iCs/>
          <w:lang w:val="fr-FR"/>
        </w:rPr>
        <w:t> </w:t>
      </w:r>
      <w:r w:rsidRPr="00F82F28">
        <w:rPr>
          <w:i/>
          <w:iCs/>
          <w:lang w:val="fr-FR"/>
        </w:rPr>
        <w:t>:</w:t>
      </w:r>
      <w:r w:rsidRPr="00F82F28">
        <w:rPr>
          <w:lang w:val="fr-FR"/>
        </w:rPr>
        <w:tab/>
        <w:t>INF.63 (Chine).</w:t>
      </w:r>
    </w:p>
    <w:p w14:paraId="5E9B8FD4" w14:textId="54A52398" w:rsidR="00026B0E" w:rsidRPr="007F3B53" w:rsidRDefault="00026B0E" w:rsidP="00026B0E">
      <w:pPr>
        <w:pStyle w:val="SingleTxtG"/>
        <w:rPr>
          <w:lang w:val="fr-FR"/>
        </w:rPr>
      </w:pPr>
      <w:r w:rsidRPr="00F82F28">
        <w:rPr>
          <w:lang w:val="fr-FR"/>
        </w:rPr>
        <w:t>105.</w:t>
      </w:r>
      <w:r w:rsidRPr="00F82F28">
        <w:rPr>
          <w:lang w:val="fr-FR"/>
        </w:rPr>
        <w:tab/>
        <w:t>L</w:t>
      </w:r>
      <w:r w:rsidR="000B2B75">
        <w:rPr>
          <w:lang w:val="fr-FR"/>
        </w:rPr>
        <w:t>’</w:t>
      </w:r>
      <w:r w:rsidRPr="00F82F28">
        <w:rPr>
          <w:lang w:val="fr-FR"/>
        </w:rPr>
        <w:t>expert des États-Unis d</w:t>
      </w:r>
      <w:r w:rsidR="000B2B75">
        <w:rPr>
          <w:lang w:val="fr-FR"/>
        </w:rPr>
        <w:t>’</w:t>
      </w:r>
      <w:r w:rsidRPr="00F82F28">
        <w:rPr>
          <w:lang w:val="fr-FR"/>
        </w:rPr>
        <w:t xml:space="preserve">Amérique, Président du </w:t>
      </w:r>
      <w:r>
        <w:rPr>
          <w:lang w:val="fr-FR"/>
        </w:rPr>
        <w:t>g</w:t>
      </w:r>
      <w:r w:rsidRPr="00F82F28">
        <w:rPr>
          <w:lang w:val="fr-FR"/>
        </w:rPr>
        <w:t>roupe</w:t>
      </w:r>
      <w:r>
        <w:rPr>
          <w:lang w:val="fr-FR"/>
        </w:rPr>
        <w:t xml:space="preserve"> chargé des questions éditoriales et</w:t>
      </w:r>
      <w:r w:rsidRPr="00F82F28">
        <w:rPr>
          <w:lang w:val="fr-FR"/>
        </w:rPr>
        <w:t xml:space="preserve"> technique</w:t>
      </w:r>
      <w:r>
        <w:rPr>
          <w:lang w:val="fr-FR"/>
        </w:rPr>
        <w:t>s</w:t>
      </w:r>
      <w:r w:rsidRPr="00F82F28">
        <w:rPr>
          <w:lang w:val="fr-FR"/>
        </w:rPr>
        <w:t xml:space="preserve"> du Sous-Comité du transport des cargaisons et des conteneurs de l</w:t>
      </w:r>
      <w:r w:rsidR="000B2B75">
        <w:rPr>
          <w:lang w:val="fr-FR"/>
        </w:rPr>
        <w:t>’</w:t>
      </w:r>
      <w:r w:rsidRPr="00F82F28">
        <w:rPr>
          <w:lang w:val="fr-FR"/>
        </w:rPr>
        <w:t>OMI, a retiré les propositions 2 à 5 du document ST/SG/AC.10/C.3/2020/74 en vue d</w:t>
      </w:r>
      <w:r w:rsidR="000B2B75">
        <w:rPr>
          <w:lang w:val="fr-FR"/>
        </w:rPr>
        <w:t>’</w:t>
      </w:r>
      <w:r w:rsidRPr="00F82F28">
        <w:rPr>
          <w:lang w:val="fr-FR"/>
        </w:rPr>
        <w:t>en reporter l</w:t>
      </w:r>
      <w:r w:rsidR="000B2B75">
        <w:rPr>
          <w:lang w:val="fr-FR"/>
        </w:rPr>
        <w:t>’</w:t>
      </w:r>
      <w:r w:rsidRPr="00F82F28">
        <w:rPr>
          <w:lang w:val="fr-FR"/>
        </w:rPr>
        <w:t>examen à la prochaine période biennale. Le Sous-Comité a adopté les propositions</w:t>
      </w:r>
      <w:r w:rsidR="001A6A7E">
        <w:rPr>
          <w:lang w:val="fr-FR"/>
        </w:rPr>
        <w:t> </w:t>
      </w:r>
      <w:r w:rsidRPr="00F82F28">
        <w:rPr>
          <w:lang w:val="fr-FR"/>
        </w:rPr>
        <w:t>1, 6 et 7 (voir annexe I).</w:t>
      </w:r>
    </w:p>
    <w:p w14:paraId="10E9A4BD" w14:textId="1D509BC0" w:rsidR="00026B0E" w:rsidRPr="007F3B53" w:rsidRDefault="00026B0E" w:rsidP="00D02483">
      <w:pPr>
        <w:pStyle w:val="HChG"/>
        <w:rPr>
          <w:lang w:val="fr-FR"/>
        </w:rPr>
      </w:pPr>
      <w:r>
        <w:rPr>
          <w:lang w:val="fr-FR"/>
        </w:rPr>
        <w:tab/>
      </w:r>
      <w:r w:rsidRPr="002C029C">
        <w:rPr>
          <w:lang w:val="fr-FR"/>
        </w:rPr>
        <w:t>XII.</w:t>
      </w:r>
      <w:r w:rsidRPr="002C029C">
        <w:rPr>
          <w:lang w:val="fr-FR"/>
        </w:rPr>
        <w:tab/>
        <w:t>Questions relatives au Système général harmonisé de classification et d</w:t>
      </w:r>
      <w:r w:rsidR="000B2B75">
        <w:rPr>
          <w:lang w:val="fr-FR"/>
        </w:rPr>
        <w:t>’</w:t>
      </w:r>
      <w:r w:rsidRPr="002C029C">
        <w:rPr>
          <w:lang w:val="fr-FR"/>
        </w:rPr>
        <w:t>étiquetage des produits chimiques (SGH) (point 11 de l</w:t>
      </w:r>
      <w:r w:rsidR="000B2B75">
        <w:rPr>
          <w:lang w:val="fr-FR"/>
        </w:rPr>
        <w:t>’</w:t>
      </w:r>
      <w:r w:rsidRPr="002C029C">
        <w:rPr>
          <w:lang w:val="fr-FR"/>
        </w:rPr>
        <w:t>ordre du jour)</w:t>
      </w:r>
    </w:p>
    <w:p w14:paraId="6E61AFA3" w14:textId="77777777" w:rsidR="00026B0E" w:rsidRPr="007F3B53" w:rsidRDefault="00026B0E" w:rsidP="00D02483">
      <w:pPr>
        <w:pStyle w:val="H1G"/>
        <w:rPr>
          <w:lang w:val="fr-FR"/>
        </w:rPr>
      </w:pPr>
      <w:r>
        <w:rPr>
          <w:lang w:val="fr-FR"/>
        </w:rPr>
        <w:tab/>
      </w:r>
      <w:r w:rsidRPr="00F82F28">
        <w:rPr>
          <w:lang w:val="fr-FR"/>
        </w:rPr>
        <w:t>A.</w:t>
      </w:r>
      <w:r w:rsidRPr="00F82F28">
        <w:rPr>
          <w:lang w:val="fr-FR"/>
        </w:rPr>
        <w:tab/>
        <w:t>Révision du chapitre 2.1</w:t>
      </w:r>
    </w:p>
    <w:p w14:paraId="349BFD45" w14:textId="77777777" w:rsidR="00026B0E" w:rsidRPr="007F3B53" w:rsidRDefault="00026B0E" w:rsidP="00EC505F">
      <w:pPr>
        <w:pStyle w:val="H23G"/>
        <w:rPr>
          <w:lang w:val="fr-FR"/>
        </w:rPr>
      </w:pPr>
      <w:r w:rsidRPr="00F82F28">
        <w:rPr>
          <w:lang w:val="fr-FR"/>
        </w:rPr>
        <w:tab/>
      </w:r>
      <w:r w:rsidRPr="00F82F28">
        <w:rPr>
          <w:lang w:val="fr-FR"/>
        </w:rPr>
        <w:tab/>
        <w:t>Nouveau chapitre 2.1 du SGH</w:t>
      </w:r>
    </w:p>
    <w:p w14:paraId="5F50200C" w14:textId="77777777" w:rsidR="00EC505F" w:rsidRDefault="00026B0E" w:rsidP="00EC505F">
      <w:pPr>
        <w:pStyle w:val="SingleTxtG"/>
        <w:tabs>
          <w:tab w:val="clear" w:pos="1701"/>
          <w:tab w:val="clear" w:pos="2268"/>
          <w:tab w:val="clear" w:pos="2835"/>
          <w:tab w:val="left" w:pos="3402"/>
        </w:tabs>
        <w:spacing w:after="0"/>
        <w:ind w:left="3402" w:hanging="2268"/>
        <w:jc w:val="left"/>
        <w:rPr>
          <w:lang w:val="fr-FR"/>
        </w:rPr>
      </w:pPr>
      <w:r w:rsidRPr="00F82F28">
        <w:rPr>
          <w:i/>
          <w:iCs/>
          <w:lang w:val="fr-FR"/>
        </w:rPr>
        <w:t>Documents</w:t>
      </w:r>
      <w:r w:rsidR="004D3879">
        <w:rPr>
          <w:i/>
          <w:iCs/>
          <w:lang w:val="fr-FR"/>
        </w:rPr>
        <w:t> </w:t>
      </w:r>
      <w:r w:rsidRPr="00F82F28">
        <w:rPr>
          <w:i/>
          <w:iCs/>
          <w:lang w:val="fr-FR"/>
        </w:rPr>
        <w:t>:</w:t>
      </w:r>
      <w:r w:rsidRPr="00F82F28">
        <w:rPr>
          <w:lang w:val="fr-FR"/>
        </w:rPr>
        <w:tab/>
      </w:r>
      <w:r>
        <w:rPr>
          <w:lang w:val="fr-FR"/>
        </w:rPr>
        <w:tab/>
      </w:r>
      <w:r w:rsidRPr="00F82F28">
        <w:rPr>
          <w:lang w:val="fr-FR"/>
        </w:rPr>
        <w:t>ST/SG/AC.10/C.3/2020/20 et Add.1 (Suède)</w:t>
      </w:r>
    </w:p>
    <w:p w14:paraId="1FEA605A" w14:textId="77777777" w:rsidR="00EC505F" w:rsidRPr="00F12085" w:rsidRDefault="00026B0E" w:rsidP="00EC505F">
      <w:pPr>
        <w:pStyle w:val="SingleTxtG"/>
        <w:tabs>
          <w:tab w:val="clear" w:pos="1701"/>
          <w:tab w:val="clear" w:pos="2268"/>
          <w:tab w:val="clear" w:pos="2835"/>
          <w:tab w:val="left" w:pos="3402"/>
        </w:tabs>
        <w:spacing w:after="0"/>
        <w:ind w:left="3402"/>
        <w:jc w:val="left"/>
        <w:rPr>
          <w:lang w:val="en-US"/>
        </w:rPr>
      </w:pPr>
      <w:r w:rsidRPr="00F12085">
        <w:rPr>
          <w:lang w:val="en-US"/>
        </w:rPr>
        <w:t>ST/SG/AC.10/C.3/2020/22 (</w:t>
      </w:r>
      <w:proofErr w:type="spellStart"/>
      <w:r w:rsidRPr="00F12085">
        <w:rPr>
          <w:lang w:val="en-US"/>
        </w:rPr>
        <w:t>Suède</w:t>
      </w:r>
      <w:proofErr w:type="spellEnd"/>
      <w:r w:rsidRPr="00F12085">
        <w:rPr>
          <w:lang w:val="en-US"/>
        </w:rPr>
        <w:t>)</w:t>
      </w:r>
    </w:p>
    <w:p w14:paraId="7D7F1710" w14:textId="77777777" w:rsidR="00EC505F" w:rsidRDefault="00026B0E" w:rsidP="00EC505F">
      <w:pPr>
        <w:pStyle w:val="SingleTxtG"/>
        <w:tabs>
          <w:tab w:val="clear" w:pos="1701"/>
          <w:tab w:val="clear" w:pos="2268"/>
          <w:tab w:val="clear" w:pos="2835"/>
          <w:tab w:val="left" w:pos="3402"/>
        </w:tabs>
        <w:spacing w:after="0"/>
        <w:ind w:left="3402"/>
        <w:jc w:val="left"/>
        <w:rPr>
          <w:lang w:val="fr-FR"/>
        </w:rPr>
      </w:pPr>
      <w:r w:rsidRPr="00F82F28">
        <w:rPr>
          <w:lang w:val="fr-FR"/>
        </w:rPr>
        <w:t>ST/SG/AC.10/C.3/2020/23 et Add.1 (Suède)</w:t>
      </w:r>
    </w:p>
    <w:p w14:paraId="0FA4ADC3" w14:textId="77777777" w:rsidR="00026B0E" w:rsidRPr="00EC505F" w:rsidRDefault="00026B0E" w:rsidP="00EC505F">
      <w:pPr>
        <w:pStyle w:val="SingleTxtG"/>
        <w:tabs>
          <w:tab w:val="clear" w:pos="1701"/>
          <w:tab w:val="clear" w:pos="2268"/>
          <w:tab w:val="clear" w:pos="2835"/>
          <w:tab w:val="left" w:pos="3402"/>
        </w:tabs>
        <w:ind w:left="5670" w:hanging="2268"/>
        <w:jc w:val="left"/>
        <w:rPr>
          <w:lang w:val="en-US"/>
        </w:rPr>
      </w:pPr>
      <w:r w:rsidRPr="00EC505F">
        <w:rPr>
          <w:lang w:val="en-US"/>
        </w:rPr>
        <w:t>ST/SG/AC.10/C.3/2020/60 (</w:t>
      </w:r>
      <w:proofErr w:type="spellStart"/>
      <w:r w:rsidRPr="00EC505F">
        <w:rPr>
          <w:lang w:val="en-US"/>
        </w:rPr>
        <w:t>Suède</w:t>
      </w:r>
      <w:proofErr w:type="spellEnd"/>
      <w:r w:rsidRPr="00EC505F">
        <w:rPr>
          <w:lang w:val="en-US"/>
        </w:rPr>
        <w:t>).</w:t>
      </w:r>
    </w:p>
    <w:p w14:paraId="3BAAC983" w14:textId="4CA72CD0" w:rsidR="00026B0E" w:rsidRDefault="00026B0E" w:rsidP="00EC505F">
      <w:pPr>
        <w:pStyle w:val="SingleTxtG"/>
        <w:tabs>
          <w:tab w:val="clear" w:pos="1701"/>
          <w:tab w:val="clear" w:pos="2268"/>
          <w:tab w:val="clear" w:pos="2835"/>
          <w:tab w:val="left" w:pos="3402"/>
        </w:tabs>
        <w:spacing w:after="0"/>
        <w:ind w:left="3402" w:hanging="2268"/>
        <w:jc w:val="left"/>
        <w:rPr>
          <w:lang w:val="fr-FR"/>
        </w:rPr>
      </w:pPr>
      <w:r w:rsidRPr="00F82F28">
        <w:rPr>
          <w:i/>
          <w:iCs/>
          <w:lang w:val="fr-FR"/>
        </w:rPr>
        <w:t>Documents informels</w:t>
      </w:r>
      <w:r w:rsidR="004D3879">
        <w:rPr>
          <w:i/>
          <w:iCs/>
          <w:lang w:val="fr-FR"/>
        </w:rPr>
        <w:t> </w:t>
      </w:r>
      <w:r w:rsidRPr="00F82F28">
        <w:rPr>
          <w:i/>
          <w:iCs/>
          <w:lang w:val="fr-FR"/>
        </w:rPr>
        <w:t>:</w:t>
      </w:r>
      <w:r w:rsidRPr="00F82F28">
        <w:rPr>
          <w:lang w:val="fr-FR"/>
        </w:rPr>
        <w:tab/>
        <w:t>INF.15 (États-Unis d</w:t>
      </w:r>
      <w:r w:rsidR="000B2B75">
        <w:rPr>
          <w:lang w:val="fr-FR"/>
        </w:rPr>
        <w:t>’</w:t>
      </w:r>
      <w:r w:rsidRPr="00F82F28">
        <w:rPr>
          <w:lang w:val="fr-FR"/>
        </w:rPr>
        <w:t>Amérique, IME et SAAMI)</w:t>
      </w:r>
    </w:p>
    <w:p w14:paraId="22017EDC" w14:textId="77777777" w:rsidR="00026B0E" w:rsidRDefault="00026B0E" w:rsidP="00EC505F">
      <w:pPr>
        <w:pStyle w:val="SingleTxtG"/>
        <w:tabs>
          <w:tab w:val="clear" w:pos="1701"/>
          <w:tab w:val="clear" w:pos="2268"/>
          <w:tab w:val="clear" w:pos="2835"/>
          <w:tab w:val="left" w:pos="3402"/>
        </w:tabs>
        <w:spacing w:after="0"/>
        <w:ind w:left="3402"/>
        <w:jc w:val="left"/>
        <w:rPr>
          <w:lang w:val="fr-FR"/>
        </w:rPr>
      </w:pPr>
      <w:r>
        <w:rPr>
          <w:lang w:val="fr-FR"/>
        </w:rPr>
        <w:tab/>
      </w:r>
      <w:r w:rsidRPr="00F82F28">
        <w:rPr>
          <w:lang w:val="fr-FR"/>
        </w:rPr>
        <w:t xml:space="preserve">INF.16, INF.17, INF.23, INF.33 et INF.56 (Suède) </w:t>
      </w:r>
    </w:p>
    <w:p w14:paraId="2E6C705A" w14:textId="77777777" w:rsidR="00026B0E" w:rsidRPr="007F3B53" w:rsidRDefault="00026B0E" w:rsidP="00EC505F">
      <w:pPr>
        <w:pStyle w:val="SingleTxtG"/>
        <w:tabs>
          <w:tab w:val="clear" w:pos="1701"/>
          <w:tab w:val="clear" w:pos="2268"/>
          <w:tab w:val="clear" w:pos="2835"/>
          <w:tab w:val="left" w:pos="3402"/>
        </w:tabs>
        <w:ind w:left="3402"/>
        <w:jc w:val="left"/>
        <w:rPr>
          <w:lang w:val="fr-FR"/>
        </w:rPr>
      </w:pPr>
      <w:r>
        <w:rPr>
          <w:lang w:val="fr-FR"/>
        </w:rPr>
        <w:tab/>
      </w:r>
      <w:r w:rsidR="00EC505F">
        <w:rPr>
          <w:lang w:val="fr-FR"/>
        </w:rPr>
        <w:t>I</w:t>
      </w:r>
      <w:r w:rsidRPr="00F82F28">
        <w:rPr>
          <w:lang w:val="fr-FR"/>
        </w:rPr>
        <w:t>NF.38 (Rapport du Groupe de travail des explosifs)</w:t>
      </w:r>
      <w:r>
        <w:rPr>
          <w:lang w:val="fr-FR"/>
        </w:rPr>
        <w:t>.</w:t>
      </w:r>
    </w:p>
    <w:p w14:paraId="111EE98A" w14:textId="5A87FB3B" w:rsidR="00026B0E" w:rsidRPr="007F3B53" w:rsidRDefault="00026B0E" w:rsidP="00026B0E">
      <w:pPr>
        <w:pStyle w:val="SingleTxtG"/>
        <w:rPr>
          <w:lang w:val="fr-FR"/>
        </w:rPr>
      </w:pPr>
      <w:r w:rsidRPr="00F82F28">
        <w:rPr>
          <w:lang w:val="fr-FR"/>
        </w:rPr>
        <w:t>106.</w:t>
      </w:r>
      <w:r w:rsidRPr="00F82F28">
        <w:rPr>
          <w:lang w:val="fr-FR"/>
        </w:rPr>
        <w:tab/>
        <w:t>L</w:t>
      </w:r>
      <w:r w:rsidR="000B2B75">
        <w:rPr>
          <w:lang w:val="fr-FR"/>
        </w:rPr>
        <w:t>’</w:t>
      </w:r>
      <w:r w:rsidRPr="00F82F28">
        <w:rPr>
          <w:lang w:val="fr-FR"/>
        </w:rPr>
        <w:t>expert de la Suède a résumé succinctement les échanges relatifs à la révision du chapitre 2.1 du SGH. Après avoir pris connaissance des recommandations du Groupe de travail des explosifs, dans le document informel INF.38 (par.</w:t>
      </w:r>
      <w:r w:rsidR="00F77504">
        <w:rPr>
          <w:lang w:val="fr-FR"/>
        </w:rPr>
        <w:t> </w:t>
      </w:r>
      <w:r w:rsidRPr="00F82F28">
        <w:rPr>
          <w:lang w:val="fr-FR"/>
        </w:rPr>
        <w:t>13 à 15), le Sous-Comité a approuvé celles-ci et a adopté, entre crochets et sous réserve de l</w:t>
      </w:r>
      <w:r w:rsidR="000B2B75">
        <w:rPr>
          <w:lang w:val="fr-FR"/>
        </w:rPr>
        <w:t>’</w:t>
      </w:r>
      <w:r w:rsidRPr="00F82F28">
        <w:rPr>
          <w:lang w:val="fr-FR"/>
        </w:rPr>
        <w:t>adoption par le Sous-Comité SGH de la révision du chapitre 2.1 du SGH, les amendements corollaires au Manuel d</w:t>
      </w:r>
      <w:r w:rsidR="000B2B75">
        <w:rPr>
          <w:lang w:val="fr-FR"/>
        </w:rPr>
        <w:t>’</w:t>
      </w:r>
      <w:r w:rsidRPr="00F82F28">
        <w:rPr>
          <w:lang w:val="fr-FR"/>
        </w:rPr>
        <w:t>épreuves et de critères présentés dans le document ST/SG/AC.10/C.3/2020/60, tels que modifiés dans le document informel INF.38 (voir annexe II).</w:t>
      </w:r>
    </w:p>
    <w:p w14:paraId="69F2197D" w14:textId="77777777" w:rsidR="00026B0E" w:rsidRPr="007F3B53" w:rsidRDefault="00026B0E" w:rsidP="00EC505F">
      <w:pPr>
        <w:pStyle w:val="H1G"/>
        <w:rPr>
          <w:lang w:val="fr-FR"/>
        </w:rPr>
      </w:pPr>
      <w:r>
        <w:rPr>
          <w:lang w:val="fr-FR"/>
        </w:rPr>
        <w:tab/>
      </w:r>
      <w:r w:rsidRPr="00F82F28">
        <w:rPr>
          <w:lang w:val="fr-FR"/>
        </w:rPr>
        <w:t>B.</w:t>
      </w:r>
      <w:r w:rsidRPr="00F82F28">
        <w:rPr>
          <w:lang w:val="fr-FR"/>
        </w:rPr>
        <w:tab/>
      </w:r>
      <w:r w:rsidRPr="00F82F28">
        <w:rPr>
          <w:bCs/>
          <w:lang w:val="fr-FR"/>
        </w:rPr>
        <w:t xml:space="preserve">Précision </w:t>
      </w:r>
      <w:r>
        <w:rPr>
          <w:bCs/>
          <w:lang w:val="fr-FR"/>
        </w:rPr>
        <w:t xml:space="preserve">du paragraphe </w:t>
      </w:r>
      <w:r w:rsidRPr="00F82F28">
        <w:rPr>
          <w:bCs/>
          <w:lang w:val="fr-FR"/>
        </w:rPr>
        <w:t xml:space="preserve">2.9.3.4.3.4 du </w:t>
      </w:r>
      <w:r w:rsidRPr="00EC505F">
        <w:rPr>
          <w:lang w:val="fr-FR"/>
        </w:rPr>
        <w:t>Règlement</w:t>
      </w:r>
      <w:r w:rsidRPr="00F82F28">
        <w:rPr>
          <w:bCs/>
          <w:lang w:val="fr-FR"/>
        </w:rPr>
        <w:t xml:space="preserve"> type </w:t>
      </w:r>
      <w:r w:rsidR="00EC505F">
        <w:rPr>
          <w:bCs/>
          <w:lang w:val="fr-FR"/>
        </w:rPr>
        <w:br/>
      </w:r>
      <w:r w:rsidRPr="00F82F28">
        <w:rPr>
          <w:bCs/>
          <w:lang w:val="fr-FR"/>
        </w:rPr>
        <w:t xml:space="preserve">et </w:t>
      </w:r>
      <w:r>
        <w:rPr>
          <w:bCs/>
          <w:lang w:val="fr-FR"/>
        </w:rPr>
        <w:t xml:space="preserve">du paragraphe </w:t>
      </w:r>
      <w:r w:rsidRPr="00F82F28">
        <w:rPr>
          <w:bCs/>
          <w:lang w:val="fr-FR"/>
        </w:rPr>
        <w:t>4.1.3.3.4 du SGH</w:t>
      </w:r>
    </w:p>
    <w:p w14:paraId="07C8BFC2" w14:textId="77777777" w:rsidR="00026B0E" w:rsidRPr="007F3B53" w:rsidRDefault="00026B0E" w:rsidP="00EC505F">
      <w:pPr>
        <w:pStyle w:val="SingleTxtG"/>
        <w:tabs>
          <w:tab w:val="clear" w:pos="1701"/>
          <w:tab w:val="clear" w:pos="2268"/>
          <w:tab w:val="clear" w:pos="2835"/>
          <w:tab w:val="left" w:pos="3402"/>
        </w:tabs>
        <w:ind w:left="3402" w:hanging="2268"/>
        <w:jc w:val="left"/>
        <w:rPr>
          <w:lang w:val="fr-FR"/>
        </w:rPr>
      </w:pPr>
      <w:r w:rsidRPr="00F82F28">
        <w:rPr>
          <w:i/>
          <w:iCs/>
          <w:lang w:val="fr-FR"/>
        </w:rPr>
        <w:t>Documents</w:t>
      </w:r>
      <w:r w:rsidR="004D3879">
        <w:rPr>
          <w:i/>
          <w:iCs/>
          <w:lang w:val="fr-FR"/>
        </w:rPr>
        <w:t> </w:t>
      </w:r>
      <w:r w:rsidRPr="00F82F28">
        <w:rPr>
          <w:i/>
          <w:iCs/>
          <w:lang w:val="fr-FR"/>
        </w:rPr>
        <w:t>:</w:t>
      </w:r>
      <w:r w:rsidRPr="00F82F28">
        <w:rPr>
          <w:lang w:val="fr-FR"/>
        </w:rPr>
        <w:tab/>
        <w:t>ST/SG/AC.10/C.3/2020/33 et Add.1 (Chine)</w:t>
      </w:r>
      <w:r>
        <w:rPr>
          <w:lang w:val="fr-FR"/>
        </w:rPr>
        <w:t>.</w:t>
      </w:r>
    </w:p>
    <w:p w14:paraId="3B7125CE" w14:textId="67FE52DA" w:rsidR="00026B0E" w:rsidRPr="007F3B53" w:rsidRDefault="00026B0E" w:rsidP="00026B0E">
      <w:pPr>
        <w:pStyle w:val="SingleTxtG"/>
        <w:rPr>
          <w:lang w:val="fr-FR"/>
        </w:rPr>
      </w:pPr>
      <w:r w:rsidRPr="00F82F28">
        <w:rPr>
          <w:lang w:val="fr-FR"/>
        </w:rPr>
        <w:t>107.</w:t>
      </w:r>
      <w:r w:rsidRPr="00F82F28">
        <w:rPr>
          <w:lang w:val="fr-FR"/>
        </w:rPr>
        <w:tab/>
        <w:t>Le Sous-Comité a adopté à la majorité les précisions apportées au 2.9.3.4.3.4, telles qu</w:t>
      </w:r>
      <w:r w:rsidR="000B2B75">
        <w:rPr>
          <w:lang w:val="fr-FR"/>
        </w:rPr>
        <w:t>’</w:t>
      </w:r>
      <w:r w:rsidRPr="00F82F28">
        <w:rPr>
          <w:lang w:val="fr-FR"/>
        </w:rPr>
        <w:t>énoncées dans le document ST/SG/AC.10/C.3/2020/33 (option 2) (voir annexe</w:t>
      </w:r>
      <w:r>
        <w:rPr>
          <w:lang w:val="fr-FR"/>
        </w:rPr>
        <w:t xml:space="preserve"> I</w:t>
      </w:r>
      <w:r w:rsidRPr="00F82F28">
        <w:rPr>
          <w:lang w:val="fr-FR"/>
        </w:rPr>
        <w:t>).</w:t>
      </w:r>
    </w:p>
    <w:p w14:paraId="7EC42FBE" w14:textId="77777777" w:rsidR="00026B0E" w:rsidRPr="007F3B53" w:rsidRDefault="00026B0E" w:rsidP="00EC505F">
      <w:pPr>
        <w:pStyle w:val="H1G"/>
        <w:rPr>
          <w:lang w:val="fr-FR"/>
        </w:rPr>
      </w:pPr>
      <w:r>
        <w:rPr>
          <w:lang w:val="fr-FR"/>
        </w:rPr>
        <w:lastRenderedPageBreak/>
        <w:tab/>
      </w:r>
      <w:r w:rsidRPr="00F82F28">
        <w:rPr>
          <w:lang w:val="fr-FR"/>
        </w:rPr>
        <w:t>C.</w:t>
      </w:r>
      <w:r w:rsidRPr="00F82F28">
        <w:rPr>
          <w:lang w:val="fr-FR"/>
        </w:rPr>
        <w:tab/>
      </w:r>
      <w:r w:rsidRPr="00F82F28">
        <w:rPr>
          <w:bCs/>
          <w:lang w:val="fr-FR"/>
        </w:rPr>
        <w:t>Épreuves relatives aux matières comburantes</w:t>
      </w:r>
    </w:p>
    <w:p w14:paraId="4768790B" w14:textId="77777777" w:rsidR="00026B0E" w:rsidRPr="007F3B53" w:rsidRDefault="00026B0E" w:rsidP="00B30BCF">
      <w:pPr>
        <w:pStyle w:val="H23G"/>
        <w:rPr>
          <w:lang w:val="fr-FR"/>
        </w:rPr>
      </w:pPr>
      <w:r w:rsidRPr="00F82F28">
        <w:rPr>
          <w:lang w:val="fr-FR"/>
        </w:rPr>
        <w:tab/>
      </w:r>
      <w:r w:rsidRPr="00F82F28">
        <w:rPr>
          <w:lang w:val="fr-FR"/>
        </w:rPr>
        <w:tab/>
        <w:t>Épreuves relatives aux matières comburantes liquides ou solides</w:t>
      </w:r>
      <w:r w:rsidR="00B30BCF">
        <w:rPr>
          <w:lang w:val="fr-FR"/>
        </w:rPr>
        <w:t> </w:t>
      </w:r>
      <w:r w:rsidRPr="00F82F28">
        <w:rPr>
          <w:lang w:val="fr-FR"/>
        </w:rPr>
        <w:t xml:space="preserve">: amélioration </w:t>
      </w:r>
      <w:r w:rsidR="00B30BCF">
        <w:rPr>
          <w:lang w:val="fr-FR"/>
        </w:rPr>
        <w:br/>
      </w:r>
      <w:r w:rsidRPr="00F82F28">
        <w:rPr>
          <w:lang w:val="fr-FR"/>
        </w:rPr>
        <w:t xml:space="preserve">de la prise en considération de la taille des particules, </w:t>
      </w:r>
      <w:r w:rsidR="00B30BCF">
        <w:rPr>
          <w:lang w:val="fr-FR"/>
        </w:rPr>
        <w:br/>
      </w:r>
      <w:r w:rsidRPr="00F82F28">
        <w:rPr>
          <w:lang w:val="fr-FR"/>
        </w:rPr>
        <w:t>des matières friables ou des matières enrobées</w:t>
      </w:r>
    </w:p>
    <w:p w14:paraId="0DF87FEE" w14:textId="77777777" w:rsidR="00026B0E" w:rsidRPr="007F3B53" w:rsidRDefault="00026B0E" w:rsidP="00B30BCF">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4D3879">
        <w:rPr>
          <w:i/>
          <w:iCs/>
          <w:lang w:val="fr-FR"/>
        </w:rPr>
        <w:t> </w:t>
      </w:r>
      <w:r w:rsidRPr="00F82F28">
        <w:rPr>
          <w:i/>
          <w:iCs/>
          <w:lang w:val="fr-FR"/>
        </w:rPr>
        <w:t>:</w:t>
      </w:r>
      <w:r w:rsidRPr="00F82F28">
        <w:rPr>
          <w:lang w:val="fr-FR"/>
        </w:rPr>
        <w:tab/>
        <w:t>ST/SG/AC.10/C.3/2020/30 (France)</w:t>
      </w:r>
    </w:p>
    <w:p w14:paraId="11507447" w14:textId="54263716" w:rsidR="00026B0E" w:rsidRPr="007F3B53" w:rsidRDefault="00026B0E" w:rsidP="00026B0E">
      <w:pPr>
        <w:pStyle w:val="SingleTxtG"/>
        <w:rPr>
          <w:lang w:val="fr-FR"/>
        </w:rPr>
      </w:pPr>
      <w:r w:rsidRPr="00F82F28">
        <w:rPr>
          <w:lang w:val="fr-FR"/>
        </w:rPr>
        <w:t>108.</w:t>
      </w:r>
      <w:r w:rsidRPr="00F82F28">
        <w:rPr>
          <w:lang w:val="fr-FR"/>
        </w:rPr>
        <w:tab/>
        <w:t>Le Sous-Comité a adopté les amendements proposés pour le Manuel d</w:t>
      </w:r>
      <w:r w:rsidR="000B2B75">
        <w:rPr>
          <w:lang w:val="fr-FR"/>
        </w:rPr>
        <w:t>’</w:t>
      </w:r>
      <w:r w:rsidRPr="00F82F28">
        <w:rPr>
          <w:lang w:val="fr-FR"/>
        </w:rPr>
        <w:t>épreuves et de critères (voir annexe II).</w:t>
      </w:r>
    </w:p>
    <w:p w14:paraId="56897EB7" w14:textId="77777777" w:rsidR="00026B0E" w:rsidRPr="007F3B53" w:rsidRDefault="00026B0E" w:rsidP="00B30BCF">
      <w:pPr>
        <w:pStyle w:val="H1G"/>
        <w:rPr>
          <w:lang w:val="fr-FR"/>
        </w:rPr>
      </w:pPr>
      <w:r>
        <w:rPr>
          <w:lang w:val="fr-FR"/>
        </w:rPr>
        <w:tab/>
      </w:r>
      <w:r w:rsidRPr="00F82F28">
        <w:rPr>
          <w:lang w:val="fr-FR"/>
        </w:rPr>
        <w:t>D.</w:t>
      </w:r>
      <w:r w:rsidRPr="00F82F28">
        <w:rPr>
          <w:lang w:val="fr-FR"/>
        </w:rPr>
        <w:tab/>
      </w:r>
      <w:r w:rsidRPr="00F82F28">
        <w:rPr>
          <w:bCs/>
          <w:lang w:val="fr-FR"/>
        </w:rPr>
        <w:t>Produits chimiques sous pression</w:t>
      </w:r>
    </w:p>
    <w:p w14:paraId="73CF11C9" w14:textId="1E9A3D12" w:rsidR="00026B0E" w:rsidRPr="007F3B53" w:rsidRDefault="00026B0E" w:rsidP="00026B0E">
      <w:pPr>
        <w:pStyle w:val="SingleTxtG"/>
        <w:rPr>
          <w:lang w:val="fr-FR"/>
        </w:rPr>
      </w:pPr>
      <w:r w:rsidRPr="00F82F28">
        <w:rPr>
          <w:lang w:val="fr-FR"/>
        </w:rPr>
        <w:t>109.</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69EA4E05" w14:textId="251F9945" w:rsidR="00026B0E" w:rsidRPr="007F3B53" w:rsidRDefault="00026B0E" w:rsidP="00BB7751">
      <w:pPr>
        <w:pStyle w:val="H1G"/>
        <w:rPr>
          <w:lang w:val="fr-FR"/>
        </w:rPr>
      </w:pPr>
      <w:r>
        <w:rPr>
          <w:lang w:val="fr-FR"/>
        </w:rPr>
        <w:tab/>
      </w:r>
      <w:r w:rsidRPr="00F82F28">
        <w:rPr>
          <w:lang w:val="fr-FR"/>
        </w:rPr>
        <w:t>E.</w:t>
      </w:r>
      <w:r w:rsidRPr="00F82F28">
        <w:rPr>
          <w:lang w:val="fr-FR"/>
        </w:rPr>
        <w:tab/>
      </w:r>
      <w:r w:rsidRPr="00F82F28">
        <w:rPr>
          <w:bCs/>
          <w:lang w:val="fr-FR"/>
        </w:rPr>
        <w:t>Mise à jour des références aux directives de l</w:t>
      </w:r>
      <w:r w:rsidR="000B2B75">
        <w:rPr>
          <w:bCs/>
          <w:lang w:val="fr-FR"/>
        </w:rPr>
        <w:t>’</w:t>
      </w:r>
      <w:r w:rsidRPr="00F82F28">
        <w:rPr>
          <w:bCs/>
          <w:lang w:val="fr-FR"/>
        </w:rPr>
        <w:t>OCDE</w:t>
      </w:r>
    </w:p>
    <w:p w14:paraId="5CBFF559" w14:textId="225833C6" w:rsidR="00026B0E" w:rsidRPr="007F3B53" w:rsidRDefault="00026B0E" w:rsidP="00026B0E">
      <w:pPr>
        <w:pStyle w:val="SingleTxtG"/>
        <w:rPr>
          <w:lang w:val="fr-FR"/>
        </w:rPr>
      </w:pPr>
      <w:r w:rsidRPr="00F82F28">
        <w:rPr>
          <w:lang w:val="fr-FR"/>
        </w:rPr>
        <w:t>110.</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4B3447E0" w14:textId="77777777" w:rsidR="00026B0E" w:rsidRPr="007F3B53" w:rsidRDefault="00026B0E" w:rsidP="00BB7751">
      <w:pPr>
        <w:pStyle w:val="H1G"/>
        <w:rPr>
          <w:lang w:val="fr-FR"/>
        </w:rPr>
      </w:pPr>
      <w:r>
        <w:rPr>
          <w:lang w:val="fr-FR"/>
        </w:rPr>
        <w:tab/>
      </w:r>
      <w:r w:rsidRPr="00F82F28">
        <w:rPr>
          <w:lang w:val="fr-FR"/>
        </w:rPr>
        <w:t>F.</w:t>
      </w:r>
      <w:r w:rsidRPr="00F82F28">
        <w:rPr>
          <w:lang w:val="fr-FR"/>
        </w:rPr>
        <w:tab/>
      </w:r>
      <w:r w:rsidRPr="00F82F28">
        <w:rPr>
          <w:bCs/>
          <w:lang w:val="fr-FR"/>
        </w:rPr>
        <w:t xml:space="preserve">Classification simultanée des dangers physiques </w:t>
      </w:r>
      <w:r w:rsidR="00BB7751">
        <w:rPr>
          <w:bCs/>
          <w:lang w:val="fr-FR"/>
        </w:rPr>
        <w:br/>
      </w:r>
      <w:r w:rsidRPr="00F82F28">
        <w:rPr>
          <w:bCs/>
          <w:lang w:val="fr-FR"/>
        </w:rPr>
        <w:t>et ordre de prépondérance des dangers</w:t>
      </w:r>
    </w:p>
    <w:p w14:paraId="2FB62F79" w14:textId="5526A21E" w:rsidR="00026B0E" w:rsidRPr="007F3B53" w:rsidRDefault="00026B0E" w:rsidP="00026B0E">
      <w:pPr>
        <w:pStyle w:val="SingleTxtG"/>
        <w:rPr>
          <w:lang w:val="fr-FR"/>
        </w:rPr>
      </w:pPr>
      <w:r w:rsidRPr="00F82F28">
        <w:rPr>
          <w:lang w:val="fr-FR"/>
        </w:rPr>
        <w:t>111.</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7B47F94A" w14:textId="77777777" w:rsidR="00026B0E" w:rsidRPr="007F3B53" w:rsidRDefault="00026B0E" w:rsidP="00BB7751">
      <w:pPr>
        <w:pStyle w:val="H1G"/>
        <w:rPr>
          <w:lang w:val="fr-FR"/>
        </w:rPr>
      </w:pPr>
      <w:r>
        <w:rPr>
          <w:lang w:val="fr-FR"/>
        </w:rPr>
        <w:tab/>
      </w:r>
      <w:r w:rsidRPr="00F82F28">
        <w:rPr>
          <w:lang w:val="fr-FR"/>
        </w:rPr>
        <w:t>G.</w:t>
      </w:r>
      <w:r w:rsidRPr="00F82F28">
        <w:rPr>
          <w:lang w:val="fr-FR"/>
        </w:rPr>
        <w:tab/>
      </w:r>
      <w:r w:rsidRPr="00F82F28">
        <w:rPr>
          <w:lang w:val="fr-FR"/>
        </w:rPr>
        <w:tab/>
      </w:r>
      <w:r w:rsidR="00BB7751">
        <w:rPr>
          <w:bCs/>
          <w:lang w:val="fr-FR"/>
        </w:rPr>
        <w:t>A</w:t>
      </w:r>
      <w:r w:rsidRPr="00BB7751">
        <w:rPr>
          <w:bCs/>
          <w:lang w:val="fr-FR"/>
        </w:rPr>
        <w:t>utres</w:t>
      </w:r>
      <w:r>
        <w:rPr>
          <w:lang w:val="fr-FR"/>
        </w:rPr>
        <w:t xml:space="preserve"> </w:t>
      </w:r>
      <w:r>
        <w:rPr>
          <w:bCs/>
          <w:lang w:val="fr-FR"/>
        </w:rPr>
        <w:t>q</w:t>
      </w:r>
      <w:r w:rsidRPr="00F82F28">
        <w:rPr>
          <w:bCs/>
          <w:lang w:val="fr-FR"/>
        </w:rPr>
        <w:t>uestions</w:t>
      </w:r>
    </w:p>
    <w:p w14:paraId="13337EE7" w14:textId="0E14DBBA" w:rsidR="00026B0E" w:rsidRPr="007F3B53" w:rsidRDefault="00026B0E" w:rsidP="00026B0E">
      <w:pPr>
        <w:pStyle w:val="SingleTxtG"/>
        <w:rPr>
          <w:lang w:val="fr-FR"/>
        </w:rPr>
      </w:pPr>
      <w:r w:rsidRPr="00F82F28">
        <w:rPr>
          <w:lang w:val="fr-FR"/>
        </w:rPr>
        <w:t>112.</w:t>
      </w:r>
      <w:r w:rsidRPr="00F82F28">
        <w:rPr>
          <w:lang w:val="fr-FR"/>
        </w:rPr>
        <w:tab/>
        <w:t>Aucun document n</w:t>
      </w:r>
      <w:r w:rsidR="000B2B75">
        <w:rPr>
          <w:lang w:val="fr-FR"/>
        </w:rPr>
        <w:t>’</w:t>
      </w:r>
      <w:r w:rsidRPr="00F82F28">
        <w:rPr>
          <w:lang w:val="fr-FR"/>
        </w:rPr>
        <w:t>ayant été soumis au titre de ce point de l</w:t>
      </w:r>
      <w:r w:rsidR="000B2B75">
        <w:rPr>
          <w:lang w:val="fr-FR"/>
        </w:rPr>
        <w:t>’</w:t>
      </w:r>
      <w:r w:rsidRPr="00F82F28">
        <w:rPr>
          <w:lang w:val="fr-FR"/>
        </w:rPr>
        <w:t>ordre du jour, la question n</w:t>
      </w:r>
      <w:r w:rsidR="000B2B75">
        <w:rPr>
          <w:lang w:val="fr-FR"/>
        </w:rPr>
        <w:t>’</w:t>
      </w:r>
      <w:r w:rsidRPr="00F82F28">
        <w:rPr>
          <w:lang w:val="fr-FR"/>
        </w:rPr>
        <w:t>a pas été abordée.</w:t>
      </w:r>
    </w:p>
    <w:p w14:paraId="39981080" w14:textId="55C44E04" w:rsidR="00026B0E" w:rsidRPr="007F3B53" w:rsidRDefault="00026B0E" w:rsidP="00BB7751">
      <w:pPr>
        <w:pStyle w:val="HChG"/>
        <w:rPr>
          <w:lang w:val="fr-FR"/>
        </w:rPr>
      </w:pPr>
      <w:r>
        <w:rPr>
          <w:lang w:val="fr-FR"/>
        </w:rPr>
        <w:tab/>
      </w:r>
      <w:r w:rsidRPr="002C029C">
        <w:rPr>
          <w:lang w:val="fr-FR"/>
        </w:rPr>
        <w:t>XIII.</w:t>
      </w:r>
      <w:r w:rsidRPr="002C029C">
        <w:rPr>
          <w:lang w:val="fr-FR"/>
        </w:rPr>
        <w:tab/>
        <w:t>Programme de travail pour la période biennale 2021-2022 (point 12 de l</w:t>
      </w:r>
      <w:r w:rsidR="000B2B75">
        <w:rPr>
          <w:lang w:val="fr-FR"/>
        </w:rPr>
        <w:t>’</w:t>
      </w:r>
      <w:r w:rsidRPr="002C029C">
        <w:rPr>
          <w:lang w:val="fr-FR"/>
        </w:rPr>
        <w:t>ordre du jour)</w:t>
      </w:r>
    </w:p>
    <w:p w14:paraId="19BDDB44" w14:textId="77777777" w:rsidR="00026B0E" w:rsidRPr="007F3B53" w:rsidRDefault="00026B0E" w:rsidP="00BB7751">
      <w:pPr>
        <w:pStyle w:val="H1G"/>
        <w:rPr>
          <w:lang w:val="fr-FR"/>
        </w:rPr>
      </w:pPr>
      <w:r>
        <w:rPr>
          <w:lang w:val="fr-FR"/>
        </w:rPr>
        <w:tab/>
      </w:r>
      <w:r w:rsidRPr="00F82F28">
        <w:rPr>
          <w:lang w:val="fr-FR"/>
        </w:rPr>
        <w:t>A.</w:t>
      </w:r>
      <w:r w:rsidRPr="00F82F28">
        <w:rPr>
          <w:lang w:val="fr-FR"/>
        </w:rPr>
        <w:tab/>
      </w:r>
      <w:r w:rsidRPr="00F82F28">
        <w:rPr>
          <w:bCs/>
          <w:lang w:val="fr-FR"/>
        </w:rPr>
        <w:t>Uniformisation des interprétations</w:t>
      </w:r>
    </w:p>
    <w:p w14:paraId="23916E3C" w14:textId="6634035D" w:rsidR="00026B0E" w:rsidRPr="007F3B53" w:rsidRDefault="00026B0E" w:rsidP="00BB7751">
      <w:pPr>
        <w:pStyle w:val="SingleTxtG"/>
        <w:tabs>
          <w:tab w:val="clear" w:pos="1701"/>
          <w:tab w:val="clear" w:pos="2268"/>
          <w:tab w:val="clear" w:pos="2835"/>
          <w:tab w:val="left" w:pos="3402"/>
        </w:tabs>
        <w:ind w:left="3402" w:hanging="2268"/>
        <w:jc w:val="left"/>
        <w:rPr>
          <w:lang w:val="fr-FR"/>
        </w:rPr>
      </w:pPr>
      <w:r w:rsidRPr="00F82F28">
        <w:rPr>
          <w:i/>
          <w:iCs/>
          <w:lang w:val="fr-FR"/>
        </w:rPr>
        <w:t>Document</w:t>
      </w:r>
      <w:r w:rsidR="004D3879">
        <w:rPr>
          <w:i/>
          <w:iCs/>
          <w:lang w:val="fr-FR"/>
        </w:rPr>
        <w:t> </w:t>
      </w:r>
      <w:r w:rsidRPr="00F82F28">
        <w:rPr>
          <w:i/>
          <w:iCs/>
          <w:lang w:val="fr-FR"/>
        </w:rPr>
        <w:t>:</w:t>
      </w:r>
      <w:r w:rsidRPr="00F82F28">
        <w:rPr>
          <w:lang w:val="fr-FR"/>
        </w:rPr>
        <w:tab/>
        <w:t>ST/SG/AC.10/C.3/2020/73 (États-Unis d</w:t>
      </w:r>
      <w:r w:rsidR="000B2B75">
        <w:rPr>
          <w:lang w:val="fr-FR"/>
        </w:rPr>
        <w:t>’</w:t>
      </w:r>
      <w:r w:rsidRPr="00F82F28">
        <w:rPr>
          <w:lang w:val="fr-FR"/>
        </w:rPr>
        <w:t>Amérique)</w:t>
      </w:r>
      <w:r>
        <w:rPr>
          <w:lang w:val="fr-FR"/>
        </w:rPr>
        <w:t>.</w:t>
      </w:r>
    </w:p>
    <w:p w14:paraId="1D3EC5EC" w14:textId="193A4BB8" w:rsidR="00026B0E" w:rsidRPr="007F3B53" w:rsidRDefault="00026B0E" w:rsidP="00026B0E">
      <w:pPr>
        <w:pStyle w:val="SingleTxtG"/>
        <w:rPr>
          <w:b/>
          <w:lang w:val="fr-FR"/>
        </w:rPr>
      </w:pPr>
      <w:r w:rsidRPr="00F82F28">
        <w:rPr>
          <w:lang w:val="fr-FR"/>
        </w:rPr>
        <w:t>113.</w:t>
      </w:r>
      <w:r w:rsidRPr="00F82F28">
        <w:rPr>
          <w:lang w:val="fr-FR"/>
        </w:rPr>
        <w:tab/>
        <w:t xml:space="preserve">Le Sous-Comité a </w:t>
      </w:r>
      <w:r>
        <w:rPr>
          <w:lang w:val="fr-FR"/>
        </w:rPr>
        <w:t>pris note du soutien général en faveur de l</w:t>
      </w:r>
      <w:r w:rsidR="000B2B75">
        <w:rPr>
          <w:lang w:val="fr-FR"/>
        </w:rPr>
        <w:t>’</w:t>
      </w:r>
      <w:r>
        <w:rPr>
          <w:lang w:val="fr-FR"/>
        </w:rPr>
        <w:t>i</w:t>
      </w:r>
      <w:r w:rsidRPr="00F82F28">
        <w:rPr>
          <w:lang w:val="fr-FR"/>
        </w:rPr>
        <w:t>nclusion dans le nouveau programme de travail d</w:t>
      </w:r>
      <w:r w:rsidR="000B2B75">
        <w:rPr>
          <w:lang w:val="fr-FR"/>
        </w:rPr>
        <w:t>’</w:t>
      </w:r>
      <w:r w:rsidRPr="00F82F28">
        <w:rPr>
          <w:lang w:val="fr-FR"/>
        </w:rPr>
        <w:t>un point particulier pour traiter la question de l</w:t>
      </w:r>
      <w:r w:rsidR="000B2B75">
        <w:rPr>
          <w:lang w:val="fr-FR"/>
        </w:rPr>
        <w:t>’</w:t>
      </w:r>
      <w:r w:rsidRPr="00F82F28">
        <w:rPr>
          <w:lang w:val="fr-FR"/>
        </w:rPr>
        <w:t>interprétation de certaines dispositions.</w:t>
      </w:r>
    </w:p>
    <w:p w14:paraId="0C3BA536" w14:textId="41116326" w:rsidR="00026B0E" w:rsidRPr="007F3B53" w:rsidRDefault="00026B0E" w:rsidP="00BB7751">
      <w:pPr>
        <w:pStyle w:val="H1G"/>
        <w:rPr>
          <w:lang w:val="fr-FR"/>
        </w:rPr>
      </w:pPr>
      <w:r>
        <w:rPr>
          <w:lang w:val="fr-FR"/>
        </w:rPr>
        <w:tab/>
      </w:r>
      <w:r w:rsidRPr="00F82F28">
        <w:rPr>
          <w:lang w:val="fr-FR"/>
        </w:rPr>
        <w:t>B.</w:t>
      </w:r>
      <w:r w:rsidRPr="00F82F28">
        <w:rPr>
          <w:lang w:val="fr-FR"/>
        </w:rPr>
        <w:tab/>
      </w:r>
      <w:r w:rsidRPr="00F82F28">
        <w:rPr>
          <w:bCs/>
          <w:lang w:val="fr-FR"/>
        </w:rPr>
        <w:t>Mise en œuvre du Règlement type de l</w:t>
      </w:r>
      <w:r w:rsidR="000B2B75">
        <w:rPr>
          <w:bCs/>
          <w:lang w:val="fr-FR"/>
        </w:rPr>
        <w:t>’</w:t>
      </w:r>
      <w:r w:rsidRPr="00F82F28">
        <w:rPr>
          <w:bCs/>
          <w:lang w:val="fr-FR"/>
        </w:rPr>
        <w:t>ONU</w:t>
      </w:r>
    </w:p>
    <w:p w14:paraId="673DBE1D" w14:textId="7CBD348A" w:rsidR="00026B0E" w:rsidRPr="007F3B53" w:rsidRDefault="00026B0E" w:rsidP="00BB7751">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4D3879">
        <w:rPr>
          <w:i/>
          <w:iCs/>
          <w:lang w:val="fr-FR"/>
        </w:rPr>
        <w:t> </w:t>
      </w:r>
      <w:r w:rsidRPr="00F82F28">
        <w:rPr>
          <w:i/>
          <w:iCs/>
          <w:lang w:val="fr-FR"/>
        </w:rPr>
        <w:t>:</w:t>
      </w:r>
      <w:r w:rsidRPr="00F82F28">
        <w:rPr>
          <w:lang w:val="fr-FR"/>
        </w:rPr>
        <w:tab/>
        <w:t>INF.25 (États-Unis d</w:t>
      </w:r>
      <w:r w:rsidR="000B2B75">
        <w:rPr>
          <w:lang w:val="fr-FR"/>
        </w:rPr>
        <w:t>’</w:t>
      </w:r>
      <w:r w:rsidRPr="00F82F28">
        <w:rPr>
          <w:lang w:val="fr-FR"/>
        </w:rPr>
        <w:t>Amérique)</w:t>
      </w:r>
      <w:r>
        <w:rPr>
          <w:lang w:val="fr-FR"/>
        </w:rPr>
        <w:t>.</w:t>
      </w:r>
    </w:p>
    <w:p w14:paraId="46B352E6" w14:textId="3BC7C43A" w:rsidR="00026B0E" w:rsidRPr="007F3B53" w:rsidRDefault="00026B0E" w:rsidP="00026B0E">
      <w:pPr>
        <w:pStyle w:val="SingleTxtG"/>
        <w:rPr>
          <w:lang w:val="fr-FR"/>
        </w:rPr>
      </w:pPr>
      <w:r w:rsidRPr="00F82F28">
        <w:rPr>
          <w:lang w:val="fr-FR"/>
        </w:rPr>
        <w:t>114.</w:t>
      </w:r>
      <w:r w:rsidRPr="00F82F28">
        <w:rPr>
          <w:lang w:val="fr-FR"/>
        </w:rPr>
        <w:tab/>
        <w:t>Le Règlement type de l</w:t>
      </w:r>
      <w:r w:rsidR="000B2B75">
        <w:rPr>
          <w:lang w:val="fr-FR"/>
        </w:rPr>
        <w:t>’</w:t>
      </w:r>
      <w:r w:rsidRPr="00F82F28">
        <w:rPr>
          <w:lang w:val="fr-FR"/>
        </w:rPr>
        <w:t>ONU est le texte fondamental, à l</w:t>
      </w:r>
      <w:r w:rsidR="000B2B75">
        <w:rPr>
          <w:lang w:val="fr-FR"/>
        </w:rPr>
        <w:t>’</w:t>
      </w:r>
      <w:r w:rsidRPr="00F82F28">
        <w:rPr>
          <w:lang w:val="fr-FR"/>
        </w:rPr>
        <w:t>échelle internationale, en</w:t>
      </w:r>
      <w:r w:rsidR="00F77504">
        <w:rPr>
          <w:lang w:val="fr-FR"/>
        </w:rPr>
        <w:t xml:space="preserve"> </w:t>
      </w:r>
      <w:r w:rsidRPr="00F82F28">
        <w:rPr>
          <w:lang w:val="fr-FR"/>
        </w:rPr>
        <w:t>ce qui concerne la sûreté du transport multimodal des marchandises dangereuses, dans la mesure où il favorise la sécurité et facilite les opérations de transport. À mesure que les chaînes d</w:t>
      </w:r>
      <w:r w:rsidR="000B2B75">
        <w:rPr>
          <w:lang w:val="fr-FR"/>
        </w:rPr>
        <w:t>’</w:t>
      </w:r>
      <w:r w:rsidRPr="00F82F28">
        <w:rPr>
          <w:lang w:val="fr-FR"/>
        </w:rPr>
        <w:t>approvisionnement s</w:t>
      </w:r>
      <w:r w:rsidR="000B2B75">
        <w:rPr>
          <w:lang w:val="fr-FR"/>
        </w:rPr>
        <w:t>’</w:t>
      </w:r>
      <w:r w:rsidRPr="00F82F28">
        <w:rPr>
          <w:lang w:val="fr-FR"/>
        </w:rPr>
        <w:t>étendent sur les continents et se complexifient, l</w:t>
      </w:r>
      <w:r w:rsidR="000B2B75">
        <w:rPr>
          <w:lang w:val="fr-FR"/>
        </w:rPr>
        <w:t>’</w:t>
      </w:r>
      <w:r w:rsidRPr="00F82F28">
        <w:rPr>
          <w:lang w:val="fr-FR"/>
        </w:rPr>
        <w:t>action du Sous-Comité et l</w:t>
      </w:r>
      <w:r w:rsidR="000B2B75">
        <w:rPr>
          <w:lang w:val="fr-FR"/>
        </w:rPr>
        <w:t>’</w:t>
      </w:r>
      <w:r w:rsidRPr="00F82F28">
        <w:rPr>
          <w:lang w:val="fr-FR"/>
        </w:rPr>
        <w:t>importance de l</w:t>
      </w:r>
      <w:r w:rsidR="000B2B75">
        <w:rPr>
          <w:lang w:val="fr-FR"/>
        </w:rPr>
        <w:t>’</w:t>
      </w:r>
      <w:r w:rsidRPr="00F82F28">
        <w:rPr>
          <w:lang w:val="fr-FR"/>
        </w:rPr>
        <w:t>harmonisation des réglementations nationales portant sur les marchandises dangereuses avec la version la plus à jour du Règlement type sont de plus en plus cruciales.</w:t>
      </w:r>
    </w:p>
    <w:p w14:paraId="68801EC3" w14:textId="6D1769FE" w:rsidR="00026B0E" w:rsidRPr="007F3B53" w:rsidRDefault="00026B0E" w:rsidP="00F77504">
      <w:pPr>
        <w:pStyle w:val="SingleTxtG"/>
        <w:keepNext/>
        <w:keepLines/>
        <w:rPr>
          <w:lang w:val="fr-FR"/>
        </w:rPr>
      </w:pPr>
      <w:r w:rsidRPr="00F82F28">
        <w:rPr>
          <w:lang w:val="fr-FR"/>
        </w:rPr>
        <w:lastRenderedPageBreak/>
        <w:t>115.</w:t>
      </w:r>
      <w:r w:rsidRPr="00F82F28">
        <w:rPr>
          <w:lang w:val="fr-FR"/>
        </w:rPr>
        <w:tab/>
        <w:t>Une membre du secrétariat a informé le Sous-Comité qu</w:t>
      </w:r>
      <w:r w:rsidR="000B2B75">
        <w:rPr>
          <w:lang w:val="fr-FR"/>
        </w:rPr>
        <w:t>’</w:t>
      </w:r>
      <w:r w:rsidRPr="00F82F28">
        <w:rPr>
          <w:lang w:val="fr-FR"/>
        </w:rPr>
        <w:t>un projet de rapport sur l</w:t>
      </w:r>
      <w:r w:rsidR="000B2B75">
        <w:rPr>
          <w:lang w:val="fr-FR"/>
        </w:rPr>
        <w:t>’</w:t>
      </w:r>
      <w:r w:rsidRPr="00F82F28">
        <w:rPr>
          <w:lang w:val="fr-FR"/>
        </w:rPr>
        <w:t>état de l</w:t>
      </w:r>
      <w:r w:rsidR="000B2B75">
        <w:rPr>
          <w:lang w:val="fr-FR"/>
        </w:rPr>
        <w:t>’</w:t>
      </w:r>
      <w:r>
        <w:rPr>
          <w:lang w:val="fr-FR"/>
        </w:rPr>
        <w:t xml:space="preserve">application </w:t>
      </w:r>
      <w:r w:rsidRPr="00F82F28">
        <w:rPr>
          <w:lang w:val="fr-FR"/>
        </w:rPr>
        <w:t>du SGH dans le monde avait été distribué en tant que document informel</w:t>
      </w:r>
      <w:r w:rsidR="00F77504">
        <w:rPr>
          <w:lang w:val="fr-FR"/>
        </w:rPr>
        <w:t> </w:t>
      </w:r>
      <w:r w:rsidRPr="00F82F28">
        <w:rPr>
          <w:lang w:val="fr-FR"/>
        </w:rPr>
        <w:t>INF.33 et ses Add.1 et 2 à la trente-neuvième session du Sous-Comité SGH. Elle a indiqué que le rapport contenait également des informations sur l</w:t>
      </w:r>
      <w:r w:rsidR="000B2B75">
        <w:rPr>
          <w:lang w:val="fr-FR"/>
        </w:rPr>
        <w:t>’</w:t>
      </w:r>
      <w:r w:rsidRPr="00F82F28">
        <w:rPr>
          <w:lang w:val="fr-FR"/>
        </w:rPr>
        <w:t>état de l</w:t>
      </w:r>
      <w:r w:rsidR="000B2B75">
        <w:rPr>
          <w:lang w:val="fr-FR"/>
        </w:rPr>
        <w:t>’</w:t>
      </w:r>
      <w:r w:rsidRPr="00F82F28">
        <w:rPr>
          <w:lang w:val="fr-FR"/>
        </w:rPr>
        <w:t xml:space="preserve">application du Règlement type pour les pays où ces informations étaient disponibles. Le Sous-Comité a été invité à prendre note des informations fournies dans le document informel INF.33 et ses additifs et à communiquer au secrétariat tous les détails relatifs à la mise en œuvre du Règlement type dont il pourrait avoir connaissance afin que les informations puissent être tenues à jour. </w:t>
      </w:r>
    </w:p>
    <w:p w14:paraId="16291D8C" w14:textId="0ADA3BA3" w:rsidR="00026B0E" w:rsidRPr="007F3B53" w:rsidRDefault="00026B0E" w:rsidP="00026B0E">
      <w:pPr>
        <w:pStyle w:val="SingleTxtG"/>
        <w:rPr>
          <w:lang w:val="fr-FR"/>
        </w:rPr>
      </w:pPr>
      <w:r w:rsidRPr="00F82F28">
        <w:rPr>
          <w:lang w:val="fr-FR"/>
        </w:rPr>
        <w:t>116.</w:t>
      </w:r>
      <w:r w:rsidRPr="00F82F28">
        <w:rPr>
          <w:lang w:val="fr-FR"/>
        </w:rPr>
        <w:tab/>
        <w:t>Le Sous-Comité a décidé de faire figurer l</w:t>
      </w:r>
      <w:r w:rsidR="000B2B75">
        <w:rPr>
          <w:lang w:val="fr-FR"/>
        </w:rPr>
        <w:t>’</w:t>
      </w:r>
      <w:r w:rsidRPr="00F82F28">
        <w:rPr>
          <w:lang w:val="fr-FR"/>
        </w:rPr>
        <w:t>examen systématique de la mise en œuvre du Règlement type à l</w:t>
      </w:r>
      <w:r w:rsidR="000B2B75">
        <w:rPr>
          <w:lang w:val="fr-FR"/>
        </w:rPr>
        <w:t>’</w:t>
      </w:r>
      <w:r w:rsidRPr="00F82F28">
        <w:rPr>
          <w:lang w:val="fr-FR"/>
        </w:rPr>
        <w:t>échelle mondiale dans le nouveau programme de travail, en faisant de ce sujet un point permanent de l</w:t>
      </w:r>
      <w:r w:rsidR="000B2B75">
        <w:rPr>
          <w:lang w:val="fr-FR"/>
        </w:rPr>
        <w:t>’</w:t>
      </w:r>
      <w:r w:rsidRPr="00F82F28">
        <w:rPr>
          <w:lang w:val="fr-FR"/>
        </w:rPr>
        <w:t>ordre du jour. Un tel examen permettrait de suivre, de promouvoir et de faciliter l</w:t>
      </w:r>
      <w:r w:rsidR="000B2B75">
        <w:rPr>
          <w:lang w:val="fr-FR"/>
        </w:rPr>
        <w:t>’</w:t>
      </w:r>
      <w:r w:rsidRPr="00F82F28">
        <w:rPr>
          <w:lang w:val="fr-FR"/>
        </w:rPr>
        <w:t>utilisation du Règlement type de manière transparente et</w:t>
      </w:r>
      <w:r>
        <w:rPr>
          <w:lang w:val="fr-FR"/>
        </w:rPr>
        <w:t>,</w:t>
      </w:r>
      <w:r w:rsidRPr="00F82F28">
        <w:rPr>
          <w:lang w:val="fr-FR"/>
        </w:rPr>
        <w:t xml:space="preserve"> donc</w:t>
      </w:r>
      <w:r>
        <w:rPr>
          <w:lang w:val="fr-FR"/>
        </w:rPr>
        <w:t>,</w:t>
      </w:r>
      <w:r w:rsidRPr="00F82F28">
        <w:rPr>
          <w:lang w:val="fr-FR"/>
        </w:rPr>
        <w:t xml:space="preserve"> de favoriser la sûreté du transport des marchandises dangereuses.</w:t>
      </w:r>
    </w:p>
    <w:p w14:paraId="425F3D41" w14:textId="54905978" w:rsidR="00026B0E" w:rsidRPr="007F3B53" w:rsidRDefault="00026B0E" w:rsidP="00026B0E">
      <w:pPr>
        <w:pStyle w:val="SingleTxtG"/>
        <w:rPr>
          <w:lang w:val="fr-FR"/>
        </w:rPr>
      </w:pPr>
      <w:r w:rsidRPr="00F82F28">
        <w:rPr>
          <w:lang w:val="fr-FR"/>
        </w:rPr>
        <w:t>117.</w:t>
      </w:r>
      <w:r w:rsidRPr="00F82F28">
        <w:rPr>
          <w:lang w:val="fr-FR"/>
        </w:rPr>
        <w:tab/>
        <w:t xml:space="preserve">Il a été noté que le Règlement type </w:t>
      </w:r>
      <w:r>
        <w:rPr>
          <w:lang w:val="fr-FR"/>
        </w:rPr>
        <w:t>était</w:t>
      </w:r>
      <w:r w:rsidRPr="00F82F28">
        <w:rPr>
          <w:lang w:val="fr-FR"/>
        </w:rPr>
        <w:t xml:space="preserve"> mis en œuvre pour le transport terrestre par </w:t>
      </w:r>
      <w:r>
        <w:rPr>
          <w:lang w:val="fr-FR"/>
        </w:rPr>
        <w:t>l</w:t>
      </w:r>
      <w:r w:rsidR="000B2B75">
        <w:rPr>
          <w:lang w:val="fr-FR"/>
        </w:rPr>
        <w:t>’</w:t>
      </w:r>
      <w:r>
        <w:rPr>
          <w:lang w:val="fr-FR"/>
        </w:rPr>
        <w:t xml:space="preserve">intermédiaire </w:t>
      </w:r>
      <w:r w:rsidRPr="00F82F28">
        <w:rPr>
          <w:lang w:val="fr-FR"/>
        </w:rPr>
        <w:t>du RID, de l</w:t>
      </w:r>
      <w:r w:rsidR="000B2B75">
        <w:rPr>
          <w:lang w:val="fr-FR"/>
        </w:rPr>
        <w:t>’</w:t>
      </w:r>
      <w:r w:rsidRPr="00F82F28">
        <w:rPr>
          <w:lang w:val="fr-FR"/>
        </w:rPr>
        <w:t>ADR et de l</w:t>
      </w:r>
      <w:r w:rsidR="000B2B75">
        <w:rPr>
          <w:lang w:val="fr-FR"/>
        </w:rPr>
        <w:t>’</w:t>
      </w:r>
      <w:r w:rsidRPr="00F82F28">
        <w:rPr>
          <w:lang w:val="fr-FR"/>
        </w:rPr>
        <w:t xml:space="preserve">ADN dans tous les pays </w:t>
      </w:r>
      <w:r>
        <w:rPr>
          <w:lang w:val="fr-FR"/>
        </w:rPr>
        <w:t>p</w:t>
      </w:r>
      <w:r w:rsidRPr="00F82F28">
        <w:rPr>
          <w:lang w:val="fr-FR"/>
        </w:rPr>
        <w:t>arties à ces accords. Les</w:t>
      </w:r>
      <w:r w:rsidR="00F77504">
        <w:rPr>
          <w:lang w:val="fr-FR"/>
        </w:rPr>
        <w:t> </w:t>
      </w:r>
      <w:r w:rsidRPr="00F82F28">
        <w:rPr>
          <w:lang w:val="fr-FR"/>
        </w:rPr>
        <w:t>autres pays ont été invités à faire part au secrétariat, s</w:t>
      </w:r>
      <w:r w:rsidR="000B2B75">
        <w:rPr>
          <w:lang w:val="fr-FR"/>
        </w:rPr>
        <w:t>’</w:t>
      </w:r>
      <w:r w:rsidRPr="00F82F28">
        <w:rPr>
          <w:lang w:val="fr-FR"/>
        </w:rPr>
        <w:t>ils le souhait</w:t>
      </w:r>
      <w:r>
        <w:rPr>
          <w:lang w:val="fr-FR"/>
        </w:rPr>
        <w:t>ai</w:t>
      </w:r>
      <w:r w:rsidRPr="00F82F28">
        <w:rPr>
          <w:lang w:val="fr-FR"/>
        </w:rPr>
        <w:t>ent, de l</w:t>
      </w:r>
      <w:r w:rsidR="000B2B75">
        <w:rPr>
          <w:lang w:val="fr-FR"/>
        </w:rPr>
        <w:t>’</w:t>
      </w:r>
      <w:r w:rsidRPr="00F82F28">
        <w:rPr>
          <w:lang w:val="fr-FR"/>
        </w:rPr>
        <w:t>état d</w:t>
      </w:r>
      <w:r w:rsidR="000B2B75">
        <w:rPr>
          <w:lang w:val="fr-FR"/>
        </w:rPr>
        <w:t>’</w:t>
      </w:r>
      <w:r w:rsidRPr="00F82F28">
        <w:rPr>
          <w:lang w:val="fr-FR"/>
        </w:rPr>
        <w:t>avancement de la mise en œuvre sur leur territoire.</w:t>
      </w:r>
    </w:p>
    <w:p w14:paraId="5ABDC5B2" w14:textId="77777777" w:rsidR="00026B0E" w:rsidRPr="007F3B53" w:rsidRDefault="00026B0E" w:rsidP="00BB7751">
      <w:pPr>
        <w:pStyle w:val="H1G"/>
        <w:rPr>
          <w:lang w:val="fr-FR"/>
        </w:rPr>
      </w:pPr>
      <w:r>
        <w:rPr>
          <w:lang w:val="fr-FR"/>
        </w:rPr>
        <w:tab/>
      </w:r>
      <w:r w:rsidRPr="00F82F28">
        <w:rPr>
          <w:lang w:val="fr-FR"/>
        </w:rPr>
        <w:t>C.</w:t>
      </w:r>
      <w:r w:rsidRPr="00F82F28">
        <w:rPr>
          <w:lang w:val="fr-FR"/>
        </w:rPr>
        <w:tab/>
      </w:r>
      <w:r w:rsidRPr="00F82F28">
        <w:rPr>
          <w:bCs/>
          <w:lang w:val="fr-FR"/>
        </w:rPr>
        <w:t xml:space="preserve">Formation à la sécurité et renforcement des capacités </w:t>
      </w:r>
      <w:r w:rsidR="00F77504">
        <w:rPr>
          <w:bCs/>
          <w:lang w:val="fr-FR"/>
        </w:rPr>
        <w:br/>
      </w:r>
      <w:r w:rsidRPr="00F82F28">
        <w:rPr>
          <w:bCs/>
          <w:lang w:val="fr-FR"/>
        </w:rPr>
        <w:t xml:space="preserve">en </w:t>
      </w:r>
      <w:r>
        <w:rPr>
          <w:bCs/>
          <w:lang w:val="fr-FR"/>
        </w:rPr>
        <w:t xml:space="preserve">ce qui concerne les </w:t>
      </w:r>
      <w:r w:rsidRPr="00F82F28">
        <w:rPr>
          <w:bCs/>
          <w:lang w:val="fr-FR"/>
        </w:rPr>
        <w:t>marchandises dangereuses</w:t>
      </w:r>
    </w:p>
    <w:p w14:paraId="3D562AC3" w14:textId="675E5178" w:rsidR="00026B0E" w:rsidRPr="007F3B53" w:rsidRDefault="00026B0E" w:rsidP="00BB7751">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4D3879">
        <w:rPr>
          <w:i/>
          <w:iCs/>
          <w:lang w:val="fr-FR"/>
        </w:rPr>
        <w:t> </w:t>
      </w:r>
      <w:r w:rsidRPr="00F82F28">
        <w:rPr>
          <w:i/>
          <w:iCs/>
          <w:lang w:val="fr-FR"/>
        </w:rPr>
        <w:t>:</w:t>
      </w:r>
      <w:r w:rsidRPr="00F82F28">
        <w:rPr>
          <w:lang w:val="fr-FR"/>
        </w:rPr>
        <w:tab/>
        <w:t>INF.26 (États-Unis d</w:t>
      </w:r>
      <w:r w:rsidR="000B2B75">
        <w:rPr>
          <w:lang w:val="fr-FR"/>
        </w:rPr>
        <w:t>’</w:t>
      </w:r>
      <w:r w:rsidRPr="00F82F28">
        <w:rPr>
          <w:lang w:val="fr-FR"/>
        </w:rPr>
        <w:t>Amérique)</w:t>
      </w:r>
    </w:p>
    <w:p w14:paraId="2DB3404D" w14:textId="6BC80462" w:rsidR="00026B0E" w:rsidRPr="007F3B53" w:rsidRDefault="00026B0E" w:rsidP="00026B0E">
      <w:pPr>
        <w:pStyle w:val="SingleTxtG"/>
        <w:rPr>
          <w:lang w:val="fr-FR"/>
        </w:rPr>
      </w:pPr>
      <w:r w:rsidRPr="00F82F28">
        <w:rPr>
          <w:lang w:val="fr-FR"/>
        </w:rPr>
        <w:t>118.</w:t>
      </w:r>
      <w:r w:rsidRPr="00F82F28">
        <w:rPr>
          <w:lang w:val="fr-FR"/>
        </w:rPr>
        <w:tab/>
        <w:t>Étant donné qu</w:t>
      </w:r>
      <w:r w:rsidR="000B2B75">
        <w:rPr>
          <w:lang w:val="fr-FR"/>
        </w:rPr>
        <w:t>’</w:t>
      </w:r>
      <w:r w:rsidRPr="00F82F28">
        <w:rPr>
          <w:lang w:val="fr-FR"/>
        </w:rPr>
        <w:t xml:space="preserve">une formation </w:t>
      </w:r>
      <w:r>
        <w:rPr>
          <w:lang w:val="fr-FR"/>
        </w:rPr>
        <w:t>appropriée promouv</w:t>
      </w:r>
      <w:r w:rsidRPr="00F82F28">
        <w:rPr>
          <w:lang w:val="fr-FR"/>
        </w:rPr>
        <w:t>ant le respect des dispositions du Règlement type en matière de sécurité est essentielle à la sûreté du transport des marchandises dangereuses, le Sous-Comité n</w:t>
      </w:r>
      <w:r w:rsidR="000B2B75">
        <w:rPr>
          <w:lang w:val="fr-FR"/>
        </w:rPr>
        <w:t>’</w:t>
      </w:r>
      <w:r w:rsidRPr="00F82F28">
        <w:rPr>
          <w:lang w:val="fr-FR"/>
        </w:rPr>
        <w:t>a pas constaté d</w:t>
      </w:r>
      <w:r w:rsidR="000B2B75">
        <w:rPr>
          <w:lang w:val="fr-FR"/>
        </w:rPr>
        <w:t>’</w:t>
      </w:r>
      <w:r w:rsidRPr="00F82F28">
        <w:rPr>
          <w:lang w:val="fr-FR"/>
        </w:rPr>
        <w:t>objection à l</w:t>
      </w:r>
      <w:r w:rsidR="000B2B75">
        <w:rPr>
          <w:lang w:val="fr-FR"/>
        </w:rPr>
        <w:t>’</w:t>
      </w:r>
      <w:r w:rsidRPr="00F82F28">
        <w:rPr>
          <w:lang w:val="fr-FR"/>
        </w:rPr>
        <w:t>idée d</w:t>
      </w:r>
      <w:r w:rsidR="000B2B75">
        <w:rPr>
          <w:lang w:val="fr-FR"/>
        </w:rPr>
        <w:t>’</w:t>
      </w:r>
      <w:r w:rsidRPr="00F82F28">
        <w:rPr>
          <w:lang w:val="fr-FR"/>
        </w:rPr>
        <w:t>un débat sur les avantages d</w:t>
      </w:r>
      <w:r w:rsidR="000B2B75">
        <w:rPr>
          <w:lang w:val="fr-FR"/>
        </w:rPr>
        <w:t>’</w:t>
      </w:r>
      <w:r w:rsidRPr="00F82F28">
        <w:rPr>
          <w:lang w:val="fr-FR"/>
        </w:rPr>
        <w:t>un renforcement des capacités grâce à une formation efficace en matière de transport de marchandises dangereuses.</w:t>
      </w:r>
    </w:p>
    <w:p w14:paraId="50B68C0F" w14:textId="77777777" w:rsidR="00026B0E" w:rsidRPr="007F3B53" w:rsidRDefault="00026B0E" w:rsidP="00BB7751">
      <w:pPr>
        <w:pStyle w:val="H1G"/>
        <w:rPr>
          <w:lang w:val="fr-FR"/>
        </w:rPr>
      </w:pPr>
      <w:r>
        <w:rPr>
          <w:lang w:val="fr-FR"/>
        </w:rPr>
        <w:tab/>
      </w:r>
      <w:r w:rsidRPr="00F82F28">
        <w:rPr>
          <w:lang w:val="fr-FR"/>
        </w:rPr>
        <w:t>D.</w:t>
      </w:r>
      <w:r w:rsidRPr="00F82F28">
        <w:rPr>
          <w:lang w:val="fr-FR"/>
        </w:rPr>
        <w:tab/>
      </w:r>
      <w:r w:rsidRPr="00F82F28">
        <w:rPr>
          <w:bCs/>
          <w:lang w:val="fr-FR"/>
        </w:rPr>
        <w:t>Gaz de la division 2.2 transportés en petites quantités</w:t>
      </w:r>
    </w:p>
    <w:p w14:paraId="0627FD3C" w14:textId="77777777" w:rsidR="00026B0E" w:rsidRPr="00DF0FF2" w:rsidRDefault="00026B0E" w:rsidP="00BB7751">
      <w:pPr>
        <w:pStyle w:val="SingleTxtG"/>
        <w:tabs>
          <w:tab w:val="clear" w:pos="1701"/>
          <w:tab w:val="clear" w:pos="2268"/>
          <w:tab w:val="clear" w:pos="2835"/>
          <w:tab w:val="left" w:pos="3402"/>
        </w:tabs>
        <w:ind w:left="3402" w:hanging="2268"/>
        <w:jc w:val="left"/>
        <w:rPr>
          <w:lang w:val="fr-FR"/>
        </w:rPr>
      </w:pPr>
      <w:r w:rsidRPr="00DF0FF2">
        <w:rPr>
          <w:i/>
          <w:iCs/>
          <w:lang w:val="fr-FR"/>
        </w:rPr>
        <w:t>Document informel</w:t>
      </w:r>
      <w:r w:rsidR="004D3879">
        <w:rPr>
          <w:i/>
          <w:iCs/>
          <w:lang w:val="fr-FR"/>
        </w:rPr>
        <w:t> </w:t>
      </w:r>
      <w:r w:rsidRPr="00DF0FF2">
        <w:rPr>
          <w:i/>
          <w:iCs/>
          <w:lang w:val="fr-FR"/>
        </w:rPr>
        <w:t>:</w:t>
      </w:r>
      <w:r w:rsidRPr="00DF0FF2">
        <w:rPr>
          <w:lang w:val="fr-FR"/>
        </w:rPr>
        <w:tab/>
        <w:t>INF.42 (COSTHA).</w:t>
      </w:r>
    </w:p>
    <w:p w14:paraId="472A9BD9" w14:textId="42AE6E6D" w:rsidR="00026B0E" w:rsidRPr="007F3B53" w:rsidRDefault="00026B0E" w:rsidP="00026B0E">
      <w:pPr>
        <w:pStyle w:val="SingleTxtG"/>
        <w:rPr>
          <w:lang w:val="fr-FR"/>
        </w:rPr>
      </w:pPr>
      <w:r w:rsidRPr="00F82F28">
        <w:rPr>
          <w:lang w:val="fr-FR"/>
        </w:rPr>
        <w:t>119.</w:t>
      </w:r>
      <w:r w:rsidRPr="00F82F28">
        <w:rPr>
          <w:lang w:val="fr-FR"/>
        </w:rPr>
        <w:tab/>
        <w:t>Au vu du débat antérieur sur une nouvelle disposition spéciale fondée sur la disposition spéciale 653 de l</w:t>
      </w:r>
      <w:r w:rsidR="000B2B75">
        <w:rPr>
          <w:lang w:val="fr-FR"/>
        </w:rPr>
        <w:t>’</w:t>
      </w:r>
      <w:r w:rsidRPr="00F82F28">
        <w:rPr>
          <w:lang w:val="fr-FR"/>
        </w:rPr>
        <w:t>ADR et de la préférence des délégations pour un examen du principe de l</w:t>
      </w:r>
      <w:r w:rsidR="000B2B75">
        <w:rPr>
          <w:lang w:val="fr-FR"/>
        </w:rPr>
        <w:t>’</w:t>
      </w:r>
      <w:r w:rsidRPr="00F82F28">
        <w:rPr>
          <w:lang w:val="fr-FR"/>
        </w:rPr>
        <w:t>extension des dispositions relatives aux marchandises dangereuses transportées en petites quantités aux gaz de la division 2.2, le Sous-Comité n</w:t>
      </w:r>
      <w:r w:rsidR="000B2B75">
        <w:rPr>
          <w:lang w:val="fr-FR"/>
        </w:rPr>
        <w:t>’</w:t>
      </w:r>
      <w:r w:rsidRPr="00F82F28">
        <w:rPr>
          <w:lang w:val="fr-FR"/>
        </w:rPr>
        <w:t>a constaté aucune opposition à l</w:t>
      </w:r>
      <w:r w:rsidR="000B2B75">
        <w:rPr>
          <w:lang w:val="fr-FR"/>
        </w:rPr>
        <w:t>’</w:t>
      </w:r>
      <w:r w:rsidRPr="00F82F28">
        <w:rPr>
          <w:lang w:val="fr-FR"/>
        </w:rPr>
        <w:t>inclusion de l</w:t>
      </w:r>
      <w:r w:rsidR="000B2B75">
        <w:rPr>
          <w:lang w:val="fr-FR"/>
        </w:rPr>
        <w:t>’</w:t>
      </w:r>
      <w:r w:rsidRPr="00F82F28">
        <w:rPr>
          <w:lang w:val="fr-FR"/>
        </w:rPr>
        <w:t xml:space="preserve">examen de la question des gaz de la division 2.2 </w:t>
      </w:r>
      <w:r>
        <w:rPr>
          <w:lang w:val="fr-FR"/>
        </w:rPr>
        <w:t>transport</w:t>
      </w:r>
      <w:r w:rsidRPr="00F82F28">
        <w:rPr>
          <w:lang w:val="fr-FR"/>
        </w:rPr>
        <w:t>és en petites quantités dans le programme de travail de la prochaine période biennale.</w:t>
      </w:r>
    </w:p>
    <w:p w14:paraId="48A99E63" w14:textId="77777777" w:rsidR="00026B0E" w:rsidRPr="007F3B53" w:rsidRDefault="00026B0E" w:rsidP="00BB7751">
      <w:pPr>
        <w:pStyle w:val="H1G"/>
        <w:rPr>
          <w:lang w:val="fr-FR"/>
        </w:rPr>
      </w:pPr>
      <w:r>
        <w:rPr>
          <w:lang w:val="fr-FR"/>
        </w:rPr>
        <w:tab/>
      </w:r>
      <w:r w:rsidRPr="00F82F28">
        <w:rPr>
          <w:lang w:val="fr-FR"/>
        </w:rPr>
        <w:t>E.</w:t>
      </w:r>
      <w:r w:rsidRPr="00F82F28">
        <w:rPr>
          <w:lang w:val="fr-FR"/>
        </w:rPr>
        <w:tab/>
      </w:r>
      <w:r w:rsidRPr="00F82F28">
        <w:rPr>
          <w:bCs/>
          <w:lang w:val="fr-FR"/>
        </w:rPr>
        <w:t>Programme de travail pour la période 2021-2022</w:t>
      </w:r>
    </w:p>
    <w:p w14:paraId="2E2E0B8A" w14:textId="4725856D" w:rsidR="00026B0E" w:rsidRPr="007F3B53" w:rsidRDefault="00026B0E" w:rsidP="00026B0E">
      <w:pPr>
        <w:pStyle w:val="SingleTxtG"/>
        <w:rPr>
          <w:lang w:val="fr-FR"/>
        </w:rPr>
      </w:pPr>
      <w:r w:rsidRPr="00F82F28">
        <w:rPr>
          <w:lang w:val="fr-FR"/>
        </w:rPr>
        <w:t>120.</w:t>
      </w:r>
      <w:r w:rsidRPr="00F82F28">
        <w:rPr>
          <w:lang w:val="fr-FR"/>
        </w:rPr>
        <w:tab/>
        <w:t>Se fondant sur les propositions examinées et approuvées au titre des sections A à D ci-dessus et des divers points de l</w:t>
      </w:r>
      <w:r w:rsidR="000B2B75">
        <w:rPr>
          <w:lang w:val="fr-FR"/>
        </w:rPr>
        <w:t>’</w:t>
      </w:r>
      <w:r w:rsidRPr="00F82F28">
        <w:rPr>
          <w:lang w:val="fr-FR"/>
        </w:rPr>
        <w:t>ordre du jour de la session en cours, le Sous-Comité a décidé d</w:t>
      </w:r>
      <w:r w:rsidR="000B2B75">
        <w:rPr>
          <w:lang w:val="fr-FR"/>
        </w:rPr>
        <w:t>’</w:t>
      </w:r>
      <w:r w:rsidRPr="00F82F28">
        <w:rPr>
          <w:lang w:val="fr-FR"/>
        </w:rPr>
        <w:t>introduire dans son programme de travail pour la période 2021-2022 les points suivants</w:t>
      </w:r>
      <w:r w:rsidR="001A6A7E">
        <w:rPr>
          <w:lang w:val="fr-FR"/>
        </w:rPr>
        <w:t> </w:t>
      </w:r>
      <w:r w:rsidRPr="00F82F28">
        <w:rPr>
          <w:lang w:val="fr-FR"/>
        </w:rPr>
        <w:t>:</w:t>
      </w:r>
    </w:p>
    <w:p w14:paraId="377D833A" w14:textId="40F26E8A" w:rsidR="00026B0E" w:rsidRPr="007F3B53" w:rsidRDefault="00026B0E" w:rsidP="00BB7751">
      <w:pPr>
        <w:pStyle w:val="SingleTxtG"/>
        <w:ind w:firstLine="567"/>
        <w:rPr>
          <w:lang w:val="fr-FR"/>
        </w:rPr>
      </w:pPr>
      <w:r w:rsidRPr="00F82F28">
        <w:rPr>
          <w:lang w:val="fr-FR"/>
        </w:rPr>
        <w:t>a)</w:t>
      </w:r>
      <w:r w:rsidRPr="00F82F28">
        <w:rPr>
          <w:lang w:val="fr-FR"/>
        </w:rPr>
        <w:tab/>
        <w:t>Explosifs et questions connexes (à savoir</w:t>
      </w:r>
      <w:r w:rsidR="001A6A7E">
        <w:rPr>
          <w:lang w:val="fr-FR"/>
        </w:rPr>
        <w:t> </w:t>
      </w:r>
      <w:r w:rsidRPr="00F82F28">
        <w:rPr>
          <w:lang w:val="fr-FR"/>
        </w:rPr>
        <w:t>: examen des épreuves de la série 6</w:t>
      </w:r>
      <w:r w:rsidR="001A6A7E">
        <w:rPr>
          <w:lang w:val="fr-FR"/>
        </w:rPr>
        <w:t> </w:t>
      </w:r>
      <w:r w:rsidRPr="00F82F28">
        <w:rPr>
          <w:lang w:val="fr-FR"/>
        </w:rPr>
        <w:t xml:space="preserve">; amélioration des </w:t>
      </w:r>
      <w:r>
        <w:rPr>
          <w:lang w:val="fr-FR"/>
        </w:rPr>
        <w:t>épreuve</w:t>
      </w:r>
      <w:r w:rsidRPr="00F82F28">
        <w:rPr>
          <w:lang w:val="fr-FR"/>
        </w:rPr>
        <w:t>s de la série 8</w:t>
      </w:r>
      <w:r w:rsidR="001A6A7E">
        <w:rPr>
          <w:lang w:val="fr-FR"/>
        </w:rPr>
        <w:t> </w:t>
      </w:r>
      <w:r w:rsidRPr="00F82F28">
        <w:rPr>
          <w:lang w:val="fr-FR"/>
        </w:rPr>
        <w:t>; révision des épreuves des parties I, II et III du Manuel d</w:t>
      </w:r>
      <w:r w:rsidR="000B2B75">
        <w:rPr>
          <w:lang w:val="fr-FR"/>
        </w:rPr>
        <w:t>’</w:t>
      </w:r>
      <w:r w:rsidRPr="00F82F28">
        <w:rPr>
          <w:lang w:val="fr-FR"/>
        </w:rPr>
        <w:t>épreuves et de critères</w:t>
      </w:r>
      <w:r w:rsidR="001A6A7E">
        <w:rPr>
          <w:lang w:val="fr-FR"/>
        </w:rPr>
        <w:t> </w:t>
      </w:r>
      <w:r w:rsidRPr="00F82F28">
        <w:rPr>
          <w:lang w:val="fr-FR"/>
        </w:rPr>
        <w:t>; détonateurs normalisés «</w:t>
      </w:r>
      <w:r w:rsidR="001A6A7E">
        <w:rPr>
          <w:lang w:val="fr-FR"/>
        </w:rPr>
        <w:t> </w:t>
      </w:r>
      <w:r w:rsidRPr="00F82F28">
        <w:rPr>
          <w:lang w:val="fr-FR"/>
        </w:rPr>
        <w:t>UN</w:t>
      </w:r>
      <w:r w:rsidR="001A6A7E">
        <w:rPr>
          <w:lang w:val="fr-FR"/>
        </w:rPr>
        <w:t> </w:t>
      </w:r>
      <w:r w:rsidRPr="00F82F28">
        <w:rPr>
          <w:lang w:val="fr-FR"/>
        </w:rPr>
        <w:t>»</w:t>
      </w:r>
      <w:r>
        <w:rPr>
          <w:lang w:val="fr-FR"/>
        </w:rPr>
        <w:t> ;</w:t>
      </w:r>
      <w:r w:rsidRPr="00F82F28">
        <w:rPr>
          <w:lang w:val="fr-FR"/>
        </w:rPr>
        <w:t xml:space="preserve"> révision des instructions d</w:t>
      </w:r>
      <w:r w:rsidR="000B2B75">
        <w:rPr>
          <w:lang w:val="fr-FR"/>
        </w:rPr>
        <w:t>’</w:t>
      </w:r>
      <w:r w:rsidRPr="00F82F28">
        <w:rPr>
          <w:lang w:val="fr-FR"/>
        </w:rPr>
        <w:t>emballage relatives aux explosifs</w:t>
      </w:r>
      <w:r w:rsidR="001A6A7E">
        <w:rPr>
          <w:lang w:val="fr-FR"/>
        </w:rPr>
        <w:t> </w:t>
      </w:r>
      <w:r w:rsidRPr="00F82F28">
        <w:rPr>
          <w:lang w:val="fr-FR"/>
        </w:rPr>
        <w:t xml:space="preserve">; application des dispositions relatives à la sûreté aux explosifs relevant de rubriques </w:t>
      </w:r>
      <w:proofErr w:type="spellStart"/>
      <w:r w:rsidRPr="00F82F28">
        <w:rPr>
          <w:lang w:val="fr-FR"/>
        </w:rPr>
        <w:t>n.s.a</w:t>
      </w:r>
      <w:proofErr w:type="spellEnd"/>
      <w:r w:rsidR="004D3879">
        <w:rPr>
          <w:lang w:val="fr-FR"/>
        </w:rPr>
        <w:t> </w:t>
      </w:r>
      <w:r w:rsidRPr="00F82F28">
        <w:rPr>
          <w:lang w:val="fr-FR"/>
        </w:rPr>
        <w:t>; épreuve N.1 pour les matières solides facilement inflammables</w:t>
      </w:r>
      <w:r w:rsidR="001A6A7E">
        <w:rPr>
          <w:lang w:val="fr-FR"/>
        </w:rPr>
        <w:t> </w:t>
      </w:r>
      <w:r w:rsidRPr="00F82F28">
        <w:rPr>
          <w:lang w:val="fr-FR"/>
        </w:rPr>
        <w:t>; échantillons énergétiques</w:t>
      </w:r>
      <w:r w:rsidR="001A6A7E">
        <w:rPr>
          <w:lang w:val="fr-FR"/>
        </w:rPr>
        <w:t> </w:t>
      </w:r>
      <w:r w:rsidRPr="00F82F28">
        <w:rPr>
          <w:lang w:val="fr-FR"/>
        </w:rPr>
        <w:t>; questions liées à la définition des explosifs</w:t>
      </w:r>
      <w:r w:rsidR="001A6A7E">
        <w:rPr>
          <w:lang w:val="fr-FR"/>
        </w:rPr>
        <w:t> </w:t>
      </w:r>
      <w:r w:rsidRPr="00F82F28">
        <w:rPr>
          <w:lang w:val="fr-FR"/>
        </w:rPr>
        <w:t xml:space="preserve">; </w:t>
      </w:r>
      <w:r>
        <w:rPr>
          <w:lang w:val="fr-FR"/>
        </w:rPr>
        <w:t xml:space="preserve">et </w:t>
      </w:r>
      <w:r w:rsidRPr="00F82F28">
        <w:rPr>
          <w:lang w:val="fr-FR"/>
        </w:rPr>
        <w:t>examen des prescriptions en matière d</w:t>
      </w:r>
      <w:r w:rsidR="000B2B75">
        <w:rPr>
          <w:lang w:val="fr-FR"/>
        </w:rPr>
        <w:t>’</w:t>
      </w:r>
      <w:r w:rsidRPr="00F82F28">
        <w:rPr>
          <w:lang w:val="fr-FR"/>
        </w:rPr>
        <w:t xml:space="preserve">emballage et de transport </w:t>
      </w:r>
      <w:r>
        <w:rPr>
          <w:lang w:val="fr-FR"/>
        </w:rPr>
        <w:t>d</w:t>
      </w:r>
      <w:r w:rsidRPr="00F82F28">
        <w:rPr>
          <w:lang w:val="fr-FR"/>
        </w:rPr>
        <w:t>es ENA)</w:t>
      </w:r>
      <w:r w:rsidR="001A6A7E">
        <w:rPr>
          <w:lang w:val="fr-FR"/>
        </w:rPr>
        <w:t> </w:t>
      </w:r>
      <w:r w:rsidRPr="00F82F28">
        <w:rPr>
          <w:lang w:val="fr-FR"/>
        </w:rPr>
        <w:t>;</w:t>
      </w:r>
    </w:p>
    <w:p w14:paraId="65201698" w14:textId="7BB94DF9" w:rsidR="00026B0E" w:rsidRPr="007F3B53" w:rsidRDefault="00026B0E" w:rsidP="00BB7751">
      <w:pPr>
        <w:pStyle w:val="SingleTxtG"/>
        <w:ind w:firstLine="567"/>
        <w:rPr>
          <w:lang w:val="fr-FR"/>
        </w:rPr>
      </w:pPr>
      <w:r w:rsidRPr="00F82F28">
        <w:rPr>
          <w:lang w:val="fr-FR"/>
        </w:rPr>
        <w:lastRenderedPageBreak/>
        <w:t>b)</w:t>
      </w:r>
      <w:r w:rsidRPr="00F82F28">
        <w:rPr>
          <w:lang w:val="fr-FR"/>
        </w:rPr>
        <w:tab/>
        <w:t>Inscription, class</w:t>
      </w:r>
      <w:r>
        <w:rPr>
          <w:lang w:val="fr-FR"/>
        </w:rPr>
        <w:t>ement</w:t>
      </w:r>
      <w:r w:rsidRPr="00F82F28">
        <w:rPr>
          <w:lang w:val="fr-FR"/>
        </w:rPr>
        <w:t xml:space="preserve"> et emballage (à savoir</w:t>
      </w:r>
      <w:r w:rsidR="001A6A7E">
        <w:rPr>
          <w:lang w:val="fr-FR"/>
        </w:rPr>
        <w:t> </w:t>
      </w:r>
      <w:r w:rsidRPr="00F82F28">
        <w:rPr>
          <w:lang w:val="fr-FR"/>
        </w:rPr>
        <w:t>: amendements à la liste des marchandises dangereuses et aux instructions d</w:t>
      </w:r>
      <w:r w:rsidR="000B2B75">
        <w:rPr>
          <w:lang w:val="fr-FR"/>
        </w:rPr>
        <w:t>’</w:t>
      </w:r>
      <w:r w:rsidRPr="00F82F28">
        <w:rPr>
          <w:lang w:val="fr-FR"/>
        </w:rPr>
        <w:t>emballage</w:t>
      </w:r>
      <w:r w:rsidR="004D3879">
        <w:rPr>
          <w:lang w:val="fr-FR"/>
        </w:rPr>
        <w:t> </w:t>
      </w:r>
      <w:r w:rsidRPr="00F82F28">
        <w:rPr>
          <w:lang w:val="fr-FR"/>
        </w:rPr>
        <w:t xml:space="preserve">; </w:t>
      </w:r>
      <w:r>
        <w:rPr>
          <w:lang w:val="fr-FR"/>
        </w:rPr>
        <w:t xml:space="preserve">et </w:t>
      </w:r>
      <w:r w:rsidRPr="00F82F28">
        <w:rPr>
          <w:lang w:val="fr-FR"/>
        </w:rPr>
        <w:t>toxicité des No</w:t>
      </w:r>
      <w:r w:rsidR="00D13A02">
        <w:rPr>
          <w:lang w:val="fr-FR"/>
        </w:rPr>
        <w:t> </w:t>
      </w:r>
      <w:r w:rsidRPr="00F82F28">
        <w:rPr>
          <w:lang w:val="fr-FR"/>
        </w:rPr>
        <w:t>ONU</w:t>
      </w:r>
      <w:r w:rsidR="00D13A02">
        <w:rPr>
          <w:lang w:val="fr-FR"/>
        </w:rPr>
        <w:t> </w:t>
      </w:r>
      <w:r w:rsidRPr="00F82F28">
        <w:rPr>
          <w:lang w:val="fr-FR"/>
        </w:rPr>
        <w:t>2248, 2264 et 2357 (matières</w:t>
      </w:r>
      <w:r>
        <w:rPr>
          <w:lang w:val="fr-FR"/>
        </w:rPr>
        <w:t xml:space="preserve"> qui</w:t>
      </w:r>
      <w:r w:rsidRPr="00F82F28">
        <w:rPr>
          <w:lang w:val="fr-FR"/>
        </w:rPr>
        <w:t xml:space="preserve"> polyméris</w:t>
      </w:r>
      <w:r>
        <w:rPr>
          <w:lang w:val="fr-FR"/>
        </w:rPr>
        <w:t>e</w:t>
      </w:r>
      <w:r w:rsidRPr="00F82F28">
        <w:rPr>
          <w:lang w:val="fr-FR"/>
        </w:rPr>
        <w:t>nt))</w:t>
      </w:r>
      <w:r w:rsidR="001A6A7E">
        <w:rPr>
          <w:lang w:val="fr-FR"/>
        </w:rPr>
        <w:t> </w:t>
      </w:r>
      <w:r w:rsidRPr="00F82F28">
        <w:rPr>
          <w:lang w:val="fr-FR"/>
        </w:rPr>
        <w:t xml:space="preserve">; </w:t>
      </w:r>
    </w:p>
    <w:p w14:paraId="1B0FACD9" w14:textId="55E95514" w:rsidR="00026B0E" w:rsidRPr="007F3B53" w:rsidRDefault="00026B0E" w:rsidP="00BB7751">
      <w:pPr>
        <w:pStyle w:val="SingleTxtG"/>
        <w:ind w:firstLine="567"/>
        <w:rPr>
          <w:lang w:val="fr-FR"/>
        </w:rPr>
      </w:pPr>
      <w:r w:rsidRPr="00F82F28">
        <w:rPr>
          <w:lang w:val="fr-FR"/>
        </w:rPr>
        <w:t>c)</w:t>
      </w:r>
      <w:r w:rsidRPr="00F82F28">
        <w:rPr>
          <w:lang w:val="fr-FR"/>
        </w:rPr>
        <w:tab/>
        <w:t>Systèmes de stockage de l</w:t>
      </w:r>
      <w:r w:rsidR="000B2B75">
        <w:rPr>
          <w:lang w:val="fr-FR"/>
        </w:rPr>
        <w:t>’</w:t>
      </w:r>
      <w:r w:rsidRPr="00F82F28">
        <w:rPr>
          <w:lang w:val="fr-FR"/>
        </w:rPr>
        <w:t>électricité (à savoir</w:t>
      </w:r>
      <w:r w:rsidR="001A6A7E">
        <w:rPr>
          <w:lang w:val="fr-FR"/>
        </w:rPr>
        <w:t> </w:t>
      </w:r>
      <w:r w:rsidRPr="00F82F28">
        <w:rPr>
          <w:lang w:val="fr-FR"/>
        </w:rPr>
        <w:t xml:space="preserve">: épreuves pour </w:t>
      </w:r>
      <w:r>
        <w:rPr>
          <w:lang w:val="fr-FR"/>
        </w:rPr>
        <w:t xml:space="preserve">les </w:t>
      </w:r>
      <w:r w:rsidRPr="00F82F28">
        <w:rPr>
          <w:lang w:val="fr-FR"/>
        </w:rPr>
        <w:t>batteries au lithium</w:t>
      </w:r>
      <w:r w:rsidR="004D3879">
        <w:rPr>
          <w:lang w:val="fr-FR"/>
        </w:rPr>
        <w:t> </w:t>
      </w:r>
      <w:r w:rsidRPr="00F82F28">
        <w:rPr>
          <w:lang w:val="fr-FR"/>
        </w:rPr>
        <w:t>; système de classification des batteries au lithium en fonction du danger</w:t>
      </w:r>
      <w:r w:rsidR="004D3879">
        <w:rPr>
          <w:lang w:val="fr-FR"/>
        </w:rPr>
        <w:t> </w:t>
      </w:r>
      <w:r w:rsidRPr="00F82F28">
        <w:rPr>
          <w:lang w:val="fr-FR"/>
        </w:rPr>
        <w:t>; dispositions relatives au transport</w:t>
      </w:r>
      <w:r w:rsidR="001A6A7E">
        <w:rPr>
          <w:lang w:val="fr-FR"/>
        </w:rPr>
        <w:t> </w:t>
      </w:r>
      <w:r w:rsidRPr="00F82F28">
        <w:rPr>
          <w:lang w:val="fr-FR"/>
        </w:rPr>
        <w:t>; batteries au lithium endommagées ou défectueuses</w:t>
      </w:r>
      <w:r w:rsidR="001A6A7E">
        <w:rPr>
          <w:lang w:val="fr-FR"/>
        </w:rPr>
        <w:t> </w:t>
      </w:r>
      <w:r w:rsidRPr="00F82F28">
        <w:rPr>
          <w:lang w:val="fr-FR"/>
        </w:rPr>
        <w:t>; et batteries au sodium ionique)</w:t>
      </w:r>
      <w:r w:rsidR="001A6A7E">
        <w:rPr>
          <w:lang w:val="fr-FR"/>
        </w:rPr>
        <w:t> </w:t>
      </w:r>
      <w:r w:rsidRPr="00F82F28">
        <w:rPr>
          <w:lang w:val="fr-FR"/>
        </w:rPr>
        <w:t xml:space="preserve">; </w:t>
      </w:r>
    </w:p>
    <w:p w14:paraId="4366BC53" w14:textId="77777777" w:rsidR="00026B0E" w:rsidRPr="007F3B53" w:rsidRDefault="00026B0E" w:rsidP="00BB7751">
      <w:pPr>
        <w:pStyle w:val="SingleTxtG"/>
        <w:ind w:firstLine="567"/>
        <w:rPr>
          <w:lang w:val="fr-FR"/>
        </w:rPr>
      </w:pPr>
      <w:r w:rsidRPr="00F82F28">
        <w:rPr>
          <w:lang w:val="fr-FR"/>
        </w:rPr>
        <w:t>d)</w:t>
      </w:r>
      <w:r w:rsidRPr="00F82F28">
        <w:rPr>
          <w:lang w:val="fr-FR"/>
        </w:rPr>
        <w:tab/>
        <w:t xml:space="preserve">Transport de gaz (à savoir : reconnaissance </w:t>
      </w:r>
      <w:r>
        <w:rPr>
          <w:lang w:val="fr-FR"/>
        </w:rPr>
        <w:t>universel</w:t>
      </w:r>
      <w:r w:rsidRPr="00F82F28">
        <w:rPr>
          <w:lang w:val="fr-FR"/>
        </w:rPr>
        <w:t>le des récipients à pression ONU ou non ONU</w:t>
      </w:r>
      <w:r>
        <w:rPr>
          <w:lang w:val="fr-FR"/>
        </w:rPr>
        <w:t> ;</w:t>
      </w:r>
      <w:r w:rsidRPr="00F82F28">
        <w:rPr>
          <w:lang w:val="fr-FR"/>
        </w:rPr>
        <w:t xml:space="preserve"> </w:t>
      </w:r>
      <w:r>
        <w:rPr>
          <w:lang w:val="fr-FR"/>
        </w:rPr>
        <w:t xml:space="preserve">et </w:t>
      </w:r>
      <w:r w:rsidRPr="00F82F28">
        <w:rPr>
          <w:lang w:val="fr-FR"/>
        </w:rPr>
        <w:t>gaz de la division 2.2 transportés en petites quantités)</w:t>
      </w:r>
      <w:r w:rsidR="001A6A7E">
        <w:rPr>
          <w:lang w:val="fr-FR"/>
        </w:rPr>
        <w:t> </w:t>
      </w:r>
      <w:r w:rsidRPr="00F82F28">
        <w:rPr>
          <w:lang w:val="fr-FR"/>
        </w:rPr>
        <w:t xml:space="preserve">; </w:t>
      </w:r>
    </w:p>
    <w:p w14:paraId="57539E88" w14:textId="0349970D" w:rsidR="00026B0E" w:rsidRPr="007F3B53" w:rsidRDefault="00026B0E" w:rsidP="00BB7751">
      <w:pPr>
        <w:pStyle w:val="SingleTxtG"/>
        <w:ind w:firstLine="567"/>
        <w:rPr>
          <w:lang w:val="fr-FR"/>
        </w:rPr>
      </w:pPr>
      <w:r w:rsidRPr="00F82F28">
        <w:rPr>
          <w:lang w:val="fr-FR"/>
        </w:rPr>
        <w:t>e)</w:t>
      </w:r>
      <w:r w:rsidRPr="00F82F28">
        <w:rPr>
          <w:lang w:val="fr-FR"/>
        </w:rPr>
        <w:tab/>
        <w:t>Propositions diverses d</w:t>
      </w:r>
      <w:r w:rsidR="000B2B75">
        <w:rPr>
          <w:lang w:val="fr-FR"/>
        </w:rPr>
        <w:t>’</w:t>
      </w:r>
      <w:r w:rsidRPr="00F82F28">
        <w:rPr>
          <w:lang w:val="fr-FR"/>
        </w:rPr>
        <w:t>amendements au Règlement type (à savoir</w:t>
      </w:r>
      <w:r w:rsidR="004D3879">
        <w:rPr>
          <w:lang w:val="fr-FR"/>
        </w:rPr>
        <w:t> </w:t>
      </w:r>
      <w:r w:rsidRPr="00F82F28">
        <w:rPr>
          <w:lang w:val="fr-FR"/>
        </w:rPr>
        <w:t xml:space="preserve">: questions relatives aux documents (par exemple </w:t>
      </w:r>
      <w:r>
        <w:rPr>
          <w:lang w:val="fr-FR"/>
        </w:rPr>
        <w:t xml:space="preserve">les </w:t>
      </w:r>
      <w:r w:rsidRPr="00F82F28">
        <w:rPr>
          <w:lang w:val="fr-FR"/>
        </w:rPr>
        <w:t>documents électroniques), au marquage et à l</w:t>
      </w:r>
      <w:r w:rsidR="000B2B75">
        <w:rPr>
          <w:lang w:val="fr-FR"/>
        </w:rPr>
        <w:t>’</w:t>
      </w:r>
      <w:r w:rsidRPr="00F82F28">
        <w:rPr>
          <w:lang w:val="fr-FR"/>
        </w:rPr>
        <w:t>étiquetage</w:t>
      </w:r>
      <w:r w:rsidR="004D3879">
        <w:rPr>
          <w:lang w:val="fr-FR"/>
        </w:rPr>
        <w:t> </w:t>
      </w:r>
      <w:r w:rsidRPr="00F82F28">
        <w:rPr>
          <w:lang w:val="fr-FR"/>
        </w:rPr>
        <w:t>; questions relatives à l</w:t>
      </w:r>
      <w:r w:rsidR="000B2B75">
        <w:rPr>
          <w:lang w:val="fr-FR"/>
        </w:rPr>
        <w:t>’</w:t>
      </w:r>
      <w:r w:rsidRPr="00F82F28">
        <w:rPr>
          <w:lang w:val="fr-FR"/>
        </w:rPr>
        <w:t>emballage et utilisation des matières plastiques recyclées</w:t>
      </w:r>
      <w:r w:rsidR="001A6A7E">
        <w:rPr>
          <w:lang w:val="fr-FR"/>
        </w:rPr>
        <w:t> </w:t>
      </w:r>
      <w:r w:rsidRPr="00F82F28">
        <w:rPr>
          <w:lang w:val="fr-FR"/>
        </w:rPr>
        <w:t>; questions relatives aux citernes</w:t>
      </w:r>
      <w:r w:rsidR="004D3879">
        <w:rPr>
          <w:lang w:val="fr-FR"/>
        </w:rPr>
        <w:t> </w:t>
      </w:r>
      <w:r w:rsidRPr="00F82F28">
        <w:rPr>
          <w:lang w:val="fr-FR"/>
        </w:rPr>
        <w:t>; citernes mobiles en plastique renforcé de fibres (PRF)</w:t>
      </w:r>
      <w:r w:rsidR="001A6A7E">
        <w:rPr>
          <w:lang w:val="fr-FR"/>
        </w:rPr>
        <w:t> </w:t>
      </w:r>
      <w:r w:rsidRPr="00F82F28">
        <w:rPr>
          <w:lang w:val="fr-FR"/>
        </w:rPr>
        <w:t xml:space="preserve">; </w:t>
      </w:r>
      <w:r>
        <w:rPr>
          <w:lang w:val="fr-FR"/>
        </w:rPr>
        <w:t xml:space="preserve">et </w:t>
      </w:r>
      <w:r w:rsidRPr="00F82F28">
        <w:rPr>
          <w:lang w:val="fr-FR"/>
        </w:rPr>
        <w:t>citernes mobiles (autres que les citernes mobiles en PRF))</w:t>
      </w:r>
      <w:r w:rsidR="001A6A7E">
        <w:rPr>
          <w:lang w:val="fr-FR"/>
        </w:rPr>
        <w:t> </w:t>
      </w:r>
      <w:r w:rsidRPr="00F82F28">
        <w:rPr>
          <w:lang w:val="fr-FR"/>
        </w:rPr>
        <w:t xml:space="preserve">; </w:t>
      </w:r>
    </w:p>
    <w:p w14:paraId="3DF5B434" w14:textId="2FBD42A6" w:rsidR="00026B0E" w:rsidRPr="007F3B53" w:rsidRDefault="00026B0E" w:rsidP="00BB7751">
      <w:pPr>
        <w:pStyle w:val="SingleTxtG"/>
        <w:ind w:firstLine="567"/>
        <w:rPr>
          <w:lang w:val="fr-FR"/>
        </w:rPr>
      </w:pPr>
      <w:r w:rsidRPr="00F82F28">
        <w:rPr>
          <w:lang w:val="fr-FR"/>
        </w:rPr>
        <w:t>f)</w:t>
      </w:r>
      <w:r w:rsidRPr="00F82F28">
        <w:rPr>
          <w:lang w:val="fr-FR"/>
        </w:rPr>
        <w:tab/>
        <w:t>Coopération avec l</w:t>
      </w:r>
      <w:r w:rsidR="000B2B75">
        <w:rPr>
          <w:lang w:val="fr-FR"/>
        </w:rPr>
        <w:t>’</w:t>
      </w:r>
      <w:r w:rsidRPr="00F82F28">
        <w:rPr>
          <w:lang w:val="fr-FR"/>
        </w:rPr>
        <w:t>AIEA</w:t>
      </w:r>
      <w:r w:rsidR="001A6A7E">
        <w:rPr>
          <w:lang w:val="fr-FR"/>
        </w:rPr>
        <w:t> </w:t>
      </w:r>
      <w:r w:rsidRPr="00F82F28">
        <w:rPr>
          <w:lang w:val="fr-FR"/>
        </w:rPr>
        <w:t xml:space="preserve">; </w:t>
      </w:r>
    </w:p>
    <w:p w14:paraId="160EFED8" w14:textId="77777777" w:rsidR="00026B0E" w:rsidRPr="007F3B53" w:rsidRDefault="00026B0E" w:rsidP="00BB7751">
      <w:pPr>
        <w:pStyle w:val="SingleTxtG"/>
        <w:ind w:firstLine="567"/>
        <w:rPr>
          <w:lang w:val="fr-FR"/>
        </w:rPr>
      </w:pPr>
      <w:r w:rsidRPr="00F82F28">
        <w:rPr>
          <w:lang w:val="fr-FR"/>
        </w:rPr>
        <w:t>g)</w:t>
      </w:r>
      <w:r w:rsidRPr="00F82F28">
        <w:rPr>
          <w:lang w:val="fr-FR"/>
        </w:rPr>
        <w:tab/>
        <w:t xml:space="preserve">Harmonisation </w:t>
      </w:r>
      <w:r>
        <w:rPr>
          <w:lang w:val="fr-FR"/>
        </w:rPr>
        <w:t>génér</w:t>
      </w:r>
      <w:r w:rsidRPr="00F82F28">
        <w:rPr>
          <w:lang w:val="fr-FR"/>
        </w:rPr>
        <w:t>ale des règlements relatifs au transport des marchandises dangereuses avec le Règlement type</w:t>
      </w:r>
      <w:r w:rsidR="00BB7751">
        <w:rPr>
          <w:lang w:val="fr-FR"/>
        </w:rPr>
        <w:t> </w:t>
      </w:r>
      <w:r w:rsidRPr="00F82F28">
        <w:rPr>
          <w:lang w:val="fr-FR"/>
        </w:rPr>
        <w:t xml:space="preserve">; </w:t>
      </w:r>
    </w:p>
    <w:p w14:paraId="585350AD" w14:textId="77777777" w:rsidR="00026B0E" w:rsidRPr="007F3B53" w:rsidRDefault="00026B0E" w:rsidP="00BB7751">
      <w:pPr>
        <w:pStyle w:val="SingleTxtG"/>
        <w:ind w:firstLine="567"/>
        <w:rPr>
          <w:lang w:val="fr-FR"/>
        </w:rPr>
      </w:pPr>
      <w:r w:rsidRPr="00F82F28">
        <w:rPr>
          <w:lang w:val="fr-FR"/>
        </w:rPr>
        <w:t>h)</w:t>
      </w:r>
      <w:r w:rsidRPr="00F82F28">
        <w:rPr>
          <w:lang w:val="fr-FR"/>
        </w:rPr>
        <w:tab/>
        <w:t>Principes directeurs du Règlement type</w:t>
      </w:r>
      <w:r w:rsidR="00BB7751">
        <w:rPr>
          <w:lang w:val="fr-FR"/>
        </w:rPr>
        <w:t> </w:t>
      </w:r>
      <w:r w:rsidRPr="00F82F28">
        <w:rPr>
          <w:lang w:val="fr-FR"/>
        </w:rPr>
        <w:t xml:space="preserve">; </w:t>
      </w:r>
    </w:p>
    <w:p w14:paraId="0F4ADD22" w14:textId="03C72BDA" w:rsidR="00026B0E" w:rsidRPr="007F3B53" w:rsidRDefault="00026B0E" w:rsidP="00BB7751">
      <w:pPr>
        <w:pStyle w:val="SingleTxtG"/>
        <w:ind w:firstLine="567"/>
        <w:rPr>
          <w:lang w:val="fr-FR"/>
        </w:rPr>
      </w:pPr>
      <w:r w:rsidRPr="00F82F28">
        <w:rPr>
          <w:lang w:val="fr-FR"/>
        </w:rPr>
        <w:t>i)</w:t>
      </w:r>
      <w:r w:rsidRPr="00F82F28">
        <w:rPr>
          <w:lang w:val="fr-FR"/>
        </w:rPr>
        <w:tab/>
        <w:t>Questions relatives au SGH (à savoir</w:t>
      </w:r>
      <w:r w:rsidR="004D3879">
        <w:rPr>
          <w:lang w:val="fr-FR"/>
        </w:rPr>
        <w:t> </w:t>
      </w:r>
      <w:r w:rsidRPr="00F82F28">
        <w:rPr>
          <w:lang w:val="fr-FR"/>
        </w:rPr>
        <w:t>: épreuves pour les matières comburantes</w:t>
      </w:r>
      <w:r w:rsidR="004D3879">
        <w:rPr>
          <w:lang w:val="fr-FR"/>
        </w:rPr>
        <w:t> </w:t>
      </w:r>
      <w:r w:rsidRPr="00F82F28">
        <w:rPr>
          <w:lang w:val="fr-FR"/>
        </w:rPr>
        <w:t>; produits chimiques sous pression, renvois aux directi</w:t>
      </w:r>
      <w:r>
        <w:rPr>
          <w:lang w:val="fr-FR"/>
        </w:rPr>
        <w:t>v</w:t>
      </w:r>
      <w:r w:rsidRPr="00F82F28">
        <w:rPr>
          <w:lang w:val="fr-FR"/>
        </w:rPr>
        <w:t>es de l</w:t>
      </w:r>
      <w:r w:rsidR="000B2B75">
        <w:rPr>
          <w:lang w:val="fr-FR"/>
        </w:rPr>
        <w:t>’</w:t>
      </w:r>
      <w:r w:rsidRPr="00F82F28">
        <w:rPr>
          <w:lang w:val="fr-FR"/>
        </w:rPr>
        <w:t>OCDE</w:t>
      </w:r>
      <w:r w:rsidR="00BB7751">
        <w:rPr>
          <w:lang w:val="fr-FR"/>
        </w:rPr>
        <w:t> </w:t>
      </w:r>
      <w:r w:rsidRPr="00F82F28">
        <w:rPr>
          <w:lang w:val="fr-FR"/>
        </w:rPr>
        <w:t xml:space="preserve">; </w:t>
      </w:r>
      <w:r>
        <w:rPr>
          <w:lang w:val="fr-FR"/>
        </w:rPr>
        <w:t>et</w:t>
      </w:r>
      <w:r w:rsidR="00D13A02">
        <w:rPr>
          <w:lang w:val="fr-FR"/>
        </w:rPr>
        <w:t> </w:t>
      </w:r>
      <w:r w:rsidRPr="00F82F28">
        <w:rPr>
          <w:lang w:val="fr-FR"/>
        </w:rPr>
        <w:t>classification simultanée des dangers physiques et ordre de prépondérance des dangers)</w:t>
      </w:r>
      <w:r w:rsidR="00BB7751">
        <w:rPr>
          <w:lang w:val="fr-FR"/>
        </w:rPr>
        <w:t> </w:t>
      </w:r>
      <w:r w:rsidRPr="00F82F28">
        <w:rPr>
          <w:lang w:val="fr-FR"/>
        </w:rPr>
        <w:t>;</w:t>
      </w:r>
    </w:p>
    <w:p w14:paraId="4612247D" w14:textId="77777777" w:rsidR="00026B0E" w:rsidRPr="007F3B53" w:rsidRDefault="00026B0E" w:rsidP="00BB7751">
      <w:pPr>
        <w:pStyle w:val="SingleTxtG"/>
        <w:ind w:firstLine="567"/>
        <w:rPr>
          <w:lang w:val="fr-FR"/>
        </w:rPr>
      </w:pPr>
      <w:r w:rsidRPr="00F82F28">
        <w:rPr>
          <w:lang w:val="fr-FR"/>
        </w:rPr>
        <w:t>j)</w:t>
      </w:r>
      <w:r w:rsidRPr="00F82F28">
        <w:rPr>
          <w:lang w:val="fr-FR"/>
        </w:rPr>
        <w:tab/>
        <w:t>Uniformisation des interprétations du Règlement type</w:t>
      </w:r>
      <w:r w:rsidR="00BB7751">
        <w:rPr>
          <w:lang w:val="fr-FR"/>
        </w:rPr>
        <w:t> </w:t>
      </w:r>
      <w:r w:rsidRPr="00F82F28">
        <w:rPr>
          <w:lang w:val="fr-FR"/>
        </w:rPr>
        <w:t>;</w:t>
      </w:r>
    </w:p>
    <w:p w14:paraId="410E9FA9" w14:textId="77777777" w:rsidR="00026B0E" w:rsidRPr="007F3B53" w:rsidRDefault="00026B0E" w:rsidP="00BB7751">
      <w:pPr>
        <w:pStyle w:val="SingleTxtG"/>
        <w:ind w:firstLine="567"/>
        <w:rPr>
          <w:lang w:val="fr-FR"/>
        </w:rPr>
      </w:pPr>
      <w:r w:rsidRPr="00F82F28">
        <w:rPr>
          <w:lang w:val="fr-FR"/>
        </w:rPr>
        <w:t>k)</w:t>
      </w:r>
      <w:r w:rsidRPr="00F82F28">
        <w:rPr>
          <w:lang w:val="fr-FR"/>
        </w:rPr>
        <w:tab/>
        <w:t>Mise en œuvre du Règlement type</w:t>
      </w:r>
      <w:r w:rsidR="00BB7751">
        <w:rPr>
          <w:lang w:val="fr-FR"/>
        </w:rPr>
        <w:t> </w:t>
      </w:r>
      <w:r w:rsidRPr="00F82F28">
        <w:rPr>
          <w:lang w:val="fr-FR"/>
        </w:rPr>
        <w:t>;</w:t>
      </w:r>
    </w:p>
    <w:p w14:paraId="690FDE79" w14:textId="77777777" w:rsidR="00026B0E" w:rsidRPr="007F3B53" w:rsidRDefault="00026B0E" w:rsidP="00BB7751">
      <w:pPr>
        <w:pStyle w:val="SingleTxtG"/>
        <w:ind w:firstLine="567"/>
        <w:rPr>
          <w:lang w:val="fr-FR"/>
        </w:rPr>
      </w:pPr>
      <w:r w:rsidRPr="00F82F28">
        <w:rPr>
          <w:lang w:val="fr-FR"/>
        </w:rPr>
        <w:t>l)</w:t>
      </w:r>
      <w:r w:rsidRPr="00F82F28">
        <w:rPr>
          <w:lang w:val="fr-FR"/>
        </w:rPr>
        <w:tab/>
        <w:t xml:space="preserve">Formation à la sécurité et renforcement des capacités en </w:t>
      </w:r>
      <w:r>
        <w:rPr>
          <w:lang w:val="fr-FR"/>
        </w:rPr>
        <w:t xml:space="preserve">ce qui concerne les </w:t>
      </w:r>
      <w:r w:rsidRPr="00F82F28">
        <w:rPr>
          <w:lang w:val="fr-FR"/>
        </w:rPr>
        <w:t>marchandises dangereuses.</w:t>
      </w:r>
    </w:p>
    <w:p w14:paraId="20D6BE1F" w14:textId="4D28A77E" w:rsidR="00026B0E" w:rsidRPr="007F3B53" w:rsidRDefault="00026B0E" w:rsidP="00BB7751">
      <w:pPr>
        <w:pStyle w:val="HChG"/>
        <w:rPr>
          <w:lang w:val="fr-FR"/>
        </w:rPr>
      </w:pPr>
      <w:r>
        <w:rPr>
          <w:lang w:val="fr-FR"/>
        </w:rPr>
        <w:tab/>
      </w:r>
      <w:r w:rsidRPr="002C029C">
        <w:rPr>
          <w:lang w:val="fr-FR"/>
        </w:rPr>
        <w:t>XIV.</w:t>
      </w:r>
      <w:r w:rsidRPr="002C029C">
        <w:rPr>
          <w:lang w:val="fr-FR"/>
        </w:rPr>
        <w:tab/>
        <w:t>Projet de résolution 2021/… du Conseil économique et social (point 13 de l</w:t>
      </w:r>
      <w:r w:rsidR="000B2B75">
        <w:rPr>
          <w:lang w:val="fr-FR"/>
        </w:rPr>
        <w:t>’</w:t>
      </w:r>
      <w:r w:rsidRPr="002C029C">
        <w:rPr>
          <w:lang w:val="fr-FR"/>
        </w:rPr>
        <w:t>ordre du jour)</w:t>
      </w:r>
    </w:p>
    <w:p w14:paraId="69486FE5" w14:textId="77777777" w:rsidR="00026B0E" w:rsidRPr="007F3B53" w:rsidRDefault="00026B0E" w:rsidP="00BB7751">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4D3879">
        <w:rPr>
          <w:i/>
          <w:iCs/>
          <w:lang w:val="fr-FR"/>
        </w:rPr>
        <w:t> </w:t>
      </w:r>
      <w:r w:rsidRPr="00F82F28">
        <w:rPr>
          <w:i/>
          <w:iCs/>
          <w:lang w:val="fr-FR"/>
        </w:rPr>
        <w:t>:</w:t>
      </w:r>
      <w:r w:rsidRPr="00F82F28">
        <w:rPr>
          <w:lang w:val="fr-FR"/>
        </w:rPr>
        <w:tab/>
        <w:t>INF.36 (</w:t>
      </w:r>
      <w:r>
        <w:rPr>
          <w:lang w:val="fr-FR"/>
        </w:rPr>
        <w:t>s</w:t>
      </w:r>
      <w:r w:rsidRPr="00F82F28">
        <w:rPr>
          <w:lang w:val="fr-FR"/>
        </w:rPr>
        <w:t>ecrétariat)</w:t>
      </w:r>
      <w:r>
        <w:rPr>
          <w:lang w:val="fr-FR"/>
        </w:rPr>
        <w:t>.</w:t>
      </w:r>
    </w:p>
    <w:p w14:paraId="1AF98CB8" w14:textId="5E163606" w:rsidR="00026B0E" w:rsidRPr="007F3B53" w:rsidRDefault="00026B0E" w:rsidP="00026B0E">
      <w:pPr>
        <w:pStyle w:val="SingleTxtG"/>
        <w:rPr>
          <w:lang w:val="fr-FR"/>
        </w:rPr>
      </w:pPr>
      <w:r w:rsidRPr="00F82F28">
        <w:rPr>
          <w:lang w:val="fr-FR"/>
        </w:rPr>
        <w:t>121.</w:t>
      </w:r>
      <w:r w:rsidRPr="00F82F28">
        <w:rPr>
          <w:lang w:val="fr-FR"/>
        </w:rPr>
        <w:tab/>
        <w:t>Le Sous-Comité a adopté sans aucune objection la partie A de la résolution, relative à ses travaux durant la période biennale 2019-2020, sur la base d</w:t>
      </w:r>
      <w:r w:rsidR="000B2B75">
        <w:rPr>
          <w:lang w:val="fr-FR"/>
        </w:rPr>
        <w:t>’</w:t>
      </w:r>
      <w:r w:rsidRPr="00F82F28">
        <w:rPr>
          <w:lang w:val="fr-FR"/>
        </w:rPr>
        <w:t>un projet établi par le secrétariat.</w:t>
      </w:r>
    </w:p>
    <w:p w14:paraId="7298313A" w14:textId="099B4ED4" w:rsidR="00026B0E" w:rsidRPr="007F3B53" w:rsidRDefault="00026B0E" w:rsidP="00BB7751">
      <w:pPr>
        <w:pStyle w:val="HChG"/>
        <w:rPr>
          <w:szCs w:val="28"/>
          <w:lang w:val="fr-FR"/>
        </w:rPr>
      </w:pPr>
      <w:r>
        <w:rPr>
          <w:lang w:val="fr-FR"/>
        </w:rPr>
        <w:tab/>
      </w:r>
      <w:r w:rsidRPr="002C029C">
        <w:rPr>
          <w:szCs w:val="28"/>
          <w:lang w:val="fr-FR"/>
        </w:rPr>
        <w:t>XV.</w:t>
      </w:r>
      <w:r w:rsidRPr="002C029C">
        <w:rPr>
          <w:szCs w:val="28"/>
          <w:lang w:val="fr-FR"/>
        </w:rPr>
        <w:tab/>
      </w:r>
      <w:r w:rsidRPr="002C029C">
        <w:rPr>
          <w:bCs/>
          <w:szCs w:val="28"/>
          <w:lang w:val="fr-FR"/>
        </w:rPr>
        <w:t>Élection du Bureau pour la période biennale 2021-2022 (point 14 de l</w:t>
      </w:r>
      <w:r w:rsidR="000B2B75">
        <w:rPr>
          <w:bCs/>
          <w:szCs w:val="28"/>
          <w:lang w:val="fr-FR"/>
        </w:rPr>
        <w:t>’</w:t>
      </w:r>
      <w:r w:rsidRPr="002C029C">
        <w:rPr>
          <w:bCs/>
          <w:szCs w:val="28"/>
          <w:lang w:val="fr-FR"/>
        </w:rPr>
        <w:t>ordre du jour)</w:t>
      </w:r>
    </w:p>
    <w:p w14:paraId="53A57BB9" w14:textId="195201A4" w:rsidR="00026B0E" w:rsidRPr="007F3B53" w:rsidRDefault="00026B0E" w:rsidP="00026B0E">
      <w:pPr>
        <w:pStyle w:val="SingleTxtG"/>
        <w:rPr>
          <w:lang w:val="fr-FR"/>
        </w:rPr>
      </w:pPr>
      <w:r w:rsidRPr="00F82F28">
        <w:rPr>
          <w:lang w:val="fr-FR"/>
        </w:rPr>
        <w:t>122.</w:t>
      </w:r>
      <w:r w:rsidRPr="00F82F28">
        <w:rPr>
          <w:lang w:val="fr-FR"/>
        </w:rPr>
        <w:tab/>
        <w:t>Suite à la communication, en septembre 2020, par le Président à tous les chefs de délégation, d</w:t>
      </w:r>
      <w:r w:rsidR="000B2B75">
        <w:rPr>
          <w:lang w:val="fr-FR"/>
        </w:rPr>
        <w:t>’</w:t>
      </w:r>
      <w:r w:rsidRPr="00F82F28">
        <w:rPr>
          <w:lang w:val="fr-FR"/>
        </w:rPr>
        <w:t>une lettre sur les dispositions du Règlement intérieur concernant l</w:t>
      </w:r>
      <w:r w:rsidR="000B2B75">
        <w:rPr>
          <w:lang w:val="fr-FR"/>
        </w:rPr>
        <w:t>’</w:t>
      </w:r>
      <w:r w:rsidRPr="00F82F28">
        <w:rPr>
          <w:lang w:val="fr-FR"/>
        </w:rPr>
        <w:t>élection du Bureau pour l</w:t>
      </w:r>
      <w:r w:rsidR="000B2B75">
        <w:rPr>
          <w:lang w:val="fr-FR"/>
        </w:rPr>
        <w:t>’</w:t>
      </w:r>
      <w:r w:rsidRPr="00F82F28">
        <w:rPr>
          <w:lang w:val="fr-FR"/>
        </w:rPr>
        <w:t>exercice 2021-2022, aucune demande de vote à bulletin secret n</w:t>
      </w:r>
      <w:r w:rsidR="000B2B75">
        <w:rPr>
          <w:lang w:val="fr-FR"/>
        </w:rPr>
        <w:t>’</w:t>
      </w:r>
      <w:r w:rsidRPr="00F82F28">
        <w:rPr>
          <w:lang w:val="fr-FR"/>
        </w:rPr>
        <w:t>a été reçue. Le Sous-Comité a réélu M.</w:t>
      </w:r>
      <w:r w:rsidR="00D13A02">
        <w:rPr>
          <w:lang w:val="fr-FR"/>
        </w:rPr>
        <w:t> </w:t>
      </w:r>
      <w:r w:rsidRPr="00F82F28">
        <w:rPr>
          <w:lang w:val="fr-FR"/>
        </w:rPr>
        <w:t>D. Pfund (États-Unis d</w:t>
      </w:r>
      <w:r w:rsidR="000B2B75">
        <w:rPr>
          <w:lang w:val="fr-FR"/>
        </w:rPr>
        <w:t>’</w:t>
      </w:r>
      <w:r w:rsidRPr="00F82F28">
        <w:rPr>
          <w:lang w:val="fr-FR"/>
        </w:rPr>
        <w:t>Amérique) Président et M.</w:t>
      </w:r>
      <w:r w:rsidR="00D13A02">
        <w:rPr>
          <w:lang w:val="fr-FR"/>
        </w:rPr>
        <w:t> </w:t>
      </w:r>
      <w:r w:rsidRPr="00F82F28">
        <w:rPr>
          <w:lang w:val="fr-FR"/>
        </w:rPr>
        <w:t xml:space="preserve">C. </w:t>
      </w:r>
      <w:proofErr w:type="spellStart"/>
      <w:r w:rsidRPr="00F82F28">
        <w:rPr>
          <w:lang w:val="fr-FR"/>
        </w:rPr>
        <w:t>Pfauvadel</w:t>
      </w:r>
      <w:proofErr w:type="spellEnd"/>
      <w:r w:rsidRPr="00F82F28">
        <w:rPr>
          <w:lang w:val="fr-FR"/>
        </w:rPr>
        <w:t xml:space="preserve"> (France) Vice-Président pour la prochaine période biennale.</w:t>
      </w:r>
    </w:p>
    <w:p w14:paraId="0E885994" w14:textId="2EF53436" w:rsidR="00026B0E" w:rsidRPr="007F3B53" w:rsidRDefault="00026B0E" w:rsidP="00BB7751">
      <w:pPr>
        <w:pStyle w:val="HChG"/>
        <w:rPr>
          <w:szCs w:val="28"/>
          <w:lang w:val="fr-FR"/>
        </w:rPr>
      </w:pPr>
      <w:r>
        <w:rPr>
          <w:lang w:val="fr-FR"/>
        </w:rPr>
        <w:tab/>
      </w:r>
      <w:r w:rsidRPr="002C029C">
        <w:rPr>
          <w:szCs w:val="28"/>
          <w:lang w:val="fr-FR"/>
        </w:rPr>
        <w:t>XVI.</w:t>
      </w:r>
      <w:r w:rsidRPr="002C029C">
        <w:rPr>
          <w:szCs w:val="28"/>
          <w:lang w:val="fr-FR"/>
        </w:rPr>
        <w:tab/>
      </w:r>
      <w:r w:rsidRPr="002C029C">
        <w:rPr>
          <w:bCs/>
          <w:szCs w:val="28"/>
          <w:lang w:val="fr-FR"/>
        </w:rPr>
        <w:t xml:space="preserve">Questions diverses (point </w:t>
      </w:r>
      <w:r w:rsidRPr="00BB7751">
        <w:rPr>
          <w:lang w:val="fr-FR"/>
        </w:rPr>
        <w:t>15</w:t>
      </w:r>
      <w:r w:rsidRPr="002C029C">
        <w:rPr>
          <w:bCs/>
          <w:szCs w:val="28"/>
          <w:lang w:val="fr-FR"/>
        </w:rPr>
        <w:t xml:space="preserve"> de l</w:t>
      </w:r>
      <w:r w:rsidR="000B2B75">
        <w:rPr>
          <w:bCs/>
          <w:szCs w:val="28"/>
          <w:lang w:val="fr-FR"/>
        </w:rPr>
        <w:t>’</w:t>
      </w:r>
      <w:r w:rsidRPr="002C029C">
        <w:rPr>
          <w:bCs/>
          <w:szCs w:val="28"/>
          <w:lang w:val="fr-FR"/>
        </w:rPr>
        <w:t>ordre du jour)</w:t>
      </w:r>
    </w:p>
    <w:p w14:paraId="1FE12F6D" w14:textId="77777777" w:rsidR="00026B0E" w:rsidRPr="007F3B53" w:rsidRDefault="00026B0E" w:rsidP="00BB7751">
      <w:pPr>
        <w:pStyle w:val="SingleTxtG"/>
        <w:tabs>
          <w:tab w:val="clear" w:pos="1701"/>
          <w:tab w:val="clear" w:pos="2268"/>
          <w:tab w:val="clear" w:pos="2835"/>
          <w:tab w:val="left" w:pos="3402"/>
        </w:tabs>
        <w:ind w:left="3402" w:hanging="2268"/>
        <w:jc w:val="left"/>
        <w:rPr>
          <w:lang w:val="fr-FR"/>
        </w:rPr>
      </w:pPr>
      <w:r w:rsidRPr="00F82F28">
        <w:rPr>
          <w:i/>
          <w:iCs/>
          <w:lang w:val="fr-FR"/>
        </w:rPr>
        <w:t>Document informel</w:t>
      </w:r>
      <w:r w:rsidR="004D3879">
        <w:rPr>
          <w:i/>
          <w:iCs/>
          <w:lang w:val="fr-FR"/>
        </w:rPr>
        <w:t> </w:t>
      </w:r>
      <w:r w:rsidRPr="00F82F28">
        <w:rPr>
          <w:i/>
          <w:iCs/>
          <w:lang w:val="fr-FR"/>
        </w:rPr>
        <w:t>:</w:t>
      </w:r>
      <w:r w:rsidRPr="00F82F28">
        <w:rPr>
          <w:lang w:val="fr-FR"/>
        </w:rPr>
        <w:tab/>
        <w:t>INF.51 (RPMASA)</w:t>
      </w:r>
      <w:r>
        <w:rPr>
          <w:lang w:val="fr-FR"/>
        </w:rPr>
        <w:t>.</w:t>
      </w:r>
    </w:p>
    <w:p w14:paraId="1CE525F7" w14:textId="20429A78" w:rsidR="00026B0E" w:rsidRPr="007F3B53" w:rsidRDefault="00026B0E" w:rsidP="00026B0E">
      <w:pPr>
        <w:pStyle w:val="SingleTxtG"/>
        <w:rPr>
          <w:lang w:val="fr-FR"/>
        </w:rPr>
      </w:pPr>
      <w:r w:rsidRPr="00F82F28">
        <w:rPr>
          <w:lang w:val="fr-FR"/>
        </w:rPr>
        <w:t>123.</w:t>
      </w:r>
      <w:r w:rsidRPr="00F82F28">
        <w:rPr>
          <w:lang w:val="fr-FR"/>
        </w:rPr>
        <w:tab/>
        <w:t>Le Sous-Comité a pris note des informations données par la représentante de la RPMASA au sujet de l</w:t>
      </w:r>
      <w:r w:rsidR="000B2B75">
        <w:rPr>
          <w:lang w:val="fr-FR"/>
        </w:rPr>
        <w:t>’</w:t>
      </w:r>
      <w:r w:rsidRPr="00F82F28">
        <w:rPr>
          <w:lang w:val="fr-FR"/>
        </w:rPr>
        <w:t>initiative que l</w:t>
      </w:r>
      <w:r w:rsidR="000B2B75">
        <w:rPr>
          <w:lang w:val="fr-FR"/>
        </w:rPr>
        <w:t>’</w:t>
      </w:r>
      <w:r w:rsidRPr="00F82F28">
        <w:rPr>
          <w:lang w:val="fr-FR"/>
        </w:rPr>
        <w:t>Afrique du Sud avait prise à la suite de la catastrophe de Beyrouth, causée par l</w:t>
      </w:r>
      <w:r w:rsidR="000B2B75">
        <w:rPr>
          <w:lang w:val="fr-FR"/>
        </w:rPr>
        <w:t>’</w:t>
      </w:r>
      <w:r w:rsidRPr="00F82F28">
        <w:rPr>
          <w:lang w:val="fr-FR"/>
        </w:rPr>
        <w:t>explosion d</w:t>
      </w:r>
      <w:r w:rsidR="000B2B75">
        <w:rPr>
          <w:lang w:val="fr-FR"/>
        </w:rPr>
        <w:t>’</w:t>
      </w:r>
      <w:r w:rsidRPr="00F82F28">
        <w:rPr>
          <w:lang w:val="fr-FR"/>
        </w:rPr>
        <w:t>une grande quantité de nitrate d</w:t>
      </w:r>
      <w:r w:rsidR="000B2B75">
        <w:rPr>
          <w:lang w:val="fr-FR"/>
        </w:rPr>
        <w:t>’</w:t>
      </w:r>
      <w:r w:rsidRPr="00F82F28">
        <w:rPr>
          <w:lang w:val="fr-FR"/>
        </w:rPr>
        <w:t>ammonium stockée dans un entrepôt du port. La représentante a expliqué que l</w:t>
      </w:r>
      <w:r w:rsidR="000B2B75">
        <w:rPr>
          <w:lang w:val="fr-FR"/>
        </w:rPr>
        <w:t>’</w:t>
      </w:r>
      <w:r w:rsidRPr="00F82F28">
        <w:rPr>
          <w:lang w:val="fr-FR"/>
        </w:rPr>
        <w:t xml:space="preserve">Afrique du Sud avait décidé de </w:t>
      </w:r>
      <w:r w:rsidRPr="00F82F28">
        <w:rPr>
          <w:lang w:val="fr-FR"/>
        </w:rPr>
        <w:lastRenderedPageBreak/>
        <w:t>faire le point sur la réglementation actuelle et sur les pratiques permettant d</w:t>
      </w:r>
      <w:r w:rsidR="000B2B75">
        <w:rPr>
          <w:lang w:val="fr-FR"/>
        </w:rPr>
        <w:t>’</w:t>
      </w:r>
      <w:r w:rsidRPr="00F82F28">
        <w:rPr>
          <w:lang w:val="fr-FR"/>
        </w:rPr>
        <w:t>éviter une catastrophe semblable, en vue de renforcer au plan national les mesures de sécurité concernant le stockage et le transport des marchandises dangereuses. Elle a souligné l</w:t>
      </w:r>
      <w:r w:rsidR="000B2B75">
        <w:rPr>
          <w:lang w:val="fr-FR"/>
        </w:rPr>
        <w:t>’</w:t>
      </w:r>
      <w:r w:rsidRPr="00F82F28">
        <w:rPr>
          <w:lang w:val="fr-FR"/>
        </w:rPr>
        <w:t>importance de la formation pour une interprétation sans faille des réglementations multimodales</w:t>
      </w:r>
      <w:r>
        <w:rPr>
          <w:lang w:val="fr-FR"/>
        </w:rPr>
        <w:t>, et d</w:t>
      </w:r>
      <w:r w:rsidR="000B2B75">
        <w:rPr>
          <w:lang w:val="fr-FR"/>
        </w:rPr>
        <w:t>’</w:t>
      </w:r>
      <w:r w:rsidRPr="00F82F28">
        <w:rPr>
          <w:lang w:val="fr-FR"/>
        </w:rPr>
        <w:t>une bonne communication entre les régulateurs modaux, c</w:t>
      </w:r>
      <w:r w:rsidR="000B2B75">
        <w:rPr>
          <w:lang w:val="fr-FR"/>
        </w:rPr>
        <w:t>’</w:t>
      </w:r>
      <w:r w:rsidRPr="00F82F28">
        <w:rPr>
          <w:lang w:val="fr-FR"/>
        </w:rPr>
        <w:t>est-à-dire entre les modes de transport terrestre et maritime.</w:t>
      </w:r>
    </w:p>
    <w:p w14:paraId="1DEE4581" w14:textId="2DF4B7E5" w:rsidR="00026B0E" w:rsidRPr="007F3B53" w:rsidRDefault="00026B0E" w:rsidP="00026B0E">
      <w:pPr>
        <w:pStyle w:val="SingleTxtG"/>
        <w:rPr>
          <w:lang w:val="fr-FR"/>
        </w:rPr>
      </w:pPr>
      <w:r w:rsidRPr="00F82F28">
        <w:rPr>
          <w:lang w:val="fr-FR"/>
        </w:rPr>
        <w:t>124.</w:t>
      </w:r>
      <w:r w:rsidRPr="00F82F28">
        <w:rPr>
          <w:lang w:val="fr-FR"/>
        </w:rPr>
        <w:tab/>
        <w:t>L</w:t>
      </w:r>
      <w:r w:rsidR="000B2B75">
        <w:rPr>
          <w:lang w:val="fr-FR"/>
        </w:rPr>
        <w:t>’</w:t>
      </w:r>
      <w:r w:rsidRPr="00F82F28">
        <w:rPr>
          <w:lang w:val="fr-FR"/>
        </w:rPr>
        <w:t>expert de la France a informé le Sous-Comité que son pays avait pris une initiative comparable, qui visait à recueillir des informations sur le transport, mais aussi sur le stockage et la manutention du nitrate d</w:t>
      </w:r>
      <w:r w:rsidR="000B2B75">
        <w:rPr>
          <w:lang w:val="fr-FR"/>
        </w:rPr>
        <w:t>’</w:t>
      </w:r>
      <w:r w:rsidRPr="00F82F28">
        <w:rPr>
          <w:lang w:val="fr-FR"/>
        </w:rPr>
        <w:t>ammonium dans les ports maritimes et intérieurs. L</w:t>
      </w:r>
      <w:r w:rsidR="000B2B75">
        <w:rPr>
          <w:lang w:val="fr-FR"/>
        </w:rPr>
        <w:t>’</w:t>
      </w:r>
      <w:r w:rsidRPr="00F82F28">
        <w:rPr>
          <w:lang w:val="fr-FR"/>
        </w:rPr>
        <w:t>experte du Canada a fait part d</w:t>
      </w:r>
      <w:r w:rsidR="000B2B75">
        <w:rPr>
          <w:lang w:val="fr-FR"/>
        </w:rPr>
        <w:t>’</w:t>
      </w:r>
      <w:r w:rsidRPr="00F82F28">
        <w:rPr>
          <w:lang w:val="fr-FR"/>
        </w:rPr>
        <w:t>une étude de ce type qui était en cours dans son pays et a proposé d</w:t>
      </w:r>
      <w:r w:rsidR="000B2B75">
        <w:rPr>
          <w:lang w:val="fr-FR"/>
        </w:rPr>
        <w:t>’</w:t>
      </w:r>
      <w:r w:rsidRPr="00F82F28">
        <w:rPr>
          <w:lang w:val="fr-FR"/>
        </w:rPr>
        <w:t>en communiquer les résultats au Sous-Comité une fois qu</w:t>
      </w:r>
      <w:r w:rsidR="000B2B75">
        <w:rPr>
          <w:lang w:val="fr-FR"/>
        </w:rPr>
        <w:t>’</w:t>
      </w:r>
      <w:r w:rsidRPr="00F82F28">
        <w:rPr>
          <w:lang w:val="fr-FR"/>
        </w:rPr>
        <w:t>elle serait achevée. Le Sous-Comité a souligné l</w:t>
      </w:r>
      <w:r w:rsidR="000B2B75">
        <w:rPr>
          <w:lang w:val="fr-FR"/>
        </w:rPr>
        <w:t>’</w:t>
      </w:r>
      <w:r w:rsidRPr="00F82F28">
        <w:rPr>
          <w:lang w:val="fr-FR"/>
        </w:rPr>
        <w:t>importance de l</w:t>
      </w:r>
      <w:r w:rsidR="000B2B75">
        <w:rPr>
          <w:lang w:val="fr-FR"/>
        </w:rPr>
        <w:t>’</w:t>
      </w:r>
      <w:r w:rsidRPr="00F82F28">
        <w:rPr>
          <w:lang w:val="fr-FR"/>
        </w:rPr>
        <w:t>apprentissage mutuel et salué l</w:t>
      </w:r>
      <w:r w:rsidR="000B2B75">
        <w:rPr>
          <w:lang w:val="fr-FR"/>
        </w:rPr>
        <w:t>’</w:t>
      </w:r>
      <w:r w:rsidRPr="00F82F28">
        <w:rPr>
          <w:lang w:val="fr-FR"/>
        </w:rPr>
        <w:t>initiative de mise en commun des meilleures pratiques avec toutes les délégations.</w:t>
      </w:r>
    </w:p>
    <w:p w14:paraId="58ED385C" w14:textId="77777777" w:rsidR="00026B0E" w:rsidRPr="007F3B53" w:rsidRDefault="00026B0E" w:rsidP="00BB7751">
      <w:pPr>
        <w:pStyle w:val="H1G"/>
        <w:rPr>
          <w:lang w:val="fr-FR"/>
        </w:rPr>
      </w:pPr>
      <w:r w:rsidRPr="00F82F28">
        <w:rPr>
          <w:lang w:val="fr-FR"/>
        </w:rPr>
        <w:tab/>
      </w:r>
      <w:r w:rsidRPr="00F82F28">
        <w:rPr>
          <w:lang w:val="fr-FR"/>
        </w:rPr>
        <w:tab/>
        <w:t>Autres questions</w:t>
      </w:r>
    </w:p>
    <w:p w14:paraId="1F97FABD" w14:textId="796BF3F9" w:rsidR="00026B0E" w:rsidRPr="007F3B53" w:rsidRDefault="00026B0E" w:rsidP="00026B0E">
      <w:pPr>
        <w:pStyle w:val="SingleTxtG"/>
        <w:rPr>
          <w:lang w:val="fr-FR"/>
        </w:rPr>
      </w:pPr>
      <w:r w:rsidRPr="00F82F28">
        <w:rPr>
          <w:lang w:val="fr-FR"/>
        </w:rPr>
        <w:t>125.</w:t>
      </w:r>
      <w:r w:rsidRPr="00F82F28">
        <w:rPr>
          <w:lang w:val="fr-FR"/>
        </w:rPr>
        <w:tab/>
        <w:t>Le Sous-Comité a remercié le secrétariat pour l</w:t>
      </w:r>
      <w:r w:rsidR="000B2B75">
        <w:rPr>
          <w:lang w:val="fr-FR"/>
        </w:rPr>
        <w:t>’</w:t>
      </w:r>
      <w:r w:rsidRPr="00F82F28">
        <w:rPr>
          <w:lang w:val="fr-FR"/>
        </w:rPr>
        <w:t>organisation efficace des sessions en ligne et la mise en place de la plateforme Web permettant de soumettre des observations par écrit avant les sessions. Il a expliqué que la possibilité d</w:t>
      </w:r>
      <w:r w:rsidR="000B2B75">
        <w:rPr>
          <w:lang w:val="fr-FR"/>
        </w:rPr>
        <w:t>’</w:t>
      </w:r>
      <w:r w:rsidRPr="00F82F28">
        <w:rPr>
          <w:lang w:val="fr-FR"/>
        </w:rPr>
        <w:t>échanger par écrit des points de vue sur les propositions dans le cadre de la préparation des sessions facilitait le travail et a demandé si cette possibilité pouvait être étendue à toutes les sessions. Un membre du secrétariat a répondu que la mise en place de la plateforme Web et sa tenue à jour avec tous les documents soumis pour une session représentaient une charge de travail supplémentaire pour le secrétariat, qui ne pouvait être assumée de manière continue eu égard aux effectifs disponibles. Le secrétariat réexaminerait cette question, sous réserve que des ressources soient disponibles à l</w:t>
      </w:r>
      <w:r w:rsidR="000B2B75">
        <w:rPr>
          <w:lang w:val="fr-FR"/>
        </w:rPr>
        <w:t>’</w:t>
      </w:r>
      <w:r w:rsidRPr="00F82F28">
        <w:rPr>
          <w:lang w:val="fr-FR"/>
        </w:rPr>
        <w:t>avenir.</w:t>
      </w:r>
    </w:p>
    <w:p w14:paraId="247AEBEB" w14:textId="77777777" w:rsidR="00026B0E" w:rsidRPr="007F3B53" w:rsidRDefault="00026B0E" w:rsidP="00BB7751">
      <w:pPr>
        <w:pStyle w:val="H1G"/>
        <w:rPr>
          <w:lang w:val="fr-FR"/>
        </w:rPr>
      </w:pPr>
      <w:r w:rsidRPr="00F82F28">
        <w:rPr>
          <w:lang w:val="fr-FR"/>
        </w:rPr>
        <w:tab/>
      </w:r>
      <w:r w:rsidRPr="00F82F28">
        <w:rPr>
          <w:lang w:val="fr-FR"/>
        </w:rPr>
        <w:tab/>
        <w:t>Hommages</w:t>
      </w:r>
    </w:p>
    <w:p w14:paraId="1AB9663F" w14:textId="77777777" w:rsidR="00026B0E" w:rsidRPr="007F3B53" w:rsidRDefault="00026B0E" w:rsidP="00026B0E">
      <w:pPr>
        <w:pStyle w:val="SingleTxtG"/>
        <w:rPr>
          <w:lang w:val="fr-FR"/>
        </w:rPr>
      </w:pPr>
      <w:r w:rsidRPr="00F82F28">
        <w:rPr>
          <w:lang w:val="fr-FR"/>
        </w:rPr>
        <w:t>126.</w:t>
      </w:r>
      <w:r w:rsidRPr="00F82F28">
        <w:rPr>
          <w:lang w:val="fr-FR"/>
        </w:rPr>
        <w:tab/>
        <w:t>Le Sous-Comité a noté que M</w:t>
      </w:r>
      <w:r w:rsidRPr="00EA4A3D">
        <w:rPr>
          <w:vertAlign w:val="superscript"/>
          <w:lang w:val="fr-FR"/>
        </w:rPr>
        <w:t>me</w:t>
      </w:r>
      <w:r w:rsidRPr="00F82F28">
        <w:rPr>
          <w:lang w:val="fr-FR"/>
        </w:rPr>
        <w:t xml:space="preserve"> Lara Currie (IVODGA) et M. Jack Currie (COSTHA) </w:t>
      </w:r>
      <w:r>
        <w:rPr>
          <w:lang w:val="fr-FR"/>
        </w:rPr>
        <w:t>avaie</w:t>
      </w:r>
      <w:r w:rsidRPr="00F82F28">
        <w:rPr>
          <w:lang w:val="fr-FR"/>
        </w:rPr>
        <w:t>nt pris leur retraite récemment et ne participer</w:t>
      </w:r>
      <w:r>
        <w:rPr>
          <w:lang w:val="fr-FR"/>
        </w:rPr>
        <w:t>aie</w:t>
      </w:r>
      <w:r w:rsidRPr="00F82F28">
        <w:rPr>
          <w:lang w:val="fr-FR"/>
        </w:rPr>
        <w:t xml:space="preserve">nt plus à ses sessions. Apprenant que M. K. Pilatus (CLEPA) prendrait également sa retraite prochainement et ne participerait plus </w:t>
      </w:r>
      <w:r>
        <w:rPr>
          <w:lang w:val="fr-FR"/>
        </w:rPr>
        <w:t xml:space="preserve">lui </w:t>
      </w:r>
      <w:r w:rsidRPr="00F82F28">
        <w:rPr>
          <w:lang w:val="fr-FR"/>
        </w:rPr>
        <w:t>non plus aux sessions, le Sous-Comité a exprimé sa gratitude pour leurs excellentes contributions à ses travaux et leur a souhaité une longue et heureuse retraite.</w:t>
      </w:r>
    </w:p>
    <w:p w14:paraId="55944A7D" w14:textId="480BD070" w:rsidR="00026B0E" w:rsidRPr="007F3B53" w:rsidRDefault="0029708D" w:rsidP="00BB7751">
      <w:pPr>
        <w:pStyle w:val="HChG"/>
        <w:rPr>
          <w:szCs w:val="28"/>
          <w:lang w:val="fr-FR"/>
        </w:rPr>
      </w:pPr>
      <w:r>
        <w:rPr>
          <w:szCs w:val="28"/>
          <w:lang w:val="fr-FR"/>
        </w:rPr>
        <w:tab/>
      </w:r>
      <w:r w:rsidR="00026B0E" w:rsidRPr="002C029C">
        <w:rPr>
          <w:szCs w:val="28"/>
          <w:lang w:val="fr-FR"/>
        </w:rPr>
        <w:t>XVII.</w:t>
      </w:r>
      <w:r w:rsidR="00026B0E" w:rsidRPr="002C029C">
        <w:rPr>
          <w:szCs w:val="28"/>
          <w:lang w:val="fr-FR"/>
        </w:rPr>
        <w:tab/>
      </w:r>
      <w:r w:rsidR="00026B0E" w:rsidRPr="002C029C">
        <w:rPr>
          <w:bCs/>
          <w:szCs w:val="28"/>
          <w:lang w:val="fr-FR"/>
        </w:rPr>
        <w:t xml:space="preserve">Adoption du </w:t>
      </w:r>
      <w:r w:rsidR="00026B0E" w:rsidRPr="00BB7751">
        <w:rPr>
          <w:lang w:val="fr-FR"/>
        </w:rPr>
        <w:t>rapport</w:t>
      </w:r>
      <w:r w:rsidR="00026B0E" w:rsidRPr="002C029C">
        <w:rPr>
          <w:bCs/>
          <w:szCs w:val="28"/>
          <w:lang w:val="fr-FR"/>
        </w:rPr>
        <w:t xml:space="preserve"> (point 16 de l</w:t>
      </w:r>
      <w:r w:rsidR="000B2B75">
        <w:rPr>
          <w:bCs/>
          <w:szCs w:val="28"/>
          <w:lang w:val="fr-FR"/>
        </w:rPr>
        <w:t>’</w:t>
      </w:r>
      <w:r w:rsidR="00026B0E" w:rsidRPr="002C029C">
        <w:rPr>
          <w:bCs/>
          <w:szCs w:val="28"/>
          <w:lang w:val="fr-FR"/>
        </w:rPr>
        <w:t>ordre du jour)</w:t>
      </w:r>
    </w:p>
    <w:p w14:paraId="34FA81D1" w14:textId="6E51619E" w:rsidR="00026B0E" w:rsidRDefault="00026B0E" w:rsidP="00026B0E">
      <w:pPr>
        <w:pStyle w:val="SingleTxtG"/>
        <w:rPr>
          <w:lang w:val="fr-FR"/>
        </w:rPr>
      </w:pPr>
      <w:r w:rsidRPr="00F82F28">
        <w:rPr>
          <w:lang w:val="fr-FR"/>
        </w:rPr>
        <w:t>127.</w:t>
      </w:r>
      <w:r w:rsidRPr="00F82F28">
        <w:rPr>
          <w:lang w:val="fr-FR"/>
        </w:rPr>
        <w:tab/>
        <w:t>Conformément à l</w:t>
      </w:r>
      <w:r w:rsidR="000B2B75">
        <w:rPr>
          <w:lang w:val="fr-FR"/>
        </w:rPr>
        <w:t>’</w:t>
      </w:r>
      <w:r w:rsidRPr="00F82F28">
        <w:rPr>
          <w:lang w:val="fr-FR"/>
        </w:rPr>
        <w:t>usage, le Sous-Comité a adopté le rapport de sa cinquante-septième session et ses annexes sur la base d</w:t>
      </w:r>
      <w:r w:rsidR="000B2B75">
        <w:rPr>
          <w:lang w:val="fr-FR"/>
        </w:rPr>
        <w:t>’</w:t>
      </w:r>
      <w:r w:rsidRPr="00F82F28">
        <w:rPr>
          <w:lang w:val="fr-FR"/>
        </w:rPr>
        <w:t>un projet établi par le secrétariat.</w:t>
      </w:r>
    </w:p>
    <w:p w14:paraId="0952F1B1" w14:textId="77777777" w:rsidR="00BB7751" w:rsidRPr="00BB7751" w:rsidRDefault="00BB7751" w:rsidP="00BB7751">
      <w:pPr>
        <w:pStyle w:val="SingleTxtG"/>
        <w:spacing w:before="240" w:after="0"/>
        <w:jc w:val="center"/>
        <w:rPr>
          <w:u w:val="single"/>
        </w:rPr>
      </w:pPr>
      <w:r>
        <w:rPr>
          <w:u w:val="single"/>
        </w:rPr>
        <w:tab/>
      </w:r>
      <w:r>
        <w:rPr>
          <w:u w:val="single"/>
        </w:rPr>
        <w:tab/>
      </w:r>
      <w:r>
        <w:rPr>
          <w:u w:val="single"/>
        </w:rPr>
        <w:tab/>
      </w:r>
    </w:p>
    <w:sectPr w:rsidR="00BB7751" w:rsidRPr="00BB7751" w:rsidSect="00834159">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50713" w14:textId="77777777" w:rsidR="00113B2A" w:rsidRDefault="00113B2A" w:rsidP="00F95C08">
      <w:pPr>
        <w:spacing w:line="240" w:lineRule="auto"/>
      </w:pPr>
    </w:p>
  </w:endnote>
  <w:endnote w:type="continuationSeparator" w:id="0">
    <w:p w14:paraId="7744CECB" w14:textId="77777777" w:rsidR="00113B2A" w:rsidRPr="00AC3823" w:rsidRDefault="00113B2A" w:rsidP="00AC3823">
      <w:pPr>
        <w:pStyle w:val="Footer"/>
      </w:pPr>
    </w:p>
  </w:endnote>
  <w:endnote w:type="continuationNotice" w:id="1">
    <w:p w14:paraId="0F6AB3A6" w14:textId="77777777" w:rsidR="00113B2A" w:rsidRDefault="00113B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0304" w14:textId="77777777" w:rsidR="00F16310" w:rsidRPr="00834159" w:rsidRDefault="00F16310" w:rsidP="00834159">
    <w:pPr>
      <w:pStyle w:val="Footer"/>
      <w:tabs>
        <w:tab w:val="right" w:pos="9638"/>
      </w:tabs>
    </w:pPr>
    <w:r w:rsidRPr="00834159">
      <w:rPr>
        <w:b/>
        <w:sz w:val="18"/>
      </w:rPr>
      <w:fldChar w:fldCharType="begin"/>
    </w:r>
    <w:r w:rsidRPr="00834159">
      <w:rPr>
        <w:b/>
        <w:sz w:val="18"/>
      </w:rPr>
      <w:instrText xml:space="preserve"> PAGE  \* MERGEFORMAT </w:instrText>
    </w:r>
    <w:r w:rsidRPr="00834159">
      <w:rPr>
        <w:b/>
        <w:sz w:val="18"/>
      </w:rPr>
      <w:fldChar w:fldCharType="separate"/>
    </w:r>
    <w:r w:rsidRPr="00834159">
      <w:rPr>
        <w:b/>
        <w:noProof/>
        <w:sz w:val="18"/>
      </w:rPr>
      <w:t>2</w:t>
    </w:r>
    <w:r w:rsidRPr="00834159">
      <w:rPr>
        <w:b/>
        <w:sz w:val="18"/>
      </w:rPr>
      <w:fldChar w:fldCharType="end"/>
    </w:r>
    <w:r>
      <w:rPr>
        <w:b/>
        <w:sz w:val="18"/>
      </w:rPr>
      <w:tab/>
    </w:r>
    <w:r>
      <w:t>GE.20-17584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B0A95" w14:textId="77777777" w:rsidR="00F16310" w:rsidRPr="00834159" w:rsidRDefault="00F16310" w:rsidP="00834159">
    <w:pPr>
      <w:pStyle w:val="Footer"/>
      <w:tabs>
        <w:tab w:val="right" w:pos="9638"/>
      </w:tabs>
      <w:rPr>
        <w:b/>
        <w:sz w:val="18"/>
      </w:rPr>
    </w:pPr>
    <w:r>
      <w:t>GE.20-17584</w:t>
    </w:r>
    <w:r>
      <w:tab/>
    </w:r>
    <w:r w:rsidRPr="00834159">
      <w:rPr>
        <w:b/>
        <w:sz w:val="18"/>
      </w:rPr>
      <w:fldChar w:fldCharType="begin"/>
    </w:r>
    <w:r w:rsidRPr="00834159">
      <w:rPr>
        <w:b/>
        <w:sz w:val="18"/>
      </w:rPr>
      <w:instrText xml:space="preserve"> PAGE  \* MERGEFORMAT </w:instrText>
    </w:r>
    <w:r w:rsidRPr="00834159">
      <w:rPr>
        <w:b/>
        <w:sz w:val="18"/>
      </w:rPr>
      <w:fldChar w:fldCharType="separate"/>
    </w:r>
    <w:r w:rsidRPr="00834159">
      <w:rPr>
        <w:b/>
        <w:noProof/>
        <w:sz w:val="18"/>
      </w:rPr>
      <w:t>3</w:t>
    </w:r>
    <w:r w:rsidRPr="0083415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C0DE" w14:textId="77777777" w:rsidR="00F16310" w:rsidRPr="00834159" w:rsidRDefault="00F16310" w:rsidP="00834159">
    <w:pPr>
      <w:pStyle w:val="Footer"/>
      <w:spacing w:before="120"/>
      <w:rPr>
        <w:sz w:val="20"/>
      </w:rPr>
    </w:pPr>
    <w:r>
      <w:rPr>
        <w:sz w:val="20"/>
      </w:rPr>
      <w:t>GE.</w:t>
    </w:r>
    <w:r>
      <w:rPr>
        <w:noProof/>
        <w:lang w:eastAsia="fr-CH"/>
      </w:rPr>
      <w:drawing>
        <wp:anchor distT="0" distB="0" distL="114300" distR="114300" simplePos="0" relativeHeight="251659264" behindDoc="0" locked="0" layoutInCell="1" allowOverlap="0" wp14:anchorId="7668F860" wp14:editId="340D709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20-17584  (F)</w:t>
    </w:r>
    <w:r>
      <w:rPr>
        <w:noProof/>
        <w:sz w:val="20"/>
      </w:rPr>
      <w:drawing>
        <wp:anchor distT="0" distB="0" distL="114300" distR="114300" simplePos="0" relativeHeight="251660288" behindDoc="0" locked="0" layoutInCell="1" allowOverlap="1" wp14:anchorId="02A5121F" wp14:editId="11B4EAC2">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220221    240221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8C7C9" w14:textId="77777777" w:rsidR="00113B2A" w:rsidRPr="00AC3823" w:rsidRDefault="00113B2A" w:rsidP="00AC3823">
      <w:pPr>
        <w:pStyle w:val="Footer"/>
        <w:tabs>
          <w:tab w:val="right" w:pos="2155"/>
        </w:tabs>
        <w:spacing w:after="80" w:line="240" w:lineRule="atLeast"/>
        <w:ind w:left="680"/>
        <w:rPr>
          <w:u w:val="single"/>
        </w:rPr>
      </w:pPr>
      <w:r>
        <w:rPr>
          <w:u w:val="single"/>
        </w:rPr>
        <w:tab/>
      </w:r>
    </w:p>
  </w:footnote>
  <w:footnote w:type="continuationSeparator" w:id="0">
    <w:p w14:paraId="0AD1C65C" w14:textId="77777777" w:rsidR="00113B2A" w:rsidRPr="00AC3823" w:rsidRDefault="00113B2A" w:rsidP="00AC3823">
      <w:pPr>
        <w:pStyle w:val="Footer"/>
        <w:tabs>
          <w:tab w:val="right" w:pos="2155"/>
        </w:tabs>
        <w:spacing w:after="80" w:line="240" w:lineRule="atLeast"/>
        <w:ind w:left="680"/>
        <w:rPr>
          <w:u w:val="single"/>
        </w:rPr>
      </w:pPr>
      <w:r>
        <w:rPr>
          <w:u w:val="single"/>
        </w:rPr>
        <w:tab/>
      </w:r>
    </w:p>
  </w:footnote>
  <w:footnote w:type="continuationNotice" w:id="1">
    <w:p w14:paraId="7C23F3B0" w14:textId="77777777" w:rsidR="00113B2A" w:rsidRPr="00AC3823" w:rsidRDefault="00113B2A">
      <w:pPr>
        <w:spacing w:line="240" w:lineRule="auto"/>
        <w:rPr>
          <w:sz w:val="2"/>
          <w:szCs w:val="2"/>
        </w:rPr>
      </w:pPr>
    </w:p>
  </w:footnote>
  <w:footnote w:id="2">
    <w:p w14:paraId="649ED07F" w14:textId="77777777" w:rsidR="00F16310" w:rsidRDefault="00F16310">
      <w:pPr>
        <w:pStyle w:val="FootnoteText"/>
      </w:pPr>
      <w:r>
        <w:tab/>
      </w:r>
      <w:r>
        <w:rPr>
          <w:rStyle w:val="FootnoteReference"/>
        </w:rPr>
        <w:footnoteRef/>
      </w:r>
      <w:r>
        <w:tab/>
      </w:r>
      <w:r w:rsidRPr="008F4D9E">
        <w:t>Pour des raisons pratiques, cette annexe est publiée comme additif sous la</w:t>
      </w:r>
      <w:r>
        <w:t> </w:t>
      </w:r>
      <w:r w:rsidRPr="008F4D9E">
        <w:t>cote</w:t>
      </w:r>
      <w:r>
        <w:t> </w:t>
      </w:r>
      <w:r w:rsidRPr="008F4D9E">
        <w:t>ST/SG/AC.10/C.3/114/Add.1.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CA89C" w14:textId="714BAF0C" w:rsidR="00F16310" w:rsidRPr="00834159" w:rsidRDefault="000A2E2C">
    <w:pPr>
      <w:pStyle w:val="Header"/>
    </w:pPr>
    <w:fldSimple w:instr=" TITLE  \* MERGEFORMAT ">
      <w:r w:rsidR="002C3745">
        <w:t>ST/SG/AC.10/C.3/114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C13C" w14:textId="07334B72" w:rsidR="00F16310" w:rsidRPr="00834159" w:rsidRDefault="000A2E2C" w:rsidP="00834159">
    <w:pPr>
      <w:pStyle w:val="Header"/>
      <w:jc w:val="right"/>
    </w:pPr>
    <w:fldSimple w:instr=" TITLE  \* MERGEFORMAT ">
      <w:r w:rsidR="002C3745">
        <w:t>ST/SG/AC.10/C.3/114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74"/>
    <w:rsid w:val="00017F94"/>
    <w:rsid w:val="00023842"/>
    <w:rsid w:val="00026B0E"/>
    <w:rsid w:val="000305D3"/>
    <w:rsid w:val="000334F9"/>
    <w:rsid w:val="000414B0"/>
    <w:rsid w:val="00055F52"/>
    <w:rsid w:val="00076651"/>
    <w:rsid w:val="0007796D"/>
    <w:rsid w:val="000A2E2C"/>
    <w:rsid w:val="000A5309"/>
    <w:rsid w:val="000B2B75"/>
    <w:rsid w:val="000B7790"/>
    <w:rsid w:val="000E4541"/>
    <w:rsid w:val="00111F2F"/>
    <w:rsid w:val="00113B2A"/>
    <w:rsid w:val="00132EA9"/>
    <w:rsid w:val="0014365E"/>
    <w:rsid w:val="00172E49"/>
    <w:rsid w:val="00176178"/>
    <w:rsid w:val="001908DD"/>
    <w:rsid w:val="001914A2"/>
    <w:rsid w:val="00192E8A"/>
    <w:rsid w:val="00193EA2"/>
    <w:rsid w:val="001A6A7E"/>
    <w:rsid w:val="001B03EE"/>
    <w:rsid w:val="001C5EA7"/>
    <w:rsid w:val="001F525A"/>
    <w:rsid w:val="002112BB"/>
    <w:rsid w:val="00223272"/>
    <w:rsid w:val="0024779E"/>
    <w:rsid w:val="00262927"/>
    <w:rsid w:val="00283190"/>
    <w:rsid w:val="002832AC"/>
    <w:rsid w:val="0029643E"/>
    <w:rsid w:val="0029708D"/>
    <w:rsid w:val="002A1B1F"/>
    <w:rsid w:val="002C3745"/>
    <w:rsid w:val="002D7C93"/>
    <w:rsid w:val="002E147D"/>
    <w:rsid w:val="00301DF7"/>
    <w:rsid w:val="00301FBC"/>
    <w:rsid w:val="003269D6"/>
    <w:rsid w:val="003F0C47"/>
    <w:rsid w:val="004370F9"/>
    <w:rsid w:val="00441C3B"/>
    <w:rsid w:val="00446FE5"/>
    <w:rsid w:val="00452396"/>
    <w:rsid w:val="00466C5C"/>
    <w:rsid w:val="00485B7A"/>
    <w:rsid w:val="004D3879"/>
    <w:rsid w:val="004E11AC"/>
    <w:rsid w:val="004E468C"/>
    <w:rsid w:val="00526CA9"/>
    <w:rsid w:val="005505B7"/>
    <w:rsid w:val="00573BE5"/>
    <w:rsid w:val="00584DC4"/>
    <w:rsid w:val="00586ED3"/>
    <w:rsid w:val="00596AA9"/>
    <w:rsid w:val="00625EE7"/>
    <w:rsid w:val="006355EE"/>
    <w:rsid w:val="00653497"/>
    <w:rsid w:val="0068456F"/>
    <w:rsid w:val="0069134B"/>
    <w:rsid w:val="006D1184"/>
    <w:rsid w:val="0071601D"/>
    <w:rsid w:val="007A62E6"/>
    <w:rsid w:val="007B67AD"/>
    <w:rsid w:val="007C57F5"/>
    <w:rsid w:val="0080684C"/>
    <w:rsid w:val="008076F5"/>
    <w:rsid w:val="008123E0"/>
    <w:rsid w:val="00834159"/>
    <w:rsid w:val="00860395"/>
    <w:rsid w:val="00871C75"/>
    <w:rsid w:val="008776DC"/>
    <w:rsid w:val="0089683A"/>
    <w:rsid w:val="008B40CD"/>
    <w:rsid w:val="008D1F9C"/>
    <w:rsid w:val="008F4D9E"/>
    <w:rsid w:val="00913616"/>
    <w:rsid w:val="00930D8C"/>
    <w:rsid w:val="00955127"/>
    <w:rsid w:val="009705C8"/>
    <w:rsid w:val="00973EB7"/>
    <w:rsid w:val="009C1CF4"/>
    <w:rsid w:val="009F0364"/>
    <w:rsid w:val="00A30353"/>
    <w:rsid w:val="00A46BFE"/>
    <w:rsid w:val="00A81281"/>
    <w:rsid w:val="00A94AB2"/>
    <w:rsid w:val="00A95B60"/>
    <w:rsid w:val="00AC3823"/>
    <w:rsid w:val="00AE006B"/>
    <w:rsid w:val="00AE28F4"/>
    <w:rsid w:val="00AE323C"/>
    <w:rsid w:val="00B00181"/>
    <w:rsid w:val="00B00B0D"/>
    <w:rsid w:val="00B30BCF"/>
    <w:rsid w:val="00B765F7"/>
    <w:rsid w:val="00BA0CA9"/>
    <w:rsid w:val="00BB7751"/>
    <w:rsid w:val="00BD0702"/>
    <w:rsid w:val="00BD0A5A"/>
    <w:rsid w:val="00BD1B68"/>
    <w:rsid w:val="00C02897"/>
    <w:rsid w:val="00C6205D"/>
    <w:rsid w:val="00CB23ED"/>
    <w:rsid w:val="00D02483"/>
    <w:rsid w:val="00D13A02"/>
    <w:rsid w:val="00D3439C"/>
    <w:rsid w:val="00D374BC"/>
    <w:rsid w:val="00D94574"/>
    <w:rsid w:val="00DB1831"/>
    <w:rsid w:val="00DB4B25"/>
    <w:rsid w:val="00DB7DEF"/>
    <w:rsid w:val="00DD3BFD"/>
    <w:rsid w:val="00DF2F89"/>
    <w:rsid w:val="00DF6678"/>
    <w:rsid w:val="00E31F85"/>
    <w:rsid w:val="00EA4B32"/>
    <w:rsid w:val="00EC505F"/>
    <w:rsid w:val="00EF2E22"/>
    <w:rsid w:val="00F01738"/>
    <w:rsid w:val="00F12085"/>
    <w:rsid w:val="00F16310"/>
    <w:rsid w:val="00F60D33"/>
    <w:rsid w:val="00F64EC4"/>
    <w:rsid w:val="00F660DF"/>
    <w:rsid w:val="00F730C8"/>
    <w:rsid w:val="00F7750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676EA"/>
  <w15:docId w15:val="{09035E3E-DA8C-4F32-9FEC-A14CF135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584DC4"/>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584DC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584DC4"/>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584DC4"/>
    <w:pPr>
      <w:spacing w:line="240" w:lineRule="auto"/>
    </w:pPr>
    <w:rPr>
      <w:sz w:val="16"/>
    </w:rPr>
  </w:style>
  <w:style w:type="character" w:customStyle="1" w:styleId="FooterChar">
    <w:name w:val="Footer Char"/>
    <w:aliases w:val="3_G Char"/>
    <w:basedOn w:val="DefaultParagraphFont"/>
    <w:link w:val="Footer"/>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584DC4"/>
    <w:rPr>
      <w:rFonts w:ascii="Times New Roman" w:hAnsi="Times New Roman"/>
      <w:sz w:val="18"/>
      <w:vertAlign w:val="superscript"/>
      <w:lang w:val="fr-CH"/>
    </w:rPr>
  </w:style>
  <w:style w:type="character" w:styleId="EndnoteReference">
    <w:name w:val="endnote reference"/>
    <w:aliases w:val="1_G"/>
    <w:basedOn w:val="FootnoteReference"/>
    <w:qFormat/>
    <w:rsid w:val="00584DC4"/>
    <w:rPr>
      <w:rFonts w:ascii="Times New Roman" w:hAnsi="Times New Roman"/>
      <w:sz w:val="18"/>
      <w:vertAlign w:val="superscript"/>
      <w:lang w:val="fr-CH"/>
    </w:rPr>
  </w:style>
  <w:style w:type="table" w:styleId="TableGrid">
    <w:name w:val="Table Grid"/>
    <w:basedOn w:val="Table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584DC4"/>
    <w:rPr>
      <w:color w:val="0000FF"/>
      <w:u w:val="none"/>
    </w:rPr>
  </w:style>
  <w:style w:type="character" w:styleId="FollowedHyperlink">
    <w:name w:val="FollowedHyperlink"/>
    <w:basedOn w:val="DefaultParagraphFont"/>
    <w:unhideWhenUsed/>
    <w:rsid w:val="00584DC4"/>
    <w:rPr>
      <w:color w:val="0000FF"/>
      <w:u w:val="none"/>
    </w:rPr>
  </w:style>
  <w:style w:type="paragraph" w:styleId="FootnoteText">
    <w:name w:val="footnote text"/>
    <w:aliases w:val="5_G"/>
    <w:basedOn w:val="Normal"/>
    <w:link w:val="FootnoteTextChar"/>
    <w:qFormat/>
    <w:rsid w:val="00584DC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584DC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584DC4"/>
  </w:style>
  <w:style w:type="character" w:customStyle="1" w:styleId="EndnoteTextChar">
    <w:name w:val="Endnote Text Char"/>
    <w:aliases w:val="2_G Char"/>
    <w:basedOn w:val="DefaultParagraphFont"/>
    <w:link w:val="EndnoteText"/>
    <w:rsid w:val="00584DC4"/>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584DC4"/>
    <w:rPr>
      <w:rFonts w:ascii="Times New Roman" w:hAnsi="Times New Roman"/>
      <w:b/>
      <w:sz w:val="18"/>
      <w:lang w:val="fr-CH"/>
    </w:rPr>
  </w:style>
  <w:style w:type="character" w:customStyle="1" w:styleId="Heading1Char">
    <w:name w:val="Heading 1 Char"/>
    <w:aliases w:val="Table_G Char"/>
    <w:basedOn w:val="DefaultParagraphFont"/>
    <w:link w:val="Heading1"/>
    <w:rsid w:val="00584DC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32E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3F2C1-B5FE-46BD-A15C-CCE24CD93061}"/>
</file>

<file path=customXml/itemProps2.xml><?xml version="1.0" encoding="utf-8"?>
<ds:datastoreItem xmlns:ds="http://schemas.openxmlformats.org/officeDocument/2006/customXml" ds:itemID="{2A8ACE8F-7EA4-4DEE-864E-C70B67247622}"/>
</file>

<file path=customXml/itemProps3.xml><?xml version="1.0" encoding="utf-8"?>
<ds:datastoreItem xmlns:ds="http://schemas.openxmlformats.org/officeDocument/2006/customXml" ds:itemID="{B6D71EE5-75E0-4F83-A8DD-4021B0A96613}"/>
</file>

<file path=docProps/app.xml><?xml version="1.0" encoding="utf-8"?>
<Properties xmlns="http://schemas.openxmlformats.org/officeDocument/2006/extended-properties" xmlns:vt="http://schemas.openxmlformats.org/officeDocument/2006/docPropsVTypes">
  <Template>Normal.dotm</Template>
  <TotalTime>1</TotalTime>
  <Pages>26</Pages>
  <Words>10171</Words>
  <Characters>57976</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ST/SG/AC.10/C.3/114</vt:lpstr>
    </vt:vector>
  </TitlesOfParts>
  <Company>DCM</Company>
  <LinksUpToDate>false</LinksUpToDate>
  <CharactersWithSpaces>68011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ST/SG/AC.10/C.3/114</dc:title>
  <dc:subject/>
  <dc:creator>Julien OKRZESIK</dc:creator>
  <cp:keywords/>
  <cp:lastModifiedBy>Laurence Berthet</cp:lastModifiedBy>
  <cp:revision>3</cp:revision>
  <cp:lastPrinted>2021-05-18T11:19:00Z</cp:lastPrinted>
  <dcterms:created xsi:type="dcterms:W3CDTF">2021-05-18T11:19:00Z</dcterms:created>
  <dcterms:modified xsi:type="dcterms:W3CDTF">2021-05-18T11:19:00Z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