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4A38244" w14:textId="77777777" w:rsidTr="00F01738">
        <w:trPr>
          <w:trHeight w:hRule="exact" w:val="851"/>
        </w:trPr>
        <w:tc>
          <w:tcPr>
            <w:tcW w:w="1276" w:type="dxa"/>
            <w:tcBorders>
              <w:bottom w:val="single" w:sz="4" w:space="0" w:color="auto"/>
            </w:tcBorders>
          </w:tcPr>
          <w:p w14:paraId="620656E5" w14:textId="77777777" w:rsidR="00132EA9" w:rsidRPr="00DB58B5" w:rsidRDefault="00132EA9" w:rsidP="00433129"/>
        </w:tc>
        <w:tc>
          <w:tcPr>
            <w:tcW w:w="2268" w:type="dxa"/>
            <w:tcBorders>
              <w:bottom w:val="single" w:sz="4" w:space="0" w:color="auto"/>
            </w:tcBorders>
            <w:vAlign w:val="bottom"/>
          </w:tcPr>
          <w:p w14:paraId="284068F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0749B5" w14:textId="08A1AAED" w:rsidR="00132EA9" w:rsidRPr="00DB58B5" w:rsidRDefault="00433129" w:rsidP="00433129">
            <w:pPr>
              <w:jc w:val="right"/>
            </w:pPr>
            <w:r w:rsidRPr="00433129">
              <w:rPr>
                <w:sz w:val="40"/>
              </w:rPr>
              <w:t>ST</w:t>
            </w:r>
            <w:r>
              <w:t>/SG/AC.10/C.3/2021/9</w:t>
            </w:r>
          </w:p>
        </w:tc>
      </w:tr>
      <w:tr w:rsidR="00132EA9" w:rsidRPr="00DB58B5" w14:paraId="658709DF" w14:textId="77777777" w:rsidTr="00F01738">
        <w:trPr>
          <w:trHeight w:hRule="exact" w:val="2835"/>
        </w:trPr>
        <w:tc>
          <w:tcPr>
            <w:tcW w:w="1276" w:type="dxa"/>
            <w:tcBorders>
              <w:top w:val="single" w:sz="4" w:space="0" w:color="auto"/>
              <w:bottom w:val="single" w:sz="12" w:space="0" w:color="auto"/>
            </w:tcBorders>
          </w:tcPr>
          <w:p w14:paraId="5FC9388D" w14:textId="77777777" w:rsidR="00132EA9" w:rsidRPr="00DB58B5" w:rsidRDefault="00132EA9" w:rsidP="00F01738">
            <w:pPr>
              <w:spacing w:before="120"/>
              <w:jc w:val="center"/>
            </w:pPr>
            <w:r>
              <w:rPr>
                <w:noProof/>
                <w:lang w:eastAsia="fr-CH"/>
              </w:rPr>
              <w:drawing>
                <wp:inline distT="0" distB="0" distL="0" distR="0" wp14:anchorId="7A96ACA8" wp14:editId="016A91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8B6ED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803109" w14:textId="77777777" w:rsidR="00132EA9" w:rsidRDefault="00433129" w:rsidP="00F01738">
            <w:pPr>
              <w:spacing w:before="240"/>
            </w:pPr>
            <w:proofErr w:type="spellStart"/>
            <w:r>
              <w:t>Distr</w:t>
            </w:r>
            <w:proofErr w:type="spellEnd"/>
            <w:r>
              <w:t xml:space="preserve">. </w:t>
            </w:r>
            <w:proofErr w:type="gramStart"/>
            <w:r>
              <w:t>générale</w:t>
            </w:r>
            <w:proofErr w:type="gramEnd"/>
          </w:p>
          <w:p w14:paraId="57D1B59E" w14:textId="77777777" w:rsidR="00433129" w:rsidRDefault="00433129" w:rsidP="00433129">
            <w:pPr>
              <w:spacing w:line="240" w:lineRule="exact"/>
            </w:pPr>
            <w:r>
              <w:t>13 avril 2021</w:t>
            </w:r>
          </w:p>
          <w:p w14:paraId="2939BB1E" w14:textId="77777777" w:rsidR="00433129" w:rsidRDefault="00433129" w:rsidP="00433129">
            <w:pPr>
              <w:spacing w:line="240" w:lineRule="exact"/>
            </w:pPr>
            <w:r>
              <w:t>Français</w:t>
            </w:r>
          </w:p>
          <w:p w14:paraId="1128CE82" w14:textId="05F18EF3" w:rsidR="00433129" w:rsidRPr="00DB58B5" w:rsidRDefault="00433129" w:rsidP="00433129">
            <w:pPr>
              <w:spacing w:line="240" w:lineRule="exact"/>
            </w:pPr>
            <w:r>
              <w:t>Original : anglais</w:t>
            </w:r>
          </w:p>
        </w:tc>
      </w:tr>
    </w:tbl>
    <w:p w14:paraId="1A6BEBE2" w14:textId="77777777" w:rsidR="00433129" w:rsidRPr="00CA0680" w:rsidRDefault="0043312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9450050" w14:textId="77777777" w:rsidR="00433129" w:rsidRPr="00CA0680" w:rsidRDefault="00433129" w:rsidP="000305D3">
      <w:pPr>
        <w:spacing w:before="120"/>
        <w:rPr>
          <w:b/>
        </w:rPr>
      </w:pPr>
      <w:r w:rsidRPr="00CA0680">
        <w:rPr>
          <w:b/>
        </w:rPr>
        <w:t>Sous</w:t>
      </w:r>
      <w:r>
        <w:rPr>
          <w:b/>
        </w:rPr>
        <w:t>-</w:t>
      </w:r>
      <w:r w:rsidRPr="00CA0680">
        <w:rPr>
          <w:b/>
        </w:rPr>
        <w:t>Comité d’experts du transport des marchandises dangereuses</w:t>
      </w:r>
    </w:p>
    <w:p w14:paraId="46A618D4" w14:textId="77777777" w:rsidR="00433129" w:rsidRPr="00341A8E" w:rsidRDefault="00433129" w:rsidP="00433129">
      <w:pPr>
        <w:spacing w:before="120"/>
        <w:rPr>
          <w:b/>
          <w:lang w:val="fr-FR"/>
        </w:rPr>
      </w:pPr>
      <w:r>
        <w:rPr>
          <w:b/>
          <w:bCs/>
          <w:lang w:val="fr-FR"/>
        </w:rPr>
        <w:t>Cinquante-huitième session</w:t>
      </w:r>
    </w:p>
    <w:p w14:paraId="6B35B6F0" w14:textId="77777777" w:rsidR="00660CD1" w:rsidRDefault="00433129" w:rsidP="00433129">
      <w:pPr>
        <w:rPr>
          <w:lang w:val="fr-FR"/>
        </w:rPr>
      </w:pPr>
      <w:r>
        <w:rPr>
          <w:lang w:val="fr-FR"/>
        </w:rPr>
        <w:t xml:space="preserve">Genève, 28 juin-2 juillet 2021 </w:t>
      </w:r>
    </w:p>
    <w:p w14:paraId="6D135E7F" w14:textId="672756B1" w:rsidR="00433129" w:rsidRPr="00341A8E" w:rsidRDefault="00433129" w:rsidP="00433129">
      <w:pPr>
        <w:rPr>
          <w:lang w:val="fr-FR"/>
        </w:rPr>
      </w:pPr>
      <w:r>
        <w:rPr>
          <w:lang w:val="fr-FR"/>
        </w:rPr>
        <w:t>Point 6 c) de l’ordre du jour provisoire</w:t>
      </w:r>
    </w:p>
    <w:p w14:paraId="1B1D140B" w14:textId="77777777" w:rsidR="00433129" w:rsidRDefault="00433129" w:rsidP="00433129">
      <w:pPr>
        <w:rPr>
          <w:b/>
          <w:bCs/>
          <w:lang w:val="fr-FR"/>
        </w:rPr>
      </w:pPr>
      <w:r>
        <w:rPr>
          <w:b/>
          <w:bCs/>
          <w:lang w:val="fr-FR"/>
        </w:rPr>
        <w:t>Propositions diverses d’amendements au Règlement type</w:t>
      </w:r>
    </w:p>
    <w:p w14:paraId="45969EAC" w14:textId="5E953506" w:rsidR="00433129" w:rsidRPr="00341A8E" w:rsidRDefault="00433129" w:rsidP="00433129">
      <w:pPr>
        <w:rPr>
          <w:b/>
          <w:bCs/>
          <w:lang w:val="fr-FR"/>
        </w:rPr>
      </w:pPr>
      <w:proofErr w:type="gramStart"/>
      <w:r>
        <w:rPr>
          <w:b/>
          <w:bCs/>
          <w:lang w:val="fr-FR"/>
        </w:rPr>
        <w:t>pour</w:t>
      </w:r>
      <w:proofErr w:type="gramEnd"/>
      <w:r>
        <w:rPr>
          <w:b/>
          <w:bCs/>
          <w:lang w:val="fr-FR"/>
        </w:rPr>
        <w:t xml:space="preserve"> le transport des marchandises dangereuses</w:t>
      </w:r>
      <w:r w:rsidR="00660CD1">
        <w:rPr>
          <w:b/>
          <w:bCs/>
          <w:lang w:val="fr-FR"/>
        </w:rPr>
        <w:t> </w:t>
      </w:r>
      <w:r>
        <w:rPr>
          <w:b/>
          <w:bCs/>
          <w:lang w:val="fr-FR"/>
        </w:rPr>
        <w:t>: citernes mobiles</w:t>
      </w:r>
    </w:p>
    <w:p w14:paraId="3E51FA8F" w14:textId="12928308" w:rsidR="00433129" w:rsidRPr="00341A8E" w:rsidRDefault="00433129" w:rsidP="004E101B">
      <w:pPr>
        <w:pStyle w:val="HChG"/>
        <w:rPr>
          <w:lang w:val="fr-FR"/>
        </w:rPr>
      </w:pPr>
      <w:r>
        <w:rPr>
          <w:lang w:val="fr-FR"/>
        </w:rPr>
        <w:tab/>
      </w:r>
      <w:r>
        <w:rPr>
          <w:lang w:val="fr-FR"/>
        </w:rPr>
        <w:tab/>
      </w:r>
      <w:r w:rsidR="004E101B">
        <w:rPr>
          <w:lang w:val="fr-FR"/>
        </w:rPr>
        <w:tab/>
      </w:r>
      <w:r>
        <w:rPr>
          <w:lang w:val="fr-FR"/>
        </w:rPr>
        <w:t xml:space="preserve">Propositions d’amendements au chapitre 6.7 </w:t>
      </w:r>
      <w:r w:rsidR="004E101B">
        <w:rPr>
          <w:lang w:val="fr-FR"/>
        </w:rPr>
        <w:br/>
      </w:r>
      <w:r>
        <w:rPr>
          <w:lang w:val="fr-FR"/>
        </w:rPr>
        <w:t>du Règlement type</w:t>
      </w:r>
    </w:p>
    <w:p w14:paraId="6A062420" w14:textId="085709E2" w:rsidR="00433129" w:rsidRPr="00341A8E" w:rsidRDefault="00433129" w:rsidP="004E101B">
      <w:pPr>
        <w:pStyle w:val="H1G"/>
        <w:rPr>
          <w:lang w:val="fr-FR"/>
        </w:rPr>
      </w:pPr>
      <w:r>
        <w:rPr>
          <w:lang w:val="fr-FR"/>
        </w:rPr>
        <w:tab/>
      </w:r>
      <w:r>
        <w:rPr>
          <w:lang w:val="fr-FR"/>
        </w:rPr>
        <w:tab/>
        <w:t>Communication de l’Association internationale des marchandises dangereuses et des conteneurs (IDGCA)</w:t>
      </w:r>
      <w:r w:rsidR="004E101B" w:rsidRPr="004E101B">
        <w:rPr>
          <w:rStyle w:val="FootnoteReference"/>
          <w:b w:val="0"/>
          <w:bCs/>
          <w:sz w:val="20"/>
          <w:vertAlign w:val="baseline"/>
        </w:rPr>
        <w:footnoteReference w:customMarkFollows="1" w:id="2"/>
        <w:t>*</w:t>
      </w:r>
      <w:bookmarkStart w:id="0" w:name="_Hlk25593987"/>
      <w:bookmarkEnd w:id="0"/>
    </w:p>
    <w:p w14:paraId="08A4DA36" w14:textId="77777777" w:rsidR="00433129" w:rsidRPr="00341A8E" w:rsidRDefault="00433129" w:rsidP="00F96836">
      <w:pPr>
        <w:pStyle w:val="HChG"/>
        <w:rPr>
          <w:lang w:val="fr-FR"/>
        </w:rPr>
      </w:pPr>
      <w:r>
        <w:rPr>
          <w:lang w:val="fr-FR"/>
        </w:rPr>
        <w:tab/>
      </w:r>
      <w:r>
        <w:rPr>
          <w:lang w:val="fr-FR"/>
        </w:rPr>
        <w:tab/>
        <w:t>Introduction</w:t>
      </w:r>
    </w:p>
    <w:p w14:paraId="37540363" w14:textId="29A655CF" w:rsidR="00433129" w:rsidRPr="00341A8E" w:rsidRDefault="00433129" w:rsidP="00F96836">
      <w:pPr>
        <w:pStyle w:val="SingleTxtG"/>
        <w:rPr>
          <w:lang w:val="fr-FR"/>
        </w:rPr>
      </w:pPr>
      <w:r>
        <w:rPr>
          <w:lang w:val="fr-FR"/>
        </w:rPr>
        <w:t>1</w:t>
      </w:r>
      <w:r w:rsidR="00F96836">
        <w:rPr>
          <w:lang w:val="fr-FR"/>
        </w:rPr>
        <w:t>.</w:t>
      </w:r>
      <w:r>
        <w:rPr>
          <w:lang w:val="fr-FR"/>
        </w:rPr>
        <w:tab/>
        <w:t>Conformément au 6.7.2.18.1 du chapitre</w:t>
      </w:r>
      <w:r w:rsidR="00B77199">
        <w:rPr>
          <w:lang w:val="fr-FR"/>
        </w:rPr>
        <w:t> </w:t>
      </w:r>
      <w:r>
        <w:rPr>
          <w:lang w:val="fr-FR"/>
        </w:rPr>
        <w:t xml:space="preserve">6.7 du Règlement type, « pour chaque nouveau type de citerne mobile, l’autorité compétente, ou un organisme désigné par elle, doit établir un certificat d’agrément de type. </w:t>
      </w:r>
      <w:r w:rsidR="00F96836">
        <w:rPr>
          <w:lang w:val="fr-FR"/>
        </w:rPr>
        <w:t>[</w:t>
      </w:r>
      <w:r>
        <w:rPr>
          <w:lang w:val="fr-FR"/>
        </w:rPr>
        <w:t>...</w:t>
      </w:r>
      <w:r w:rsidR="00F96836">
        <w:rPr>
          <w:lang w:val="fr-FR"/>
        </w:rPr>
        <w:t xml:space="preserve">] </w:t>
      </w:r>
      <w:r>
        <w:rPr>
          <w:lang w:val="fr-FR"/>
        </w:rPr>
        <w:t>Le certificat doit mentionner le procès</w:t>
      </w:r>
      <w:r w:rsidR="00B77199">
        <w:rPr>
          <w:lang w:val="fr-FR"/>
        </w:rPr>
        <w:noBreakHyphen/>
      </w:r>
      <w:r>
        <w:rPr>
          <w:lang w:val="fr-FR"/>
        </w:rPr>
        <w:t>verbal d’épreuve du prototype... ».</w:t>
      </w:r>
    </w:p>
    <w:p w14:paraId="2D12C887" w14:textId="55D743C4" w:rsidR="00433129" w:rsidRPr="00341A8E" w:rsidRDefault="00433129" w:rsidP="00B77199">
      <w:pPr>
        <w:pStyle w:val="SingleTxtG"/>
        <w:keepNext/>
        <w:rPr>
          <w:lang w:val="fr-FR"/>
        </w:rPr>
      </w:pPr>
      <w:r>
        <w:rPr>
          <w:lang w:val="fr-FR"/>
        </w:rPr>
        <w:t>2.</w:t>
      </w:r>
      <w:r>
        <w:rPr>
          <w:lang w:val="fr-FR"/>
        </w:rPr>
        <w:tab/>
        <w:t>Conformément au 6.7.2.18.2</w:t>
      </w:r>
      <w:r w:rsidR="00B77199">
        <w:rPr>
          <w:lang w:val="fr-FR"/>
        </w:rPr>
        <w:t> :</w:t>
      </w:r>
    </w:p>
    <w:p w14:paraId="44A3BB89" w14:textId="3AA07437" w:rsidR="00433129" w:rsidRPr="00341A8E" w:rsidRDefault="00433129" w:rsidP="00B77199">
      <w:pPr>
        <w:pStyle w:val="SingleTxtG"/>
        <w:ind w:left="1701"/>
        <w:rPr>
          <w:lang w:val="fr-FR"/>
        </w:rPr>
      </w:pPr>
      <w:r>
        <w:rPr>
          <w:lang w:val="fr-FR"/>
        </w:rPr>
        <w:t>« Le procès-verbal d’épreuve du prototype doit comprendre au moins</w:t>
      </w:r>
      <w:r w:rsidR="00B77199">
        <w:rPr>
          <w:lang w:val="fr-FR"/>
        </w:rPr>
        <w:t> :</w:t>
      </w:r>
    </w:p>
    <w:p w14:paraId="585E3E1A" w14:textId="22C184CC" w:rsidR="00433129" w:rsidRPr="00341A8E" w:rsidRDefault="00433129" w:rsidP="007A45F9">
      <w:pPr>
        <w:pStyle w:val="SingleTxtG"/>
        <w:ind w:left="2268" w:hanging="567"/>
        <w:rPr>
          <w:lang w:val="fr-FR"/>
        </w:rPr>
      </w:pPr>
      <w:r>
        <w:rPr>
          <w:lang w:val="fr-FR"/>
        </w:rPr>
        <w:t>a)</w:t>
      </w:r>
      <w:r>
        <w:rPr>
          <w:lang w:val="fr-FR"/>
        </w:rPr>
        <w:tab/>
      </w:r>
      <w:r w:rsidR="007A45F9">
        <w:rPr>
          <w:lang w:val="fr-FR"/>
        </w:rPr>
        <w:t>L</w:t>
      </w:r>
      <w:r>
        <w:rPr>
          <w:lang w:val="fr-FR"/>
        </w:rPr>
        <w:t>es résultats des essais applicables relatifs à l’ossature spécifiés dans la norme ISO</w:t>
      </w:r>
      <w:r w:rsidR="007A45F9">
        <w:rPr>
          <w:lang w:val="fr-FR"/>
        </w:rPr>
        <w:t> </w:t>
      </w:r>
      <w:r>
        <w:rPr>
          <w:lang w:val="fr-FR"/>
        </w:rPr>
        <w:t>1496-</w:t>
      </w:r>
      <w:proofErr w:type="gramStart"/>
      <w:r>
        <w:rPr>
          <w:lang w:val="fr-FR"/>
        </w:rPr>
        <w:t>3:</w:t>
      </w:r>
      <w:proofErr w:type="gramEnd"/>
      <w:r>
        <w:rPr>
          <w:lang w:val="fr-FR"/>
        </w:rPr>
        <w:t>1995</w:t>
      </w:r>
      <w:r w:rsidR="007A45F9">
        <w:rPr>
          <w:lang w:val="fr-FR"/>
        </w:rPr>
        <w:t> ;</w:t>
      </w:r>
    </w:p>
    <w:p w14:paraId="3281424A" w14:textId="0D0A83CF" w:rsidR="00433129" w:rsidRPr="00341A8E" w:rsidRDefault="00433129" w:rsidP="007A45F9">
      <w:pPr>
        <w:pStyle w:val="SingleTxtG"/>
        <w:ind w:left="2268" w:hanging="567"/>
        <w:rPr>
          <w:lang w:val="fr-FR"/>
        </w:rPr>
      </w:pPr>
      <w:r>
        <w:rPr>
          <w:lang w:val="fr-FR"/>
        </w:rPr>
        <w:t>b)</w:t>
      </w:r>
      <w:r>
        <w:rPr>
          <w:lang w:val="fr-FR"/>
        </w:rPr>
        <w:tab/>
      </w:r>
      <w:r w:rsidR="007A45F9">
        <w:rPr>
          <w:lang w:val="fr-FR"/>
        </w:rPr>
        <w:t>L</w:t>
      </w:r>
      <w:r>
        <w:rPr>
          <w:lang w:val="fr-FR"/>
        </w:rPr>
        <w:t xml:space="preserve">es résultats du contrôle et de l’épreuve initiaux conformément au 6.7.2.19.3; </w:t>
      </w:r>
    </w:p>
    <w:p w14:paraId="23D8D85E" w14:textId="37CB896E" w:rsidR="00433129" w:rsidRPr="00341A8E" w:rsidRDefault="00433129" w:rsidP="007A45F9">
      <w:pPr>
        <w:pStyle w:val="SingleTxtG"/>
        <w:ind w:left="2268" w:hanging="567"/>
        <w:rPr>
          <w:lang w:val="fr-FR"/>
        </w:rPr>
      </w:pPr>
      <w:r>
        <w:rPr>
          <w:lang w:val="fr-FR"/>
        </w:rPr>
        <w:t>c)</w:t>
      </w:r>
      <w:r>
        <w:rPr>
          <w:lang w:val="fr-FR"/>
        </w:rPr>
        <w:tab/>
      </w:r>
      <w:r w:rsidR="007A45F9">
        <w:rPr>
          <w:lang w:val="fr-FR"/>
        </w:rPr>
        <w:t>L</w:t>
      </w:r>
      <w:r>
        <w:rPr>
          <w:lang w:val="fr-FR"/>
        </w:rPr>
        <w:t>e cas échéant, les résultats de l’essai d’impact du 6.7.2.19.1. ».</w:t>
      </w:r>
    </w:p>
    <w:p w14:paraId="50F14C90" w14:textId="4A2BCBD0" w:rsidR="00433129" w:rsidRPr="00341A8E" w:rsidRDefault="00433129" w:rsidP="00433129">
      <w:pPr>
        <w:pStyle w:val="SingleTxtG"/>
        <w:rPr>
          <w:lang w:val="fr-FR"/>
        </w:rPr>
      </w:pPr>
      <w:r>
        <w:rPr>
          <w:lang w:val="fr-FR"/>
        </w:rPr>
        <w:t>3.</w:t>
      </w:r>
      <w:r>
        <w:rPr>
          <w:lang w:val="fr-FR"/>
        </w:rPr>
        <w:tab/>
        <w:t>Comme indiqué à l’alinéa</w:t>
      </w:r>
      <w:r w:rsidR="002E504A">
        <w:rPr>
          <w:lang w:val="fr-FR"/>
        </w:rPr>
        <w:t> </w:t>
      </w:r>
      <w:r>
        <w:rPr>
          <w:lang w:val="fr-FR"/>
        </w:rPr>
        <w:t>a) du 6.7.2.18.2, l’ossature d’une citerne mobile doit être éprouvée conformément à la norme ISO</w:t>
      </w:r>
      <w:r w:rsidR="00DC7169">
        <w:rPr>
          <w:lang w:val="fr-FR"/>
        </w:rPr>
        <w:t> </w:t>
      </w:r>
      <w:r>
        <w:rPr>
          <w:lang w:val="fr-FR"/>
        </w:rPr>
        <w:t>1496-</w:t>
      </w:r>
      <w:proofErr w:type="gramStart"/>
      <w:r>
        <w:rPr>
          <w:lang w:val="fr-FR"/>
        </w:rPr>
        <w:t>3:</w:t>
      </w:r>
      <w:proofErr w:type="gramEnd"/>
      <w:r>
        <w:rPr>
          <w:lang w:val="fr-FR"/>
        </w:rPr>
        <w:t>1995. Toutefois, cette norme ISO ne s’applique qu’aux conteneurs-citernes, qui ne représentent qu’un type de citerne mobile. La</w:t>
      </w:r>
      <w:r w:rsidR="00DC7169">
        <w:rPr>
          <w:lang w:val="fr-FR"/>
        </w:rPr>
        <w:t> </w:t>
      </w:r>
      <w:r>
        <w:rPr>
          <w:lang w:val="fr-FR"/>
        </w:rPr>
        <w:t>prescription peut induire en erreur les autorités compétentes ou les fabricants d’équipements de transport de marchandises dangereuses au moment de tester et d’approuver un type de citerne mobile différent du conteneur-citerne.</w:t>
      </w:r>
    </w:p>
    <w:p w14:paraId="541315EA" w14:textId="77777777" w:rsidR="00433129" w:rsidRPr="00341A8E" w:rsidRDefault="00433129" w:rsidP="00DC7169">
      <w:pPr>
        <w:pStyle w:val="HChG"/>
        <w:rPr>
          <w:lang w:val="fr-FR"/>
        </w:rPr>
      </w:pPr>
      <w:r>
        <w:rPr>
          <w:lang w:val="fr-FR"/>
        </w:rPr>
        <w:lastRenderedPageBreak/>
        <w:tab/>
      </w:r>
      <w:r>
        <w:rPr>
          <w:lang w:val="fr-FR"/>
        </w:rPr>
        <w:tab/>
        <w:t>Propositions</w:t>
      </w:r>
    </w:p>
    <w:p w14:paraId="7B3C9788" w14:textId="762984C9" w:rsidR="00433129" w:rsidRPr="00341A8E" w:rsidRDefault="00433129" w:rsidP="00CE3B7D">
      <w:pPr>
        <w:pStyle w:val="SingleTxtG"/>
        <w:keepNext/>
        <w:rPr>
          <w:b/>
          <w:sz w:val="24"/>
          <w:szCs w:val="24"/>
          <w:lang w:val="fr-FR"/>
        </w:rPr>
      </w:pPr>
      <w:r>
        <w:rPr>
          <w:lang w:val="fr-FR"/>
        </w:rPr>
        <w:t>4.</w:t>
      </w:r>
      <w:r>
        <w:rPr>
          <w:lang w:val="fr-FR"/>
        </w:rPr>
        <w:tab/>
        <w:t xml:space="preserve">L’IDGCA invite le Sous-Comité à examiner les propositions suivantes (le texte nouveau est </w:t>
      </w:r>
      <w:r>
        <w:rPr>
          <w:u w:val="single"/>
          <w:lang w:val="fr-FR"/>
        </w:rPr>
        <w:t>souligné</w:t>
      </w:r>
      <w:r w:rsidRPr="00DC7169">
        <w:rPr>
          <w:lang w:val="fr-FR"/>
        </w:rPr>
        <w:t xml:space="preserve"> </w:t>
      </w:r>
      <w:r>
        <w:rPr>
          <w:lang w:val="fr-FR"/>
        </w:rPr>
        <w:t xml:space="preserve">et le texte supprimé est </w:t>
      </w:r>
      <w:r>
        <w:rPr>
          <w:strike/>
          <w:lang w:val="fr-FR"/>
        </w:rPr>
        <w:t>barré</w:t>
      </w:r>
      <w:r>
        <w:rPr>
          <w:lang w:val="fr-FR"/>
        </w:rPr>
        <w:t>)</w:t>
      </w:r>
      <w:r w:rsidR="00CE3B7D">
        <w:rPr>
          <w:lang w:val="fr-FR"/>
        </w:rPr>
        <w:t> </w:t>
      </w:r>
      <w:r>
        <w:rPr>
          <w:lang w:val="fr-FR"/>
        </w:rPr>
        <w:t xml:space="preserve">: </w:t>
      </w:r>
    </w:p>
    <w:p w14:paraId="5E8E4154" w14:textId="77777777" w:rsidR="00433129" w:rsidRPr="00341A8E" w:rsidRDefault="00433129" w:rsidP="00CE3B7D">
      <w:pPr>
        <w:pStyle w:val="H1G"/>
        <w:rPr>
          <w:lang w:val="fr-FR"/>
        </w:rPr>
      </w:pPr>
      <w:r>
        <w:rPr>
          <w:lang w:val="fr-FR"/>
        </w:rPr>
        <w:tab/>
      </w:r>
      <w:r>
        <w:rPr>
          <w:lang w:val="fr-FR"/>
        </w:rPr>
        <w:tab/>
        <w:t>Proposition 1</w:t>
      </w:r>
    </w:p>
    <w:p w14:paraId="126D1659" w14:textId="2EB72209" w:rsidR="00433129" w:rsidRPr="00341A8E" w:rsidRDefault="00433129" w:rsidP="00CE3B7D">
      <w:pPr>
        <w:pStyle w:val="SingleTxtG"/>
        <w:keepNext/>
        <w:rPr>
          <w:lang w:val="fr-FR"/>
        </w:rPr>
      </w:pPr>
      <w:r>
        <w:rPr>
          <w:lang w:val="fr-FR"/>
        </w:rPr>
        <w:t>5.</w:t>
      </w:r>
      <w:r>
        <w:rPr>
          <w:lang w:val="fr-FR"/>
        </w:rPr>
        <w:tab/>
        <w:t>Modifier l’alinéa</w:t>
      </w:r>
      <w:r w:rsidR="00CE3B7D">
        <w:rPr>
          <w:lang w:val="fr-FR"/>
        </w:rPr>
        <w:t> </w:t>
      </w:r>
      <w:r>
        <w:rPr>
          <w:lang w:val="fr-FR"/>
        </w:rPr>
        <w:t>a) du 6.7.2.18.2 comme suit</w:t>
      </w:r>
      <w:r w:rsidR="00CE3B7D">
        <w:rPr>
          <w:lang w:val="fr-FR"/>
        </w:rPr>
        <w:t> </w:t>
      </w:r>
      <w:r>
        <w:rPr>
          <w:lang w:val="fr-FR"/>
        </w:rPr>
        <w:t>:</w:t>
      </w:r>
    </w:p>
    <w:p w14:paraId="7DFF1E35" w14:textId="0E2E18E5" w:rsidR="00433129" w:rsidRPr="00341A8E" w:rsidRDefault="00433129" w:rsidP="00CE3B7D">
      <w:pPr>
        <w:pStyle w:val="SingleTxtG"/>
        <w:tabs>
          <w:tab w:val="left" w:pos="1985"/>
        </w:tabs>
        <w:ind w:left="2268" w:hanging="567"/>
        <w:rPr>
          <w:lang w:val="fr-FR"/>
        </w:rPr>
      </w:pPr>
      <w:r>
        <w:rPr>
          <w:lang w:val="fr-FR"/>
        </w:rPr>
        <w:t>« </w:t>
      </w:r>
      <w:proofErr w:type="gramStart"/>
      <w:r>
        <w:rPr>
          <w:lang w:val="fr-FR"/>
        </w:rPr>
        <w:t>a</w:t>
      </w:r>
      <w:proofErr w:type="gramEnd"/>
      <w:r>
        <w:rPr>
          <w:lang w:val="fr-FR"/>
        </w:rPr>
        <w:t>)</w:t>
      </w:r>
      <w:r>
        <w:rPr>
          <w:lang w:val="fr-FR"/>
        </w:rPr>
        <w:tab/>
      </w:r>
      <w:r w:rsidR="001E2366">
        <w:rPr>
          <w:lang w:val="fr-FR"/>
        </w:rPr>
        <w:t>L</w:t>
      </w:r>
      <w:r>
        <w:rPr>
          <w:lang w:val="fr-FR"/>
        </w:rPr>
        <w:t xml:space="preserve">es résultats des essais applicables relatifs à l’ossature spécifiés dans </w:t>
      </w:r>
      <w:r>
        <w:rPr>
          <w:strike/>
          <w:lang w:val="fr-FR"/>
        </w:rPr>
        <w:t>la norme ISO</w:t>
      </w:r>
      <w:r w:rsidR="001E2366">
        <w:rPr>
          <w:strike/>
          <w:lang w:val="fr-FR"/>
        </w:rPr>
        <w:t> </w:t>
      </w:r>
      <w:r>
        <w:rPr>
          <w:strike/>
          <w:lang w:val="fr-FR"/>
        </w:rPr>
        <w:t>1496-3:1995</w:t>
      </w:r>
      <w:r>
        <w:rPr>
          <w:lang w:val="fr-FR"/>
        </w:rPr>
        <w:t xml:space="preserve"> </w:t>
      </w:r>
      <w:r w:rsidRPr="001E2366">
        <w:rPr>
          <w:u w:val="single"/>
          <w:lang w:val="fr-FR"/>
        </w:rPr>
        <w:t>l’annexe II de la Convention internationale sur la sécurité des conteneurs (CSC) ou dans d’autres normes applicables</w:t>
      </w:r>
      <w:r w:rsidR="001E2366">
        <w:rPr>
          <w:lang w:val="fr-FR"/>
        </w:rPr>
        <w:t> </w:t>
      </w:r>
      <w:r>
        <w:rPr>
          <w:lang w:val="fr-FR"/>
        </w:rPr>
        <w:t>; ».</w:t>
      </w:r>
    </w:p>
    <w:p w14:paraId="3F36DB34" w14:textId="77777777" w:rsidR="00433129" w:rsidRPr="00341A8E" w:rsidRDefault="00433129" w:rsidP="00A96C2C">
      <w:pPr>
        <w:pStyle w:val="H1G"/>
        <w:rPr>
          <w:lang w:val="fr-FR"/>
        </w:rPr>
      </w:pPr>
      <w:r>
        <w:rPr>
          <w:lang w:val="fr-FR"/>
        </w:rPr>
        <w:tab/>
      </w:r>
      <w:r>
        <w:rPr>
          <w:lang w:val="fr-FR"/>
        </w:rPr>
        <w:tab/>
        <w:t>Proposition 2</w:t>
      </w:r>
    </w:p>
    <w:p w14:paraId="36842EC9" w14:textId="2E7E07E0" w:rsidR="00433129" w:rsidRPr="00341A8E" w:rsidRDefault="00433129" w:rsidP="00A96C2C">
      <w:pPr>
        <w:pStyle w:val="SingleTxtG"/>
        <w:keepNext/>
        <w:rPr>
          <w:lang w:val="fr-FR"/>
        </w:rPr>
      </w:pPr>
      <w:r>
        <w:rPr>
          <w:lang w:val="fr-FR"/>
        </w:rPr>
        <w:t>6.</w:t>
      </w:r>
      <w:r>
        <w:rPr>
          <w:lang w:val="fr-FR"/>
        </w:rPr>
        <w:tab/>
        <w:t>Ajouter au 6.7.2.1 une définition d’un conteneur-citerne libellée comme suit</w:t>
      </w:r>
      <w:r w:rsidR="00A96C2C">
        <w:rPr>
          <w:lang w:val="fr-FR"/>
        </w:rPr>
        <w:t> </w:t>
      </w:r>
      <w:r>
        <w:rPr>
          <w:lang w:val="fr-FR"/>
        </w:rPr>
        <w:t>:</w:t>
      </w:r>
    </w:p>
    <w:p w14:paraId="0803A725" w14:textId="46B7FD43" w:rsidR="00433129" w:rsidRPr="00341A8E" w:rsidRDefault="00433129" w:rsidP="00433129">
      <w:pPr>
        <w:pStyle w:val="SingleTxtG"/>
        <w:ind w:left="1701"/>
        <w:rPr>
          <w:lang w:val="fr-FR"/>
        </w:rPr>
      </w:pPr>
      <w:r w:rsidRPr="0035505D">
        <w:rPr>
          <w:lang w:val="fr-FR"/>
        </w:rPr>
        <w:t>« </w:t>
      </w:r>
      <w:r>
        <w:rPr>
          <w:i/>
          <w:iCs/>
          <w:u w:val="single"/>
          <w:lang w:val="fr-FR"/>
        </w:rPr>
        <w:t>Conteneur-citerne</w:t>
      </w:r>
      <w:r>
        <w:rPr>
          <w:u w:val="single"/>
          <w:lang w:val="fr-FR"/>
        </w:rPr>
        <w:t>, une citerne mobile qui comprend deux éléments de base, à savoir la ou les citernes et l’ossature, et qui satisfait aux exigences de la norme ISO</w:t>
      </w:r>
      <w:r w:rsidR="0035505D">
        <w:rPr>
          <w:u w:val="single"/>
          <w:lang w:val="fr-FR"/>
        </w:rPr>
        <w:t> </w:t>
      </w:r>
      <w:r>
        <w:rPr>
          <w:u w:val="single"/>
          <w:lang w:val="fr-FR"/>
        </w:rPr>
        <w:t>1496</w:t>
      </w:r>
      <w:r w:rsidR="0035505D">
        <w:rPr>
          <w:u w:val="single"/>
          <w:lang w:val="fr-FR"/>
        </w:rPr>
        <w:noBreakHyphen/>
      </w:r>
      <w:proofErr w:type="gramStart"/>
      <w:r>
        <w:rPr>
          <w:u w:val="single"/>
          <w:lang w:val="fr-FR"/>
        </w:rPr>
        <w:t>3:</w:t>
      </w:r>
      <w:proofErr w:type="gramEnd"/>
      <w:r>
        <w:rPr>
          <w:u w:val="single"/>
          <w:lang w:val="fr-FR"/>
        </w:rPr>
        <w:t>1995.</w:t>
      </w:r>
      <w:r>
        <w:rPr>
          <w:lang w:val="fr-FR"/>
        </w:rPr>
        <w:t xml:space="preserve"> </w:t>
      </w:r>
      <w:r>
        <w:rPr>
          <w:u w:val="single"/>
          <w:lang w:val="fr-FR"/>
        </w:rPr>
        <w:t>Aucune partie du conteneur-citerne, de ses accessoires et de son équipement de service ne doit dépasser les dimensions d’encombrement spécifiées dans la norme ISO</w:t>
      </w:r>
      <w:r w:rsidR="00C76F08">
        <w:rPr>
          <w:u w:val="single"/>
          <w:lang w:val="fr-FR"/>
        </w:rPr>
        <w:t> </w:t>
      </w:r>
      <w:proofErr w:type="gramStart"/>
      <w:r>
        <w:rPr>
          <w:u w:val="single"/>
          <w:lang w:val="fr-FR"/>
        </w:rPr>
        <w:t>668:</w:t>
      </w:r>
      <w:proofErr w:type="gramEnd"/>
      <w:r>
        <w:rPr>
          <w:u w:val="single"/>
          <w:lang w:val="fr-FR"/>
        </w:rPr>
        <w:t>1995.</w:t>
      </w:r>
      <w:r w:rsidR="00C76F08" w:rsidRPr="00C76F08">
        <w:rPr>
          <w:lang w:val="fr-FR"/>
        </w:rPr>
        <w:t> »</w:t>
      </w:r>
      <w:r>
        <w:rPr>
          <w:lang w:val="fr-FR"/>
        </w:rPr>
        <w:t>.</w:t>
      </w:r>
    </w:p>
    <w:p w14:paraId="0F2FECEB" w14:textId="77777777" w:rsidR="00433129" w:rsidRPr="00341A8E" w:rsidRDefault="00433129" w:rsidP="00C76F08">
      <w:pPr>
        <w:pStyle w:val="HChG"/>
        <w:rPr>
          <w:lang w:val="fr-FR"/>
        </w:rPr>
      </w:pPr>
      <w:r>
        <w:rPr>
          <w:lang w:val="fr-FR"/>
        </w:rPr>
        <w:tab/>
      </w:r>
      <w:r>
        <w:rPr>
          <w:lang w:val="fr-FR"/>
        </w:rPr>
        <w:tab/>
        <w:t>Justification</w:t>
      </w:r>
    </w:p>
    <w:p w14:paraId="2E5D45DD" w14:textId="762DBE62" w:rsidR="00446FE5" w:rsidRDefault="00433129" w:rsidP="00C76F08">
      <w:pPr>
        <w:pStyle w:val="SingleTxtG"/>
        <w:rPr>
          <w:lang w:val="fr-FR"/>
        </w:rPr>
      </w:pPr>
      <w:r>
        <w:rPr>
          <w:lang w:val="fr-FR"/>
        </w:rPr>
        <w:t>7.</w:t>
      </w:r>
      <w:r>
        <w:rPr>
          <w:lang w:val="fr-FR"/>
        </w:rPr>
        <w:tab/>
        <w:t>Ces amendements ont pour but de s’assurer de l’interprétation et de l’application correctes du 6.7.2.18.2 au chapitre</w:t>
      </w:r>
      <w:r w:rsidR="00C76F08">
        <w:rPr>
          <w:lang w:val="fr-FR"/>
        </w:rPr>
        <w:t> </w:t>
      </w:r>
      <w:r>
        <w:rPr>
          <w:lang w:val="fr-FR"/>
        </w:rPr>
        <w:t>6.7 du Règlement type de l’ONU.</w:t>
      </w:r>
    </w:p>
    <w:p w14:paraId="08EDF627" w14:textId="2C08E73F" w:rsidR="00433129" w:rsidRPr="00433129" w:rsidRDefault="00433129" w:rsidP="00433129">
      <w:pPr>
        <w:pStyle w:val="SingleTxtG"/>
        <w:spacing w:before="240" w:after="0"/>
        <w:jc w:val="center"/>
        <w:rPr>
          <w:u w:val="single"/>
        </w:rPr>
      </w:pPr>
      <w:r>
        <w:rPr>
          <w:u w:val="single"/>
        </w:rPr>
        <w:tab/>
      </w:r>
      <w:r>
        <w:rPr>
          <w:u w:val="single"/>
        </w:rPr>
        <w:tab/>
      </w:r>
      <w:r>
        <w:rPr>
          <w:u w:val="single"/>
        </w:rPr>
        <w:tab/>
      </w:r>
    </w:p>
    <w:sectPr w:rsidR="00433129" w:rsidRPr="00433129" w:rsidSect="004331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B146" w14:textId="77777777" w:rsidR="00981BCB" w:rsidRDefault="00981BCB" w:rsidP="00F95C08">
      <w:pPr>
        <w:spacing w:line="240" w:lineRule="auto"/>
      </w:pPr>
    </w:p>
  </w:endnote>
  <w:endnote w:type="continuationSeparator" w:id="0">
    <w:p w14:paraId="130A2662" w14:textId="77777777" w:rsidR="00981BCB" w:rsidRPr="00AC3823" w:rsidRDefault="00981BCB" w:rsidP="00AC3823">
      <w:pPr>
        <w:pStyle w:val="Footer"/>
      </w:pPr>
    </w:p>
  </w:endnote>
  <w:endnote w:type="continuationNotice" w:id="1">
    <w:p w14:paraId="530D77A8" w14:textId="77777777" w:rsidR="00981BCB" w:rsidRDefault="00981B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5928" w14:textId="63F724F6" w:rsidR="00433129" w:rsidRPr="00433129" w:rsidRDefault="00433129" w:rsidP="00433129">
    <w:pPr>
      <w:pStyle w:val="Footer"/>
      <w:tabs>
        <w:tab w:val="right" w:pos="9638"/>
      </w:tabs>
    </w:pPr>
    <w:r w:rsidRPr="00433129">
      <w:rPr>
        <w:b/>
        <w:sz w:val="18"/>
      </w:rPr>
      <w:fldChar w:fldCharType="begin"/>
    </w:r>
    <w:r w:rsidRPr="00433129">
      <w:rPr>
        <w:b/>
        <w:sz w:val="18"/>
      </w:rPr>
      <w:instrText xml:space="preserve"> PAGE  \* MERGEFORMAT </w:instrText>
    </w:r>
    <w:r w:rsidRPr="00433129">
      <w:rPr>
        <w:b/>
        <w:sz w:val="18"/>
      </w:rPr>
      <w:fldChar w:fldCharType="separate"/>
    </w:r>
    <w:r w:rsidRPr="00433129">
      <w:rPr>
        <w:b/>
        <w:noProof/>
        <w:sz w:val="18"/>
      </w:rPr>
      <w:t>2</w:t>
    </w:r>
    <w:r w:rsidRPr="00433129">
      <w:rPr>
        <w:b/>
        <w:sz w:val="18"/>
      </w:rPr>
      <w:fldChar w:fldCharType="end"/>
    </w:r>
    <w:r>
      <w:rPr>
        <w:b/>
        <w:sz w:val="18"/>
      </w:rPr>
      <w:tab/>
    </w:r>
    <w:r>
      <w:t>GE.21-04873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B54F" w14:textId="25D22D15" w:rsidR="00433129" w:rsidRPr="00433129" w:rsidRDefault="00433129" w:rsidP="00433129">
    <w:pPr>
      <w:pStyle w:val="Footer"/>
      <w:tabs>
        <w:tab w:val="right" w:pos="9638"/>
      </w:tabs>
      <w:rPr>
        <w:b/>
        <w:sz w:val="18"/>
      </w:rPr>
    </w:pPr>
    <w:r>
      <w:t>GE.21-04873</w:t>
    </w:r>
    <w:r>
      <w:tab/>
    </w:r>
    <w:r w:rsidRPr="00433129">
      <w:rPr>
        <w:b/>
        <w:sz w:val="18"/>
      </w:rPr>
      <w:fldChar w:fldCharType="begin"/>
    </w:r>
    <w:r w:rsidRPr="00433129">
      <w:rPr>
        <w:b/>
        <w:sz w:val="18"/>
      </w:rPr>
      <w:instrText xml:space="preserve"> PAGE  \* MERGEFORMAT </w:instrText>
    </w:r>
    <w:r w:rsidRPr="00433129">
      <w:rPr>
        <w:b/>
        <w:sz w:val="18"/>
      </w:rPr>
      <w:fldChar w:fldCharType="separate"/>
    </w:r>
    <w:r w:rsidRPr="00433129">
      <w:rPr>
        <w:b/>
        <w:noProof/>
        <w:sz w:val="18"/>
      </w:rPr>
      <w:t>3</w:t>
    </w:r>
    <w:r w:rsidRPr="004331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8D03" w14:textId="6B538569" w:rsidR="0068456F" w:rsidRPr="00433129" w:rsidRDefault="00433129" w:rsidP="0043312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CF140EA" wp14:editId="61FD6D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04873  (</w:t>
    </w:r>
    <w:proofErr w:type="gramEnd"/>
    <w:r>
      <w:rPr>
        <w:sz w:val="20"/>
      </w:rPr>
      <w:t>F)</w:t>
    </w:r>
    <w:r>
      <w:rPr>
        <w:noProof/>
        <w:sz w:val="20"/>
      </w:rPr>
      <w:drawing>
        <wp:anchor distT="0" distB="0" distL="114300" distR="114300" simplePos="0" relativeHeight="251660288" behindDoc="0" locked="0" layoutInCell="1" allowOverlap="1" wp14:anchorId="196EC75D" wp14:editId="047995A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5F9">
      <w:rPr>
        <w:sz w:val="20"/>
      </w:rPr>
      <w:t xml:space="preserve">    040521    050521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9E2F" w14:textId="77777777" w:rsidR="00981BCB" w:rsidRPr="00AC3823" w:rsidRDefault="00981BCB" w:rsidP="00AC3823">
      <w:pPr>
        <w:pStyle w:val="Footer"/>
        <w:tabs>
          <w:tab w:val="right" w:pos="2155"/>
        </w:tabs>
        <w:spacing w:after="80" w:line="240" w:lineRule="atLeast"/>
        <w:ind w:left="680"/>
        <w:rPr>
          <w:u w:val="single"/>
        </w:rPr>
      </w:pPr>
      <w:r>
        <w:rPr>
          <w:u w:val="single"/>
        </w:rPr>
        <w:tab/>
      </w:r>
    </w:p>
  </w:footnote>
  <w:footnote w:type="continuationSeparator" w:id="0">
    <w:p w14:paraId="4636FDE9" w14:textId="77777777" w:rsidR="00981BCB" w:rsidRPr="00AC3823" w:rsidRDefault="00981BCB" w:rsidP="00AC3823">
      <w:pPr>
        <w:pStyle w:val="Footer"/>
        <w:tabs>
          <w:tab w:val="right" w:pos="2155"/>
        </w:tabs>
        <w:spacing w:after="80" w:line="240" w:lineRule="atLeast"/>
        <w:ind w:left="680"/>
        <w:rPr>
          <w:u w:val="single"/>
        </w:rPr>
      </w:pPr>
      <w:r>
        <w:rPr>
          <w:u w:val="single"/>
        </w:rPr>
        <w:tab/>
      </w:r>
    </w:p>
  </w:footnote>
  <w:footnote w:type="continuationNotice" w:id="1">
    <w:p w14:paraId="1089F415" w14:textId="77777777" w:rsidR="00981BCB" w:rsidRPr="00AC3823" w:rsidRDefault="00981BCB">
      <w:pPr>
        <w:spacing w:line="240" w:lineRule="auto"/>
        <w:rPr>
          <w:sz w:val="2"/>
          <w:szCs w:val="2"/>
        </w:rPr>
      </w:pPr>
    </w:p>
  </w:footnote>
  <w:footnote w:id="2">
    <w:p w14:paraId="2AA6F003" w14:textId="2BF6A98D" w:rsidR="004E101B" w:rsidRPr="004E101B" w:rsidRDefault="004E101B">
      <w:pPr>
        <w:pStyle w:val="FootnoteText"/>
      </w:pPr>
      <w:r>
        <w:rPr>
          <w:rStyle w:val="FootnoteReference"/>
        </w:rPr>
        <w:tab/>
      </w:r>
      <w:r w:rsidRPr="004E101B">
        <w:rPr>
          <w:rStyle w:val="FootnoteReference"/>
          <w:sz w:val="20"/>
          <w:vertAlign w:val="baseline"/>
        </w:rPr>
        <w:t>*</w:t>
      </w:r>
      <w:r>
        <w:rPr>
          <w:rStyle w:val="FootnoteReference"/>
          <w:sz w:val="20"/>
          <w:vertAlign w:val="baseline"/>
        </w:rPr>
        <w:tab/>
      </w:r>
      <w:r>
        <w:rPr>
          <w:lang w:val="fr-FR"/>
        </w:rPr>
        <w:t>A/75/6 (</w:t>
      </w:r>
      <w:r w:rsidR="00DC7169">
        <w:rPr>
          <w:lang w:val="fr-FR"/>
        </w:rPr>
        <w:t>se</w:t>
      </w:r>
      <w:r>
        <w:rPr>
          <w:lang w:val="fr-FR"/>
        </w:rPr>
        <w:t>ct.</w:t>
      </w:r>
      <w:r w:rsidR="00DC7169">
        <w:rPr>
          <w:lang w:val="fr-FR"/>
        </w:rPr>
        <w:t> </w:t>
      </w:r>
      <w:r>
        <w:rPr>
          <w:lang w:val="fr-FR"/>
        </w:rPr>
        <w:t>20), par.</w:t>
      </w:r>
      <w:r w:rsidR="00DC7169">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9A61" w14:textId="53E92D5E" w:rsidR="00433129" w:rsidRPr="00433129" w:rsidRDefault="001902E4">
    <w:pPr>
      <w:pStyle w:val="Header"/>
    </w:pPr>
    <w:r>
      <w:fldChar w:fldCharType="begin"/>
    </w:r>
    <w:r>
      <w:instrText xml:space="preserve"> TITLE  \* MERGEFORMAT </w:instrText>
    </w:r>
    <w:r>
      <w:fldChar w:fldCharType="separate"/>
    </w:r>
    <w:r>
      <w:t>ST/SG/AC.10/C.3/2021/9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97A4" w14:textId="0D3ED50B" w:rsidR="00433129" w:rsidRPr="00433129" w:rsidRDefault="001902E4" w:rsidP="00433129">
    <w:pPr>
      <w:pStyle w:val="Header"/>
      <w:jc w:val="right"/>
    </w:pPr>
    <w:r>
      <w:fldChar w:fldCharType="begin"/>
    </w:r>
    <w:r>
      <w:instrText xml:space="preserve"> TITLE  \* MERGEFORMAT </w:instrText>
    </w:r>
    <w:r>
      <w:fldChar w:fldCharType="separate"/>
    </w:r>
    <w:r>
      <w:t>ST/SG/AC.10/C.3/2021/9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CB"/>
    <w:rsid w:val="00017F94"/>
    <w:rsid w:val="00023842"/>
    <w:rsid w:val="000305D3"/>
    <w:rsid w:val="000334F9"/>
    <w:rsid w:val="0007796D"/>
    <w:rsid w:val="000B7790"/>
    <w:rsid w:val="00111F2F"/>
    <w:rsid w:val="00130DC9"/>
    <w:rsid w:val="00132EA9"/>
    <w:rsid w:val="0014365E"/>
    <w:rsid w:val="00172E49"/>
    <w:rsid w:val="00176178"/>
    <w:rsid w:val="001902E4"/>
    <w:rsid w:val="001E2366"/>
    <w:rsid w:val="001F525A"/>
    <w:rsid w:val="00223272"/>
    <w:rsid w:val="0024779E"/>
    <w:rsid w:val="00283190"/>
    <w:rsid w:val="002832AC"/>
    <w:rsid w:val="002D7C93"/>
    <w:rsid w:val="002E504A"/>
    <w:rsid w:val="0035505D"/>
    <w:rsid w:val="00433129"/>
    <w:rsid w:val="00441C3B"/>
    <w:rsid w:val="00446FE5"/>
    <w:rsid w:val="00452396"/>
    <w:rsid w:val="004E101B"/>
    <w:rsid w:val="004E468C"/>
    <w:rsid w:val="005505B7"/>
    <w:rsid w:val="00573BE5"/>
    <w:rsid w:val="00584DC4"/>
    <w:rsid w:val="00586ED3"/>
    <w:rsid w:val="00596AA9"/>
    <w:rsid w:val="00660CD1"/>
    <w:rsid w:val="0068456F"/>
    <w:rsid w:val="0071601D"/>
    <w:rsid w:val="007A45F9"/>
    <w:rsid w:val="007A62E6"/>
    <w:rsid w:val="0080684C"/>
    <w:rsid w:val="008123E0"/>
    <w:rsid w:val="00871C75"/>
    <w:rsid w:val="008776DC"/>
    <w:rsid w:val="008B40CD"/>
    <w:rsid w:val="009705C8"/>
    <w:rsid w:val="00981BCB"/>
    <w:rsid w:val="009C1CF4"/>
    <w:rsid w:val="00A30353"/>
    <w:rsid w:val="00A81281"/>
    <w:rsid w:val="00A96C2C"/>
    <w:rsid w:val="00AC3823"/>
    <w:rsid w:val="00AE323C"/>
    <w:rsid w:val="00B00181"/>
    <w:rsid w:val="00B00B0D"/>
    <w:rsid w:val="00B765F7"/>
    <w:rsid w:val="00B77199"/>
    <w:rsid w:val="00BA0CA9"/>
    <w:rsid w:val="00C02897"/>
    <w:rsid w:val="00C76F08"/>
    <w:rsid w:val="00CE3B7D"/>
    <w:rsid w:val="00D3439C"/>
    <w:rsid w:val="00D47CD9"/>
    <w:rsid w:val="00DB1831"/>
    <w:rsid w:val="00DC7169"/>
    <w:rsid w:val="00DD3BFD"/>
    <w:rsid w:val="00DF6678"/>
    <w:rsid w:val="00EF2E22"/>
    <w:rsid w:val="00F01738"/>
    <w:rsid w:val="00F660DF"/>
    <w:rsid w:val="00F730C8"/>
    <w:rsid w:val="00F95C08"/>
    <w:rsid w:val="00F968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D982A"/>
  <w15:docId w15:val="{E1B3B2C4-F582-41C4-98CC-0CDB0E8C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33129"/>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433129"/>
    <w:rPr>
      <w:rFonts w:ascii="Times New Roman" w:eastAsiaTheme="minorHAnsi" w:hAnsi="Times New Roman" w:cs="Times New Roman"/>
      <w:sz w:val="20"/>
      <w:szCs w:val="20"/>
      <w:lang w:eastAsia="en-US"/>
    </w:rPr>
  </w:style>
  <w:style w:type="character" w:customStyle="1" w:styleId="H1GChar">
    <w:name w:val="_ H_1_G Char"/>
    <w:link w:val="H1G"/>
    <w:locked/>
    <w:rsid w:val="0043312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C62A2-9DBB-4059-BD35-5993093E7531}"/>
</file>

<file path=customXml/itemProps2.xml><?xml version="1.0" encoding="utf-8"?>
<ds:datastoreItem xmlns:ds="http://schemas.openxmlformats.org/officeDocument/2006/customXml" ds:itemID="{30A7D5BF-4EAD-4017-AC2A-3493C46CCD19}"/>
</file>

<file path=customXml/itemProps3.xml><?xml version="1.0" encoding="utf-8"?>
<ds:datastoreItem xmlns:ds="http://schemas.openxmlformats.org/officeDocument/2006/customXml" ds:itemID="{CC084D86-A875-4CE5-A737-0B236FEA0280}"/>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ST/SG/AC.10/C.3/2021/9</vt:lpstr>
    </vt:vector>
  </TitlesOfParts>
  <Company>DCM</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ST/SG/AC.10/C.3/2021/9</dc:title>
  <dc:subject/>
  <dc:creator>Nathalie VITTOZ</dc:creator>
  <cp:keywords/>
  <cp:lastModifiedBy>Laurence Berthet</cp:lastModifiedBy>
  <cp:revision>3</cp:revision>
  <cp:lastPrinted>2021-05-05T11:25:00Z</cp:lastPrinted>
  <dcterms:created xsi:type="dcterms:W3CDTF">2021-05-05T11:25:00Z</dcterms:created>
  <dcterms:modified xsi:type="dcterms:W3CDTF">2021-05-05T11:25:00Z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