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6E676E7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3DF8044" w14:textId="77777777" w:rsidR="00132EA9" w:rsidRPr="00DB58B5" w:rsidRDefault="00132EA9" w:rsidP="00403BA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486A06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518404B" w14:textId="69C44B81" w:rsidR="00132EA9" w:rsidRPr="00DB58B5" w:rsidRDefault="00403BA4" w:rsidP="00403BA4">
            <w:pPr>
              <w:jc w:val="right"/>
            </w:pPr>
            <w:r w:rsidRPr="00403BA4">
              <w:rPr>
                <w:sz w:val="40"/>
              </w:rPr>
              <w:t>ST</w:t>
            </w:r>
            <w:r>
              <w:t>/SG/AC</w:t>
            </w:r>
            <w:r w:rsidR="000A5153" w:rsidRPr="000A5153">
              <w:t>.</w:t>
            </w:r>
            <w:r>
              <w:t>10/C</w:t>
            </w:r>
            <w:r w:rsidR="000A5153" w:rsidRPr="000A5153">
              <w:t>.</w:t>
            </w:r>
            <w:r>
              <w:t>3/2021/6</w:t>
            </w:r>
          </w:p>
        </w:tc>
      </w:tr>
      <w:tr w:rsidR="00132EA9" w:rsidRPr="00DB58B5" w14:paraId="450F909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059051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FA64853" wp14:editId="6931620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7E3930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5C91BC" w14:textId="291EB912" w:rsidR="00132EA9" w:rsidRDefault="00403BA4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0A5153" w:rsidRPr="000A5153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703E1F36" w14:textId="77777777" w:rsidR="00403BA4" w:rsidRDefault="00403BA4" w:rsidP="00403BA4">
            <w:pPr>
              <w:spacing w:line="240" w:lineRule="exact"/>
            </w:pPr>
            <w:r>
              <w:t>13 avril 2021</w:t>
            </w:r>
          </w:p>
          <w:p w14:paraId="6A83D0A7" w14:textId="77777777" w:rsidR="00403BA4" w:rsidRDefault="00403BA4" w:rsidP="00403BA4">
            <w:pPr>
              <w:spacing w:line="240" w:lineRule="exact"/>
            </w:pPr>
            <w:r>
              <w:t>Français</w:t>
            </w:r>
          </w:p>
          <w:p w14:paraId="0E649E0A" w14:textId="3BC61F27" w:rsidR="00403BA4" w:rsidRPr="00DB58B5" w:rsidRDefault="00403BA4" w:rsidP="00403BA4">
            <w:pPr>
              <w:spacing w:line="240" w:lineRule="exact"/>
            </w:pPr>
            <w:r>
              <w:t>Original : anglais</w:t>
            </w:r>
          </w:p>
        </w:tc>
      </w:tr>
    </w:tbl>
    <w:p w14:paraId="1A732719" w14:textId="77777777" w:rsidR="00403BA4" w:rsidRPr="00333687" w:rsidRDefault="00403BA4" w:rsidP="00403BA4">
      <w:pPr>
        <w:spacing w:before="120"/>
        <w:rPr>
          <w:b/>
          <w:sz w:val="24"/>
          <w:szCs w:val="24"/>
          <w:lang w:val="fr-FR"/>
        </w:rPr>
      </w:pPr>
      <w:r w:rsidRPr="00333687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 w:rsidRPr="00333687">
        <w:rPr>
          <w:b/>
          <w:bCs/>
          <w:sz w:val="24"/>
          <w:szCs w:val="24"/>
          <w:lang w:val="fr-FR"/>
        </w:rPr>
        <w:br/>
        <w:t xml:space="preserve">et du Système général harmonisé de classification </w:t>
      </w:r>
      <w:r w:rsidRPr="00333687">
        <w:rPr>
          <w:b/>
          <w:bCs/>
          <w:sz w:val="24"/>
          <w:szCs w:val="24"/>
          <w:lang w:val="fr-FR"/>
        </w:rPr>
        <w:br/>
        <w:t>et d’étiquetage des produits chimiques</w:t>
      </w:r>
    </w:p>
    <w:p w14:paraId="4EAFB83B" w14:textId="77777777" w:rsidR="00403BA4" w:rsidRPr="008B18B7" w:rsidRDefault="00403BA4" w:rsidP="00403BA4">
      <w:pPr>
        <w:spacing w:before="120"/>
        <w:rPr>
          <w:rFonts w:ascii="Helv" w:hAnsi="Helv" w:cs="Helv"/>
          <w:b/>
          <w:color w:val="000000"/>
          <w:lang w:val="fr-FR"/>
        </w:rPr>
      </w:pPr>
      <w:r w:rsidRPr="008B18B7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8B18B7">
        <w:rPr>
          <w:b/>
          <w:bCs/>
          <w:lang w:val="fr-FR"/>
        </w:rPr>
        <w:t>experts du transport des marchandises dangereuses</w:t>
      </w:r>
    </w:p>
    <w:p w14:paraId="463B9A95" w14:textId="77777777" w:rsidR="00403BA4" w:rsidRPr="008B18B7" w:rsidRDefault="00403BA4" w:rsidP="00403BA4">
      <w:pPr>
        <w:spacing w:before="120"/>
        <w:rPr>
          <w:b/>
          <w:lang w:val="fr-FR"/>
        </w:rPr>
      </w:pPr>
      <w:r w:rsidRPr="008B18B7">
        <w:rPr>
          <w:b/>
          <w:bCs/>
          <w:lang w:val="fr-FR"/>
        </w:rPr>
        <w:t>Cinquante-huitième session</w:t>
      </w:r>
    </w:p>
    <w:p w14:paraId="77A61639" w14:textId="77777777" w:rsidR="00403BA4" w:rsidRPr="008B18B7" w:rsidRDefault="00403BA4" w:rsidP="00403BA4">
      <w:pPr>
        <w:rPr>
          <w:lang w:val="fr-FR"/>
        </w:rPr>
      </w:pPr>
      <w:r w:rsidRPr="008B18B7">
        <w:rPr>
          <w:lang w:val="fr-FR"/>
        </w:rPr>
        <w:t xml:space="preserve">Genève, 28 juin-2 juillet 2021 </w:t>
      </w:r>
    </w:p>
    <w:p w14:paraId="39AF8F94" w14:textId="77777777" w:rsidR="00403BA4" w:rsidRPr="008B18B7" w:rsidRDefault="00403BA4" w:rsidP="00403BA4">
      <w:pPr>
        <w:rPr>
          <w:lang w:val="fr-FR"/>
        </w:rPr>
      </w:pPr>
      <w:r w:rsidRPr="008B18B7">
        <w:rPr>
          <w:lang w:val="fr-FR"/>
        </w:rPr>
        <w:t>Point 5 c) de l</w:t>
      </w:r>
      <w:r>
        <w:rPr>
          <w:lang w:val="fr-FR"/>
        </w:rPr>
        <w:t>’</w:t>
      </w:r>
      <w:r w:rsidRPr="008B18B7">
        <w:rPr>
          <w:lang w:val="fr-FR"/>
        </w:rPr>
        <w:t>ordre du jour provisoire</w:t>
      </w:r>
    </w:p>
    <w:p w14:paraId="1F23F8CF" w14:textId="77777777" w:rsidR="00403BA4" w:rsidRPr="000C4C6C" w:rsidRDefault="00403BA4" w:rsidP="00403BA4">
      <w:pPr>
        <w:rPr>
          <w:b/>
          <w:bCs/>
          <w:lang w:val="fr-FR"/>
        </w:rPr>
      </w:pPr>
      <w:r w:rsidRPr="000C4C6C">
        <w:rPr>
          <w:b/>
          <w:bCs/>
          <w:lang w:val="fr-FR"/>
        </w:rPr>
        <w:t>Transport de gaz : questions</w:t>
      </w:r>
      <w:r>
        <w:rPr>
          <w:b/>
          <w:bCs/>
          <w:lang w:val="fr-FR"/>
        </w:rPr>
        <w:t xml:space="preserve"> diverses</w:t>
      </w:r>
    </w:p>
    <w:p w14:paraId="420CE116" w14:textId="7348D93D" w:rsidR="00403BA4" w:rsidRPr="000C4C6C" w:rsidRDefault="00403BA4" w:rsidP="00403BA4">
      <w:pPr>
        <w:pStyle w:val="HChG"/>
        <w:rPr>
          <w:lang w:val="fr-FR"/>
        </w:rPr>
      </w:pPr>
      <w:r w:rsidRPr="000C4C6C">
        <w:rPr>
          <w:lang w:val="fr-FR"/>
        </w:rPr>
        <w:tab/>
      </w:r>
      <w:r w:rsidRPr="000C4C6C">
        <w:rPr>
          <w:lang w:val="fr-FR"/>
        </w:rPr>
        <w:tab/>
        <w:t>Dispositions spéciales d</w:t>
      </w:r>
      <w:r>
        <w:rPr>
          <w:lang w:val="fr-FR"/>
        </w:rPr>
        <w:t>’</w:t>
      </w:r>
      <w:r w:rsidRPr="000C4C6C">
        <w:rPr>
          <w:lang w:val="fr-FR"/>
        </w:rPr>
        <w:t xml:space="preserve">emballage pour les marchandises </w:t>
      </w:r>
      <w:r>
        <w:rPr>
          <w:lang w:val="fr-FR"/>
        </w:rPr>
        <w:br/>
      </w:r>
      <w:r w:rsidRPr="000C4C6C">
        <w:rPr>
          <w:lang w:val="fr-FR"/>
        </w:rPr>
        <w:t xml:space="preserve">de la classe 2 </w:t>
      </w:r>
      <w:r w:rsidR="000A5153">
        <w:rPr>
          <w:lang w:val="fr-FR"/>
        </w:rPr>
        <w:t>−</w:t>
      </w:r>
      <w:r w:rsidRPr="000C4C6C">
        <w:rPr>
          <w:lang w:val="fr-FR"/>
        </w:rPr>
        <w:t xml:space="preserve"> Prescriptions relatives à la protection </w:t>
      </w:r>
      <w:r w:rsidR="000A5153">
        <w:rPr>
          <w:lang w:val="fr-FR"/>
        </w:rPr>
        <w:br/>
      </w:r>
      <w:proofErr w:type="gramStart"/>
      <w:r w:rsidRPr="000C4C6C">
        <w:rPr>
          <w:lang w:val="fr-FR"/>
        </w:rPr>
        <w:t xml:space="preserve">des </w:t>
      </w:r>
      <w:r w:rsidRPr="008B18B7">
        <w:rPr>
          <w:lang w:val="fr-FR"/>
        </w:rPr>
        <w:t>robinet</w:t>
      </w:r>
      <w:r w:rsidRPr="000C4C6C">
        <w:rPr>
          <w:lang w:val="fr-FR"/>
        </w:rPr>
        <w:t xml:space="preserve">s </w:t>
      </w:r>
      <w:r w:rsidRPr="008B18B7">
        <w:rPr>
          <w:lang w:val="fr-FR"/>
        </w:rPr>
        <w:t>énoncées</w:t>
      </w:r>
      <w:proofErr w:type="gramEnd"/>
      <w:r w:rsidRPr="008B18B7">
        <w:rPr>
          <w:lang w:val="fr-FR"/>
        </w:rPr>
        <w:t xml:space="preserve"> </w:t>
      </w:r>
      <w:r w:rsidRPr="000C4C6C">
        <w:rPr>
          <w:lang w:val="fr-FR"/>
        </w:rPr>
        <w:t>au 4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1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6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1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8</w:t>
      </w:r>
    </w:p>
    <w:p w14:paraId="0323D233" w14:textId="367C8F9E" w:rsidR="00403BA4" w:rsidRPr="000C4C6C" w:rsidRDefault="00403BA4" w:rsidP="00403BA4">
      <w:pPr>
        <w:pStyle w:val="H1G"/>
        <w:rPr>
          <w:lang w:val="fr-FR"/>
        </w:rPr>
      </w:pPr>
      <w:r w:rsidRPr="000C4C6C">
        <w:rPr>
          <w:lang w:val="fr-FR"/>
        </w:rPr>
        <w:tab/>
      </w:r>
      <w:r w:rsidRPr="000C4C6C">
        <w:rPr>
          <w:lang w:val="fr-FR"/>
        </w:rPr>
        <w:tab/>
        <w:t>Communication de l</w:t>
      </w:r>
      <w:r>
        <w:rPr>
          <w:lang w:val="fr-FR"/>
        </w:rPr>
        <w:t>’</w:t>
      </w:r>
      <w:r w:rsidRPr="000C4C6C">
        <w:rPr>
          <w:lang w:val="fr-FR"/>
        </w:rPr>
        <w:t xml:space="preserve">Association européenne des gaz </w:t>
      </w:r>
      <w:r>
        <w:rPr>
          <w:lang w:val="fr-FR"/>
        </w:rPr>
        <w:br/>
      </w:r>
      <w:r w:rsidRPr="000C4C6C">
        <w:rPr>
          <w:lang w:val="fr-FR"/>
        </w:rPr>
        <w:t>industriels (EIGA)</w:t>
      </w:r>
      <w:r w:rsidRPr="000A515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043B3C4" w14:textId="77777777" w:rsidR="00403BA4" w:rsidRPr="000C4C6C" w:rsidRDefault="00403BA4" w:rsidP="000A5153">
      <w:pPr>
        <w:pStyle w:val="HChG"/>
        <w:rPr>
          <w:lang w:val="fr-FR"/>
        </w:rPr>
      </w:pPr>
      <w:r w:rsidRPr="000C4C6C">
        <w:rPr>
          <w:lang w:val="fr-FR"/>
        </w:rPr>
        <w:tab/>
      </w:r>
      <w:r w:rsidRPr="000C4C6C">
        <w:rPr>
          <w:lang w:val="fr-FR"/>
        </w:rPr>
        <w:tab/>
        <w:t>Introduction</w:t>
      </w:r>
    </w:p>
    <w:p w14:paraId="10541364" w14:textId="10B49B54" w:rsidR="00403BA4" w:rsidRPr="000C4C6C" w:rsidRDefault="00403BA4" w:rsidP="000A5153">
      <w:pPr>
        <w:pStyle w:val="SingleTxtG"/>
        <w:rPr>
          <w:lang w:val="fr-FR"/>
        </w:rPr>
      </w:pPr>
      <w:r w:rsidRPr="008B18B7">
        <w:rPr>
          <w:lang w:val="fr-FR"/>
        </w:rPr>
        <w:t>1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ab/>
        <w:t>Aussi bien les chapeaux ouverts de protection des robinets que les chapeaux fermés doivent être conformes aux prescriptions de l</w:t>
      </w:r>
      <w:r>
        <w:rPr>
          <w:lang w:val="fr-FR"/>
        </w:rPr>
        <w:t>’</w:t>
      </w:r>
      <w:r w:rsidRPr="000C4C6C">
        <w:rPr>
          <w:lang w:val="fr-FR"/>
        </w:rPr>
        <w:t>édition appropriée de la norme ISO</w:t>
      </w:r>
      <w:r w:rsidR="000A5153">
        <w:rPr>
          <w:lang w:val="fr-FR"/>
        </w:rPr>
        <w:t> </w:t>
      </w:r>
      <w:r w:rsidRPr="000C4C6C">
        <w:rPr>
          <w:lang w:val="fr-FR"/>
        </w:rPr>
        <w:t>11117 («</w:t>
      </w:r>
      <w:r>
        <w:rPr>
          <w:lang w:val="fr-FR"/>
        </w:rPr>
        <w:t> </w:t>
      </w:r>
      <w:r w:rsidRPr="000C4C6C">
        <w:rPr>
          <w:lang w:val="fr-FR"/>
        </w:rPr>
        <w:t>Bouteilles à gaz − Chapeaux fermés et chapeaux ouverts de protection des robinets</w:t>
      </w:r>
      <w:r>
        <w:rPr>
          <w:lang w:val="fr-FR"/>
        </w:rPr>
        <w:t> </w:t>
      </w:r>
      <w:r w:rsidRPr="000C4C6C">
        <w:rPr>
          <w:lang w:val="fr-FR"/>
        </w:rPr>
        <w:t>− Conception, construction et essais</w:t>
      </w:r>
      <w:r w:rsidR="00370BDC">
        <w:rPr>
          <w:lang w:val="fr-FR"/>
        </w:rPr>
        <w:t> </w:t>
      </w:r>
      <w:r w:rsidRPr="000C4C6C">
        <w:rPr>
          <w:lang w:val="fr-FR"/>
        </w:rPr>
        <w:t>»)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 xml:space="preserve"> Par conséquent, selon les normes applicables, il convient de traiter les chapeaux ouverts de protection des robinets </w:t>
      </w:r>
      <w:r>
        <w:rPr>
          <w:lang w:val="fr-FR"/>
        </w:rPr>
        <w:t xml:space="preserve">et </w:t>
      </w:r>
      <w:r w:rsidRPr="000C4C6C">
        <w:rPr>
          <w:lang w:val="fr-FR"/>
        </w:rPr>
        <w:t>les chapeaux fermés</w:t>
      </w:r>
      <w:r>
        <w:rPr>
          <w:lang w:val="fr-FR"/>
        </w:rPr>
        <w:t xml:space="preserve"> ensemble</w:t>
      </w:r>
      <w:r w:rsidR="000A5153" w:rsidRPr="000A5153">
        <w:rPr>
          <w:lang w:val="fr-FR"/>
        </w:rPr>
        <w:t>.</w:t>
      </w:r>
    </w:p>
    <w:p w14:paraId="04789BC1" w14:textId="7B8C8BE4" w:rsidR="00403BA4" w:rsidRPr="000C4C6C" w:rsidRDefault="00403BA4" w:rsidP="00403BA4">
      <w:pPr>
        <w:spacing w:after="120"/>
        <w:ind w:left="1134" w:right="1134"/>
        <w:jc w:val="both"/>
        <w:rPr>
          <w:lang w:val="fr-FR"/>
        </w:rPr>
      </w:pPr>
      <w:r w:rsidRPr="008B18B7">
        <w:rPr>
          <w:lang w:val="fr-FR"/>
        </w:rPr>
        <w:t>2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ab/>
        <w:t>Les prescriptions relatives aux collerettes (partie intégrante d</w:t>
      </w:r>
      <w:r>
        <w:rPr>
          <w:lang w:val="fr-FR"/>
        </w:rPr>
        <w:t>’</w:t>
      </w:r>
      <w:r w:rsidRPr="000C4C6C">
        <w:rPr>
          <w:lang w:val="fr-FR"/>
        </w:rPr>
        <w:t>une bouteille ou d</w:t>
      </w:r>
      <w:r>
        <w:rPr>
          <w:lang w:val="fr-FR"/>
        </w:rPr>
        <w:t>’</w:t>
      </w:r>
      <w:r w:rsidRPr="000C4C6C">
        <w:rPr>
          <w:lang w:val="fr-FR"/>
        </w:rPr>
        <w:t>un fût à pression</w:t>
      </w:r>
      <w:r>
        <w:rPr>
          <w:lang w:val="fr-FR"/>
        </w:rPr>
        <w:t xml:space="preserve"> soudés</w:t>
      </w:r>
      <w:r w:rsidRPr="000C4C6C">
        <w:rPr>
          <w:lang w:val="fr-FR"/>
        </w:rPr>
        <w:t xml:space="preserve"> servant à protéger le robinet pendant le transport, la manutention et le stockage) font partie de la norme de conception pertinente pour le récipient à pression (enveloppe)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 xml:space="preserve"> Or la norme ISO 11117 exclut explicitement les dispositifs de protection qui font partie intégrante du récipient à pression (enveloppe)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 xml:space="preserve"> Par conséquent, selon les normes applicables, les collerettes doivent être traitées à part</w:t>
      </w:r>
      <w:r w:rsidR="000A5153" w:rsidRPr="000A5153">
        <w:rPr>
          <w:lang w:val="fr-FR"/>
        </w:rPr>
        <w:t>.</w:t>
      </w:r>
    </w:p>
    <w:p w14:paraId="21FBE5F9" w14:textId="2BCCE9BF" w:rsidR="00403BA4" w:rsidRPr="000C4C6C" w:rsidRDefault="00403BA4" w:rsidP="00403BA4">
      <w:pPr>
        <w:spacing w:after="120"/>
        <w:ind w:left="1134" w:right="1134"/>
        <w:jc w:val="both"/>
        <w:rPr>
          <w:lang w:val="fr-FR"/>
        </w:rPr>
      </w:pPr>
      <w:r w:rsidRPr="008B18B7">
        <w:rPr>
          <w:lang w:val="fr-FR"/>
        </w:rPr>
        <w:t>3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ab/>
        <w:t>Les dispositifs de protection inamovibles (qui font partie intégrante de la conception de la bouteille, sont fixés de manière permanente aux bouteilles composites [types 2 à 5] et couvrent en partie ou en totalité la surface de la bouteille, assurant des fonctions supplémentaires pendant la manutention, le transport et l</w:t>
      </w:r>
      <w:r>
        <w:rPr>
          <w:lang w:val="fr-FR"/>
        </w:rPr>
        <w:t>’</w:t>
      </w:r>
      <w:r w:rsidRPr="000C4C6C">
        <w:rPr>
          <w:lang w:val="fr-FR"/>
        </w:rPr>
        <w:t>utilisation)</w:t>
      </w:r>
      <w:r>
        <w:rPr>
          <w:lang w:val="fr-FR"/>
        </w:rPr>
        <w:t>,</w:t>
      </w:r>
      <w:r w:rsidRPr="000C4C6C">
        <w:rPr>
          <w:lang w:val="fr-FR"/>
        </w:rPr>
        <w:t xml:space="preserve"> dont la fonction est également de protéger le robinet</w:t>
      </w:r>
      <w:r>
        <w:rPr>
          <w:lang w:val="fr-FR"/>
        </w:rPr>
        <w:t>,</w:t>
      </w:r>
      <w:r w:rsidRPr="000C4C6C">
        <w:rPr>
          <w:lang w:val="fr-FR"/>
        </w:rPr>
        <w:t xml:space="preserve"> ne sont pas encore inclus, mais devraient être traités en même temps que les collerettes</w:t>
      </w:r>
      <w:r w:rsidR="000A5153" w:rsidRPr="000A5153">
        <w:rPr>
          <w:lang w:val="fr-FR"/>
        </w:rPr>
        <w:t>.</w:t>
      </w:r>
    </w:p>
    <w:p w14:paraId="57B25766" w14:textId="4B1F9521" w:rsidR="00403BA4" w:rsidRPr="000C4C6C" w:rsidRDefault="00403BA4" w:rsidP="00403BA4">
      <w:pPr>
        <w:spacing w:after="120"/>
        <w:ind w:left="1134" w:right="1134"/>
        <w:jc w:val="both"/>
        <w:rPr>
          <w:lang w:val="fr-FR"/>
        </w:rPr>
      </w:pPr>
      <w:r w:rsidRPr="008B18B7">
        <w:rPr>
          <w:lang w:val="fr-FR"/>
        </w:rPr>
        <w:t>4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ab/>
        <w:t>À ce jour, on n</w:t>
      </w:r>
      <w:r>
        <w:rPr>
          <w:lang w:val="fr-FR"/>
        </w:rPr>
        <w:t>’</w:t>
      </w:r>
      <w:r w:rsidRPr="000C4C6C">
        <w:rPr>
          <w:lang w:val="fr-FR"/>
        </w:rPr>
        <w:t xml:space="preserve">a pas </w:t>
      </w:r>
      <w:proofErr w:type="gramStart"/>
      <w:r w:rsidRPr="000C4C6C">
        <w:rPr>
          <w:lang w:val="fr-FR"/>
        </w:rPr>
        <w:t xml:space="preserve">encore </w:t>
      </w:r>
      <w:r>
        <w:rPr>
          <w:lang w:val="fr-FR"/>
        </w:rPr>
        <w:t xml:space="preserve"> établi</w:t>
      </w:r>
      <w:proofErr w:type="gramEnd"/>
      <w:r w:rsidRPr="000C4C6C">
        <w:rPr>
          <w:lang w:val="fr-FR"/>
        </w:rPr>
        <w:t xml:space="preserve"> de prescriptions relatives aux robinets munis d</w:t>
      </w:r>
      <w:r>
        <w:rPr>
          <w:lang w:val="fr-FR"/>
        </w:rPr>
        <w:t>’</w:t>
      </w:r>
      <w:r w:rsidRPr="000C4C6C">
        <w:rPr>
          <w:lang w:val="fr-FR"/>
        </w:rPr>
        <w:t>une protection intégrée utilisés pour les récipients à pression non rechargeables</w:t>
      </w:r>
      <w:r w:rsidR="000A5153" w:rsidRPr="000A5153">
        <w:rPr>
          <w:lang w:val="fr-FR"/>
        </w:rPr>
        <w:t>.</w:t>
      </w:r>
    </w:p>
    <w:p w14:paraId="6FCFCB01" w14:textId="52ED8969" w:rsidR="00403BA4" w:rsidRPr="000C4C6C" w:rsidRDefault="00403BA4" w:rsidP="000A5153">
      <w:pPr>
        <w:pStyle w:val="SingleTxtG"/>
        <w:rPr>
          <w:lang w:val="fr-FR"/>
        </w:rPr>
      </w:pPr>
      <w:r w:rsidRPr="008B18B7">
        <w:rPr>
          <w:lang w:val="fr-FR"/>
        </w:rPr>
        <w:lastRenderedPageBreak/>
        <w:t>5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ab/>
        <w:t>Pour les normes applicables aux robinets munis d</w:t>
      </w:r>
      <w:r>
        <w:rPr>
          <w:lang w:val="fr-FR"/>
        </w:rPr>
        <w:t>’</w:t>
      </w:r>
      <w:r w:rsidRPr="000C4C6C">
        <w:rPr>
          <w:lang w:val="fr-FR"/>
        </w:rPr>
        <w:t>une protection intégrée, le renvoi au paragraphe applicable de la norme doit remplacer le renvoi actuel à l</w:t>
      </w:r>
      <w:r>
        <w:rPr>
          <w:lang w:val="fr-FR"/>
        </w:rPr>
        <w:t>’</w:t>
      </w:r>
      <w:r w:rsidRPr="000C4C6C">
        <w:rPr>
          <w:lang w:val="fr-FR"/>
        </w:rPr>
        <w:t>annexe traitant de l</w:t>
      </w:r>
      <w:r>
        <w:rPr>
          <w:lang w:val="fr-FR"/>
        </w:rPr>
        <w:t>’</w:t>
      </w:r>
      <w:r w:rsidRPr="000C4C6C">
        <w:rPr>
          <w:lang w:val="fr-FR"/>
        </w:rPr>
        <w:t>épreuve de résistance au choc</w:t>
      </w:r>
      <w:r>
        <w:rPr>
          <w:lang w:val="fr-FR"/>
        </w:rPr>
        <w:t>,</w:t>
      </w:r>
      <w:r w:rsidRPr="000C4C6C">
        <w:rPr>
          <w:lang w:val="fr-FR"/>
        </w:rPr>
        <w:t xml:space="preserve"> </w:t>
      </w:r>
      <w:r>
        <w:rPr>
          <w:lang w:val="fr-FR"/>
        </w:rPr>
        <w:t xml:space="preserve">qui décrit </w:t>
      </w:r>
      <w:r w:rsidRPr="000C4C6C">
        <w:rPr>
          <w:lang w:val="fr-FR"/>
        </w:rPr>
        <w:t>la procédure d</w:t>
      </w:r>
      <w:r>
        <w:rPr>
          <w:lang w:val="fr-FR"/>
        </w:rPr>
        <w:t>’</w:t>
      </w:r>
      <w:r w:rsidRPr="000C4C6C">
        <w:rPr>
          <w:lang w:val="fr-FR"/>
        </w:rPr>
        <w:t xml:space="preserve">essai, mais </w:t>
      </w:r>
      <w:r>
        <w:rPr>
          <w:lang w:val="fr-FR"/>
        </w:rPr>
        <w:t xml:space="preserve">n’indique </w:t>
      </w:r>
      <w:r w:rsidRPr="000C4C6C">
        <w:rPr>
          <w:lang w:val="fr-FR"/>
        </w:rPr>
        <w:t>pas le critère d</w:t>
      </w:r>
      <w:r>
        <w:rPr>
          <w:lang w:val="fr-FR"/>
        </w:rPr>
        <w:t>’</w:t>
      </w:r>
      <w:r w:rsidRPr="000C4C6C">
        <w:rPr>
          <w:lang w:val="fr-FR"/>
        </w:rPr>
        <w:t>acceptation</w:t>
      </w:r>
      <w:r w:rsidR="000A5153" w:rsidRPr="000A5153">
        <w:rPr>
          <w:lang w:val="fr-FR"/>
        </w:rPr>
        <w:t>.</w:t>
      </w:r>
    </w:p>
    <w:p w14:paraId="11ABD53C" w14:textId="77777777" w:rsidR="00403BA4" w:rsidRPr="000C4C6C" w:rsidRDefault="00403BA4" w:rsidP="000A5153">
      <w:pPr>
        <w:pStyle w:val="HChG"/>
        <w:rPr>
          <w:lang w:val="fr-FR"/>
        </w:rPr>
      </w:pPr>
      <w:r w:rsidRPr="000C4C6C">
        <w:rPr>
          <w:lang w:val="fr-FR"/>
        </w:rPr>
        <w:tab/>
      </w:r>
      <w:r w:rsidRPr="000C4C6C">
        <w:rPr>
          <w:lang w:val="fr-FR"/>
        </w:rPr>
        <w:tab/>
        <w:t>Proposition</w:t>
      </w:r>
    </w:p>
    <w:p w14:paraId="0820199F" w14:textId="22834343" w:rsidR="00403BA4" w:rsidRPr="000C4C6C" w:rsidRDefault="00403BA4" w:rsidP="000A5153">
      <w:pPr>
        <w:pStyle w:val="SingleTxtG"/>
        <w:rPr>
          <w:lang w:val="fr-FR"/>
        </w:rPr>
      </w:pPr>
      <w:r w:rsidRPr="008B18B7">
        <w:rPr>
          <w:lang w:val="fr-FR"/>
        </w:rPr>
        <w:t>6</w:t>
      </w:r>
      <w:r w:rsidR="000A5153" w:rsidRPr="000A5153">
        <w:rPr>
          <w:lang w:val="fr-FR"/>
        </w:rPr>
        <w:t>.</w:t>
      </w:r>
      <w:r w:rsidRPr="008B18B7">
        <w:rPr>
          <w:lang w:val="fr-FR"/>
        </w:rPr>
        <w:tab/>
      </w:r>
      <w:r w:rsidRPr="000C4C6C">
        <w:rPr>
          <w:lang w:val="fr-FR"/>
        </w:rPr>
        <w:t>Les modifications qu</w:t>
      </w:r>
      <w:r>
        <w:rPr>
          <w:lang w:val="fr-FR"/>
        </w:rPr>
        <w:t>’</w:t>
      </w:r>
      <w:r w:rsidRPr="000C4C6C">
        <w:rPr>
          <w:lang w:val="fr-FR"/>
        </w:rPr>
        <w:t>il est proposé d</w:t>
      </w:r>
      <w:r>
        <w:rPr>
          <w:lang w:val="fr-FR"/>
        </w:rPr>
        <w:t>’</w:t>
      </w:r>
      <w:r w:rsidRPr="000C4C6C">
        <w:rPr>
          <w:lang w:val="fr-FR"/>
        </w:rPr>
        <w:t>apporter au texte du paragraphes 4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1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6</w:t>
      </w:r>
      <w:r w:rsidR="000A5153" w:rsidRPr="000A5153">
        <w:rPr>
          <w:lang w:val="fr-FR"/>
        </w:rPr>
        <w:t>.</w:t>
      </w:r>
      <w:r>
        <w:rPr>
          <w:lang w:val="fr-FR"/>
        </w:rPr>
        <w:t>1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 xml:space="preserve">8 sont indiquées ci-dessous, </w:t>
      </w:r>
      <w:r w:rsidRPr="000C4C6C">
        <w:rPr>
          <w:i/>
          <w:iCs/>
          <w:u w:val="single"/>
          <w:lang w:val="fr-FR"/>
        </w:rPr>
        <w:t>en italiques et soulignées</w:t>
      </w:r>
      <w:r w:rsidRPr="000C4C6C">
        <w:rPr>
          <w:lang w:val="fr-FR"/>
        </w:rPr>
        <w:t xml:space="preserve"> pour les ajouts et en caractères </w:t>
      </w:r>
      <w:r w:rsidRPr="000C4C6C">
        <w:rPr>
          <w:strike/>
          <w:lang w:val="fr-FR"/>
        </w:rPr>
        <w:t>biffés</w:t>
      </w:r>
      <w:r w:rsidRPr="000C4C6C">
        <w:rPr>
          <w:lang w:val="fr-FR"/>
        </w:rPr>
        <w:t xml:space="preserve"> pour les suppressions</w:t>
      </w:r>
      <w:r w:rsidR="00862A42">
        <w:rPr>
          <w:lang w:val="fr-FR"/>
        </w:rPr>
        <w:t> </w:t>
      </w:r>
      <w:r w:rsidRPr="000C4C6C">
        <w:rPr>
          <w:lang w:val="fr-FR"/>
        </w:rPr>
        <w:t>; les modifications du 4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1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6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1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8 approuvées par le Sous-Comité à sa session de décembre 2020, telles qu</w:t>
      </w:r>
      <w:r>
        <w:rPr>
          <w:lang w:val="fr-FR"/>
        </w:rPr>
        <w:t>’</w:t>
      </w:r>
      <w:r w:rsidRPr="000C4C6C">
        <w:rPr>
          <w:lang w:val="fr-FR"/>
        </w:rPr>
        <w:t>elles figurent dans le document ST/SG/AC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10/C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3/114/Add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1, sont déjà prises en considération</w:t>
      </w:r>
      <w:r w:rsidR="00862A42">
        <w:rPr>
          <w:lang w:val="fr-FR"/>
        </w:rPr>
        <w:t> </w:t>
      </w:r>
      <w:r w:rsidRPr="000C4C6C">
        <w:rPr>
          <w:lang w:val="fr-FR"/>
        </w:rPr>
        <w:t>:</w:t>
      </w:r>
    </w:p>
    <w:p w14:paraId="52838C6D" w14:textId="53594CB2" w:rsidR="00403BA4" w:rsidRPr="000C4C6C" w:rsidRDefault="00403BA4" w:rsidP="00403BA4">
      <w:pPr>
        <w:spacing w:after="120"/>
        <w:ind w:left="1701" w:right="1134"/>
        <w:jc w:val="both"/>
        <w:rPr>
          <w:lang w:val="fr-FR"/>
        </w:rPr>
      </w:pPr>
      <w:r w:rsidRPr="008B18B7">
        <w:rPr>
          <w:lang w:val="fr-FR"/>
        </w:rPr>
        <w:t>« </w:t>
      </w:r>
      <w:r w:rsidRPr="000C4C6C">
        <w:rPr>
          <w:lang w:val="fr-FR"/>
        </w:rPr>
        <w:t>4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1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6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1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8</w:t>
      </w:r>
      <w:r w:rsidRPr="000C4C6C">
        <w:rPr>
          <w:lang w:val="fr-FR"/>
        </w:rPr>
        <w:tab/>
        <w:t>Les robinets doivent être conçus et fabriqués de façon à pouvoir résister à des dégâts sans fuir, ou être protégés contre toute avarie risquant de provoquer une fuite accidentelle du contenu du récipient à pression, selon l</w:t>
      </w:r>
      <w:r>
        <w:rPr>
          <w:lang w:val="fr-FR"/>
        </w:rPr>
        <w:t>’</w:t>
      </w:r>
      <w:r w:rsidRPr="000C4C6C">
        <w:rPr>
          <w:lang w:val="fr-FR"/>
        </w:rPr>
        <w:t>une des méthodes suivantes</w:t>
      </w:r>
      <w:r w:rsidR="00862A42">
        <w:rPr>
          <w:lang w:val="fr-FR"/>
        </w:rPr>
        <w:t> </w:t>
      </w:r>
      <w:r w:rsidRPr="000C4C6C">
        <w:rPr>
          <w:lang w:val="fr-FR"/>
        </w:rPr>
        <w:t>:</w:t>
      </w:r>
    </w:p>
    <w:p w14:paraId="1BAF1D1F" w14:textId="02B6C107" w:rsidR="00403BA4" w:rsidRPr="000C4C6C" w:rsidRDefault="00403BA4" w:rsidP="000A5153">
      <w:pPr>
        <w:pStyle w:val="SingleTxtG"/>
        <w:ind w:left="1701"/>
        <w:rPr>
          <w:lang w:val="fr-FR"/>
        </w:rPr>
      </w:pPr>
      <w:r w:rsidRPr="008B18B7">
        <w:rPr>
          <w:lang w:val="fr-FR"/>
        </w:rPr>
        <w:t>a)</w:t>
      </w:r>
      <w:r w:rsidRPr="000C4C6C">
        <w:rPr>
          <w:lang w:val="fr-FR"/>
        </w:rPr>
        <w:tab/>
        <w:t>Placer les robinets à l</w:t>
      </w:r>
      <w:r>
        <w:rPr>
          <w:lang w:val="fr-FR"/>
        </w:rPr>
        <w:t>’</w:t>
      </w:r>
      <w:r w:rsidRPr="000C4C6C">
        <w:rPr>
          <w:lang w:val="fr-FR"/>
        </w:rPr>
        <w:t>intérieur du col du récipient à pression et protéger ceux</w:t>
      </w:r>
      <w:r w:rsidR="000A5153">
        <w:rPr>
          <w:lang w:val="fr-FR"/>
        </w:rPr>
        <w:noBreakHyphen/>
      </w:r>
      <w:r w:rsidRPr="000C4C6C">
        <w:rPr>
          <w:lang w:val="fr-FR"/>
        </w:rPr>
        <w:t>ci au moyen d</w:t>
      </w:r>
      <w:r>
        <w:rPr>
          <w:lang w:val="fr-FR"/>
        </w:rPr>
        <w:t>’</w:t>
      </w:r>
      <w:r w:rsidRPr="000C4C6C">
        <w:rPr>
          <w:lang w:val="fr-FR"/>
        </w:rPr>
        <w:t>un bouchon ou d</w:t>
      </w:r>
      <w:r>
        <w:rPr>
          <w:lang w:val="fr-FR"/>
        </w:rPr>
        <w:t>’</w:t>
      </w:r>
      <w:r w:rsidRPr="000C4C6C">
        <w:rPr>
          <w:lang w:val="fr-FR"/>
        </w:rPr>
        <w:t>un chapeau vissé</w:t>
      </w:r>
      <w:r w:rsidR="000A5153">
        <w:rPr>
          <w:lang w:val="fr-FR"/>
        </w:rPr>
        <w:t> </w:t>
      </w:r>
      <w:r w:rsidRPr="000C4C6C">
        <w:rPr>
          <w:lang w:val="fr-FR"/>
        </w:rPr>
        <w:t>;</w:t>
      </w:r>
    </w:p>
    <w:p w14:paraId="27FCFAD7" w14:textId="4C2AE0A7" w:rsidR="00403BA4" w:rsidRPr="000C4C6C" w:rsidRDefault="00403BA4" w:rsidP="000A5153">
      <w:pPr>
        <w:pStyle w:val="SingleTxtG"/>
        <w:ind w:left="1701"/>
        <w:rPr>
          <w:lang w:val="fr-FR"/>
        </w:rPr>
      </w:pPr>
      <w:r w:rsidRPr="008B18B7">
        <w:rPr>
          <w:lang w:val="fr-FR"/>
        </w:rPr>
        <w:t>b)</w:t>
      </w:r>
      <w:r w:rsidRPr="008B18B7">
        <w:rPr>
          <w:lang w:val="fr-FR"/>
        </w:rPr>
        <w:tab/>
      </w:r>
      <w:r w:rsidRPr="000C4C6C">
        <w:rPr>
          <w:lang w:val="fr-FR"/>
        </w:rPr>
        <w:t xml:space="preserve">Protéger les robinets </w:t>
      </w:r>
      <w:r>
        <w:rPr>
          <w:lang w:val="fr-FR"/>
        </w:rPr>
        <w:t xml:space="preserve">par </w:t>
      </w:r>
      <w:r w:rsidRPr="000C4C6C">
        <w:rPr>
          <w:lang w:val="fr-FR"/>
        </w:rPr>
        <w:t xml:space="preserve">un chapeau fermé </w:t>
      </w:r>
      <w:r w:rsidRPr="00333687">
        <w:rPr>
          <w:u w:val="single"/>
          <w:lang w:val="fr-FR"/>
        </w:rPr>
        <w:t xml:space="preserve">ou </w:t>
      </w:r>
      <w:r>
        <w:rPr>
          <w:i/>
          <w:iCs/>
          <w:u w:val="single"/>
          <w:lang w:val="fr-FR"/>
        </w:rPr>
        <w:t>par un chapeau ouvert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 xml:space="preserve"> Les chapeaux sont munis d</w:t>
      </w:r>
      <w:r>
        <w:rPr>
          <w:lang w:val="fr-FR"/>
        </w:rPr>
        <w:t>’</w:t>
      </w:r>
      <w:r w:rsidRPr="000C4C6C">
        <w:rPr>
          <w:lang w:val="fr-FR"/>
        </w:rPr>
        <w:t>évents de section suffisante pour évacuer les gaz en cas de fuite aux robinets</w:t>
      </w:r>
      <w:r w:rsidR="00862A42">
        <w:rPr>
          <w:lang w:val="fr-FR"/>
        </w:rPr>
        <w:t> </w:t>
      </w:r>
      <w:r w:rsidRPr="000C4C6C">
        <w:rPr>
          <w:lang w:val="fr-FR"/>
        </w:rPr>
        <w:t>;</w:t>
      </w:r>
    </w:p>
    <w:p w14:paraId="2F2FD602" w14:textId="07F10A33" w:rsidR="00403BA4" w:rsidRPr="000C4C6C" w:rsidRDefault="00403BA4" w:rsidP="000A5153">
      <w:pPr>
        <w:pStyle w:val="SingleTxtG"/>
        <w:ind w:left="1701"/>
        <w:rPr>
          <w:lang w:val="fr-FR"/>
        </w:rPr>
      </w:pPr>
      <w:r w:rsidRPr="008B18B7">
        <w:rPr>
          <w:lang w:val="fr-FR"/>
        </w:rPr>
        <w:t>c)</w:t>
      </w:r>
      <w:r w:rsidRPr="000C4C6C">
        <w:rPr>
          <w:lang w:val="fr-FR"/>
        </w:rPr>
        <w:tab/>
        <w:t>Protéger les robinets au moyen d</w:t>
      </w:r>
      <w:r>
        <w:rPr>
          <w:lang w:val="fr-FR"/>
        </w:rPr>
        <w:t>’</w:t>
      </w:r>
      <w:r w:rsidRPr="000C4C6C">
        <w:rPr>
          <w:lang w:val="fr-FR"/>
        </w:rPr>
        <w:t xml:space="preserve">une collerette ou </w:t>
      </w:r>
      <w:r w:rsidRPr="000C4C6C">
        <w:rPr>
          <w:i/>
          <w:iCs/>
          <w:u w:val="single"/>
          <w:lang w:val="fr-FR"/>
        </w:rPr>
        <w:t>d</w:t>
      </w:r>
      <w:r>
        <w:rPr>
          <w:i/>
          <w:iCs/>
          <w:u w:val="single"/>
          <w:lang w:val="fr-FR"/>
        </w:rPr>
        <w:t>’</w:t>
      </w:r>
      <w:r w:rsidRPr="000C4C6C">
        <w:rPr>
          <w:i/>
          <w:iCs/>
          <w:u w:val="single"/>
          <w:lang w:val="fr-FR"/>
        </w:rPr>
        <w:t xml:space="preserve">un dispositif de protection inamovible </w:t>
      </w:r>
      <w:r w:rsidRPr="000C4C6C">
        <w:rPr>
          <w:strike/>
          <w:lang w:val="fr-FR"/>
        </w:rPr>
        <w:t>d</w:t>
      </w:r>
      <w:r>
        <w:rPr>
          <w:strike/>
          <w:lang w:val="fr-FR"/>
        </w:rPr>
        <w:t>’</w:t>
      </w:r>
      <w:r w:rsidRPr="000C4C6C">
        <w:rPr>
          <w:strike/>
          <w:lang w:val="fr-FR"/>
        </w:rPr>
        <w:t>autres dispositifs de sécurité</w:t>
      </w:r>
      <w:r w:rsidR="000A5153">
        <w:rPr>
          <w:lang w:val="fr-FR"/>
        </w:rPr>
        <w:t> </w:t>
      </w:r>
      <w:r w:rsidRPr="000C4C6C">
        <w:rPr>
          <w:lang w:val="fr-FR"/>
        </w:rPr>
        <w:t>;</w:t>
      </w:r>
    </w:p>
    <w:p w14:paraId="5931E4A4" w14:textId="23F94B73" w:rsidR="00403BA4" w:rsidRPr="000C4C6C" w:rsidRDefault="00403BA4" w:rsidP="000A5153">
      <w:pPr>
        <w:pStyle w:val="SingleTxtG"/>
        <w:ind w:left="1701"/>
        <w:rPr>
          <w:lang w:val="fr-FR"/>
        </w:rPr>
      </w:pPr>
      <w:r w:rsidRPr="008B18B7">
        <w:rPr>
          <w:lang w:val="fr-FR"/>
        </w:rPr>
        <w:t>d)</w:t>
      </w:r>
      <w:r w:rsidRPr="000C4C6C">
        <w:rPr>
          <w:lang w:val="fr-FR"/>
        </w:rPr>
        <w:tab/>
        <w:t>Transporter les récipients à pression dans des cadres (par exemple des cadres de bouteilles)</w:t>
      </w:r>
      <w:r w:rsidR="00862A42">
        <w:rPr>
          <w:lang w:val="fr-FR"/>
        </w:rPr>
        <w:t> </w:t>
      </w:r>
      <w:r w:rsidRPr="000C4C6C">
        <w:rPr>
          <w:lang w:val="fr-FR"/>
        </w:rPr>
        <w:t xml:space="preserve">; </w:t>
      </w:r>
      <w:proofErr w:type="gramStart"/>
      <w:r w:rsidRPr="000C4C6C">
        <w:rPr>
          <w:lang w:val="fr-FR"/>
        </w:rPr>
        <w:t>ou</w:t>
      </w:r>
      <w:proofErr w:type="gramEnd"/>
      <w:r w:rsidRPr="000C4C6C">
        <w:rPr>
          <w:lang w:val="fr-FR"/>
        </w:rPr>
        <w:t xml:space="preserve"> </w:t>
      </w:r>
    </w:p>
    <w:p w14:paraId="6A1D4037" w14:textId="5B454008" w:rsidR="00403BA4" w:rsidRPr="000C4C6C" w:rsidRDefault="00403BA4" w:rsidP="000A5153">
      <w:pPr>
        <w:pStyle w:val="SingleTxtG"/>
        <w:ind w:left="1701"/>
        <w:rPr>
          <w:lang w:val="fr-FR"/>
        </w:rPr>
      </w:pPr>
      <w:r w:rsidRPr="008B18B7">
        <w:rPr>
          <w:lang w:val="fr-FR"/>
        </w:rPr>
        <w:t>e)</w:t>
      </w:r>
      <w:r w:rsidRPr="000C4C6C">
        <w:rPr>
          <w:lang w:val="fr-FR"/>
        </w:rPr>
        <w:tab/>
        <w:t>Transporter les récipients à pression dans des emballages extérieurs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 xml:space="preserve"> L</w:t>
      </w:r>
      <w:r>
        <w:rPr>
          <w:lang w:val="fr-FR"/>
        </w:rPr>
        <w:t>’</w:t>
      </w:r>
      <w:r w:rsidRPr="000C4C6C">
        <w:rPr>
          <w:lang w:val="fr-FR"/>
        </w:rPr>
        <w:t>emballage préparé pour le transport doit avoir satisfait à l</w:t>
      </w:r>
      <w:r>
        <w:rPr>
          <w:lang w:val="fr-FR"/>
        </w:rPr>
        <w:t>’</w:t>
      </w:r>
      <w:r w:rsidRPr="000C4C6C">
        <w:rPr>
          <w:lang w:val="fr-FR"/>
        </w:rPr>
        <w:t>épreuve de chute au niveau d</w:t>
      </w:r>
      <w:r>
        <w:rPr>
          <w:lang w:val="fr-FR"/>
        </w:rPr>
        <w:t>’</w:t>
      </w:r>
      <w:r w:rsidRPr="000C4C6C">
        <w:rPr>
          <w:lang w:val="fr-FR"/>
        </w:rPr>
        <w:t>épreuve du groupe d</w:t>
      </w:r>
      <w:r>
        <w:rPr>
          <w:lang w:val="fr-FR"/>
        </w:rPr>
        <w:t>’</w:t>
      </w:r>
      <w:r w:rsidRPr="000C4C6C">
        <w:rPr>
          <w:lang w:val="fr-FR"/>
        </w:rPr>
        <w:t>emballage I dont il est question au 6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1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5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>3</w:t>
      </w:r>
      <w:r w:rsidR="000A5153" w:rsidRPr="000A5153">
        <w:rPr>
          <w:lang w:val="fr-FR"/>
        </w:rPr>
        <w:t>.</w:t>
      </w:r>
    </w:p>
    <w:p w14:paraId="7F35799C" w14:textId="42AFAC93" w:rsidR="00403BA4" w:rsidRPr="000C4C6C" w:rsidRDefault="00403BA4" w:rsidP="000A5153">
      <w:pPr>
        <w:pStyle w:val="SingleTxtG"/>
        <w:ind w:left="1701"/>
        <w:rPr>
          <w:lang w:val="fr-FR"/>
        </w:rPr>
      </w:pPr>
      <w:r w:rsidRPr="000C4C6C">
        <w:rPr>
          <w:lang w:val="fr-FR"/>
        </w:rPr>
        <w:t xml:space="preserve">Dans le cas des récipients à pression munis de robinets décrits sous b) </w:t>
      </w:r>
      <w:r w:rsidRPr="000C4C6C">
        <w:rPr>
          <w:strike/>
          <w:lang w:val="fr-FR"/>
        </w:rPr>
        <w:t>et c)</w:t>
      </w:r>
      <w:r w:rsidRPr="000C4C6C">
        <w:rPr>
          <w:lang w:val="fr-FR"/>
        </w:rPr>
        <w:t xml:space="preserve">, les prescriptions de la norme ISO </w:t>
      </w:r>
      <w:proofErr w:type="gramStart"/>
      <w:r w:rsidRPr="000C4C6C">
        <w:rPr>
          <w:lang w:val="fr-FR"/>
        </w:rPr>
        <w:t>11117:</w:t>
      </w:r>
      <w:proofErr w:type="gramEnd"/>
      <w:r w:rsidRPr="000C4C6C">
        <w:rPr>
          <w:lang w:val="fr-FR"/>
        </w:rPr>
        <w:t>1998, ISO 11117:2008 + Cor 1:2009 ou ISO</w:t>
      </w:r>
      <w:r w:rsidR="000A5153">
        <w:rPr>
          <w:lang w:val="fr-FR"/>
        </w:rPr>
        <w:t> </w:t>
      </w:r>
      <w:r w:rsidRPr="000C4C6C">
        <w:rPr>
          <w:lang w:val="fr-FR"/>
        </w:rPr>
        <w:t>11117:2019 doivent être respectées</w:t>
      </w:r>
      <w:r w:rsidR="000A5153" w:rsidRPr="000A5153">
        <w:rPr>
          <w:lang w:val="fr-FR"/>
        </w:rPr>
        <w:t>.</w:t>
      </w:r>
      <w:r w:rsidRPr="000C4C6C">
        <w:rPr>
          <w:lang w:val="fr-FR"/>
        </w:rPr>
        <w:t xml:space="preserve"> </w:t>
      </w:r>
      <w:r w:rsidRPr="000C4C6C">
        <w:rPr>
          <w:i/>
          <w:iCs/>
          <w:u w:val="single"/>
          <w:lang w:val="fr-FR"/>
        </w:rPr>
        <w:t>Les prescriptions pour les collerettes et les dispositifs de protection inamovibles servant à protéger le robinet conformément au 4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1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6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1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8 c) sont indiquées dans les normes applicables de conception de l</w:t>
      </w:r>
      <w:r>
        <w:rPr>
          <w:i/>
          <w:iCs/>
          <w:u w:val="single"/>
          <w:lang w:val="fr-FR"/>
        </w:rPr>
        <w:t>’</w:t>
      </w:r>
      <w:r w:rsidRPr="000C4C6C">
        <w:rPr>
          <w:i/>
          <w:iCs/>
          <w:u w:val="single"/>
          <w:lang w:val="fr-FR"/>
        </w:rPr>
        <w:t>enveloppe des récipients à pression (voir 6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2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2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1)</w:t>
      </w:r>
      <w:r w:rsidR="000A5153" w:rsidRPr="000A5153">
        <w:rPr>
          <w:i/>
          <w:iCs/>
          <w:u w:val="single"/>
          <w:lang w:val="fr-FR"/>
        </w:rPr>
        <w:t>.</w:t>
      </w:r>
      <w:r w:rsidRPr="00333687">
        <w:rPr>
          <w:strike/>
          <w:lang w:val="fr-FR"/>
        </w:rPr>
        <w:t xml:space="preserve">, alors que </w:t>
      </w:r>
      <w:r w:rsidRPr="000C4C6C">
        <w:rPr>
          <w:strike/>
          <w:lang w:val="fr-FR"/>
        </w:rPr>
        <w:t xml:space="preserve">pour les robinets </w:t>
      </w:r>
      <w:r w:rsidRPr="000C4C6C">
        <w:rPr>
          <w:i/>
          <w:iCs/>
          <w:u w:val="single"/>
          <w:lang w:val="fr-FR"/>
        </w:rPr>
        <w:t xml:space="preserve">Les robinets </w:t>
      </w:r>
      <w:r w:rsidRPr="000C4C6C">
        <w:rPr>
          <w:lang w:val="fr-FR"/>
        </w:rPr>
        <w:t>munis d</w:t>
      </w:r>
      <w:r>
        <w:rPr>
          <w:lang w:val="fr-FR"/>
        </w:rPr>
        <w:t>’</w:t>
      </w:r>
      <w:r w:rsidRPr="000C4C6C">
        <w:rPr>
          <w:lang w:val="fr-FR"/>
        </w:rPr>
        <w:t xml:space="preserve">une protection intégrée </w:t>
      </w:r>
      <w:r w:rsidRPr="00333687">
        <w:rPr>
          <w:i/>
          <w:iCs/>
          <w:u w:val="single"/>
          <w:lang w:val="fr-FR"/>
        </w:rPr>
        <w:t>utilisés pour les récipients à pression rechargeables doivent satisfaire aux prescriptions énoncées</w:t>
      </w:r>
      <w:r w:rsidRPr="00333687">
        <w:rPr>
          <w:u w:val="single"/>
          <w:lang w:val="fr-FR"/>
        </w:rPr>
        <w:t xml:space="preserve"> </w:t>
      </w:r>
      <w:r w:rsidRPr="000C4C6C">
        <w:rPr>
          <w:i/>
          <w:iCs/>
          <w:u w:val="single"/>
          <w:lang w:val="fr-FR"/>
        </w:rPr>
        <w:t>dans la clause</w:t>
      </w:r>
      <w:r w:rsidR="000A5153">
        <w:rPr>
          <w:i/>
          <w:iCs/>
          <w:u w:val="single"/>
          <w:lang w:val="fr-FR"/>
        </w:rPr>
        <w:t> </w:t>
      </w:r>
      <w:r w:rsidRPr="000C4C6C">
        <w:rPr>
          <w:i/>
          <w:iCs/>
          <w:u w:val="single"/>
          <w:lang w:val="fr-FR"/>
        </w:rPr>
        <w:t>4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6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2</w:t>
      </w:r>
      <w:r w:rsidRPr="00862A42">
        <w:rPr>
          <w:u w:val="single"/>
          <w:lang w:val="fr-FR"/>
        </w:rPr>
        <w:t xml:space="preserve"> </w:t>
      </w:r>
      <w:r w:rsidRPr="00333687">
        <w:rPr>
          <w:i/>
          <w:iCs/>
          <w:u w:val="single"/>
          <w:lang w:val="fr-FR"/>
        </w:rPr>
        <w:t>de la norme ISO</w:t>
      </w:r>
      <w:r w:rsidR="000A5153">
        <w:rPr>
          <w:i/>
          <w:iCs/>
          <w:u w:val="single"/>
          <w:lang w:val="fr-FR"/>
        </w:rPr>
        <w:t> </w:t>
      </w:r>
      <w:r w:rsidRPr="00333687">
        <w:rPr>
          <w:i/>
          <w:iCs/>
          <w:u w:val="single"/>
          <w:lang w:val="fr-FR"/>
        </w:rPr>
        <w:t>10297:2006 ou</w:t>
      </w:r>
      <w:r w:rsidRPr="00862A42">
        <w:rPr>
          <w:u w:val="single"/>
          <w:lang w:val="fr-FR"/>
        </w:rPr>
        <w:t xml:space="preserve"> </w:t>
      </w:r>
      <w:r w:rsidRPr="000C4C6C">
        <w:rPr>
          <w:i/>
          <w:iCs/>
          <w:u w:val="single"/>
          <w:lang w:val="fr-FR"/>
        </w:rPr>
        <w:t>dans la clause 5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5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2</w:t>
      </w:r>
      <w:r w:rsidRPr="00333687">
        <w:rPr>
          <w:i/>
          <w:iCs/>
          <w:u w:val="single"/>
          <w:lang w:val="fr-FR"/>
        </w:rPr>
        <w:t xml:space="preserve"> de la norme ISO 10297:2014</w:t>
      </w:r>
      <w:r w:rsidRPr="00862A42">
        <w:rPr>
          <w:u w:val="single"/>
          <w:lang w:val="fr-FR"/>
        </w:rPr>
        <w:t xml:space="preserve"> </w:t>
      </w:r>
      <w:r w:rsidRPr="000C4C6C">
        <w:rPr>
          <w:i/>
          <w:iCs/>
          <w:u w:val="single"/>
          <w:lang w:val="fr-FR"/>
        </w:rPr>
        <w:t>ou dans la clause 5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5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2 de l</w:t>
      </w:r>
      <w:r>
        <w:rPr>
          <w:i/>
          <w:iCs/>
          <w:u w:val="single"/>
          <w:lang w:val="fr-FR"/>
        </w:rPr>
        <w:t>’</w:t>
      </w:r>
      <w:r w:rsidRPr="000C4C6C">
        <w:rPr>
          <w:i/>
          <w:iCs/>
          <w:u w:val="single"/>
          <w:lang w:val="fr-FR"/>
        </w:rPr>
        <w:t>ISO 10297:2014 + A1:2017</w:t>
      </w:r>
      <w:r w:rsidRPr="00333687">
        <w:rPr>
          <w:u w:val="single"/>
          <w:lang w:val="fr-FR"/>
        </w:rPr>
        <w:t xml:space="preserve">, </w:t>
      </w:r>
      <w:r w:rsidRPr="00333687">
        <w:rPr>
          <w:i/>
          <w:iCs/>
          <w:u w:val="single"/>
          <w:lang w:val="fr-FR"/>
        </w:rPr>
        <w:t>ou, dans le cas de dispositifs à fermeture automatique,</w:t>
      </w:r>
      <w:r w:rsidRPr="00862A42">
        <w:rPr>
          <w:i/>
          <w:iCs/>
          <w:u w:val="single"/>
          <w:lang w:val="fr-FR"/>
        </w:rPr>
        <w:t xml:space="preserve"> </w:t>
      </w:r>
      <w:r w:rsidRPr="00333687">
        <w:rPr>
          <w:i/>
          <w:iCs/>
          <w:u w:val="single"/>
          <w:lang w:val="fr-FR"/>
        </w:rPr>
        <w:t>dans la clause 5</w:t>
      </w:r>
      <w:r w:rsidR="000A5153" w:rsidRPr="000A5153">
        <w:rPr>
          <w:i/>
          <w:iCs/>
          <w:u w:val="single"/>
          <w:lang w:val="fr-FR"/>
        </w:rPr>
        <w:t>.</w:t>
      </w:r>
      <w:r w:rsidRPr="00333687">
        <w:rPr>
          <w:i/>
          <w:iCs/>
          <w:u w:val="single"/>
          <w:lang w:val="fr-FR"/>
        </w:rPr>
        <w:t>4</w:t>
      </w:r>
      <w:r w:rsidR="000A5153" w:rsidRPr="000A5153">
        <w:rPr>
          <w:i/>
          <w:iCs/>
          <w:u w:val="single"/>
          <w:lang w:val="fr-FR"/>
        </w:rPr>
        <w:t>.</w:t>
      </w:r>
      <w:r w:rsidRPr="00333687">
        <w:rPr>
          <w:i/>
          <w:iCs/>
          <w:u w:val="single"/>
          <w:lang w:val="fr-FR"/>
        </w:rPr>
        <w:t>2 de la norme ISO 17879:2017</w:t>
      </w:r>
      <w:r w:rsidRPr="00862A42">
        <w:rPr>
          <w:strike/>
          <w:lang w:val="fr-FR"/>
        </w:rPr>
        <w:t xml:space="preserve"> </w:t>
      </w:r>
      <w:r w:rsidRPr="00333687">
        <w:rPr>
          <w:strike/>
          <w:lang w:val="fr-FR"/>
        </w:rPr>
        <w:t>les prescriptions de l</w:t>
      </w:r>
      <w:r>
        <w:rPr>
          <w:strike/>
          <w:lang w:val="fr-FR"/>
        </w:rPr>
        <w:t>’</w:t>
      </w:r>
      <w:r w:rsidRPr="00333687">
        <w:rPr>
          <w:strike/>
          <w:lang w:val="fr-FR"/>
        </w:rPr>
        <w:t>annexe A de la norme ISO 10297:2006, de l</w:t>
      </w:r>
      <w:r>
        <w:rPr>
          <w:strike/>
          <w:lang w:val="fr-FR"/>
        </w:rPr>
        <w:t>’</w:t>
      </w:r>
      <w:r w:rsidRPr="00333687">
        <w:rPr>
          <w:strike/>
          <w:lang w:val="fr-FR"/>
        </w:rPr>
        <w:t>annexe A de la norme ISO 10297:2014 ou de l</w:t>
      </w:r>
      <w:r>
        <w:rPr>
          <w:strike/>
          <w:lang w:val="fr-FR"/>
        </w:rPr>
        <w:t>’</w:t>
      </w:r>
      <w:r w:rsidRPr="00333687">
        <w:rPr>
          <w:strike/>
          <w:lang w:val="fr-FR"/>
        </w:rPr>
        <w:t xml:space="preserve">annexe A de la norme ISO 10297 + A1:2017 </w:t>
      </w:r>
      <w:r w:rsidRPr="000C4C6C">
        <w:rPr>
          <w:strike/>
          <w:lang w:val="fr-FR"/>
        </w:rPr>
        <w:t>doivent être respectées</w:t>
      </w:r>
      <w:r w:rsidR="000A5153" w:rsidRPr="000A5153">
        <w:rPr>
          <w:strike/>
          <w:lang w:val="fr-FR"/>
        </w:rPr>
        <w:t>.</w:t>
      </w:r>
      <w:r w:rsidRPr="00333687">
        <w:rPr>
          <w:strike/>
          <w:lang w:val="fr-FR"/>
        </w:rPr>
        <w:t xml:space="preserve"> </w:t>
      </w:r>
      <w:r w:rsidRPr="000C4C6C">
        <w:rPr>
          <w:strike/>
          <w:lang w:val="fr-FR"/>
        </w:rPr>
        <w:t>Pour les récipients à pression munis de dispositifs à fermeture automatique à protection intégrée, les prescriptions de l</w:t>
      </w:r>
      <w:r>
        <w:rPr>
          <w:strike/>
          <w:lang w:val="fr-FR"/>
        </w:rPr>
        <w:t>’</w:t>
      </w:r>
      <w:r w:rsidRPr="000C4C6C">
        <w:rPr>
          <w:strike/>
          <w:lang w:val="fr-FR"/>
        </w:rPr>
        <w:t xml:space="preserve">annexe A de la norme ISO </w:t>
      </w:r>
      <w:proofErr w:type="gramStart"/>
      <w:r w:rsidRPr="000C4C6C">
        <w:rPr>
          <w:strike/>
          <w:lang w:val="fr-FR"/>
        </w:rPr>
        <w:t>17879:</w:t>
      </w:r>
      <w:proofErr w:type="gramEnd"/>
      <w:r w:rsidRPr="000C4C6C">
        <w:rPr>
          <w:strike/>
          <w:lang w:val="fr-FR"/>
        </w:rPr>
        <w:t>2017 doivent être respectées</w:t>
      </w:r>
      <w:r w:rsidR="000A5153" w:rsidRPr="00862A42">
        <w:rPr>
          <w:lang w:val="fr-FR"/>
        </w:rPr>
        <w:t>.</w:t>
      </w:r>
      <w:r w:rsidRPr="000C4C6C">
        <w:rPr>
          <w:lang w:val="fr-FR"/>
        </w:rPr>
        <w:t xml:space="preserve"> </w:t>
      </w:r>
      <w:r w:rsidRPr="000C4C6C">
        <w:rPr>
          <w:i/>
          <w:iCs/>
          <w:u w:val="single"/>
          <w:lang w:val="fr-FR"/>
        </w:rPr>
        <w:t>Pour les robinets munis d</w:t>
      </w:r>
      <w:r>
        <w:rPr>
          <w:i/>
          <w:iCs/>
          <w:u w:val="single"/>
          <w:lang w:val="fr-FR"/>
        </w:rPr>
        <w:t>’</w:t>
      </w:r>
      <w:r w:rsidRPr="000C4C6C">
        <w:rPr>
          <w:i/>
          <w:iCs/>
          <w:u w:val="single"/>
          <w:lang w:val="fr-FR"/>
        </w:rPr>
        <w:t>une protection intégrée utilisés pour les bouteilles non rechargeables, les prescriptions énoncées dans la clause 9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2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 xml:space="preserve">5 de la norme ISO </w:t>
      </w:r>
      <w:proofErr w:type="gramStart"/>
      <w:r w:rsidRPr="000C4C6C">
        <w:rPr>
          <w:i/>
          <w:iCs/>
          <w:u w:val="single"/>
          <w:lang w:val="fr-FR"/>
        </w:rPr>
        <w:t>11118:</w:t>
      </w:r>
      <w:proofErr w:type="gramEnd"/>
      <w:r w:rsidRPr="000C4C6C">
        <w:rPr>
          <w:i/>
          <w:iCs/>
          <w:u w:val="single"/>
          <w:lang w:val="fr-FR"/>
        </w:rPr>
        <w:t>2015 ou dans la clause 9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2</w:t>
      </w:r>
      <w:r w:rsidR="000A5153" w:rsidRPr="000A5153">
        <w:rPr>
          <w:i/>
          <w:iCs/>
          <w:u w:val="single"/>
          <w:lang w:val="fr-FR"/>
        </w:rPr>
        <w:t>.</w:t>
      </w:r>
      <w:r w:rsidRPr="000C4C6C">
        <w:rPr>
          <w:i/>
          <w:iCs/>
          <w:u w:val="single"/>
          <w:lang w:val="fr-FR"/>
        </w:rPr>
        <w:t>5 de la norme ISO 11118:2015</w:t>
      </w:r>
      <w:r w:rsidR="000A5153">
        <w:rPr>
          <w:i/>
          <w:iCs/>
          <w:u w:val="single"/>
          <w:lang w:val="fr-FR"/>
        </w:rPr>
        <w:t xml:space="preserve"> </w:t>
      </w:r>
      <w:r w:rsidRPr="000C4C6C">
        <w:rPr>
          <w:i/>
          <w:iCs/>
          <w:u w:val="single"/>
          <w:lang w:val="fr-FR"/>
        </w:rPr>
        <w:t>+</w:t>
      </w:r>
      <w:r w:rsidR="000A5153">
        <w:rPr>
          <w:i/>
          <w:iCs/>
          <w:u w:val="single"/>
          <w:lang w:val="fr-FR"/>
        </w:rPr>
        <w:t> </w:t>
      </w:r>
      <w:r w:rsidRPr="000C4C6C">
        <w:rPr>
          <w:i/>
          <w:iCs/>
          <w:u w:val="single"/>
          <w:lang w:val="fr-FR"/>
        </w:rPr>
        <w:t>A1:2019 doivent être respectées</w:t>
      </w:r>
      <w:r w:rsidR="000A5153" w:rsidRPr="000A5153">
        <w:rPr>
          <w:i/>
          <w:iCs/>
          <w:u w:val="single"/>
          <w:lang w:val="fr-FR"/>
        </w:rPr>
        <w:t>.</w:t>
      </w:r>
    </w:p>
    <w:p w14:paraId="41874AA3" w14:textId="734C78E8" w:rsidR="00403BA4" w:rsidRPr="000C4C6C" w:rsidRDefault="00403BA4" w:rsidP="00403BA4">
      <w:pPr>
        <w:spacing w:after="120"/>
        <w:ind w:left="1701" w:right="1134"/>
        <w:jc w:val="both"/>
        <w:rPr>
          <w:lang w:val="fr-FR"/>
        </w:rPr>
      </w:pPr>
      <w:r w:rsidRPr="000C4C6C">
        <w:rPr>
          <w:lang w:val="fr-FR"/>
        </w:rPr>
        <w:t xml:space="preserve">Pour les dispositifs de stockage à hydrure métallique, les prescriptions de protection de robinet indiquées dans la norme ISO </w:t>
      </w:r>
      <w:proofErr w:type="gramStart"/>
      <w:r w:rsidRPr="000C4C6C">
        <w:rPr>
          <w:lang w:val="fr-FR"/>
        </w:rPr>
        <w:t>16111:</w:t>
      </w:r>
      <w:proofErr w:type="gramEnd"/>
      <w:r w:rsidRPr="000C4C6C">
        <w:rPr>
          <w:lang w:val="fr-FR"/>
        </w:rPr>
        <w:t>2008 ou ISO 16111:2018 doivent être respectées</w:t>
      </w:r>
      <w:r w:rsidR="000A5153" w:rsidRPr="000A5153">
        <w:rPr>
          <w:lang w:val="fr-FR"/>
        </w:rPr>
        <w:t>.</w:t>
      </w:r>
      <w:r w:rsidRPr="008B18B7">
        <w:rPr>
          <w:lang w:val="fr-FR"/>
        </w:rPr>
        <w:t> »</w:t>
      </w:r>
      <w:r w:rsidR="000A5153" w:rsidRPr="000A5153">
        <w:rPr>
          <w:lang w:val="fr-FR"/>
        </w:rPr>
        <w:t>.</w:t>
      </w:r>
    </w:p>
    <w:p w14:paraId="7E471784" w14:textId="56923AE1" w:rsidR="00403BA4" w:rsidRPr="000C4C6C" w:rsidRDefault="00403BA4" w:rsidP="000A5153">
      <w:pPr>
        <w:pStyle w:val="HChG"/>
        <w:rPr>
          <w:lang w:val="fr-FR"/>
        </w:rPr>
      </w:pPr>
      <w:r w:rsidRPr="000C4C6C">
        <w:rPr>
          <w:lang w:val="fr-FR"/>
        </w:rPr>
        <w:lastRenderedPageBreak/>
        <w:tab/>
      </w:r>
      <w:r w:rsidRPr="000C4C6C">
        <w:rPr>
          <w:lang w:val="fr-FR"/>
        </w:rPr>
        <w:tab/>
        <w:t>Justification</w:t>
      </w:r>
    </w:p>
    <w:p w14:paraId="0129E797" w14:textId="6B0B6F60" w:rsidR="00403BA4" w:rsidRDefault="00403BA4" w:rsidP="000A5153">
      <w:pPr>
        <w:pStyle w:val="SingleTxtG"/>
      </w:pPr>
      <w:r w:rsidRPr="008B18B7">
        <w:rPr>
          <w:lang w:val="fr-FR"/>
        </w:rPr>
        <w:t>7</w:t>
      </w:r>
      <w:r w:rsidR="000A5153" w:rsidRPr="000A5153">
        <w:rPr>
          <w:lang w:val="fr-FR"/>
        </w:rPr>
        <w:t>.</w:t>
      </w:r>
      <w:r w:rsidRPr="008B18B7">
        <w:rPr>
          <w:lang w:val="fr-FR"/>
        </w:rPr>
        <w:tab/>
      </w:r>
      <w:r w:rsidRPr="000C4C6C">
        <w:rPr>
          <w:lang w:val="fr-FR"/>
        </w:rPr>
        <w:t>La proposition a pour objet de préciser les prescriptions relatives à la protection des robinets</w:t>
      </w:r>
      <w:r>
        <w:rPr>
          <w:lang w:val="fr-FR"/>
        </w:rPr>
        <w:t> ;</w:t>
      </w:r>
      <w:r w:rsidRPr="000C4C6C">
        <w:rPr>
          <w:lang w:val="fr-FR"/>
        </w:rPr>
        <w:t xml:space="preserve"> </w:t>
      </w:r>
      <w:r>
        <w:rPr>
          <w:lang w:val="fr-FR"/>
        </w:rPr>
        <w:t xml:space="preserve">elle </w:t>
      </w:r>
      <w:r w:rsidRPr="000C4C6C">
        <w:rPr>
          <w:lang w:val="fr-FR"/>
        </w:rPr>
        <w:t>n</w:t>
      </w:r>
      <w:r>
        <w:rPr>
          <w:lang w:val="fr-FR"/>
        </w:rPr>
        <w:t>’</w:t>
      </w:r>
      <w:r w:rsidRPr="000C4C6C">
        <w:rPr>
          <w:lang w:val="fr-FR"/>
        </w:rPr>
        <w:t xml:space="preserve">ajoute aucune prescription au </w:t>
      </w:r>
      <w:r>
        <w:rPr>
          <w:lang w:val="fr-FR"/>
        </w:rPr>
        <w:t>R</w:t>
      </w:r>
      <w:r w:rsidRPr="000C4C6C">
        <w:rPr>
          <w:lang w:val="fr-FR"/>
        </w:rPr>
        <w:t>èglement</w:t>
      </w:r>
      <w:r w:rsidR="000A5153" w:rsidRPr="000A5153">
        <w:rPr>
          <w:lang w:val="fr-FR"/>
        </w:rPr>
        <w:t>.</w:t>
      </w:r>
    </w:p>
    <w:p w14:paraId="1A05101C" w14:textId="3F3B0742" w:rsidR="00446FE5" w:rsidRPr="00403BA4" w:rsidRDefault="00403BA4" w:rsidP="00403BA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403BA4" w:rsidSect="00403BA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3C8D3" w14:textId="77777777" w:rsidR="00881E31" w:rsidRDefault="00881E31" w:rsidP="00F95C08">
      <w:pPr>
        <w:spacing w:line="240" w:lineRule="auto"/>
      </w:pPr>
    </w:p>
  </w:endnote>
  <w:endnote w:type="continuationSeparator" w:id="0">
    <w:p w14:paraId="21CE5890" w14:textId="77777777" w:rsidR="00881E31" w:rsidRPr="00AC3823" w:rsidRDefault="00881E31" w:rsidP="00AC3823">
      <w:pPr>
        <w:pStyle w:val="Footer"/>
      </w:pPr>
    </w:p>
  </w:endnote>
  <w:endnote w:type="continuationNotice" w:id="1">
    <w:p w14:paraId="1BD863DF" w14:textId="77777777" w:rsidR="00881E31" w:rsidRDefault="00881E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1072" w14:textId="15F07164" w:rsidR="00403BA4" w:rsidRPr="00403BA4" w:rsidRDefault="00403BA4" w:rsidP="00403BA4">
    <w:pPr>
      <w:pStyle w:val="Footer"/>
      <w:tabs>
        <w:tab w:val="right" w:pos="9638"/>
      </w:tabs>
    </w:pPr>
    <w:r w:rsidRPr="00403BA4">
      <w:rPr>
        <w:b/>
        <w:sz w:val="18"/>
      </w:rPr>
      <w:fldChar w:fldCharType="begin"/>
    </w:r>
    <w:r w:rsidRPr="00403BA4">
      <w:rPr>
        <w:b/>
        <w:sz w:val="18"/>
      </w:rPr>
      <w:instrText xml:space="preserve"> PAGE  \* MERGEFORMAT </w:instrText>
    </w:r>
    <w:r w:rsidRPr="00403BA4">
      <w:rPr>
        <w:b/>
        <w:sz w:val="18"/>
      </w:rPr>
      <w:fldChar w:fldCharType="separate"/>
    </w:r>
    <w:r w:rsidRPr="00403BA4">
      <w:rPr>
        <w:b/>
        <w:noProof/>
        <w:sz w:val="18"/>
      </w:rPr>
      <w:t>2</w:t>
    </w:r>
    <w:r w:rsidRPr="00403BA4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0A5153" w:rsidRPr="000A5153">
      <w:t>.</w:t>
    </w:r>
    <w:r>
      <w:t>21-04228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304" w14:textId="1DE56B70" w:rsidR="00403BA4" w:rsidRPr="00403BA4" w:rsidRDefault="00403BA4" w:rsidP="00403BA4">
    <w:pPr>
      <w:pStyle w:val="Footer"/>
      <w:tabs>
        <w:tab w:val="right" w:pos="9638"/>
      </w:tabs>
      <w:rPr>
        <w:b/>
        <w:sz w:val="18"/>
      </w:rPr>
    </w:pPr>
    <w:r>
      <w:t>GE</w:t>
    </w:r>
    <w:r w:rsidR="000A5153" w:rsidRPr="000A5153">
      <w:t>.</w:t>
    </w:r>
    <w:r>
      <w:t>21-04228</w:t>
    </w:r>
    <w:r>
      <w:tab/>
    </w:r>
    <w:r w:rsidRPr="00403BA4">
      <w:rPr>
        <w:b/>
        <w:sz w:val="18"/>
      </w:rPr>
      <w:fldChar w:fldCharType="begin"/>
    </w:r>
    <w:r w:rsidRPr="00403BA4">
      <w:rPr>
        <w:b/>
        <w:sz w:val="18"/>
      </w:rPr>
      <w:instrText xml:space="preserve"> PAGE  \* MERGEFORMAT </w:instrText>
    </w:r>
    <w:r w:rsidRPr="00403BA4">
      <w:rPr>
        <w:b/>
        <w:sz w:val="18"/>
      </w:rPr>
      <w:fldChar w:fldCharType="separate"/>
    </w:r>
    <w:r w:rsidRPr="00403BA4">
      <w:rPr>
        <w:b/>
        <w:noProof/>
        <w:sz w:val="18"/>
      </w:rPr>
      <w:t>3</w:t>
    </w:r>
    <w:r w:rsidRPr="00403B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815D" w14:textId="07F73664" w:rsidR="0068456F" w:rsidRPr="00403BA4" w:rsidRDefault="00403BA4" w:rsidP="00403BA4">
    <w:pPr>
      <w:pStyle w:val="Footer"/>
      <w:spacing w:before="120"/>
      <w:rPr>
        <w:sz w:val="20"/>
      </w:rPr>
    </w:pPr>
    <w:r>
      <w:rPr>
        <w:sz w:val="20"/>
      </w:rPr>
      <w:t>GE</w:t>
    </w:r>
    <w:r w:rsidR="000A5153" w:rsidRPr="000A5153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52AD2F9" wp14:editId="347CC55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04228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485FB0" wp14:editId="1809252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060521    0</w:t>
    </w:r>
    <w:r w:rsidR="000A5153">
      <w:rPr>
        <w:sz w:val="20"/>
      </w:rPr>
      <w:t>7</w:t>
    </w:r>
    <w:r>
      <w:rPr>
        <w:sz w:val="20"/>
      </w:rPr>
      <w:t>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51ACD" w14:textId="77777777" w:rsidR="00881E31" w:rsidRPr="00AC3823" w:rsidRDefault="00881E3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E2F514" w14:textId="77777777" w:rsidR="00881E31" w:rsidRPr="00AC3823" w:rsidRDefault="00881E3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4068E3" w14:textId="77777777" w:rsidR="00881E31" w:rsidRPr="00AC3823" w:rsidRDefault="00881E31">
      <w:pPr>
        <w:spacing w:line="240" w:lineRule="auto"/>
        <w:rPr>
          <w:sz w:val="2"/>
          <w:szCs w:val="2"/>
        </w:rPr>
      </w:pPr>
    </w:p>
  </w:footnote>
  <w:footnote w:id="2">
    <w:p w14:paraId="639E7118" w14:textId="49FAA9FA" w:rsidR="00403BA4" w:rsidRPr="00403BA4" w:rsidRDefault="00403BA4">
      <w:pPr>
        <w:pStyle w:val="FootnoteText"/>
      </w:pPr>
      <w:r>
        <w:rPr>
          <w:rStyle w:val="FootnoteReference"/>
        </w:rPr>
        <w:tab/>
      </w:r>
      <w:r w:rsidRPr="00403BA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ab/>
        <w:t>A/75/6 (Sect</w:t>
      </w:r>
      <w:r w:rsidR="000A5153" w:rsidRPr="000A5153">
        <w:rPr>
          <w:lang w:val="fr-FR"/>
        </w:rPr>
        <w:t>.</w:t>
      </w:r>
      <w:r>
        <w:rPr>
          <w:lang w:val="fr-FR"/>
        </w:rPr>
        <w:t xml:space="preserve"> 20), par</w:t>
      </w:r>
      <w:r w:rsidR="000A5153" w:rsidRPr="000A5153">
        <w:rPr>
          <w:lang w:val="fr-FR"/>
        </w:rPr>
        <w:t>.</w:t>
      </w:r>
      <w:r>
        <w:rPr>
          <w:lang w:val="fr-FR"/>
        </w:rPr>
        <w:t xml:space="preserve"> 20</w:t>
      </w:r>
      <w:r w:rsidR="000A5153" w:rsidRPr="000A5153">
        <w:rPr>
          <w:lang w:val="fr-FR"/>
        </w:rPr>
        <w:t>.</w:t>
      </w:r>
      <w:r>
        <w:rPr>
          <w:lang w:val="fr-FR"/>
        </w:rPr>
        <w:t>51</w:t>
      </w:r>
      <w:r w:rsidR="000A5153" w:rsidRPr="000A5153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1ED3" w14:textId="6A77E8E1" w:rsidR="00403BA4" w:rsidRPr="00403BA4" w:rsidRDefault="00881E3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72E66">
      <w:t>ST/SG/AC.10/C.3/2021/6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FDD8" w14:textId="1FA6DEE6" w:rsidR="00403BA4" w:rsidRPr="00403BA4" w:rsidRDefault="00881E31" w:rsidP="00403BA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2E66">
      <w:t>ST/SG/AC.10/C.3/2021/6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0"/>
    <w:rsid w:val="00017F94"/>
    <w:rsid w:val="00023842"/>
    <w:rsid w:val="000305D3"/>
    <w:rsid w:val="000334F9"/>
    <w:rsid w:val="000721AE"/>
    <w:rsid w:val="0007796D"/>
    <w:rsid w:val="000A5153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900F3"/>
    <w:rsid w:val="002D7C93"/>
    <w:rsid w:val="00370BDC"/>
    <w:rsid w:val="00403BA4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C371A"/>
    <w:rsid w:val="0068456F"/>
    <w:rsid w:val="0071601D"/>
    <w:rsid w:val="00772E66"/>
    <w:rsid w:val="007A62E6"/>
    <w:rsid w:val="0080684C"/>
    <w:rsid w:val="008123E0"/>
    <w:rsid w:val="00862A42"/>
    <w:rsid w:val="00871C75"/>
    <w:rsid w:val="008776DC"/>
    <w:rsid w:val="00881E31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35D90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16FA4"/>
  <w15:docId w15:val="{28AFDFE0-37A4-4DC2-90B2-B9BC075A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403BA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ST/SG/AC.10/C.3/2021/6</vt:lpstr>
    </vt:vector>
  </TitlesOfParts>
  <Company>DCM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ST/SG/AC.10/C.3/2021/6</dc:title>
  <dc:subject/>
  <dc:creator>Maud DARICHE</dc:creator>
  <cp:keywords/>
  <cp:lastModifiedBy>Laurence Berthet</cp:lastModifiedBy>
  <cp:revision>3</cp:revision>
  <cp:lastPrinted>2021-05-07T07:16:00Z</cp:lastPrinted>
  <dcterms:created xsi:type="dcterms:W3CDTF">2021-05-07T07:15:00Z</dcterms:created>
  <dcterms:modified xsi:type="dcterms:W3CDTF">2021-05-07T07:17:00Z</dcterms:modified>
</cp:coreProperties>
</file>