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13A12C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3AB67A" w14:textId="77777777" w:rsidR="00132EA9" w:rsidRPr="00DB58B5" w:rsidRDefault="00132EA9" w:rsidP="003115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77286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55FF90" w14:textId="6BFD0C99" w:rsidR="00132EA9" w:rsidRPr="00DB58B5" w:rsidRDefault="00311583" w:rsidP="00311583">
            <w:pPr>
              <w:jc w:val="right"/>
            </w:pPr>
            <w:r w:rsidRPr="00311583">
              <w:rPr>
                <w:sz w:val="40"/>
              </w:rPr>
              <w:t>ST</w:t>
            </w:r>
            <w:r>
              <w:t>/SG/AC.10/C.3/2021/3</w:t>
            </w:r>
          </w:p>
        </w:tc>
      </w:tr>
      <w:tr w:rsidR="00132EA9" w:rsidRPr="00DB58B5" w14:paraId="718EBEC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F013F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C04F75" wp14:editId="43B51CC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3BE91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813EC9" w14:textId="77777777" w:rsidR="00132EA9" w:rsidRDefault="00311583" w:rsidP="00F01738">
            <w:pPr>
              <w:spacing w:before="240"/>
            </w:pPr>
            <w:r>
              <w:t>Distr. générale</w:t>
            </w:r>
          </w:p>
          <w:p w14:paraId="61732193" w14:textId="721FF7B2" w:rsidR="00311583" w:rsidRDefault="00311583" w:rsidP="00311583">
            <w:pPr>
              <w:spacing w:line="240" w:lineRule="exact"/>
            </w:pPr>
            <w:r>
              <w:t>30 mars 2021</w:t>
            </w:r>
          </w:p>
          <w:p w14:paraId="373C425D" w14:textId="77777777" w:rsidR="00311583" w:rsidRDefault="00311583" w:rsidP="00311583">
            <w:pPr>
              <w:spacing w:line="240" w:lineRule="exact"/>
            </w:pPr>
            <w:r>
              <w:t>Français</w:t>
            </w:r>
          </w:p>
          <w:p w14:paraId="7969F952" w14:textId="02C050D7" w:rsidR="00311583" w:rsidRPr="00DB58B5" w:rsidRDefault="00311583" w:rsidP="00311583">
            <w:pPr>
              <w:spacing w:line="240" w:lineRule="exact"/>
            </w:pPr>
            <w:r>
              <w:t>Original : anglais</w:t>
            </w:r>
          </w:p>
        </w:tc>
      </w:tr>
    </w:tbl>
    <w:p w14:paraId="0A7E6B0B" w14:textId="3419A577" w:rsidR="00311583" w:rsidRPr="00CA0680" w:rsidRDefault="0031158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35D9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35D9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EDD48E2" w14:textId="733FB9EF" w:rsidR="00311583" w:rsidRPr="00CA0680" w:rsidRDefault="0031158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35D9E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A41CF4E" w14:textId="21BF73D0" w:rsidR="00311583" w:rsidRDefault="00311583" w:rsidP="000305D3">
      <w:pPr>
        <w:spacing w:before="120"/>
        <w:rPr>
          <w:b/>
        </w:rPr>
      </w:pPr>
      <w:r w:rsidRPr="00D66335">
        <w:rPr>
          <w:b/>
          <w:bCs/>
          <w:lang w:val="fr-FR"/>
        </w:rPr>
        <w:t>Cinquante-huitième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319EFCB4" w14:textId="36B69A83" w:rsidR="00311583" w:rsidRPr="00311583" w:rsidRDefault="00311583" w:rsidP="00311583">
      <w:r>
        <w:t xml:space="preserve">Genève, </w:t>
      </w:r>
      <w:r w:rsidRPr="00D66335">
        <w:rPr>
          <w:lang w:val="fr-FR"/>
        </w:rPr>
        <w:t xml:space="preserve">28 juin-2 juillet 2021 </w:t>
      </w:r>
    </w:p>
    <w:p w14:paraId="3B5146E1" w14:textId="4AA0C9F6" w:rsidR="00311583" w:rsidRPr="00D66335" w:rsidRDefault="00311583" w:rsidP="00311583">
      <w:pPr>
        <w:rPr>
          <w:lang w:val="fr-FR"/>
        </w:rPr>
      </w:pPr>
      <w:r w:rsidRPr="00D66335">
        <w:rPr>
          <w:lang w:val="fr-FR"/>
        </w:rPr>
        <w:t>Point 3 de l</w:t>
      </w:r>
      <w:r w:rsidR="00635D9E">
        <w:rPr>
          <w:lang w:val="fr-FR"/>
        </w:rPr>
        <w:t>’</w:t>
      </w:r>
      <w:r w:rsidRPr="00D66335">
        <w:rPr>
          <w:lang w:val="fr-FR"/>
        </w:rPr>
        <w:t>ordre du jour provisoire</w:t>
      </w:r>
    </w:p>
    <w:p w14:paraId="3818F623" w14:textId="77777777" w:rsidR="00311583" w:rsidRPr="00635D9E" w:rsidRDefault="00311583" w:rsidP="00311583">
      <w:pPr>
        <w:rPr>
          <w:b/>
          <w:bCs/>
          <w:lang w:val="fr-FR"/>
        </w:rPr>
      </w:pPr>
      <w:r w:rsidRPr="00635D9E">
        <w:rPr>
          <w:b/>
          <w:bCs/>
          <w:lang w:val="fr-FR"/>
        </w:rPr>
        <w:t xml:space="preserve">Inscription, classement et emballage </w:t>
      </w:r>
    </w:p>
    <w:p w14:paraId="30A772BC" w14:textId="77777777" w:rsidR="00311583" w:rsidRPr="00D66335" w:rsidRDefault="00311583" w:rsidP="00635D9E">
      <w:pPr>
        <w:pStyle w:val="HCh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>Nouvelles rubriques ONU pour les chlorophénols</w:t>
      </w:r>
    </w:p>
    <w:p w14:paraId="22E95DDB" w14:textId="02778960" w:rsidR="00311583" w:rsidRPr="00D66335" w:rsidRDefault="00311583" w:rsidP="00635D9E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>Communication de l</w:t>
      </w:r>
      <w:r w:rsidR="00635D9E">
        <w:rPr>
          <w:lang w:val="fr-FR"/>
        </w:rPr>
        <w:t>’</w:t>
      </w:r>
      <w:r w:rsidRPr="00D66335">
        <w:rPr>
          <w:lang w:val="fr-FR"/>
        </w:rPr>
        <w:t>expert de l</w:t>
      </w:r>
      <w:r w:rsidR="00635D9E">
        <w:rPr>
          <w:lang w:val="fr-FR"/>
        </w:rPr>
        <w:t>’</w:t>
      </w:r>
      <w:r w:rsidRPr="00D66335">
        <w:rPr>
          <w:lang w:val="fr-FR"/>
        </w:rPr>
        <w:t>Allemagne</w:t>
      </w:r>
      <w:r w:rsidR="00635D9E" w:rsidRPr="00635D9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DC25FF1" w14:textId="77777777" w:rsidR="00311583" w:rsidRPr="00D66335" w:rsidRDefault="00311583" w:rsidP="00635D9E">
      <w:pPr>
        <w:pStyle w:val="HCh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>Introduction</w:t>
      </w:r>
    </w:p>
    <w:p w14:paraId="54E78208" w14:textId="082D2346" w:rsidR="00311583" w:rsidRPr="00D66335" w:rsidRDefault="00635D9E" w:rsidP="00635D9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311583" w:rsidRPr="00D66335">
        <w:rPr>
          <w:lang w:val="fr-FR"/>
        </w:rPr>
        <w:t xml:space="preserve">Les autorités compétentes </w:t>
      </w:r>
      <w:r w:rsidR="00311583">
        <w:rPr>
          <w:lang w:val="fr-FR"/>
        </w:rPr>
        <w:t>de l</w:t>
      </w:r>
      <w:r>
        <w:rPr>
          <w:lang w:val="fr-FR"/>
        </w:rPr>
        <w:t>’</w:t>
      </w:r>
      <w:r w:rsidR="00311583">
        <w:rPr>
          <w:lang w:val="fr-FR"/>
        </w:rPr>
        <w:t xml:space="preserve">Allemagne </w:t>
      </w:r>
      <w:r w:rsidR="00311583" w:rsidRPr="00D66335">
        <w:rPr>
          <w:lang w:val="fr-FR"/>
        </w:rPr>
        <w:t>ont reçu une demande d</w:t>
      </w:r>
      <w:r>
        <w:rPr>
          <w:lang w:val="fr-FR"/>
        </w:rPr>
        <w:t>’</w:t>
      </w:r>
      <w:r w:rsidR="00311583" w:rsidRPr="00D66335">
        <w:rPr>
          <w:lang w:val="fr-FR"/>
        </w:rPr>
        <w:t xml:space="preserve">une entreprise visant à </w:t>
      </w:r>
      <w:r w:rsidR="00311583">
        <w:rPr>
          <w:lang w:val="fr-FR"/>
        </w:rPr>
        <w:t>classer</w:t>
      </w:r>
      <w:r w:rsidR="00311583" w:rsidRPr="00D66335">
        <w:rPr>
          <w:b/>
          <w:bCs/>
          <w:lang w:val="fr-FR"/>
        </w:rPr>
        <w:t xml:space="preserve"> </w:t>
      </w:r>
      <w:r w:rsidR="00311583" w:rsidRPr="00D66335">
        <w:rPr>
          <w:lang w:val="fr-FR"/>
        </w:rPr>
        <w:t>la matière 2,4-dichlorophénol et ont procédé à un examen des données disponibles à ce sujet. Il a été souligné que, selon l</w:t>
      </w:r>
      <w:r>
        <w:rPr>
          <w:lang w:val="fr-FR"/>
        </w:rPr>
        <w:t>’</w:t>
      </w:r>
      <w:r w:rsidR="00311583" w:rsidRPr="00D66335">
        <w:rPr>
          <w:lang w:val="fr-FR"/>
        </w:rPr>
        <w:t>Agence européenne des produits chimiques et le Règlement européen n</w:t>
      </w:r>
      <w:r w:rsidR="00311583" w:rsidRPr="00D66335">
        <w:rPr>
          <w:vertAlign w:val="superscript"/>
          <w:lang w:val="fr-FR"/>
        </w:rPr>
        <w:t>o</w:t>
      </w:r>
      <w:r w:rsidR="00311583" w:rsidRPr="00D66335">
        <w:rPr>
          <w:lang w:val="fr-FR"/>
        </w:rPr>
        <w:t xml:space="preserve"> 1272/2008 relatif à la classification, à l</w:t>
      </w:r>
      <w:r>
        <w:rPr>
          <w:lang w:val="fr-FR"/>
        </w:rPr>
        <w:t>’</w:t>
      </w:r>
      <w:r w:rsidR="00311583" w:rsidRPr="00D66335">
        <w:rPr>
          <w:lang w:val="fr-FR"/>
        </w:rPr>
        <w:t>étiquetage et à l</w:t>
      </w:r>
      <w:r>
        <w:rPr>
          <w:lang w:val="fr-FR"/>
        </w:rPr>
        <w:t>’</w:t>
      </w:r>
      <w:r w:rsidR="00311583" w:rsidRPr="00D66335">
        <w:rPr>
          <w:lang w:val="fr-FR"/>
        </w:rPr>
        <w:t>emballage des substances et des mélanges (Règlement CLP), cette matière a</w:t>
      </w:r>
      <w:r w:rsidR="00311583">
        <w:rPr>
          <w:lang w:val="fr-FR"/>
        </w:rPr>
        <w:t>vait</w:t>
      </w:r>
      <w:r w:rsidR="00311583" w:rsidRPr="00D66335">
        <w:rPr>
          <w:lang w:val="fr-FR"/>
        </w:rPr>
        <w:t xml:space="preserve"> également un effet corrosif sur la peau correspondant à la catégorie 1B du Système général harmonisé de classification et d</w:t>
      </w:r>
      <w:r>
        <w:rPr>
          <w:lang w:val="fr-FR"/>
        </w:rPr>
        <w:t>’</w:t>
      </w:r>
      <w:r w:rsidR="00311583" w:rsidRPr="00D66335">
        <w:rPr>
          <w:lang w:val="fr-FR"/>
        </w:rPr>
        <w:t>étiquetage des produits chimiques (SGH).</w:t>
      </w:r>
    </w:p>
    <w:p w14:paraId="5E0E5D5F" w14:textId="46AED9AB" w:rsidR="00635D9E" w:rsidRPr="00635D9E" w:rsidRDefault="00635D9E" w:rsidP="00635D9E">
      <w:pPr>
        <w:pStyle w:val="SingleTxtG"/>
      </w:pPr>
      <w:r>
        <w:t>2</w:t>
      </w:r>
      <w:r w:rsidRPr="00635D9E">
        <w:t>.</w:t>
      </w:r>
      <w:r w:rsidRPr="00635D9E">
        <w:tab/>
      </w:r>
      <w:r w:rsidR="00311583" w:rsidRPr="00D66335">
        <w:rPr>
          <w:lang w:val="fr-FR"/>
        </w:rPr>
        <w:t xml:space="preserve">Les chlorophénols sont actuellement transportés sous les </w:t>
      </w:r>
      <w:r w:rsidR="00311583">
        <w:rPr>
          <w:lang w:val="fr-FR"/>
        </w:rPr>
        <w:t>Nos</w:t>
      </w:r>
      <w:r w:rsidR="00311583" w:rsidRPr="00D66335">
        <w:rPr>
          <w:lang w:val="fr-FR"/>
        </w:rPr>
        <w:t xml:space="preserve"> ONU 2020 ou 2021 CHLOROPHÉNOLS, sous forme solide ou liquide, classe 6.1, groupe d</w:t>
      </w:r>
      <w:r>
        <w:rPr>
          <w:lang w:val="fr-FR"/>
        </w:rPr>
        <w:t>’</w:t>
      </w:r>
      <w:r w:rsidR="00311583" w:rsidRPr="00D66335">
        <w:rPr>
          <w:lang w:val="fr-FR"/>
        </w:rPr>
        <w:t>emballage III.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48"/>
        <w:gridCol w:w="567"/>
        <w:gridCol w:w="659"/>
        <w:gridCol w:w="840"/>
        <w:gridCol w:w="812"/>
        <w:gridCol w:w="382"/>
        <w:gridCol w:w="329"/>
        <w:gridCol w:w="828"/>
        <w:gridCol w:w="827"/>
        <w:gridCol w:w="895"/>
        <w:gridCol w:w="811"/>
      </w:tblGrid>
      <w:tr w:rsidR="008671F3" w:rsidRPr="00210FD8" w14:paraId="18DCCF55" w14:textId="77777777" w:rsidTr="008671F3">
        <w:trPr>
          <w:cantSplit/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0ECB0" w14:textId="0706A2F2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N</w:t>
            </w:r>
            <w:r w:rsidRPr="008671F3">
              <w:rPr>
                <w:i/>
                <w:iCs/>
                <w:color w:val="000000"/>
                <w:sz w:val="14"/>
                <w:szCs w:val="14"/>
                <w:vertAlign w:val="superscript"/>
                <w:lang w:val="fr-FR"/>
              </w:rPr>
              <w:t>o</w:t>
            </w: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 xml:space="preserve"> ONU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4FA59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Nom et description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4FD13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Classe ou division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DAC74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Danger subsi-diaire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D9D02" w14:textId="27242B1E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Groupe d’emballage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D1869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Dispositions spéciales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E6750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Quantités limitées et quantités exceptées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E2DF8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Emballages et GRV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66EFE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 xml:space="preserve">Citernes mobiles et </w:t>
            </w: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br/>
              <w:t>conteneurs pour vrac</w:t>
            </w:r>
          </w:p>
        </w:tc>
      </w:tr>
      <w:tr w:rsidR="008671F3" w:rsidRPr="00D66335" w14:paraId="12BEB698" w14:textId="77777777" w:rsidTr="008671F3">
        <w:trPr>
          <w:cantSplit/>
          <w:trHeight w:val="20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AA72C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C4523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516C0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67EB8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830CF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5587A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03416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sz w:val="14"/>
                <w:szCs w:val="14"/>
                <w:lang w:val="fr-F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FBD3" w14:textId="03C84C15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Instructions d’emballage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B7A3C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Dispositions spéciales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D2C8F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Instructions de transport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33ED8" w14:textId="77777777" w:rsidR="00635D9E" w:rsidRPr="008671F3" w:rsidRDefault="00635D9E" w:rsidP="008671F3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Dispositions spéciales</w:t>
            </w:r>
          </w:p>
        </w:tc>
      </w:tr>
      <w:tr w:rsidR="008671F3" w:rsidRPr="00D66335" w14:paraId="3614EBD6" w14:textId="77777777" w:rsidTr="008671F3">
        <w:trPr>
          <w:cantSplit/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4B12B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D6641" w14:textId="77777777" w:rsidR="00635D9E" w:rsidRPr="00D66335" w:rsidRDefault="00635D9E" w:rsidP="00EB0BBA">
            <w:pPr>
              <w:spacing w:before="40" w:after="40" w:line="22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CHLOROPHÉNOLS SOLIDES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8CF30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6.1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13CC8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57E0D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197CE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205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9A6EF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5 kg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75E449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E1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3869B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P002</w:t>
            </w:r>
            <w:r w:rsidRPr="00D66335">
              <w:rPr>
                <w:sz w:val="16"/>
                <w:szCs w:val="16"/>
                <w:lang w:val="fr-FR"/>
              </w:rPr>
              <w:br/>
              <w:t>IBC08</w:t>
            </w:r>
            <w:r w:rsidRPr="00D66335">
              <w:rPr>
                <w:sz w:val="16"/>
                <w:szCs w:val="16"/>
                <w:lang w:val="fr-FR"/>
              </w:rPr>
              <w:br/>
              <w:t>LP02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CA17" w14:textId="7971E097" w:rsidR="00635D9E" w:rsidRPr="00D66335" w:rsidRDefault="00635D9E" w:rsidP="008671F3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B3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8AFC5" w14:textId="77777777" w:rsidR="00635D9E" w:rsidRPr="00D66335" w:rsidRDefault="00635D9E" w:rsidP="008671F3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BE31E" w14:textId="77777777" w:rsidR="00635D9E" w:rsidRPr="00D66335" w:rsidRDefault="00635D9E" w:rsidP="008671F3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TP33</w:t>
            </w:r>
          </w:p>
        </w:tc>
      </w:tr>
      <w:tr w:rsidR="008671F3" w:rsidRPr="00D66335" w14:paraId="50963CBF" w14:textId="77777777" w:rsidTr="008671F3">
        <w:trPr>
          <w:cantSplit/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846FC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2021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80E02" w14:textId="77777777" w:rsidR="00635D9E" w:rsidRPr="00D66335" w:rsidRDefault="00635D9E" w:rsidP="00EB0BBA">
            <w:pPr>
              <w:spacing w:before="40" w:after="40" w:line="22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CHLOROPHÉNOLS LIQUIDES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E421C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6.1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B0EC6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2C3A2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7E183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33941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5 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85B36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E1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01655" w14:textId="77777777" w:rsidR="00635D9E" w:rsidRPr="00D66335" w:rsidRDefault="00635D9E" w:rsidP="00635D9E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P001</w:t>
            </w:r>
            <w:r w:rsidRPr="00D66335">
              <w:rPr>
                <w:sz w:val="16"/>
                <w:szCs w:val="16"/>
                <w:lang w:val="fr-FR"/>
              </w:rPr>
              <w:br/>
              <w:t>IBC03</w:t>
            </w:r>
            <w:r w:rsidRPr="00D66335">
              <w:rPr>
                <w:sz w:val="16"/>
                <w:szCs w:val="16"/>
                <w:lang w:val="fr-FR"/>
              </w:rPr>
              <w:br/>
              <w:t>LP01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5B46A" w14:textId="20C202B5" w:rsidR="00635D9E" w:rsidRPr="00D66335" w:rsidRDefault="00635D9E" w:rsidP="008671F3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711F5" w14:textId="77777777" w:rsidR="00635D9E" w:rsidRPr="00D66335" w:rsidRDefault="00635D9E" w:rsidP="008671F3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8E0D5" w14:textId="77777777" w:rsidR="00635D9E" w:rsidRPr="00D66335" w:rsidRDefault="00635D9E" w:rsidP="008671F3">
            <w:pPr>
              <w:spacing w:before="40" w:after="40" w:line="220" w:lineRule="atLeast"/>
              <w:ind w:right="57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TP1</w:t>
            </w:r>
          </w:p>
        </w:tc>
      </w:tr>
    </w:tbl>
    <w:p w14:paraId="7B76B37B" w14:textId="4F646999" w:rsidR="00635D9E" w:rsidRPr="00D66335" w:rsidRDefault="00635D9E" w:rsidP="00635D9E">
      <w:pPr>
        <w:pStyle w:val="SingleTxtG"/>
        <w:spacing w:before="240"/>
        <w:rPr>
          <w:lang w:val="fr-FR"/>
        </w:rPr>
      </w:pPr>
      <w:r>
        <w:rPr>
          <w:lang w:val="fr-FR"/>
        </w:rPr>
        <w:t>3</w:t>
      </w:r>
      <w:r w:rsidRPr="00D66335">
        <w:rPr>
          <w:lang w:val="fr-FR"/>
        </w:rPr>
        <w:t>.</w:t>
      </w:r>
      <w:r w:rsidRPr="00D66335">
        <w:rPr>
          <w:lang w:val="fr-FR"/>
        </w:rPr>
        <w:tab/>
        <w:t>Le 2,4-dichlorophénol (n</w:t>
      </w:r>
      <w:r w:rsidRPr="00D66335">
        <w:rPr>
          <w:vertAlign w:val="superscript"/>
          <w:lang w:val="fr-FR"/>
        </w:rPr>
        <w:t>o</w:t>
      </w:r>
      <w:r w:rsidRPr="00D66335">
        <w:rPr>
          <w:lang w:val="fr-FR"/>
        </w:rPr>
        <w:t xml:space="preserve"> CAS 120-83-2) et d</w:t>
      </w:r>
      <w:r>
        <w:rPr>
          <w:lang w:val="fr-FR"/>
        </w:rPr>
        <w:t>’</w:t>
      </w:r>
      <w:r w:rsidRPr="00D66335">
        <w:rPr>
          <w:lang w:val="fr-FR"/>
        </w:rPr>
        <w:t>autres chlorophénols (p</w:t>
      </w:r>
      <w:r w:rsidR="008671F3">
        <w:rPr>
          <w:lang w:val="fr-FR"/>
        </w:rPr>
        <w:t>ar</w:t>
      </w:r>
      <w:r w:rsidRPr="00D66335">
        <w:rPr>
          <w:lang w:val="fr-FR"/>
        </w:rPr>
        <w:t xml:space="preserve"> ex</w:t>
      </w:r>
      <w:r w:rsidR="008671F3">
        <w:rPr>
          <w:lang w:val="fr-FR"/>
        </w:rPr>
        <w:t>emple</w:t>
      </w:r>
      <w:r w:rsidRPr="00D66335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D66335">
        <w:rPr>
          <w:lang w:val="fr-FR"/>
        </w:rPr>
        <w:t>2,4-, 2,6-, 3,4- et 3,5-dichlorophénol</w:t>
      </w:r>
      <w:r>
        <w:rPr>
          <w:lang w:val="fr-FR"/>
        </w:rPr>
        <w:t>s</w:t>
      </w:r>
      <w:r w:rsidRPr="00D66335">
        <w:rPr>
          <w:lang w:val="fr-FR"/>
        </w:rPr>
        <w:t xml:space="preserve">) sont classés comme </w:t>
      </w:r>
      <w:r>
        <w:rPr>
          <w:lang w:val="fr-FR"/>
        </w:rPr>
        <w:t xml:space="preserve">matières </w:t>
      </w:r>
      <w:r w:rsidRPr="00D66335">
        <w:rPr>
          <w:lang w:val="fr-FR"/>
        </w:rPr>
        <w:t>à la fois corrosi</w:t>
      </w:r>
      <w:r>
        <w:rPr>
          <w:lang w:val="fr-FR"/>
        </w:rPr>
        <w:t>ve</w:t>
      </w:r>
      <w:r w:rsidRPr="00D66335">
        <w:rPr>
          <w:lang w:val="fr-FR"/>
        </w:rPr>
        <w:t xml:space="preserve">s (Corrosion cutanée, Cat. 1B) et toxiques (Toxicité aiguë, Cat. 3, cutanée) selon les critères du SGH. Les </w:t>
      </w:r>
      <w:r w:rsidRPr="00210FD8">
        <w:rPr>
          <w:lang w:val="fr-FR"/>
        </w:rPr>
        <w:t>propriétés toxicologiques</w:t>
      </w:r>
      <w:r w:rsidRPr="00D66335">
        <w:rPr>
          <w:lang w:val="fr-FR"/>
        </w:rPr>
        <w:t xml:space="preserve"> de ces chlorophénols les rangent dans la classe 8, danger subsidiaire 6.1, selon le Règlement type. </w:t>
      </w:r>
    </w:p>
    <w:p w14:paraId="13D071FE" w14:textId="5A33FD8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lastRenderedPageBreak/>
        <w:t>4.</w:t>
      </w:r>
      <w:r w:rsidRPr="00D66335">
        <w:rPr>
          <w:lang w:val="fr-FR"/>
        </w:rPr>
        <w:tab/>
        <w:t>Actuellement, le 2,4-dichlorophénol et d</w:t>
      </w:r>
      <w:r>
        <w:rPr>
          <w:lang w:val="fr-FR"/>
        </w:rPr>
        <w:t>’</w:t>
      </w:r>
      <w:r w:rsidRPr="00D66335">
        <w:rPr>
          <w:lang w:val="fr-FR"/>
        </w:rPr>
        <w:t xml:space="preserve">autres chlorophénols ayant des propriétés corrosives doivent être transportés sous les </w:t>
      </w:r>
      <w:r>
        <w:rPr>
          <w:lang w:val="fr-FR"/>
        </w:rPr>
        <w:t>Nos</w:t>
      </w:r>
      <w:r w:rsidRPr="00D66335">
        <w:rPr>
          <w:lang w:val="fr-FR"/>
        </w:rPr>
        <w:t xml:space="preserve"> ONU 2020 ou 2021.</w:t>
      </w:r>
    </w:p>
    <w:p w14:paraId="3EB1DDF0" w14:textId="17911F6C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</w:t>
      </w:r>
      <w:r w:rsidRPr="00D66335">
        <w:rPr>
          <w:lang w:val="fr-FR"/>
        </w:rPr>
        <w:tab/>
        <w:t xml:space="preserve">Les </w:t>
      </w:r>
      <w:r>
        <w:rPr>
          <w:lang w:val="fr-FR"/>
        </w:rPr>
        <w:t>Nos</w:t>
      </w:r>
      <w:r w:rsidRPr="00D66335">
        <w:rPr>
          <w:lang w:val="fr-FR"/>
        </w:rPr>
        <w:t xml:space="preserve"> ONU 2020 et 2021 ne correspondent pas aux propriétés corrosives et au groupe d</w:t>
      </w:r>
      <w:r>
        <w:rPr>
          <w:lang w:val="fr-FR"/>
        </w:rPr>
        <w:t>’</w:t>
      </w:r>
      <w:r w:rsidRPr="00D66335">
        <w:rPr>
          <w:lang w:val="fr-FR"/>
        </w:rPr>
        <w:t xml:space="preserve">emballage requis du 2,4-dichlorophénol et des autres chlorophénols ayant des propriétés corrosives. En outre, les </w:t>
      </w:r>
      <w:r w:rsidRPr="00210FD8">
        <w:rPr>
          <w:lang w:val="fr-FR"/>
        </w:rPr>
        <w:t>prescriptions</w:t>
      </w:r>
      <w:r w:rsidRPr="00D66335">
        <w:rPr>
          <w:i/>
          <w:iCs/>
          <w:lang w:val="fr-FR"/>
        </w:rPr>
        <w:t xml:space="preserve"> </w:t>
      </w:r>
      <w:r w:rsidRPr="00D66335">
        <w:rPr>
          <w:lang w:val="fr-FR"/>
        </w:rPr>
        <w:t>spécifiques</w:t>
      </w:r>
      <w:r w:rsidRPr="00D66335">
        <w:rPr>
          <w:i/>
          <w:iCs/>
          <w:lang w:val="fr-FR"/>
        </w:rPr>
        <w:t xml:space="preserve"> </w:t>
      </w:r>
      <w:r w:rsidRPr="00D66335">
        <w:rPr>
          <w:lang w:val="fr-FR"/>
        </w:rPr>
        <w:t xml:space="preserve">relatives au </w:t>
      </w:r>
      <w:r w:rsidRPr="00210FD8">
        <w:rPr>
          <w:lang w:val="fr-FR"/>
        </w:rPr>
        <w:t>transport</w:t>
      </w:r>
      <w:r w:rsidRPr="00D66335">
        <w:rPr>
          <w:lang w:val="fr-FR"/>
        </w:rPr>
        <w:t xml:space="preserve"> de cette matière diffèrent de celles qui sont prévues pour les</w:t>
      </w:r>
      <w:r>
        <w:rPr>
          <w:lang w:val="fr-FR"/>
        </w:rPr>
        <w:t>dits</w:t>
      </w:r>
      <w:r w:rsidRPr="00D66335">
        <w:rPr>
          <w:lang w:val="fr-FR"/>
        </w:rPr>
        <w:t xml:space="preserve"> numéros.</w:t>
      </w:r>
    </w:p>
    <w:p w14:paraId="489C10A9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</w:t>
      </w:r>
      <w:r w:rsidRPr="00D66335">
        <w:rPr>
          <w:lang w:val="fr-FR"/>
        </w:rPr>
        <w:tab/>
        <w:t>Dans le cadre du classement et du transport des chlorophénols en tant que marchandises dangereuses, les propriétés corrosives et les prescriptions en matière de transport doivent être examinées</w:t>
      </w:r>
      <w:r w:rsidRPr="00D66335">
        <w:rPr>
          <w:b/>
          <w:bCs/>
          <w:lang w:val="fr-FR"/>
        </w:rPr>
        <w:t xml:space="preserve"> </w:t>
      </w:r>
      <w:r w:rsidRPr="00D66335">
        <w:rPr>
          <w:lang w:val="fr-FR"/>
        </w:rPr>
        <w:t>en prenant en considération les informations toxicologiques actuelles concernant les différents chlorophénols.</w:t>
      </w:r>
    </w:p>
    <w:p w14:paraId="26380062" w14:textId="77777777" w:rsidR="00635D9E" w:rsidRPr="00D66335" w:rsidRDefault="00635D9E" w:rsidP="008671F3">
      <w:pPr>
        <w:pStyle w:val="HCh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>Proposition</w:t>
      </w:r>
    </w:p>
    <w:p w14:paraId="4D737309" w14:textId="3607F56E" w:rsidR="00635D9E" w:rsidRDefault="00635D9E" w:rsidP="00635D9E">
      <w:pPr>
        <w:pStyle w:val="SingleTxtG"/>
        <w:spacing w:after="240"/>
        <w:rPr>
          <w:lang w:val="fr-FR"/>
        </w:rPr>
      </w:pPr>
      <w:r w:rsidRPr="00D66335">
        <w:rPr>
          <w:lang w:val="fr-FR"/>
        </w:rPr>
        <w:t>7.</w:t>
      </w:r>
      <w:r w:rsidRPr="00D66335">
        <w:rPr>
          <w:lang w:val="fr-FR"/>
        </w:rPr>
        <w:tab/>
        <w:t>Modifier le 3.2, Liste des marchandises dangereuses, et l</w:t>
      </w:r>
      <w:r>
        <w:rPr>
          <w:lang w:val="fr-FR"/>
        </w:rPr>
        <w:t>’</w:t>
      </w:r>
      <w:r w:rsidRPr="00D66335">
        <w:rPr>
          <w:lang w:val="fr-FR"/>
        </w:rPr>
        <w:t>index alphabétique du Règlement type en ajoutant quatre nouvelles rubriques ONU, comme suit</w:t>
      </w:r>
      <w:r w:rsidR="008671F3">
        <w:rPr>
          <w:lang w:val="fr-FR"/>
        </w:rPr>
        <w:t> </w:t>
      </w:r>
      <w:r w:rsidRPr="00D66335">
        <w:rPr>
          <w:lang w:val="fr-FR"/>
        </w:rPr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058"/>
        <w:gridCol w:w="560"/>
        <w:gridCol w:w="658"/>
        <w:gridCol w:w="840"/>
        <w:gridCol w:w="812"/>
        <w:gridCol w:w="382"/>
        <w:gridCol w:w="329"/>
        <w:gridCol w:w="826"/>
        <w:gridCol w:w="810"/>
        <w:gridCol w:w="905"/>
        <w:gridCol w:w="820"/>
      </w:tblGrid>
      <w:tr w:rsidR="008671F3" w:rsidRPr="00210FD8" w14:paraId="6C34AFC1" w14:textId="77777777" w:rsidTr="00EB0BBA">
        <w:trPr>
          <w:cantSplit/>
          <w:trHeight w:val="20"/>
          <w:tblHeader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10C64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N° ONU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53649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Nom et description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0862E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Classe ou division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86FA0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Danger subsi-diaire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F0997" w14:textId="7B2770E4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Groupe d’emballage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FD619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Dispositions spéciales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55AD2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Quantités limitées et quantités exceptées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E6AF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Emballages et GRV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38A7D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 xml:space="preserve">Citernes mobiles et </w:t>
            </w: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br/>
              <w:t>conteneurs pour vrac</w:t>
            </w:r>
          </w:p>
        </w:tc>
      </w:tr>
      <w:tr w:rsidR="008671F3" w:rsidRPr="00D66335" w14:paraId="23FF30B6" w14:textId="77777777" w:rsidTr="00EB0BBA">
        <w:trPr>
          <w:cantSplit/>
          <w:trHeight w:val="20"/>
          <w:tblHeader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70DB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15136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53B50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15CD4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31904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38CCA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CEF29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FC033" w14:textId="57D57AB5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Instructions d’emballage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D493A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Dispositions spéciales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F3B12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Instructions de transport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9E4E7" w14:textId="77777777" w:rsidR="00635D9E" w:rsidRPr="008671F3" w:rsidRDefault="00635D9E" w:rsidP="00EB0BBA">
            <w:pPr>
              <w:spacing w:before="80" w:after="80" w:line="180" w:lineRule="exact"/>
              <w:ind w:right="57"/>
              <w:jc w:val="center"/>
              <w:rPr>
                <w:i/>
                <w:iCs/>
                <w:color w:val="000000"/>
                <w:sz w:val="14"/>
                <w:szCs w:val="14"/>
                <w:lang w:val="fr-FR"/>
              </w:rPr>
            </w:pPr>
            <w:r w:rsidRPr="008671F3">
              <w:rPr>
                <w:i/>
                <w:iCs/>
                <w:color w:val="000000"/>
                <w:sz w:val="14"/>
                <w:szCs w:val="14"/>
                <w:lang w:val="fr-FR"/>
              </w:rPr>
              <w:t>Dispositions spéciales</w:t>
            </w:r>
          </w:p>
        </w:tc>
      </w:tr>
      <w:tr w:rsidR="008671F3" w:rsidRPr="00D66335" w14:paraId="2E6941AB" w14:textId="77777777" w:rsidTr="00EB0BBA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22D30" w14:textId="77777777" w:rsidR="00635D9E" w:rsidRPr="00D66335" w:rsidRDefault="00635D9E" w:rsidP="00EB0BBA">
            <w:pPr>
              <w:spacing w:before="40" w:after="40" w:line="220" w:lineRule="atLeast"/>
              <w:ind w:left="57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XXXX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C81DF" w14:textId="77777777" w:rsidR="00635D9E" w:rsidRPr="00D66335" w:rsidRDefault="00635D9E" w:rsidP="00EB0BBA">
            <w:pPr>
              <w:spacing w:before="40" w:after="40" w:line="22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CHLOROPHÉNOLS LIQUIDES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F3661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61683" w14:textId="30527282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rFonts w:eastAsia="Times New Roman"/>
                <w:sz w:val="16"/>
                <w:szCs w:val="16"/>
                <w:lang w:val="fr-FR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A48F4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D764E" w14:textId="65FF9FF8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0867D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1 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413AB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3720C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P001</w:t>
            </w:r>
            <w:r w:rsidRPr="00D66335">
              <w:rPr>
                <w:sz w:val="16"/>
                <w:szCs w:val="16"/>
                <w:lang w:val="fr-FR"/>
              </w:rPr>
              <w:br/>
              <w:t>IBC02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AF18E" w14:textId="1AA8D685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19B18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7BEA2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TP1</w:t>
            </w:r>
          </w:p>
        </w:tc>
      </w:tr>
      <w:tr w:rsidR="008671F3" w:rsidRPr="00D66335" w14:paraId="349FB9B2" w14:textId="77777777" w:rsidTr="00EB0BBA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B635B" w14:textId="77777777" w:rsidR="00635D9E" w:rsidRPr="00D66335" w:rsidRDefault="00635D9E" w:rsidP="00EB0BBA">
            <w:pPr>
              <w:spacing w:before="40" w:after="40" w:line="220" w:lineRule="atLeast"/>
              <w:ind w:left="57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XXXX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F77F2" w14:textId="77777777" w:rsidR="00635D9E" w:rsidRPr="00D66335" w:rsidRDefault="00635D9E" w:rsidP="00EB0BBA">
            <w:pPr>
              <w:spacing w:before="40" w:after="40" w:line="22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CHLOROPHÉNOLS LIQUIDES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9493E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BB08F" w14:textId="5A3A7598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rFonts w:eastAsia="Times New Roman"/>
                <w:sz w:val="16"/>
                <w:szCs w:val="16"/>
                <w:lang w:val="fr-FR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11A1E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3C544" w14:textId="0FBE3ACA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AFC6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5 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B123F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E1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7FA7E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P001</w:t>
            </w:r>
            <w:r w:rsidRPr="00D66335">
              <w:rPr>
                <w:sz w:val="16"/>
                <w:szCs w:val="16"/>
                <w:lang w:val="fr-FR"/>
              </w:rPr>
              <w:br/>
              <w:t>IBC03</w:t>
            </w:r>
            <w:r w:rsidRPr="00D66335">
              <w:rPr>
                <w:sz w:val="16"/>
                <w:szCs w:val="16"/>
                <w:lang w:val="fr-FR"/>
              </w:rPr>
              <w:br/>
              <w:t>LP01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1740F" w14:textId="0FE20072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E5DD0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1A7D1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TP1</w:t>
            </w:r>
          </w:p>
        </w:tc>
      </w:tr>
      <w:tr w:rsidR="008671F3" w:rsidRPr="00D66335" w14:paraId="2EE7EF61" w14:textId="77777777" w:rsidTr="00EB0BBA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3A10D" w14:textId="77777777" w:rsidR="00635D9E" w:rsidRPr="00D66335" w:rsidRDefault="00635D9E" w:rsidP="00EB0BBA">
            <w:pPr>
              <w:spacing w:before="40" w:after="40" w:line="220" w:lineRule="atLeast"/>
              <w:ind w:left="57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XXXY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66EB1" w14:textId="77777777" w:rsidR="00635D9E" w:rsidRPr="00D66335" w:rsidRDefault="00635D9E" w:rsidP="00EB0BBA">
            <w:pPr>
              <w:spacing w:before="40" w:after="40" w:line="22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CHLOROPHÉNOLS SOLIDES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13B03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1E392" w14:textId="6C37DD91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rFonts w:eastAsia="Times New Roman"/>
                <w:sz w:val="16"/>
                <w:szCs w:val="16"/>
                <w:lang w:val="fr-FR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406B8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2A0E7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39282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1 kg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8834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F9D9" w14:textId="33CF942A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P002</w:t>
            </w:r>
            <w:r w:rsidRPr="00D66335">
              <w:rPr>
                <w:sz w:val="16"/>
                <w:szCs w:val="16"/>
                <w:lang w:val="fr-FR"/>
              </w:rPr>
              <w:br/>
              <w:t>IBC08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6D432" w14:textId="36F7C5DD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B2, B4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75E41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</w:t>
            </w:r>
            <w:r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7A028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TP33</w:t>
            </w:r>
          </w:p>
        </w:tc>
      </w:tr>
      <w:tr w:rsidR="008671F3" w:rsidRPr="00D66335" w14:paraId="14C2C43E" w14:textId="77777777" w:rsidTr="00EB0BBA">
        <w:trPr>
          <w:cantSplit/>
          <w:trHeight w:val="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AF474" w14:textId="77777777" w:rsidR="00635D9E" w:rsidRPr="00D66335" w:rsidRDefault="00635D9E" w:rsidP="00EB0BBA">
            <w:pPr>
              <w:spacing w:before="40" w:after="40" w:line="220" w:lineRule="atLeast"/>
              <w:ind w:left="57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XXXY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0B19A" w14:textId="77777777" w:rsidR="00635D9E" w:rsidRPr="00D66335" w:rsidRDefault="00635D9E" w:rsidP="00EB0BBA">
            <w:pPr>
              <w:spacing w:before="40" w:after="40" w:line="220" w:lineRule="atLeast"/>
              <w:ind w:left="57" w:right="57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CHLOROPHÉNOLS SOLIDES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A21E8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3ADA2" w14:textId="363C00CF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rFonts w:eastAsia="Times New Roman"/>
                <w:sz w:val="16"/>
                <w:szCs w:val="16"/>
                <w:lang w:val="fr-FR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8C5FD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06635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DDD4A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5 kg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3826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E1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9E298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P002</w:t>
            </w:r>
            <w:r w:rsidRPr="00D66335">
              <w:rPr>
                <w:sz w:val="16"/>
                <w:szCs w:val="16"/>
                <w:lang w:val="fr-FR"/>
              </w:rPr>
              <w:br/>
              <w:t>IBC08</w:t>
            </w:r>
            <w:r w:rsidRPr="00D66335">
              <w:rPr>
                <w:sz w:val="16"/>
                <w:szCs w:val="16"/>
                <w:lang w:val="fr-FR"/>
              </w:rPr>
              <w:br/>
              <w:t>LP02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6C46D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br/>
              <w:t>B3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A4FF5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A32FC" w14:textId="77777777" w:rsidR="00635D9E" w:rsidRPr="00D66335" w:rsidRDefault="00635D9E" w:rsidP="00EB0BBA">
            <w:pPr>
              <w:spacing w:before="40" w:after="40" w:line="220" w:lineRule="atLeast"/>
              <w:jc w:val="center"/>
              <w:rPr>
                <w:sz w:val="16"/>
                <w:szCs w:val="16"/>
                <w:lang w:val="fr-FR"/>
              </w:rPr>
            </w:pPr>
            <w:r w:rsidRPr="00D66335">
              <w:rPr>
                <w:sz w:val="16"/>
                <w:szCs w:val="16"/>
                <w:lang w:val="fr-FR"/>
              </w:rPr>
              <w:t>TP33</w:t>
            </w:r>
          </w:p>
        </w:tc>
      </w:tr>
    </w:tbl>
    <w:p w14:paraId="1F0DA06F" w14:textId="77777777" w:rsidR="00EB0BBA" w:rsidRDefault="00EB0BBA" w:rsidP="00635D9E">
      <w:pPr>
        <w:pStyle w:val="HChG"/>
        <w:rPr>
          <w:bCs/>
          <w:lang w:val="fr-FR"/>
        </w:rPr>
      </w:pPr>
    </w:p>
    <w:p w14:paraId="22C7EE2D" w14:textId="77777777" w:rsidR="00EB0BBA" w:rsidRDefault="00EB0BB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  <w:lang w:val="fr-FR"/>
        </w:rPr>
      </w:pPr>
      <w:r>
        <w:rPr>
          <w:bCs/>
          <w:lang w:val="fr-FR"/>
        </w:rPr>
        <w:br w:type="page"/>
      </w:r>
    </w:p>
    <w:p w14:paraId="59D45004" w14:textId="68D08695" w:rsidR="00635D9E" w:rsidRPr="00D66335" w:rsidRDefault="00635D9E" w:rsidP="00EB0BBA">
      <w:pPr>
        <w:pStyle w:val="HChG"/>
        <w:rPr>
          <w:lang w:val="fr-FR"/>
        </w:rPr>
      </w:pPr>
      <w:r w:rsidRPr="00D66335">
        <w:rPr>
          <w:lang w:val="fr-FR"/>
        </w:rPr>
        <w:lastRenderedPageBreak/>
        <w:t>Annexe</w:t>
      </w:r>
    </w:p>
    <w:p w14:paraId="410E9606" w14:textId="52E88509" w:rsidR="00635D9E" w:rsidRPr="00D66335" w:rsidRDefault="00635D9E" w:rsidP="00EB0BBA">
      <w:pPr>
        <w:pStyle w:val="HCh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>Formule de renseignements à communiquer à l</w:t>
      </w:r>
      <w:r>
        <w:rPr>
          <w:lang w:val="fr-FR"/>
        </w:rPr>
        <w:t>’</w:t>
      </w:r>
      <w:r w:rsidRPr="00D66335">
        <w:rPr>
          <w:lang w:val="fr-FR"/>
        </w:rPr>
        <w:t>ONU en vue du classement ou du reclassement d</w:t>
      </w:r>
      <w:r>
        <w:rPr>
          <w:lang w:val="fr-FR"/>
        </w:rPr>
        <w:t>’</w:t>
      </w:r>
      <w:r w:rsidRPr="00D66335">
        <w:rPr>
          <w:lang w:val="fr-FR"/>
        </w:rPr>
        <w:t xml:space="preserve">une matière </w:t>
      </w:r>
    </w:p>
    <w:p w14:paraId="679E4596" w14:textId="45ED2588" w:rsidR="00635D9E" w:rsidRPr="00D66335" w:rsidRDefault="00635D9E" w:rsidP="00EB0BBA">
      <w:pPr>
        <w:pStyle w:val="SingleTxtG"/>
        <w:tabs>
          <w:tab w:val="left" w:pos="7125"/>
        </w:tabs>
        <w:rPr>
          <w:lang w:val="fr-FR"/>
        </w:rPr>
      </w:pPr>
      <w:r>
        <w:rPr>
          <w:lang w:val="fr-FR"/>
        </w:rPr>
        <w:t>Soumise par</w:t>
      </w:r>
      <w:r w:rsidRPr="00D66335">
        <w:rPr>
          <w:lang w:val="fr-FR"/>
        </w:rPr>
        <w:t xml:space="preserve"> l</w:t>
      </w:r>
      <w:r>
        <w:rPr>
          <w:lang w:val="fr-FR"/>
        </w:rPr>
        <w:t>’</w:t>
      </w:r>
      <w:r w:rsidR="00EB0BBA">
        <w:rPr>
          <w:lang w:val="fr-FR"/>
        </w:rPr>
        <w:t>Allemagne</w:t>
      </w:r>
      <w:r w:rsidR="00EB0BBA">
        <w:rPr>
          <w:lang w:val="fr-FR"/>
        </w:rPr>
        <w:tab/>
      </w:r>
      <w:r w:rsidRPr="00D66335">
        <w:rPr>
          <w:lang w:val="fr-FR"/>
        </w:rPr>
        <w:t>Date 01.09.2020</w:t>
      </w:r>
    </w:p>
    <w:p w14:paraId="3DE06A6D" w14:textId="26CF5EB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Fournir tous les renseignements pertinents, y compris les sources des principales données relatives au classement. Les données doivent se rapporter au produit tel qu</w:t>
      </w:r>
      <w:r>
        <w:rPr>
          <w:lang w:val="fr-FR"/>
        </w:rPr>
        <w:t>’</w:t>
      </w:r>
      <w:r w:rsidRPr="00D66335">
        <w:rPr>
          <w:lang w:val="fr-FR"/>
        </w:rPr>
        <w:t>il est présenté au transport. Indiquer les méthodes d</w:t>
      </w:r>
      <w:r>
        <w:rPr>
          <w:lang w:val="fr-FR"/>
        </w:rPr>
        <w:t>’</w:t>
      </w:r>
      <w:r w:rsidRPr="00D66335">
        <w:rPr>
          <w:lang w:val="fr-FR"/>
        </w:rPr>
        <w:t xml:space="preserve">essai. Répondre à toutes les questions </w:t>
      </w:r>
      <w:r w:rsidR="00EB0BBA">
        <w:rPr>
          <w:lang w:val="fr-FR"/>
        </w:rPr>
        <w:t>−</w:t>
      </w:r>
      <w:r w:rsidRPr="00D66335">
        <w:rPr>
          <w:lang w:val="fr-FR"/>
        </w:rPr>
        <w:t xml:space="preserve"> le cas échéant, répondre «</w:t>
      </w:r>
      <w:r w:rsidR="00EB0BBA">
        <w:rPr>
          <w:lang w:val="fr-FR"/>
        </w:rPr>
        <w:t> </w:t>
      </w:r>
      <w:r w:rsidRPr="00D66335">
        <w:rPr>
          <w:lang w:val="fr-FR"/>
        </w:rPr>
        <w:t>non connu</w:t>
      </w:r>
      <w:r w:rsidR="00EB0BBA">
        <w:rPr>
          <w:lang w:val="fr-FR"/>
        </w:rPr>
        <w:t> </w:t>
      </w:r>
      <w:r w:rsidRPr="00D66335">
        <w:rPr>
          <w:lang w:val="fr-FR"/>
        </w:rPr>
        <w:t>» ou «</w:t>
      </w:r>
      <w:r w:rsidR="00EB0BBA">
        <w:rPr>
          <w:lang w:val="fr-FR"/>
        </w:rPr>
        <w:t> </w:t>
      </w:r>
      <w:r w:rsidRPr="00D66335">
        <w:rPr>
          <w:lang w:val="fr-FR"/>
        </w:rPr>
        <w:t>sans objet</w:t>
      </w:r>
      <w:r w:rsidR="00EB0BBA">
        <w:rPr>
          <w:lang w:val="fr-FR"/>
        </w:rPr>
        <w:t> </w:t>
      </w:r>
      <w:r w:rsidRPr="00D66335">
        <w:rPr>
          <w:lang w:val="fr-FR"/>
        </w:rPr>
        <w:t xml:space="preserve">». Si les renseignements ne sont pas disponibles sous la forme requise, fournir toute autre information dont on dispose, avec les commentaires nécessaires. Biffer les mentions inutiles. </w:t>
      </w:r>
    </w:p>
    <w:p w14:paraId="655FB6C1" w14:textId="77777777" w:rsidR="00635D9E" w:rsidRPr="00D66335" w:rsidRDefault="00635D9E" w:rsidP="00EB0BBA">
      <w:pPr>
        <w:pStyle w:val="H1G"/>
        <w:rPr>
          <w:lang w:val="fr-FR"/>
        </w:rPr>
      </w:pPr>
      <w:r w:rsidRPr="00D66335">
        <w:rPr>
          <w:rFonts w:ascii="Calibri" w:hAnsi="Calibri"/>
          <w:noProof/>
          <w:lang w:val="fr-FR" w:eastAsia="de-DE"/>
        </w:rPr>
        <w:drawing>
          <wp:anchor distT="0" distB="0" distL="114300" distR="114300" simplePos="0" relativeHeight="251659264" behindDoc="1" locked="0" layoutInCell="1" allowOverlap="1" wp14:anchorId="3E3106D4" wp14:editId="79DFD9D0">
            <wp:simplePos x="0" y="0"/>
            <wp:positionH relativeFrom="margin">
              <wp:posOffset>3289603</wp:posOffset>
            </wp:positionH>
            <wp:positionV relativeFrom="paragraph">
              <wp:posOffset>451021</wp:posOffset>
            </wp:positionV>
            <wp:extent cx="537845" cy="568960"/>
            <wp:effectExtent l="0" t="0" r="0" b="254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35">
        <w:rPr>
          <w:lang w:val="fr-FR"/>
        </w:rPr>
        <w:tab/>
      </w:r>
      <w:r w:rsidRPr="00D66335">
        <w:rPr>
          <w:lang w:val="fr-FR"/>
        </w:rPr>
        <w:tab/>
        <w:t>Section 1. IDENTIFICATION DE LA MATIÈRE</w:t>
      </w:r>
    </w:p>
    <w:p w14:paraId="23F2FE2E" w14:textId="2A585DDE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1.1</w:t>
      </w:r>
      <w:r w:rsidRPr="00D66335">
        <w:rPr>
          <w:lang w:val="fr-FR"/>
        </w:rPr>
        <w:tab/>
        <w:t>Nom chimique</w:t>
      </w:r>
      <w:r w:rsidR="00EB0BBA">
        <w:rPr>
          <w:lang w:val="fr-FR"/>
        </w:rPr>
        <w:t> </w:t>
      </w:r>
      <w:r w:rsidRPr="00D66335">
        <w:rPr>
          <w:lang w:val="fr-FR"/>
        </w:rPr>
        <w:t>: 2,4-</w:t>
      </w:r>
      <w:r>
        <w:rPr>
          <w:lang w:val="fr-FR"/>
        </w:rPr>
        <w:t>d</w:t>
      </w:r>
      <w:r w:rsidRPr="00D66335">
        <w:rPr>
          <w:lang w:val="fr-FR"/>
        </w:rPr>
        <w:t xml:space="preserve">ichlorophénol </w:t>
      </w:r>
    </w:p>
    <w:p w14:paraId="3C0DEC0D" w14:textId="405EEAC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1.2</w:t>
      </w:r>
      <w:r w:rsidRPr="00D66335">
        <w:rPr>
          <w:lang w:val="fr-FR"/>
        </w:rPr>
        <w:tab/>
        <w:t>Formule chimique</w:t>
      </w:r>
      <w:r w:rsidR="00EB0BBA">
        <w:rPr>
          <w:lang w:val="fr-FR"/>
        </w:rPr>
        <w:t> </w:t>
      </w:r>
      <w:r w:rsidRPr="00D66335">
        <w:rPr>
          <w:lang w:val="fr-FR"/>
        </w:rPr>
        <w:t>: C</w:t>
      </w:r>
      <w:r w:rsidRPr="00D66335">
        <w:rPr>
          <w:vertAlign w:val="subscript"/>
          <w:lang w:val="fr-FR"/>
        </w:rPr>
        <w:t>6</w:t>
      </w:r>
      <w:r w:rsidRPr="00D66335">
        <w:rPr>
          <w:lang w:val="fr-FR"/>
        </w:rPr>
        <w:t>H</w:t>
      </w:r>
      <w:r w:rsidRPr="00D66335">
        <w:rPr>
          <w:vertAlign w:val="subscript"/>
          <w:lang w:val="fr-FR"/>
        </w:rPr>
        <w:t>4</w:t>
      </w:r>
      <w:r w:rsidRPr="00D66335">
        <w:rPr>
          <w:lang w:val="fr-FR"/>
        </w:rPr>
        <w:t>Cl</w:t>
      </w:r>
      <w:r w:rsidRPr="00D66335">
        <w:rPr>
          <w:vertAlign w:val="subscript"/>
          <w:lang w:val="fr-FR"/>
        </w:rPr>
        <w:t>2</w:t>
      </w:r>
      <w:r w:rsidRPr="00D66335">
        <w:rPr>
          <w:lang w:val="fr-FR"/>
        </w:rPr>
        <w:t xml:space="preserve">O </w:t>
      </w:r>
    </w:p>
    <w:p w14:paraId="7D25712E" w14:textId="1418C780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1.3</w:t>
      </w:r>
      <w:r w:rsidRPr="00D66335">
        <w:rPr>
          <w:lang w:val="fr-FR"/>
        </w:rPr>
        <w:tab/>
        <w:t>Autres noms/synonymes</w:t>
      </w:r>
      <w:r w:rsidR="00EB0BBA">
        <w:rPr>
          <w:lang w:val="fr-FR"/>
        </w:rPr>
        <w:t> </w:t>
      </w:r>
      <w:r w:rsidRPr="00D66335">
        <w:rPr>
          <w:lang w:val="fr-FR"/>
        </w:rPr>
        <w:t xml:space="preserve">: 2,4-DCP </w:t>
      </w:r>
    </w:p>
    <w:p w14:paraId="2073F656" w14:textId="1D2E120B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1.4.1</w:t>
      </w:r>
      <w:r w:rsidRPr="00D66335">
        <w:rPr>
          <w:lang w:val="fr-FR"/>
        </w:rPr>
        <w:tab/>
        <w:t>Numéro ONU</w:t>
      </w:r>
      <w:r w:rsidR="00EB0BBA">
        <w:rPr>
          <w:lang w:val="fr-FR"/>
        </w:rPr>
        <w:t> </w:t>
      </w:r>
      <w:r w:rsidRPr="00D66335">
        <w:rPr>
          <w:lang w:val="fr-FR"/>
        </w:rPr>
        <w:t xml:space="preserve">: 2020 </w:t>
      </w:r>
    </w:p>
    <w:p w14:paraId="1BBE0834" w14:textId="7000911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1.4.2</w:t>
      </w:r>
      <w:r w:rsidRPr="00D66335">
        <w:rPr>
          <w:lang w:val="fr-FR"/>
        </w:rPr>
        <w:tab/>
        <w:t>Numéro CAS</w:t>
      </w:r>
      <w:r w:rsidR="00EB0BBA">
        <w:rPr>
          <w:lang w:val="fr-FR"/>
        </w:rPr>
        <w:t> </w:t>
      </w:r>
      <w:r w:rsidRPr="00D66335">
        <w:rPr>
          <w:lang w:val="fr-FR"/>
        </w:rPr>
        <w:t xml:space="preserve">: 120-83-2 </w:t>
      </w:r>
    </w:p>
    <w:p w14:paraId="644D66E4" w14:textId="60CA8D39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1.5</w:t>
      </w:r>
      <w:r w:rsidRPr="00D66335">
        <w:rPr>
          <w:lang w:val="fr-FR"/>
        </w:rPr>
        <w:tab/>
        <w:t xml:space="preserve">Classement proposé dans les Recommandations </w:t>
      </w:r>
    </w:p>
    <w:p w14:paraId="087114EB" w14:textId="77777777" w:rsidR="00635D9E" w:rsidRPr="00D66335" w:rsidRDefault="00635D9E" w:rsidP="00635D9E">
      <w:pPr>
        <w:pStyle w:val="SingleTxtG"/>
        <w:ind w:firstLine="567"/>
        <w:rPr>
          <w:lang w:val="fr-FR"/>
        </w:rPr>
      </w:pPr>
      <w:r w:rsidRPr="00D66335">
        <w:rPr>
          <w:lang w:val="fr-FR"/>
        </w:rPr>
        <w:t xml:space="preserve">ONU XXXX CHLOROPHÉNOLS SOLIDES, CLASSE 8 (6.1), GE II et GE III </w:t>
      </w:r>
    </w:p>
    <w:p w14:paraId="753C37E9" w14:textId="77777777" w:rsidR="00635D9E" w:rsidRPr="00D66335" w:rsidRDefault="00635D9E" w:rsidP="00635D9E">
      <w:pPr>
        <w:pStyle w:val="SingleTxtG"/>
        <w:ind w:firstLine="567"/>
        <w:rPr>
          <w:lang w:val="fr-FR"/>
        </w:rPr>
      </w:pPr>
      <w:r w:rsidRPr="00D66335">
        <w:rPr>
          <w:lang w:val="fr-FR"/>
        </w:rPr>
        <w:t xml:space="preserve">ONU XXXY CHLOROPHÉNOLS LIQUIDES, CLASSE 8 (6.1), GE II et GE III </w:t>
      </w:r>
    </w:p>
    <w:p w14:paraId="2239DCDC" w14:textId="66F4CC3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1.5.1</w:t>
      </w:r>
      <w:r w:rsidRPr="00D66335">
        <w:rPr>
          <w:lang w:val="fr-FR"/>
        </w:rPr>
        <w:tab/>
        <w:t>Désignation officielle de transport (cf. 3.1.2</w:t>
      </w:r>
      <w:r w:rsidRPr="00D66335">
        <w:rPr>
          <w:vertAlign w:val="superscript"/>
          <w:lang w:val="fr-FR"/>
        </w:rPr>
        <w:t xml:space="preserve">1 </w:t>
      </w:r>
      <w:r w:rsidRPr="00D66335">
        <w:rPr>
          <w:lang w:val="fr-FR"/>
        </w:rPr>
        <w:t>)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CHLOROPHÉNOLS SOLIDES </w:t>
      </w:r>
    </w:p>
    <w:p w14:paraId="20DA971A" w14:textId="1AE20CE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1.5.2</w:t>
      </w:r>
      <w:r w:rsidRPr="00D66335">
        <w:rPr>
          <w:lang w:val="fr-FR"/>
        </w:rPr>
        <w:tab/>
        <w:t>Classe/division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8 </w:t>
      </w:r>
      <w:r w:rsidRPr="00D66335">
        <w:rPr>
          <w:lang w:val="fr-FR"/>
        </w:rPr>
        <w:tab/>
        <w:t>Danger(s) subsidiaire(s)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  <w:r>
        <w:rPr>
          <w:lang w:val="fr-FR"/>
        </w:rPr>
        <w:t>6.1</w:t>
      </w:r>
      <w:r w:rsidRPr="00D66335">
        <w:rPr>
          <w:lang w:val="fr-FR"/>
        </w:rPr>
        <w:tab/>
        <w:t>Groupe d</w:t>
      </w:r>
      <w:r>
        <w:rPr>
          <w:lang w:val="fr-FR"/>
        </w:rPr>
        <w:t>’</w:t>
      </w:r>
      <w:r w:rsidRPr="00D66335">
        <w:rPr>
          <w:lang w:val="fr-FR"/>
        </w:rPr>
        <w:t>emballage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GE II </w:t>
      </w:r>
    </w:p>
    <w:p w14:paraId="7CE3763E" w14:textId="7A1808C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1.5.3</w:t>
      </w:r>
      <w:r w:rsidRPr="00D66335">
        <w:rPr>
          <w:lang w:val="fr-FR"/>
        </w:rPr>
        <w:tab/>
        <w:t>Dispositions spéciales proposées, le cas échéant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3D3C1266" w14:textId="18201857" w:rsidR="00635D9E" w:rsidRPr="00D66335" w:rsidRDefault="00635D9E" w:rsidP="00EB2975">
      <w:pPr>
        <w:pStyle w:val="Bullet1G"/>
        <w:rPr>
          <w:lang w:val="fr-FR"/>
        </w:rPr>
      </w:pPr>
      <w:r w:rsidRPr="00D66335">
        <w:rPr>
          <w:lang w:val="fr-FR"/>
        </w:rPr>
        <w:t>Quantités limitées et quantités exceptées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1 kg, E2 </w:t>
      </w:r>
    </w:p>
    <w:p w14:paraId="449A9FDB" w14:textId="54AC86E6" w:rsidR="00635D9E" w:rsidRPr="00D66335" w:rsidRDefault="00635D9E" w:rsidP="00635D9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D66335">
        <w:rPr>
          <w:lang w:val="fr-FR"/>
        </w:rPr>
        <w:t>•</w:t>
      </w:r>
      <w:r w:rsidRPr="00D66335">
        <w:rPr>
          <w:lang w:val="fr-FR"/>
        </w:rPr>
        <w:tab/>
        <w:t>Dispositions spéciales d</w:t>
      </w:r>
      <w:r>
        <w:rPr>
          <w:lang w:val="fr-FR"/>
        </w:rPr>
        <w:t>’</w:t>
      </w:r>
      <w:r w:rsidRPr="00D66335">
        <w:rPr>
          <w:lang w:val="fr-FR"/>
        </w:rPr>
        <w:t>emballage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B2, B4 </w:t>
      </w:r>
    </w:p>
    <w:p w14:paraId="7AF3755D" w14:textId="5BE2B6F2" w:rsidR="00635D9E" w:rsidRPr="00D66335" w:rsidRDefault="00635D9E" w:rsidP="00635D9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D66335">
        <w:rPr>
          <w:lang w:val="fr-FR"/>
        </w:rPr>
        <w:t>•</w:t>
      </w:r>
      <w:r w:rsidRPr="00D66335">
        <w:rPr>
          <w:lang w:val="fr-FR"/>
        </w:rPr>
        <w:tab/>
        <w:t>Citernes mobiles et conteneurs pour vrac</w:t>
      </w:r>
      <w:r w:rsidR="00EB2975">
        <w:rPr>
          <w:lang w:val="fr-FR"/>
        </w:rPr>
        <w:t> :</w:t>
      </w:r>
    </w:p>
    <w:p w14:paraId="68EA64B2" w14:textId="19561961" w:rsidR="00635D9E" w:rsidRPr="00D66335" w:rsidRDefault="00635D9E" w:rsidP="00EB2975">
      <w:pPr>
        <w:pStyle w:val="Bullet2G"/>
        <w:rPr>
          <w:lang w:val="fr-FR"/>
        </w:rPr>
      </w:pPr>
      <w:r w:rsidRPr="00D66335">
        <w:rPr>
          <w:lang w:val="fr-FR"/>
        </w:rPr>
        <w:tab/>
        <w:t>Instructions de transport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T3 </w:t>
      </w:r>
    </w:p>
    <w:p w14:paraId="032600DF" w14:textId="1718504B" w:rsidR="00635D9E" w:rsidRPr="00D66335" w:rsidRDefault="00635D9E" w:rsidP="00EB2975">
      <w:pPr>
        <w:pStyle w:val="Bullet2G"/>
        <w:rPr>
          <w:lang w:val="fr-FR"/>
        </w:rPr>
      </w:pPr>
      <w:r w:rsidRPr="00D66335">
        <w:rPr>
          <w:lang w:val="fr-FR"/>
        </w:rPr>
        <w:t>Dispositions spéciales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TP33 </w:t>
      </w:r>
    </w:p>
    <w:p w14:paraId="63FC1652" w14:textId="78A8D852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1.5.4</w:t>
      </w:r>
      <w:r w:rsidRPr="00D66335">
        <w:rPr>
          <w:lang w:val="fr-FR"/>
        </w:rPr>
        <w:tab/>
        <w:t>Méthode d</w:t>
      </w:r>
      <w:r>
        <w:rPr>
          <w:lang w:val="fr-FR"/>
        </w:rPr>
        <w:t>’</w:t>
      </w:r>
      <w:r w:rsidRPr="00D66335">
        <w:rPr>
          <w:lang w:val="fr-FR"/>
        </w:rPr>
        <w:t>emballage proposée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P002, IBC08 </w:t>
      </w:r>
    </w:p>
    <w:p w14:paraId="58F1212E" w14:textId="77777777" w:rsidR="00635D9E" w:rsidRPr="00D66335" w:rsidRDefault="00635D9E" w:rsidP="00EB2975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Section 2. PROPRIÉTÉS PHYSIQUES </w:t>
      </w:r>
    </w:p>
    <w:p w14:paraId="3592C6F1" w14:textId="3CAD0833" w:rsidR="00635D9E" w:rsidRPr="00D66335" w:rsidRDefault="00635D9E" w:rsidP="00635D9E">
      <w:pPr>
        <w:pStyle w:val="SingleTxtG"/>
        <w:rPr>
          <w:rFonts w:asciiTheme="majorBidi" w:hAnsiTheme="majorBidi" w:cstheme="majorBidi"/>
          <w:lang w:val="fr-FR"/>
        </w:rPr>
      </w:pPr>
      <w:r w:rsidRPr="00D66335">
        <w:rPr>
          <w:lang w:val="fr-FR"/>
        </w:rPr>
        <w:t>2.1</w:t>
      </w:r>
      <w:r w:rsidRPr="00D66335">
        <w:rPr>
          <w:lang w:val="fr-FR"/>
        </w:rPr>
        <w:tab/>
        <w:t>Point ou plage de fusion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___ °C </w:t>
      </w:r>
    </w:p>
    <w:p w14:paraId="5AE6CE3C" w14:textId="5520702F" w:rsidR="00635D9E" w:rsidRPr="00D66335" w:rsidRDefault="00635D9E" w:rsidP="00635D9E">
      <w:pPr>
        <w:pStyle w:val="SingleTxtG"/>
        <w:rPr>
          <w:rFonts w:asciiTheme="majorBidi" w:eastAsia="Calibri" w:hAnsiTheme="majorBidi" w:cstheme="majorBidi"/>
          <w:lang w:val="fr-FR"/>
        </w:rPr>
      </w:pPr>
      <w:r w:rsidRPr="00D66335">
        <w:rPr>
          <w:lang w:val="fr-FR"/>
        </w:rPr>
        <w:t>2.2</w:t>
      </w:r>
      <w:r w:rsidRPr="00D66335">
        <w:rPr>
          <w:lang w:val="fr-FR"/>
        </w:rPr>
        <w:tab/>
        <w:t>Point ou plage d</w:t>
      </w:r>
      <w:r>
        <w:rPr>
          <w:lang w:val="fr-FR"/>
        </w:rPr>
        <w:t>’</w:t>
      </w:r>
      <w:r w:rsidRPr="00D66335">
        <w:rPr>
          <w:lang w:val="fr-FR"/>
        </w:rPr>
        <w:t>ébullition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___ °C </w:t>
      </w:r>
    </w:p>
    <w:p w14:paraId="6382C6F6" w14:textId="3DBA4E92" w:rsidR="00635D9E" w:rsidRPr="00D66335" w:rsidRDefault="00635D9E" w:rsidP="00635D9E">
      <w:pPr>
        <w:pStyle w:val="SingleTxtG"/>
        <w:rPr>
          <w:rFonts w:asciiTheme="majorBidi" w:eastAsia="Calibri" w:hAnsiTheme="majorBidi" w:cstheme="majorBidi"/>
          <w:lang w:val="fr-FR"/>
        </w:rPr>
      </w:pPr>
      <w:r w:rsidRPr="00D66335">
        <w:rPr>
          <w:lang w:val="fr-FR"/>
        </w:rPr>
        <w:t>2.3</w:t>
      </w:r>
      <w:r w:rsidRPr="00D66335">
        <w:rPr>
          <w:lang w:val="fr-FR"/>
        </w:rPr>
        <w:tab/>
        <w:t>Densité relative/masse volumique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2B17AC2D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2.3.1</w:t>
      </w:r>
      <w:r w:rsidRPr="00D66335">
        <w:rPr>
          <w:lang w:val="fr-FR"/>
        </w:rPr>
        <w:tab/>
        <w:t>15 °C ___</w:t>
      </w:r>
    </w:p>
    <w:p w14:paraId="463507E6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2.3.2</w:t>
      </w:r>
      <w:r w:rsidRPr="00D66335">
        <w:rPr>
          <w:lang w:val="fr-FR"/>
        </w:rPr>
        <w:tab/>
        <w:t>20 °C ___</w:t>
      </w:r>
    </w:p>
    <w:p w14:paraId="7B7CDC51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2.3.3</w:t>
      </w:r>
      <w:r w:rsidRPr="00D66335">
        <w:rPr>
          <w:lang w:val="fr-FR"/>
        </w:rPr>
        <w:tab/>
        <w:t>50 °C ___</w:t>
      </w:r>
    </w:p>
    <w:p w14:paraId="001D007F" w14:textId="50A1D7CD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2.4</w:t>
      </w:r>
      <w:r w:rsidRPr="00D66335">
        <w:rPr>
          <w:lang w:val="fr-FR"/>
        </w:rPr>
        <w:tab/>
        <w:t>Pression de vapeur à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73A8BF5B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2.4.1</w:t>
      </w:r>
      <w:r w:rsidRPr="00D66335">
        <w:rPr>
          <w:lang w:val="fr-FR"/>
        </w:rPr>
        <w:tab/>
        <w:t xml:space="preserve">50 °C ___ kPa </w:t>
      </w:r>
    </w:p>
    <w:p w14:paraId="2BC2013E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2.4.2</w:t>
      </w:r>
      <w:r w:rsidRPr="00D66335">
        <w:rPr>
          <w:lang w:val="fr-FR"/>
        </w:rPr>
        <w:tab/>
        <w:t xml:space="preserve">65 °C ___ kPa </w:t>
      </w:r>
    </w:p>
    <w:p w14:paraId="4CB68110" w14:textId="6BE0B63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lastRenderedPageBreak/>
        <w:t>2.5</w:t>
      </w:r>
      <w:r w:rsidRPr="00D66335">
        <w:rPr>
          <w:lang w:val="fr-FR"/>
        </w:rPr>
        <w:tab/>
        <w:t>Viscosité à 20 °C</w:t>
      </w:r>
      <w:r w:rsidRPr="00D66335">
        <w:rPr>
          <w:vertAlign w:val="superscript"/>
          <w:lang w:val="fr-FR"/>
        </w:rPr>
        <w:t>2</w:t>
      </w:r>
      <w:r w:rsidRPr="00210FD8">
        <w:rPr>
          <w:lang w:val="fr-FR"/>
        </w:rPr>
        <w:t> :</w:t>
      </w:r>
      <w:r w:rsidRPr="00D66335">
        <w:rPr>
          <w:lang w:val="fr-FR"/>
        </w:rPr>
        <w:t xml:space="preserve"> ___ m</w:t>
      </w:r>
      <w:r w:rsidRPr="00D66335">
        <w:rPr>
          <w:vertAlign w:val="superscript"/>
          <w:lang w:val="fr-FR"/>
        </w:rPr>
        <w:t>2</w:t>
      </w:r>
      <w:r w:rsidRPr="00D66335">
        <w:rPr>
          <w:lang w:val="fr-FR"/>
        </w:rPr>
        <w:t xml:space="preserve">/s </w:t>
      </w:r>
    </w:p>
    <w:p w14:paraId="10821EFA" w14:textId="0A9BE9C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2.6</w:t>
      </w:r>
      <w:r w:rsidRPr="00D66335">
        <w:rPr>
          <w:lang w:val="fr-FR"/>
        </w:rPr>
        <w:tab/>
        <w:t>Solubilité dans l</w:t>
      </w:r>
      <w:r>
        <w:rPr>
          <w:lang w:val="fr-FR"/>
        </w:rPr>
        <w:t>’</w:t>
      </w:r>
      <w:r w:rsidRPr="00D66335">
        <w:rPr>
          <w:lang w:val="fr-FR"/>
        </w:rPr>
        <w:t>eau à 20 °C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___ g/100 ml </w:t>
      </w:r>
    </w:p>
    <w:p w14:paraId="6AEB2054" w14:textId="02D89224" w:rsidR="00635D9E" w:rsidRPr="00D66335" w:rsidRDefault="00635D9E" w:rsidP="00635D9E">
      <w:pPr>
        <w:pStyle w:val="SingleTxtG"/>
        <w:rPr>
          <w:b/>
          <w:bCs/>
          <w:lang w:val="fr-FR"/>
        </w:rPr>
      </w:pPr>
      <w:r w:rsidRPr="00D66335">
        <w:rPr>
          <w:lang w:val="fr-FR"/>
        </w:rPr>
        <w:t>2.7</w:t>
      </w:r>
      <w:r w:rsidRPr="00D66335">
        <w:rPr>
          <w:lang w:val="fr-FR"/>
        </w:rPr>
        <w:tab/>
        <w:t>État physique à 20 °C</w:t>
      </w:r>
      <w:r w:rsidR="00EB2975">
        <w:rPr>
          <w:lang w:val="fr-FR"/>
        </w:rPr>
        <w:t> </w:t>
      </w:r>
      <w:r w:rsidRPr="00D66335">
        <w:rPr>
          <w:lang w:val="fr-FR"/>
        </w:rPr>
        <w:t>: (cf. 2.2.1.1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Pr="00D66335">
        <w:rPr>
          <w:lang w:val="fr-FR"/>
        </w:rPr>
        <w:tab/>
        <w:t>solide/liquide/gazeux</w:t>
      </w:r>
      <w:r w:rsidRPr="00D66335">
        <w:rPr>
          <w:vertAlign w:val="superscript"/>
          <w:lang w:val="fr-FR"/>
        </w:rPr>
        <w:t>2</w:t>
      </w:r>
      <w:r w:rsidRPr="00D66335">
        <w:rPr>
          <w:lang w:val="fr-FR"/>
        </w:rPr>
        <w:t xml:space="preserve"> </w:t>
      </w:r>
    </w:p>
    <w:p w14:paraId="5944299B" w14:textId="1FB4C6F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2.8</w:t>
      </w:r>
      <w:r w:rsidRPr="00D66335">
        <w:rPr>
          <w:lang w:val="fr-FR"/>
        </w:rPr>
        <w:tab/>
        <w:t>Aspect aux températures de transport normales, couleur, odeur, etc.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EB2975" w:rsidRPr="00B762C5">
        <w:t>___</w:t>
      </w:r>
    </w:p>
    <w:p w14:paraId="26FCF926" w14:textId="0D907ED8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2.9</w:t>
      </w:r>
      <w:r w:rsidRPr="00D66335">
        <w:rPr>
          <w:lang w:val="fr-FR"/>
        </w:rPr>
        <w:tab/>
        <w:t>Autres propriétés physiques pertinentes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EB2975" w:rsidRPr="00B762C5">
        <w:t>___</w:t>
      </w:r>
    </w:p>
    <w:p w14:paraId="51EEF87A" w14:textId="77777777" w:rsidR="00635D9E" w:rsidRPr="00D66335" w:rsidRDefault="00635D9E" w:rsidP="00EB2975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Section 3. INFLAMMABILITÉ </w:t>
      </w:r>
    </w:p>
    <w:p w14:paraId="57BF39B5" w14:textId="5EE8C9C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3.1</w:t>
      </w:r>
      <w:r w:rsidRPr="00D66335">
        <w:rPr>
          <w:lang w:val="fr-FR"/>
        </w:rPr>
        <w:tab/>
        <w:t xml:space="preserve">Vapeurs inflammables </w:t>
      </w:r>
    </w:p>
    <w:p w14:paraId="5E15C957" w14:textId="4E0F2B1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3.1.1</w:t>
      </w:r>
      <w:r w:rsidRPr="00D66335">
        <w:rPr>
          <w:lang w:val="fr-FR"/>
        </w:rPr>
        <w:tab/>
        <w:t>Point d</w:t>
      </w:r>
      <w:r>
        <w:rPr>
          <w:lang w:val="fr-FR"/>
        </w:rPr>
        <w:t>’</w:t>
      </w:r>
      <w:r w:rsidRPr="00D66335">
        <w:rPr>
          <w:lang w:val="fr-FR"/>
        </w:rPr>
        <w:t>éclair (cf. 2.3.3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="00EB2975">
        <w:rPr>
          <w:lang w:val="fr-FR"/>
        </w:rPr>
        <w:t> :</w:t>
      </w:r>
      <w:r w:rsidRPr="00D66335">
        <w:rPr>
          <w:lang w:val="fr-FR"/>
        </w:rPr>
        <w:t xml:space="preserve"> ___ °C creuset ouvert/creuset fermé </w:t>
      </w:r>
    </w:p>
    <w:p w14:paraId="04DA00BA" w14:textId="6C1E071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3.1.2</w:t>
      </w:r>
      <w:r w:rsidRPr="00D66335">
        <w:rPr>
          <w:lang w:val="fr-FR"/>
        </w:rPr>
        <w:tab/>
        <w:t>La matière entretient-elle une combustion</w:t>
      </w:r>
      <w:r w:rsidR="00EB2975">
        <w:rPr>
          <w:lang w:val="fr-FR"/>
        </w:rPr>
        <w:t> </w:t>
      </w:r>
      <w:r w:rsidRPr="00D66335">
        <w:rPr>
          <w:lang w:val="fr-FR"/>
        </w:rPr>
        <w:t>? (cf. 2.3.1.3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3A5A852F" w14:textId="381FA35F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3.2</w:t>
      </w:r>
      <w:r w:rsidRPr="00D66335">
        <w:rPr>
          <w:lang w:val="fr-FR"/>
        </w:rPr>
        <w:tab/>
        <w:t>Température d</w:t>
      </w:r>
      <w:r>
        <w:rPr>
          <w:lang w:val="fr-FR"/>
        </w:rPr>
        <w:t>’</w:t>
      </w:r>
      <w:r w:rsidRPr="00D66335">
        <w:rPr>
          <w:lang w:val="fr-FR"/>
        </w:rPr>
        <w:t>auto-inflammation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___ °C </w:t>
      </w:r>
    </w:p>
    <w:p w14:paraId="3DB43CF5" w14:textId="030CDFBE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3.3</w:t>
      </w:r>
      <w:r w:rsidRPr="00D66335">
        <w:rPr>
          <w:lang w:val="fr-FR"/>
        </w:rPr>
        <w:tab/>
        <w:t>Limites d</w:t>
      </w:r>
      <w:r>
        <w:rPr>
          <w:lang w:val="fr-FR"/>
        </w:rPr>
        <w:t>’</w:t>
      </w:r>
      <w:r w:rsidRPr="00D66335">
        <w:rPr>
          <w:lang w:val="fr-FR"/>
        </w:rPr>
        <w:t>inflammabilité (LII/LSI)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___ % </w:t>
      </w:r>
    </w:p>
    <w:p w14:paraId="46935786" w14:textId="11BF64F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3.4</w:t>
      </w:r>
      <w:r w:rsidRPr="00D66335">
        <w:rPr>
          <w:lang w:val="fr-FR"/>
        </w:rPr>
        <w:tab/>
        <w:t>La matière est-elle une matière solide inflammable</w:t>
      </w:r>
      <w:r w:rsidR="00EB2975">
        <w:rPr>
          <w:lang w:val="fr-FR"/>
        </w:rPr>
        <w:t> </w:t>
      </w:r>
      <w:r w:rsidRPr="00D66335">
        <w:rPr>
          <w:lang w:val="fr-FR"/>
        </w:rPr>
        <w:t>? (cf. 2.4.2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1D918553" w14:textId="2281FB9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3.4.1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>affirmative, donner des précisions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EB2975" w:rsidRPr="00B762C5">
        <w:t>___</w:t>
      </w:r>
    </w:p>
    <w:p w14:paraId="72B48C3A" w14:textId="77777777" w:rsidR="00635D9E" w:rsidRPr="00D66335" w:rsidRDefault="00635D9E" w:rsidP="00EB2975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Section 4. PROPRIÉTÉS CHIMIQUES </w:t>
      </w:r>
    </w:p>
    <w:p w14:paraId="13748D6D" w14:textId="6163AE9F" w:rsidR="00635D9E" w:rsidRPr="00D66335" w:rsidRDefault="00635D9E" w:rsidP="00EB2975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>4.1</w:t>
      </w:r>
      <w:r w:rsidRPr="00D66335">
        <w:rPr>
          <w:lang w:val="fr-FR"/>
        </w:rPr>
        <w:tab/>
        <w:t>La matière nécessite-t-elle une inhibition/stabilisation ou un autre traitement (transport sous atmosphère d</w:t>
      </w:r>
      <w:r>
        <w:rPr>
          <w:lang w:val="fr-FR"/>
        </w:rPr>
        <w:t>’</w:t>
      </w:r>
      <w:r w:rsidRPr="00D66335">
        <w:rPr>
          <w:lang w:val="fr-FR"/>
        </w:rPr>
        <w:t>azote par exemple) pour empêcher des réactions dangereuses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? </w:t>
      </w:r>
      <w:r w:rsidRPr="00D66335">
        <w:rPr>
          <w:lang w:val="fr-FR"/>
        </w:rPr>
        <w:tab/>
        <w:t xml:space="preserve">oui/non </w:t>
      </w:r>
    </w:p>
    <w:p w14:paraId="796247EA" w14:textId="1E406FEB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Dans l</w:t>
      </w:r>
      <w:r>
        <w:rPr>
          <w:lang w:val="fr-FR"/>
        </w:rPr>
        <w:t>’</w:t>
      </w:r>
      <w:r w:rsidRPr="00D66335">
        <w:rPr>
          <w:lang w:val="fr-FR"/>
        </w:rPr>
        <w:t>affirmative, indiquer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4A6DDA7D" w14:textId="5AD89CDD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4.1.1</w:t>
      </w:r>
      <w:r w:rsidRPr="00D66335">
        <w:rPr>
          <w:lang w:val="fr-FR"/>
        </w:rPr>
        <w:tab/>
        <w:t>L</w:t>
      </w:r>
      <w:r>
        <w:rPr>
          <w:lang w:val="fr-FR"/>
        </w:rPr>
        <w:t>’</w:t>
      </w:r>
      <w:r w:rsidRPr="00D66335">
        <w:rPr>
          <w:lang w:val="fr-FR"/>
        </w:rPr>
        <w:t>inhibiteur/le stabilisant utilisé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EB2975" w:rsidRPr="00B762C5">
        <w:t>___</w:t>
      </w:r>
    </w:p>
    <w:p w14:paraId="7363B843" w14:textId="61D942C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4.1.2</w:t>
      </w:r>
      <w:r w:rsidRPr="00D66335">
        <w:rPr>
          <w:lang w:val="fr-FR"/>
        </w:rPr>
        <w:tab/>
        <w:t>Autre méthode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EB2975" w:rsidRPr="00B762C5">
        <w:t>___</w:t>
      </w:r>
    </w:p>
    <w:p w14:paraId="53A0CDC9" w14:textId="5B587EC2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4.1.3</w:t>
      </w:r>
      <w:r w:rsidRPr="00D66335">
        <w:rPr>
          <w:lang w:val="fr-FR"/>
        </w:rPr>
        <w:tab/>
        <w:t>Durée d</w:t>
      </w:r>
      <w:r>
        <w:rPr>
          <w:lang w:val="fr-FR"/>
        </w:rPr>
        <w:t>’</w:t>
      </w:r>
      <w:r w:rsidRPr="00D66335">
        <w:rPr>
          <w:lang w:val="fr-FR"/>
        </w:rPr>
        <w:t>efficacité à 55 °C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5B038424" w14:textId="6D03D096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4.1.4</w:t>
      </w:r>
      <w:r w:rsidRPr="00D66335">
        <w:rPr>
          <w:lang w:val="fr-FR"/>
        </w:rPr>
        <w:tab/>
        <w:t xml:space="preserve">Conditions dans lesquelles la méthode est inefficace ___ </w:t>
      </w:r>
    </w:p>
    <w:p w14:paraId="30F1370A" w14:textId="53C650D7" w:rsidR="00635D9E" w:rsidRPr="00D66335" w:rsidRDefault="00635D9E" w:rsidP="00EB2975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>4.2</w:t>
      </w:r>
      <w:r w:rsidRPr="00D66335">
        <w:rPr>
          <w:lang w:val="fr-FR"/>
        </w:rPr>
        <w:tab/>
        <w:t>La matière est-elle une matière explosible au sens du paragraphe 2.1.1.1</w:t>
      </w:r>
      <w:r w:rsidR="00EB2975">
        <w:rPr>
          <w:lang w:val="fr-FR"/>
        </w:rPr>
        <w:t> </w:t>
      </w:r>
      <w:r w:rsidRPr="00D66335">
        <w:rPr>
          <w:lang w:val="fr-FR"/>
        </w:rPr>
        <w:t>? (cf. 2.1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30D94BEE" w14:textId="6781264E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4.2.1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 xml:space="preserve">affirmative, donner des précisions ___ </w:t>
      </w:r>
    </w:p>
    <w:p w14:paraId="1B42C660" w14:textId="72369789" w:rsidR="00635D9E" w:rsidRPr="00D66335" w:rsidRDefault="00635D9E" w:rsidP="00EB2975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>4.3</w:t>
      </w:r>
      <w:r w:rsidRPr="00D66335">
        <w:rPr>
          <w:lang w:val="fr-FR"/>
        </w:rPr>
        <w:tab/>
        <w:t>La matière est-elle une matière explosible désensibilisée</w:t>
      </w:r>
      <w:r w:rsidR="00EB2975">
        <w:rPr>
          <w:lang w:val="fr-FR"/>
        </w:rPr>
        <w:t> </w:t>
      </w:r>
      <w:r w:rsidRPr="00D66335">
        <w:rPr>
          <w:lang w:val="fr-FR"/>
        </w:rPr>
        <w:t>? (cf.</w:t>
      </w:r>
      <w:r w:rsidR="00EB2975">
        <w:rPr>
          <w:lang w:val="fr-FR"/>
        </w:rPr>
        <w:t> </w:t>
      </w:r>
      <w:r w:rsidRPr="00D66335">
        <w:rPr>
          <w:lang w:val="fr-FR"/>
        </w:rPr>
        <w:t>2.4.2.4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6BC10D57" w14:textId="6C45C530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4.3.1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 xml:space="preserve">affirmative, donner des précisions ___ </w:t>
      </w:r>
    </w:p>
    <w:p w14:paraId="6829B2D9" w14:textId="25E86888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4.4</w:t>
      </w:r>
      <w:r w:rsidRPr="00D66335">
        <w:rPr>
          <w:lang w:val="fr-FR"/>
        </w:rPr>
        <w:tab/>
        <w:t>La matière est-elle une matière autoréactive</w:t>
      </w:r>
      <w:r w:rsidR="00EB2975">
        <w:rPr>
          <w:lang w:val="fr-FR"/>
        </w:rPr>
        <w:t> </w:t>
      </w:r>
      <w:r w:rsidRPr="00D66335">
        <w:rPr>
          <w:lang w:val="fr-FR"/>
        </w:rPr>
        <w:t>? (cf. 2.4.1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22BF0C92" w14:textId="531B715B" w:rsidR="00635D9E" w:rsidRPr="00D66335" w:rsidRDefault="00635D9E" w:rsidP="00635D9E">
      <w:pPr>
        <w:pStyle w:val="SingleTxtG"/>
        <w:rPr>
          <w:lang w:val="fr-FR"/>
        </w:rPr>
      </w:pPr>
      <w:r>
        <w:rPr>
          <w:lang w:val="fr-FR"/>
        </w:rPr>
        <w:t>Si oui</w:t>
      </w:r>
      <w:r w:rsidRPr="00D66335">
        <w:rPr>
          <w:lang w:val="fr-FR"/>
        </w:rPr>
        <w:t>, indiquer</w:t>
      </w:r>
      <w:r w:rsidR="00EB2975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1651F96F" w14:textId="5ED8807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4.4.1</w:t>
      </w:r>
      <w:r w:rsidRPr="00D66335">
        <w:rPr>
          <w:lang w:val="fr-FR"/>
        </w:rPr>
        <w:tab/>
        <w:t xml:space="preserve">La case de sortie du diagramme de décision ___ </w:t>
      </w:r>
    </w:p>
    <w:p w14:paraId="61DADA3C" w14:textId="08E2EFC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Quelle est la température de décomposition auto-accélérée (TDAA) (point de décomposition exothermique) pour un colis de 50 kg</w:t>
      </w:r>
      <w:r w:rsidR="00EB2975">
        <w:rPr>
          <w:lang w:val="fr-FR"/>
        </w:rPr>
        <w:t> </w:t>
      </w:r>
      <w:r w:rsidRPr="00D66335">
        <w:rPr>
          <w:lang w:val="fr-FR"/>
        </w:rPr>
        <w:t>?</w:t>
      </w:r>
      <w:r w:rsidR="00001AC4" w:rsidRPr="00001AC4">
        <w:rPr>
          <w:lang w:val="fr-FR"/>
        </w:rPr>
        <w:t xml:space="preserve"> </w:t>
      </w:r>
      <w:r w:rsidR="00001AC4" w:rsidRPr="00D66335">
        <w:rPr>
          <w:lang w:val="fr-FR"/>
        </w:rPr>
        <w:t>___</w:t>
      </w:r>
      <w:r w:rsidRPr="00D66335">
        <w:rPr>
          <w:lang w:val="fr-FR"/>
        </w:rPr>
        <w:t>°C</w:t>
      </w:r>
    </w:p>
    <w:p w14:paraId="23F31181" w14:textId="2B2E6CFB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La température doit-elle être régulée</w:t>
      </w:r>
      <w:r w:rsidR="00EB2975">
        <w:rPr>
          <w:lang w:val="fr-FR"/>
        </w:rPr>
        <w:t> </w:t>
      </w:r>
      <w:r w:rsidRPr="00D66335">
        <w:rPr>
          <w:lang w:val="fr-FR"/>
        </w:rPr>
        <w:t>? (cf. 2.4.2.3.4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3EF3564F" w14:textId="374ACC3F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4.4.2</w:t>
      </w:r>
      <w:r w:rsidRPr="00D66335">
        <w:rPr>
          <w:lang w:val="fr-FR"/>
        </w:rPr>
        <w:tab/>
        <w:t xml:space="preserve">Température de régulation proposée pour un colis de 50 kg ___ °C </w:t>
      </w:r>
    </w:p>
    <w:p w14:paraId="1842E360" w14:textId="2F1798B9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4.4.3</w:t>
      </w:r>
      <w:r w:rsidRPr="00D66335">
        <w:rPr>
          <w:lang w:val="fr-FR"/>
        </w:rPr>
        <w:tab/>
        <w:t xml:space="preserve">Température critique proposée pour un colis de 50 kg ___ °C </w:t>
      </w:r>
    </w:p>
    <w:p w14:paraId="5919A913" w14:textId="78ED9613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4.5</w:t>
      </w:r>
      <w:r w:rsidRPr="00D66335">
        <w:rPr>
          <w:lang w:val="fr-FR"/>
        </w:rPr>
        <w:tab/>
        <w:t>La matière est-elle pyrophorique</w:t>
      </w:r>
      <w:r w:rsidR="00EB2975">
        <w:rPr>
          <w:lang w:val="fr-FR"/>
        </w:rPr>
        <w:t> </w:t>
      </w:r>
      <w:r w:rsidRPr="00D66335">
        <w:rPr>
          <w:lang w:val="fr-FR"/>
        </w:rPr>
        <w:t>? (cf. 2.4.3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48781784" w14:textId="4DA35D66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4.5.1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 xml:space="preserve">affirmative, donner des précisions ___ </w:t>
      </w:r>
    </w:p>
    <w:p w14:paraId="422B0615" w14:textId="7FC87EC0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4.6</w:t>
      </w:r>
      <w:r w:rsidRPr="00D66335">
        <w:rPr>
          <w:lang w:val="fr-FR"/>
        </w:rPr>
        <w:tab/>
        <w:t>La matière est-elle sujette à l</w:t>
      </w:r>
      <w:r>
        <w:rPr>
          <w:lang w:val="fr-FR"/>
        </w:rPr>
        <w:t>’</w:t>
      </w:r>
      <w:r w:rsidRPr="00D66335">
        <w:rPr>
          <w:lang w:val="fr-FR"/>
        </w:rPr>
        <w:t>auto-échauffement</w:t>
      </w:r>
      <w:r w:rsidR="00EB2975">
        <w:rPr>
          <w:lang w:val="fr-FR"/>
        </w:rPr>
        <w:t> </w:t>
      </w:r>
      <w:r w:rsidRPr="00D66335">
        <w:rPr>
          <w:lang w:val="fr-FR"/>
        </w:rPr>
        <w:t>? (cf. 2.4.3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="002D3B14">
        <w:rPr>
          <w:lang w:val="fr-FR"/>
        </w:rPr>
        <w:tab/>
      </w:r>
      <w:r w:rsidRPr="00D66335">
        <w:rPr>
          <w:lang w:val="fr-FR"/>
        </w:rPr>
        <w:tab/>
        <w:t xml:space="preserve">oui/non </w:t>
      </w:r>
    </w:p>
    <w:p w14:paraId="07953963" w14:textId="49B37E0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lastRenderedPageBreak/>
        <w:t>4.6.1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 xml:space="preserve">affirmative, donner des précisions ___ </w:t>
      </w:r>
    </w:p>
    <w:p w14:paraId="02C731B5" w14:textId="5EF5BB8A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4.7</w:t>
      </w:r>
      <w:r w:rsidRPr="00D66335">
        <w:rPr>
          <w:lang w:val="fr-FR"/>
        </w:rPr>
        <w:tab/>
        <w:t>La matière est-elle un peroxyde organique</w:t>
      </w:r>
      <w:r w:rsidR="002D3B14">
        <w:rPr>
          <w:lang w:val="fr-FR"/>
        </w:rPr>
        <w:t> </w:t>
      </w:r>
      <w:r w:rsidRPr="00D66335">
        <w:rPr>
          <w:lang w:val="fr-FR"/>
        </w:rPr>
        <w:t>? (cf. 2.5.1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oui/non </w:t>
      </w:r>
    </w:p>
    <w:p w14:paraId="2ECA9CB6" w14:textId="4D8C10E1" w:rsidR="00635D9E" w:rsidRPr="00D66335" w:rsidRDefault="00635D9E" w:rsidP="00635D9E">
      <w:pPr>
        <w:pStyle w:val="SingleTxtG"/>
        <w:rPr>
          <w:lang w:val="fr-FR"/>
        </w:rPr>
      </w:pPr>
      <w:r>
        <w:rPr>
          <w:lang w:val="fr-FR"/>
        </w:rPr>
        <w:t>Si oui</w:t>
      </w:r>
      <w:r w:rsidRPr="00D66335">
        <w:rPr>
          <w:lang w:val="fr-FR"/>
        </w:rPr>
        <w:t>, indiquer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2DEAAF30" w14:textId="11705F68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4.7.1</w:t>
      </w:r>
      <w:r w:rsidRPr="00D66335">
        <w:rPr>
          <w:lang w:val="fr-FR"/>
        </w:rPr>
        <w:tab/>
        <w:t xml:space="preserve">La case de sortie du diagramme de décision ___ </w:t>
      </w:r>
    </w:p>
    <w:p w14:paraId="1F4F9058" w14:textId="328D6F40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Quelle est la température de décomposition auto-accélérée (TDAA) (point de décomposition exothermique) pour un colis de 50 kg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? ___ °C </w:t>
      </w:r>
    </w:p>
    <w:p w14:paraId="4A613385" w14:textId="309E1ED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La température doit-elle être régulée</w:t>
      </w:r>
      <w:r w:rsidR="002D3B14">
        <w:rPr>
          <w:lang w:val="fr-FR"/>
        </w:rPr>
        <w:t> </w:t>
      </w:r>
      <w:r w:rsidRPr="00D66335">
        <w:rPr>
          <w:lang w:val="fr-FR"/>
        </w:rPr>
        <w:t>? (cf. 2.5.3.4.1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oui/non </w:t>
      </w:r>
    </w:p>
    <w:p w14:paraId="0E024DF6" w14:textId="3D1166E2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4.7.2</w:t>
      </w:r>
      <w:r w:rsidRPr="00D66335">
        <w:rPr>
          <w:lang w:val="fr-FR"/>
        </w:rPr>
        <w:tab/>
        <w:t xml:space="preserve">Température de régulation proposée pour un colis de 50 kg ___ °C </w:t>
      </w:r>
    </w:p>
    <w:p w14:paraId="09758547" w14:textId="5FA4CAF6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4.7.3</w:t>
      </w:r>
      <w:r w:rsidRPr="00D66335">
        <w:rPr>
          <w:lang w:val="fr-FR"/>
        </w:rPr>
        <w:tab/>
        <w:t xml:space="preserve">Température critique proposée pour un colis de 50 kg ___ °C </w:t>
      </w:r>
    </w:p>
    <w:p w14:paraId="7C869D07" w14:textId="3DA55EE5" w:rsidR="00635D9E" w:rsidRPr="00D66335" w:rsidRDefault="00635D9E" w:rsidP="002D3B14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>4.8</w:t>
      </w:r>
      <w:r w:rsidRPr="00D66335">
        <w:rPr>
          <w:lang w:val="fr-FR"/>
        </w:rPr>
        <w:tab/>
        <w:t>La matière dégage-t-elle des gaz inflammables au contact de l</w:t>
      </w:r>
      <w:r>
        <w:rPr>
          <w:lang w:val="fr-FR"/>
        </w:rPr>
        <w:t>’</w:t>
      </w:r>
      <w:r w:rsidRPr="00D66335">
        <w:rPr>
          <w:lang w:val="fr-FR"/>
        </w:rPr>
        <w:t>eau</w:t>
      </w:r>
      <w:r w:rsidR="002D3B14">
        <w:rPr>
          <w:lang w:val="fr-FR"/>
        </w:rPr>
        <w:t> </w:t>
      </w:r>
      <w:r w:rsidRPr="00D66335">
        <w:rPr>
          <w:lang w:val="fr-FR"/>
        </w:rPr>
        <w:t>? (cf. 2.4.4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 xml:space="preserve">oui/non </w:t>
      </w:r>
    </w:p>
    <w:p w14:paraId="53430423" w14:textId="3FE2F00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4.8.1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 xml:space="preserve">affirmative, donner des précisions ___ </w:t>
      </w:r>
    </w:p>
    <w:p w14:paraId="4D029073" w14:textId="63A71B39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4.9</w:t>
      </w:r>
      <w:r w:rsidRPr="00D66335">
        <w:rPr>
          <w:lang w:val="fr-FR"/>
        </w:rPr>
        <w:tab/>
        <w:t>La matière a-t-elle des propriétés comburantes</w:t>
      </w:r>
      <w:r w:rsidR="002D3B14">
        <w:rPr>
          <w:lang w:val="fr-FR"/>
        </w:rPr>
        <w:t> </w:t>
      </w:r>
      <w:r w:rsidRPr="00D66335">
        <w:rPr>
          <w:lang w:val="fr-FR"/>
        </w:rPr>
        <w:t>? (cf. 2.5.1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oui/non </w:t>
      </w:r>
    </w:p>
    <w:p w14:paraId="766C6E88" w14:textId="1CCC4442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4.9.1</w:t>
      </w:r>
      <w:r w:rsidRPr="00D66335">
        <w:rPr>
          <w:lang w:val="fr-FR"/>
        </w:rPr>
        <w:tab/>
        <w:t>Dans l</w:t>
      </w:r>
      <w:r>
        <w:rPr>
          <w:lang w:val="fr-FR"/>
        </w:rPr>
        <w:t>’</w:t>
      </w:r>
      <w:r w:rsidRPr="00D66335">
        <w:rPr>
          <w:lang w:val="fr-FR"/>
        </w:rPr>
        <w:t xml:space="preserve">affirmative, donner des précisions ___ </w:t>
      </w:r>
    </w:p>
    <w:p w14:paraId="38D940AE" w14:textId="75019F69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4.10</w:t>
      </w:r>
      <w:r w:rsidRPr="00D66335">
        <w:rPr>
          <w:lang w:val="fr-FR"/>
        </w:rPr>
        <w:tab/>
        <w:t>Action corrosive sur le matériau des emballages (cf. 2.8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019334FF" w14:textId="2281A5A0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4.10.1</w:t>
      </w:r>
      <w:r w:rsidR="002D3B14">
        <w:rPr>
          <w:lang w:val="fr-FR"/>
        </w:rPr>
        <w:tab/>
      </w:r>
      <w:r w:rsidRPr="00D66335">
        <w:rPr>
          <w:lang w:val="fr-FR"/>
        </w:rPr>
        <w:t xml:space="preserve">Acier doux ___ mm/an à ___ °C </w:t>
      </w:r>
    </w:p>
    <w:p w14:paraId="0764CFB1" w14:textId="62BB9D40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4.10.2</w:t>
      </w:r>
      <w:r w:rsidRPr="00D66335">
        <w:rPr>
          <w:lang w:val="fr-FR"/>
        </w:rPr>
        <w:tab/>
        <w:t xml:space="preserve">Aluminium ___ mm/an à ___ °C </w:t>
      </w:r>
    </w:p>
    <w:p w14:paraId="41805D7E" w14:textId="752E53C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4.10.3</w:t>
      </w:r>
      <w:r w:rsidRPr="00D66335">
        <w:rPr>
          <w:lang w:val="fr-FR"/>
        </w:rPr>
        <w:tab/>
        <w:t>Autres matériaux d</w:t>
      </w:r>
      <w:r>
        <w:rPr>
          <w:lang w:val="fr-FR"/>
        </w:rPr>
        <w:t>’</w:t>
      </w:r>
      <w:r w:rsidRPr="00D66335">
        <w:rPr>
          <w:lang w:val="fr-FR"/>
        </w:rPr>
        <w:t>emballage (à préciser)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</w:p>
    <w:p w14:paraId="748F85D9" w14:textId="77777777" w:rsidR="00635D9E" w:rsidRPr="00D66335" w:rsidRDefault="00635D9E" w:rsidP="00001AC4">
      <w:pPr>
        <w:pStyle w:val="SingleTxtG"/>
        <w:ind w:left="1701"/>
        <w:rPr>
          <w:lang w:val="fr-FR"/>
        </w:rPr>
      </w:pPr>
      <w:r w:rsidRPr="00D66335">
        <w:rPr>
          <w:lang w:val="fr-FR"/>
        </w:rPr>
        <w:t xml:space="preserve">___ mm/an à ___ °C </w:t>
      </w:r>
    </w:p>
    <w:p w14:paraId="410EBA89" w14:textId="77777777" w:rsidR="00635D9E" w:rsidRPr="00D66335" w:rsidRDefault="00635D9E" w:rsidP="00001AC4">
      <w:pPr>
        <w:pStyle w:val="SingleTxtG"/>
        <w:ind w:left="1701"/>
        <w:rPr>
          <w:lang w:val="fr-FR"/>
        </w:rPr>
      </w:pPr>
      <w:r w:rsidRPr="00D66335">
        <w:rPr>
          <w:lang w:val="fr-FR"/>
        </w:rPr>
        <w:t xml:space="preserve">___ mm/an à ___ °C </w:t>
      </w:r>
    </w:p>
    <w:p w14:paraId="6D16F867" w14:textId="51419BEE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4.11</w:t>
      </w:r>
      <w:r w:rsidRPr="00D66335">
        <w:rPr>
          <w:lang w:val="fr-FR"/>
        </w:rPr>
        <w:tab/>
        <w:t>Autres propriétés physiques pertinentes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25447112" w14:textId="77777777" w:rsidR="00635D9E" w:rsidRPr="00D66335" w:rsidRDefault="00635D9E" w:rsidP="00635D9E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</w:r>
      <w:r w:rsidRPr="00D66335">
        <w:rPr>
          <w:bCs/>
          <w:lang w:val="fr-FR"/>
        </w:rPr>
        <w:t>Section 5.</w:t>
      </w:r>
      <w:r w:rsidRPr="00D66335">
        <w:rPr>
          <w:lang w:val="fr-FR"/>
        </w:rPr>
        <w:t xml:space="preserve"> </w:t>
      </w:r>
      <w:r w:rsidRPr="00D66335">
        <w:rPr>
          <w:bCs/>
          <w:lang w:val="fr-FR"/>
        </w:rPr>
        <w:t>EFFETS BIOLOGIQUES NOCIFS</w:t>
      </w:r>
      <w:r w:rsidRPr="00D66335">
        <w:rPr>
          <w:lang w:val="fr-FR"/>
        </w:rPr>
        <w:t xml:space="preserve"> </w:t>
      </w:r>
    </w:p>
    <w:p w14:paraId="4DB27783" w14:textId="741EF9A6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5.1</w:t>
      </w:r>
      <w:r w:rsidRPr="00D66335">
        <w:rPr>
          <w:lang w:val="fr-FR"/>
        </w:rPr>
        <w:tab/>
        <w:t>DL</w:t>
      </w:r>
      <w:r w:rsidRPr="00D66335">
        <w:rPr>
          <w:vertAlign w:val="subscript"/>
          <w:lang w:val="fr-FR"/>
        </w:rPr>
        <w:t>50</w:t>
      </w:r>
      <w:r w:rsidRPr="00D66335">
        <w:rPr>
          <w:lang w:val="fr-FR"/>
        </w:rPr>
        <w:t xml:space="preserve"> à l</w:t>
      </w:r>
      <w:r>
        <w:rPr>
          <w:lang w:val="fr-FR"/>
        </w:rPr>
        <w:t>’</w:t>
      </w:r>
      <w:r w:rsidRPr="00D66335">
        <w:rPr>
          <w:lang w:val="fr-FR"/>
        </w:rPr>
        <w:t>ingestion</w:t>
      </w:r>
      <w:r w:rsidR="002D3B14">
        <w:rPr>
          <w:lang w:val="fr-FR"/>
        </w:rPr>
        <w:t> </w:t>
      </w:r>
      <w:r w:rsidRPr="00D66335">
        <w:rPr>
          <w:lang w:val="fr-FR"/>
        </w:rPr>
        <w:t>: (cf. 2.6.2.1.1</w:t>
      </w:r>
      <w:r w:rsidRPr="00210FD8">
        <w:rPr>
          <w:vertAlign w:val="superscript"/>
          <w:lang w:val="fr-FR"/>
        </w:rPr>
        <w:t>1</w:t>
      </w:r>
      <w:r w:rsidRPr="00D66335">
        <w:rPr>
          <w:lang w:val="fr-FR"/>
        </w:rPr>
        <w:t>) 1</w:t>
      </w:r>
      <w:r>
        <w:rPr>
          <w:lang w:val="fr-FR"/>
        </w:rPr>
        <w:t xml:space="preserve"> </w:t>
      </w:r>
      <w:r w:rsidRPr="00D66335">
        <w:rPr>
          <w:lang w:val="fr-FR"/>
        </w:rPr>
        <w:t>276 mg/kg p.c. à 1</w:t>
      </w:r>
      <w:r>
        <w:rPr>
          <w:lang w:val="fr-FR"/>
        </w:rPr>
        <w:t xml:space="preserve"> </w:t>
      </w:r>
      <w:r w:rsidRPr="00D66335">
        <w:rPr>
          <w:lang w:val="fr-FR"/>
        </w:rPr>
        <w:t>352 mg/kg p.c.</w:t>
      </w:r>
    </w:p>
    <w:p w14:paraId="529FAA5D" w14:textId="14630B63" w:rsidR="00635D9E" w:rsidRPr="00D66335" w:rsidRDefault="00635D9E" w:rsidP="002D3B14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ab/>
      </w:r>
      <w:r>
        <w:rPr>
          <w:lang w:val="fr-FR"/>
        </w:rPr>
        <w:t>a</w:t>
      </w:r>
      <w:r w:rsidRPr="00D66335">
        <w:rPr>
          <w:lang w:val="fr-FR"/>
        </w:rPr>
        <w:t>nimal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  <w:r>
        <w:rPr>
          <w:lang w:val="fr-FR"/>
        </w:rPr>
        <w:t>s</w:t>
      </w:r>
      <w:r w:rsidRPr="00D66335">
        <w:rPr>
          <w:lang w:val="fr-FR"/>
        </w:rPr>
        <w:t>ouris</w:t>
      </w:r>
      <w:r w:rsidRPr="00D66335">
        <w:rPr>
          <w:vertAlign w:val="subscript"/>
          <w:lang w:val="fr-FR"/>
        </w:rPr>
        <w:t xml:space="preserve">m/f </w:t>
      </w:r>
      <w:r w:rsidRPr="00D66335">
        <w:rPr>
          <w:lang w:val="fr-FR"/>
        </w:rPr>
        <w:t xml:space="preserve">(CD-1) </w:t>
      </w:r>
    </w:p>
    <w:p w14:paraId="2996ADE1" w14:textId="77777777" w:rsidR="002D3B14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5.2</w:t>
      </w:r>
      <w:r w:rsidRPr="00D66335">
        <w:rPr>
          <w:lang w:val="fr-FR"/>
        </w:rPr>
        <w:tab/>
        <w:t>DL</w:t>
      </w:r>
      <w:r w:rsidRPr="00D66335">
        <w:rPr>
          <w:vertAlign w:val="subscript"/>
          <w:lang w:val="fr-FR"/>
        </w:rPr>
        <w:t>50</w:t>
      </w:r>
      <w:r w:rsidRPr="00D66335">
        <w:rPr>
          <w:lang w:val="fr-FR"/>
        </w:rPr>
        <w:t xml:space="preserve"> à l</w:t>
      </w:r>
      <w:r>
        <w:rPr>
          <w:lang w:val="fr-FR"/>
        </w:rPr>
        <w:t>’</w:t>
      </w:r>
      <w:r w:rsidRPr="00D66335">
        <w:rPr>
          <w:lang w:val="fr-FR"/>
        </w:rPr>
        <w:t>absorption cutanée</w:t>
      </w:r>
      <w:r w:rsidR="002D3B14">
        <w:rPr>
          <w:lang w:val="fr-FR"/>
        </w:rPr>
        <w:t> </w:t>
      </w:r>
      <w:r w:rsidRPr="00D66335">
        <w:rPr>
          <w:lang w:val="fr-FR"/>
        </w:rPr>
        <w:t>: (cf. 2.6.2.1.2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780 mg/kg p.c. </w:t>
      </w:r>
    </w:p>
    <w:p w14:paraId="5257A074" w14:textId="6D3872BD" w:rsidR="00635D9E" w:rsidRPr="00D66335" w:rsidRDefault="00635D9E" w:rsidP="002D3B14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ab/>
      </w:r>
      <w:r>
        <w:rPr>
          <w:lang w:val="fr-FR"/>
        </w:rPr>
        <w:t>a</w:t>
      </w:r>
      <w:r w:rsidRPr="00D66335">
        <w:rPr>
          <w:lang w:val="fr-FR"/>
        </w:rPr>
        <w:t>nimal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  <w:r>
        <w:rPr>
          <w:lang w:val="fr-FR"/>
        </w:rPr>
        <w:t>r</w:t>
      </w:r>
      <w:r w:rsidRPr="00D66335">
        <w:rPr>
          <w:lang w:val="fr-FR"/>
        </w:rPr>
        <w:t>at</w:t>
      </w:r>
      <w:r w:rsidRPr="00D66335">
        <w:rPr>
          <w:vertAlign w:val="subscript"/>
          <w:lang w:val="fr-FR"/>
        </w:rPr>
        <w:t xml:space="preserve">m/f </w:t>
      </w:r>
      <w:r w:rsidRPr="00D66335">
        <w:rPr>
          <w:lang w:val="fr-FR"/>
        </w:rPr>
        <w:t xml:space="preserve">(Sprague-Dawley) </w:t>
      </w:r>
    </w:p>
    <w:p w14:paraId="06B366D9" w14:textId="19D2974E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5.3</w:t>
      </w:r>
      <w:r w:rsidRPr="00D66335">
        <w:rPr>
          <w:lang w:val="fr-FR"/>
        </w:rPr>
        <w:tab/>
        <w:t>CL</w:t>
      </w:r>
      <w:r w:rsidRPr="002D3B14">
        <w:rPr>
          <w:vertAlign w:val="subscript"/>
          <w:lang w:val="fr-FR"/>
        </w:rPr>
        <w:t>50</w:t>
      </w:r>
      <w:r w:rsidRPr="00D66335">
        <w:rPr>
          <w:lang w:val="fr-FR"/>
        </w:rPr>
        <w:t xml:space="preserve"> à l</w:t>
      </w:r>
      <w:r>
        <w:rPr>
          <w:lang w:val="fr-FR"/>
        </w:rPr>
        <w:t>’</w:t>
      </w:r>
      <w:r w:rsidRPr="00D66335">
        <w:rPr>
          <w:lang w:val="fr-FR"/>
        </w:rPr>
        <w:t>inhalation (cf. 2.6.2.1.3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___ mg/l </w:t>
      </w:r>
      <w:r w:rsidRPr="00D66335">
        <w:rPr>
          <w:lang w:val="fr-FR"/>
        </w:rPr>
        <w:tab/>
      </w:r>
      <w:r>
        <w:rPr>
          <w:lang w:val="fr-FR"/>
        </w:rPr>
        <w:t>d</w:t>
      </w:r>
      <w:r w:rsidRPr="00D66335">
        <w:rPr>
          <w:lang w:val="fr-FR"/>
        </w:rPr>
        <w:t>urée d</w:t>
      </w:r>
      <w:r>
        <w:rPr>
          <w:lang w:val="fr-FR"/>
        </w:rPr>
        <w:t>’</w:t>
      </w:r>
      <w:r w:rsidRPr="00D66335">
        <w:rPr>
          <w:lang w:val="fr-FR"/>
        </w:rPr>
        <w:t>exposition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___ heures </w:t>
      </w:r>
    </w:p>
    <w:p w14:paraId="2B7D4B1B" w14:textId="58E0074F" w:rsidR="00635D9E" w:rsidRPr="00D66335" w:rsidRDefault="002D3B14" w:rsidP="002D3B14">
      <w:pPr>
        <w:pStyle w:val="SingleTxtG"/>
        <w:tabs>
          <w:tab w:val="left" w:pos="4900"/>
        </w:tabs>
        <w:ind w:left="1701" w:hanging="567"/>
        <w:rPr>
          <w:lang w:val="fr-FR"/>
        </w:rPr>
      </w:pPr>
      <w:r>
        <w:rPr>
          <w:lang w:val="fr-FR"/>
        </w:rPr>
        <w:tab/>
      </w:r>
      <w:r w:rsidR="00635D9E" w:rsidRPr="00D66335">
        <w:rPr>
          <w:lang w:val="fr-FR"/>
        </w:rPr>
        <w:t>ou ___ ml/m</w:t>
      </w:r>
      <w:r w:rsidR="00635D9E" w:rsidRPr="00D66335">
        <w:rPr>
          <w:vertAlign w:val="superscript"/>
          <w:lang w:val="fr-FR"/>
        </w:rPr>
        <w:t>3</w:t>
      </w:r>
      <w:r w:rsidR="00635D9E" w:rsidRPr="00D66335">
        <w:rPr>
          <w:lang w:val="fr-FR"/>
        </w:rPr>
        <w:t xml:space="preserve"> </w:t>
      </w:r>
      <w:r w:rsidR="00635D9E" w:rsidRPr="00D66335">
        <w:rPr>
          <w:lang w:val="fr-FR"/>
        </w:rPr>
        <w:tab/>
      </w:r>
      <w:r w:rsidR="00635D9E">
        <w:rPr>
          <w:lang w:val="fr-FR"/>
        </w:rPr>
        <w:t>a</w:t>
      </w:r>
      <w:r w:rsidR="00635D9E" w:rsidRPr="00D66335">
        <w:rPr>
          <w:lang w:val="fr-FR"/>
        </w:rPr>
        <w:t>nimal</w:t>
      </w:r>
      <w:r>
        <w:rPr>
          <w:lang w:val="fr-FR"/>
        </w:rPr>
        <w:t> </w:t>
      </w:r>
      <w:r w:rsidR="00635D9E" w:rsidRPr="00D66335">
        <w:rPr>
          <w:lang w:val="fr-FR"/>
        </w:rPr>
        <w:t xml:space="preserve">: ___ </w:t>
      </w:r>
    </w:p>
    <w:p w14:paraId="00B70E19" w14:textId="00232AEC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5.4</w:t>
      </w:r>
      <w:r w:rsidRPr="00D66335">
        <w:rPr>
          <w:lang w:val="fr-FR"/>
        </w:rPr>
        <w:tab/>
        <w:t>Concentration de vapeur saturée à 20 °C (cf.2.6.2.2.4.3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): ___ ml/m</w:t>
      </w:r>
      <w:r w:rsidRPr="00D66335">
        <w:rPr>
          <w:vertAlign w:val="superscript"/>
          <w:lang w:val="fr-FR"/>
        </w:rPr>
        <w:t>3</w:t>
      </w:r>
      <w:r w:rsidRPr="00D66335">
        <w:rPr>
          <w:lang w:val="fr-FR"/>
        </w:rPr>
        <w:t xml:space="preserve"> </w:t>
      </w:r>
    </w:p>
    <w:p w14:paraId="09A48CE8" w14:textId="04AC5BEF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5.5</w:t>
      </w:r>
      <w:r w:rsidRPr="00D66335">
        <w:rPr>
          <w:lang w:val="fr-FR"/>
        </w:rPr>
        <w:tab/>
        <w:t>Résultats des essais cutanés (cf. 2.8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 xml:space="preserve">) </w:t>
      </w:r>
      <w:r w:rsidRPr="00D66335">
        <w:rPr>
          <w:lang w:val="fr-FR"/>
        </w:rPr>
        <w:tab/>
        <w:t>Durée d</w:t>
      </w:r>
      <w:r>
        <w:rPr>
          <w:lang w:val="fr-FR"/>
        </w:rPr>
        <w:t>’</w:t>
      </w:r>
      <w:r w:rsidRPr="00D66335">
        <w:rPr>
          <w:lang w:val="fr-FR"/>
        </w:rPr>
        <w:t>exposition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15 minutes </w:t>
      </w:r>
    </w:p>
    <w:p w14:paraId="08BE6020" w14:textId="4F025B1B" w:rsidR="00635D9E" w:rsidRPr="00D66335" w:rsidRDefault="00635D9E" w:rsidP="002D3B14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ab/>
        <w:t>Animal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  <w:r>
        <w:rPr>
          <w:lang w:val="fr-FR"/>
        </w:rPr>
        <w:t>l</w:t>
      </w:r>
      <w:r w:rsidRPr="00D66335">
        <w:rPr>
          <w:lang w:val="fr-FR"/>
        </w:rPr>
        <w:t xml:space="preserve">apin </w:t>
      </w:r>
    </w:p>
    <w:p w14:paraId="0A7A6151" w14:textId="1CA2DDBD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5.6</w:t>
      </w:r>
      <w:r w:rsidRPr="00D66335">
        <w:rPr>
          <w:lang w:val="fr-FR"/>
        </w:rPr>
        <w:tab/>
        <w:t>Autres données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13F4064E" w14:textId="49955A1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5.7</w:t>
      </w:r>
      <w:r w:rsidRPr="00D66335">
        <w:rPr>
          <w:lang w:val="fr-FR"/>
        </w:rPr>
        <w:tab/>
        <w:t>Effets sur l</w:t>
      </w:r>
      <w:r>
        <w:rPr>
          <w:lang w:val="fr-FR"/>
        </w:rPr>
        <w:t>’</w:t>
      </w:r>
      <w:r w:rsidRPr="00D66335">
        <w:rPr>
          <w:lang w:val="fr-FR"/>
        </w:rPr>
        <w:t>homme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2D3B14" w:rsidRPr="00B762C5">
        <w:t>___</w:t>
      </w:r>
    </w:p>
    <w:p w14:paraId="13A29E11" w14:textId="77777777" w:rsidR="00635D9E" w:rsidRPr="00D66335" w:rsidRDefault="00635D9E" w:rsidP="00635D9E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</w:r>
      <w:r w:rsidRPr="00D66335">
        <w:rPr>
          <w:bCs/>
          <w:lang w:val="fr-FR"/>
        </w:rPr>
        <w:t>Section 6.</w:t>
      </w:r>
      <w:r w:rsidRPr="00D66335">
        <w:rPr>
          <w:lang w:val="fr-FR"/>
        </w:rPr>
        <w:t xml:space="preserve"> </w:t>
      </w:r>
      <w:r w:rsidRPr="00D66335">
        <w:rPr>
          <w:bCs/>
          <w:lang w:val="fr-FR"/>
        </w:rPr>
        <w:t>INFORMATIONS COMPLÉMENTAIRES</w:t>
      </w:r>
      <w:r w:rsidRPr="00D66335">
        <w:rPr>
          <w:lang w:val="fr-FR"/>
        </w:rPr>
        <w:t xml:space="preserve"> </w:t>
      </w:r>
    </w:p>
    <w:p w14:paraId="6096A517" w14:textId="6AC7F1A3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6.1</w:t>
      </w:r>
      <w:r w:rsidRPr="00D66335">
        <w:rPr>
          <w:lang w:val="fr-FR"/>
        </w:rPr>
        <w:tab/>
        <w:t>Mesures recommandées en cas d</w:t>
      </w:r>
      <w:r>
        <w:rPr>
          <w:lang w:val="fr-FR"/>
        </w:rPr>
        <w:t>’</w:t>
      </w:r>
      <w:r w:rsidRPr="00D66335">
        <w:rPr>
          <w:lang w:val="fr-FR"/>
        </w:rPr>
        <w:t xml:space="preserve">urgence </w:t>
      </w:r>
    </w:p>
    <w:p w14:paraId="0E483A50" w14:textId="4C899669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6.1.1</w:t>
      </w:r>
      <w:r w:rsidRPr="00D66335">
        <w:rPr>
          <w:lang w:val="fr-FR"/>
        </w:rPr>
        <w:tab/>
        <w:t>Incendie (indiquer les agents d</w:t>
      </w:r>
      <w:r>
        <w:rPr>
          <w:lang w:val="fr-FR"/>
        </w:rPr>
        <w:t>’</w:t>
      </w:r>
      <w:r w:rsidRPr="00D66335">
        <w:rPr>
          <w:lang w:val="fr-FR"/>
        </w:rPr>
        <w:t>extinction appropriés et ceux à ne pas utiliser)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2D3B14" w:rsidRPr="00B762C5">
        <w:t>___</w:t>
      </w:r>
    </w:p>
    <w:p w14:paraId="03F1CDDB" w14:textId="1501DBB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6.1.2</w:t>
      </w:r>
      <w:r w:rsidRPr="00D66335">
        <w:rPr>
          <w:lang w:val="fr-FR"/>
        </w:rPr>
        <w:tab/>
        <w:t>Fuite de matière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: </w:t>
      </w:r>
      <w:r w:rsidR="002D3B14" w:rsidRPr="00B762C5">
        <w:t>___</w:t>
      </w:r>
    </w:p>
    <w:p w14:paraId="6E730646" w14:textId="0EE93DDC" w:rsidR="00635D9E" w:rsidRPr="00D66335" w:rsidRDefault="00635D9E" w:rsidP="002D3B14">
      <w:pPr>
        <w:pStyle w:val="SingleTxtG"/>
        <w:keepNext/>
        <w:rPr>
          <w:lang w:val="fr-FR"/>
        </w:rPr>
      </w:pPr>
      <w:r w:rsidRPr="00D66335">
        <w:rPr>
          <w:lang w:val="fr-FR"/>
        </w:rPr>
        <w:lastRenderedPageBreak/>
        <w:t>6.2</w:t>
      </w:r>
      <w:r w:rsidRPr="00D66335">
        <w:rPr>
          <w:lang w:val="fr-FR"/>
        </w:rPr>
        <w:tab/>
        <w:t>Est-il prévu de transporter la matière en</w:t>
      </w:r>
      <w:r w:rsidR="002D3B14">
        <w:rPr>
          <w:lang w:val="fr-FR"/>
        </w:rPr>
        <w:t> :</w:t>
      </w:r>
    </w:p>
    <w:p w14:paraId="4DC4A2B7" w14:textId="69C1CBF3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6.2.1</w:t>
      </w:r>
      <w:r w:rsidRPr="00D66335">
        <w:rPr>
          <w:lang w:val="fr-FR"/>
        </w:rPr>
        <w:tab/>
        <w:t>Conteneurs pour vrac (cf. 6.8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? </w:t>
      </w: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oui/non </w:t>
      </w:r>
    </w:p>
    <w:p w14:paraId="0BA326EB" w14:textId="76083A48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6.2.2</w:t>
      </w:r>
      <w:r w:rsidRPr="00D66335">
        <w:rPr>
          <w:lang w:val="fr-FR"/>
        </w:rPr>
        <w:tab/>
        <w:t>Grands récipients pour vrac (cf. 6.5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? </w:t>
      </w:r>
      <w:r w:rsidRPr="00D66335">
        <w:rPr>
          <w:lang w:val="fr-FR"/>
        </w:rPr>
        <w:tab/>
        <w:t xml:space="preserve">oui/non </w:t>
      </w:r>
    </w:p>
    <w:p w14:paraId="0D18B015" w14:textId="1CAD4142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6.2.3</w:t>
      </w:r>
      <w:r w:rsidRPr="00D66335">
        <w:rPr>
          <w:lang w:val="fr-FR"/>
        </w:rPr>
        <w:tab/>
        <w:t>Citernes mobiles (cf. 6.7</w:t>
      </w:r>
      <w:r w:rsidRPr="00D66335">
        <w:rPr>
          <w:vertAlign w:val="superscript"/>
          <w:lang w:val="fr-FR"/>
        </w:rPr>
        <w:t>1</w:t>
      </w:r>
      <w:r w:rsidRPr="00D66335">
        <w:rPr>
          <w:lang w:val="fr-FR"/>
        </w:rPr>
        <w:t>)</w:t>
      </w:r>
      <w:r w:rsidR="002D3B14">
        <w:rPr>
          <w:lang w:val="fr-FR"/>
        </w:rPr>
        <w:t> </w:t>
      </w:r>
      <w:r w:rsidRPr="00D66335">
        <w:rPr>
          <w:lang w:val="fr-FR"/>
        </w:rPr>
        <w:t xml:space="preserve">? </w:t>
      </w: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oui/non </w:t>
      </w:r>
    </w:p>
    <w:p w14:paraId="0727DDA4" w14:textId="77777777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Si la réponse est affirmative, donner des précisions dans les sections 7, 8 ou 9 ci-dessous, respectivement.</w:t>
      </w:r>
    </w:p>
    <w:p w14:paraId="6D0CB81D" w14:textId="211BE265" w:rsidR="00635D9E" w:rsidRPr="00D66335" w:rsidRDefault="00635D9E" w:rsidP="002D3B14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  <w:t xml:space="preserve">Section 7. CONTENEURS POUR VRAC (à ne remplir que si </w:t>
      </w:r>
      <w:r w:rsidR="002D3B14">
        <w:rPr>
          <w:lang w:val="fr-FR"/>
        </w:rPr>
        <w:br/>
      </w:r>
      <w:r w:rsidRPr="00D66335">
        <w:rPr>
          <w:lang w:val="fr-FR"/>
        </w:rPr>
        <w:t xml:space="preserve">la réponse sous 6.2.1 est </w:t>
      </w:r>
      <w:r w:rsidR="002D3B14">
        <w:rPr>
          <w:lang w:val="fr-FR"/>
        </w:rPr>
        <w:t>« </w:t>
      </w:r>
      <w:r w:rsidRPr="00D66335">
        <w:rPr>
          <w:lang w:val="fr-FR"/>
        </w:rPr>
        <w:t>oui</w:t>
      </w:r>
      <w:r w:rsidR="002D3B14">
        <w:rPr>
          <w:lang w:val="fr-FR"/>
        </w:rPr>
        <w:t> »</w:t>
      </w:r>
      <w:r w:rsidRPr="00D66335">
        <w:rPr>
          <w:lang w:val="fr-FR"/>
        </w:rPr>
        <w:t xml:space="preserve">) </w:t>
      </w:r>
    </w:p>
    <w:p w14:paraId="1C0018B0" w14:textId="45C8FEB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7.1</w:t>
      </w:r>
      <w:r w:rsidRPr="00D66335">
        <w:rPr>
          <w:lang w:val="fr-FR"/>
        </w:rPr>
        <w:tab/>
        <w:t xml:space="preserve">Type(s) proposé(s) ___ </w:t>
      </w:r>
    </w:p>
    <w:p w14:paraId="4ABFDDFF" w14:textId="3498EA4A" w:rsidR="00635D9E" w:rsidRPr="00D66335" w:rsidRDefault="00635D9E" w:rsidP="00635D9E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</w:r>
      <w:r w:rsidRPr="00D66335">
        <w:rPr>
          <w:bCs/>
          <w:lang w:val="fr-FR"/>
        </w:rPr>
        <w:t>Section 8.</w:t>
      </w:r>
      <w:r w:rsidRPr="00D66335">
        <w:rPr>
          <w:lang w:val="fr-FR"/>
        </w:rPr>
        <w:t xml:space="preserve"> </w:t>
      </w:r>
      <w:r w:rsidRPr="00D66335">
        <w:rPr>
          <w:bCs/>
          <w:lang w:val="fr-FR"/>
        </w:rPr>
        <w:t xml:space="preserve">TRANSPORT EN GRANDS RÉCIPIENTS POUR VRAC (GRV) (à ne remplir que si la réponse sous 6.2.2 est </w:t>
      </w:r>
      <w:r w:rsidR="00001AC4">
        <w:rPr>
          <w:bCs/>
          <w:lang w:val="fr-FR"/>
        </w:rPr>
        <w:t>« </w:t>
      </w:r>
      <w:r w:rsidRPr="00D66335">
        <w:rPr>
          <w:bCs/>
          <w:lang w:val="fr-FR"/>
        </w:rPr>
        <w:t>oui</w:t>
      </w:r>
      <w:r w:rsidR="00001AC4">
        <w:rPr>
          <w:bCs/>
          <w:lang w:val="fr-FR"/>
        </w:rPr>
        <w:t> »</w:t>
      </w:r>
      <w:r w:rsidRPr="00D66335">
        <w:rPr>
          <w:bCs/>
          <w:lang w:val="fr-FR"/>
        </w:rPr>
        <w:t>)</w:t>
      </w:r>
      <w:r w:rsidRPr="00D66335">
        <w:rPr>
          <w:lang w:val="fr-FR"/>
        </w:rPr>
        <w:t xml:space="preserve"> </w:t>
      </w:r>
    </w:p>
    <w:p w14:paraId="3DB4531B" w14:textId="43026648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8.1</w:t>
      </w:r>
      <w:r w:rsidRPr="00D66335">
        <w:rPr>
          <w:lang w:val="fr-FR"/>
        </w:rPr>
        <w:tab/>
        <w:t>Type(s) proposé(s)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49E519FC" w14:textId="542D8ED9" w:rsidR="00635D9E" w:rsidRPr="00D66335" w:rsidRDefault="00635D9E" w:rsidP="00635D9E">
      <w:pPr>
        <w:pStyle w:val="H1G"/>
        <w:rPr>
          <w:lang w:val="fr-FR"/>
        </w:rPr>
      </w:pPr>
      <w:r w:rsidRPr="00D66335">
        <w:rPr>
          <w:lang w:val="fr-FR"/>
        </w:rPr>
        <w:tab/>
      </w:r>
      <w:r w:rsidRPr="00D66335">
        <w:rPr>
          <w:lang w:val="fr-FR"/>
        </w:rPr>
        <w:tab/>
      </w:r>
      <w:r w:rsidRPr="00D66335">
        <w:rPr>
          <w:bCs/>
          <w:lang w:val="fr-FR"/>
        </w:rPr>
        <w:t>Section 9.</w:t>
      </w:r>
      <w:r w:rsidRPr="00D66335">
        <w:rPr>
          <w:lang w:val="fr-FR"/>
        </w:rPr>
        <w:t xml:space="preserve"> </w:t>
      </w:r>
      <w:r w:rsidRPr="00D66335">
        <w:rPr>
          <w:bCs/>
          <w:lang w:val="fr-FR"/>
        </w:rPr>
        <w:t xml:space="preserve">TRANSPORT EN CITERNES MOBILES (à ne remplir que si la réponse sous 6.2.3 est </w:t>
      </w:r>
      <w:r w:rsidR="00001AC4">
        <w:rPr>
          <w:bCs/>
          <w:lang w:val="fr-FR"/>
        </w:rPr>
        <w:t>« </w:t>
      </w:r>
      <w:r w:rsidRPr="00D66335">
        <w:rPr>
          <w:bCs/>
          <w:lang w:val="fr-FR"/>
        </w:rPr>
        <w:t>oui</w:t>
      </w:r>
      <w:r w:rsidR="00001AC4">
        <w:rPr>
          <w:bCs/>
          <w:lang w:val="fr-FR"/>
        </w:rPr>
        <w:t> »</w:t>
      </w:r>
      <w:r w:rsidRPr="00D66335">
        <w:rPr>
          <w:bCs/>
          <w:lang w:val="fr-FR"/>
        </w:rPr>
        <w:t>)</w:t>
      </w:r>
      <w:r w:rsidRPr="00D66335">
        <w:rPr>
          <w:lang w:val="fr-FR"/>
        </w:rPr>
        <w:t xml:space="preserve"> </w:t>
      </w:r>
    </w:p>
    <w:p w14:paraId="7522B6F4" w14:textId="60EB6AC5" w:rsidR="00635D9E" w:rsidRPr="00D66335" w:rsidRDefault="00635D9E" w:rsidP="00001AC4">
      <w:pPr>
        <w:pStyle w:val="SingleTxtG"/>
        <w:ind w:left="1701" w:hanging="567"/>
        <w:rPr>
          <w:lang w:val="fr-FR"/>
        </w:rPr>
      </w:pPr>
      <w:r w:rsidRPr="00D66335">
        <w:rPr>
          <w:lang w:val="fr-FR"/>
        </w:rPr>
        <w:t>9.1</w:t>
      </w:r>
      <w:r w:rsidRPr="00D66335">
        <w:rPr>
          <w:lang w:val="fr-FR"/>
        </w:rPr>
        <w:tab/>
        <w:t>Description de la citerne mobile prévue (y compris le type de citerne OMI s</w:t>
      </w:r>
      <w:r>
        <w:rPr>
          <w:lang w:val="fr-FR"/>
        </w:rPr>
        <w:t>’</w:t>
      </w:r>
      <w:r w:rsidRPr="00D66335">
        <w:rPr>
          <w:lang w:val="fr-FR"/>
        </w:rPr>
        <w:t>il est connu)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4FD1A9BF" w14:textId="5BD1422F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9.2</w:t>
      </w:r>
      <w:r w:rsidRPr="00D66335">
        <w:rPr>
          <w:lang w:val="fr-FR"/>
        </w:rPr>
        <w:tab/>
        <w:t>Pression minimale d</w:t>
      </w:r>
      <w:r>
        <w:rPr>
          <w:lang w:val="fr-FR"/>
        </w:rPr>
        <w:t>’</w:t>
      </w:r>
      <w:r w:rsidRPr="00D66335">
        <w:rPr>
          <w:lang w:val="fr-FR"/>
        </w:rPr>
        <w:t>épreuve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3969EF03" w14:textId="3BA9C1C1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9.3</w:t>
      </w:r>
      <w:r w:rsidRPr="00D66335">
        <w:rPr>
          <w:lang w:val="fr-FR"/>
        </w:rPr>
        <w:tab/>
        <w:t>Épaisseur minimale du réservoir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30030BC6" w14:textId="5564B334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9.4</w:t>
      </w:r>
      <w:r w:rsidRPr="00D66335">
        <w:rPr>
          <w:lang w:val="fr-FR"/>
        </w:rPr>
        <w:tab/>
        <w:t>Caractéristiques des orifices de vidange par le bas, s</w:t>
      </w:r>
      <w:r>
        <w:rPr>
          <w:lang w:val="fr-FR"/>
        </w:rPr>
        <w:t>’</w:t>
      </w:r>
      <w:r w:rsidRPr="00D66335">
        <w:rPr>
          <w:lang w:val="fr-FR"/>
        </w:rPr>
        <w:t>ils existent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7FE781EB" w14:textId="733DB658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9.5</w:t>
      </w:r>
      <w:r w:rsidRPr="00D66335">
        <w:rPr>
          <w:lang w:val="fr-FR"/>
        </w:rPr>
        <w:tab/>
        <w:t>Dispositifs de décompression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6F701026" w14:textId="2A3B4EBC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9.6</w:t>
      </w:r>
      <w:r w:rsidRPr="00D66335">
        <w:rPr>
          <w:lang w:val="fr-FR"/>
        </w:rPr>
        <w:tab/>
        <w:t>Taux de remplissage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392884B5" w14:textId="30E434D5" w:rsidR="00635D9E" w:rsidRPr="00D66335" w:rsidRDefault="00635D9E" w:rsidP="00635D9E">
      <w:pPr>
        <w:pStyle w:val="SingleTxtG"/>
        <w:rPr>
          <w:lang w:val="fr-FR"/>
        </w:rPr>
      </w:pPr>
      <w:r w:rsidRPr="00D66335">
        <w:rPr>
          <w:lang w:val="fr-FR"/>
        </w:rPr>
        <w:t>9.7</w:t>
      </w:r>
      <w:r w:rsidRPr="00D66335">
        <w:rPr>
          <w:lang w:val="fr-FR"/>
        </w:rPr>
        <w:tab/>
        <w:t>Matériaux à ne pas utiliser pour la construction</w:t>
      </w:r>
      <w:r w:rsidR="00001AC4">
        <w:rPr>
          <w:lang w:val="fr-FR"/>
        </w:rPr>
        <w:t> </w:t>
      </w:r>
      <w:r w:rsidRPr="00D66335">
        <w:rPr>
          <w:lang w:val="fr-FR"/>
        </w:rPr>
        <w:t xml:space="preserve">: ___ </w:t>
      </w:r>
    </w:p>
    <w:p w14:paraId="5C3CD21F" w14:textId="3DCB8E05" w:rsidR="00446FE5" w:rsidRPr="00635D9E" w:rsidRDefault="00635D9E" w:rsidP="00001AC4">
      <w:pPr>
        <w:spacing w:before="240"/>
        <w:jc w:val="center"/>
        <w:rPr>
          <w:lang w:val="fr-FR"/>
        </w:rPr>
      </w:pPr>
      <w:r w:rsidRPr="00D66335">
        <w:rPr>
          <w:u w:val="single"/>
          <w:lang w:val="fr-FR"/>
        </w:rPr>
        <w:tab/>
      </w:r>
      <w:r w:rsidRPr="00D66335">
        <w:rPr>
          <w:u w:val="single"/>
          <w:lang w:val="fr-FR"/>
        </w:rPr>
        <w:tab/>
      </w:r>
      <w:r w:rsidRPr="00D66335">
        <w:rPr>
          <w:u w:val="single"/>
          <w:lang w:val="fr-FR"/>
        </w:rPr>
        <w:tab/>
      </w:r>
    </w:p>
    <w:sectPr w:rsidR="00446FE5" w:rsidRPr="00635D9E" w:rsidSect="0031158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3BE4" w14:textId="77777777" w:rsidR="00890381" w:rsidRDefault="00890381" w:rsidP="00F95C08">
      <w:pPr>
        <w:spacing w:line="240" w:lineRule="auto"/>
      </w:pPr>
    </w:p>
  </w:endnote>
  <w:endnote w:type="continuationSeparator" w:id="0">
    <w:p w14:paraId="2343464D" w14:textId="77777777" w:rsidR="00890381" w:rsidRPr="00AC3823" w:rsidRDefault="00890381" w:rsidP="00AC3823">
      <w:pPr>
        <w:pStyle w:val="Footer"/>
      </w:pPr>
    </w:p>
  </w:endnote>
  <w:endnote w:type="continuationNotice" w:id="1">
    <w:p w14:paraId="2414E2F0" w14:textId="77777777" w:rsidR="00890381" w:rsidRDefault="008903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8C1F" w14:textId="3266F18C" w:rsidR="002D3B14" w:rsidRPr="00311583" w:rsidRDefault="002D3B14" w:rsidP="00311583">
    <w:pPr>
      <w:pStyle w:val="Footer"/>
      <w:tabs>
        <w:tab w:val="right" w:pos="9638"/>
      </w:tabs>
    </w:pPr>
    <w:r w:rsidRPr="00311583">
      <w:rPr>
        <w:b/>
        <w:sz w:val="18"/>
      </w:rPr>
      <w:fldChar w:fldCharType="begin"/>
    </w:r>
    <w:r w:rsidRPr="00311583">
      <w:rPr>
        <w:b/>
        <w:sz w:val="18"/>
      </w:rPr>
      <w:instrText xml:space="preserve"> PAGE  \* MERGEFORMAT </w:instrText>
    </w:r>
    <w:r w:rsidRPr="00311583">
      <w:rPr>
        <w:b/>
        <w:sz w:val="18"/>
      </w:rPr>
      <w:fldChar w:fldCharType="separate"/>
    </w:r>
    <w:r w:rsidRPr="00311583">
      <w:rPr>
        <w:b/>
        <w:noProof/>
        <w:sz w:val="18"/>
      </w:rPr>
      <w:t>2</w:t>
    </w:r>
    <w:r w:rsidRPr="00311583">
      <w:rPr>
        <w:b/>
        <w:sz w:val="18"/>
      </w:rPr>
      <w:fldChar w:fldCharType="end"/>
    </w:r>
    <w:r>
      <w:rPr>
        <w:b/>
        <w:sz w:val="18"/>
      </w:rPr>
      <w:tab/>
    </w:r>
    <w:r>
      <w:t>GE.21-04221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E598" w14:textId="4AB8B3CA" w:rsidR="002D3B14" w:rsidRPr="00311583" w:rsidRDefault="002D3B14" w:rsidP="00311583">
    <w:pPr>
      <w:pStyle w:val="Footer"/>
      <w:tabs>
        <w:tab w:val="right" w:pos="9638"/>
      </w:tabs>
      <w:rPr>
        <w:b/>
        <w:sz w:val="18"/>
      </w:rPr>
    </w:pPr>
    <w:r>
      <w:t>GE.21-04221</w:t>
    </w:r>
    <w:r>
      <w:tab/>
    </w:r>
    <w:r w:rsidRPr="00311583">
      <w:rPr>
        <w:b/>
        <w:sz w:val="18"/>
      </w:rPr>
      <w:fldChar w:fldCharType="begin"/>
    </w:r>
    <w:r w:rsidRPr="00311583">
      <w:rPr>
        <w:b/>
        <w:sz w:val="18"/>
      </w:rPr>
      <w:instrText xml:space="preserve"> PAGE  \* MERGEFORMAT </w:instrText>
    </w:r>
    <w:r w:rsidRPr="00311583">
      <w:rPr>
        <w:b/>
        <w:sz w:val="18"/>
      </w:rPr>
      <w:fldChar w:fldCharType="separate"/>
    </w:r>
    <w:r w:rsidRPr="00311583">
      <w:rPr>
        <w:b/>
        <w:noProof/>
        <w:sz w:val="18"/>
      </w:rPr>
      <w:t>3</w:t>
    </w:r>
    <w:r w:rsidRPr="003115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F8AE" w14:textId="40ED53F3" w:rsidR="002D3B14" w:rsidRPr="00311583" w:rsidRDefault="002D3B14" w:rsidP="00311583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2292AF" wp14:editId="726B72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21-04221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329C10" wp14:editId="12BCB9C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110521    170521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5D82" w14:textId="77777777" w:rsidR="00890381" w:rsidRPr="00AC3823" w:rsidRDefault="0089038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17E683" w14:textId="77777777" w:rsidR="00890381" w:rsidRPr="00AC3823" w:rsidRDefault="0089038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B62396" w14:textId="77777777" w:rsidR="00890381" w:rsidRPr="00AC3823" w:rsidRDefault="00890381">
      <w:pPr>
        <w:spacing w:line="240" w:lineRule="auto"/>
        <w:rPr>
          <w:sz w:val="2"/>
          <w:szCs w:val="2"/>
        </w:rPr>
      </w:pPr>
    </w:p>
  </w:footnote>
  <w:footnote w:id="2">
    <w:p w14:paraId="51BE2D2E" w14:textId="4F83D910" w:rsidR="002D3B14" w:rsidRPr="00635D9E" w:rsidRDefault="002D3B14">
      <w:pPr>
        <w:pStyle w:val="FootnoteText"/>
      </w:pPr>
      <w:r>
        <w:rPr>
          <w:rStyle w:val="FootnoteReference"/>
        </w:rPr>
        <w:tab/>
      </w:r>
      <w:r w:rsidRPr="00635D9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 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87B1" w14:textId="7FED8F79" w:rsidR="002D3B14" w:rsidRPr="00311583" w:rsidRDefault="0089038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80B78">
      <w:t>ST/SG/AC.10/C.3/2021/3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3259" w14:textId="168FB9C9" w:rsidR="002D3B14" w:rsidRPr="00311583" w:rsidRDefault="00890381" w:rsidP="0031158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80B78">
      <w:t>ST/SG/AC.10/C.3/2021/3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A4C3A"/>
    <w:multiLevelType w:val="hybridMultilevel"/>
    <w:tmpl w:val="2BA8276A"/>
    <w:lvl w:ilvl="0" w:tplc="204C48DA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2"/>
    <w:lvlOverride w:ilvl="0">
      <w:lvl w:ilvl="0" w:tplc="204C48DA">
        <w:start w:val="1"/>
        <w:numFmt w:val="decimal"/>
        <w:lvlText w:val="%1."/>
        <w:lvlJc w:val="left"/>
        <w:pPr>
          <w:ind w:left="1689" w:hanging="555"/>
        </w:pPr>
        <w:rPr>
          <w:rFonts w:cs="Times New Roman" w:hint="default"/>
        </w:rPr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F2"/>
    <w:rsid w:val="00001AC4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902C1"/>
    <w:rsid w:val="001F525A"/>
    <w:rsid w:val="00223272"/>
    <w:rsid w:val="0024779E"/>
    <w:rsid w:val="00283190"/>
    <w:rsid w:val="002832AC"/>
    <w:rsid w:val="002D3B14"/>
    <w:rsid w:val="002D7C93"/>
    <w:rsid w:val="0031158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35D9E"/>
    <w:rsid w:val="00680B78"/>
    <w:rsid w:val="0068456F"/>
    <w:rsid w:val="0071601D"/>
    <w:rsid w:val="007A62E6"/>
    <w:rsid w:val="007F2BF2"/>
    <w:rsid w:val="0080684C"/>
    <w:rsid w:val="008123E0"/>
    <w:rsid w:val="008671F3"/>
    <w:rsid w:val="00871C75"/>
    <w:rsid w:val="008776DC"/>
    <w:rsid w:val="00890381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B0BBA"/>
    <w:rsid w:val="00EB2975"/>
    <w:rsid w:val="00EF2E22"/>
    <w:rsid w:val="00F01738"/>
    <w:rsid w:val="00F660DF"/>
    <w:rsid w:val="00F730C8"/>
    <w:rsid w:val="00F95C08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BD15"/>
  <w15:docId w15:val="{F503C18A-6554-4E34-8270-758B0ED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locked/>
    <w:rsid w:val="00635D9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basedOn w:val="DefaultParagraphFont"/>
    <w:link w:val="SingleTxtG"/>
    <w:uiPriority w:val="99"/>
    <w:rsid w:val="00635D9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uiPriority w:val="99"/>
    <w:locked/>
    <w:rsid w:val="00635D9E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A0162-4CCA-4B40-A923-F3E8BDA576A0}"/>
</file>

<file path=customXml/itemProps2.xml><?xml version="1.0" encoding="utf-8"?>
<ds:datastoreItem xmlns:ds="http://schemas.openxmlformats.org/officeDocument/2006/customXml" ds:itemID="{FC24E675-4C08-4394-B739-10F6EE463042}"/>
</file>

<file path=customXml/itemProps3.xml><?xml version="1.0" encoding="utf-8"?>
<ds:datastoreItem xmlns:ds="http://schemas.openxmlformats.org/officeDocument/2006/customXml" ds:itemID="{3C881634-4E53-453B-84F1-463D4C600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ST/SG/AC.10/C.3/2021/3</vt:lpstr>
    </vt:vector>
  </TitlesOfParts>
  <Company>DCM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ST/SG/AC.10/C.3/2021/3</dc:title>
  <dc:subject/>
  <dc:creator>Fabienne CRELIER</dc:creator>
  <cp:keywords/>
  <cp:lastModifiedBy>Laurence Berthet</cp:lastModifiedBy>
  <cp:revision>3</cp:revision>
  <cp:lastPrinted>2021-05-17T08:22:00Z</cp:lastPrinted>
  <dcterms:created xsi:type="dcterms:W3CDTF">2021-05-17T08:13:00Z</dcterms:created>
  <dcterms:modified xsi:type="dcterms:W3CDTF">2021-05-17T08:22:00Z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