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2583A22D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E9D9115" w14:textId="77777777" w:rsidR="00132EA9" w:rsidRPr="00DB58B5" w:rsidRDefault="00132EA9" w:rsidP="00763F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D3C03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F832733" w14:textId="2B2C7170" w:rsidR="00132EA9" w:rsidRPr="00DB58B5" w:rsidRDefault="00763FA8" w:rsidP="00763FA8">
            <w:pPr>
              <w:jc w:val="right"/>
            </w:pPr>
            <w:r w:rsidRPr="00763FA8">
              <w:rPr>
                <w:sz w:val="40"/>
              </w:rPr>
              <w:t>ST</w:t>
            </w:r>
            <w:r>
              <w:t>/SG/AC.10/C.3/2021/18</w:t>
            </w:r>
          </w:p>
        </w:tc>
      </w:tr>
      <w:tr w:rsidR="00132EA9" w:rsidRPr="00DB58B5" w14:paraId="6865A30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F1593C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D58E39A" wp14:editId="26203B8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F9382C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E70B49" w14:textId="77777777" w:rsidR="00132EA9" w:rsidRDefault="00763FA8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ABC5108" w14:textId="77777777" w:rsidR="00763FA8" w:rsidRDefault="00763FA8" w:rsidP="00763FA8">
            <w:pPr>
              <w:spacing w:line="240" w:lineRule="exact"/>
            </w:pPr>
            <w:r>
              <w:t>16 avril 2021</w:t>
            </w:r>
          </w:p>
          <w:p w14:paraId="54174E60" w14:textId="77777777" w:rsidR="00763FA8" w:rsidRDefault="00763FA8" w:rsidP="00763FA8">
            <w:pPr>
              <w:spacing w:line="240" w:lineRule="exact"/>
            </w:pPr>
            <w:r>
              <w:t>Français</w:t>
            </w:r>
          </w:p>
          <w:p w14:paraId="31ECE6F9" w14:textId="6AC074B2" w:rsidR="00763FA8" w:rsidRPr="00DB58B5" w:rsidRDefault="00763FA8" w:rsidP="00763FA8">
            <w:pPr>
              <w:spacing w:line="240" w:lineRule="exact"/>
            </w:pPr>
            <w:r>
              <w:t>Original : anglais</w:t>
            </w:r>
          </w:p>
        </w:tc>
      </w:tr>
    </w:tbl>
    <w:p w14:paraId="30C56B75" w14:textId="294F615B" w:rsidR="00763FA8" w:rsidRPr="00CA0680" w:rsidRDefault="00763FA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20B842FE" w14:textId="47B1260F" w:rsidR="00763FA8" w:rsidRPr="00CA0680" w:rsidRDefault="00763FA8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0597DA0B" w14:textId="77777777" w:rsidR="00763FA8" w:rsidRPr="007376E2" w:rsidRDefault="00763FA8" w:rsidP="00763FA8">
      <w:pPr>
        <w:spacing w:before="120"/>
        <w:rPr>
          <w:b/>
          <w:lang w:val="fr-FR"/>
        </w:rPr>
      </w:pPr>
      <w:r w:rsidRPr="007376E2">
        <w:rPr>
          <w:b/>
          <w:bCs/>
          <w:lang w:val="fr-FR"/>
        </w:rPr>
        <w:t>Cinquante-huitième session</w:t>
      </w:r>
    </w:p>
    <w:p w14:paraId="2D948BC6" w14:textId="11732EBC" w:rsidR="00763FA8" w:rsidRPr="007376E2" w:rsidRDefault="00763FA8" w:rsidP="00763FA8">
      <w:pPr>
        <w:rPr>
          <w:lang w:val="fr-FR"/>
        </w:rPr>
      </w:pPr>
      <w:r w:rsidRPr="007376E2">
        <w:rPr>
          <w:lang w:val="fr-FR"/>
        </w:rPr>
        <w:t>Genève, 28 juin-2 juillet 2021</w:t>
      </w:r>
    </w:p>
    <w:p w14:paraId="36C2F21D" w14:textId="1ADC0EA5" w:rsidR="00763FA8" w:rsidRPr="007376E2" w:rsidRDefault="00763FA8" w:rsidP="00763FA8">
      <w:pPr>
        <w:rPr>
          <w:lang w:val="fr-FR"/>
        </w:rPr>
      </w:pPr>
      <w:r w:rsidRPr="007376E2">
        <w:rPr>
          <w:lang w:val="fr-FR"/>
        </w:rPr>
        <w:t>Point 3 de l</w:t>
      </w:r>
      <w:r>
        <w:rPr>
          <w:lang w:val="fr-FR"/>
        </w:rPr>
        <w:t>’</w:t>
      </w:r>
      <w:r w:rsidRPr="007376E2">
        <w:rPr>
          <w:lang w:val="fr-FR"/>
        </w:rPr>
        <w:t>ordre du jour provisoire</w:t>
      </w:r>
    </w:p>
    <w:p w14:paraId="6FCF0B70" w14:textId="0DE47BEF" w:rsidR="00763FA8" w:rsidRPr="006601B1" w:rsidRDefault="00763FA8" w:rsidP="00763FA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Inscription, classement </w:t>
      </w:r>
      <w:r w:rsidRPr="006601B1">
        <w:rPr>
          <w:b/>
          <w:bCs/>
          <w:lang w:val="fr-FR"/>
        </w:rPr>
        <w:t>et emballage</w:t>
      </w:r>
    </w:p>
    <w:p w14:paraId="74F6BDC6" w14:textId="047677C1" w:rsidR="00763FA8" w:rsidRPr="006601B1" w:rsidRDefault="00763FA8" w:rsidP="00763FA8">
      <w:pPr>
        <w:pStyle w:val="HChG"/>
        <w:rPr>
          <w:lang w:val="fr-FR"/>
        </w:rPr>
      </w:pPr>
      <w:r w:rsidRPr="006601B1">
        <w:rPr>
          <w:lang w:val="fr-FR"/>
        </w:rPr>
        <w:tab/>
      </w:r>
      <w:r w:rsidRPr="006601B1">
        <w:rPr>
          <w:lang w:val="fr-FR"/>
        </w:rPr>
        <w:tab/>
        <w:t>Groupe d</w:t>
      </w:r>
      <w:r>
        <w:rPr>
          <w:lang w:val="fr-FR"/>
        </w:rPr>
        <w:t>’</w:t>
      </w:r>
      <w:r w:rsidRPr="006601B1">
        <w:rPr>
          <w:lang w:val="fr-FR"/>
        </w:rPr>
        <w:t xml:space="preserve">emballage ONU </w:t>
      </w:r>
      <w:r w:rsidRPr="007376E2">
        <w:rPr>
          <w:lang w:val="fr-FR"/>
        </w:rPr>
        <w:t>des ma</w:t>
      </w:r>
      <w:r w:rsidRPr="006601B1">
        <w:rPr>
          <w:lang w:val="fr-FR"/>
        </w:rPr>
        <w:t>sses magnétisées</w:t>
      </w:r>
    </w:p>
    <w:p w14:paraId="38DB38F6" w14:textId="678F5AF5" w:rsidR="00763FA8" w:rsidRPr="006601B1" w:rsidRDefault="00763FA8" w:rsidP="00763FA8">
      <w:pPr>
        <w:pStyle w:val="H1G"/>
        <w:rPr>
          <w:lang w:val="fr-FR"/>
        </w:rPr>
      </w:pPr>
      <w:r w:rsidRPr="006601B1">
        <w:rPr>
          <w:lang w:val="fr-FR"/>
        </w:rPr>
        <w:tab/>
      </w:r>
      <w:r w:rsidRPr="006601B1">
        <w:rPr>
          <w:lang w:val="fr-FR"/>
        </w:rPr>
        <w:tab/>
        <w:t>Communication de l</w:t>
      </w:r>
      <w:r>
        <w:rPr>
          <w:lang w:val="fr-FR"/>
        </w:rPr>
        <w:t>’</w:t>
      </w:r>
      <w:r w:rsidRPr="006601B1">
        <w:rPr>
          <w:lang w:val="fr-FR"/>
        </w:rPr>
        <w:t>expert de la Chine</w:t>
      </w:r>
      <w:r w:rsidRPr="00763FA8">
        <w:rPr>
          <w:sz w:val="18"/>
          <w:vertAlign w:val="superscript"/>
          <w:lang w:val="fr-FR"/>
        </w:rPr>
        <w:footnoteReference w:id="2"/>
      </w:r>
    </w:p>
    <w:p w14:paraId="53FF5FD7" w14:textId="2CF484BE" w:rsidR="00446FE5" w:rsidRDefault="00763FA8" w:rsidP="00763FA8">
      <w:pPr>
        <w:pStyle w:val="HChG"/>
        <w:rPr>
          <w:lang w:val="fr-FR"/>
        </w:rPr>
      </w:pPr>
      <w:r w:rsidRPr="006601B1">
        <w:rPr>
          <w:lang w:val="fr-FR"/>
        </w:rPr>
        <w:tab/>
      </w:r>
      <w:r w:rsidRPr="006601B1">
        <w:rPr>
          <w:lang w:val="fr-FR"/>
        </w:rPr>
        <w:tab/>
        <w:t>Introduction</w:t>
      </w:r>
    </w:p>
    <w:p w14:paraId="26592F3A" w14:textId="553CC978" w:rsidR="00763FA8" w:rsidRPr="006601B1" w:rsidRDefault="00763FA8" w:rsidP="00763FA8">
      <w:pPr>
        <w:pStyle w:val="SingleTxtG"/>
        <w:rPr>
          <w:lang w:val="fr-FR"/>
        </w:rPr>
      </w:pPr>
      <w:r w:rsidRPr="006601B1">
        <w:rPr>
          <w:lang w:val="fr-FR"/>
        </w:rPr>
        <w:t>1.</w:t>
      </w:r>
      <w:r w:rsidRPr="006601B1">
        <w:rPr>
          <w:lang w:val="fr-FR"/>
        </w:rPr>
        <w:tab/>
        <w:t>Dans la liste des marchandises dangereuses qui figure au chapitre 3.2 du Règlement type de l</w:t>
      </w:r>
      <w:r>
        <w:rPr>
          <w:lang w:val="fr-FR"/>
        </w:rPr>
        <w:t>’</w:t>
      </w:r>
      <w:r w:rsidRPr="006601B1">
        <w:rPr>
          <w:lang w:val="fr-FR"/>
        </w:rPr>
        <w:t xml:space="preserve">ONU, la colonne </w:t>
      </w:r>
      <w:r w:rsidRPr="007376E2">
        <w:rPr>
          <w:lang w:val="fr-FR"/>
        </w:rPr>
        <w:t>« </w:t>
      </w:r>
      <w:r w:rsidRPr="006601B1">
        <w:rPr>
          <w:lang w:val="fr-FR"/>
        </w:rPr>
        <w:t>Groupe d</w:t>
      </w:r>
      <w:r>
        <w:rPr>
          <w:lang w:val="fr-FR"/>
        </w:rPr>
        <w:t>’</w:t>
      </w:r>
      <w:r w:rsidRPr="006601B1">
        <w:rPr>
          <w:lang w:val="fr-FR"/>
        </w:rPr>
        <w:t>emballage ONU</w:t>
      </w:r>
      <w:r w:rsidRPr="007376E2">
        <w:rPr>
          <w:lang w:val="fr-FR"/>
        </w:rPr>
        <w:t> »</w:t>
      </w:r>
      <w:r w:rsidRPr="006601B1">
        <w:rPr>
          <w:lang w:val="fr-FR"/>
        </w:rPr>
        <w:t xml:space="preserve"> </w:t>
      </w:r>
      <w:r w:rsidRPr="007376E2">
        <w:rPr>
          <w:lang w:val="fr-FR"/>
        </w:rPr>
        <w:t xml:space="preserve">contient </w:t>
      </w:r>
      <w:r w:rsidRPr="006601B1">
        <w:rPr>
          <w:lang w:val="fr-FR"/>
        </w:rPr>
        <w:t>le numéro du groupe d</w:t>
      </w:r>
      <w:r>
        <w:rPr>
          <w:lang w:val="fr-FR"/>
        </w:rPr>
        <w:t>’</w:t>
      </w:r>
      <w:r w:rsidRPr="006601B1">
        <w:rPr>
          <w:lang w:val="fr-FR"/>
        </w:rPr>
        <w:t>emballage (</w:t>
      </w:r>
      <w:r w:rsidRPr="007376E2">
        <w:rPr>
          <w:lang w:val="fr-FR"/>
        </w:rPr>
        <w:t xml:space="preserve">à savoir </w:t>
      </w:r>
      <w:r w:rsidRPr="006601B1">
        <w:rPr>
          <w:lang w:val="fr-FR"/>
        </w:rPr>
        <w:t xml:space="preserve">I, II ou III) </w:t>
      </w:r>
      <w:r>
        <w:rPr>
          <w:lang w:val="fr-FR"/>
        </w:rPr>
        <w:t xml:space="preserve">pour </w:t>
      </w:r>
      <w:r w:rsidRPr="006601B1">
        <w:rPr>
          <w:lang w:val="fr-FR"/>
        </w:rPr>
        <w:t>la matière concernée. En d</w:t>
      </w:r>
      <w:r>
        <w:rPr>
          <w:lang w:val="fr-FR"/>
        </w:rPr>
        <w:t>’</w:t>
      </w:r>
      <w:r w:rsidRPr="006601B1">
        <w:rPr>
          <w:lang w:val="fr-FR"/>
        </w:rPr>
        <w:t>autres termes, une fois qu</w:t>
      </w:r>
      <w:r>
        <w:rPr>
          <w:lang w:val="fr-FR"/>
        </w:rPr>
        <w:t>’</w:t>
      </w:r>
      <w:r w:rsidRPr="006601B1">
        <w:rPr>
          <w:lang w:val="fr-FR"/>
        </w:rPr>
        <w:t>un groupe d</w:t>
      </w:r>
      <w:r>
        <w:rPr>
          <w:lang w:val="fr-FR"/>
        </w:rPr>
        <w:t>’</w:t>
      </w:r>
      <w:r w:rsidRPr="006601B1">
        <w:rPr>
          <w:lang w:val="fr-FR"/>
        </w:rPr>
        <w:t>emballage ONU a été a</w:t>
      </w:r>
      <w:r w:rsidRPr="007376E2">
        <w:rPr>
          <w:lang w:val="fr-FR"/>
        </w:rPr>
        <w:t>ssign</w:t>
      </w:r>
      <w:r w:rsidRPr="006601B1">
        <w:rPr>
          <w:lang w:val="fr-FR"/>
        </w:rPr>
        <w:t>é à une matière, celle-ci doit être transportée dans un emballage ONU correspondant.</w:t>
      </w:r>
    </w:p>
    <w:p w14:paraId="46758D93" w14:textId="0D543819" w:rsidR="00763FA8" w:rsidRPr="006601B1" w:rsidRDefault="00763FA8" w:rsidP="00763FA8">
      <w:pPr>
        <w:pStyle w:val="SingleTxtG"/>
        <w:rPr>
          <w:iCs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6601B1">
        <w:rPr>
          <w:lang w:val="fr-FR"/>
        </w:rPr>
        <w:t>Dans la vingt</w:t>
      </w:r>
      <w:r>
        <w:rPr>
          <w:lang w:val="fr-FR"/>
        </w:rPr>
        <w:t xml:space="preserve"> </w:t>
      </w:r>
      <w:r w:rsidRPr="006601B1">
        <w:rPr>
          <w:lang w:val="fr-FR"/>
        </w:rPr>
        <w:t>et</w:t>
      </w:r>
      <w:r>
        <w:rPr>
          <w:lang w:val="fr-FR"/>
        </w:rPr>
        <w:t xml:space="preserve"> </w:t>
      </w:r>
      <w:r w:rsidRPr="006601B1">
        <w:rPr>
          <w:lang w:val="fr-FR"/>
        </w:rPr>
        <w:t>unième édition révisée du Règlement type de l</w:t>
      </w:r>
      <w:r>
        <w:rPr>
          <w:lang w:val="fr-FR"/>
        </w:rPr>
        <w:t>’</w:t>
      </w:r>
      <w:r w:rsidRPr="006601B1">
        <w:rPr>
          <w:lang w:val="fr-FR"/>
        </w:rPr>
        <w:t>ONU, il n</w:t>
      </w:r>
      <w:r>
        <w:rPr>
          <w:lang w:val="fr-FR"/>
        </w:rPr>
        <w:t>’</w:t>
      </w:r>
      <w:r w:rsidRPr="006601B1">
        <w:rPr>
          <w:lang w:val="fr-FR"/>
        </w:rPr>
        <w:t>y a pas d</w:t>
      </w:r>
      <w:r>
        <w:rPr>
          <w:lang w:val="fr-FR"/>
        </w:rPr>
        <w:t>’</w:t>
      </w:r>
      <w:r w:rsidRPr="006601B1">
        <w:rPr>
          <w:lang w:val="fr-FR"/>
        </w:rPr>
        <w:t>instruction d</w:t>
      </w:r>
      <w:r>
        <w:rPr>
          <w:lang w:val="fr-FR"/>
        </w:rPr>
        <w:t>’</w:t>
      </w:r>
      <w:r w:rsidRPr="006601B1">
        <w:rPr>
          <w:lang w:val="fr-FR"/>
        </w:rPr>
        <w:t>emballage ni d</w:t>
      </w:r>
      <w:r>
        <w:rPr>
          <w:lang w:val="fr-FR"/>
        </w:rPr>
        <w:t>’</w:t>
      </w:r>
      <w:r w:rsidRPr="006601B1">
        <w:rPr>
          <w:lang w:val="fr-FR"/>
        </w:rPr>
        <w:t>autre prescription particulière concernant l</w:t>
      </w:r>
      <w:r>
        <w:rPr>
          <w:lang w:val="fr-FR"/>
        </w:rPr>
        <w:t>’</w:t>
      </w:r>
      <w:r w:rsidRPr="006601B1">
        <w:rPr>
          <w:lang w:val="fr-FR"/>
        </w:rPr>
        <w:t xml:space="preserve">emballage pour le </w:t>
      </w:r>
      <w:r>
        <w:rPr>
          <w:lang w:val="fr-FR"/>
        </w:rPr>
        <w:t>No</w:t>
      </w:r>
      <w:r w:rsidR="00B00C06">
        <w:rPr>
          <w:lang w:val="fr-FR"/>
        </w:rPr>
        <w:t> </w:t>
      </w:r>
      <w:r w:rsidRPr="006601B1">
        <w:rPr>
          <w:lang w:val="fr-FR"/>
        </w:rPr>
        <w:t>ONU 2807 MASSES MAGNETIS</w:t>
      </w:r>
      <w:r w:rsidRPr="007376E2">
        <w:rPr>
          <w:lang w:val="fr-FR"/>
        </w:rPr>
        <w:t>ÉES</w:t>
      </w:r>
      <w:r w:rsidRPr="006601B1">
        <w:rPr>
          <w:lang w:val="fr-FR"/>
        </w:rPr>
        <w:t>.</w:t>
      </w:r>
    </w:p>
    <w:p w14:paraId="26C52183" w14:textId="77777777" w:rsidR="00763FA8" w:rsidRPr="006601B1" w:rsidRDefault="00763FA8" w:rsidP="00763FA8">
      <w:pPr>
        <w:spacing w:before="120" w:after="120"/>
        <w:ind w:left="1134" w:right="1134"/>
        <w:jc w:val="both"/>
        <w:rPr>
          <w:lang w:val="fr-FR"/>
        </w:rPr>
      </w:pPr>
      <w:r>
        <w:rPr>
          <w:lang w:val="fr-FR"/>
        </w:rPr>
        <w:t>3.</w:t>
      </w:r>
      <w:r w:rsidRPr="006601B1">
        <w:rPr>
          <w:lang w:val="fr-FR"/>
        </w:rPr>
        <w:tab/>
        <w:t xml:space="preserve">De nombreuses masses magnétisées ne sont pas transportées dans un emballage ONU, </w:t>
      </w:r>
      <w:r w:rsidRPr="007376E2">
        <w:rPr>
          <w:lang w:val="fr-FR"/>
        </w:rPr>
        <w:t xml:space="preserve">ou </w:t>
      </w:r>
      <w:r w:rsidRPr="006601B1">
        <w:rPr>
          <w:lang w:val="fr-FR"/>
        </w:rPr>
        <w:t>même sont transportées sans aucun emballage.</w:t>
      </w:r>
    </w:p>
    <w:p w14:paraId="73A361A6" w14:textId="1D718A30" w:rsidR="00763FA8" w:rsidRPr="006601B1" w:rsidRDefault="00763FA8" w:rsidP="00763FA8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4.</w:t>
      </w:r>
      <w:r w:rsidRPr="006601B1">
        <w:rPr>
          <w:lang w:val="fr-FR"/>
        </w:rPr>
        <w:tab/>
        <w:t>Aucun groupe d</w:t>
      </w:r>
      <w:r>
        <w:rPr>
          <w:lang w:val="fr-FR"/>
        </w:rPr>
        <w:t>’</w:t>
      </w:r>
      <w:r w:rsidRPr="006601B1">
        <w:rPr>
          <w:lang w:val="fr-FR"/>
        </w:rPr>
        <w:t>emballage ONU n</w:t>
      </w:r>
      <w:r>
        <w:rPr>
          <w:lang w:val="fr-FR"/>
        </w:rPr>
        <w:t>’</w:t>
      </w:r>
      <w:r w:rsidRPr="006601B1">
        <w:rPr>
          <w:lang w:val="fr-FR"/>
        </w:rPr>
        <w:t xml:space="preserve">est assigné au </w:t>
      </w:r>
      <w:r>
        <w:rPr>
          <w:lang w:val="fr-FR"/>
        </w:rPr>
        <w:t>No</w:t>
      </w:r>
      <w:r w:rsidRPr="006601B1">
        <w:rPr>
          <w:lang w:val="fr-FR"/>
        </w:rPr>
        <w:t xml:space="preserve"> ONU 2807 dans les </w:t>
      </w:r>
      <w:r w:rsidRPr="001E736C">
        <w:rPr>
          <w:i/>
          <w:iCs/>
          <w:lang w:val="fr-FR"/>
        </w:rPr>
        <w:t>Instructions techniques pour la sécurité du transport aérien des marchandises dangereuses</w:t>
      </w:r>
      <w:r w:rsidRPr="006601B1">
        <w:rPr>
          <w:lang w:val="fr-FR"/>
        </w:rPr>
        <w:t xml:space="preserve"> (éd</w:t>
      </w:r>
      <w:r>
        <w:rPr>
          <w:lang w:val="fr-FR"/>
        </w:rPr>
        <w:t>. </w:t>
      </w:r>
      <w:r w:rsidRPr="006601B1">
        <w:rPr>
          <w:lang w:val="fr-FR"/>
        </w:rPr>
        <w:t>2021</w:t>
      </w:r>
      <w:r>
        <w:rPr>
          <w:lang w:val="fr-FR"/>
        </w:rPr>
        <w:noBreakHyphen/>
      </w:r>
      <w:r w:rsidRPr="006601B1">
        <w:rPr>
          <w:lang w:val="fr-FR"/>
        </w:rPr>
        <w:t>2022) de l</w:t>
      </w:r>
      <w:r>
        <w:rPr>
          <w:lang w:val="fr-FR"/>
        </w:rPr>
        <w:t>’</w:t>
      </w:r>
      <w:r w:rsidRPr="006601B1">
        <w:rPr>
          <w:lang w:val="fr-FR"/>
        </w:rPr>
        <w:t>Organisation de l</w:t>
      </w:r>
      <w:r>
        <w:rPr>
          <w:lang w:val="fr-FR"/>
        </w:rPr>
        <w:t>’</w:t>
      </w:r>
      <w:r w:rsidRPr="006601B1">
        <w:rPr>
          <w:lang w:val="fr-FR"/>
        </w:rPr>
        <w:t>aviation civile internationale (OACI).</w:t>
      </w:r>
    </w:p>
    <w:p w14:paraId="5DE60CF2" w14:textId="7000C54B" w:rsidR="00763FA8" w:rsidRPr="006601B1" w:rsidRDefault="00763FA8" w:rsidP="00763FA8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5.</w:t>
      </w:r>
      <w:r w:rsidRPr="006601B1">
        <w:rPr>
          <w:lang w:val="fr-FR"/>
        </w:rPr>
        <w:tab/>
        <w:t>Par conséquent, il est inutile d</w:t>
      </w:r>
      <w:r>
        <w:rPr>
          <w:lang w:val="fr-FR"/>
        </w:rPr>
        <w:t>’</w:t>
      </w:r>
      <w:r w:rsidRPr="006601B1">
        <w:rPr>
          <w:lang w:val="fr-FR"/>
        </w:rPr>
        <w:t>assigner le groupe d</w:t>
      </w:r>
      <w:r>
        <w:rPr>
          <w:lang w:val="fr-FR"/>
        </w:rPr>
        <w:t>’</w:t>
      </w:r>
      <w:r w:rsidRPr="006601B1">
        <w:rPr>
          <w:lang w:val="fr-FR"/>
        </w:rPr>
        <w:t xml:space="preserve">emballage ONU III aux masses magnétisées. Cela peut </w:t>
      </w:r>
      <w:r>
        <w:rPr>
          <w:lang w:val="fr-FR"/>
        </w:rPr>
        <w:t>en effet</w:t>
      </w:r>
      <w:r w:rsidRPr="006601B1">
        <w:rPr>
          <w:lang w:val="fr-FR"/>
        </w:rPr>
        <w:t xml:space="preserve"> donner à penser que les masses magnétisées doivent être transportées dans des emballages satisfaisant aux prescriptions relatives aux essais pour le groupe d</w:t>
      </w:r>
      <w:r>
        <w:rPr>
          <w:lang w:val="fr-FR"/>
        </w:rPr>
        <w:t>’</w:t>
      </w:r>
      <w:r w:rsidRPr="006601B1">
        <w:rPr>
          <w:lang w:val="fr-FR"/>
        </w:rPr>
        <w:t xml:space="preserve">emballage III. Les experts de la Chine proposent </w:t>
      </w:r>
      <w:r>
        <w:rPr>
          <w:lang w:val="fr-FR"/>
        </w:rPr>
        <w:t xml:space="preserve">ainsi </w:t>
      </w:r>
      <w:r w:rsidRPr="006601B1">
        <w:rPr>
          <w:lang w:val="fr-FR"/>
        </w:rPr>
        <w:t>de supprimer dans la liste des marchandises dangereuses l</w:t>
      </w:r>
      <w:r w:rsidRPr="007376E2">
        <w:rPr>
          <w:lang w:val="fr-FR"/>
        </w:rPr>
        <w:t xml:space="preserve">a mention désignant le </w:t>
      </w:r>
      <w:r w:rsidRPr="006601B1">
        <w:rPr>
          <w:lang w:val="fr-FR"/>
        </w:rPr>
        <w:t>groupe d</w:t>
      </w:r>
      <w:r>
        <w:rPr>
          <w:lang w:val="fr-FR"/>
        </w:rPr>
        <w:t>’</w:t>
      </w:r>
      <w:r w:rsidRPr="006601B1">
        <w:rPr>
          <w:lang w:val="fr-FR"/>
        </w:rPr>
        <w:t xml:space="preserve">emballage III dans la colonne 5) pour le </w:t>
      </w:r>
      <w:r>
        <w:rPr>
          <w:lang w:val="fr-FR"/>
        </w:rPr>
        <w:t>No</w:t>
      </w:r>
      <w:r w:rsidRPr="006601B1">
        <w:rPr>
          <w:lang w:val="fr-FR"/>
        </w:rPr>
        <w:t xml:space="preserve"> ONU 2807</w:t>
      </w:r>
      <w:r w:rsidRPr="007376E2">
        <w:rPr>
          <w:lang w:val="fr-FR"/>
        </w:rPr>
        <w:t xml:space="preserve"> </w:t>
      </w:r>
      <w:r>
        <w:rPr>
          <w:lang w:val="fr-FR"/>
        </w:rPr>
        <w:t>(</w:t>
      </w:r>
      <w:r w:rsidRPr="006601B1">
        <w:rPr>
          <w:lang w:val="fr-FR"/>
        </w:rPr>
        <w:t>masses magnétisées</w:t>
      </w:r>
      <w:r>
        <w:rPr>
          <w:lang w:val="fr-FR"/>
        </w:rPr>
        <w:t>)</w:t>
      </w:r>
      <w:r w:rsidRPr="006601B1">
        <w:rPr>
          <w:lang w:val="fr-FR"/>
        </w:rPr>
        <w:t>.</w:t>
      </w:r>
    </w:p>
    <w:p w14:paraId="5D8B92A1" w14:textId="77777777" w:rsidR="00763FA8" w:rsidRPr="006601B1" w:rsidRDefault="00763FA8" w:rsidP="00763FA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lang w:val="fr-FR"/>
        </w:rPr>
      </w:pPr>
      <w:r w:rsidRPr="006601B1">
        <w:rPr>
          <w:lang w:val="fr-FR"/>
        </w:rPr>
        <w:br w:type="page"/>
      </w:r>
    </w:p>
    <w:p w14:paraId="4E8507D9" w14:textId="77777777" w:rsidR="00763FA8" w:rsidRPr="006601B1" w:rsidRDefault="00763FA8" w:rsidP="00763FA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6601B1">
        <w:rPr>
          <w:b/>
          <w:sz w:val="28"/>
          <w:lang w:val="fr-FR"/>
        </w:rPr>
        <w:lastRenderedPageBreak/>
        <w:tab/>
      </w:r>
      <w:r w:rsidRPr="006601B1">
        <w:rPr>
          <w:b/>
          <w:sz w:val="28"/>
          <w:lang w:val="fr-FR"/>
        </w:rPr>
        <w:tab/>
      </w:r>
      <w:r w:rsidRPr="006601B1">
        <w:rPr>
          <w:b/>
          <w:bCs/>
          <w:sz w:val="28"/>
          <w:lang w:val="fr-FR"/>
        </w:rPr>
        <w:t>Proposition</w:t>
      </w:r>
    </w:p>
    <w:p w14:paraId="608AF61C" w14:textId="689DD125" w:rsidR="00763FA8" w:rsidRPr="006601B1" w:rsidRDefault="00763FA8" w:rsidP="00763FA8">
      <w:pPr>
        <w:tabs>
          <w:tab w:val="left" w:pos="1701"/>
        </w:tabs>
        <w:spacing w:after="120"/>
        <w:ind w:left="1134" w:right="1134"/>
        <w:jc w:val="both"/>
        <w:rPr>
          <w:bCs/>
          <w:iCs/>
          <w:color w:val="000000"/>
          <w:kern w:val="2"/>
          <w:sz w:val="21"/>
          <w:lang w:val="fr-FR"/>
        </w:rPr>
      </w:pPr>
      <w:r>
        <w:rPr>
          <w:lang w:val="fr-FR"/>
        </w:rPr>
        <w:t>6.</w:t>
      </w:r>
      <w:r w:rsidRPr="006601B1">
        <w:rPr>
          <w:lang w:val="fr-FR"/>
        </w:rPr>
        <w:tab/>
        <w:t>Au chapitre</w:t>
      </w:r>
      <w:r w:rsidRPr="006601B1">
        <w:rPr>
          <w:i/>
          <w:iCs/>
          <w:lang w:val="fr-FR"/>
        </w:rPr>
        <w:t xml:space="preserve"> </w:t>
      </w:r>
      <w:r w:rsidRPr="006601B1">
        <w:rPr>
          <w:lang w:val="fr-FR"/>
        </w:rPr>
        <w:t>3.2, Liste des marchandises dangereuses, supprimer le groupe d</w:t>
      </w:r>
      <w:r>
        <w:rPr>
          <w:lang w:val="fr-FR"/>
        </w:rPr>
        <w:t>’</w:t>
      </w:r>
      <w:r w:rsidRPr="006601B1">
        <w:rPr>
          <w:lang w:val="fr-FR"/>
        </w:rPr>
        <w:t xml:space="preserve">emballage III dans la colonne 5) du </w:t>
      </w:r>
      <w:r>
        <w:rPr>
          <w:lang w:val="fr-FR"/>
        </w:rPr>
        <w:t>No</w:t>
      </w:r>
      <w:r w:rsidRPr="006601B1">
        <w:rPr>
          <w:lang w:val="fr-FR"/>
        </w:rPr>
        <w:t xml:space="preserve"> ONU 2807 MA</w:t>
      </w:r>
      <w:r w:rsidRPr="007376E2">
        <w:rPr>
          <w:lang w:val="fr-FR"/>
        </w:rPr>
        <w:t>SSES MAGNÉTISÉES</w:t>
      </w:r>
      <w:r w:rsidRPr="006601B1">
        <w:rPr>
          <w:lang w:val="fr-FR"/>
        </w:rPr>
        <w:t xml:space="preserve">, comme suit (le texte supprimé est </w:t>
      </w:r>
      <w:r w:rsidRPr="006601B1">
        <w:rPr>
          <w:strike/>
          <w:lang w:val="fr-FR"/>
        </w:rPr>
        <w:t>biffé</w:t>
      </w:r>
      <w:r w:rsidRPr="006601B1">
        <w:rPr>
          <w:lang w:val="fr-FR"/>
        </w:rPr>
        <w:t>) :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653"/>
        <w:gridCol w:w="1400"/>
        <w:gridCol w:w="700"/>
        <w:gridCol w:w="798"/>
        <w:gridCol w:w="882"/>
        <w:gridCol w:w="854"/>
        <w:gridCol w:w="405"/>
        <w:gridCol w:w="406"/>
        <w:gridCol w:w="882"/>
        <w:gridCol w:w="854"/>
        <w:gridCol w:w="952"/>
        <w:gridCol w:w="853"/>
      </w:tblGrid>
      <w:tr w:rsidR="00763FA8" w:rsidRPr="001E736C" w14:paraId="6ED71D67" w14:textId="77777777" w:rsidTr="00C150C9">
        <w:tc>
          <w:tcPr>
            <w:tcW w:w="653" w:type="dxa"/>
            <w:vMerge w:val="restart"/>
          </w:tcPr>
          <w:p w14:paraId="4E1067B0" w14:textId="4F9C094F" w:rsidR="00763FA8" w:rsidRPr="00763FA8" w:rsidRDefault="00763FA8" w:rsidP="00C150C9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>N</w:t>
            </w:r>
            <w:r w:rsidR="00B00C06">
              <w:rPr>
                <w:b/>
                <w:bCs/>
                <w:sz w:val="14"/>
                <w:szCs w:val="14"/>
                <w:lang w:val="fr-FR"/>
              </w:rPr>
              <w:t>o</w:t>
            </w:r>
            <w:r w:rsidRPr="00763FA8">
              <w:rPr>
                <w:b/>
                <w:bCs/>
                <w:sz w:val="14"/>
                <w:szCs w:val="14"/>
                <w:lang w:val="fr-FR"/>
              </w:rPr>
              <w:t xml:space="preserve"> ONU</w:t>
            </w:r>
          </w:p>
        </w:tc>
        <w:tc>
          <w:tcPr>
            <w:tcW w:w="1400" w:type="dxa"/>
            <w:vMerge w:val="restart"/>
          </w:tcPr>
          <w:p w14:paraId="6666AAC5" w14:textId="77777777" w:rsidR="00763FA8" w:rsidRPr="00763FA8" w:rsidRDefault="00763FA8" w:rsidP="00C150C9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>Nom et description</w:t>
            </w:r>
          </w:p>
        </w:tc>
        <w:tc>
          <w:tcPr>
            <w:tcW w:w="700" w:type="dxa"/>
            <w:vMerge w:val="restart"/>
          </w:tcPr>
          <w:p w14:paraId="0BB22D9F" w14:textId="768F5644" w:rsidR="00763FA8" w:rsidRPr="00763FA8" w:rsidRDefault="00763FA8" w:rsidP="00C150C9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 xml:space="preserve">Classe </w:t>
            </w:r>
            <w:r w:rsidR="00C150C9">
              <w:rPr>
                <w:b/>
                <w:bCs/>
                <w:sz w:val="14"/>
                <w:szCs w:val="14"/>
                <w:lang w:val="fr-FR"/>
              </w:rPr>
              <w:br/>
            </w:r>
            <w:r w:rsidRPr="00763FA8">
              <w:rPr>
                <w:b/>
                <w:bCs/>
                <w:sz w:val="14"/>
                <w:szCs w:val="14"/>
                <w:lang w:val="fr-FR"/>
              </w:rPr>
              <w:t>ou division</w:t>
            </w:r>
          </w:p>
        </w:tc>
        <w:tc>
          <w:tcPr>
            <w:tcW w:w="798" w:type="dxa"/>
            <w:vMerge w:val="restart"/>
          </w:tcPr>
          <w:p w14:paraId="4D8CEF5F" w14:textId="77777777" w:rsidR="00763FA8" w:rsidRPr="00763FA8" w:rsidRDefault="00763FA8" w:rsidP="00C150C9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>Danger subsidiaire</w:t>
            </w:r>
          </w:p>
        </w:tc>
        <w:tc>
          <w:tcPr>
            <w:tcW w:w="882" w:type="dxa"/>
            <w:vMerge w:val="restart"/>
          </w:tcPr>
          <w:p w14:paraId="32C7FBB6" w14:textId="4C4D839D" w:rsidR="00763FA8" w:rsidRPr="00763FA8" w:rsidRDefault="00763FA8" w:rsidP="00C150C9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>Groupe d</w:t>
            </w:r>
            <w:r>
              <w:rPr>
                <w:b/>
                <w:bCs/>
                <w:sz w:val="14"/>
                <w:szCs w:val="14"/>
                <w:lang w:val="fr-FR"/>
              </w:rPr>
              <w:t>’</w:t>
            </w:r>
            <w:r w:rsidRPr="00763FA8">
              <w:rPr>
                <w:b/>
                <w:bCs/>
                <w:sz w:val="14"/>
                <w:szCs w:val="14"/>
                <w:lang w:val="fr-FR"/>
              </w:rPr>
              <w:t>emballage</w:t>
            </w:r>
          </w:p>
        </w:tc>
        <w:tc>
          <w:tcPr>
            <w:tcW w:w="854" w:type="dxa"/>
            <w:vMerge w:val="restart"/>
          </w:tcPr>
          <w:p w14:paraId="3D1033AF" w14:textId="77777777" w:rsidR="00763FA8" w:rsidRPr="00763FA8" w:rsidRDefault="00763FA8" w:rsidP="00C150C9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b/>
                <w:sz w:val="14"/>
                <w:szCs w:val="14"/>
                <w:u w:val="single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>Dispositions spéciales</w:t>
            </w:r>
          </w:p>
        </w:tc>
        <w:tc>
          <w:tcPr>
            <w:tcW w:w="811" w:type="dxa"/>
            <w:gridSpan w:val="2"/>
            <w:vMerge w:val="restart"/>
          </w:tcPr>
          <w:p w14:paraId="319B8DC0" w14:textId="77777777" w:rsidR="00763FA8" w:rsidRPr="00763FA8" w:rsidRDefault="00763FA8" w:rsidP="00C150C9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>Quantités limitées et quantités exceptées</w:t>
            </w:r>
          </w:p>
        </w:tc>
        <w:tc>
          <w:tcPr>
            <w:tcW w:w="1736" w:type="dxa"/>
            <w:gridSpan w:val="2"/>
            <w:vAlign w:val="center"/>
          </w:tcPr>
          <w:p w14:paraId="3799DC09" w14:textId="77777777" w:rsidR="00763FA8" w:rsidRPr="00763FA8" w:rsidRDefault="00763FA8" w:rsidP="00763FA8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>Emballages et GRV</w:t>
            </w:r>
          </w:p>
        </w:tc>
        <w:tc>
          <w:tcPr>
            <w:tcW w:w="1805" w:type="dxa"/>
            <w:gridSpan w:val="2"/>
            <w:vAlign w:val="center"/>
          </w:tcPr>
          <w:p w14:paraId="249B2495" w14:textId="5FCF280A" w:rsidR="00763FA8" w:rsidRPr="00763FA8" w:rsidRDefault="00763FA8" w:rsidP="00763FA8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 xml:space="preserve">Citernes mobiles </w:t>
            </w:r>
            <w:r>
              <w:rPr>
                <w:b/>
                <w:bCs/>
                <w:sz w:val="14"/>
                <w:szCs w:val="14"/>
                <w:lang w:val="fr-FR"/>
              </w:rPr>
              <w:br/>
            </w:r>
            <w:r w:rsidRPr="00763FA8">
              <w:rPr>
                <w:b/>
                <w:bCs/>
                <w:sz w:val="14"/>
                <w:szCs w:val="14"/>
                <w:lang w:val="fr-FR"/>
              </w:rPr>
              <w:t>et conteneurs pour vrac</w:t>
            </w:r>
          </w:p>
        </w:tc>
      </w:tr>
      <w:tr w:rsidR="00763FA8" w:rsidRPr="006601B1" w14:paraId="65EF41B2" w14:textId="77777777" w:rsidTr="00C150C9">
        <w:tc>
          <w:tcPr>
            <w:tcW w:w="653" w:type="dxa"/>
            <w:vMerge/>
          </w:tcPr>
          <w:p w14:paraId="4D8FD7E0" w14:textId="77777777" w:rsidR="00763FA8" w:rsidRPr="00763FA8" w:rsidRDefault="00763FA8" w:rsidP="00763FA8">
            <w:pPr>
              <w:spacing w:before="80" w:after="80" w:line="200" w:lineRule="exact"/>
              <w:ind w:left="57" w:right="57"/>
              <w:rPr>
                <w:rFonts w:eastAsia="SimSun"/>
                <w:sz w:val="14"/>
                <w:szCs w:val="14"/>
                <w:lang w:val="fr-FR" w:eastAsia="zh-CN"/>
              </w:rPr>
            </w:pPr>
          </w:p>
        </w:tc>
        <w:tc>
          <w:tcPr>
            <w:tcW w:w="1400" w:type="dxa"/>
            <w:vMerge/>
          </w:tcPr>
          <w:p w14:paraId="2259961A" w14:textId="77777777" w:rsidR="00763FA8" w:rsidRPr="00763FA8" w:rsidRDefault="00763FA8" w:rsidP="00763FA8">
            <w:pPr>
              <w:spacing w:before="80" w:after="80" w:line="200" w:lineRule="exact"/>
              <w:ind w:left="57" w:right="57"/>
              <w:rPr>
                <w:rFonts w:eastAsia="SimSun"/>
                <w:sz w:val="14"/>
                <w:szCs w:val="14"/>
                <w:lang w:val="fr-FR" w:eastAsia="zh-CN"/>
              </w:rPr>
            </w:pPr>
          </w:p>
        </w:tc>
        <w:tc>
          <w:tcPr>
            <w:tcW w:w="700" w:type="dxa"/>
            <w:vMerge/>
          </w:tcPr>
          <w:p w14:paraId="61E0223C" w14:textId="77777777" w:rsidR="00763FA8" w:rsidRPr="00763FA8" w:rsidRDefault="00763FA8" w:rsidP="00763FA8">
            <w:pPr>
              <w:spacing w:before="80" w:after="80" w:line="200" w:lineRule="exact"/>
              <w:ind w:left="57" w:right="57"/>
              <w:rPr>
                <w:rFonts w:eastAsia="SimSun"/>
                <w:sz w:val="14"/>
                <w:szCs w:val="14"/>
                <w:lang w:val="fr-FR" w:eastAsia="zh-CN"/>
              </w:rPr>
            </w:pPr>
          </w:p>
        </w:tc>
        <w:tc>
          <w:tcPr>
            <w:tcW w:w="798" w:type="dxa"/>
            <w:vMerge/>
          </w:tcPr>
          <w:p w14:paraId="6E8E39E0" w14:textId="77777777" w:rsidR="00763FA8" w:rsidRPr="00763FA8" w:rsidRDefault="00763FA8" w:rsidP="00763FA8">
            <w:pPr>
              <w:spacing w:before="80" w:after="80" w:line="200" w:lineRule="exact"/>
              <w:ind w:left="57" w:right="57"/>
              <w:rPr>
                <w:rFonts w:eastAsia="SimSun"/>
                <w:sz w:val="14"/>
                <w:szCs w:val="14"/>
                <w:lang w:val="fr-FR" w:eastAsia="zh-CN"/>
              </w:rPr>
            </w:pPr>
          </w:p>
        </w:tc>
        <w:tc>
          <w:tcPr>
            <w:tcW w:w="882" w:type="dxa"/>
            <w:vMerge/>
          </w:tcPr>
          <w:p w14:paraId="614F3DA9" w14:textId="77777777" w:rsidR="00763FA8" w:rsidRPr="00763FA8" w:rsidRDefault="00763FA8" w:rsidP="00763FA8">
            <w:pPr>
              <w:spacing w:before="80" w:after="80" w:line="200" w:lineRule="exact"/>
              <w:ind w:left="57" w:right="57"/>
              <w:rPr>
                <w:rFonts w:eastAsia="SimSun"/>
                <w:sz w:val="14"/>
                <w:szCs w:val="14"/>
                <w:lang w:val="fr-FR" w:eastAsia="zh-CN"/>
              </w:rPr>
            </w:pPr>
          </w:p>
        </w:tc>
        <w:tc>
          <w:tcPr>
            <w:tcW w:w="854" w:type="dxa"/>
            <w:vMerge/>
          </w:tcPr>
          <w:p w14:paraId="37FD5CD4" w14:textId="77777777" w:rsidR="00763FA8" w:rsidRPr="00763FA8" w:rsidRDefault="00763FA8" w:rsidP="00763FA8">
            <w:pPr>
              <w:spacing w:before="80" w:after="80" w:line="200" w:lineRule="exact"/>
              <w:ind w:left="57" w:right="57"/>
              <w:rPr>
                <w:rFonts w:eastAsia="SimSun"/>
                <w:b/>
                <w:sz w:val="14"/>
                <w:szCs w:val="14"/>
                <w:u w:val="single"/>
                <w:lang w:val="fr-FR" w:eastAsia="zh-CN"/>
              </w:rPr>
            </w:pPr>
          </w:p>
        </w:tc>
        <w:tc>
          <w:tcPr>
            <w:tcW w:w="811" w:type="dxa"/>
            <w:gridSpan w:val="2"/>
            <w:vMerge/>
          </w:tcPr>
          <w:p w14:paraId="0DDF0217" w14:textId="77777777" w:rsidR="00763FA8" w:rsidRPr="00763FA8" w:rsidRDefault="00763FA8" w:rsidP="00763FA8">
            <w:pPr>
              <w:spacing w:before="80" w:after="80" w:line="200" w:lineRule="exact"/>
              <w:ind w:left="57" w:right="57"/>
              <w:rPr>
                <w:rFonts w:eastAsia="SimSun"/>
                <w:sz w:val="14"/>
                <w:szCs w:val="14"/>
                <w:lang w:val="fr-FR" w:eastAsia="zh-CN"/>
              </w:rPr>
            </w:pPr>
          </w:p>
        </w:tc>
        <w:tc>
          <w:tcPr>
            <w:tcW w:w="882" w:type="dxa"/>
          </w:tcPr>
          <w:p w14:paraId="3F5FF45D" w14:textId="3C6EE71A" w:rsidR="00763FA8" w:rsidRPr="00763FA8" w:rsidRDefault="00763FA8" w:rsidP="00C150C9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>Instructions d</w:t>
            </w:r>
            <w:r>
              <w:rPr>
                <w:b/>
                <w:bCs/>
                <w:sz w:val="14"/>
                <w:szCs w:val="14"/>
                <w:lang w:val="fr-FR"/>
              </w:rPr>
              <w:t>’</w:t>
            </w:r>
            <w:r w:rsidRPr="00763FA8">
              <w:rPr>
                <w:b/>
                <w:bCs/>
                <w:sz w:val="14"/>
                <w:szCs w:val="14"/>
                <w:lang w:val="fr-FR"/>
              </w:rPr>
              <w:t>emballage</w:t>
            </w:r>
          </w:p>
        </w:tc>
        <w:tc>
          <w:tcPr>
            <w:tcW w:w="854" w:type="dxa"/>
          </w:tcPr>
          <w:p w14:paraId="5F2E5C9D" w14:textId="77777777" w:rsidR="00763FA8" w:rsidRPr="00763FA8" w:rsidRDefault="00763FA8" w:rsidP="00C150C9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>Dispositions spéciales</w:t>
            </w:r>
          </w:p>
        </w:tc>
        <w:tc>
          <w:tcPr>
            <w:tcW w:w="952" w:type="dxa"/>
          </w:tcPr>
          <w:p w14:paraId="10A3E228" w14:textId="77777777" w:rsidR="00763FA8" w:rsidRPr="00763FA8" w:rsidRDefault="00763FA8" w:rsidP="00C150C9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>Instructions de transport</w:t>
            </w:r>
          </w:p>
        </w:tc>
        <w:tc>
          <w:tcPr>
            <w:tcW w:w="853" w:type="dxa"/>
          </w:tcPr>
          <w:p w14:paraId="7A27DA51" w14:textId="77777777" w:rsidR="00763FA8" w:rsidRPr="00763FA8" w:rsidRDefault="00763FA8" w:rsidP="00C150C9">
            <w:pPr>
              <w:spacing w:before="80" w:after="80" w:line="200" w:lineRule="exact"/>
              <w:ind w:left="57" w:right="57"/>
              <w:jc w:val="center"/>
              <w:rPr>
                <w:rFonts w:eastAsia="SimSun"/>
                <w:sz w:val="14"/>
                <w:szCs w:val="14"/>
                <w:lang w:val="fr-FR" w:eastAsia="zh-CN"/>
              </w:rPr>
            </w:pPr>
            <w:r w:rsidRPr="00763FA8">
              <w:rPr>
                <w:b/>
                <w:bCs/>
                <w:sz w:val="14"/>
                <w:szCs w:val="14"/>
                <w:lang w:val="fr-FR"/>
              </w:rPr>
              <w:t>Dispositions spéciales</w:t>
            </w:r>
          </w:p>
        </w:tc>
      </w:tr>
      <w:tr w:rsidR="00763FA8" w:rsidRPr="006601B1" w14:paraId="35A11669" w14:textId="77777777" w:rsidTr="00763FA8">
        <w:tc>
          <w:tcPr>
            <w:tcW w:w="653" w:type="dxa"/>
          </w:tcPr>
          <w:p w14:paraId="26B835A3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1)</w:t>
            </w:r>
          </w:p>
        </w:tc>
        <w:tc>
          <w:tcPr>
            <w:tcW w:w="1400" w:type="dxa"/>
          </w:tcPr>
          <w:p w14:paraId="03EE7E3E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2)</w:t>
            </w:r>
          </w:p>
        </w:tc>
        <w:tc>
          <w:tcPr>
            <w:tcW w:w="700" w:type="dxa"/>
          </w:tcPr>
          <w:p w14:paraId="6F6DC3B2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3)</w:t>
            </w:r>
          </w:p>
        </w:tc>
        <w:tc>
          <w:tcPr>
            <w:tcW w:w="798" w:type="dxa"/>
          </w:tcPr>
          <w:p w14:paraId="60F98630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4)</w:t>
            </w:r>
          </w:p>
        </w:tc>
        <w:tc>
          <w:tcPr>
            <w:tcW w:w="882" w:type="dxa"/>
          </w:tcPr>
          <w:p w14:paraId="5F9DC976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5)</w:t>
            </w:r>
          </w:p>
        </w:tc>
        <w:tc>
          <w:tcPr>
            <w:tcW w:w="854" w:type="dxa"/>
          </w:tcPr>
          <w:p w14:paraId="43468E88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6)</w:t>
            </w:r>
          </w:p>
        </w:tc>
        <w:tc>
          <w:tcPr>
            <w:tcW w:w="405" w:type="dxa"/>
          </w:tcPr>
          <w:p w14:paraId="04D6C902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7a)</w:t>
            </w:r>
          </w:p>
        </w:tc>
        <w:tc>
          <w:tcPr>
            <w:tcW w:w="406" w:type="dxa"/>
          </w:tcPr>
          <w:p w14:paraId="3EE9FDC9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Theme="minorEastAsia"/>
                <w:sz w:val="18"/>
                <w:szCs w:val="18"/>
                <w:lang w:val="fr-FR" w:eastAsia="zh-CN"/>
              </w:rPr>
              <w:t>7b)</w:t>
            </w:r>
          </w:p>
        </w:tc>
        <w:tc>
          <w:tcPr>
            <w:tcW w:w="882" w:type="dxa"/>
          </w:tcPr>
          <w:p w14:paraId="31B9DA5E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8)</w:t>
            </w:r>
          </w:p>
        </w:tc>
        <w:tc>
          <w:tcPr>
            <w:tcW w:w="854" w:type="dxa"/>
          </w:tcPr>
          <w:p w14:paraId="41FB1387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9)</w:t>
            </w:r>
          </w:p>
        </w:tc>
        <w:tc>
          <w:tcPr>
            <w:tcW w:w="952" w:type="dxa"/>
          </w:tcPr>
          <w:p w14:paraId="5828F18A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10)</w:t>
            </w:r>
          </w:p>
        </w:tc>
        <w:tc>
          <w:tcPr>
            <w:tcW w:w="853" w:type="dxa"/>
          </w:tcPr>
          <w:p w14:paraId="35C7309F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11)</w:t>
            </w:r>
          </w:p>
        </w:tc>
      </w:tr>
      <w:tr w:rsidR="00763FA8" w:rsidRPr="006601B1" w14:paraId="1014F6D3" w14:textId="77777777" w:rsidTr="00763FA8">
        <w:tc>
          <w:tcPr>
            <w:tcW w:w="653" w:type="dxa"/>
          </w:tcPr>
          <w:p w14:paraId="7FE57B07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2807</w:t>
            </w:r>
          </w:p>
        </w:tc>
        <w:tc>
          <w:tcPr>
            <w:tcW w:w="1400" w:type="dxa"/>
          </w:tcPr>
          <w:p w14:paraId="21ADC749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MASSES MAGNÉTISÉES</w:t>
            </w:r>
          </w:p>
        </w:tc>
        <w:tc>
          <w:tcPr>
            <w:tcW w:w="700" w:type="dxa"/>
          </w:tcPr>
          <w:p w14:paraId="22C30C38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9</w:t>
            </w:r>
          </w:p>
        </w:tc>
        <w:tc>
          <w:tcPr>
            <w:tcW w:w="798" w:type="dxa"/>
          </w:tcPr>
          <w:p w14:paraId="2FB88BDF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</w:p>
        </w:tc>
        <w:tc>
          <w:tcPr>
            <w:tcW w:w="882" w:type="dxa"/>
          </w:tcPr>
          <w:p w14:paraId="55DAC772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asciiTheme="majorBidi" w:eastAsia="仿宋" w:hAnsiTheme="majorBidi" w:cstheme="majorBidi"/>
                <w:b/>
                <w:bCs/>
                <w:strike/>
                <w:sz w:val="18"/>
                <w:szCs w:val="18"/>
                <w:lang w:val="fr-FR" w:eastAsia="zh-CN"/>
              </w:rPr>
            </w:pPr>
            <w:proofErr w:type="gramStart"/>
            <w:r w:rsidRPr="00763FA8">
              <w:rPr>
                <w:rFonts w:eastAsia="SimSun"/>
                <w:b/>
                <w:bCs/>
                <w:strike/>
                <w:sz w:val="18"/>
                <w:szCs w:val="18"/>
                <w:lang w:val="fr-FR" w:eastAsia="zh-CN"/>
              </w:rPr>
              <w:t>Ⅲ</w:t>
            </w:r>
            <w:proofErr w:type="gramEnd"/>
          </w:p>
        </w:tc>
        <w:tc>
          <w:tcPr>
            <w:tcW w:w="854" w:type="dxa"/>
          </w:tcPr>
          <w:p w14:paraId="45224DA9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="SimSun"/>
                <w:sz w:val="18"/>
                <w:szCs w:val="18"/>
                <w:lang w:val="fr-FR" w:eastAsia="zh-CN"/>
              </w:rPr>
              <w:t>106</w:t>
            </w:r>
          </w:p>
        </w:tc>
        <w:tc>
          <w:tcPr>
            <w:tcW w:w="405" w:type="dxa"/>
          </w:tcPr>
          <w:p w14:paraId="500A1FCA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</w:p>
        </w:tc>
        <w:tc>
          <w:tcPr>
            <w:tcW w:w="406" w:type="dxa"/>
          </w:tcPr>
          <w:p w14:paraId="2F726898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Theme="minorEastAsia"/>
                <w:sz w:val="18"/>
                <w:szCs w:val="18"/>
                <w:lang w:val="fr-FR" w:eastAsia="zh-CN"/>
              </w:rPr>
            </w:pPr>
            <w:r w:rsidRPr="00763FA8">
              <w:rPr>
                <w:rFonts w:eastAsiaTheme="minorEastAsia"/>
                <w:sz w:val="18"/>
                <w:szCs w:val="18"/>
                <w:lang w:val="fr-FR" w:eastAsia="zh-CN"/>
              </w:rPr>
              <w:t>E0</w:t>
            </w:r>
          </w:p>
        </w:tc>
        <w:tc>
          <w:tcPr>
            <w:tcW w:w="882" w:type="dxa"/>
          </w:tcPr>
          <w:p w14:paraId="53234B63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</w:p>
        </w:tc>
        <w:tc>
          <w:tcPr>
            <w:tcW w:w="854" w:type="dxa"/>
          </w:tcPr>
          <w:p w14:paraId="0C0FE956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</w:p>
        </w:tc>
        <w:tc>
          <w:tcPr>
            <w:tcW w:w="952" w:type="dxa"/>
          </w:tcPr>
          <w:p w14:paraId="59774FF3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val="fr-FR" w:eastAsia="zh-CN"/>
              </w:rPr>
            </w:pPr>
          </w:p>
        </w:tc>
        <w:tc>
          <w:tcPr>
            <w:tcW w:w="853" w:type="dxa"/>
          </w:tcPr>
          <w:p w14:paraId="5142F099" w14:textId="77777777" w:rsidR="00763FA8" w:rsidRPr="00763FA8" w:rsidRDefault="00763FA8" w:rsidP="00763FA8">
            <w:pPr>
              <w:spacing w:before="60" w:after="60"/>
              <w:ind w:left="57" w:right="57"/>
              <w:jc w:val="center"/>
              <w:rPr>
                <w:rFonts w:eastAsia="SimSun"/>
                <w:sz w:val="18"/>
                <w:szCs w:val="18"/>
                <w:lang w:val="fr-FR" w:eastAsia="zh-CN"/>
              </w:rPr>
            </w:pPr>
          </w:p>
        </w:tc>
      </w:tr>
    </w:tbl>
    <w:p w14:paraId="3B952AFD" w14:textId="05A49768" w:rsidR="00763FA8" w:rsidRPr="00763FA8" w:rsidRDefault="00763FA8" w:rsidP="00763FA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63FA8" w:rsidRPr="00763FA8" w:rsidSect="00763F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4B32" w14:textId="77777777" w:rsidR="006774C5" w:rsidRDefault="006774C5" w:rsidP="00F95C08">
      <w:pPr>
        <w:spacing w:line="240" w:lineRule="auto"/>
      </w:pPr>
    </w:p>
  </w:endnote>
  <w:endnote w:type="continuationSeparator" w:id="0">
    <w:p w14:paraId="02BFABAB" w14:textId="77777777" w:rsidR="006774C5" w:rsidRPr="00AC3823" w:rsidRDefault="006774C5" w:rsidP="00AC3823">
      <w:pPr>
        <w:pStyle w:val="Footer"/>
      </w:pPr>
    </w:p>
  </w:endnote>
  <w:endnote w:type="continuationNotice" w:id="1">
    <w:p w14:paraId="665AB20C" w14:textId="77777777" w:rsidR="006774C5" w:rsidRDefault="006774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C132B" w14:textId="544F4887" w:rsidR="00763FA8" w:rsidRPr="00763FA8" w:rsidRDefault="00763FA8" w:rsidP="00763FA8">
    <w:pPr>
      <w:pStyle w:val="Footer"/>
      <w:tabs>
        <w:tab w:val="right" w:pos="9638"/>
      </w:tabs>
    </w:pPr>
    <w:r w:rsidRPr="00763FA8">
      <w:rPr>
        <w:b/>
        <w:sz w:val="18"/>
      </w:rPr>
      <w:fldChar w:fldCharType="begin"/>
    </w:r>
    <w:r w:rsidRPr="00763FA8">
      <w:rPr>
        <w:b/>
        <w:sz w:val="18"/>
      </w:rPr>
      <w:instrText xml:space="preserve"> PAGE  \* MERGEFORMAT </w:instrText>
    </w:r>
    <w:r w:rsidRPr="00763FA8">
      <w:rPr>
        <w:b/>
        <w:sz w:val="18"/>
      </w:rPr>
      <w:fldChar w:fldCharType="separate"/>
    </w:r>
    <w:r w:rsidRPr="00763FA8">
      <w:rPr>
        <w:b/>
        <w:noProof/>
        <w:sz w:val="18"/>
      </w:rPr>
      <w:t>2</w:t>
    </w:r>
    <w:r w:rsidRPr="00763FA8">
      <w:rPr>
        <w:b/>
        <w:sz w:val="18"/>
      </w:rPr>
      <w:fldChar w:fldCharType="end"/>
    </w:r>
    <w:r>
      <w:rPr>
        <w:b/>
        <w:sz w:val="18"/>
      </w:rPr>
      <w:tab/>
    </w:r>
    <w:r>
      <w:t>GE.21-05077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87B16" w14:textId="1F043739" w:rsidR="00763FA8" w:rsidRPr="00763FA8" w:rsidRDefault="00763FA8" w:rsidP="00763FA8">
    <w:pPr>
      <w:pStyle w:val="Footer"/>
      <w:tabs>
        <w:tab w:val="right" w:pos="9638"/>
      </w:tabs>
      <w:rPr>
        <w:b/>
        <w:sz w:val="18"/>
      </w:rPr>
    </w:pPr>
    <w:r>
      <w:t>GE.21-05077</w:t>
    </w:r>
    <w:r>
      <w:tab/>
    </w:r>
    <w:r w:rsidRPr="00763FA8">
      <w:rPr>
        <w:b/>
        <w:sz w:val="18"/>
      </w:rPr>
      <w:fldChar w:fldCharType="begin"/>
    </w:r>
    <w:r w:rsidRPr="00763FA8">
      <w:rPr>
        <w:b/>
        <w:sz w:val="18"/>
      </w:rPr>
      <w:instrText xml:space="preserve"> PAGE  \* MERGEFORMAT </w:instrText>
    </w:r>
    <w:r w:rsidRPr="00763FA8">
      <w:rPr>
        <w:b/>
        <w:sz w:val="18"/>
      </w:rPr>
      <w:fldChar w:fldCharType="separate"/>
    </w:r>
    <w:r w:rsidRPr="00763FA8">
      <w:rPr>
        <w:b/>
        <w:noProof/>
        <w:sz w:val="18"/>
      </w:rPr>
      <w:t>3</w:t>
    </w:r>
    <w:r w:rsidRPr="00763F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B51C" w14:textId="03C55414" w:rsidR="0068456F" w:rsidRPr="00763FA8" w:rsidRDefault="00763FA8" w:rsidP="00763FA8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1D18B8D" wp14:editId="3DFC611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05077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4CCA60E" wp14:editId="40DE78E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070521    070521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CF05" w14:textId="77777777" w:rsidR="006774C5" w:rsidRPr="00AC3823" w:rsidRDefault="006774C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F014B0" w14:textId="77777777" w:rsidR="006774C5" w:rsidRPr="00AC3823" w:rsidRDefault="006774C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16B2AD" w14:textId="77777777" w:rsidR="006774C5" w:rsidRPr="00AC3823" w:rsidRDefault="006774C5">
      <w:pPr>
        <w:spacing w:line="240" w:lineRule="auto"/>
        <w:rPr>
          <w:sz w:val="2"/>
          <w:szCs w:val="2"/>
        </w:rPr>
      </w:pPr>
    </w:p>
  </w:footnote>
  <w:footnote w:id="2">
    <w:p w14:paraId="1ED9D78E" w14:textId="5DEAADA0" w:rsidR="00763FA8" w:rsidRPr="0067626D" w:rsidRDefault="00763FA8" w:rsidP="00763FA8">
      <w:pPr>
        <w:pStyle w:val="FootnoteText"/>
        <w:tabs>
          <w:tab w:val="left" w:pos="1418"/>
        </w:tabs>
        <w:ind w:firstLine="0"/>
      </w:pPr>
      <w:r>
        <w:rPr>
          <w:rStyle w:val="FootnoteReference"/>
          <w:lang w:val="fr-FR"/>
        </w:rPr>
        <w:footnoteRef/>
      </w:r>
      <w:r>
        <w:rPr>
          <w:lang w:val="fr-FR"/>
        </w:rPr>
        <w:tab/>
        <w:t>A/75/6 (Sect. 20), par.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CFC98" w14:textId="1E0D039C" w:rsidR="00763FA8" w:rsidRPr="00763FA8" w:rsidRDefault="006774C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65C84">
      <w:t>ST/SG/AC.10/C.3/2021/18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B348" w14:textId="45B8FE44" w:rsidR="00763FA8" w:rsidRPr="00763FA8" w:rsidRDefault="006774C5" w:rsidP="00763FA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65C84">
      <w:t>ST/SG/AC.10/C.3/2021/18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01"/>
    <w:rsid w:val="00017F94"/>
    <w:rsid w:val="00023842"/>
    <w:rsid w:val="000305D3"/>
    <w:rsid w:val="000334F9"/>
    <w:rsid w:val="00044201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553DE"/>
    <w:rsid w:val="006774C5"/>
    <w:rsid w:val="0068456F"/>
    <w:rsid w:val="006B665B"/>
    <w:rsid w:val="0071601D"/>
    <w:rsid w:val="00763FA8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65C84"/>
    <w:rsid w:val="00A81281"/>
    <w:rsid w:val="00AC3823"/>
    <w:rsid w:val="00AE323C"/>
    <w:rsid w:val="00AF1845"/>
    <w:rsid w:val="00B00181"/>
    <w:rsid w:val="00B00B0D"/>
    <w:rsid w:val="00B00C06"/>
    <w:rsid w:val="00B765F7"/>
    <w:rsid w:val="00BA0CA9"/>
    <w:rsid w:val="00C02897"/>
    <w:rsid w:val="00C150C9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  <w:rsid w:val="00F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9B809"/>
  <w15:docId w15:val="{4867DC2C-AD74-4164-94C3-4DA1F9B6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ST/SG/AC.10/C.3/2021/18</dc:title>
  <dc:subject/>
  <dc:creator>Corinne ROBERT</dc:creator>
  <cp:keywords/>
  <cp:lastModifiedBy>Laurence Berthet</cp:lastModifiedBy>
  <cp:revision>3</cp:revision>
  <cp:lastPrinted>2021-05-07T07:42:00Z</cp:lastPrinted>
  <dcterms:created xsi:type="dcterms:W3CDTF">2021-05-07T07:42:00Z</dcterms:created>
  <dcterms:modified xsi:type="dcterms:W3CDTF">2021-05-07T07:42:00Z</dcterms:modified>
</cp:coreProperties>
</file>