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1E5AB0" w14:paraId="0B5B2605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481F9" w14:textId="77777777" w:rsidR="0071025C" w:rsidRPr="0071025C" w:rsidRDefault="0071025C" w:rsidP="0071025C">
            <w:pPr>
              <w:jc w:val="right"/>
              <w:rPr>
                <w:lang w:val="en-US"/>
              </w:rPr>
            </w:pPr>
            <w:r w:rsidRPr="0071025C">
              <w:rPr>
                <w:sz w:val="40"/>
                <w:lang w:val="en-US"/>
              </w:rPr>
              <w:t>E</w:t>
            </w:r>
            <w:r w:rsidRPr="0071025C">
              <w:rPr>
                <w:lang w:val="en-US"/>
              </w:rPr>
              <w:t>/ECE/324/Rev.2/Add.114/Rev.1/Amend.4−</w:t>
            </w:r>
            <w:r w:rsidRPr="0071025C">
              <w:rPr>
                <w:sz w:val="40"/>
                <w:lang w:val="en-US"/>
              </w:rPr>
              <w:t>E</w:t>
            </w:r>
            <w:r w:rsidRPr="0071025C">
              <w:rPr>
                <w:lang w:val="en-US"/>
              </w:rPr>
              <w:t>/ECE/TRANS/505/Rev.2/Add.114/Rev.1/Amend.4</w:t>
            </w:r>
          </w:p>
        </w:tc>
      </w:tr>
      <w:tr w:rsidR="00421A10" w:rsidRPr="00DB58B5" w14:paraId="08843339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CE4B42" w14:textId="77777777" w:rsidR="00421A10" w:rsidRPr="0071025C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29FAB7" w14:textId="77777777" w:rsidR="00421A10" w:rsidRPr="00DB58B5" w:rsidRDefault="0071025C" w:rsidP="00A27C92">
            <w:pPr>
              <w:spacing w:before="480" w:line="240" w:lineRule="exact"/>
            </w:pPr>
            <w:r>
              <w:t>1</w:t>
            </w:r>
            <w:r w:rsidRPr="0071025C">
              <w:rPr>
                <w:vertAlign w:val="superscript"/>
              </w:rPr>
              <w:t>er</w:t>
            </w:r>
            <w:r>
              <w:t xml:space="preserve"> juillet 2020</w:t>
            </w:r>
          </w:p>
        </w:tc>
      </w:tr>
    </w:tbl>
    <w:p w14:paraId="52ADC52F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6F726DBE" w14:textId="0BFD35C9" w:rsidR="00421A10" w:rsidRPr="00583D68" w:rsidRDefault="0029791D" w:rsidP="0071025C">
      <w:pPr>
        <w:pStyle w:val="H1G"/>
        <w:spacing w:before="120" w:after="120"/>
      </w:pPr>
      <w:r>
        <w:tab/>
      </w:r>
      <w:r>
        <w:tab/>
      </w:r>
      <w:r w:rsidR="00421A10" w:rsidRPr="00583D68">
        <w:t xml:space="preserve">Concernant l’adoption </w:t>
      </w:r>
      <w:r w:rsidR="0071025C">
        <w:rPr>
          <w:bCs/>
          <w:lang w:val="fr-FR"/>
        </w:rPr>
        <w:t xml:space="preserve">de Règlements techniques harmonisés </w:t>
      </w:r>
      <w:r w:rsidR="0071025C">
        <w:rPr>
          <w:bCs/>
          <w:lang w:val="fr-FR"/>
        </w:rPr>
        <w:br/>
        <w:t xml:space="preserve">de l’ONU applicables aux véhicules à roues et aux équipements </w:t>
      </w:r>
      <w:r w:rsidR="0071025C">
        <w:rPr>
          <w:bCs/>
          <w:lang w:val="fr-FR"/>
        </w:rPr>
        <w:br/>
        <w:t xml:space="preserve">et pièces susceptibles d’être montés ou utilisés sur les véhicules </w:t>
      </w:r>
      <w:r w:rsidR="0071025C">
        <w:rPr>
          <w:bCs/>
          <w:lang w:val="fr-FR"/>
        </w:rPr>
        <w:br/>
        <w:t xml:space="preserve">à roues et les conditions de reconnaissance réciproque </w:t>
      </w:r>
      <w:r w:rsidR="0071025C">
        <w:rPr>
          <w:bCs/>
          <w:lang w:val="fr-FR"/>
        </w:rPr>
        <w:br/>
        <w:t>des homologations délivrées conformément à ces Règlements</w:t>
      </w:r>
      <w:r w:rsidR="00442E31" w:rsidRPr="0071025C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13E911C7" w14:textId="570F43DE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71025C">
        <w:rPr>
          <w:lang w:val="fr-FR"/>
        </w:rPr>
        <w:t>3, comprenant les amendements entrés en vigueur le 14 septembre 2017)</w:t>
      </w:r>
    </w:p>
    <w:p w14:paraId="6F5BCD97" w14:textId="77777777" w:rsidR="00421A10" w:rsidRPr="006549FF" w:rsidRDefault="0029791D" w:rsidP="0029791D">
      <w:pPr>
        <w:jc w:val="center"/>
      </w:pPr>
      <w:r>
        <w:t>_______________</w:t>
      </w:r>
    </w:p>
    <w:p w14:paraId="2FEB12F1" w14:textId="42DEF1A4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71025C">
        <w:t>114 −</w:t>
      </w:r>
      <w:r w:rsidR="00421A10" w:rsidRPr="006549FF">
        <w:t xml:space="preserve">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71025C">
        <w:t>115</w:t>
      </w:r>
    </w:p>
    <w:p w14:paraId="68426F68" w14:textId="63501D4C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71025C">
        <w:t>1 − Amendement 4</w:t>
      </w:r>
    </w:p>
    <w:p w14:paraId="672BB2A1" w14:textId="23E6BE3C" w:rsidR="00421A10" w:rsidRPr="0029791D" w:rsidRDefault="0071025C" w:rsidP="0071025C">
      <w:pPr>
        <w:pStyle w:val="SingleTxtG"/>
        <w:spacing w:after="240"/>
      </w:pPr>
      <w:r>
        <w:rPr>
          <w:lang w:val="fr-FR"/>
        </w:rPr>
        <w:t>Complément 9 à la version originale du Règlement − Date d’entrée en vigueur : 29 mai 2020</w:t>
      </w:r>
    </w:p>
    <w:p w14:paraId="6502D64A" w14:textId="16159DBD" w:rsidR="0071025C" w:rsidRPr="00F85315" w:rsidRDefault="0071025C" w:rsidP="0071025C">
      <w:pPr>
        <w:pStyle w:val="H1G"/>
        <w:kinsoku/>
        <w:overflowPunct/>
        <w:autoSpaceDE/>
        <w:autoSpaceDN/>
        <w:adjustRightInd/>
        <w:snapToGrid/>
        <w:spacing w:before="120" w:after="120" w:line="240" w:lineRule="exact"/>
        <w:outlineLvl w:val="9"/>
        <w:rPr>
          <w:bCs/>
        </w:rPr>
      </w:pPr>
      <w:r>
        <w:rPr>
          <w:lang w:val="fr-FR"/>
        </w:rPr>
        <w:tab/>
      </w:r>
      <w:r>
        <w:rPr>
          <w:lang w:val="fr-FR"/>
        </w:rPr>
        <w:tab/>
      </w:r>
      <w:r w:rsidRPr="0071025C">
        <w:rPr>
          <w:rFonts w:eastAsia="Times New Roman"/>
          <w:bCs/>
          <w:lang w:val="fr-FR"/>
        </w:rPr>
        <w:t>Prescriptions</w:t>
      </w:r>
      <w:r>
        <w:rPr>
          <w:bCs/>
          <w:lang w:val="fr-FR"/>
        </w:rPr>
        <w:t xml:space="preserve"> uniformes relatives à l’homologation</w:t>
      </w:r>
      <w:r w:rsidR="001E5AB0">
        <w:rPr>
          <w:bCs/>
          <w:lang w:val="fr-FR"/>
        </w:rPr>
        <w:t> </w:t>
      </w:r>
      <w:r>
        <w:rPr>
          <w:bCs/>
          <w:lang w:val="fr-FR"/>
        </w:rPr>
        <w:t>:</w:t>
      </w:r>
    </w:p>
    <w:p w14:paraId="38E3BF95" w14:textId="02565A02" w:rsidR="0071025C" w:rsidRPr="00F85315" w:rsidRDefault="0071025C" w:rsidP="0071025C">
      <w:pPr>
        <w:pStyle w:val="H1G"/>
        <w:spacing w:before="120" w:after="120" w:line="240" w:lineRule="exact"/>
        <w:ind w:left="1701" w:hanging="567"/>
        <w:rPr>
          <w:bCs/>
        </w:rPr>
      </w:pPr>
      <w:r>
        <w:rPr>
          <w:lang w:val="fr-FR"/>
        </w:rPr>
        <w:t>I.</w:t>
      </w:r>
      <w:r>
        <w:rPr>
          <w:lang w:val="fr-FR"/>
        </w:rPr>
        <w:tab/>
      </w:r>
      <w:r>
        <w:rPr>
          <w:bCs/>
          <w:lang w:val="fr-FR"/>
        </w:rPr>
        <w:t xml:space="preserve">Des systèmes spéciaux d’adaptation au GPL (gaz de pétrole liquéfié) pour véhicules automobiles leur permettant </w:t>
      </w:r>
      <w:r w:rsidR="001E5AB0">
        <w:rPr>
          <w:bCs/>
          <w:lang w:val="fr-FR"/>
        </w:rPr>
        <w:br/>
      </w:r>
      <w:r>
        <w:rPr>
          <w:bCs/>
          <w:lang w:val="fr-FR"/>
        </w:rPr>
        <w:t>d’utiliser ce carburant dans leur système de propulsion</w:t>
      </w:r>
    </w:p>
    <w:p w14:paraId="1270B1E4" w14:textId="7202E8F0" w:rsidR="00421A10" w:rsidRDefault="0071025C" w:rsidP="0071025C">
      <w:pPr>
        <w:pStyle w:val="H1G"/>
        <w:spacing w:before="120" w:after="120" w:line="240" w:lineRule="exact"/>
        <w:ind w:left="1701" w:hanging="567"/>
        <w:rPr>
          <w:bCs/>
        </w:rPr>
      </w:pPr>
      <w:r>
        <w:rPr>
          <w:lang w:val="fr-FR"/>
        </w:rPr>
        <w:t>II.</w:t>
      </w:r>
      <w:r>
        <w:rPr>
          <w:lang w:val="fr-FR"/>
        </w:rPr>
        <w:tab/>
      </w:r>
      <w:r w:rsidRPr="00652633">
        <w:rPr>
          <w:bCs/>
        </w:rPr>
        <w:t>Des systèmes spéciaux d</w:t>
      </w:r>
      <w:r>
        <w:rPr>
          <w:bCs/>
        </w:rPr>
        <w:t>’</w:t>
      </w:r>
      <w:r w:rsidRPr="00652633">
        <w:rPr>
          <w:bCs/>
        </w:rPr>
        <w:t xml:space="preserve">adaptation au GNC (gaz naturel comprimé) pour véhicules automobiles leur permettant </w:t>
      </w:r>
      <w:r>
        <w:rPr>
          <w:bCs/>
        </w:rPr>
        <w:br/>
      </w:r>
      <w:r w:rsidRPr="00652633">
        <w:rPr>
          <w:bCs/>
        </w:rPr>
        <w:t>d</w:t>
      </w:r>
      <w:r>
        <w:rPr>
          <w:bCs/>
        </w:rPr>
        <w:t>’</w:t>
      </w:r>
      <w:r w:rsidRPr="00652633">
        <w:rPr>
          <w:bCs/>
        </w:rPr>
        <w:t>utiliser ce carburant dans leur système de propulsion</w:t>
      </w:r>
    </w:p>
    <w:p w14:paraId="10AA8733" w14:textId="5CDC785A" w:rsidR="0071025C" w:rsidRDefault="0071025C" w:rsidP="0071025C">
      <w:pPr>
        <w:pStyle w:val="SingleTxtG"/>
        <w:ind w:firstLine="567"/>
        <w:rPr>
          <w:spacing w:val="-4"/>
          <w:lang w:val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5959" wp14:editId="7E181637">
                <wp:simplePos x="0" y="0"/>
                <wp:positionH relativeFrom="margin">
                  <wp:posOffset>224287</wp:posOffset>
                </wp:positionH>
                <wp:positionV relativeFrom="margin">
                  <wp:posOffset>6465331</wp:posOffset>
                </wp:positionV>
                <wp:extent cx="6119495" cy="11518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C9D7" w14:textId="77777777" w:rsidR="0071025C" w:rsidRPr="0029791D" w:rsidRDefault="0071025C" w:rsidP="0071025C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68AC1C43" w14:textId="77777777" w:rsidR="0071025C" w:rsidRDefault="0071025C" w:rsidP="0071025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7FF8991D" wp14:editId="7F16FCB8">
                                  <wp:extent cx="914400" cy="771525"/>
                                  <wp:effectExtent l="0" t="0" r="0" b="952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C52A68" w14:textId="77777777" w:rsidR="0071025C" w:rsidRDefault="0071025C" w:rsidP="0071025C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2595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.65pt;margin-top:509.1pt;width:481.8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" stroked="f">
                <v:textbox inset="0,0,0,0">
                  <w:txbxContent>
                    <w:p w14:paraId="36E0C9D7" w14:textId="77777777" w:rsidR="0071025C" w:rsidRPr="0029791D" w:rsidRDefault="0071025C" w:rsidP="0071025C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68AC1C43" w14:textId="77777777" w:rsidR="0071025C" w:rsidRDefault="0071025C" w:rsidP="0071025C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7FF8991D" wp14:editId="7F16FCB8">
                            <wp:extent cx="914400" cy="771525"/>
                            <wp:effectExtent l="0" t="0" r="0" b="952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C52A68" w14:textId="77777777" w:rsidR="0071025C" w:rsidRDefault="0071025C" w:rsidP="0071025C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1025C">
        <w:rPr>
          <w:spacing w:val="-4"/>
          <w:lang w:val="fr-FR"/>
        </w:rPr>
        <w:t xml:space="preserve">Le présent document est communiqué uniquement à titre d’information. Le texte authentique, juridiquement contraignant, est celui du document </w:t>
      </w:r>
      <w:bookmarkStart w:id="0" w:name="_Hlk63772921"/>
      <w:r w:rsidRPr="0071025C">
        <w:rPr>
          <w:spacing w:val="-4"/>
          <w:lang w:val="fr-FR"/>
        </w:rPr>
        <w:t>ECE/TRANS/WP.29/2019/113</w:t>
      </w:r>
      <w:bookmarkEnd w:id="0"/>
      <w:r w:rsidRPr="0071025C">
        <w:rPr>
          <w:spacing w:val="-4"/>
          <w:lang w:val="fr-FR"/>
        </w:rPr>
        <w:t>.</w:t>
      </w:r>
      <w:r>
        <w:rPr>
          <w:spacing w:val="-4"/>
          <w:lang w:val="fr-FR"/>
        </w:rPr>
        <w:t xml:space="preserve"> </w:t>
      </w:r>
      <w:r>
        <w:rPr>
          <w:spacing w:val="-4"/>
          <w:lang w:val="fr-FR"/>
        </w:rPr>
        <w:br w:type="page"/>
      </w:r>
    </w:p>
    <w:p w14:paraId="275CABDB" w14:textId="77777777" w:rsidR="0071025C" w:rsidRPr="00F85315" w:rsidRDefault="0071025C" w:rsidP="0071025C">
      <w:pPr>
        <w:pStyle w:val="para"/>
        <w:ind w:left="1134" w:firstLine="0"/>
        <w:rPr>
          <w:lang w:val="fr-CH"/>
        </w:rPr>
      </w:pPr>
      <w:r>
        <w:rPr>
          <w:i/>
          <w:iCs/>
          <w:lang w:val="fr-FR"/>
        </w:rPr>
        <w:lastRenderedPageBreak/>
        <w:t>Ajouter le nouveau paragraphe 2.5.1.4</w:t>
      </w:r>
      <w:r>
        <w:rPr>
          <w:lang w:val="fr-FR"/>
        </w:rPr>
        <w:t>, libellé comme suit :</w:t>
      </w:r>
    </w:p>
    <w:p w14:paraId="2939C1B5" w14:textId="6DB5F32D" w:rsidR="0071025C" w:rsidRPr="00F85315" w:rsidRDefault="0071025C" w:rsidP="0071025C">
      <w:pPr>
        <w:pStyle w:val="para"/>
        <w:rPr>
          <w:lang w:val="fr-CH"/>
        </w:rPr>
      </w:pPr>
      <w:r>
        <w:rPr>
          <w:lang w:val="fr-FR"/>
        </w:rPr>
        <w:t>« 2.5.1.4</w:t>
      </w:r>
      <w:r>
        <w:rPr>
          <w:lang w:val="fr-FR"/>
        </w:rPr>
        <w:tab/>
        <w:t>En ce qui concerne la prescription énoncée au paragraphe 2.5.1.1</w:t>
      </w:r>
      <w:r w:rsidR="001E5AB0">
        <w:rPr>
          <w:lang w:val="fr-FR"/>
        </w:rPr>
        <w:t> </w:t>
      </w:r>
      <w:r>
        <w:rPr>
          <w:lang w:val="fr-FR"/>
        </w:rPr>
        <w:t>e), l’appartenance à la même famille du véhicule équipé du système d’adaptation, applicable uniquement aux fins du présent Règlement, est jugée valable pour les véhicules à essence à injection directe et à injection indirecte sous réserve que toutes les conditions suivantes soient remplies</w:t>
      </w:r>
      <w:r w:rsidR="001E5AB0">
        <w:rPr>
          <w:lang w:val="fr-FR"/>
        </w:rPr>
        <w:t> </w:t>
      </w:r>
      <w:r>
        <w:rPr>
          <w:lang w:val="fr-FR"/>
        </w:rPr>
        <w:t>:</w:t>
      </w:r>
    </w:p>
    <w:p w14:paraId="27C90BBB" w14:textId="23B69021" w:rsidR="0071025C" w:rsidRPr="00F85315" w:rsidRDefault="0071025C" w:rsidP="0071025C">
      <w:pPr>
        <w:pStyle w:val="Bullet2G"/>
        <w:numPr>
          <w:ilvl w:val="0"/>
          <w:numId w:val="0"/>
        </w:numPr>
        <w:ind w:left="2835" w:hanging="567"/>
      </w:pPr>
      <w:r>
        <w:rPr>
          <w:lang w:val="fr-FR"/>
        </w:rPr>
        <w:t>a)</w:t>
      </w:r>
      <w:r>
        <w:rPr>
          <w:lang w:val="fr-FR"/>
        </w:rPr>
        <w:tab/>
        <w:t>Le système d’adaptation est un système d’adaptation de la gestion selon la définition donnée au paragraphe 2.1.5</w:t>
      </w:r>
      <w:r w:rsidR="001E5AB0">
        <w:rPr>
          <w:lang w:val="fr-FR"/>
        </w:rPr>
        <w:t> </w:t>
      </w:r>
      <w:r>
        <w:rPr>
          <w:lang w:val="fr-FR"/>
        </w:rPr>
        <w:t xml:space="preserve">; </w:t>
      </w:r>
    </w:p>
    <w:p w14:paraId="66D3C9A4" w14:textId="5339560E" w:rsidR="0071025C" w:rsidRPr="00F85315" w:rsidRDefault="0071025C" w:rsidP="0071025C">
      <w:pPr>
        <w:pStyle w:val="Bullet2G"/>
        <w:numPr>
          <w:ilvl w:val="0"/>
          <w:numId w:val="0"/>
        </w:numPr>
        <w:ind w:left="2835" w:hanging="567"/>
      </w:pPr>
      <w:r>
        <w:rPr>
          <w:lang w:val="fr-FR"/>
        </w:rPr>
        <w:t>b)</w:t>
      </w:r>
      <w:r>
        <w:rPr>
          <w:lang w:val="fr-FR"/>
        </w:rPr>
        <w:tab/>
        <w:t>Le système d’adaptation fonctionne en mode d’injection indirecte sur les véhicules à essence à injection directe</w:t>
      </w:r>
      <w:r w:rsidR="001E5AB0">
        <w:rPr>
          <w:lang w:val="fr-FR"/>
        </w:rPr>
        <w:t> </w:t>
      </w:r>
      <w:r>
        <w:rPr>
          <w:lang w:val="fr-FR"/>
        </w:rPr>
        <w:t>;</w:t>
      </w:r>
    </w:p>
    <w:p w14:paraId="65EB8812" w14:textId="77777777" w:rsidR="0071025C" w:rsidRPr="00F85315" w:rsidRDefault="0071025C" w:rsidP="0071025C">
      <w:pPr>
        <w:pStyle w:val="Bullet2G"/>
        <w:numPr>
          <w:ilvl w:val="0"/>
          <w:numId w:val="0"/>
        </w:numPr>
        <w:ind w:left="2835" w:hanging="567"/>
      </w:pPr>
      <w:r>
        <w:rPr>
          <w:lang w:val="fr-FR"/>
        </w:rPr>
        <w:t>c)</w:t>
      </w:r>
      <w:r>
        <w:rPr>
          <w:lang w:val="fr-FR"/>
        </w:rPr>
        <w:tab/>
        <w:t xml:space="preserve">Au moins un véhicule à essence à injection directe a été soumis à des essais en tant que véhicule de base selon la définition donnée au paragraphe 2.5. ». </w:t>
      </w:r>
    </w:p>
    <w:p w14:paraId="17CFFF2C" w14:textId="77777777" w:rsidR="0071025C" w:rsidRPr="00F85315" w:rsidRDefault="0071025C" w:rsidP="0071025C">
      <w:pPr>
        <w:spacing w:after="120"/>
        <w:ind w:left="1134" w:right="993"/>
        <w:jc w:val="both"/>
        <w:rPr>
          <w:iCs/>
        </w:rPr>
      </w:pPr>
      <w:r>
        <w:rPr>
          <w:i/>
          <w:iCs/>
          <w:lang w:val="fr-FR"/>
        </w:rPr>
        <w:t>L’ancien paragraphe 2.5.1.4 devient le paragraphe 2.5.1.5</w:t>
      </w:r>
    </w:p>
    <w:p w14:paraId="217CEC4A" w14:textId="77777777" w:rsidR="0071025C" w:rsidRPr="00F85315" w:rsidRDefault="0071025C" w:rsidP="0071025C">
      <w:pPr>
        <w:tabs>
          <w:tab w:val="left" w:pos="2552"/>
        </w:tabs>
        <w:spacing w:after="120"/>
        <w:ind w:left="1134" w:right="993"/>
        <w:jc w:val="both"/>
        <w:rPr>
          <w:i/>
        </w:rPr>
      </w:pPr>
      <w:r>
        <w:rPr>
          <w:i/>
          <w:iCs/>
          <w:lang w:val="fr-FR"/>
        </w:rPr>
        <w:t>Paragraphe 2.5.1.5</w:t>
      </w:r>
      <w:r>
        <w:rPr>
          <w:lang w:val="fr-FR"/>
        </w:rPr>
        <w:t>, lire :</w:t>
      </w:r>
    </w:p>
    <w:p w14:paraId="300C750A" w14:textId="7EFE3AE7" w:rsidR="005F0207" w:rsidRDefault="0071025C" w:rsidP="0071025C">
      <w:pPr>
        <w:pStyle w:val="para"/>
        <w:rPr>
          <w:lang w:val="fr-FR"/>
        </w:rPr>
      </w:pPr>
      <w:r>
        <w:rPr>
          <w:lang w:val="fr-FR"/>
        </w:rPr>
        <w:t>« 2.5.1.5</w:t>
      </w:r>
      <w:r>
        <w:rPr>
          <w:lang w:val="fr-FR"/>
        </w:rPr>
        <w:tab/>
        <w:t>En ce qui concerne la prescription énoncée au paragraphe 2.5.1.1 f), dans le cas d’un système d’adaptation de la gestion, tel qu’il est défini au paragraphe</w:t>
      </w:r>
      <w:r w:rsidR="001E5AB0">
        <w:rPr>
          <w:lang w:val="fr-FR"/>
        </w:rPr>
        <w:t> </w:t>
      </w:r>
      <w:r>
        <w:rPr>
          <w:lang w:val="fr-FR"/>
        </w:rPr>
        <w:t>2.1.5, l’appartenance à la même famille du véhicule équipé du système d’adaptation, applicable uniquement aux fins du présent Règlement, est considérée comme reconnue qu’il y ait ou non injection d’air ou recyclage des gaz d’échappement. ».</w:t>
      </w:r>
    </w:p>
    <w:p w14:paraId="6CBA6D4A" w14:textId="1CC06FF3" w:rsidR="0071025C" w:rsidRPr="0071025C" w:rsidRDefault="0071025C" w:rsidP="0071025C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1025C" w:rsidRPr="0071025C" w:rsidSect="0071025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34F00" w14:textId="77777777" w:rsidR="000258FC" w:rsidRDefault="000258FC"/>
  </w:endnote>
  <w:endnote w:type="continuationSeparator" w:id="0">
    <w:p w14:paraId="66808DB8" w14:textId="77777777" w:rsidR="000258FC" w:rsidRDefault="000258FC">
      <w:pPr>
        <w:pStyle w:val="Pieddepage"/>
      </w:pPr>
    </w:p>
  </w:endnote>
  <w:endnote w:type="continuationNotice" w:id="1">
    <w:p w14:paraId="14B13984" w14:textId="77777777" w:rsidR="000258FC" w:rsidRPr="00C451B9" w:rsidRDefault="000258FC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784D" w14:textId="77777777" w:rsidR="0071025C" w:rsidRPr="0071025C" w:rsidRDefault="0071025C" w:rsidP="0071025C">
    <w:pPr>
      <w:pStyle w:val="Pieddepage"/>
      <w:tabs>
        <w:tab w:val="right" w:pos="9638"/>
      </w:tabs>
    </w:pPr>
    <w:r w:rsidRPr="0071025C">
      <w:rPr>
        <w:b/>
        <w:sz w:val="18"/>
      </w:rPr>
      <w:fldChar w:fldCharType="begin"/>
    </w:r>
    <w:r w:rsidRPr="0071025C">
      <w:rPr>
        <w:b/>
        <w:sz w:val="18"/>
      </w:rPr>
      <w:instrText xml:space="preserve"> PAGE  \* MERGEFORMAT </w:instrText>
    </w:r>
    <w:r w:rsidRPr="0071025C">
      <w:rPr>
        <w:b/>
        <w:sz w:val="18"/>
      </w:rPr>
      <w:fldChar w:fldCharType="separate"/>
    </w:r>
    <w:r w:rsidRPr="0071025C">
      <w:rPr>
        <w:b/>
        <w:noProof/>
        <w:sz w:val="18"/>
      </w:rPr>
      <w:t>2</w:t>
    </w:r>
    <w:r w:rsidRPr="0071025C">
      <w:rPr>
        <w:b/>
        <w:sz w:val="18"/>
      </w:rPr>
      <w:fldChar w:fldCharType="end"/>
    </w:r>
    <w:r>
      <w:rPr>
        <w:b/>
        <w:sz w:val="18"/>
      </w:rPr>
      <w:tab/>
    </w:r>
    <w:r>
      <w:t>GE.20-08755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2818" w14:textId="77777777" w:rsidR="0071025C" w:rsidRPr="0071025C" w:rsidRDefault="0071025C" w:rsidP="0071025C">
    <w:pPr>
      <w:pStyle w:val="Pieddepage"/>
      <w:tabs>
        <w:tab w:val="right" w:pos="9638"/>
      </w:tabs>
      <w:rPr>
        <w:b/>
        <w:sz w:val="18"/>
      </w:rPr>
    </w:pPr>
    <w:r>
      <w:t>GE.20-08755</w:t>
    </w:r>
    <w:r>
      <w:tab/>
    </w:r>
    <w:r w:rsidRPr="0071025C">
      <w:rPr>
        <w:b/>
        <w:sz w:val="18"/>
      </w:rPr>
      <w:fldChar w:fldCharType="begin"/>
    </w:r>
    <w:r w:rsidRPr="0071025C">
      <w:rPr>
        <w:b/>
        <w:sz w:val="18"/>
      </w:rPr>
      <w:instrText xml:space="preserve"> PAGE  \* MERGEFORMAT </w:instrText>
    </w:r>
    <w:r w:rsidRPr="0071025C">
      <w:rPr>
        <w:b/>
        <w:sz w:val="18"/>
      </w:rPr>
      <w:fldChar w:fldCharType="separate"/>
    </w:r>
    <w:r w:rsidRPr="0071025C">
      <w:rPr>
        <w:b/>
        <w:noProof/>
        <w:sz w:val="18"/>
      </w:rPr>
      <w:t>3</w:t>
    </w:r>
    <w:r w:rsidRPr="0071025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AD28" w14:textId="0581F411" w:rsidR="00467F2C" w:rsidRPr="0071025C" w:rsidRDefault="0071025C" w:rsidP="0071025C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656E6500" wp14:editId="572590F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20-08755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9355BC5" wp14:editId="5F0E588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290421    300421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87E4" w14:textId="77777777" w:rsidR="000258FC" w:rsidRPr="00D27D5E" w:rsidRDefault="000258FC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5E647B" w14:textId="77777777" w:rsidR="000258FC" w:rsidRPr="00D171D4" w:rsidRDefault="000258FC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4C5AAF9E" w14:textId="77777777" w:rsidR="000258FC" w:rsidRPr="00C451B9" w:rsidRDefault="000258FC" w:rsidP="00C451B9">
      <w:pPr>
        <w:spacing w:line="240" w:lineRule="auto"/>
        <w:rPr>
          <w:sz w:val="2"/>
          <w:szCs w:val="2"/>
        </w:rPr>
      </w:pPr>
    </w:p>
  </w:footnote>
  <w:footnote w:id="2">
    <w:p w14:paraId="44670337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3EF33C75" w14:textId="77777777" w:rsidR="00591072" w:rsidRPr="00591072" w:rsidRDefault="00591072" w:rsidP="00591072">
      <w:pPr>
        <w:pStyle w:val="Notedebasdepage"/>
      </w:pPr>
      <w:r w:rsidRPr="0071025C">
        <w:tab/>
      </w:r>
      <w:r w:rsidRPr="0071025C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1463286D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3B12A1DC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863" w14:textId="30D7C431" w:rsidR="0071025C" w:rsidRPr="0071025C" w:rsidRDefault="0071025C">
    <w:pPr>
      <w:pStyle w:val="En-tte"/>
      <w:rPr>
        <w:lang w:val="en-US"/>
      </w:rPr>
    </w:pPr>
    <w:r>
      <w:fldChar w:fldCharType="begin"/>
    </w:r>
    <w:r w:rsidRPr="0071025C">
      <w:rPr>
        <w:lang w:val="en-US"/>
      </w:rPr>
      <w:instrText xml:space="preserve"> TITLE  \* MERGEFORMAT </w:instrText>
    </w:r>
    <w:r>
      <w:fldChar w:fldCharType="separate"/>
    </w:r>
    <w:r w:rsidR="00302C70">
      <w:rPr>
        <w:lang w:val="en-US"/>
      </w:rPr>
      <w:t>E/ECE/324/Rev.2/Add.114/Rev.1/Amend.4</w:t>
    </w:r>
    <w:r>
      <w:fldChar w:fldCharType="end"/>
    </w:r>
    <w:r w:rsidRPr="0071025C">
      <w:rPr>
        <w:lang w:val="en-US"/>
      </w:rPr>
      <w:br/>
    </w:r>
    <w:r>
      <w:fldChar w:fldCharType="begin"/>
    </w:r>
    <w:r w:rsidRPr="0071025C">
      <w:rPr>
        <w:lang w:val="en-US"/>
      </w:rPr>
      <w:instrText xml:space="preserve"> KEYWORDS  \* MERGEFORMAT </w:instrText>
    </w:r>
    <w:r>
      <w:fldChar w:fldCharType="separate"/>
    </w:r>
    <w:r w:rsidR="00302C70">
      <w:rPr>
        <w:lang w:val="en-US"/>
      </w:rPr>
      <w:t>E/ECE/TRANS/505/Rev.2/Add.114/Rev.1/Amend.4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17E3" w14:textId="62C3BF78" w:rsidR="0071025C" w:rsidRPr="0071025C" w:rsidRDefault="0071025C" w:rsidP="0071025C">
    <w:pPr>
      <w:pStyle w:val="En-tte"/>
      <w:jc w:val="right"/>
      <w:rPr>
        <w:lang w:val="en-US"/>
      </w:rPr>
    </w:pPr>
    <w:r>
      <w:fldChar w:fldCharType="begin"/>
    </w:r>
    <w:r w:rsidRPr="0071025C">
      <w:rPr>
        <w:lang w:val="en-US"/>
      </w:rPr>
      <w:instrText xml:space="preserve"> TITLE  \* MERGEFORMAT </w:instrText>
    </w:r>
    <w:r>
      <w:fldChar w:fldCharType="separate"/>
    </w:r>
    <w:r w:rsidR="00302C70">
      <w:rPr>
        <w:lang w:val="en-US"/>
      </w:rPr>
      <w:t>E/ECE/324/Rev.2/Add.114/Rev.1/Amend.4</w:t>
    </w:r>
    <w:r>
      <w:fldChar w:fldCharType="end"/>
    </w:r>
    <w:r w:rsidRPr="0071025C">
      <w:rPr>
        <w:lang w:val="en-US"/>
      </w:rPr>
      <w:br/>
    </w:r>
    <w:r>
      <w:fldChar w:fldCharType="begin"/>
    </w:r>
    <w:r w:rsidRPr="0071025C">
      <w:rPr>
        <w:lang w:val="en-US"/>
      </w:rPr>
      <w:instrText xml:space="preserve"> KEYWORDS  \* MERGEFORMAT </w:instrText>
    </w:r>
    <w:r>
      <w:fldChar w:fldCharType="separate"/>
    </w:r>
    <w:r w:rsidR="00302C70">
      <w:rPr>
        <w:lang w:val="en-US"/>
      </w:rPr>
      <w:t>E/ECE/TRANS/505/Rev.2/Add.114/Rev.1/Amend.4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FC"/>
    <w:rsid w:val="0001470D"/>
    <w:rsid w:val="00016165"/>
    <w:rsid w:val="00016AC5"/>
    <w:rsid w:val="00021126"/>
    <w:rsid w:val="00021907"/>
    <w:rsid w:val="000233A5"/>
    <w:rsid w:val="0002445D"/>
    <w:rsid w:val="00024C50"/>
    <w:rsid w:val="000258FC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5AB0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2C70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5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37E12C"/>
  <w15:docId w15:val="{24809219-D917-4783-A926-7E79F15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link w:val="H1GChar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character" w:customStyle="1" w:styleId="H1GChar">
    <w:name w:val="_ H_1_G Char"/>
    <w:link w:val="H1G"/>
    <w:rsid w:val="0071025C"/>
    <w:rPr>
      <w:rFonts w:eastAsiaTheme="minorHAnsi"/>
      <w:b/>
      <w:sz w:val="24"/>
      <w:lang w:val="fr-CH"/>
    </w:rPr>
  </w:style>
  <w:style w:type="paragraph" w:customStyle="1" w:styleId="para">
    <w:name w:val="para"/>
    <w:basedOn w:val="SingleTxtG"/>
    <w:link w:val="paraChar"/>
    <w:qFormat/>
    <w:rsid w:val="0071025C"/>
    <w:pPr>
      <w:kinsoku/>
      <w:overflowPunct/>
      <w:autoSpaceDE/>
      <w:autoSpaceDN/>
      <w:adjustRightInd/>
      <w:snapToGrid/>
      <w:ind w:left="2268" w:hanging="1134"/>
    </w:pPr>
    <w:rPr>
      <w:rFonts w:eastAsia="Times New Roman"/>
      <w:lang w:val="en-GB"/>
    </w:rPr>
  </w:style>
  <w:style w:type="character" w:customStyle="1" w:styleId="paraChar">
    <w:name w:val="para Char"/>
    <w:link w:val="para"/>
    <w:rsid w:val="007102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DF604-EC45-4881-938A-CFC882903001}"/>
</file>

<file path=customXml/itemProps2.xml><?xml version="1.0" encoding="utf-8"?>
<ds:datastoreItem xmlns:ds="http://schemas.openxmlformats.org/officeDocument/2006/customXml" ds:itemID="{6097D6B5-40CD-45BD-9443-7ED4854E1B79}"/>
</file>

<file path=customXml/itemProps3.xml><?xml version="1.0" encoding="utf-8"?>
<ds:datastoreItem xmlns:ds="http://schemas.openxmlformats.org/officeDocument/2006/customXml" ds:itemID="{D9C0AA1E-10DD-408C-BD86-91C2212E5527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3</TotalTime>
  <Pages>2</Pages>
  <Words>340</Words>
  <Characters>2216</Characters>
  <Application>Microsoft Office Word</Application>
  <DocSecurity>0</DocSecurity>
  <Lines>221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E/ECE/324/Rev.2/Add.114/Rev.1/Amend.4</dc:title>
  <dc:creator>Maud DARICHE</dc:creator>
  <cp:keywords>E/ECE/TRANS/505/Rev.2/Add.114/Rev.1/Amend.4</cp:keywords>
  <cp:lastModifiedBy>Maud Dariche</cp:lastModifiedBy>
  <cp:revision>3</cp:revision>
  <cp:lastPrinted>2021-04-30T05:47:00Z</cp:lastPrinted>
  <dcterms:created xsi:type="dcterms:W3CDTF">2021-04-30T05:47:00Z</dcterms:created>
  <dcterms:modified xsi:type="dcterms:W3CDTF">2021-04-30T05:49:00Z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