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E7DF6" w14:paraId="49FF305D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E96CC9" w14:textId="77777777" w:rsidR="003E7DF6" w:rsidRPr="003E7DF6" w:rsidRDefault="003E7DF6" w:rsidP="003E7DF6">
            <w:pPr>
              <w:jc w:val="right"/>
              <w:rPr>
                <w:lang w:val="en-US"/>
              </w:rPr>
            </w:pPr>
            <w:r w:rsidRPr="003E7DF6">
              <w:rPr>
                <w:sz w:val="40"/>
                <w:lang w:val="en-US"/>
              </w:rPr>
              <w:t>E</w:t>
            </w:r>
            <w:r w:rsidRPr="003E7DF6">
              <w:rPr>
                <w:lang w:val="en-US"/>
              </w:rPr>
              <w:t>/ECE/324/Rev.2/Add.106/Rev.7/Amend.4−</w:t>
            </w:r>
            <w:r w:rsidRPr="003E7DF6">
              <w:rPr>
                <w:sz w:val="40"/>
                <w:lang w:val="en-US"/>
              </w:rPr>
              <w:t>E</w:t>
            </w:r>
            <w:r w:rsidRPr="003E7DF6">
              <w:rPr>
                <w:lang w:val="en-US"/>
              </w:rPr>
              <w:t>/ECE/TRANS/505/Rev.2/Add.106/Rev.7/Amend.4</w:t>
            </w:r>
          </w:p>
        </w:tc>
      </w:tr>
      <w:tr w:rsidR="00421A10" w:rsidRPr="00DB58B5" w14:paraId="44E657B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EF355A" w14:textId="77777777" w:rsidR="00421A10" w:rsidRPr="003E7DF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DEA82B" w14:textId="77777777" w:rsidR="00421A10" w:rsidRPr="00DB58B5" w:rsidRDefault="003E7DF6" w:rsidP="00A27C92">
            <w:pPr>
              <w:spacing w:before="480" w:line="240" w:lineRule="exact"/>
            </w:pPr>
            <w:r>
              <w:t>1</w:t>
            </w:r>
            <w:r w:rsidRPr="003E7DF6">
              <w:rPr>
                <w:vertAlign w:val="superscript"/>
              </w:rPr>
              <w:t>er</w:t>
            </w:r>
            <w:r>
              <w:t> juillet 2020</w:t>
            </w:r>
          </w:p>
        </w:tc>
      </w:tr>
    </w:tbl>
    <w:p w14:paraId="53C0802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B01C64B" w14:textId="77777777" w:rsidR="00421A10" w:rsidRPr="00583D68" w:rsidRDefault="0029791D" w:rsidP="0029791D">
      <w:pPr>
        <w:pStyle w:val="H1G"/>
      </w:pPr>
      <w:r>
        <w:tab/>
      </w:r>
      <w:r>
        <w:tab/>
      </w:r>
      <w:r w:rsidR="003E7DF6" w:rsidRPr="001D47F0">
        <w:rPr>
          <w:lang w:val="fr-FR"/>
        </w:rPr>
        <w:t>Concernant l</w:t>
      </w:r>
      <w:r w:rsidR="003E7DF6">
        <w:rPr>
          <w:lang w:val="fr-FR"/>
        </w:rPr>
        <w:t>’</w:t>
      </w:r>
      <w:r w:rsidR="003E7DF6" w:rsidRPr="001D47F0">
        <w:rPr>
          <w:lang w:val="fr-FR"/>
        </w:rPr>
        <w:t>adoption de Règlements techniques harmonisés de l</w:t>
      </w:r>
      <w:r w:rsidR="003E7DF6">
        <w:rPr>
          <w:lang w:val="fr-FR"/>
        </w:rPr>
        <w:t>’</w:t>
      </w:r>
      <w:r w:rsidR="003E7DF6" w:rsidRPr="001D47F0">
        <w:rPr>
          <w:lang w:val="fr-FR"/>
        </w:rPr>
        <w:t>ONU applicables aux véhicules à roues et aux équipements et pièces susceptibles d</w:t>
      </w:r>
      <w:r w:rsidR="003E7DF6">
        <w:rPr>
          <w:lang w:val="fr-FR"/>
        </w:rPr>
        <w:t>’</w:t>
      </w:r>
      <w:r w:rsidR="003E7DF6" w:rsidRPr="001D47F0">
        <w:rPr>
          <w:lang w:val="fr-FR"/>
        </w:rPr>
        <w:t xml:space="preserve">être montés ou utilisés sur les véhicules à roues </w:t>
      </w:r>
      <w:r w:rsidR="003E7DF6">
        <w:rPr>
          <w:lang w:val="fr-FR"/>
        </w:rPr>
        <w:br/>
      </w:r>
      <w:r w:rsidR="003E7DF6" w:rsidRPr="001D47F0">
        <w:rPr>
          <w:lang w:val="fr-FR"/>
        </w:rPr>
        <w:t>et les conditions de reconnaissance réciproque des homologations délivrées conformément à ces Règlements</w:t>
      </w:r>
      <w:r w:rsidR="00442E31" w:rsidRPr="003E7DF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E20E877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3E7DF6" w:rsidRPr="001D47F0">
        <w:rPr>
          <w:lang w:val="fr-FR"/>
        </w:rPr>
        <w:t>Révision 3, comprenant les amendements entrés en vigueur le 14</w:t>
      </w:r>
      <w:r w:rsidR="003E7DF6">
        <w:rPr>
          <w:lang w:val="fr-FR"/>
        </w:rPr>
        <w:t> </w:t>
      </w:r>
      <w:r w:rsidR="003E7DF6" w:rsidRPr="001D47F0">
        <w:rPr>
          <w:lang w:val="fr-FR"/>
        </w:rPr>
        <w:t>septembre 2017</w:t>
      </w:r>
      <w:r w:rsidRPr="006549FF">
        <w:t>)</w:t>
      </w:r>
    </w:p>
    <w:p w14:paraId="3F82E011" w14:textId="77777777" w:rsidR="00421A10" w:rsidRPr="006549FF" w:rsidRDefault="0029791D" w:rsidP="0029791D">
      <w:pPr>
        <w:jc w:val="center"/>
      </w:pPr>
      <w:r>
        <w:t>_______________</w:t>
      </w:r>
    </w:p>
    <w:p w14:paraId="1ADAC6E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3E7DF6" w:rsidRPr="001D47F0">
        <w:rPr>
          <w:lang w:val="fr-FR"/>
        </w:rPr>
        <w:t xml:space="preserve">106 </w:t>
      </w:r>
      <w:r w:rsidR="003E7DF6">
        <w:rPr>
          <w:lang w:val="fr-FR"/>
        </w:rPr>
        <w:t>−</w:t>
      </w:r>
      <w:r w:rsidR="003E7DF6" w:rsidRPr="001D47F0">
        <w:rPr>
          <w:lang w:val="fr-FR"/>
        </w:rPr>
        <w:t xml:space="preserve"> Règlement ONU n</w:t>
      </w:r>
      <w:r w:rsidR="003E7DF6" w:rsidRPr="00A449DF">
        <w:rPr>
          <w:vertAlign w:val="superscript"/>
          <w:lang w:val="fr-FR"/>
        </w:rPr>
        <w:t>o</w:t>
      </w:r>
      <w:r w:rsidR="003E7DF6" w:rsidRPr="001D47F0">
        <w:rPr>
          <w:lang w:val="fr-FR"/>
        </w:rPr>
        <w:t xml:space="preserve"> 107</w:t>
      </w:r>
    </w:p>
    <w:p w14:paraId="560DD792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3E7DF6" w:rsidRPr="001D47F0">
        <w:rPr>
          <w:lang w:val="fr-FR"/>
        </w:rPr>
        <w:t xml:space="preserve">7 </w:t>
      </w:r>
      <w:r w:rsidR="003E7DF6">
        <w:rPr>
          <w:lang w:val="fr-FR"/>
        </w:rPr>
        <w:t>−</w:t>
      </w:r>
      <w:r w:rsidR="003E7DF6" w:rsidRPr="001D47F0">
        <w:rPr>
          <w:lang w:val="fr-FR"/>
        </w:rPr>
        <w:t xml:space="preserve"> Amendement 4</w:t>
      </w:r>
    </w:p>
    <w:p w14:paraId="6C13F0B3" w14:textId="77777777" w:rsidR="00421A10" w:rsidRPr="004A7E44" w:rsidRDefault="003E7DF6" w:rsidP="0029791D">
      <w:pPr>
        <w:pStyle w:val="SingleTxtG"/>
        <w:spacing w:after="0"/>
      </w:pPr>
      <w:r w:rsidRPr="001D47F0">
        <w:rPr>
          <w:spacing w:val="-2"/>
          <w:lang w:val="fr-FR"/>
        </w:rPr>
        <w:t>Complément 3 à la série 07 d</w:t>
      </w:r>
      <w:r>
        <w:rPr>
          <w:spacing w:val="-2"/>
          <w:lang w:val="fr-FR"/>
        </w:rPr>
        <w:t>’</w:t>
      </w:r>
      <w:r w:rsidRPr="001D47F0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1D47F0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’entrée en vigueur</w:t>
      </w:r>
      <w:r>
        <w:rPr>
          <w:spacing w:val="-2"/>
          <w:lang w:val="fr-FR"/>
        </w:rPr>
        <w:t> </w:t>
      </w:r>
      <w:r w:rsidRPr="001D47F0">
        <w:rPr>
          <w:spacing w:val="-2"/>
          <w:lang w:val="fr-FR"/>
        </w:rPr>
        <w:t xml:space="preserve">: </w:t>
      </w:r>
      <w:r w:rsidRPr="001D47F0">
        <w:rPr>
          <w:lang w:val="fr-FR"/>
        </w:rPr>
        <w:t>29</w:t>
      </w:r>
      <w:r>
        <w:rPr>
          <w:lang w:val="fr-FR"/>
        </w:rPr>
        <w:t> </w:t>
      </w:r>
      <w:r>
        <w:rPr>
          <w:lang w:val="fr-FR"/>
        </w:rPr>
        <w:t>mai</w:t>
      </w:r>
      <w:r w:rsidRPr="001D47F0">
        <w:rPr>
          <w:lang w:val="fr-FR"/>
        </w:rPr>
        <w:t xml:space="preserve"> 2020</w:t>
      </w:r>
    </w:p>
    <w:p w14:paraId="5405FC1C" w14:textId="77777777" w:rsidR="00421A10" w:rsidRPr="0029791D" w:rsidRDefault="00421A10" w:rsidP="0029791D">
      <w:pPr>
        <w:pStyle w:val="SingleTxtG"/>
      </w:pPr>
    </w:p>
    <w:p w14:paraId="04A5AC65" w14:textId="77777777" w:rsidR="00421A10" w:rsidRDefault="0029791D" w:rsidP="0029791D">
      <w:pPr>
        <w:pStyle w:val="H1G"/>
      </w:pPr>
      <w:r>
        <w:tab/>
      </w:r>
      <w:r>
        <w:tab/>
      </w:r>
      <w:r w:rsidR="003E7DF6" w:rsidRPr="001D47F0">
        <w:rPr>
          <w:lang w:val="fr-FR"/>
        </w:rPr>
        <w:t>Prescriptions uniformes relatives à l</w:t>
      </w:r>
      <w:r w:rsidR="003E7DF6">
        <w:rPr>
          <w:lang w:val="fr-FR"/>
        </w:rPr>
        <w:t>’</w:t>
      </w:r>
      <w:r w:rsidR="003E7DF6" w:rsidRPr="001D47F0">
        <w:rPr>
          <w:lang w:val="fr-FR"/>
        </w:rPr>
        <w:t xml:space="preserve">homologation des véhicules </w:t>
      </w:r>
      <w:r w:rsidR="003E7DF6">
        <w:rPr>
          <w:lang w:val="fr-FR"/>
        </w:rPr>
        <w:br/>
      </w:r>
      <w:r w:rsidR="003E7DF6" w:rsidRPr="001D47F0">
        <w:rPr>
          <w:lang w:val="fr-FR"/>
        </w:rPr>
        <w:t>des catégories M</w:t>
      </w:r>
      <w:r w:rsidR="003E7DF6" w:rsidRPr="00A449DF">
        <w:rPr>
          <w:vertAlign w:val="subscript"/>
          <w:lang w:val="fr-FR"/>
        </w:rPr>
        <w:t>2</w:t>
      </w:r>
      <w:r w:rsidR="003E7DF6" w:rsidRPr="001D47F0">
        <w:rPr>
          <w:lang w:val="fr-FR"/>
        </w:rPr>
        <w:t xml:space="preserve"> et M</w:t>
      </w:r>
      <w:r w:rsidR="003E7DF6" w:rsidRPr="00A449DF">
        <w:rPr>
          <w:vertAlign w:val="subscript"/>
          <w:lang w:val="fr-FR"/>
        </w:rPr>
        <w:t>3</w:t>
      </w:r>
      <w:r w:rsidR="003E7DF6" w:rsidRPr="001D47F0">
        <w:rPr>
          <w:lang w:val="fr-FR"/>
        </w:rPr>
        <w:t xml:space="preserve"> en ce qui concerne leurs caractéristiques générales de construction</w:t>
      </w:r>
    </w:p>
    <w:p w14:paraId="62D35995" w14:textId="77777777" w:rsidR="003E7DF6" w:rsidRDefault="003E7DF6" w:rsidP="003E7DF6">
      <w:pPr>
        <w:pStyle w:val="SingleTxtG"/>
        <w:rPr>
          <w:spacing w:val="-6"/>
          <w:lang w:val="fr-FR" w:eastAsia="en-GB"/>
        </w:rPr>
      </w:pPr>
      <w:r w:rsidRPr="0072289F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72289F">
        <w:rPr>
          <w:lang w:val="fr-FR" w:eastAsia="en-GB"/>
        </w:rPr>
        <w:t xml:space="preserve">information. Le texte authentique, juridiquement contraignant, est celui du document </w:t>
      </w:r>
      <w:r w:rsidRPr="0072289F">
        <w:rPr>
          <w:spacing w:val="-6"/>
          <w:lang w:val="fr-FR" w:eastAsia="en-GB"/>
        </w:rPr>
        <w:t>ECE/TRANS/WP.29/2019/100 (</w:t>
      </w:r>
      <w:r>
        <w:rPr>
          <w:spacing w:val="-6"/>
          <w:lang w:val="fr-FR" w:eastAsia="en-GB"/>
        </w:rPr>
        <w:t>tel que modifié par le parag</w:t>
      </w:r>
      <w:r w:rsidRPr="0072289F">
        <w:rPr>
          <w:spacing w:val="-6"/>
          <w:lang w:val="fr-FR" w:eastAsia="en-GB"/>
        </w:rPr>
        <w:t>raph</w:t>
      </w:r>
      <w:r>
        <w:rPr>
          <w:spacing w:val="-6"/>
          <w:lang w:val="fr-FR" w:eastAsia="en-GB"/>
        </w:rPr>
        <w:t>e</w:t>
      </w:r>
      <w:r w:rsidRPr="0072289F">
        <w:rPr>
          <w:spacing w:val="-6"/>
          <w:lang w:val="fr-FR" w:eastAsia="en-GB"/>
        </w:rPr>
        <w:t xml:space="preserve"> 70 </w:t>
      </w:r>
      <w:r>
        <w:rPr>
          <w:spacing w:val="-6"/>
          <w:lang w:val="fr-FR" w:eastAsia="en-GB"/>
        </w:rPr>
        <w:t>du rapport</w:t>
      </w:r>
      <w:r w:rsidRPr="0072289F">
        <w:rPr>
          <w:spacing w:val="-6"/>
          <w:lang w:val="fr-FR" w:eastAsia="en-GB"/>
        </w:rPr>
        <w:t xml:space="preserve"> ECE/TRANS/WP.29/1149).</w:t>
      </w:r>
    </w:p>
    <w:p w14:paraId="6120A07D" w14:textId="77777777" w:rsidR="003E7DF6" w:rsidRDefault="003E7DF6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2BF20" wp14:editId="1FEB00AC">
                <wp:simplePos x="0" y="0"/>
                <wp:positionH relativeFrom="margin">
                  <wp:posOffset>12116</wp:posOffset>
                </wp:positionH>
                <wp:positionV relativeFrom="margin">
                  <wp:posOffset>6387379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C452A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F164456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57CE2C0" wp14:editId="13139F8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485630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2BF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.95pt;margin-top:502.9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" stroked="f">
                <v:textbox inset="0,0,0,0">
                  <w:txbxContent>
                    <w:p w14:paraId="3D9C452A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F164456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57CE2C0" wp14:editId="13139F8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485630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pacing w:val="-6"/>
          <w:lang w:val="fr-FR" w:eastAsia="en-GB"/>
        </w:rPr>
        <w:br w:type="page"/>
      </w:r>
    </w:p>
    <w:p w14:paraId="3BB9C2D0" w14:textId="77777777" w:rsidR="003E7DF6" w:rsidRPr="003E7DF6" w:rsidRDefault="003E7DF6" w:rsidP="003E7DF6">
      <w:pPr>
        <w:pStyle w:val="SingleTxtG"/>
        <w:rPr>
          <w:i/>
          <w:iCs/>
          <w:lang w:val="fr-FR" w:eastAsia="ar-SA"/>
        </w:rPr>
      </w:pPr>
      <w:r w:rsidRPr="003E7DF6">
        <w:rPr>
          <w:i/>
          <w:iCs/>
          <w:lang w:val="fr-FR" w:eastAsia="ar-SA"/>
        </w:rPr>
        <w:lastRenderedPageBreak/>
        <w:t>Annexe 11</w:t>
      </w:r>
    </w:p>
    <w:p w14:paraId="60737283" w14:textId="77777777" w:rsidR="003E7DF6" w:rsidRPr="0072289F" w:rsidRDefault="003E7DF6" w:rsidP="003E7DF6">
      <w:pPr>
        <w:pStyle w:val="SingleTxtG"/>
        <w:rPr>
          <w:lang w:val="fr-FR" w:eastAsia="ar-SA"/>
        </w:rPr>
      </w:pPr>
      <w:r w:rsidRPr="0072289F">
        <w:rPr>
          <w:i/>
          <w:lang w:val="fr-FR" w:eastAsia="ar-SA"/>
        </w:rPr>
        <w:t>Paragraphe 3.2.3.3, tableau</w:t>
      </w:r>
      <w:r w:rsidRPr="0072289F">
        <w:rPr>
          <w:lang w:val="fr-FR" w:eastAsia="ar-SA"/>
        </w:rPr>
        <w:t>, lire :</w:t>
      </w:r>
    </w:p>
    <w:p w14:paraId="47FCFA55" w14:textId="77777777" w:rsidR="003E7DF6" w:rsidRPr="0072289F" w:rsidRDefault="003E7DF6" w:rsidP="003E7DF6">
      <w:pPr>
        <w:pStyle w:val="SingleTxtG"/>
        <w:rPr>
          <w:lang w:val="fr-FR"/>
        </w:rPr>
      </w:pPr>
      <w:r w:rsidRPr="0072289F">
        <w:rPr>
          <w:lang w:val="fr-FR"/>
        </w:rPr>
        <w:t>« 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3E7DF6" w:rsidRPr="0072289F" w14:paraId="14259775" w14:textId="77777777" w:rsidTr="00C10A7D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4F1C7A8D" w14:textId="77777777" w:rsidR="003E7DF6" w:rsidRPr="0072289F" w:rsidRDefault="003E7DF6" w:rsidP="003E7DF6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72289F">
              <w:rPr>
                <w:i/>
                <w:iCs/>
                <w:sz w:val="16"/>
                <w:szCs w:val="16"/>
                <w:lang w:val="fr-FR"/>
              </w:rPr>
              <w:t>Classes I et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12964DBD" w14:textId="77777777" w:rsidR="003E7DF6" w:rsidRPr="0072289F" w:rsidRDefault="003E7DF6" w:rsidP="003E7DF6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72289F">
              <w:rPr>
                <w:i/>
                <w:iCs/>
                <w:sz w:val="16"/>
                <w:szCs w:val="16"/>
                <w:lang w:val="fr-FR"/>
              </w:rPr>
              <w:t>Classe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2B310F52" w14:textId="77777777" w:rsidR="003E7DF6" w:rsidRPr="0072289F" w:rsidRDefault="003E7DF6" w:rsidP="003E7DF6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72289F">
              <w:rPr>
                <w:i/>
                <w:iCs/>
                <w:sz w:val="16"/>
                <w:szCs w:val="16"/>
                <w:lang w:val="fr-FR"/>
              </w:rPr>
              <w:t>Classes III et B</w:t>
            </w:r>
          </w:p>
        </w:tc>
      </w:tr>
      <w:tr w:rsidR="003E7DF6" w:rsidRPr="0072289F" w14:paraId="5F12F1D6" w14:textId="77777777" w:rsidTr="00C10A7D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1300EBE" w14:textId="77777777" w:rsidR="003E7DF6" w:rsidRPr="0072289F" w:rsidRDefault="003E7DF6" w:rsidP="003E7DF6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72289F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B23B15" w14:textId="77777777" w:rsidR="003E7DF6" w:rsidRPr="0072289F" w:rsidRDefault="003E7DF6" w:rsidP="003E7DF6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72289F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F9166F9" w14:textId="77777777" w:rsidR="003E7DF6" w:rsidRPr="0072289F" w:rsidRDefault="003E7DF6" w:rsidP="003E7DF6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72289F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285BB3" w14:textId="77777777" w:rsidR="003E7DF6" w:rsidRPr="0072289F" w:rsidRDefault="003E7DF6" w:rsidP="003E7DF6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72289F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52C035" w14:textId="77777777" w:rsidR="003E7DF6" w:rsidRPr="0072289F" w:rsidRDefault="003E7DF6" w:rsidP="003E7DF6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72289F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A4BDD2" w14:textId="77777777" w:rsidR="003E7DF6" w:rsidRPr="0072289F" w:rsidRDefault="003E7DF6" w:rsidP="003E7DF6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72289F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</w:tr>
      <w:tr w:rsidR="003E7DF6" w:rsidRPr="003E7DF6" w14:paraId="06870B05" w14:textId="77777777" w:rsidTr="00C10A7D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D482B2" w14:textId="77777777" w:rsidR="003E7DF6" w:rsidRPr="003E7DF6" w:rsidRDefault="003E7DF6" w:rsidP="003E7DF6">
            <w:pPr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 w:rsidRPr="003E7DF6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A6CC58" w14:textId="77777777" w:rsidR="003E7DF6" w:rsidRPr="003E7DF6" w:rsidRDefault="003E7DF6" w:rsidP="003E7DF6">
            <w:pPr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 w:rsidRPr="003E7DF6">
              <w:rPr>
                <w:sz w:val="18"/>
                <w:szCs w:val="18"/>
                <w:lang w:val="fr-FR"/>
              </w:rPr>
              <w:t>20</w:t>
            </w:r>
            <w:r w:rsidRPr="003E7DF6">
              <w:rPr>
                <w:bCs/>
                <w:i/>
                <w:iCs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FA122C" w14:textId="77777777" w:rsidR="003E7DF6" w:rsidRPr="003E7DF6" w:rsidRDefault="003E7DF6" w:rsidP="003E7DF6">
            <w:pPr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 w:rsidRPr="003E7DF6">
              <w:rPr>
                <w:sz w:val="18"/>
                <w:szCs w:val="18"/>
                <w:lang w:val="fr-FR"/>
              </w:rPr>
              <w:t>25</w:t>
            </w:r>
            <w:r w:rsidRPr="003E7DF6">
              <w:rPr>
                <w:i/>
                <w:iCs/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9829C1" w14:textId="77777777" w:rsidR="003E7DF6" w:rsidRPr="003E7DF6" w:rsidRDefault="003E7DF6" w:rsidP="003E7DF6">
            <w:pPr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 w:rsidRPr="003E7DF6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86B00C" w14:textId="77777777" w:rsidR="003E7DF6" w:rsidRPr="003E7DF6" w:rsidRDefault="003E7DF6" w:rsidP="003E7DF6">
            <w:pPr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 w:rsidRPr="003E7DF6">
              <w:rPr>
                <w:sz w:val="18"/>
                <w:szCs w:val="18"/>
                <w:lang w:val="fr-FR"/>
              </w:rPr>
              <w:t>25</w:t>
            </w:r>
            <w:r w:rsidRPr="003E7DF6">
              <w:rPr>
                <w:i/>
                <w:iCs/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1C9B86" w14:textId="77777777" w:rsidR="003E7DF6" w:rsidRPr="003E7DF6" w:rsidRDefault="003E7DF6" w:rsidP="003E7DF6">
            <w:pPr>
              <w:spacing w:before="40" w:after="40" w:line="220" w:lineRule="atLeast"/>
              <w:ind w:right="113"/>
              <w:jc w:val="right"/>
              <w:rPr>
                <w:sz w:val="18"/>
                <w:szCs w:val="18"/>
              </w:rPr>
            </w:pPr>
            <w:r w:rsidRPr="003E7DF6">
              <w:rPr>
                <w:sz w:val="18"/>
                <w:szCs w:val="18"/>
                <w:lang w:val="fr-FR"/>
              </w:rPr>
              <w:t>20</w:t>
            </w:r>
          </w:p>
        </w:tc>
      </w:tr>
      <w:tr w:rsidR="003E7DF6" w:rsidRPr="0072289F" w14:paraId="60952E88" w14:textId="77777777" w:rsidTr="00C10A7D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BE8028" w14:textId="77777777" w:rsidR="003E7DF6" w:rsidRPr="0072289F" w:rsidRDefault="003E7DF6" w:rsidP="00C10A7D">
            <w:pPr>
              <w:rPr>
                <w:spacing w:val="-2"/>
                <w:sz w:val="18"/>
                <w:szCs w:val="18"/>
              </w:rPr>
            </w:pPr>
            <w:r w:rsidRPr="003E7DF6">
              <w:rPr>
                <w:i/>
                <w:iCs/>
                <w:sz w:val="18"/>
                <w:szCs w:val="18"/>
                <w:vertAlign w:val="superscript"/>
                <w:lang w:val="fr-FR"/>
              </w:rPr>
              <w:t>1</w:t>
            </w:r>
            <w:r w:rsidRPr="0072289F">
              <w:rPr>
                <w:sz w:val="18"/>
                <w:szCs w:val="18"/>
                <w:lang w:val="fr-FR"/>
              </w:rPr>
              <w:t xml:space="preserve">  Pourcentage ramené à 20 % pour les véhicules à trois essieux des classes II et III ayant deux essieux directeurs.</w:t>
            </w:r>
          </w:p>
          <w:p w14:paraId="784740FD" w14:textId="77777777" w:rsidR="003E7DF6" w:rsidRPr="0072289F" w:rsidRDefault="003E7DF6" w:rsidP="00C10A7D">
            <w:pPr>
              <w:rPr>
                <w:b/>
              </w:rPr>
            </w:pPr>
            <w:r w:rsidRPr="003E7DF6">
              <w:rPr>
                <w:i/>
                <w:iCs/>
                <w:sz w:val="18"/>
                <w:szCs w:val="18"/>
                <w:vertAlign w:val="superscript"/>
                <w:lang w:val="fr-FR"/>
              </w:rPr>
              <w:t>2</w:t>
            </w:r>
            <w:r w:rsidRPr="0072289F">
              <w:rPr>
                <w:sz w:val="18"/>
                <w:szCs w:val="18"/>
                <w:lang w:val="fr-FR"/>
              </w:rPr>
              <w:t xml:space="preserve">  </w:t>
            </w:r>
            <w:r w:rsidRPr="0072289F">
              <w:rPr>
                <w:bCs/>
                <w:sz w:val="18"/>
                <w:szCs w:val="18"/>
                <w:lang w:val="fr-FR"/>
              </w:rPr>
              <w:t>Pourcentage ramené à 15 % pour les véhicules à quatre essieux (ou plus) de la classe I ayant deux essieux directeurs. ».</w:t>
            </w:r>
          </w:p>
        </w:tc>
      </w:tr>
    </w:tbl>
    <w:p w14:paraId="562704BA" w14:textId="77777777" w:rsidR="005F0207" w:rsidRPr="003E7DF6" w:rsidRDefault="003E7DF6" w:rsidP="003E7DF6">
      <w:pPr>
        <w:pStyle w:val="SingleTxtG"/>
        <w:spacing w:before="240" w:after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3E7DF6" w:rsidSect="003E7DF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663AA" w14:textId="77777777" w:rsidR="00A57ED7" w:rsidRDefault="00A57ED7"/>
  </w:endnote>
  <w:endnote w:type="continuationSeparator" w:id="0">
    <w:p w14:paraId="1433FB7E" w14:textId="77777777" w:rsidR="00A57ED7" w:rsidRDefault="00A57ED7">
      <w:pPr>
        <w:pStyle w:val="Pieddepage"/>
      </w:pPr>
    </w:p>
  </w:endnote>
  <w:endnote w:type="continuationNotice" w:id="1">
    <w:p w14:paraId="2B5EB3CC" w14:textId="77777777" w:rsidR="00A57ED7" w:rsidRPr="00C451B9" w:rsidRDefault="00A57ED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BE5F" w14:textId="77777777" w:rsidR="003E7DF6" w:rsidRPr="003E7DF6" w:rsidRDefault="003E7DF6" w:rsidP="003E7DF6">
    <w:pPr>
      <w:pStyle w:val="Pieddepage"/>
      <w:tabs>
        <w:tab w:val="right" w:pos="9638"/>
      </w:tabs>
    </w:pPr>
    <w:r w:rsidRPr="003E7DF6">
      <w:rPr>
        <w:b/>
        <w:sz w:val="18"/>
      </w:rPr>
      <w:fldChar w:fldCharType="begin"/>
    </w:r>
    <w:r w:rsidRPr="003E7DF6">
      <w:rPr>
        <w:b/>
        <w:sz w:val="18"/>
      </w:rPr>
      <w:instrText xml:space="preserve"> PAGE  \* MERGEFORMAT </w:instrText>
    </w:r>
    <w:r w:rsidRPr="003E7DF6">
      <w:rPr>
        <w:b/>
        <w:sz w:val="18"/>
      </w:rPr>
      <w:fldChar w:fldCharType="separate"/>
    </w:r>
    <w:r w:rsidRPr="003E7DF6">
      <w:rPr>
        <w:b/>
        <w:noProof/>
        <w:sz w:val="18"/>
      </w:rPr>
      <w:t>2</w:t>
    </w:r>
    <w:r w:rsidRPr="003E7DF6">
      <w:rPr>
        <w:b/>
        <w:sz w:val="18"/>
      </w:rPr>
      <w:fldChar w:fldCharType="end"/>
    </w:r>
    <w:r>
      <w:rPr>
        <w:b/>
        <w:sz w:val="18"/>
      </w:rPr>
      <w:tab/>
    </w:r>
    <w:r>
      <w:t>GE.20-08750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943C" w14:textId="77777777" w:rsidR="003E7DF6" w:rsidRPr="003E7DF6" w:rsidRDefault="003E7DF6" w:rsidP="003E7DF6">
    <w:pPr>
      <w:pStyle w:val="Pieddepage"/>
      <w:tabs>
        <w:tab w:val="right" w:pos="9638"/>
      </w:tabs>
      <w:rPr>
        <w:b/>
        <w:sz w:val="18"/>
      </w:rPr>
    </w:pPr>
    <w:r>
      <w:t>GE.20-08750</w:t>
    </w:r>
    <w:r>
      <w:tab/>
    </w:r>
    <w:r w:rsidRPr="003E7DF6">
      <w:rPr>
        <w:b/>
        <w:sz w:val="18"/>
      </w:rPr>
      <w:fldChar w:fldCharType="begin"/>
    </w:r>
    <w:r w:rsidRPr="003E7DF6">
      <w:rPr>
        <w:b/>
        <w:sz w:val="18"/>
      </w:rPr>
      <w:instrText xml:space="preserve"> PAGE  \* MERGEFORMAT </w:instrText>
    </w:r>
    <w:r w:rsidRPr="003E7DF6">
      <w:rPr>
        <w:b/>
        <w:sz w:val="18"/>
      </w:rPr>
      <w:fldChar w:fldCharType="separate"/>
    </w:r>
    <w:r w:rsidRPr="003E7DF6">
      <w:rPr>
        <w:b/>
        <w:noProof/>
        <w:sz w:val="18"/>
      </w:rPr>
      <w:t>3</w:t>
    </w:r>
    <w:r w:rsidRPr="003E7D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70CD" w14:textId="77777777" w:rsidR="00467F2C" w:rsidRPr="003E7DF6" w:rsidRDefault="003E7DF6" w:rsidP="003E7DF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CC4EEC4" wp14:editId="1A088DC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20-08750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6A1167" wp14:editId="752A88B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090221    090221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9C5B" w14:textId="77777777" w:rsidR="00A57ED7" w:rsidRPr="00D27D5E" w:rsidRDefault="00A57ED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75C8D6" w14:textId="77777777" w:rsidR="00A57ED7" w:rsidRPr="00D171D4" w:rsidRDefault="00A57ED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28100E8" w14:textId="77777777" w:rsidR="00A57ED7" w:rsidRPr="00C451B9" w:rsidRDefault="00A57ED7" w:rsidP="00C451B9">
      <w:pPr>
        <w:spacing w:line="240" w:lineRule="auto"/>
        <w:rPr>
          <w:sz w:val="2"/>
          <w:szCs w:val="2"/>
        </w:rPr>
      </w:pPr>
    </w:p>
  </w:footnote>
  <w:footnote w:id="2">
    <w:p w14:paraId="7BCAB3E8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2A64C1BF" w14:textId="77777777" w:rsidR="00591072" w:rsidRPr="00591072" w:rsidRDefault="00591072" w:rsidP="00591072">
      <w:pPr>
        <w:pStyle w:val="Notedebasdepage"/>
      </w:pPr>
      <w:r w:rsidRPr="003E7DF6">
        <w:tab/>
      </w:r>
      <w:r w:rsidRPr="003E7DF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669769A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46F7F751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B154" w14:textId="78A5C5EC" w:rsidR="003E7DF6" w:rsidRPr="003E7DF6" w:rsidRDefault="003E7DF6">
    <w:pPr>
      <w:pStyle w:val="En-tte"/>
      <w:rPr>
        <w:lang w:val="en-US"/>
      </w:rPr>
    </w:pPr>
    <w:r>
      <w:fldChar w:fldCharType="begin"/>
    </w:r>
    <w:r w:rsidRPr="003E7DF6">
      <w:rPr>
        <w:lang w:val="en-US"/>
      </w:rPr>
      <w:instrText xml:space="preserve"> TITLE  \* MERGEFORMAT </w:instrText>
    </w:r>
    <w:r>
      <w:fldChar w:fldCharType="separate"/>
    </w:r>
    <w:r w:rsidR="00462E45">
      <w:rPr>
        <w:lang w:val="en-US"/>
      </w:rPr>
      <w:t>E/ECE/324/Rev.2/Add.106/Rev.7/Amend.4</w:t>
    </w:r>
    <w:r>
      <w:fldChar w:fldCharType="end"/>
    </w:r>
    <w:r w:rsidRPr="003E7DF6">
      <w:rPr>
        <w:lang w:val="en-US"/>
      </w:rPr>
      <w:br/>
    </w:r>
    <w:r>
      <w:fldChar w:fldCharType="begin"/>
    </w:r>
    <w:r w:rsidRPr="003E7DF6">
      <w:rPr>
        <w:lang w:val="en-US"/>
      </w:rPr>
      <w:instrText xml:space="preserve"> KEYWORDS  \* MERGEFORMAT </w:instrText>
    </w:r>
    <w:r>
      <w:fldChar w:fldCharType="separate"/>
    </w:r>
    <w:r w:rsidR="00462E45">
      <w:rPr>
        <w:lang w:val="en-US"/>
      </w:rPr>
      <w:t>E/ECE/TRANS/505/Rev.2/Add.106/Rev.7/Amend.4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8051" w14:textId="729365D5" w:rsidR="003E7DF6" w:rsidRPr="003E7DF6" w:rsidRDefault="003E7DF6" w:rsidP="003E7DF6">
    <w:pPr>
      <w:pStyle w:val="En-tte"/>
      <w:jc w:val="right"/>
      <w:rPr>
        <w:lang w:val="en-US"/>
      </w:rPr>
    </w:pPr>
    <w:r>
      <w:fldChar w:fldCharType="begin"/>
    </w:r>
    <w:r w:rsidRPr="003E7DF6">
      <w:rPr>
        <w:lang w:val="en-US"/>
      </w:rPr>
      <w:instrText xml:space="preserve"> TITLE  \* MERGEFORMAT </w:instrText>
    </w:r>
    <w:r>
      <w:fldChar w:fldCharType="separate"/>
    </w:r>
    <w:r w:rsidR="00462E45">
      <w:rPr>
        <w:lang w:val="en-US"/>
      </w:rPr>
      <w:t>E/ECE/324/Rev.2/Add.106/Rev.7/Amend.4</w:t>
    </w:r>
    <w:r>
      <w:fldChar w:fldCharType="end"/>
    </w:r>
    <w:r w:rsidRPr="003E7DF6">
      <w:rPr>
        <w:lang w:val="en-US"/>
      </w:rPr>
      <w:br/>
    </w:r>
    <w:r>
      <w:fldChar w:fldCharType="begin"/>
    </w:r>
    <w:r w:rsidRPr="003E7DF6">
      <w:rPr>
        <w:lang w:val="en-US"/>
      </w:rPr>
      <w:instrText xml:space="preserve"> KEYWORDS  \* MERGEFORMAT </w:instrText>
    </w:r>
    <w:r>
      <w:fldChar w:fldCharType="separate"/>
    </w:r>
    <w:r w:rsidR="00462E45">
      <w:rPr>
        <w:lang w:val="en-US"/>
      </w:rPr>
      <w:t>E/ECE/TRANS/505/Rev.2/Add.106/Rev.7/Amend.4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D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0B0E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E7DF6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2E45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57ED7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2DB5488"/>
  <w15:docId w15:val="{E2B1ADF0-27D7-4BA2-8800-4BD67E3F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CC56A-82F7-480D-9456-1C7908DF7C28}"/>
</file>

<file path=customXml/itemProps2.xml><?xml version="1.0" encoding="utf-8"?>
<ds:datastoreItem xmlns:ds="http://schemas.openxmlformats.org/officeDocument/2006/customXml" ds:itemID="{9F894B17-354E-4BFD-909C-457DF0431B58}"/>
</file>

<file path=customXml/itemProps3.xml><?xml version="1.0" encoding="utf-8"?>
<ds:datastoreItem xmlns:ds="http://schemas.openxmlformats.org/officeDocument/2006/customXml" ds:itemID="{90AEDBEB-6CF7-4F02-9144-6E8EB69DFAFF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2</Pages>
  <Words>211</Words>
  <Characters>1228</Characters>
  <Application>Microsoft Office Word</Application>
  <DocSecurity>0</DocSecurity>
  <Lines>45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E/ECE/324/Rev.2/Add.106/Rev.7/Amend.4</dc:title>
  <dc:creator>Christine CHAUTAGNAT</dc:creator>
  <cp:keywords>E/ECE/TRANS/505/Rev.2/Add.106/Rev.7/Amend.4</cp:keywords>
  <cp:lastModifiedBy>Christine Chautagnat</cp:lastModifiedBy>
  <cp:revision>3</cp:revision>
  <cp:lastPrinted>2021-02-09T15:51:00Z</cp:lastPrinted>
  <dcterms:created xsi:type="dcterms:W3CDTF">2021-02-09T15:51:00Z</dcterms:created>
  <dcterms:modified xsi:type="dcterms:W3CDTF">2021-02-09T15:52:00Z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