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910B1B" w14:paraId="6E81B730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4047026" w14:textId="77777777" w:rsidR="002D5AAC" w:rsidRPr="008C1A9B" w:rsidRDefault="002D5AAC" w:rsidP="00910B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94F1A3A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2AADF44B" w14:textId="77777777" w:rsidR="00910B1B" w:rsidRPr="00910B1B" w:rsidRDefault="00910B1B" w:rsidP="00910B1B">
            <w:pPr>
              <w:jc w:val="right"/>
              <w:rPr>
                <w:lang w:val="en-US"/>
              </w:rPr>
            </w:pPr>
            <w:r w:rsidRPr="00910B1B">
              <w:rPr>
                <w:sz w:val="40"/>
                <w:lang w:val="en-US"/>
              </w:rPr>
              <w:t>E</w:t>
            </w:r>
            <w:r w:rsidRPr="00910B1B">
              <w:rPr>
                <w:lang w:val="en-US"/>
              </w:rPr>
              <w:t>/ECE/324/Rev.1/Add.52/Rev.4/Amend.4</w:t>
            </w:r>
            <w:r w:rsidRPr="00910B1B">
              <w:rPr>
                <w:rFonts w:cs="Times New Roman"/>
                <w:lang w:val="en-US"/>
              </w:rPr>
              <w:t>−</w:t>
            </w:r>
            <w:r w:rsidRPr="00910B1B">
              <w:rPr>
                <w:sz w:val="40"/>
                <w:lang w:val="en-US"/>
              </w:rPr>
              <w:t>E</w:t>
            </w:r>
            <w:r w:rsidRPr="00910B1B">
              <w:rPr>
                <w:lang w:val="en-US"/>
              </w:rPr>
              <w:t>/ECE/TRANS/505/Rev.1/Add.52/Rev.4/Amend.4</w:t>
            </w:r>
          </w:p>
        </w:tc>
      </w:tr>
      <w:tr w:rsidR="002D5AAC" w:rsidRPr="009D084C" w14:paraId="7C548742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15D9365" w14:textId="77777777" w:rsidR="002D5AAC" w:rsidRPr="00910B1B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7DEC2CFB" w14:textId="77777777" w:rsidR="002D5AAC" w:rsidRPr="00910B1B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6886883A" w14:textId="77777777" w:rsidR="002D5AAC" w:rsidRDefault="002D5AAC" w:rsidP="00910B1B">
            <w:pPr>
              <w:spacing w:before="120"/>
              <w:rPr>
                <w:szCs w:val="20"/>
                <w:lang w:val="en-US"/>
              </w:rPr>
            </w:pPr>
          </w:p>
          <w:p w14:paraId="0C2505CB" w14:textId="77777777" w:rsidR="00910B1B" w:rsidRDefault="00910B1B" w:rsidP="00910B1B">
            <w:pPr>
              <w:spacing w:before="120"/>
              <w:rPr>
                <w:szCs w:val="20"/>
                <w:lang w:val="en-US"/>
              </w:rPr>
            </w:pPr>
          </w:p>
          <w:p w14:paraId="035C05BB" w14:textId="77777777" w:rsidR="00910B1B" w:rsidRPr="009D084C" w:rsidRDefault="00910B1B" w:rsidP="00910B1B">
            <w:pPr>
              <w:spacing w:before="1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 July 2020</w:t>
            </w:r>
          </w:p>
        </w:tc>
      </w:tr>
    </w:tbl>
    <w:p w14:paraId="51D5F53F" w14:textId="77777777" w:rsidR="0008708E" w:rsidRPr="00392A12" w:rsidRDefault="0008708E" w:rsidP="0008708E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182E5EE9" w14:textId="77777777" w:rsidR="0008708E" w:rsidRPr="00C57DD2" w:rsidRDefault="0008708E" w:rsidP="0008708E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08708E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45FBCF22" w14:textId="77777777" w:rsidR="0008708E" w:rsidRPr="00C57DD2" w:rsidRDefault="0008708E" w:rsidP="0008708E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684637EC" w14:textId="77777777" w:rsidR="0008708E" w:rsidRPr="00C57DD2" w:rsidRDefault="0008708E" w:rsidP="0008708E">
      <w:pPr>
        <w:pStyle w:val="H1G"/>
        <w:spacing w:before="120"/>
        <w:ind w:left="0" w:right="0" w:firstLine="0"/>
        <w:jc w:val="center"/>
      </w:pPr>
      <w:r>
        <w:rPr>
          <w:bCs/>
        </w:rPr>
        <w:t>_________</w:t>
      </w:r>
    </w:p>
    <w:p w14:paraId="68DC3A24" w14:textId="77777777" w:rsidR="0008708E" w:rsidRPr="00C57DD2" w:rsidRDefault="0008708E" w:rsidP="0008708E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</w:t>
      </w:r>
      <w:r w:rsidRPr="00F3279D">
        <w:rPr>
          <w:bCs/>
        </w:rPr>
        <w:t>52</w:t>
      </w:r>
      <w:r>
        <w:rPr>
          <w:bCs/>
        </w:rPr>
        <w:t xml:space="preserve"> </w:t>
      </w:r>
      <w:r w:rsidR="00835F24">
        <w:rPr>
          <w:bCs/>
        </w:rPr>
        <w:t>—</w:t>
      </w:r>
      <w:r>
        <w:rPr>
          <w:bCs/>
        </w:rPr>
        <w:t xml:space="preserve"> Правила № </w:t>
      </w:r>
      <w:r w:rsidRPr="00F3279D">
        <w:rPr>
          <w:bCs/>
        </w:rPr>
        <w:t>53</w:t>
      </w:r>
      <w:r>
        <w:rPr>
          <w:bCs/>
        </w:rPr>
        <w:t xml:space="preserve"> ООН</w:t>
      </w:r>
    </w:p>
    <w:p w14:paraId="63AF5603" w14:textId="77777777" w:rsidR="0008708E" w:rsidRPr="003E0928" w:rsidRDefault="0008708E" w:rsidP="0008708E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Pr="00996793">
        <w:rPr>
          <w:bCs/>
        </w:rPr>
        <w:t>4</w:t>
      </w:r>
      <w:r>
        <w:rPr>
          <w:bCs/>
        </w:rPr>
        <w:t xml:space="preserve"> </w:t>
      </w:r>
      <w:r w:rsidR="00835F24">
        <w:rPr>
          <w:bCs/>
        </w:rPr>
        <w:t>—</w:t>
      </w:r>
      <w:r>
        <w:rPr>
          <w:bCs/>
        </w:rPr>
        <w:t xml:space="preserve"> Поправка </w:t>
      </w:r>
      <w:r w:rsidRPr="003E0928">
        <w:rPr>
          <w:bCs/>
        </w:rPr>
        <w:t>4</w:t>
      </w:r>
    </w:p>
    <w:p w14:paraId="5883903F" w14:textId="77777777" w:rsidR="0008708E" w:rsidRPr="00C57DD2" w:rsidRDefault="0008708E" w:rsidP="0008708E">
      <w:pPr>
        <w:pStyle w:val="SingleTxtG"/>
        <w:spacing w:after="360"/>
        <w:rPr>
          <w:spacing w:val="-2"/>
        </w:rPr>
      </w:pPr>
      <w:r>
        <w:t xml:space="preserve">Дополнение 3 к поправкам серии 02 </w:t>
      </w:r>
      <w:r w:rsidR="00835F24">
        <w:t>—</w:t>
      </w:r>
      <w:r>
        <w:t xml:space="preserve"> Дата вступления в силу: 29 мая 2020 года</w:t>
      </w:r>
    </w:p>
    <w:p w14:paraId="4A41B4F3" w14:textId="77777777" w:rsidR="0008708E" w:rsidRPr="00C57DD2" w:rsidRDefault="0008708E" w:rsidP="0008708E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 xml:space="preserve">Единообразные предписания, касающиеся официального утверждения транспортных средств </w:t>
      </w:r>
      <w:r w:rsidRPr="009305D8">
        <w:t xml:space="preserve">категории </w:t>
      </w:r>
      <w:r w:rsidRPr="007B4633">
        <w:t>L</w:t>
      </w:r>
      <w:r w:rsidRPr="009305D8">
        <w:rPr>
          <w:vertAlign w:val="subscript"/>
        </w:rPr>
        <w:t xml:space="preserve">3 </w:t>
      </w:r>
      <w:r>
        <w:rPr>
          <w:bCs/>
        </w:rPr>
        <w:t>в отношении установки устройств освещения и световой сигнализации</w:t>
      </w:r>
    </w:p>
    <w:p w14:paraId="55C7B5FA" w14:textId="77777777" w:rsidR="0008708E" w:rsidRPr="00C57DD2" w:rsidRDefault="0008708E" w:rsidP="0008708E">
      <w:pPr>
        <w:pStyle w:val="SingleTxtG"/>
        <w:spacing w:after="4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ECE/TRANS/WP.29/2019/85.</w:t>
      </w:r>
    </w:p>
    <w:p w14:paraId="699D20A5" w14:textId="77777777" w:rsidR="0008708E" w:rsidRPr="00C57DD2" w:rsidRDefault="0008708E" w:rsidP="0008708E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3298D22D" wp14:editId="2BC3CDF5">
            <wp:simplePos x="0" y="0"/>
            <wp:positionH relativeFrom="column">
              <wp:posOffset>2540635</wp:posOffset>
            </wp:positionH>
            <wp:positionV relativeFrom="paragraph">
              <wp:posOffset>224155</wp:posOffset>
            </wp:positionV>
            <wp:extent cx="982980" cy="78994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_________</w:t>
      </w:r>
    </w:p>
    <w:p w14:paraId="4BFA3833" w14:textId="77777777" w:rsidR="0008708E" w:rsidRPr="00C57DD2" w:rsidRDefault="0008708E" w:rsidP="00835F24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  <w:r w:rsidRPr="00C57DD2">
        <w:rPr>
          <w:b/>
          <w:sz w:val="24"/>
        </w:rPr>
        <w:br w:type="page"/>
      </w:r>
    </w:p>
    <w:p w14:paraId="594AE9B2" w14:textId="77777777" w:rsidR="0008708E" w:rsidRPr="003E0928" w:rsidRDefault="0008708E" w:rsidP="0008708E">
      <w:pPr>
        <w:keepNext/>
        <w:tabs>
          <w:tab w:val="left" w:pos="-1242"/>
          <w:tab w:val="left" w:pos="-720"/>
        </w:tabs>
        <w:spacing w:before="120" w:after="120"/>
        <w:ind w:left="1134" w:right="1133"/>
      </w:pPr>
      <w:r w:rsidRPr="003E0928">
        <w:rPr>
          <w:i/>
          <w:iCs/>
        </w:rPr>
        <w:lastRenderedPageBreak/>
        <w:t>Пункт 2 и его подпункты</w:t>
      </w:r>
      <w:r w:rsidRPr="003E0928">
        <w:t xml:space="preserve"> изменить следующим образом:</w:t>
      </w:r>
    </w:p>
    <w:p w14:paraId="29F44475" w14:textId="77777777" w:rsidR="0008708E" w:rsidRPr="003E0928" w:rsidRDefault="0008708E" w:rsidP="00E66883">
      <w:pPr>
        <w:pStyle w:val="HChG"/>
        <w:ind w:left="2268"/>
      </w:pPr>
      <w:r w:rsidRPr="00E66883">
        <w:rPr>
          <w:b w:val="0"/>
          <w:bCs/>
        </w:rPr>
        <w:t>«</w:t>
      </w:r>
      <w:r w:rsidRPr="003E0928">
        <w:t>2.</w:t>
      </w:r>
      <w:r w:rsidRPr="003E0928">
        <w:tab/>
        <w:t>Определения</w:t>
      </w:r>
    </w:p>
    <w:p w14:paraId="1AF2FA79" w14:textId="77777777" w:rsidR="0008708E" w:rsidRPr="003E0928" w:rsidRDefault="0008708E" w:rsidP="0008708E">
      <w:pPr>
        <w:spacing w:after="120"/>
        <w:ind w:left="2268" w:right="708"/>
        <w:jc w:val="both"/>
      </w:pPr>
      <w:r w:rsidRPr="003E0928">
        <w:t>Для цели настоящих Правил применяются определения, содержащиеся в последних сериях поправок к Правилам № 48 ООН, действующих на момент подачи заявки на официальное утверждение типа, если в настоящих Правилах не предусмотрено иное.</w:t>
      </w:r>
    </w:p>
    <w:p w14:paraId="767FAFBF" w14:textId="77777777" w:rsidR="0008708E" w:rsidRPr="003E0928" w:rsidRDefault="0008708E" w:rsidP="0008708E">
      <w:pPr>
        <w:keepNext/>
        <w:tabs>
          <w:tab w:val="left" w:pos="-1242"/>
          <w:tab w:val="left" w:pos="-720"/>
        </w:tabs>
        <w:spacing w:before="120" w:after="120"/>
        <w:ind w:left="2268" w:right="708" w:hanging="1134"/>
        <w:rPr>
          <w:i/>
        </w:rPr>
      </w:pPr>
      <w:r w:rsidRPr="003E0928">
        <w:rPr>
          <w:bCs/>
        </w:rPr>
        <w:t>2.1</w:t>
      </w:r>
      <w:r w:rsidRPr="003E0928"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Тип транспортного средства</w:t>
      </w:r>
      <w:r w:rsidR="00835F24" w:rsidRPr="00835F24">
        <w:rPr>
          <w:iCs/>
        </w:rPr>
        <w:t>”</w:t>
      </w:r>
      <w:r w:rsidRPr="003E0928">
        <w:t xml:space="preserve"> означает категорию транспортных средств, которые не имеют между собой существенных различий в отношении следующих характеристик:</w:t>
      </w:r>
    </w:p>
    <w:p w14:paraId="1B8630A5" w14:textId="77777777" w:rsidR="0008708E" w:rsidRPr="0025584D" w:rsidRDefault="0008708E" w:rsidP="0008708E">
      <w:pPr>
        <w:pStyle w:val="para"/>
        <w:ind w:right="708"/>
        <w:rPr>
          <w:lang w:val="ru-RU"/>
        </w:rPr>
      </w:pPr>
      <w:r w:rsidRPr="0025584D">
        <w:rPr>
          <w:bCs/>
          <w:lang w:val="ru-RU"/>
        </w:rPr>
        <w:t>2.1.1</w:t>
      </w:r>
      <w:r w:rsidRPr="0025584D">
        <w:rPr>
          <w:lang w:val="ru-RU"/>
        </w:rPr>
        <w:tab/>
        <w:t>размеров и внешней формы транспортного средства;</w:t>
      </w:r>
    </w:p>
    <w:p w14:paraId="0604DFF8" w14:textId="77777777" w:rsidR="0008708E" w:rsidRPr="0025584D" w:rsidRDefault="0008708E" w:rsidP="0008708E">
      <w:pPr>
        <w:pStyle w:val="para"/>
        <w:ind w:right="708"/>
        <w:rPr>
          <w:lang w:val="ru-RU"/>
        </w:rPr>
      </w:pPr>
      <w:r w:rsidRPr="0025584D">
        <w:rPr>
          <w:bCs/>
          <w:lang w:val="ru-RU"/>
        </w:rPr>
        <w:t>2.1.2</w:t>
      </w:r>
      <w:r w:rsidRPr="0025584D">
        <w:rPr>
          <w:bCs/>
          <w:lang w:val="ru-RU"/>
        </w:rPr>
        <w:tab/>
      </w:r>
      <w:r w:rsidRPr="0025584D">
        <w:rPr>
          <w:lang w:val="ru-RU"/>
        </w:rPr>
        <w:t>числа и расположения устройств;</w:t>
      </w:r>
    </w:p>
    <w:p w14:paraId="0410DF26" w14:textId="77777777" w:rsidR="0008708E" w:rsidRPr="003E0928" w:rsidRDefault="0008708E" w:rsidP="0008708E">
      <w:pPr>
        <w:spacing w:after="120"/>
        <w:ind w:left="2268" w:right="708" w:hanging="1134"/>
        <w:jc w:val="both"/>
      </w:pPr>
      <w:r w:rsidRPr="003E0928">
        <w:rPr>
          <w:bCs/>
        </w:rPr>
        <w:t>2.1.3</w:t>
      </w:r>
      <w:r w:rsidRPr="003E0928">
        <w:tab/>
        <w:t xml:space="preserve">аналогичным образом не рассматриваются в качестве </w:t>
      </w:r>
      <w:r w:rsidR="00E66883" w:rsidRPr="00E66883">
        <w:rPr>
          <w:iCs/>
        </w:rPr>
        <w:t>“</w:t>
      </w:r>
      <w:r w:rsidRPr="003E0928">
        <w:t>транспортных средств иного типа</w:t>
      </w:r>
      <w:r w:rsidR="00E66883" w:rsidRPr="00E66883">
        <w:rPr>
          <w:iCs/>
        </w:rPr>
        <w:t>”</w:t>
      </w:r>
      <w:r w:rsidRPr="003E0928">
        <w:t>:</w:t>
      </w:r>
    </w:p>
    <w:p w14:paraId="164D752C" w14:textId="77777777" w:rsidR="0008708E" w:rsidRPr="003E0928" w:rsidRDefault="0008708E" w:rsidP="0008708E">
      <w:pPr>
        <w:spacing w:after="120"/>
        <w:ind w:left="2268" w:right="708" w:hanging="1134"/>
        <w:jc w:val="both"/>
        <w:rPr>
          <w:bCs/>
        </w:rPr>
      </w:pPr>
      <w:r w:rsidRPr="003E0928">
        <w:rPr>
          <w:bCs/>
        </w:rPr>
        <w:t>2.1.3.1</w:t>
      </w:r>
      <w:r w:rsidRPr="003E0928">
        <w:rPr>
          <w:bCs/>
        </w:rPr>
        <w:tab/>
      </w:r>
      <w:r w:rsidRPr="003E0928">
        <w:t>транспортные средства, имеющие по смыслу пунктов 2.1.1 и 2.1.2 выше различия, которые не вызывают изменения вида, числа, размещения и геометрической видимости огней, предписанных для транспортного средства данного типа; и</w:t>
      </w:r>
    </w:p>
    <w:p w14:paraId="3494CD96" w14:textId="77777777" w:rsidR="0008708E" w:rsidRPr="003E0928" w:rsidRDefault="0008708E" w:rsidP="0008708E">
      <w:pPr>
        <w:spacing w:after="120"/>
        <w:ind w:left="2268" w:right="708" w:hanging="1134"/>
        <w:jc w:val="both"/>
      </w:pPr>
      <w:r w:rsidRPr="003E0928">
        <w:rPr>
          <w:bCs/>
        </w:rPr>
        <w:t>2.1.3.2</w:t>
      </w:r>
      <w:r w:rsidRPr="003E0928">
        <w:rPr>
          <w:b/>
        </w:rPr>
        <w:tab/>
      </w:r>
      <w:r w:rsidRPr="003E0928">
        <w:t xml:space="preserve">транспортные средства, на которых установлены или отсутствуют </w:t>
      </w:r>
      <w:r w:rsidR="00E66883" w:rsidRPr="00E66883">
        <w:t>—</w:t>
      </w:r>
      <w:r w:rsidRPr="003E0928">
        <w:t xml:space="preserve"> в</w:t>
      </w:r>
      <w:r>
        <w:t> </w:t>
      </w:r>
      <w:r w:rsidRPr="003E0928">
        <w:t xml:space="preserve">случае факультативной установки </w:t>
      </w:r>
      <w:r w:rsidR="00E66883" w:rsidRPr="00E66883">
        <w:t>—</w:t>
      </w:r>
      <w:r w:rsidRPr="003E0928">
        <w:t xml:space="preserve"> огни, официально утвержденные в соответствии с какими-либо правилами, прилагаемыми к Соглашению 1958</w:t>
      </w:r>
      <w:r w:rsidR="00E66883">
        <w:rPr>
          <w:lang w:val="en-US"/>
        </w:rPr>
        <w:t> </w:t>
      </w:r>
      <w:r w:rsidRPr="003E0928">
        <w:t>года, или допустимые в стране регистрации транспортного средства;</w:t>
      </w:r>
    </w:p>
    <w:p w14:paraId="4B9FBA99" w14:textId="77777777" w:rsidR="0008708E" w:rsidRPr="003E0928" w:rsidRDefault="0008708E" w:rsidP="0008708E">
      <w:pPr>
        <w:spacing w:after="120"/>
        <w:ind w:left="2268" w:right="708" w:hanging="1134"/>
        <w:jc w:val="both"/>
      </w:pPr>
      <w:r w:rsidRPr="003E0928">
        <w:rPr>
          <w:bCs/>
        </w:rPr>
        <w:t>2.2</w:t>
      </w:r>
      <w:r w:rsidRPr="003E0928"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порожнее транспортное средство</w:t>
      </w:r>
      <w:r w:rsidR="00835F24" w:rsidRPr="00835F24">
        <w:rPr>
          <w:iCs/>
        </w:rPr>
        <w:t>”</w:t>
      </w:r>
      <w:r w:rsidRPr="003E0928">
        <w:t xml:space="preserve"> означает транспортное средство без водителя, пассажира или груза, но с полным запасом топлива и необходимым комплектом инструментов;</w:t>
      </w:r>
    </w:p>
    <w:p w14:paraId="49C667E2" w14:textId="77777777" w:rsidR="0008708E" w:rsidRPr="0025584D" w:rsidRDefault="0008708E" w:rsidP="0008708E">
      <w:pPr>
        <w:pStyle w:val="para"/>
        <w:ind w:right="708"/>
        <w:rPr>
          <w:bCs/>
          <w:strike/>
          <w:szCs w:val="23"/>
          <w:lang w:val="ru-RU"/>
        </w:rPr>
      </w:pPr>
      <w:r w:rsidRPr="0025584D">
        <w:rPr>
          <w:bCs/>
          <w:lang w:val="ru-RU"/>
        </w:rPr>
        <w:t>2.3</w:t>
      </w:r>
      <w:r w:rsidRPr="0025584D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огонь</w:t>
      </w:r>
      <w:r w:rsidR="00835F24" w:rsidRPr="00835F24">
        <w:rPr>
          <w:iCs/>
          <w:lang w:val="ru-RU"/>
        </w:rPr>
        <w:t>”</w:t>
      </w:r>
      <w:r w:rsidRPr="0025584D">
        <w:rPr>
          <w:lang w:val="ru-RU"/>
        </w:rPr>
        <w:t xml:space="preserve"> означает устройство, предназначенное для освещения дороги или подачи светового сигнала для других участников дорожного движения. Фонарь освещения заднего регистрационного знака и светоотражатели также считаются огнями;</w:t>
      </w:r>
    </w:p>
    <w:p w14:paraId="5B8C1CF2" w14:textId="77777777" w:rsidR="0008708E" w:rsidRPr="00577152" w:rsidRDefault="0008708E" w:rsidP="0008708E">
      <w:pPr>
        <w:pStyle w:val="para"/>
        <w:ind w:right="708"/>
        <w:rPr>
          <w:lang w:val="ru-RU"/>
        </w:rPr>
      </w:pPr>
      <w:r w:rsidRPr="00577152">
        <w:rPr>
          <w:bCs/>
          <w:lang w:val="ru-RU"/>
        </w:rPr>
        <w:t>2.3.1</w:t>
      </w:r>
      <w:r w:rsidRPr="00577152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эквивалентные огни</w:t>
      </w:r>
      <w:r w:rsidR="00835F24" w:rsidRPr="00835F24">
        <w:rPr>
          <w:iCs/>
          <w:lang w:val="ru-RU"/>
        </w:rPr>
        <w:t>”</w:t>
      </w:r>
      <w:r w:rsidRPr="00577152">
        <w:rPr>
          <w:lang w:val="ru-RU"/>
        </w:rPr>
        <w:t xml:space="preserve"> означают огни, выполняющие одни и те же функции и допустимые к использованию в стране регистрации транспортного средства; такие огни могут иметь характеристики, отличающиеся от огней, установленных на транспортном средстве на момент его официального утверждения при условии, что они удовлетворяют требованиям настоящих Правил;</w:t>
      </w:r>
    </w:p>
    <w:p w14:paraId="293F5392" w14:textId="77777777" w:rsidR="0008708E" w:rsidRPr="00577152" w:rsidRDefault="0008708E" w:rsidP="0008708E">
      <w:pPr>
        <w:pStyle w:val="para"/>
        <w:ind w:right="708"/>
        <w:rPr>
          <w:kern w:val="2"/>
          <w:lang w:val="ru-RU" w:eastAsia="ja-JP"/>
        </w:rPr>
      </w:pPr>
      <w:r w:rsidRPr="00577152">
        <w:rPr>
          <w:bCs/>
          <w:kern w:val="2"/>
          <w:lang w:val="ru-RU" w:eastAsia="ja-JP"/>
        </w:rPr>
        <w:t>2.3.2</w:t>
      </w:r>
      <w:r w:rsidRPr="00577152">
        <w:rPr>
          <w:bCs/>
          <w:kern w:val="2"/>
          <w:lang w:val="ru-RU" w:eastAsia="ja-JP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независимый огонь</w:t>
      </w:r>
      <w:r w:rsidR="00835F24" w:rsidRPr="00835F24">
        <w:rPr>
          <w:iCs/>
          <w:lang w:val="ru-RU"/>
        </w:rPr>
        <w:t>”</w:t>
      </w:r>
      <w:r w:rsidRPr="00577152">
        <w:rPr>
          <w:lang w:val="ru-RU"/>
        </w:rPr>
        <w:t xml:space="preserve"> означа</w:t>
      </w:r>
      <w:r>
        <w:rPr>
          <w:lang w:val="ru-RU"/>
        </w:rPr>
        <w:t>е</w:t>
      </w:r>
      <w:r w:rsidRPr="00577152">
        <w:rPr>
          <w:lang w:val="ru-RU"/>
        </w:rPr>
        <w:t>т устройства, имеющие разные видимые поверхности, разные источники света и разные корпуса</w:t>
      </w:r>
      <w:r w:rsidRPr="00577152">
        <w:rPr>
          <w:kern w:val="2"/>
          <w:lang w:val="ru-RU" w:eastAsia="ja-JP"/>
        </w:rPr>
        <w:t>;</w:t>
      </w:r>
    </w:p>
    <w:p w14:paraId="7D75D1D7" w14:textId="77777777" w:rsidR="0008708E" w:rsidRPr="00577152" w:rsidRDefault="0008708E" w:rsidP="0008708E">
      <w:pPr>
        <w:pStyle w:val="para"/>
        <w:ind w:right="708"/>
        <w:rPr>
          <w:bCs/>
          <w:kern w:val="2"/>
          <w:lang w:val="ru-RU" w:eastAsia="ja-JP"/>
        </w:rPr>
      </w:pPr>
      <w:r w:rsidRPr="00577152">
        <w:rPr>
          <w:bCs/>
          <w:kern w:val="2"/>
          <w:lang w:val="ru-RU" w:eastAsia="ja-JP"/>
        </w:rPr>
        <w:t>2.3.3</w:t>
      </w:r>
      <w:r w:rsidRPr="00577152">
        <w:rPr>
          <w:bCs/>
          <w:kern w:val="2"/>
          <w:lang w:val="ru-RU" w:eastAsia="ja-JP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сгруппированные огни</w:t>
      </w:r>
      <w:r w:rsidR="00835F24" w:rsidRPr="00835F24">
        <w:rPr>
          <w:iCs/>
          <w:lang w:val="ru-RU"/>
        </w:rPr>
        <w:t>”</w:t>
      </w:r>
      <w:r w:rsidRPr="00577152">
        <w:rPr>
          <w:lang w:val="ru-RU"/>
        </w:rPr>
        <w:t xml:space="preserve"> означают устройства, имеющие разные видимые поверхности и разные источники света, но общий корпус</w:t>
      </w:r>
      <w:r w:rsidRPr="00577152">
        <w:rPr>
          <w:bCs/>
          <w:kern w:val="2"/>
          <w:lang w:val="ru-RU" w:eastAsia="ja-JP"/>
        </w:rPr>
        <w:t>;</w:t>
      </w:r>
    </w:p>
    <w:p w14:paraId="2C002216" w14:textId="77777777" w:rsidR="0008708E" w:rsidRPr="00577152" w:rsidRDefault="0008708E" w:rsidP="0008708E">
      <w:pPr>
        <w:pStyle w:val="para"/>
        <w:ind w:right="708"/>
        <w:rPr>
          <w:bCs/>
          <w:kern w:val="2"/>
          <w:lang w:val="ru-RU" w:eastAsia="ja-JP"/>
        </w:rPr>
      </w:pPr>
      <w:r w:rsidRPr="00577152">
        <w:rPr>
          <w:bCs/>
          <w:kern w:val="2"/>
          <w:lang w:val="ru-RU" w:eastAsia="ja-JP"/>
        </w:rPr>
        <w:t>2.3.4</w:t>
      </w:r>
      <w:r w:rsidRPr="00577152">
        <w:rPr>
          <w:bCs/>
          <w:kern w:val="2"/>
          <w:lang w:val="ru-RU" w:eastAsia="ja-JP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комбинированные огни</w:t>
      </w:r>
      <w:r w:rsidR="00835F24" w:rsidRPr="00835F24">
        <w:rPr>
          <w:iCs/>
          <w:lang w:val="ru-RU"/>
        </w:rPr>
        <w:t>”</w:t>
      </w:r>
      <w:r w:rsidRPr="00577152">
        <w:rPr>
          <w:lang w:val="ru-RU"/>
        </w:rPr>
        <w:t xml:space="preserve"> означают устройства, имеющие разные видимые поверхности, но один источник света и общий корпус</w:t>
      </w:r>
      <w:r w:rsidRPr="00577152">
        <w:rPr>
          <w:bCs/>
          <w:kern w:val="2"/>
          <w:lang w:val="ru-RU" w:eastAsia="ja-JP"/>
        </w:rPr>
        <w:t>;</w:t>
      </w:r>
    </w:p>
    <w:p w14:paraId="1C287EEF" w14:textId="77777777" w:rsidR="0008708E" w:rsidRPr="00577152" w:rsidRDefault="0008708E" w:rsidP="0008708E">
      <w:pPr>
        <w:pStyle w:val="para"/>
        <w:ind w:right="708"/>
        <w:rPr>
          <w:bCs/>
          <w:lang w:val="ru-RU" w:eastAsia="ja-JP"/>
        </w:rPr>
      </w:pPr>
      <w:r w:rsidRPr="00577152">
        <w:rPr>
          <w:bCs/>
          <w:lang w:val="ru-RU" w:eastAsia="ja-JP"/>
        </w:rPr>
        <w:t>2.3.5</w:t>
      </w:r>
      <w:r w:rsidRPr="00577152">
        <w:rPr>
          <w:bCs/>
          <w:lang w:val="ru-RU" w:eastAsia="ja-JP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совмещенные огни</w:t>
      </w:r>
      <w:r w:rsidR="00835F24" w:rsidRPr="00835F24">
        <w:rPr>
          <w:iCs/>
          <w:lang w:val="ru-RU"/>
        </w:rPr>
        <w:t>”</w:t>
      </w:r>
      <w:r w:rsidRPr="00577152">
        <w:rPr>
          <w:lang w:val="ru-RU"/>
        </w:rPr>
        <w:t xml:space="preserve"> означают устройства, имеющие разные источники света или единый источник света, работающий в разных условиях (например, в</w:t>
      </w:r>
      <w:r w:rsidR="00E66883">
        <w:rPr>
          <w:lang w:val="en-US"/>
        </w:rPr>
        <w:t> </w:t>
      </w:r>
      <w:r w:rsidRPr="00577152">
        <w:rPr>
          <w:lang w:val="ru-RU"/>
        </w:rPr>
        <w:t>разных оптических, механических и электрических условиях), полностью и частично общие видимые поверхности и общий корпус</w:t>
      </w:r>
      <w:r w:rsidRPr="00577152">
        <w:rPr>
          <w:bCs/>
          <w:lang w:val="ru-RU" w:eastAsia="ja-JP"/>
        </w:rPr>
        <w:t>;</w:t>
      </w:r>
    </w:p>
    <w:p w14:paraId="589A619A" w14:textId="77777777" w:rsidR="0008708E" w:rsidRPr="003E0928" w:rsidRDefault="0008708E" w:rsidP="0008708E">
      <w:pPr>
        <w:spacing w:after="120"/>
        <w:ind w:left="2268" w:right="708" w:hanging="1134"/>
        <w:jc w:val="both"/>
        <w:rPr>
          <w:bCs/>
        </w:rPr>
      </w:pPr>
      <w:r w:rsidRPr="003E0928">
        <w:rPr>
          <w:bCs/>
        </w:rPr>
        <w:t>2.3.6</w:t>
      </w:r>
      <w:r w:rsidRPr="003E0928">
        <w:rPr>
          <w:bCs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указатель поворота</w:t>
      </w:r>
      <w:r w:rsidR="00835F24" w:rsidRPr="00835F24">
        <w:rPr>
          <w:iCs/>
        </w:rPr>
        <w:t>”</w:t>
      </w:r>
      <w:r w:rsidRPr="003E0928">
        <w:t xml:space="preserve"> означает огонь, используемый для сигнализации другим участникам дорожного движения о намерении водителя повернуть направо или налево.</w:t>
      </w:r>
    </w:p>
    <w:p w14:paraId="359F356D" w14:textId="77777777" w:rsidR="0008708E" w:rsidRPr="003E0928" w:rsidRDefault="0008708E" w:rsidP="0008708E">
      <w:pPr>
        <w:spacing w:after="120"/>
        <w:ind w:left="2268" w:right="708" w:hanging="1134"/>
        <w:jc w:val="both"/>
        <w:rPr>
          <w:bCs/>
        </w:rPr>
      </w:pPr>
      <w:r w:rsidRPr="003E0928">
        <w:rPr>
          <w:bCs/>
        </w:rPr>
        <w:tab/>
      </w:r>
      <w:r w:rsidRPr="003E0928">
        <w:t>Указатель или указатели поворота могут также использоваться в соответствии с положениями Правил № 97 ООН;</w:t>
      </w:r>
    </w:p>
    <w:p w14:paraId="37D16054" w14:textId="77777777" w:rsidR="0008708E" w:rsidRPr="00160999" w:rsidRDefault="0008708E" w:rsidP="0008708E">
      <w:pPr>
        <w:pStyle w:val="para"/>
        <w:ind w:right="708"/>
        <w:rPr>
          <w:bCs/>
          <w:lang w:val="ru-RU"/>
        </w:rPr>
      </w:pPr>
      <w:r w:rsidRPr="00160999">
        <w:rPr>
          <w:bCs/>
          <w:lang w:val="ru-RU"/>
        </w:rPr>
        <w:lastRenderedPageBreak/>
        <w:t>2.3.7</w:t>
      </w:r>
      <w:r w:rsidRPr="00160999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передний габаритный огонь</w:t>
      </w:r>
      <w:r w:rsidR="00835F24" w:rsidRPr="00835F24">
        <w:rPr>
          <w:iCs/>
          <w:lang w:val="ru-RU"/>
        </w:rPr>
        <w:t>”</w:t>
      </w:r>
      <w:r w:rsidRPr="00160999">
        <w:rPr>
          <w:lang w:val="ru-RU"/>
        </w:rPr>
        <w:t xml:space="preserve"> означает огонь, используемый для сигнализации наличия транспортного средства, если на него смотреть спереди;</w:t>
      </w:r>
    </w:p>
    <w:p w14:paraId="76694629" w14:textId="77777777" w:rsidR="0008708E" w:rsidRPr="00160999" w:rsidRDefault="0008708E" w:rsidP="0008708E">
      <w:pPr>
        <w:pStyle w:val="para"/>
        <w:ind w:right="708"/>
        <w:rPr>
          <w:bCs/>
          <w:lang w:val="ru-RU"/>
        </w:rPr>
      </w:pPr>
      <w:r w:rsidRPr="00160999">
        <w:rPr>
          <w:bCs/>
          <w:lang w:val="ru-RU"/>
        </w:rPr>
        <w:t>2.3.8</w:t>
      </w:r>
      <w:r w:rsidRPr="00160999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задний габаритный огонь</w:t>
      </w:r>
      <w:r w:rsidR="00835F24" w:rsidRPr="00835F24">
        <w:rPr>
          <w:iCs/>
          <w:lang w:val="ru-RU"/>
        </w:rPr>
        <w:t>”</w:t>
      </w:r>
      <w:r w:rsidRPr="00805D67">
        <w:rPr>
          <w:lang w:val="ru-RU"/>
        </w:rPr>
        <w:t xml:space="preserve"> </w:t>
      </w:r>
      <w:r w:rsidRPr="00160999">
        <w:rPr>
          <w:lang w:val="ru-RU"/>
        </w:rPr>
        <w:t>означает огонь, используемый для сигнализации наличия транспортного средства, если на него смотреть сзади;</w:t>
      </w:r>
    </w:p>
    <w:p w14:paraId="3FB59652" w14:textId="77777777" w:rsidR="0008708E" w:rsidRPr="00160999" w:rsidRDefault="0008708E" w:rsidP="0008708E">
      <w:pPr>
        <w:pStyle w:val="para"/>
        <w:ind w:right="708"/>
        <w:rPr>
          <w:bCs/>
          <w:lang w:val="ru-RU"/>
        </w:rPr>
      </w:pPr>
      <w:r w:rsidRPr="00160999">
        <w:rPr>
          <w:bCs/>
          <w:lang w:val="ru-RU"/>
        </w:rPr>
        <w:t>2.3.9</w:t>
      </w:r>
      <w:r w:rsidRPr="00160999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светоотражатель</w:t>
      </w:r>
      <w:r w:rsidR="00835F24" w:rsidRPr="00835F24">
        <w:rPr>
          <w:iCs/>
          <w:lang w:val="ru-RU"/>
        </w:rPr>
        <w:t>”</w:t>
      </w:r>
      <w:r w:rsidRPr="00160999">
        <w:rPr>
          <w:lang w:val="ru-RU"/>
        </w:rPr>
        <w:t xml:space="preserve"> означает устройство, используемое для сигнализации наличия транспортного средства посредством отражения света, излучаемого внешним источником света, который не связан с этим транспортным средством, причем наблюдатель находится вблизи этого источника света</w:t>
      </w:r>
      <w:r>
        <w:rPr>
          <w:lang w:val="ru-RU"/>
        </w:rPr>
        <w:t>.</w:t>
      </w:r>
    </w:p>
    <w:p w14:paraId="34549258" w14:textId="77777777" w:rsidR="0008708E" w:rsidRPr="003E0928" w:rsidRDefault="0008708E" w:rsidP="0008708E">
      <w:pPr>
        <w:spacing w:after="120"/>
        <w:ind w:left="2268" w:right="708"/>
        <w:jc w:val="both"/>
      </w:pPr>
      <w:r w:rsidRPr="003E0928">
        <w:t>Для целей настоящих Правил светоотражающие регистрационные знаки не считаются светоотражающими приспособлениями;</w:t>
      </w:r>
    </w:p>
    <w:p w14:paraId="2B7F098B" w14:textId="77777777" w:rsidR="0008708E" w:rsidRPr="00160999" w:rsidRDefault="0008708E" w:rsidP="0008708E">
      <w:pPr>
        <w:pStyle w:val="para"/>
        <w:ind w:right="708"/>
        <w:rPr>
          <w:bCs/>
          <w:lang w:val="ru-RU"/>
        </w:rPr>
      </w:pPr>
      <w:r w:rsidRPr="00160999">
        <w:rPr>
          <w:bCs/>
          <w:lang w:val="ru-RU"/>
        </w:rPr>
        <w:t>2.4</w:t>
      </w:r>
      <w:r w:rsidRPr="00160999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светои</w:t>
      </w:r>
      <w:r>
        <w:rPr>
          <w:i/>
          <w:iCs/>
          <w:lang w:val="ru-RU"/>
        </w:rPr>
        <w:t>злуч</w:t>
      </w:r>
      <w:r w:rsidRPr="00EB5535">
        <w:rPr>
          <w:i/>
          <w:iCs/>
          <w:lang w:val="ru-RU"/>
        </w:rPr>
        <w:t>ающая поверхность</w:t>
      </w:r>
      <w:r w:rsidR="00835F24" w:rsidRPr="00835F24">
        <w:rPr>
          <w:iCs/>
          <w:lang w:val="ru-RU"/>
        </w:rPr>
        <w:t>”</w:t>
      </w:r>
      <w:r w:rsidRPr="00160999">
        <w:rPr>
          <w:lang w:val="ru-RU"/>
        </w:rPr>
        <w:t xml:space="preserve"> </w:t>
      </w:r>
      <w:r w:rsidR="00835F24" w:rsidRPr="00835F24">
        <w:rPr>
          <w:iCs/>
          <w:lang w:val="ru-RU"/>
        </w:rPr>
        <w:t>“</w:t>
      </w:r>
      <w:r w:rsidRPr="00160999">
        <w:rPr>
          <w:lang w:val="ru-RU"/>
        </w:rPr>
        <w:t>устройства освещения</w:t>
      </w:r>
      <w:r w:rsidR="00835F24" w:rsidRPr="00835F24">
        <w:rPr>
          <w:iCs/>
          <w:lang w:val="ru-RU"/>
        </w:rPr>
        <w:t>”</w:t>
      </w:r>
      <w:r w:rsidRPr="00160999">
        <w:rPr>
          <w:lang w:val="ru-RU"/>
        </w:rPr>
        <w:t xml:space="preserve">, </w:t>
      </w:r>
      <w:r w:rsidR="00835F24" w:rsidRPr="00835F24">
        <w:rPr>
          <w:iCs/>
          <w:lang w:val="ru-RU"/>
        </w:rPr>
        <w:t>“</w:t>
      </w:r>
      <w:r w:rsidRPr="00160999">
        <w:rPr>
          <w:lang w:val="ru-RU"/>
        </w:rPr>
        <w:t>устройства световой сигнализации</w:t>
      </w:r>
      <w:r w:rsidR="00835F24" w:rsidRPr="00835F24">
        <w:rPr>
          <w:iCs/>
          <w:lang w:val="ru-RU"/>
        </w:rPr>
        <w:t>”</w:t>
      </w:r>
      <w:r w:rsidRPr="00160999">
        <w:rPr>
          <w:lang w:val="ru-RU"/>
        </w:rPr>
        <w:t xml:space="preserve"> или светоотражателя означает всю внешнюю поверхность светопропускающего материала или ее часть, указываемую изготовителем устройства на чертеже в заявке на официальное утверждение, см. приложение 3;</w:t>
      </w:r>
    </w:p>
    <w:p w14:paraId="439DEF97" w14:textId="77777777" w:rsidR="0008708E" w:rsidRPr="00FC475B" w:rsidRDefault="0008708E" w:rsidP="0008708E">
      <w:pPr>
        <w:pStyle w:val="para"/>
        <w:ind w:right="708"/>
        <w:rPr>
          <w:bCs/>
          <w:lang w:val="ru-RU"/>
        </w:rPr>
      </w:pPr>
      <w:r w:rsidRPr="00FC475B">
        <w:rPr>
          <w:bCs/>
          <w:lang w:val="ru-RU"/>
        </w:rPr>
        <w:t>2.5</w:t>
      </w:r>
      <w:r w:rsidRPr="00FC475B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EB5535">
        <w:rPr>
          <w:i/>
          <w:iCs/>
          <w:lang w:val="ru-RU"/>
        </w:rPr>
        <w:t>освещающая поверхность</w:t>
      </w:r>
      <w:r w:rsidR="00835F24" w:rsidRPr="00835F24">
        <w:rPr>
          <w:iCs/>
          <w:lang w:val="ru-RU"/>
        </w:rPr>
        <w:t>”</w:t>
      </w:r>
      <w:r w:rsidRPr="00FC475B">
        <w:rPr>
          <w:lang w:val="ru-RU"/>
        </w:rPr>
        <w:t xml:space="preserve"> (см. приложение 3);</w:t>
      </w:r>
    </w:p>
    <w:p w14:paraId="1CFD4262" w14:textId="77777777" w:rsidR="0008708E" w:rsidRPr="003E0928" w:rsidRDefault="0008708E" w:rsidP="0008708E">
      <w:pPr>
        <w:spacing w:after="120"/>
        <w:ind w:left="2268" w:right="708" w:hanging="1134"/>
        <w:jc w:val="both"/>
      </w:pPr>
      <w:r w:rsidRPr="003E0928">
        <w:rPr>
          <w:bCs/>
        </w:rPr>
        <w:t>2.5.1</w:t>
      </w:r>
      <w:r w:rsidRPr="003E0928">
        <w:rPr>
          <w:bCs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освещающая поверхность устройства освещения</w:t>
      </w:r>
      <w:r w:rsidR="00835F24" w:rsidRPr="00835F24">
        <w:rPr>
          <w:iCs/>
        </w:rPr>
        <w:t>”</w:t>
      </w:r>
      <w:r w:rsidRPr="003E0928">
        <w:t xml:space="preserve"> (фары дальнего света (дальний свет), фары ближнего света (ближний свет), передней противотуманной фары) означает ортогональную проекцию полной апертуры отражателя или </w:t>
      </w:r>
      <w:r w:rsidR="000556CA" w:rsidRPr="000556CA">
        <w:t>—</w:t>
      </w:r>
      <w:r w:rsidRPr="003E0928">
        <w:t xml:space="preserve"> в случае фар с эллипсоидным отражателем</w:t>
      </w:r>
      <w:r w:rsidR="000556CA">
        <w:rPr>
          <w:lang w:val="en-US"/>
        </w:rPr>
        <w:t> </w:t>
      </w:r>
      <w:r w:rsidR="000556CA" w:rsidRPr="000556CA">
        <w:t>—</w:t>
      </w:r>
      <w:r w:rsidRPr="003E0928">
        <w:t xml:space="preserve"> ортогональную проекцию </w:t>
      </w:r>
      <w:r w:rsidR="000556CA">
        <w:rPr>
          <w:iCs/>
          <w:lang w:val="en-US"/>
        </w:rPr>
        <w:t>“</w:t>
      </w:r>
      <w:r w:rsidRPr="003E0928">
        <w:t>проецирующей линзы</w:t>
      </w:r>
      <w:r w:rsidR="000556CA">
        <w:rPr>
          <w:iCs/>
          <w:lang w:val="en-US"/>
        </w:rPr>
        <w:t>”</w:t>
      </w:r>
      <w:r w:rsidRPr="003E0928">
        <w:t xml:space="preserve"> на поперечную плоскость. Если устройство освещения не имеет отражателя, то применяется определение, содержащееся в пункте 2.5.2 ниже. Если светоизлучающая поверхность огня перекрывает только часть полной апертуры отражателя, учитывается проекция только этой части.</w:t>
      </w:r>
    </w:p>
    <w:p w14:paraId="3AE86ADD" w14:textId="77777777" w:rsidR="0008708E" w:rsidRPr="003E0928" w:rsidRDefault="0008708E" w:rsidP="0008708E">
      <w:pPr>
        <w:spacing w:after="120"/>
        <w:ind w:left="2300" w:right="708" w:hanging="1166"/>
        <w:jc w:val="both"/>
      </w:pPr>
      <w:r w:rsidRPr="003E0928">
        <w:tab/>
        <w:t>В случае фары ближнего света освещающая поверхность ограничивается видимым следом светотеневой границы на рассеивателе. Если отражатель и рассеиватель регулируются по отношению друг к другу, то следует использовать среднее положение регулировки.</w:t>
      </w:r>
    </w:p>
    <w:p w14:paraId="01588225" w14:textId="77777777" w:rsidR="0008708E" w:rsidRPr="003E0928" w:rsidRDefault="0008708E" w:rsidP="0008708E">
      <w:pPr>
        <w:spacing w:after="120"/>
        <w:ind w:left="2300" w:right="708" w:hanging="1166"/>
        <w:jc w:val="both"/>
      </w:pPr>
      <w:r w:rsidRPr="003E0928">
        <w:tab/>
        <w:t>В случае, когда используют совместно любую комбинацию фар, дающих основной луч ближнего света, и дополнительные осветительные приборы или источники света, предназначенные для подсветки поворотов, отдельные освещающие поверхности, взятые вместе, представляют собой освещающую поверхность;</w:t>
      </w:r>
    </w:p>
    <w:p w14:paraId="3B858176" w14:textId="77777777" w:rsidR="0008708E" w:rsidRPr="003E0928" w:rsidRDefault="0008708E" w:rsidP="0008708E">
      <w:pPr>
        <w:spacing w:after="120"/>
        <w:ind w:left="2268" w:right="851" w:hanging="1134"/>
        <w:jc w:val="both"/>
      </w:pPr>
      <w:r w:rsidRPr="003E0928">
        <w:rPr>
          <w:rFonts w:eastAsia="MS Mincho"/>
        </w:rPr>
        <w:t>2.5.2</w:t>
      </w:r>
      <w:r w:rsidRPr="003E0928">
        <w:rPr>
          <w:rFonts w:eastAsia="MS Mincho"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освещающая поверхность устройства световой сигнализации, не являющегося светоотражателем</w:t>
      </w:r>
      <w:r w:rsidR="00835F24" w:rsidRPr="00835F24">
        <w:rPr>
          <w:iCs/>
        </w:rPr>
        <w:t>”</w:t>
      </w:r>
      <w:r w:rsidRPr="003E0928">
        <w:t xml:space="preserve"> (указателя поворота, сигнала торможения, переднего габаритного огня, заднего габаритного огня, сигнала предупреждения об опасности, заднего противотуманного огня) означает ортогональную проекцию огня на плоскость, перпендикулярную его исходной оси и соприкасающуюся с наружной светоизлучающей поверхностью огня, причем эта проекция ограничивается краями экранов, расположенных в этой плоскости, каждый из которых оставляет внутри этой поверхности только 98</w:t>
      </w:r>
      <w:r w:rsidR="000556CA">
        <w:rPr>
          <w:lang w:val="en-US"/>
        </w:rPr>
        <w:t> </w:t>
      </w:r>
      <w:r w:rsidRPr="003E0928">
        <w:t>% общей силы света в направлении исходной оси. Для</w:t>
      </w:r>
      <w:r>
        <w:t> </w:t>
      </w:r>
      <w:r w:rsidRPr="003E0928">
        <w:t>определения нижнего, верхнего и боковых пределов освещающей поверхности используются экраны только с горизонтальными и вертикальными краями;</w:t>
      </w:r>
    </w:p>
    <w:p w14:paraId="0BC4524E" w14:textId="77777777" w:rsidR="0008708E" w:rsidRPr="003E0928" w:rsidRDefault="0008708E" w:rsidP="0008708E">
      <w:pPr>
        <w:spacing w:after="120"/>
        <w:ind w:left="2268" w:right="851" w:hanging="1134"/>
        <w:jc w:val="both"/>
      </w:pPr>
      <w:r w:rsidRPr="003E0928">
        <w:rPr>
          <w:rFonts w:eastAsia="MS Mincho"/>
        </w:rPr>
        <w:t>2.5.3</w:t>
      </w:r>
      <w:r w:rsidRPr="003E0928">
        <w:rPr>
          <w:rFonts w:eastAsia="MS Mincho"/>
          <w:i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освещающая поверхность светоотражателя</w:t>
      </w:r>
      <w:r w:rsidR="00835F24" w:rsidRPr="00835F24">
        <w:rPr>
          <w:iCs/>
        </w:rPr>
        <w:t>”</w:t>
      </w:r>
      <w:r w:rsidRPr="003E0928">
        <w:t xml:space="preserve"> (пункт 2.3.9 выше) означает ортогональную проекцию светоотражателя на плоскость, перпендикулярную его исходной оси и ограничиваемую плоскостями, являющимися продолжением наиболее удаленных частей оптической системы светоотражателя и параллельными этой оси. Для целей определения нижнего, верхнего и боковых краев устройства используются только горизонтальная и вертикальная плоскости;</w:t>
      </w:r>
    </w:p>
    <w:p w14:paraId="05962F64" w14:textId="77777777" w:rsidR="0008708E" w:rsidRPr="003E0928" w:rsidRDefault="0008708E" w:rsidP="0008708E">
      <w:pPr>
        <w:spacing w:after="120"/>
        <w:ind w:left="2268" w:right="851" w:hanging="1134"/>
        <w:jc w:val="both"/>
        <w:rPr>
          <w:rFonts w:eastAsia="MS Mincho"/>
        </w:rPr>
      </w:pPr>
      <w:r w:rsidRPr="003E0928">
        <w:rPr>
          <w:rFonts w:eastAsia="MS Mincho"/>
        </w:rPr>
        <w:lastRenderedPageBreak/>
        <w:t>2.6</w:t>
      </w:r>
      <w:r w:rsidRPr="003E0928">
        <w:rPr>
          <w:rFonts w:eastAsia="MS Mincho"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видимая поверхность</w:t>
      </w:r>
      <w:r w:rsidR="00835F24" w:rsidRPr="00835F24">
        <w:rPr>
          <w:iCs/>
        </w:rPr>
        <w:t>”</w:t>
      </w:r>
      <w:r w:rsidRPr="003E0928">
        <w:t xml:space="preserve"> в определенном направлении наблюдения означает в соответствии с просьбой изготовителя или его надлежащим образом уполномоченного представителя ортогональную проекцию границы</w:t>
      </w:r>
      <w:r w:rsidRPr="003E0928">
        <w:rPr>
          <w:rFonts w:eastAsia="MS Mincho"/>
        </w:rPr>
        <w:t xml:space="preserve">: </w:t>
      </w:r>
    </w:p>
    <w:p w14:paraId="6DA4B384" w14:textId="77777777" w:rsidR="0008708E" w:rsidRPr="003E0928" w:rsidRDefault="0008708E" w:rsidP="0008708E">
      <w:pPr>
        <w:spacing w:after="120"/>
        <w:ind w:left="2268" w:right="851"/>
        <w:jc w:val="both"/>
      </w:pPr>
      <w:r w:rsidRPr="003E0928">
        <w:t>либо освещающей поверхности, проецируемой на внешнюю поверхность рассеивателя (</w:t>
      </w:r>
      <w:r>
        <w:t>a</w:t>
      </w:r>
      <w:r w:rsidRPr="003E0928">
        <w:t>−</w:t>
      </w:r>
      <w:r>
        <w:t>b</w:t>
      </w:r>
      <w:r w:rsidRPr="003E0928">
        <w:t>),</w:t>
      </w:r>
    </w:p>
    <w:p w14:paraId="6287C4E3" w14:textId="2B54A89F" w:rsidR="0008708E" w:rsidRPr="000556CA" w:rsidRDefault="0008708E" w:rsidP="0008708E">
      <w:pPr>
        <w:spacing w:after="120"/>
        <w:ind w:left="2268" w:right="851"/>
        <w:jc w:val="both"/>
        <w:rPr>
          <w:rFonts w:eastAsia="MS Mincho"/>
        </w:rPr>
      </w:pPr>
      <w:r w:rsidRPr="003E0928">
        <w:t>либо светои</w:t>
      </w:r>
      <w:r>
        <w:t>злуч</w:t>
      </w:r>
      <w:r w:rsidRPr="003E0928">
        <w:t>ающей поверхности (с−</w:t>
      </w:r>
      <w:r>
        <w:t>d</w:t>
      </w:r>
      <w:r w:rsidRPr="003E0928">
        <w:t>)</w:t>
      </w:r>
    </w:p>
    <w:p w14:paraId="0D993513" w14:textId="77777777" w:rsidR="0008708E" w:rsidRPr="003E0928" w:rsidRDefault="0008708E" w:rsidP="0008708E">
      <w:pPr>
        <w:spacing w:after="120"/>
        <w:ind w:left="2268" w:right="851"/>
        <w:jc w:val="both"/>
        <w:rPr>
          <w:rFonts w:eastAsia="MS Mincho"/>
        </w:rPr>
      </w:pPr>
      <w:r w:rsidRPr="003E0928">
        <w:t>на плоскость, перпендикулярную направлению наблюдения и проходящую по касательной к наиболее удаленной внешней точке рассеивателя (см.</w:t>
      </w:r>
      <w:r>
        <w:rPr>
          <w:lang w:val="en-US"/>
        </w:rPr>
        <w:t> </w:t>
      </w:r>
      <w:r w:rsidRPr="003E0928">
        <w:t>приложение 3 к настоящим Правилам);</w:t>
      </w:r>
    </w:p>
    <w:p w14:paraId="4995D000" w14:textId="77777777" w:rsidR="0008708E" w:rsidRPr="003E0928" w:rsidRDefault="0008708E" w:rsidP="0008708E">
      <w:pPr>
        <w:spacing w:after="120"/>
        <w:ind w:left="2268" w:right="851" w:hanging="1134"/>
        <w:jc w:val="both"/>
      </w:pPr>
      <w:r w:rsidRPr="003E0928">
        <w:rPr>
          <w:rFonts w:eastAsia="MS Mincho"/>
        </w:rPr>
        <w:t>2.7</w:t>
      </w:r>
      <w:r w:rsidRPr="003E0928">
        <w:rPr>
          <w:rFonts w:eastAsia="MS Mincho"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исходный центр</w:t>
      </w:r>
      <w:r w:rsidR="00835F24" w:rsidRPr="00835F24">
        <w:rPr>
          <w:iCs/>
        </w:rPr>
        <w:t>”</w:t>
      </w:r>
      <w:r w:rsidRPr="003E0928">
        <w:t xml:space="preserve"> означает пересечение исходной оси с внешней светои</w:t>
      </w:r>
      <w:r>
        <w:t>злуч</w:t>
      </w:r>
      <w:r w:rsidRPr="003E0928">
        <w:t>ающей поверхностью; он указывается изготовителем огня;</w:t>
      </w:r>
    </w:p>
    <w:p w14:paraId="13596F63" w14:textId="77777777" w:rsidR="0008708E" w:rsidRPr="003E0928" w:rsidRDefault="0008708E" w:rsidP="0008708E">
      <w:pPr>
        <w:spacing w:after="120"/>
        <w:ind w:left="2268" w:right="851" w:hanging="1134"/>
        <w:jc w:val="both"/>
        <w:rPr>
          <w:rFonts w:eastAsia="MS Mincho"/>
        </w:rPr>
      </w:pPr>
      <w:r w:rsidRPr="003E0928">
        <w:rPr>
          <w:rFonts w:eastAsia="MS Mincho"/>
        </w:rPr>
        <w:t>2.8</w:t>
      </w:r>
      <w:r w:rsidRPr="003E0928">
        <w:rPr>
          <w:rFonts w:eastAsia="MS Mincho"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край габаритной ширины</w:t>
      </w:r>
      <w:r w:rsidR="00835F24" w:rsidRPr="00835F24">
        <w:rPr>
          <w:iCs/>
        </w:rPr>
        <w:t>”</w:t>
      </w:r>
      <w:r w:rsidRPr="003E0928">
        <w:t xml:space="preserve"> с каждой стороны транспортного средства означает плоскость, параллельную средней продольной плоскости транспортного средства и касающуюся бокового края транспортного средства без учета выступа или выступов, образуемых</w:t>
      </w:r>
      <w:r w:rsidRPr="003E0928">
        <w:rPr>
          <w:rFonts w:eastAsia="MS Mincho"/>
        </w:rPr>
        <w:t>:</w:t>
      </w:r>
    </w:p>
    <w:p w14:paraId="6912E534" w14:textId="77777777" w:rsidR="0008708E" w:rsidRPr="003E0928" w:rsidRDefault="0008708E" w:rsidP="0008708E">
      <w:pPr>
        <w:spacing w:after="120"/>
        <w:ind w:left="2268" w:right="851" w:hanging="1134"/>
        <w:jc w:val="both"/>
        <w:rPr>
          <w:rFonts w:eastAsia="MS Mincho"/>
        </w:rPr>
      </w:pPr>
      <w:r w:rsidRPr="003E0928">
        <w:rPr>
          <w:rFonts w:eastAsia="MS Mincho"/>
        </w:rPr>
        <w:t>2.8.1</w:t>
      </w:r>
      <w:r w:rsidRPr="003E0928">
        <w:rPr>
          <w:rFonts w:eastAsia="MS Mincho"/>
        </w:rPr>
        <w:tab/>
      </w:r>
      <w:r w:rsidRPr="003E0928">
        <w:t>зеркалами заднего вида,</w:t>
      </w:r>
    </w:p>
    <w:p w14:paraId="14EFFD98" w14:textId="77777777" w:rsidR="0008708E" w:rsidRPr="003E0928" w:rsidRDefault="0008708E" w:rsidP="0008708E">
      <w:pPr>
        <w:spacing w:after="120"/>
        <w:ind w:left="2268" w:right="851" w:hanging="1134"/>
        <w:jc w:val="both"/>
        <w:rPr>
          <w:rFonts w:eastAsia="MS Mincho"/>
        </w:rPr>
      </w:pPr>
      <w:r w:rsidRPr="003E0928">
        <w:rPr>
          <w:rFonts w:eastAsia="MS Mincho"/>
        </w:rPr>
        <w:t>2.8.2</w:t>
      </w:r>
      <w:r w:rsidRPr="003E0928">
        <w:rPr>
          <w:rFonts w:eastAsia="MS Mincho"/>
        </w:rPr>
        <w:tab/>
      </w:r>
      <w:r w:rsidRPr="003E0928">
        <w:t>указателями поворота,</w:t>
      </w:r>
    </w:p>
    <w:p w14:paraId="55E073CE" w14:textId="77777777" w:rsidR="0008708E" w:rsidRPr="003E0928" w:rsidRDefault="0008708E" w:rsidP="0008708E">
      <w:pPr>
        <w:spacing w:after="120"/>
        <w:ind w:left="2268" w:right="851" w:hanging="1134"/>
        <w:jc w:val="both"/>
        <w:rPr>
          <w:rFonts w:eastAsia="MS Mincho"/>
        </w:rPr>
      </w:pPr>
      <w:r w:rsidRPr="003E0928">
        <w:rPr>
          <w:rFonts w:eastAsia="MS Mincho"/>
        </w:rPr>
        <w:t>2.8.3</w:t>
      </w:r>
      <w:r w:rsidRPr="003E0928">
        <w:rPr>
          <w:rFonts w:eastAsia="MS Mincho"/>
        </w:rPr>
        <w:tab/>
      </w:r>
      <w:r w:rsidRPr="003E0928">
        <w:t>передними и задними габаритными фонарями и светоотражателями;</w:t>
      </w:r>
    </w:p>
    <w:p w14:paraId="1EC77988" w14:textId="77777777" w:rsidR="0008708E" w:rsidRPr="003E0928" w:rsidRDefault="0008708E" w:rsidP="0008708E">
      <w:pPr>
        <w:spacing w:after="120"/>
        <w:ind w:left="2268" w:right="851" w:hanging="1134"/>
        <w:jc w:val="both"/>
        <w:rPr>
          <w:rFonts w:eastAsia="MS Mincho"/>
        </w:rPr>
      </w:pPr>
      <w:r w:rsidRPr="003E0928">
        <w:rPr>
          <w:rFonts w:eastAsia="MS Mincho"/>
        </w:rPr>
        <w:t>2.9</w:t>
      </w:r>
      <w:r w:rsidRPr="003E0928">
        <w:rPr>
          <w:rFonts w:eastAsia="MS Mincho"/>
        </w:rPr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габаритная ширина</w:t>
      </w:r>
      <w:r w:rsidR="00835F24" w:rsidRPr="00835F24">
        <w:rPr>
          <w:iCs/>
        </w:rPr>
        <w:t>”</w:t>
      </w:r>
      <w:r w:rsidRPr="003E0928">
        <w:t xml:space="preserve"> означает расстояние между двумя вертикальными плоскостями, определенными в пункте 2.8 выше;</w:t>
      </w:r>
    </w:p>
    <w:p w14:paraId="658E2C1F" w14:textId="77777777" w:rsidR="0008708E" w:rsidRPr="00721AD2" w:rsidRDefault="0008708E" w:rsidP="0008708E">
      <w:pPr>
        <w:pStyle w:val="para"/>
        <w:ind w:right="708"/>
        <w:rPr>
          <w:lang w:val="ru-RU"/>
        </w:rPr>
      </w:pPr>
      <w:r w:rsidRPr="00721AD2">
        <w:rPr>
          <w:szCs w:val="23"/>
          <w:lang w:val="ru-RU"/>
        </w:rPr>
        <w:t>2.10</w:t>
      </w:r>
      <w:r w:rsidRPr="00721AD2">
        <w:rPr>
          <w:bCs/>
          <w:szCs w:val="23"/>
          <w:lang w:val="ru-RU"/>
        </w:rPr>
        <w:tab/>
      </w:r>
      <w:r w:rsidR="00835F24">
        <w:rPr>
          <w:iCs/>
          <w:lang w:val="en-US"/>
        </w:rPr>
        <w:t>“</w:t>
      </w:r>
      <w:r w:rsidRPr="00721AD2">
        <w:rPr>
          <w:i/>
          <w:lang w:val="ru-RU"/>
        </w:rPr>
        <w:t>цвет света, испускаемого устройством</w:t>
      </w:r>
      <w:r w:rsidR="00835F24">
        <w:rPr>
          <w:iCs/>
          <w:lang w:val="en-US"/>
        </w:rPr>
        <w:t>”</w:t>
      </w:r>
      <w:r w:rsidRPr="0089581B">
        <w:rPr>
          <w:lang w:val="ru-RU"/>
        </w:rPr>
        <w:t>.</w:t>
      </w:r>
      <w:r w:rsidRPr="00721AD2">
        <w:rPr>
          <w:lang w:val="ru-RU"/>
        </w:rPr>
        <w:t xml:space="preserve"> К настоящим Правилам применяются определения цвета испускаемого света, приведенные в Правилах</w:t>
      </w:r>
      <w:r w:rsidRPr="00567142">
        <w:rPr>
          <w:lang w:val="fr-CH"/>
        </w:rPr>
        <w:t> </w:t>
      </w:r>
      <w:r w:rsidRPr="00721AD2">
        <w:rPr>
          <w:lang w:val="ru-RU"/>
        </w:rPr>
        <w:t>№ 48 ООН и сериях поправок к ним, действующих на момент подачи заявки на официальное утверждение типа;</w:t>
      </w:r>
    </w:p>
    <w:p w14:paraId="1A3F99AD" w14:textId="77777777" w:rsidR="0008708E" w:rsidRPr="0089581B" w:rsidRDefault="0008708E" w:rsidP="0008708E">
      <w:pPr>
        <w:pStyle w:val="para"/>
        <w:ind w:right="708"/>
        <w:rPr>
          <w:bCs/>
          <w:lang w:val="ru-RU"/>
        </w:rPr>
      </w:pPr>
      <w:r w:rsidRPr="00721AD2">
        <w:rPr>
          <w:lang w:val="ru-RU"/>
        </w:rPr>
        <w:t>2.11</w:t>
      </w:r>
      <w:r w:rsidRPr="00721AD2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721AD2">
        <w:rPr>
          <w:i/>
          <w:lang w:val="ru-RU"/>
        </w:rPr>
        <w:t>полная масса транспортного средства</w:t>
      </w:r>
      <w:r w:rsidR="00835F24" w:rsidRPr="00835F24">
        <w:rPr>
          <w:iCs/>
          <w:lang w:val="ru-RU"/>
        </w:rPr>
        <w:t>”</w:t>
      </w:r>
      <w:r w:rsidRPr="00721AD2">
        <w:rPr>
          <w:lang w:val="ru-RU"/>
        </w:rPr>
        <w:t xml:space="preserve"> или </w:t>
      </w:r>
      <w:r w:rsidR="00835F24" w:rsidRPr="00835F24">
        <w:rPr>
          <w:iCs/>
          <w:lang w:val="ru-RU"/>
        </w:rPr>
        <w:t>“</w:t>
      </w:r>
      <w:r w:rsidRPr="00721AD2">
        <w:rPr>
          <w:lang w:val="ru-RU"/>
        </w:rPr>
        <w:t>максимальная масса</w:t>
      </w:r>
      <w:r w:rsidR="00835F24" w:rsidRPr="00835F24">
        <w:rPr>
          <w:iCs/>
          <w:lang w:val="ru-RU"/>
        </w:rPr>
        <w:t>”</w:t>
      </w:r>
      <w:r w:rsidRPr="00721AD2">
        <w:rPr>
          <w:lang w:val="ru-RU"/>
        </w:rPr>
        <w:t xml:space="preserve"> означает технически допустимую максимальную массу груженого транспортного средства, указанную изготовителем</w:t>
      </w:r>
      <w:r>
        <w:rPr>
          <w:bCs/>
          <w:lang w:val="ru-RU"/>
        </w:rPr>
        <w:t>;</w:t>
      </w:r>
    </w:p>
    <w:p w14:paraId="14F7315B" w14:textId="77777777" w:rsidR="0008708E" w:rsidRPr="00721AD2" w:rsidRDefault="0008708E" w:rsidP="0008708E">
      <w:pPr>
        <w:pStyle w:val="para"/>
        <w:ind w:right="708"/>
        <w:rPr>
          <w:lang w:val="ru-RU"/>
        </w:rPr>
      </w:pPr>
      <w:r w:rsidRPr="00721AD2">
        <w:rPr>
          <w:lang w:val="ru-RU"/>
        </w:rPr>
        <w:t>2.12</w:t>
      </w:r>
      <w:r w:rsidRPr="00721AD2">
        <w:rPr>
          <w:bCs/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721AD2">
        <w:rPr>
          <w:i/>
          <w:lang w:val="ru-RU"/>
        </w:rPr>
        <w:t>груженое транспортное средство</w:t>
      </w:r>
      <w:r w:rsidR="00835F24" w:rsidRPr="00835F24">
        <w:rPr>
          <w:iCs/>
          <w:lang w:val="ru-RU"/>
        </w:rPr>
        <w:t>”</w:t>
      </w:r>
      <w:r w:rsidRPr="00721AD2">
        <w:rPr>
          <w:lang w:val="ru-RU"/>
        </w:rPr>
        <w:t xml:space="preserve"> означает транспортное средство, нагруженное до полной массы транспортного средства, определение которой приведено в пункте 2.11</w:t>
      </w:r>
      <w:r w:rsidRPr="00721AD2">
        <w:rPr>
          <w:b/>
          <w:bCs/>
          <w:lang w:val="ru-RU"/>
        </w:rPr>
        <w:t xml:space="preserve"> </w:t>
      </w:r>
      <w:r w:rsidRPr="00721AD2">
        <w:rPr>
          <w:lang w:val="ru-RU"/>
        </w:rPr>
        <w:t>выше;</w:t>
      </w:r>
    </w:p>
    <w:p w14:paraId="6A2D29AD" w14:textId="77777777" w:rsidR="0008708E" w:rsidRPr="00721AD2" w:rsidRDefault="0008708E" w:rsidP="0008708E">
      <w:pPr>
        <w:pStyle w:val="para"/>
        <w:ind w:right="708"/>
        <w:rPr>
          <w:lang w:val="ru-RU"/>
        </w:rPr>
      </w:pPr>
      <w:r w:rsidRPr="00721AD2">
        <w:rPr>
          <w:bCs/>
          <w:lang w:val="ru-RU"/>
        </w:rPr>
        <w:t>2.13</w:t>
      </w:r>
      <w:r w:rsidRPr="00721AD2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721AD2">
        <w:rPr>
          <w:i/>
          <w:lang w:val="ru-RU"/>
        </w:rPr>
        <w:t>горизонтальный угол наклона</w:t>
      </w:r>
      <w:r w:rsidR="00835F24" w:rsidRPr="00835F24">
        <w:rPr>
          <w:iCs/>
          <w:lang w:val="ru-RU"/>
        </w:rPr>
        <w:t>”</w:t>
      </w:r>
      <w:r w:rsidRPr="00721AD2">
        <w:rPr>
          <w:lang w:val="ru-RU"/>
        </w:rPr>
        <w:t xml:space="preserve"> означает угол, образуемый профилем луча, когда мотоцикл находится в положении, указанном в пункте 5.4 настоящих Правил, и профилем луча, когда мотоцикл находится в накрененном положении (см. рисунок в приложении</w:t>
      </w:r>
      <w:r w:rsidRPr="00567142">
        <w:t> </w:t>
      </w:r>
      <w:r w:rsidRPr="00721AD2">
        <w:rPr>
          <w:lang w:val="ru-RU"/>
        </w:rPr>
        <w:t>6);</w:t>
      </w:r>
    </w:p>
    <w:p w14:paraId="61A4C5D6" w14:textId="77777777" w:rsidR="0008708E" w:rsidRPr="002623E3" w:rsidRDefault="0008708E" w:rsidP="0008708E">
      <w:pPr>
        <w:pStyle w:val="para"/>
        <w:ind w:right="708"/>
        <w:rPr>
          <w:lang w:val="ru-RU"/>
        </w:rPr>
      </w:pPr>
      <w:r w:rsidRPr="002623E3">
        <w:rPr>
          <w:bCs/>
          <w:lang w:val="ru-RU"/>
        </w:rPr>
        <w:t>2.14</w:t>
      </w:r>
      <w:r w:rsidRPr="002623E3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2623E3">
        <w:rPr>
          <w:i/>
          <w:lang w:val="ru-RU"/>
        </w:rPr>
        <w:t>система с регулировкой горизонтального угла наклона фар (СРГН)</w:t>
      </w:r>
      <w:r w:rsidR="00835F24" w:rsidRPr="00835F24">
        <w:rPr>
          <w:iCs/>
          <w:lang w:val="ru-RU"/>
        </w:rPr>
        <w:t>”</w:t>
      </w:r>
      <w:r w:rsidRPr="002623E3">
        <w:rPr>
          <w:lang w:val="ru-RU"/>
        </w:rPr>
        <w:t xml:space="preserve"> означает устройство, корректирующее горизонтальный угол наклона фары в сторону нулевого значения;</w:t>
      </w:r>
    </w:p>
    <w:p w14:paraId="0946837A" w14:textId="77777777" w:rsidR="0008708E" w:rsidRPr="002623E3" w:rsidRDefault="0008708E" w:rsidP="0008708E">
      <w:pPr>
        <w:pStyle w:val="para"/>
        <w:ind w:right="708"/>
        <w:rPr>
          <w:lang w:val="ru-RU"/>
        </w:rPr>
      </w:pPr>
      <w:r w:rsidRPr="002623E3">
        <w:rPr>
          <w:bCs/>
          <w:lang w:val="ru-RU"/>
        </w:rPr>
        <w:t>2.15</w:t>
      </w:r>
      <w:r w:rsidRPr="002623E3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2623E3">
        <w:rPr>
          <w:i/>
          <w:lang w:val="ru-RU"/>
        </w:rPr>
        <w:t>угол крена</w:t>
      </w:r>
      <w:r w:rsidR="00835F24" w:rsidRPr="00835F24">
        <w:rPr>
          <w:iCs/>
          <w:lang w:val="ru-RU"/>
        </w:rPr>
        <w:t>”</w:t>
      </w:r>
      <w:r w:rsidRPr="002623E3">
        <w:rPr>
          <w:lang w:val="ru-RU"/>
        </w:rPr>
        <w:t xml:space="preserve"> означает угол отклонения от вертикали вертикальной средней продольной плоскости мотоцикла при его вращении вокруг своей продольной оси (см. рисунок в приложении 6);</w:t>
      </w:r>
    </w:p>
    <w:p w14:paraId="712EA5E6" w14:textId="77777777" w:rsidR="0008708E" w:rsidRPr="002623E3" w:rsidRDefault="0008708E" w:rsidP="0008708E">
      <w:pPr>
        <w:pStyle w:val="para"/>
        <w:ind w:right="708"/>
        <w:rPr>
          <w:lang w:val="ru-RU"/>
        </w:rPr>
      </w:pPr>
      <w:r w:rsidRPr="002623E3">
        <w:rPr>
          <w:bCs/>
          <w:lang w:val="ru-RU"/>
        </w:rPr>
        <w:t>2.16</w:t>
      </w:r>
      <w:r w:rsidRPr="002623E3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2623E3">
        <w:rPr>
          <w:i/>
          <w:lang w:val="ru-RU"/>
        </w:rPr>
        <w:t>сигнал СРГН</w:t>
      </w:r>
      <w:r w:rsidR="00835F24" w:rsidRPr="00835F24">
        <w:rPr>
          <w:iCs/>
          <w:lang w:val="ru-RU"/>
        </w:rPr>
        <w:t>”</w:t>
      </w:r>
      <w:r w:rsidRPr="002623E3">
        <w:rPr>
          <w:lang w:val="ru-RU"/>
        </w:rPr>
        <w:t xml:space="preserve"> означает любой контрольный сигнал либо любой дополнительный контрольный сигнал, поступающий в систему, или любой контрольный сигнал от системы на мотоцикл;</w:t>
      </w:r>
    </w:p>
    <w:p w14:paraId="259F6CCE" w14:textId="77777777" w:rsidR="0008708E" w:rsidRPr="002623E3" w:rsidRDefault="0008708E" w:rsidP="0008708E">
      <w:pPr>
        <w:pStyle w:val="para"/>
        <w:ind w:right="708"/>
        <w:rPr>
          <w:lang w:val="ru-RU"/>
        </w:rPr>
      </w:pPr>
      <w:r w:rsidRPr="002623E3">
        <w:rPr>
          <w:bCs/>
          <w:lang w:val="ru-RU"/>
        </w:rPr>
        <w:t>2.17</w:t>
      </w:r>
      <w:r w:rsidRPr="002623E3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2623E3">
        <w:rPr>
          <w:i/>
          <w:lang w:val="ru-RU"/>
        </w:rPr>
        <w:t>генератор сигналов СРГН</w:t>
      </w:r>
      <w:r w:rsidR="00835F24" w:rsidRPr="00835F24">
        <w:rPr>
          <w:iCs/>
          <w:lang w:val="ru-RU"/>
        </w:rPr>
        <w:t>”</w:t>
      </w:r>
      <w:r w:rsidRPr="002623E3">
        <w:rPr>
          <w:lang w:val="ru-RU"/>
        </w:rPr>
        <w:t xml:space="preserve"> означает устройство, воспроизводящее один или несколько сигналов СРГН в целях проверки системы;</w:t>
      </w:r>
    </w:p>
    <w:p w14:paraId="701DE53D" w14:textId="77777777" w:rsidR="0008708E" w:rsidRPr="00BE295C" w:rsidRDefault="0008708E" w:rsidP="0008708E">
      <w:pPr>
        <w:pStyle w:val="para"/>
        <w:ind w:right="708"/>
        <w:rPr>
          <w:lang w:val="ru-RU"/>
        </w:rPr>
      </w:pPr>
      <w:r w:rsidRPr="00BE295C">
        <w:rPr>
          <w:bCs/>
          <w:lang w:val="ru-RU"/>
        </w:rPr>
        <w:t>2.18</w:t>
      </w:r>
      <w:r w:rsidRPr="00BE295C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BE295C">
        <w:rPr>
          <w:i/>
          <w:lang w:val="ru-RU"/>
        </w:rPr>
        <w:t>испытательный угол СРГН</w:t>
      </w:r>
      <w:r w:rsidR="00835F24" w:rsidRPr="00835F24">
        <w:rPr>
          <w:iCs/>
          <w:lang w:val="ru-RU"/>
        </w:rPr>
        <w:t>”</w:t>
      </w:r>
      <w:r w:rsidRPr="00BE295C">
        <w:rPr>
          <w:rFonts w:hint="eastAsia"/>
          <w:lang w:val="ru-RU"/>
        </w:rPr>
        <w:t xml:space="preserve"> </w:t>
      </w:r>
      <w:r w:rsidRPr="00BE295C">
        <w:rPr>
          <w:lang w:val="ru-RU"/>
        </w:rPr>
        <w:t xml:space="preserve">означает угол </w:t>
      </w:r>
      <w:r w:rsidRPr="00567142">
        <w:rPr>
          <w:lang w:val="fr-CH"/>
        </w:rPr>
        <w:t>δ</w:t>
      </w:r>
      <w:r w:rsidRPr="00BE295C">
        <w:rPr>
          <w:lang w:val="ru-RU"/>
        </w:rPr>
        <w:t>, образуемый светотеневой границей и линией НН (в случае фар с ассиметричным лучом используется горизонтальная часть светотеневой границы) (см. рисунок в приложении 6);</w:t>
      </w:r>
    </w:p>
    <w:p w14:paraId="45F03D29" w14:textId="77777777" w:rsidR="0008708E" w:rsidRPr="00B436A9" w:rsidRDefault="0008708E" w:rsidP="0008708E">
      <w:pPr>
        <w:pStyle w:val="para"/>
        <w:ind w:right="708"/>
        <w:rPr>
          <w:lang w:val="ru-RU"/>
        </w:rPr>
      </w:pPr>
      <w:r w:rsidRPr="00B436A9">
        <w:rPr>
          <w:lang w:val="ru-RU"/>
        </w:rPr>
        <w:t>2.19</w:t>
      </w:r>
      <w:r w:rsidRPr="00B436A9">
        <w:rPr>
          <w:lang w:val="ru-RU"/>
        </w:rPr>
        <w:tab/>
      </w:r>
      <w:r w:rsidR="00835F24" w:rsidRPr="00835F24">
        <w:rPr>
          <w:iCs/>
          <w:lang w:val="ru-RU"/>
        </w:rPr>
        <w:t>“</w:t>
      </w:r>
      <w:r w:rsidRPr="00B436A9">
        <w:rPr>
          <w:i/>
          <w:lang w:val="ru-RU"/>
        </w:rPr>
        <w:t>устройство</w:t>
      </w:r>
      <w:r w:rsidR="00835F24" w:rsidRPr="00835F24">
        <w:rPr>
          <w:iCs/>
          <w:lang w:val="ru-RU"/>
        </w:rPr>
        <w:t>”</w:t>
      </w:r>
      <w:r w:rsidRPr="00B436A9">
        <w:rPr>
          <w:lang w:val="ru-RU"/>
        </w:rPr>
        <w:t xml:space="preserve"> означает компонент или сочетание компонентов, используемых для выполнения одной или нескольких функций;</w:t>
      </w:r>
    </w:p>
    <w:p w14:paraId="2C672C3B" w14:textId="77777777" w:rsidR="0008708E" w:rsidRPr="003E0928" w:rsidRDefault="0008708E" w:rsidP="0008708E">
      <w:pPr>
        <w:spacing w:after="120"/>
        <w:ind w:left="2268" w:rightChars="540" w:right="1080" w:hanging="1134"/>
        <w:jc w:val="both"/>
        <w:rPr>
          <w:i/>
        </w:rPr>
      </w:pPr>
      <w:r w:rsidRPr="003E0928">
        <w:lastRenderedPageBreak/>
        <w:t>2.20</w:t>
      </w:r>
      <w:r w:rsidRPr="003E0928">
        <w:tab/>
      </w:r>
      <w:r w:rsidR="00835F24" w:rsidRPr="00835F24">
        <w:rPr>
          <w:iCs/>
        </w:rPr>
        <w:t>“</w:t>
      </w:r>
      <w:r w:rsidRPr="003E0928">
        <w:rPr>
          <w:i/>
          <w:iCs/>
        </w:rPr>
        <w:t>внешний фонарь освещения подножки</w:t>
      </w:r>
      <w:r w:rsidR="00835F24" w:rsidRPr="00835F24">
        <w:rPr>
          <w:iCs/>
        </w:rPr>
        <w:t>”</w:t>
      </w:r>
      <w:r w:rsidRPr="003E0928">
        <w:t xml:space="preserve"> означает фонарь дополнительного освещения для облегчения посадки и высадки водителя и пассажира транспортного средства или проведения погрузочных операций»</w:t>
      </w:r>
      <w:r>
        <w:t>.</w:t>
      </w:r>
    </w:p>
    <w:p w14:paraId="0D18A136" w14:textId="77777777" w:rsidR="0008708E" w:rsidRPr="003E0928" w:rsidRDefault="0008708E" w:rsidP="0008708E">
      <w:pPr>
        <w:keepNext/>
        <w:keepLines/>
        <w:spacing w:after="120"/>
        <w:ind w:left="1134" w:right="1134"/>
        <w:jc w:val="both"/>
      </w:pPr>
      <w:r w:rsidRPr="003E0928">
        <w:rPr>
          <w:i/>
        </w:rPr>
        <w:t xml:space="preserve">Пункт 3.2.5 </w:t>
      </w:r>
      <w:r w:rsidRPr="003E0928">
        <w:t>изменить следующим образом:</w:t>
      </w:r>
    </w:p>
    <w:p w14:paraId="04ED5CED" w14:textId="77777777" w:rsidR="0008708E" w:rsidRPr="003E0928" w:rsidRDefault="0008708E" w:rsidP="0008708E">
      <w:pPr>
        <w:pStyle w:val="SingleTxtG"/>
        <w:keepNext/>
        <w:keepLines/>
        <w:ind w:left="2268" w:hanging="1134"/>
      </w:pPr>
      <w:r w:rsidRPr="003E0928">
        <w:t>«3.2.5</w:t>
      </w:r>
      <w:r w:rsidRPr="003E0928">
        <w:tab/>
        <w:t>В заявке должен быть указан метод, используемый для определения видимой поверхности (пункт 2.6)»</w:t>
      </w:r>
      <w:r>
        <w:t>.</w:t>
      </w:r>
      <w:r w:rsidRPr="003E0928">
        <w:t xml:space="preserve"> </w:t>
      </w:r>
    </w:p>
    <w:p w14:paraId="2112AE71" w14:textId="77777777" w:rsidR="0008708E" w:rsidRPr="003E0928" w:rsidRDefault="0008708E" w:rsidP="0008708E">
      <w:pPr>
        <w:pStyle w:val="SingleTxtG"/>
        <w:ind w:left="2268" w:hanging="1134"/>
        <w:rPr>
          <w:i/>
        </w:rPr>
      </w:pPr>
      <w:r w:rsidRPr="003E0928">
        <w:rPr>
          <w:i/>
          <w:iCs/>
        </w:rPr>
        <w:t>Включить новый пункт 3.2.6</w:t>
      </w:r>
      <w:r w:rsidRPr="003E0928">
        <w:t xml:space="preserve"> следующего содержания</w:t>
      </w:r>
      <w:r w:rsidRPr="003E0928">
        <w:rPr>
          <w:iCs/>
        </w:rPr>
        <w:t>:</w:t>
      </w:r>
    </w:p>
    <w:p w14:paraId="64BADD52" w14:textId="77777777" w:rsidR="0008708E" w:rsidRPr="003E0928" w:rsidRDefault="0008708E" w:rsidP="0008708E">
      <w:pPr>
        <w:pStyle w:val="SingleTxtG"/>
        <w:ind w:left="2268" w:hanging="1134"/>
      </w:pPr>
      <w:r w:rsidRPr="003E0928">
        <w:t>«</w:t>
      </w:r>
      <w:r w:rsidRPr="003E0928">
        <w:rPr>
          <w:bCs/>
        </w:rPr>
        <w:t>3.2.6</w:t>
      </w:r>
      <w:r w:rsidRPr="003E0928">
        <w:rPr>
          <w:bCs/>
        </w:rPr>
        <w:tab/>
      </w:r>
      <w:r w:rsidRPr="003E0928">
        <w:t>по усмотрению изготовителя указание о том, разрешено ли огни, официально утвержденные для альтернативных источников света на СИД и оснащенные ими, устанавливать на транспортном средстве и, если это допускается, какие огни»</w:t>
      </w:r>
      <w:r>
        <w:t>.</w:t>
      </w:r>
    </w:p>
    <w:p w14:paraId="6FC97C6F" w14:textId="77777777" w:rsidR="0008708E" w:rsidRPr="003E0928" w:rsidRDefault="0008708E" w:rsidP="0008708E">
      <w:pPr>
        <w:spacing w:after="120"/>
        <w:ind w:left="2268" w:right="1134" w:hanging="1134"/>
        <w:jc w:val="both"/>
      </w:pPr>
      <w:r w:rsidRPr="003E0928">
        <w:rPr>
          <w:rFonts w:eastAsia="MS PMincho"/>
          <w:i/>
        </w:rPr>
        <w:t xml:space="preserve">Включить новый пункт </w:t>
      </w:r>
      <w:r w:rsidRPr="003E0928">
        <w:rPr>
          <w:rFonts w:eastAsia="MS PMincho" w:hint="eastAsia"/>
          <w:i/>
        </w:rPr>
        <w:t>5.</w:t>
      </w:r>
      <w:r w:rsidRPr="003E0928">
        <w:rPr>
          <w:rFonts w:eastAsia="MS PMincho"/>
          <w:i/>
        </w:rPr>
        <w:t>22</w:t>
      </w:r>
      <w:r w:rsidRPr="003E0928">
        <w:rPr>
          <w:rFonts w:eastAsia="MS PMincho"/>
        </w:rPr>
        <w:t xml:space="preserve"> следующего содержания</w:t>
      </w:r>
      <w:r w:rsidRPr="003E0928">
        <w:t>:</w:t>
      </w:r>
    </w:p>
    <w:p w14:paraId="1FB7B2E0" w14:textId="77777777" w:rsidR="0008708E" w:rsidRPr="003E0928" w:rsidRDefault="0008708E" w:rsidP="0008708E">
      <w:pPr>
        <w:spacing w:after="120"/>
        <w:ind w:left="2268" w:right="1134" w:hanging="1134"/>
        <w:jc w:val="both"/>
      </w:pPr>
      <w:r w:rsidRPr="003E0928">
        <w:t>«5.22</w:t>
      </w:r>
      <w:r w:rsidRPr="003E0928">
        <w:tab/>
      </w:r>
      <w:r w:rsidRPr="003E0928">
        <w:tab/>
        <w:t>Использование огней, официально утвержденных для альтернативного(ых) источника(ов) света на СИД и оснащенных им(и), допускается только при наличии положительного подтверждения, предусмотренного в пункте 3.2.6.</w:t>
      </w:r>
    </w:p>
    <w:p w14:paraId="6555FB49" w14:textId="77777777" w:rsidR="0008708E" w:rsidRPr="003E0928" w:rsidRDefault="0008708E" w:rsidP="0008708E">
      <w:pPr>
        <w:spacing w:after="120"/>
        <w:ind w:left="2268" w:right="1134" w:hanging="1134"/>
        <w:jc w:val="both"/>
      </w:pPr>
      <w:r w:rsidRPr="003E0928">
        <w:tab/>
        <w:t>Для того чтобы удостовериться в том, что требование в отношении такого подтверждения соблюдается как в ходе официального утверждения типа, так и в процессе контроля соответствия производства, проверяют наличие на огнях маркировки, связанной с использованием альтернативного(ых) источника(ов) света на СИД»</w:t>
      </w:r>
      <w:r>
        <w:t>.</w:t>
      </w:r>
    </w:p>
    <w:p w14:paraId="2E961D67" w14:textId="77777777" w:rsidR="0008708E" w:rsidRPr="003E0928" w:rsidRDefault="0008708E" w:rsidP="0008708E">
      <w:pPr>
        <w:spacing w:after="120"/>
        <w:ind w:left="1134" w:right="1134"/>
        <w:jc w:val="both"/>
      </w:pPr>
      <w:bookmarkStart w:id="2" w:name="_Hlk18423767"/>
      <w:r w:rsidRPr="003E0928">
        <w:rPr>
          <w:i/>
        </w:rPr>
        <w:t xml:space="preserve">Пункт 6.1.1.2 </w:t>
      </w:r>
      <w:r w:rsidRPr="003E0928">
        <w:t>изменить следующим образом:</w:t>
      </w:r>
    </w:p>
    <w:p w14:paraId="4FF2B1E3" w14:textId="77777777" w:rsidR="0008708E" w:rsidRPr="003E0928" w:rsidRDefault="0008708E" w:rsidP="0008708E">
      <w:pPr>
        <w:pStyle w:val="SingleTxtG"/>
      </w:pPr>
      <w:r w:rsidRPr="003E0928">
        <w:t>«6.1.1.2</w:t>
      </w:r>
      <w:r w:rsidRPr="003E0928">
        <w:tab/>
        <w:t>Для мотоциклов с объемом цилиндров &gt;125 см</w:t>
      </w:r>
      <w:r w:rsidRPr="003E0928">
        <w:rPr>
          <w:vertAlign w:val="superscript"/>
        </w:rPr>
        <w:t>3</w:t>
      </w:r>
    </w:p>
    <w:p w14:paraId="2C9F3785" w14:textId="77777777" w:rsidR="0008708E" w:rsidRPr="003E0928" w:rsidRDefault="0008708E" w:rsidP="0008708E">
      <w:pPr>
        <w:pStyle w:val="SingleTxtG"/>
      </w:pPr>
      <w:r w:rsidRPr="003E0928">
        <w:tab/>
      </w:r>
      <w:r w:rsidRPr="003E0928">
        <w:tab/>
      </w:r>
      <w:r w:rsidRPr="003E0928">
        <w:tab/>
        <w:t>Одна или две официально утвержденного типа в соответствии с:</w:t>
      </w:r>
    </w:p>
    <w:p w14:paraId="7321ABED" w14:textId="77777777" w:rsidR="0008708E" w:rsidRPr="003E0928" w:rsidRDefault="0008708E" w:rsidP="0008708E">
      <w:pPr>
        <w:pStyle w:val="SingleTxtG"/>
      </w:pPr>
      <w:r w:rsidRPr="003E0928">
        <w:tab/>
      </w:r>
      <w:r w:rsidRPr="003E0928">
        <w:tab/>
      </w:r>
      <w:r w:rsidRPr="003E0928">
        <w:tab/>
      </w:r>
      <w:r w:rsidRPr="00F11CB6">
        <w:t>a</w:t>
      </w:r>
      <w:r w:rsidRPr="003E0928">
        <w:t>)</w:t>
      </w:r>
      <w:r w:rsidRPr="003E0928">
        <w:tab/>
        <w:t xml:space="preserve">классом </w:t>
      </w:r>
      <w:r w:rsidRPr="00F11CB6">
        <w:t>D</w:t>
      </w:r>
      <w:r w:rsidRPr="003E0928">
        <w:t xml:space="preserve"> или Е, предусмотренным Правилами № 113 ООН;</w:t>
      </w:r>
    </w:p>
    <w:p w14:paraId="6DCD8F4B" w14:textId="77777777" w:rsidR="0008708E" w:rsidRPr="003E0928" w:rsidRDefault="0008708E" w:rsidP="0008708E">
      <w:pPr>
        <w:pStyle w:val="SingleTxtG"/>
        <w:ind w:left="1701"/>
      </w:pPr>
      <w:r w:rsidRPr="003E0928">
        <w:tab/>
      </w:r>
      <w:r w:rsidRPr="003E0928">
        <w:tab/>
      </w:r>
      <w:r w:rsidRPr="00F11CB6">
        <w:t>b</w:t>
      </w:r>
      <w:r w:rsidRPr="003E0928">
        <w:t>)</w:t>
      </w:r>
      <w:r w:rsidRPr="003E0928">
        <w:tab/>
        <w:t xml:space="preserve">Правилами № 112 ООН; </w:t>
      </w:r>
    </w:p>
    <w:p w14:paraId="01FF152E" w14:textId="77777777" w:rsidR="0008708E" w:rsidRPr="003E0928" w:rsidRDefault="0008708E" w:rsidP="0008708E">
      <w:pPr>
        <w:pStyle w:val="SingleTxtG"/>
        <w:ind w:left="1701"/>
      </w:pPr>
      <w:r w:rsidRPr="003E0928">
        <w:tab/>
      </w:r>
      <w:r w:rsidRPr="003E0928">
        <w:tab/>
      </w:r>
      <w:r w:rsidRPr="00F11CB6">
        <w:t>c</w:t>
      </w:r>
      <w:r w:rsidRPr="003E0928">
        <w:t>)</w:t>
      </w:r>
      <w:r w:rsidRPr="003E0928">
        <w:tab/>
        <w:t>Правилами № 1 ООН;</w:t>
      </w:r>
    </w:p>
    <w:p w14:paraId="31DC2C9A" w14:textId="77777777" w:rsidR="0008708E" w:rsidRPr="003E0928" w:rsidRDefault="0008708E" w:rsidP="0008708E">
      <w:pPr>
        <w:pStyle w:val="SingleTxtG"/>
        <w:ind w:left="1701"/>
      </w:pPr>
      <w:r w:rsidRPr="003E0928">
        <w:tab/>
      </w:r>
      <w:r w:rsidRPr="003E0928">
        <w:tab/>
      </w:r>
      <w:r w:rsidRPr="00F11CB6">
        <w:t>d</w:t>
      </w:r>
      <w:r w:rsidRPr="003E0928">
        <w:t>)</w:t>
      </w:r>
      <w:r w:rsidRPr="003E0928">
        <w:tab/>
        <w:t>Правилами № 8 ООН;</w:t>
      </w:r>
    </w:p>
    <w:p w14:paraId="66A7CDD6" w14:textId="77777777" w:rsidR="0008708E" w:rsidRPr="003E0928" w:rsidRDefault="0008708E" w:rsidP="0008708E">
      <w:pPr>
        <w:pStyle w:val="SingleTxtG"/>
        <w:ind w:left="1701"/>
      </w:pPr>
      <w:r w:rsidRPr="003E0928">
        <w:tab/>
      </w:r>
      <w:r w:rsidRPr="003E0928">
        <w:tab/>
      </w:r>
      <w:r w:rsidRPr="00F11CB6">
        <w:t>e</w:t>
      </w:r>
      <w:r w:rsidRPr="003E0928">
        <w:t>)</w:t>
      </w:r>
      <w:r w:rsidRPr="003E0928">
        <w:tab/>
        <w:t>Правилами № 20 ООН;</w:t>
      </w:r>
    </w:p>
    <w:p w14:paraId="4E907CEF" w14:textId="77777777" w:rsidR="0008708E" w:rsidRPr="003E0928" w:rsidRDefault="0008708E" w:rsidP="0008708E">
      <w:pPr>
        <w:pStyle w:val="SingleTxtG"/>
        <w:ind w:left="1701"/>
      </w:pPr>
      <w:r w:rsidRPr="003E0928">
        <w:tab/>
      </w:r>
      <w:r w:rsidRPr="003E0928">
        <w:tab/>
      </w:r>
      <w:r w:rsidRPr="00F11CB6">
        <w:t>f</w:t>
      </w:r>
      <w:r w:rsidRPr="003E0928">
        <w:t>)</w:t>
      </w:r>
      <w:r w:rsidRPr="003E0928">
        <w:tab/>
        <w:t>Правилами № 72 ООН;</w:t>
      </w:r>
    </w:p>
    <w:p w14:paraId="1815AFC6" w14:textId="77777777" w:rsidR="0008708E" w:rsidRPr="003E0928" w:rsidRDefault="0008708E" w:rsidP="0008708E">
      <w:pPr>
        <w:pStyle w:val="SingleTxtG"/>
        <w:ind w:left="1701" w:right="889"/>
      </w:pPr>
      <w:r w:rsidRPr="003E0928">
        <w:tab/>
      </w:r>
      <w:r w:rsidRPr="003E0928">
        <w:tab/>
      </w:r>
      <w:r w:rsidRPr="00F11CB6">
        <w:t>g</w:t>
      </w:r>
      <w:r w:rsidRPr="003E0928">
        <w:t>)</w:t>
      </w:r>
      <w:r w:rsidRPr="003E0928">
        <w:tab/>
        <w:t>Правилами № 98 ООН;</w:t>
      </w:r>
    </w:p>
    <w:p w14:paraId="1304F555" w14:textId="77777777" w:rsidR="0008708E" w:rsidRPr="003E0928" w:rsidRDefault="0008708E" w:rsidP="0008708E">
      <w:pPr>
        <w:pStyle w:val="SingleTxtG"/>
        <w:rPr>
          <w:bCs/>
        </w:rPr>
      </w:pPr>
      <w:r w:rsidRPr="003E0928">
        <w:tab/>
      </w:r>
      <w:r w:rsidRPr="003E0928">
        <w:tab/>
      </w:r>
      <w:r w:rsidRPr="003E0928">
        <w:tab/>
      </w:r>
      <w:r w:rsidRPr="00B436A9">
        <w:rPr>
          <w:lang w:val="en-US"/>
        </w:rPr>
        <w:t>h</w:t>
      </w:r>
      <w:r w:rsidRPr="003E0928">
        <w:t>)</w:t>
      </w:r>
      <w:r w:rsidRPr="003E0928">
        <w:tab/>
        <w:t xml:space="preserve">классом </w:t>
      </w:r>
      <w:r w:rsidRPr="00E13353">
        <w:rPr>
          <w:bCs/>
        </w:rPr>
        <w:t>A</w:t>
      </w:r>
      <w:r w:rsidRPr="003E0928">
        <w:rPr>
          <w:bCs/>
        </w:rPr>
        <w:t xml:space="preserve">, </w:t>
      </w:r>
      <w:r w:rsidRPr="00E13353">
        <w:rPr>
          <w:bCs/>
        </w:rPr>
        <w:t>B</w:t>
      </w:r>
      <w:r w:rsidRPr="003E0928">
        <w:rPr>
          <w:bCs/>
        </w:rPr>
        <w:t xml:space="preserve">, </w:t>
      </w:r>
      <w:r w:rsidRPr="00E13353">
        <w:rPr>
          <w:bCs/>
        </w:rPr>
        <w:t>D</w:t>
      </w:r>
      <w:r w:rsidRPr="003E0928">
        <w:rPr>
          <w:bCs/>
        </w:rPr>
        <w:t xml:space="preserve">, </w:t>
      </w:r>
      <w:r w:rsidRPr="00E13353">
        <w:rPr>
          <w:bCs/>
        </w:rPr>
        <w:t>DS</w:t>
      </w:r>
      <w:r w:rsidRPr="003E0928">
        <w:rPr>
          <w:bCs/>
        </w:rPr>
        <w:t xml:space="preserve"> или </w:t>
      </w:r>
      <w:r w:rsidRPr="00E13353">
        <w:rPr>
          <w:bCs/>
        </w:rPr>
        <w:t>ES</w:t>
      </w:r>
      <w:r w:rsidRPr="003E0928">
        <w:t xml:space="preserve">, предусмотренным </w:t>
      </w:r>
      <w:r w:rsidRPr="003E0928">
        <w:br/>
      </w:r>
      <w:r w:rsidRPr="003E0928">
        <w:tab/>
      </w:r>
      <w:r w:rsidRPr="003E0928">
        <w:tab/>
      </w:r>
      <w:r w:rsidRPr="003E0928">
        <w:tab/>
      </w:r>
      <w:r w:rsidRPr="003E0928">
        <w:tab/>
        <w:t xml:space="preserve">Правилами № </w:t>
      </w:r>
      <w:r w:rsidRPr="003E0928">
        <w:rPr>
          <w:bCs/>
        </w:rPr>
        <w:t>149 ООН.</w:t>
      </w:r>
    </w:p>
    <w:p w14:paraId="40446C69" w14:textId="77777777" w:rsidR="0008708E" w:rsidRPr="003E0928" w:rsidRDefault="0008708E" w:rsidP="0008708E">
      <w:pPr>
        <w:pStyle w:val="SingleTxtG"/>
        <w:rPr>
          <w:bCs/>
        </w:rPr>
      </w:pPr>
      <w:bookmarkStart w:id="3" w:name="_Hlk18423951"/>
      <w:bookmarkEnd w:id="2"/>
      <w:r w:rsidRPr="003E0928">
        <w:tab/>
      </w:r>
      <w:r w:rsidRPr="003E0928">
        <w:tab/>
      </w:r>
      <w:r w:rsidRPr="003E0928">
        <w:tab/>
        <w:t>Две официально утвержденного типа в соответствии с</w:t>
      </w:r>
      <w:r w:rsidRPr="003E0928">
        <w:rPr>
          <w:bCs/>
        </w:rPr>
        <w:t>:</w:t>
      </w:r>
    </w:p>
    <w:p w14:paraId="1BFFCA45" w14:textId="77777777" w:rsidR="0008708E" w:rsidRPr="003E0928" w:rsidRDefault="0008708E" w:rsidP="0008708E">
      <w:pPr>
        <w:pStyle w:val="SingleTxtG"/>
        <w:ind w:left="2694" w:hanging="426"/>
        <w:rPr>
          <w:bCs/>
        </w:rPr>
      </w:pPr>
      <w:r w:rsidRPr="00E13353">
        <w:rPr>
          <w:bCs/>
        </w:rPr>
        <w:t>i</w:t>
      </w:r>
      <w:r w:rsidRPr="003E0928">
        <w:rPr>
          <w:bCs/>
        </w:rPr>
        <w:t>)</w:t>
      </w:r>
      <w:r w:rsidRPr="003E0928">
        <w:rPr>
          <w:bCs/>
        </w:rPr>
        <w:tab/>
      </w:r>
      <w:r w:rsidRPr="003E0928">
        <w:t>классом С, предусмотренным Правилами № 113 ООН</w:t>
      </w:r>
      <w:r w:rsidRPr="003E0928">
        <w:rPr>
          <w:bCs/>
        </w:rPr>
        <w:t>;</w:t>
      </w:r>
    </w:p>
    <w:p w14:paraId="3EFF6F8A" w14:textId="77777777" w:rsidR="0008708E" w:rsidRPr="003E0928" w:rsidRDefault="0008708E" w:rsidP="0008708E">
      <w:pPr>
        <w:pStyle w:val="SingleTxtG"/>
        <w:ind w:left="2694" w:hanging="426"/>
        <w:rPr>
          <w:i/>
          <w:iCs/>
        </w:rPr>
      </w:pPr>
      <w:r w:rsidRPr="00E13353">
        <w:rPr>
          <w:bCs/>
        </w:rPr>
        <w:t>j</w:t>
      </w:r>
      <w:r w:rsidRPr="003E0928">
        <w:rPr>
          <w:bCs/>
        </w:rPr>
        <w:t>)</w:t>
      </w:r>
      <w:r w:rsidRPr="003E0928">
        <w:rPr>
          <w:bCs/>
        </w:rPr>
        <w:tab/>
      </w:r>
      <w:r w:rsidRPr="003E0928">
        <w:t xml:space="preserve">классом </w:t>
      </w:r>
      <w:r w:rsidRPr="00E13353">
        <w:rPr>
          <w:bCs/>
        </w:rPr>
        <w:t>CS</w:t>
      </w:r>
      <w:r w:rsidRPr="003E0928">
        <w:t xml:space="preserve">, предусмотренным Правилами № </w:t>
      </w:r>
      <w:r w:rsidRPr="003E0928">
        <w:rPr>
          <w:bCs/>
        </w:rPr>
        <w:t>149</w:t>
      </w:r>
      <w:r w:rsidRPr="003E0928">
        <w:t xml:space="preserve"> ООН»</w:t>
      </w:r>
      <w:r>
        <w:t xml:space="preserve">. </w:t>
      </w:r>
      <w:bookmarkStart w:id="4" w:name="_Hlk18424011"/>
      <w:bookmarkEnd w:id="3"/>
    </w:p>
    <w:p w14:paraId="6866DCFE" w14:textId="77777777" w:rsidR="0008708E" w:rsidRPr="003E0928" w:rsidRDefault="0008708E" w:rsidP="0008708E">
      <w:pPr>
        <w:pStyle w:val="SingleTxtG"/>
        <w:ind w:left="2268" w:hanging="1134"/>
      </w:pPr>
      <w:r w:rsidRPr="003E0928">
        <w:rPr>
          <w:i/>
          <w:iCs/>
        </w:rPr>
        <w:t>Пун</w:t>
      </w:r>
      <w:r w:rsidRPr="003E0928">
        <w:rPr>
          <w:i/>
        </w:rPr>
        <w:t>кт 6.4.6</w:t>
      </w:r>
      <w:r w:rsidRPr="003E0928">
        <w:t xml:space="preserve"> изменить следующим образом: </w:t>
      </w:r>
    </w:p>
    <w:p w14:paraId="4D38F0A3" w14:textId="77777777" w:rsidR="0008708E" w:rsidRPr="003E0928" w:rsidRDefault="0008708E" w:rsidP="0008708E">
      <w:pPr>
        <w:pStyle w:val="SingleTxtG"/>
        <w:ind w:left="2268" w:hanging="1134"/>
      </w:pPr>
      <w:r w:rsidRPr="003E0928">
        <w:t>«6.4.6</w:t>
      </w:r>
      <w:r w:rsidRPr="003E0928">
        <w:tab/>
        <w:t>Схема электрических соединений</w:t>
      </w:r>
    </w:p>
    <w:p w14:paraId="1C747A6E" w14:textId="77777777" w:rsidR="0008708E" w:rsidRPr="003E0928" w:rsidRDefault="0008708E" w:rsidP="0008708E">
      <w:pPr>
        <w:pStyle w:val="SingleTxtG"/>
        <w:ind w:left="2268" w:hanging="1134"/>
      </w:pPr>
      <w:r w:rsidRPr="003E0928">
        <w:t>6.4.6.1</w:t>
      </w:r>
      <w:r w:rsidRPr="003E0928">
        <w:tab/>
        <w:t>Все сигналы торможения должны зажигаться одновременно, когда тормозная система подает сигнал на торможение, определенный в Правилах № 78 ООН</w:t>
      </w:r>
      <w:bookmarkEnd w:id="4"/>
      <w:r w:rsidRPr="003E0928">
        <w:t>.</w:t>
      </w:r>
    </w:p>
    <w:p w14:paraId="3B897FF0" w14:textId="77777777" w:rsidR="0008708E" w:rsidRPr="003E0928" w:rsidRDefault="0008708E" w:rsidP="0008708E">
      <w:pPr>
        <w:pStyle w:val="SingleTxtG"/>
        <w:ind w:left="2268" w:hanging="1134"/>
      </w:pPr>
      <w:bookmarkStart w:id="5" w:name="_Hlk18424054"/>
      <w:r w:rsidRPr="003E0928">
        <w:t>6.4.6.2</w:t>
      </w:r>
      <w:r w:rsidRPr="003E0928">
        <w:tab/>
        <w:t>Сигналы торможения могут не зажигаться, если устройство включения и/или остановки двигателя (силовой установки) находится в положении, исключающем работу двигателя (силовой установки)»</w:t>
      </w:r>
      <w:r>
        <w:t>.</w:t>
      </w:r>
    </w:p>
    <w:bookmarkEnd w:id="5"/>
    <w:p w14:paraId="24FDF9F3" w14:textId="77777777" w:rsidR="0008708E" w:rsidRPr="003E0928" w:rsidRDefault="0008708E" w:rsidP="00835F24">
      <w:pPr>
        <w:pStyle w:val="SingleTxtG"/>
        <w:pageBreakBefore/>
        <w:ind w:left="2268" w:hanging="1134"/>
      </w:pPr>
      <w:r w:rsidRPr="003E0928">
        <w:rPr>
          <w:i/>
        </w:rPr>
        <w:lastRenderedPageBreak/>
        <w:t>Пункт 6.7.4</w:t>
      </w:r>
      <w:r w:rsidRPr="003E0928">
        <w:t xml:space="preserve"> изме</w:t>
      </w:r>
      <w:bookmarkStart w:id="6" w:name="_GoBack"/>
      <w:bookmarkEnd w:id="6"/>
      <w:r w:rsidRPr="003E0928">
        <w:t xml:space="preserve">нить следующим образом: </w:t>
      </w:r>
    </w:p>
    <w:p w14:paraId="3E6A9800" w14:textId="77777777" w:rsidR="0008708E" w:rsidRPr="003E0928" w:rsidRDefault="0008708E" w:rsidP="0008708E">
      <w:pPr>
        <w:pStyle w:val="SingleTxtG"/>
        <w:ind w:left="2268" w:hanging="1134"/>
      </w:pPr>
      <w:r w:rsidRPr="003E0928">
        <w:t>«6.7.4</w:t>
      </w:r>
      <w:r w:rsidRPr="003E0928">
        <w:tab/>
        <w:t>Геометрическая видимость</w:t>
      </w:r>
    </w:p>
    <w:p w14:paraId="1A55FEBC" w14:textId="77777777" w:rsidR="0008708E" w:rsidRPr="003E0928" w:rsidRDefault="0008708E" w:rsidP="0008708E">
      <w:pPr>
        <w:pStyle w:val="SingleTxtG"/>
        <w:tabs>
          <w:tab w:val="left" w:pos="4395"/>
        </w:tabs>
        <w:ind w:left="2268" w:hanging="1134"/>
      </w:pPr>
      <w:r w:rsidRPr="003E0928">
        <w:tab/>
        <w:t>Горизонтальный угол:</w:t>
      </w:r>
      <w:r w:rsidRPr="003E0928">
        <w:tab/>
        <w:t>80° влево и вправо для единого огня:</w:t>
      </w:r>
    </w:p>
    <w:p w14:paraId="701A37C1" w14:textId="77777777" w:rsidR="0008708E" w:rsidRPr="003E0928" w:rsidRDefault="0008708E" w:rsidP="0008708E">
      <w:pPr>
        <w:pStyle w:val="SingleTxtG"/>
        <w:tabs>
          <w:tab w:val="left" w:pos="4395"/>
        </w:tabs>
        <w:ind w:left="2268" w:hanging="1134"/>
      </w:pPr>
      <w:r w:rsidRPr="003E0928">
        <w:tab/>
      </w:r>
      <w:r w:rsidRPr="003E0928">
        <w:tab/>
        <w:t xml:space="preserve">горизонтальный угол может составлять </w:t>
      </w:r>
      <w:r w:rsidRPr="003E0928">
        <w:br/>
      </w:r>
      <w:r w:rsidRPr="003E0928">
        <w:tab/>
        <w:t>80°</w:t>
      </w:r>
      <w:r>
        <w:t> </w:t>
      </w:r>
      <w:r w:rsidRPr="003E0928">
        <w:t xml:space="preserve">наружу и 20° внутрь для каждой пары огней. </w:t>
      </w:r>
    </w:p>
    <w:p w14:paraId="38D9CF90" w14:textId="77777777" w:rsidR="0008708E" w:rsidRPr="003E0928" w:rsidRDefault="0008708E" w:rsidP="0008708E">
      <w:pPr>
        <w:pStyle w:val="SingleTxtG"/>
        <w:tabs>
          <w:tab w:val="left" w:pos="4395"/>
        </w:tabs>
        <w:ind w:left="3402" w:hanging="1134"/>
      </w:pPr>
      <w:r w:rsidRPr="003E0928">
        <w:t>Вертикальный угол:</w:t>
      </w:r>
      <w:r w:rsidRPr="003E0928">
        <w:tab/>
        <w:t>15° выше и ниже горизонтали.</w:t>
      </w:r>
    </w:p>
    <w:p w14:paraId="16FCA93F" w14:textId="77777777" w:rsidR="0008708E" w:rsidRPr="003E0928" w:rsidRDefault="0008708E" w:rsidP="0008708E">
      <w:pPr>
        <w:pStyle w:val="SingleTxtG"/>
        <w:ind w:left="2268" w:hanging="1134"/>
      </w:pPr>
      <w:r w:rsidRPr="003E0928">
        <w:tab/>
      </w:r>
      <w:r w:rsidRPr="003E0928">
        <w:tab/>
        <w:t>Однако если огонь установлен на высоте менее 750 мм (измеряемой в соответствии с положениями пункта 5.7), то угол 15° вниз может быть уменьшен до 5°»</w:t>
      </w:r>
      <w:r>
        <w:t>.</w:t>
      </w:r>
    </w:p>
    <w:p w14:paraId="75F598DF" w14:textId="77777777" w:rsidR="0008708E" w:rsidRPr="003E0928" w:rsidRDefault="0008708E" w:rsidP="0008708E">
      <w:pPr>
        <w:pStyle w:val="SingleTxtG"/>
        <w:ind w:left="2268" w:hanging="1134"/>
        <w:rPr>
          <w:i/>
        </w:rPr>
      </w:pPr>
      <w:r w:rsidRPr="003E0928">
        <w:rPr>
          <w:i/>
        </w:rPr>
        <w:t xml:space="preserve">Приложение 1 </w:t>
      </w:r>
    </w:p>
    <w:p w14:paraId="69F68BAF" w14:textId="77777777" w:rsidR="0008708E" w:rsidRPr="003E0928" w:rsidRDefault="0008708E" w:rsidP="0008708E">
      <w:pPr>
        <w:pStyle w:val="SingleTxtG"/>
        <w:ind w:left="2268" w:hanging="1134"/>
      </w:pPr>
      <w:r w:rsidRPr="003E0928">
        <w:rPr>
          <w:i/>
        </w:rPr>
        <w:t>Включить новый пункт 9.23 и новую сноску</w:t>
      </w:r>
      <w:r w:rsidRPr="00AA5E0F">
        <w:rPr>
          <w:i/>
        </w:rPr>
        <w:t xml:space="preserve"> 4</w:t>
      </w:r>
      <w:r w:rsidRPr="00AA5E0F">
        <w:t xml:space="preserve"> </w:t>
      </w:r>
      <w:r w:rsidRPr="003E0928">
        <w:t>следующего содержания:</w:t>
      </w:r>
    </w:p>
    <w:p w14:paraId="3259AF56" w14:textId="77777777" w:rsidR="0008708E" w:rsidRPr="003E0928" w:rsidRDefault="0008708E" w:rsidP="0008708E">
      <w:pPr>
        <w:pStyle w:val="SingleTxtG"/>
        <w:ind w:left="2268" w:hanging="1134"/>
      </w:pPr>
      <w:r w:rsidRPr="003E0928">
        <w:t>«9.23</w:t>
      </w:r>
      <w:r w:rsidRPr="003E0928">
        <w:tab/>
        <w:t>огни, официально утвержденные для альтернативного(ых) источника(ов) света на СИД и оснащенные им(и), разрешено устанавливать на транспортном средстве данного типа: да/нет</w:t>
      </w:r>
      <w:r w:rsidRPr="003E0928">
        <w:rPr>
          <w:sz w:val="18"/>
          <w:szCs w:val="18"/>
          <w:vertAlign w:val="superscript"/>
        </w:rPr>
        <w:t>2,</w:t>
      </w:r>
      <w:r w:rsidRPr="00AA5E0F">
        <w:t xml:space="preserve"> </w:t>
      </w:r>
      <w:r w:rsidRPr="003E0928">
        <w:rPr>
          <w:sz w:val="18"/>
          <w:szCs w:val="18"/>
          <w:vertAlign w:val="superscript"/>
        </w:rPr>
        <w:t>4</w:t>
      </w:r>
    </w:p>
    <w:p w14:paraId="35A84C43" w14:textId="77777777" w:rsidR="0008708E" w:rsidRPr="003E0928" w:rsidRDefault="0008708E" w:rsidP="0008708E">
      <w:pPr>
        <w:pStyle w:val="SingleTxtG"/>
        <w:tabs>
          <w:tab w:val="right" w:pos="8497"/>
        </w:tabs>
        <w:ind w:left="7937" w:hanging="5697"/>
        <w:rPr>
          <w:b/>
        </w:rPr>
      </w:pPr>
      <w:r w:rsidRPr="003E0928">
        <w:rPr>
          <w:u w:val="dotted"/>
        </w:rPr>
        <w:tab/>
      </w:r>
      <w:r w:rsidRPr="003E0928">
        <w:rPr>
          <w:u w:val="dotted"/>
        </w:rPr>
        <w:tab/>
      </w:r>
    </w:p>
    <w:p w14:paraId="14826DE6" w14:textId="77777777" w:rsidR="0008708E" w:rsidRPr="003E0928" w:rsidRDefault="0008708E" w:rsidP="0008708E">
      <w:pPr>
        <w:pStyle w:val="SingleTxtG"/>
        <w:ind w:left="2268"/>
      </w:pPr>
      <w:r w:rsidRPr="003E0928">
        <w:rPr>
          <w:u w:val="dotted"/>
        </w:rPr>
        <w:tab/>
      </w:r>
      <w:r w:rsidRPr="003E0928">
        <w:rPr>
          <w:sz w:val="18"/>
          <w:szCs w:val="18"/>
          <w:vertAlign w:val="superscript"/>
        </w:rPr>
        <w:t>4</w:t>
      </w:r>
      <w:r w:rsidRPr="00AA5E0F">
        <w:tab/>
      </w:r>
      <w:r w:rsidRPr="003E0928">
        <w:t xml:space="preserve">Если </w:t>
      </w:r>
      <w:r w:rsidR="00AA5E0F" w:rsidRPr="00AA5E0F">
        <w:t>“</w:t>
      </w:r>
      <w:r w:rsidRPr="003E0928">
        <w:t>да</w:t>
      </w:r>
      <w:r w:rsidR="00AA5E0F" w:rsidRPr="00DA7463">
        <w:t>”</w:t>
      </w:r>
      <w:r w:rsidRPr="003E0928">
        <w:t>, то указать перечень применимых огней».</w:t>
      </w:r>
      <w:bookmarkStart w:id="7" w:name="_Hlk519002955"/>
      <w:bookmarkStart w:id="8" w:name="_Toc338161483"/>
    </w:p>
    <w:bookmarkEnd w:id="7"/>
    <w:bookmarkEnd w:id="8"/>
    <w:p w14:paraId="6ABED5F0" w14:textId="77777777" w:rsidR="00381C24" w:rsidRPr="00BC18B2" w:rsidRDefault="0008708E" w:rsidP="00835F24">
      <w:pPr>
        <w:spacing w:before="240"/>
        <w:jc w:val="center"/>
      </w:pPr>
      <w:r w:rsidRPr="0008708E">
        <w:rPr>
          <w:noProof/>
          <w:u w:val="single"/>
          <w:lang w:eastAsia="zh-CN"/>
        </w:rPr>
        <w:tab/>
      </w:r>
      <w:r w:rsidRPr="0008708E">
        <w:rPr>
          <w:noProof/>
          <w:u w:val="single"/>
          <w:lang w:eastAsia="zh-CN"/>
        </w:rPr>
        <w:tab/>
      </w:r>
      <w:r w:rsidRPr="0008708E">
        <w:rPr>
          <w:noProof/>
          <w:u w:val="single"/>
          <w:lang w:eastAsia="zh-CN"/>
        </w:rPr>
        <w:tab/>
      </w:r>
    </w:p>
    <w:sectPr w:rsidR="00381C24" w:rsidRPr="00BC18B2" w:rsidSect="00910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446E" w14:textId="77777777" w:rsidR="000853B9" w:rsidRPr="00A312BC" w:rsidRDefault="000853B9" w:rsidP="00A312BC"/>
  </w:endnote>
  <w:endnote w:type="continuationSeparator" w:id="0">
    <w:p w14:paraId="7BF9E4FB" w14:textId="77777777" w:rsidR="000853B9" w:rsidRPr="00A312BC" w:rsidRDefault="000853B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1E4E" w14:textId="77777777" w:rsidR="00910B1B" w:rsidRPr="00910B1B" w:rsidRDefault="00910B1B">
    <w:pPr>
      <w:pStyle w:val="a8"/>
    </w:pPr>
    <w:r w:rsidRPr="00910B1B">
      <w:rPr>
        <w:b/>
        <w:sz w:val="18"/>
      </w:rPr>
      <w:fldChar w:fldCharType="begin"/>
    </w:r>
    <w:r w:rsidRPr="00910B1B">
      <w:rPr>
        <w:b/>
        <w:sz w:val="18"/>
      </w:rPr>
      <w:instrText xml:space="preserve"> PAGE  \* MERGEFORMAT </w:instrText>
    </w:r>
    <w:r w:rsidRPr="00910B1B">
      <w:rPr>
        <w:b/>
        <w:sz w:val="18"/>
      </w:rPr>
      <w:fldChar w:fldCharType="separate"/>
    </w:r>
    <w:r w:rsidRPr="00910B1B">
      <w:rPr>
        <w:b/>
        <w:noProof/>
        <w:sz w:val="18"/>
      </w:rPr>
      <w:t>2</w:t>
    </w:r>
    <w:r w:rsidRPr="00910B1B">
      <w:rPr>
        <w:b/>
        <w:sz w:val="18"/>
      </w:rPr>
      <w:fldChar w:fldCharType="end"/>
    </w:r>
    <w:r>
      <w:rPr>
        <w:b/>
        <w:sz w:val="18"/>
      </w:rPr>
      <w:tab/>
    </w:r>
    <w:r>
      <w:t>GE.20-08732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A7A7" w14:textId="77777777" w:rsidR="00910B1B" w:rsidRPr="00910B1B" w:rsidRDefault="00910B1B" w:rsidP="00910B1B">
    <w:pPr>
      <w:pStyle w:val="a8"/>
      <w:tabs>
        <w:tab w:val="clear" w:pos="9639"/>
        <w:tab w:val="right" w:pos="9638"/>
      </w:tabs>
      <w:rPr>
        <w:b/>
        <w:sz w:val="18"/>
      </w:rPr>
    </w:pPr>
    <w:r>
      <w:t>GE.20-08732</w:t>
    </w:r>
    <w:r>
      <w:tab/>
    </w:r>
    <w:r w:rsidRPr="00910B1B">
      <w:rPr>
        <w:b/>
        <w:sz w:val="18"/>
      </w:rPr>
      <w:fldChar w:fldCharType="begin"/>
    </w:r>
    <w:r w:rsidRPr="00910B1B">
      <w:rPr>
        <w:b/>
        <w:sz w:val="18"/>
      </w:rPr>
      <w:instrText xml:space="preserve"> PAGE  \* MERGEFORMAT </w:instrText>
    </w:r>
    <w:r w:rsidRPr="00910B1B">
      <w:rPr>
        <w:b/>
        <w:sz w:val="18"/>
      </w:rPr>
      <w:fldChar w:fldCharType="separate"/>
    </w:r>
    <w:r w:rsidRPr="00910B1B">
      <w:rPr>
        <w:b/>
        <w:noProof/>
        <w:sz w:val="18"/>
      </w:rPr>
      <w:t>3</w:t>
    </w:r>
    <w:r w:rsidRPr="00910B1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6B9E" w14:textId="77777777" w:rsidR="00042B72" w:rsidRPr="00910B1B" w:rsidRDefault="00910B1B" w:rsidP="00910B1B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D3FA8A2" wp14:editId="7E35173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20-08732  (R)</w:t>
    </w:r>
    <w:r w:rsidR="00FA74BA">
      <w:t xml:space="preserve">  020920  020920</w:t>
    </w:r>
    <w:r>
      <w:br/>
    </w:r>
    <w:r w:rsidRPr="00910B1B">
      <w:rPr>
        <w:rFonts w:ascii="C39T30Lfz" w:hAnsi="C39T30Lfz"/>
        <w:kern w:val="14"/>
        <w:sz w:val="56"/>
      </w:rPr>
      <w:t>*2008732*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FAE8F0F" wp14:editId="16B32CE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C93FE" w14:textId="77777777" w:rsidR="000853B9" w:rsidRPr="001075E9" w:rsidRDefault="000853B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BEF7546" w14:textId="77777777" w:rsidR="000853B9" w:rsidRDefault="000853B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2CDAC72" w14:textId="77777777" w:rsidR="0008708E" w:rsidRPr="00570395" w:rsidRDefault="0008708E" w:rsidP="0008708E">
      <w:pPr>
        <w:pStyle w:val="ad"/>
      </w:pPr>
      <w:r>
        <w:tab/>
      </w:r>
      <w:r w:rsidRPr="00835F24">
        <w:rPr>
          <w:sz w:val="20"/>
        </w:rPr>
        <w:t>*</w:t>
      </w:r>
      <w:r>
        <w:tab/>
        <w:t>Прежние названия Соглашения:</w:t>
      </w:r>
    </w:p>
    <w:p w14:paraId="575D8327" w14:textId="77777777" w:rsidR="0008708E" w:rsidRPr="00570395" w:rsidRDefault="0008708E" w:rsidP="0008708E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397D652E" w14:textId="77777777" w:rsidR="0008708E" w:rsidRPr="00570395" w:rsidRDefault="0008708E" w:rsidP="0008708E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835F24"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B6C7" w14:textId="4F30B7FB" w:rsidR="00910B1B" w:rsidRPr="00910B1B" w:rsidRDefault="00910B1B">
    <w:pPr>
      <w:pStyle w:val="a5"/>
    </w:pPr>
    <w:fldSimple w:instr=" TITLE  \* MERGEFORMAT ">
      <w:r w:rsidR="003969D5">
        <w:t>E/ECE/324/Rev.1/Add.52/Rev.4/Amend.4</w:t>
      </w:r>
    </w:fldSimple>
    <w:r>
      <w:br/>
    </w:r>
    <w:fldSimple w:instr=" KEYWORDS  \* MERGEFORMAT ">
      <w:r w:rsidR="003969D5">
        <w:t>E/ECE/TRANS/505/Rev.1/Add.52/Rev.4/Amend.4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3155" w14:textId="6CE2E69A" w:rsidR="00910B1B" w:rsidRPr="00910B1B" w:rsidRDefault="00910B1B" w:rsidP="00910B1B">
    <w:pPr>
      <w:pStyle w:val="a5"/>
      <w:jc w:val="right"/>
    </w:pPr>
    <w:fldSimple w:instr=" TITLE  \* MERGEFORMAT ">
      <w:r w:rsidR="003969D5">
        <w:t>E/ECE/324/Rev.1/Add.52/Rev.4/Amend.4</w:t>
      </w:r>
    </w:fldSimple>
    <w:r>
      <w:br/>
    </w:r>
    <w:fldSimple w:instr=" KEYWORDS  \* MERGEFORMAT ">
      <w:r w:rsidR="003969D5">
        <w:t>E/ECE/TRANS/505/Rev.1/Add.52/Rev.4/Amend.4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2F86" w14:textId="77777777" w:rsidR="00FA74BA" w:rsidRDefault="00FA74BA" w:rsidP="00FA74B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B9"/>
    <w:rsid w:val="00033EE1"/>
    <w:rsid w:val="00042B72"/>
    <w:rsid w:val="000556CA"/>
    <w:rsid w:val="000558BD"/>
    <w:rsid w:val="000853B9"/>
    <w:rsid w:val="0008708E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25030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969D5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E2C33"/>
    <w:rsid w:val="005F0B42"/>
    <w:rsid w:val="006629BB"/>
    <w:rsid w:val="00681A10"/>
    <w:rsid w:val="006A1ED8"/>
    <w:rsid w:val="006C2031"/>
    <w:rsid w:val="006C3BC7"/>
    <w:rsid w:val="006D461A"/>
    <w:rsid w:val="006E5645"/>
    <w:rsid w:val="006F35EE"/>
    <w:rsid w:val="007021FF"/>
    <w:rsid w:val="00712895"/>
    <w:rsid w:val="00757357"/>
    <w:rsid w:val="00820AF1"/>
    <w:rsid w:val="00825F8D"/>
    <w:rsid w:val="00834B71"/>
    <w:rsid w:val="00835F24"/>
    <w:rsid w:val="0086445C"/>
    <w:rsid w:val="00870BDA"/>
    <w:rsid w:val="00894693"/>
    <w:rsid w:val="008A08D7"/>
    <w:rsid w:val="008A697B"/>
    <w:rsid w:val="008B6909"/>
    <w:rsid w:val="008C1A9B"/>
    <w:rsid w:val="00906890"/>
    <w:rsid w:val="00910B1B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57140"/>
    <w:rsid w:val="00A84021"/>
    <w:rsid w:val="00A84D35"/>
    <w:rsid w:val="00A917B3"/>
    <w:rsid w:val="00AA5E0F"/>
    <w:rsid w:val="00AB4B51"/>
    <w:rsid w:val="00AC3DF0"/>
    <w:rsid w:val="00AF094E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9188D"/>
    <w:rsid w:val="00DA7463"/>
    <w:rsid w:val="00DF71B9"/>
    <w:rsid w:val="00E16204"/>
    <w:rsid w:val="00E31CCB"/>
    <w:rsid w:val="00E66883"/>
    <w:rsid w:val="00E73F76"/>
    <w:rsid w:val="00E74E9E"/>
    <w:rsid w:val="00EA2C9F"/>
    <w:rsid w:val="00EB1EAF"/>
    <w:rsid w:val="00ED0BDA"/>
    <w:rsid w:val="00EF1360"/>
    <w:rsid w:val="00EF3220"/>
    <w:rsid w:val="00F94155"/>
    <w:rsid w:val="00F9783F"/>
    <w:rsid w:val="00FA74BA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332376"/>
  <w15:docId w15:val="{F65BBC60-01CB-4617-91F2-9AD5A93C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uiPriority w:val="99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08708E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08708E"/>
    <w:rPr>
      <w:lang w:val="ru-RU" w:eastAsia="en-US"/>
    </w:rPr>
  </w:style>
  <w:style w:type="character" w:customStyle="1" w:styleId="HChGChar">
    <w:name w:val="_ H _Ch_G Char"/>
    <w:link w:val="HChG"/>
    <w:rsid w:val="0008708E"/>
    <w:rPr>
      <w:b/>
      <w:sz w:val="28"/>
      <w:lang w:val="ru-RU" w:eastAsia="ru-RU"/>
    </w:rPr>
  </w:style>
  <w:style w:type="paragraph" w:customStyle="1" w:styleId="para">
    <w:name w:val="para"/>
    <w:basedOn w:val="SingleTxtG"/>
    <w:link w:val="paraChar"/>
    <w:qFormat/>
    <w:rsid w:val="0008708E"/>
    <w:pPr>
      <w:ind w:left="2268" w:hanging="1134"/>
    </w:pPr>
    <w:rPr>
      <w:lang w:val="en-GB"/>
    </w:rPr>
  </w:style>
  <w:style w:type="character" w:customStyle="1" w:styleId="paraChar">
    <w:name w:val="para Char"/>
    <w:link w:val="para"/>
    <w:rsid w:val="0008708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4CA5E-0D57-4A82-B05F-92F72D261C10}"/>
</file>

<file path=customXml/itemProps2.xml><?xml version="1.0" encoding="utf-8"?>
<ds:datastoreItem xmlns:ds="http://schemas.openxmlformats.org/officeDocument/2006/customXml" ds:itemID="{4ABE07EE-84A8-428A-A65A-E9515DAD3F7C}"/>
</file>

<file path=customXml/itemProps3.xml><?xml version="1.0" encoding="utf-8"?>
<ds:datastoreItem xmlns:ds="http://schemas.openxmlformats.org/officeDocument/2006/customXml" ds:itemID="{6F30BC41-EF44-4792-A03A-1AB3CCB84CB3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8</TotalTime>
  <Pages>6</Pages>
  <Words>1623</Words>
  <Characters>11477</Characters>
  <Application>Microsoft Office Word</Application>
  <DocSecurity>0</DocSecurity>
  <Lines>249</Lines>
  <Paragraphs>111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E/ECE/324/Rev.1/Add.52/Rev.4/Amend.4</vt:lpstr>
      <vt:lpstr>A/</vt:lpstr>
      <vt:lpstr>A/</vt:lpstr>
    </vt:vector>
  </TitlesOfParts>
  <Company>DCM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E/ECE/324/Rev.1/Add.52/Rev.4/Amend.4</dc:title>
  <dc:creator>Olga OVTCHINNIKOVA</dc:creator>
  <cp:keywords>E/ECE/TRANS/505/Rev.1/Add.52/Rev.4/Amend.4</cp:keywords>
  <cp:lastModifiedBy>Olga Ovchinnikova</cp:lastModifiedBy>
  <cp:revision>3</cp:revision>
  <cp:lastPrinted>2020-09-02T13:36:00Z</cp:lastPrinted>
  <dcterms:created xsi:type="dcterms:W3CDTF">2020-09-02T13:36:00Z</dcterms:created>
  <dcterms:modified xsi:type="dcterms:W3CDTF">2020-09-02T13:44:00Z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