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6804"/>
        <w:gridCol w:w="2835"/>
      </w:tblGrid>
      <w:tr w:rsidR="00421A10" w:rsidRPr="00BF045E" w:rsidTr="00A27C92">
        <w:trPr>
          <w:trHeight w:hRule="exact" w:val="851"/>
        </w:trPr>
        <w:tc>
          <w:tcPr>
            <w:tcW w:w="9639" w:type="dxa"/>
            <w:gridSpan w:val="2"/>
            <w:tcBorders>
              <w:bottom w:val="single" w:sz="4" w:space="0" w:color="auto"/>
            </w:tcBorders>
            <w:shd w:val="clear" w:color="auto" w:fill="auto"/>
            <w:vAlign w:val="bottom"/>
          </w:tcPr>
          <w:p w:rsidR="00BF045E" w:rsidRPr="00BF045E" w:rsidRDefault="00BF045E" w:rsidP="00BF045E">
            <w:pPr>
              <w:jc w:val="right"/>
              <w:rPr>
                <w:lang w:val="en-US"/>
              </w:rPr>
            </w:pPr>
            <w:r w:rsidRPr="00BF045E">
              <w:rPr>
                <w:sz w:val="40"/>
                <w:lang w:val="en-US"/>
              </w:rPr>
              <w:t>E</w:t>
            </w:r>
            <w:r w:rsidRPr="00BF045E">
              <w:rPr>
                <w:lang w:val="en-US"/>
              </w:rPr>
              <w:t>/ECE/324/Rev.1/Add.52/Rev.4/Amend.4−</w:t>
            </w:r>
            <w:r w:rsidRPr="00BF045E">
              <w:rPr>
                <w:sz w:val="40"/>
                <w:lang w:val="en-US"/>
              </w:rPr>
              <w:t>E</w:t>
            </w:r>
            <w:r w:rsidRPr="00BF045E">
              <w:rPr>
                <w:lang w:val="en-US"/>
              </w:rPr>
              <w:t>/ECE/TRANS/505/Rev.1/Add.52/Rev.4/Amend.4</w:t>
            </w:r>
          </w:p>
        </w:tc>
      </w:tr>
      <w:tr w:rsidR="00421A10" w:rsidRPr="00DB58B5" w:rsidTr="00A27C92">
        <w:trPr>
          <w:trHeight w:hRule="exact" w:val="2835"/>
        </w:trPr>
        <w:tc>
          <w:tcPr>
            <w:tcW w:w="6804" w:type="dxa"/>
            <w:tcBorders>
              <w:top w:val="single" w:sz="4" w:space="0" w:color="auto"/>
              <w:bottom w:val="single" w:sz="12" w:space="0" w:color="auto"/>
            </w:tcBorders>
            <w:shd w:val="clear" w:color="auto" w:fill="auto"/>
          </w:tcPr>
          <w:p w:rsidR="00421A10" w:rsidRPr="00BF045E" w:rsidRDefault="00421A10" w:rsidP="00A27C92">
            <w:pPr>
              <w:spacing w:before="120" w:line="380" w:lineRule="exact"/>
              <w:rPr>
                <w:lang w:val="en-US"/>
              </w:rPr>
            </w:pPr>
          </w:p>
        </w:tc>
        <w:tc>
          <w:tcPr>
            <w:tcW w:w="2835" w:type="dxa"/>
            <w:tcBorders>
              <w:top w:val="single" w:sz="4" w:space="0" w:color="auto"/>
              <w:bottom w:val="single" w:sz="12" w:space="0" w:color="auto"/>
            </w:tcBorders>
            <w:shd w:val="clear" w:color="auto" w:fill="auto"/>
          </w:tcPr>
          <w:p w:rsidR="00421A10" w:rsidRPr="00DB58B5" w:rsidRDefault="00BF045E" w:rsidP="00A27C92">
            <w:pPr>
              <w:spacing w:before="480" w:line="240" w:lineRule="exact"/>
            </w:pPr>
            <w:r>
              <w:t>1</w:t>
            </w:r>
            <w:r w:rsidRPr="00BF045E">
              <w:rPr>
                <w:vertAlign w:val="superscript"/>
              </w:rPr>
              <w:t>er</w:t>
            </w:r>
            <w:r>
              <w:t> juillet 2020</w:t>
            </w:r>
          </w:p>
        </w:tc>
      </w:tr>
    </w:tbl>
    <w:p w:rsidR="00421A10" w:rsidRPr="006549FF" w:rsidRDefault="0029791D" w:rsidP="0029791D">
      <w:pPr>
        <w:pStyle w:val="HChG"/>
      </w:pPr>
      <w:r>
        <w:tab/>
      </w:r>
      <w:r>
        <w:tab/>
      </w:r>
      <w:r w:rsidR="00421A10" w:rsidRPr="006549FF">
        <w:t>Accord</w:t>
      </w:r>
    </w:p>
    <w:p w:rsidR="00421A10" w:rsidRPr="00583D68" w:rsidRDefault="0029791D" w:rsidP="0029791D">
      <w:pPr>
        <w:pStyle w:val="H1G"/>
      </w:pPr>
      <w:r>
        <w:tab/>
      </w:r>
      <w:r>
        <w:tab/>
      </w:r>
      <w:r w:rsidR="00421A10" w:rsidRPr="00583D68">
        <w:t xml:space="preserve">Concernant l’adoption </w:t>
      </w:r>
      <w:r w:rsidR="00746703" w:rsidRPr="00B91366">
        <w:t>de Règlements techniques harmonisés de l’ONU applicables aux véhicules à roues et aux équipements et pièces susceptibles d’être montés ou utilisés sur les véhicules à roues et</w:t>
      </w:r>
      <w:r w:rsidR="00746703">
        <w:t> </w:t>
      </w:r>
      <w:r w:rsidR="00746703" w:rsidRPr="00B91366">
        <w:t>les</w:t>
      </w:r>
      <w:r w:rsidR="00746703">
        <w:t> </w:t>
      </w:r>
      <w:r w:rsidR="00746703" w:rsidRPr="00B91366">
        <w:t>conditions de reconnaissance réciproque des homologations délivrées conformément à ces Règlements</w:t>
      </w:r>
      <w:r w:rsidR="00442E31" w:rsidRPr="00746703">
        <w:rPr>
          <w:rStyle w:val="Appelnotedebasdep"/>
          <w:b w:val="0"/>
          <w:bCs/>
          <w:sz w:val="20"/>
          <w:vertAlign w:val="baseline"/>
        </w:rPr>
        <w:footnoteReference w:customMarkFollows="1" w:id="2"/>
        <w:t>*</w:t>
      </w:r>
    </w:p>
    <w:p w:rsidR="00421A10" w:rsidRPr="00A12483" w:rsidRDefault="00421A10" w:rsidP="0029791D">
      <w:pPr>
        <w:pStyle w:val="SingleTxtG"/>
        <w:jc w:val="left"/>
        <w:rPr>
          <w:b/>
          <w:sz w:val="24"/>
          <w:szCs w:val="24"/>
        </w:rPr>
      </w:pPr>
      <w:r w:rsidRPr="006549FF">
        <w:t xml:space="preserve">(Révision </w:t>
      </w:r>
      <w:r w:rsidR="00746703" w:rsidRPr="00746703">
        <w:t>3, comprenant les amendements entrés en vigueur le</w:t>
      </w:r>
      <w:r w:rsidR="00746703">
        <w:t xml:space="preserve"> </w:t>
      </w:r>
      <w:r w:rsidR="00746703" w:rsidRPr="00746703">
        <w:t>14</w:t>
      </w:r>
      <w:r w:rsidR="00746703">
        <w:t> </w:t>
      </w:r>
      <w:r w:rsidR="00746703" w:rsidRPr="00746703">
        <w:t>septembre 2017)</w:t>
      </w:r>
    </w:p>
    <w:p w:rsidR="00421A10" w:rsidRPr="006549FF" w:rsidRDefault="0029791D" w:rsidP="0029791D">
      <w:pPr>
        <w:jc w:val="center"/>
      </w:pPr>
      <w:r>
        <w:t>_______________</w:t>
      </w:r>
    </w:p>
    <w:p w:rsidR="00421A10" w:rsidRPr="006549FF" w:rsidRDefault="0029791D" w:rsidP="0029791D">
      <w:pPr>
        <w:pStyle w:val="HChG"/>
      </w:pPr>
      <w:r>
        <w:tab/>
      </w:r>
      <w:r>
        <w:tab/>
      </w:r>
      <w:r w:rsidR="00421A10" w:rsidRPr="006549FF">
        <w:t xml:space="preserve">Additif </w:t>
      </w:r>
      <w:r w:rsidR="00746703" w:rsidRPr="00B91366">
        <w:t xml:space="preserve">52 </w:t>
      </w:r>
      <w:r w:rsidR="00746703">
        <w:t>−</w:t>
      </w:r>
      <w:r w:rsidR="00746703" w:rsidRPr="00B91366">
        <w:t xml:space="preserve"> Règlement ONU n</w:t>
      </w:r>
      <w:r w:rsidR="00746703" w:rsidRPr="00B91366">
        <w:rPr>
          <w:vertAlign w:val="superscript"/>
        </w:rPr>
        <w:t>o</w:t>
      </w:r>
      <w:r w:rsidR="00746703" w:rsidRPr="00B91366">
        <w:t> 53</w:t>
      </w:r>
    </w:p>
    <w:p w:rsidR="00421A10" w:rsidRPr="006549FF" w:rsidRDefault="0029791D" w:rsidP="0029791D">
      <w:pPr>
        <w:pStyle w:val="H1G"/>
      </w:pPr>
      <w:r>
        <w:tab/>
      </w:r>
      <w:r>
        <w:tab/>
      </w:r>
      <w:r w:rsidR="00421A10" w:rsidRPr="006549FF">
        <w:t xml:space="preserve">Révision </w:t>
      </w:r>
      <w:r w:rsidR="00746703" w:rsidRPr="00B91366">
        <w:t xml:space="preserve">4 </w:t>
      </w:r>
      <w:r w:rsidR="00746703">
        <w:t>−</w:t>
      </w:r>
      <w:r w:rsidR="00746703" w:rsidRPr="00B91366">
        <w:t xml:space="preserve"> Amendement 3</w:t>
      </w:r>
    </w:p>
    <w:p w:rsidR="00421A10" w:rsidRPr="0029791D" w:rsidRDefault="00746703" w:rsidP="00746703">
      <w:pPr>
        <w:pStyle w:val="SingleTxtG"/>
        <w:spacing w:after="0"/>
      </w:pPr>
      <w:r w:rsidRPr="00B91366">
        <w:rPr>
          <w:spacing w:val="-2"/>
        </w:rPr>
        <w:t>Complément</w:t>
      </w:r>
      <w:r>
        <w:rPr>
          <w:spacing w:val="-2"/>
        </w:rPr>
        <w:t xml:space="preserve"> </w:t>
      </w:r>
      <w:r w:rsidRPr="00B91366">
        <w:rPr>
          <w:spacing w:val="-2"/>
        </w:rPr>
        <w:t xml:space="preserve">3 à la série 02 d’amendements </w:t>
      </w:r>
      <w:r>
        <w:rPr>
          <w:spacing w:val="-2"/>
        </w:rPr>
        <w:t>−</w:t>
      </w:r>
      <w:r w:rsidRPr="00B91366">
        <w:rPr>
          <w:spacing w:val="-2"/>
        </w:rPr>
        <w:t xml:space="preserve"> Date d’entrée en vigueur</w:t>
      </w:r>
      <w:r>
        <w:rPr>
          <w:spacing w:val="-2"/>
        </w:rPr>
        <w:t> :</w:t>
      </w:r>
      <w:r w:rsidRPr="00B91366">
        <w:rPr>
          <w:spacing w:val="-2"/>
        </w:rPr>
        <w:t xml:space="preserve"> </w:t>
      </w:r>
      <w:r w:rsidRPr="00B91366">
        <w:t>29</w:t>
      </w:r>
      <w:r>
        <w:t> </w:t>
      </w:r>
      <w:r w:rsidRPr="00B91366">
        <w:t>mai 2020</w:t>
      </w:r>
    </w:p>
    <w:p w:rsidR="00421A10" w:rsidRDefault="0029791D" w:rsidP="0029791D">
      <w:pPr>
        <w:pStyle w:val="H1G"/>
      </w:pPr>
      <w:r>
        <w:tab/>
      </w:r>
      <w:r>
        <w:tab/>
      </w:r>
      <w:r w:rsidR="00421A10" w:rsidRPr="007619D3">
        <w:t xml:space="preserve">Prescriptions uniformes relatives </w:t>
      </w:r>
      <w:r w:rsidR="00746703" w:rsidRPr="00B91366">
        <w:t>à l’homologation des véhicules de</w:t>
      </w:r>
      <w:r w:rsidR="00746703">
        <w:t> </w:t>
      </w:r>
      <w:r w:rsidR="00746703" w:rsidRPr="00B91366">
        <w:t>la</w:t>
      </w:r>
      <w:r w:rsidR="00746703">
        <w:t> </w:t>
      </w:r>
      <w:r w:rsidR="00746703" w:rsidRPr="00B91366">
        <w:t>catégorie L</w:t>
      </w:r>
      <w:r w:rsidR="00746703" w:rsidRPr="00B91366">
        <w:rPr>
          <w:vertAlign w:val="subscript"/>
        </w:rPr>
        <w:t>3</w:t>
      </w:r>
      <w:r w:rsidR="00746703" w:rsidRPr="00B91366">
        <w:t xml:space="preserve"> en ce qui concerne l’installation de dispositifs d’éclairage et de signalisation lumineuse</w:t>
      </w:r>
    </w:p>
    <w:p w:rsidR="00BF045E" w:rsidRDefault="00746703" w:rsidP="00746703">
      <w:pPr>
        <w:pStyle w:val="SingleTxtG"/>
        <w:ind w:firstLine="567"/>
      </w:pPr>
      <w:r w:rsidRPr="00B91366">
        <w:rPr>
          <w:spacing w:val="-4"/>
          <w:lang w:eastAsia="en-GB"/>
        </w:rPr>
        <w:t xml:space="preserve">Le présent document est communiqué uniquement à titre d’information. Le texte authentique, juridiquement contraignant, est celui du document </w:t>
      </w:r>
      <w:r w:rsidRPr="00B91366">
        <w:rPr>
          <w:spacing w:val="-6"/>
          <w:lang w:eastAsia="en-GB"/>
        </w:rPr>
        <w:t>ECE/TRANS/WP.29/2019/85.</w:t>
      </w:r>
      <w:r w:rsidR="00442E31">
        <w:rPr>
          <w:noProof/>
          <w:lang w:eastAsia="fr-CH"/>
        </w:rPr>
        <mc:AlternateContent>
          <mc:Choice Requires="wps">
            <w:drawing>
              <wp:anchor distT="0" distB="0" distL="114300" distR="114300" simplePos="0" relativeHeight="251658240" behindDoc="0" locked="0" layoutInCell="1" allowOverlap="1" wp14:anchorId="4D85F320" wp14:editId="26CCF6CE">
                <wp:simplePos x="0" y="0"/>
                <wp:positionH relativeFrom="margin">
                  <wp:posOffset>0</wp:posOffset>
                </wp:positionH>
                <wp:positionV relativeFrom="margin">
                  <wp:posOffset>6301105</wp:posOffset>
                </wp:positionV>
                <wp:extent cx="6120000" cy="115200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1152000"/>
                        </a:xfrm>
                        <a:prstGeom prst="rect">
                          <a:avLst/>
                        </a:prstGeom>
                        <a:solidFill>
                          <a:srgbClr val="FFFFFF"/>
                        </a:solidFill>
                        <a:ln w="9525">
                          <a:noFill/>
                          <a:miter lim="800000"/>
                          <a:headEnd/>
                          <a:tailEnd/>
                        </a:ln>
                      </wps:spPr>
                      <wps:txbx>
                        <w:txbxContent>
                          <w:p w:rsidR="00442E31" w:rsidRPr="0029791D" w:rsidRDefault="00442E31" w:rsidP="00C9521D">
                            <w:pPr>
                              <w:ind w:left="1134" w:right="1134"/>
                              <w:jc w:val="center"/>
                            </w:pPr>
                            <w:r>
                              <w:t>_______________</w:t>
                            </w:r>
                          </w:p>
                          <w:p w:rsidR="00442E31" w:rsidRDefault="00442E31" w:rsidP="00C9521D">
                            <w:pPr>
                              <w:jc w:val="center"/>
                              <w:rPr>
                                <w:b/>
                                <w:bCs/>
                                <w:sz w:val="22"/>
                              </w:rPr>
                            </w:pPr>
                            <w:r>
                              <w:rPr>
                                <w:noProof/>
                                <w:lang w:eastAsia="fr-CH"/>
                              </w:rPr>
                              <w:drawing>
                                <wp:inline distT="0" distB="0" distL="0" distR="0" wp14:anchorId="1CD16E9D" wp14:editId="298D3C93">
                                  <wp:extent cx="914400" cy="7715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7">
                                            <a:extLst>
                                              <a:ext uri="{28A0092B-C50C-407E-A947-70E740481C1C}">
                                                <a14:useLocalDpi xmlns:a14="http://schemas.microsoft.com/office/drawing/2010/main" val="0"/>
                                              </a:ext>
                                            </a:extLst>
                                          </a:blip>
                                          <a:srcRect l="-7608" r="-7608"/>
                                          <a:stretch>
                                            <a:fillRect/>
                                          </a:stretch>
                                        </pic:blipFill>
                                        <pic:spPr bwMode="auto">
                                          <a:xfrm>
                                            <a:off x="0" y="0"/>
                                            <a:ext cx="914400" cy="771525"/>
                                          </a:xfrm>
                                          <a:prstGeom prst="rect">
                                            <a:avLst/>
                                          </a:prstGeom>
                                          <a:noFill/>
                                          <a:ln>
                                            <a:noFill/>
                                          </a:ln>
                                        </pic:spPr>
                                      </pic:pic>
                                    </a:graphicData>
                                  </a:graphic>
                                </wp:inline>
                              </w:drawing>
                            </w:r>
                          </w:p>
                          <w:p w:rsidR="00442E31" w:rsidRDefault="00442E31" w:rsidP="00C6525D">
                            <w:pPr>
                              <w:jc w:val="center"/>
                            </w:pPr>
                            <w:r w:rsidRPr="0029791D">
                              <w:rPr>
                                <w:b/>
                                <w:bCs/>
                                <w:sz w:val="24"/>
                                <w:szCs w:val="24"/>
                              </w:rPr>
                              <w:t>Nations Unies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5F320" id="_x0000_t202" coordsize="21600,21600" o:spt="202" path="m,l,21600r21600,l21600,xe">
                <v:stroke joinstyle="miter"/>
                <v:path gradientshapeok="t" o:connecttype="rect"/>
              </v:shapetype>
              <v:shape id="Zone de texte 4" o:spid="_x0000_s1026" type="#_x0000_t202" style="position:absolute;left:0;text-align:left;margin-left:0;margin-top:496.15pt;width:481.9pt;height:90.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" stroked="f">
                <v:textbox inset="0,0,0,0">
                  <w:txbxContent>
                    <w:p w:rsidR="00442E31" w:rsidRPr="0029791D" w:rsidRDefault="00442E31" w:rsidP="00C9521D">
                      <w:pPr>
                        <w:ind w:left="1134" w:right="1134"/>
                        <w:jc w:val="center"/>
                      </w:pPr>
                      <w:r>
                        <w:t>_______________</w:t>
                      </w:r>
                    </w:p>
                    <w:p w:rsidR="00442E31" w:rsidRDefault="00442E31" w:rsidP="00C9521D">
                      <w:pPr>
                        <w:jc w:val="center"/>
                        <w:rPr>
                          <w:b/>
                          <w:bCs/>
                          <w:sz w:val="22"/>
                        </w:rPr>
                      </w:pPr>
                      <w:r>
                        <w:rPr>
                          <w:noProof/>
                          <w:lang w:eastAsia="fr-CH"/>
                        </w:rPr>
                        <w:drawing>
                          <wp:inline distT="0" distB="0" distL="0" distR="0" wp14:anchorId="1CD16E9D" wp14:editId="298D3C93">
                            <wp:extent cx="914400" cy="7715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7">
                                      <a:extLst>
                                        <a:ext uri="{28A0092B-C50C-407E-A947-70E740481C1C}">
                                          <a14:useLocalDpi xmlns:a14="http://schemas.microsoft.com/office/drawing/2010/main" val="0"/>
                                        </a:ext>
                                      </a:extLst>
                                    </a:blip>
                                    <a:srcRect l="-7608" r="-7608"/>
                                    <a:stretch>
                                      <a:fillRect/>
                                    </a:stretch>
                                  </pic:blipFill>
                                  <pic:spPr bwMode="auto">
                                    <a:xfrm>
                                      <a:off x="0" y="0"/>
                                      <a:ext cx="914400" cy="771525"/>
                                    </a:xfrm>
                                    <a:prstGeom prst="rect">
                                      <a:avLst/>
                                    </a:prstGeom>
                                    <a:noFill/>
                                    <a:ln>
                                      <a:noFill/>
                                    </a:ln>
                                  </pic:spPr>
                                </pic:pic>
                              </a:graphicData>
                            </a:graphic>
                          </wp:inline>
                        </w:drawing>
                      </w:r>
                    </w:p>
                    <w:p w:rsidR="00442E31" w:rsidRDefault="00442E31" w:rsidP="00C6525D">
                      <w:pPr>
                        <w:jc w:val="center"/>
                      </w:pPr>
                      <w:r w:rsidRPr="0029791D">
                        <w:rPr>
                          <w:b/>
                          <w:bCs/>
                          <w:sz w:val="24"/>
                          <w:szCs w:val="24"/>
                        </w:rPr>
                        <w:t>Nations Unies</w:t>
                      </w:r>
                    </w:p>
                  </w:txbxContent>
                </v:textbox>
                <w10:wrap anchorx="margin" anchory="margin"/>
              </v:shape>
            </w:pict>
          </mc:Fallback>
        </mc:AlternateContent>
      </w:r>
    </w:p>
    <w:p w:rsidR="00746703" w:rsidRDefault="00746703" w:rsidP="00746703">
      <w:pPr>
        <w:pStyle w:val="SingleTxtG"/>
      </w:pPr>
      <w:r>
        <w:br w:type="page"/>
      </w:r>
    </w:p>
    <w:p w:rsidR="00746703" w:rsidRPr="00B91366" w:rsidRDefault="00746703" w:rsidP="00746703">
      <w:pPr>
        <w:pStyle w:val="SingleTxtG"/>
      </w:pPr>
      <w:r w:rsidRPr="00746703">
        <w:rPr>
          <w:i/>
          <w:iCs/>
        </w:rPr>
        <w:lastRenderedPageBreak/>
        <w:t>Paragraphe 2</w:t>
      </w:r>
      <w:r w:rsidRPr="00B91366">
        <w:rPr>
          <w:iCs/>
        </w:rPr>
        <w:t>,</w:t>
      </w:r>
      <w:r w:rsidRPr="00B91366">
        <w:t xml:space="preserve"> lire</w:t>
      </w:r>
      <w:r>
        <w:t> :</w:t>
      </w:r>
    </w:p>
    <w:p w:rsidR="00746703" w:rsidRPr="00B91366" w:rsidRDefault="00746703" w:rsidP="00746703">
      <w:pPr>
        <w:pStyle w:val="HChG"/>
        <w:ind w:left="2268"/>
      </w:pPr>
      <w:r w:rsidRPr="00746703">
        <w:rPr>
          <w:b w:val="0"/>
          <w:bCs/>
          <w:sz w:val="20"/>
        </w:rPr>
        <w:t>« </w:t>
      </w:r>
      <w:r w:rsidRPr="00B91366">
        <w:t>2.</w:t>
      </w:r>
      <w:r w:rsidRPr="00B91366">
        <w:tab/>
        <w:t>Définitions</w:t>
      </w:r>
    </w:p>
    <w:p w:rsidR="00746703" w:rsidRPr="00B91366" w:rsidRDefault="00746703" w:rsidP="00746703">
      <w:pPr>
        <w:pStyle w:val="SingleTxtG"/>
        <w:ind w:left="2268"/>
      </w:pPr>
      <w:r w:rsidRPr="00B91366">
        <w:t xml:space="preserve">Aux fins du présent Règlement, les définitions données dans la dernière série d’amendements au Règlement ONU </w:t>
      </w:r>
      <w:r w:rsidRPr="00B91366">
        <w:rPr>
          <w:rFonts w:eastAsia="MS Mincho"/>
          <w:szCs w:val="22"/>
        </w:rPr>
        <w:t>n</w:t>
      </w:r>
      <w:r w:rsidRPr="00B91366">
        <w:rPr>
          <w:rFonts w:eastAsia="MS Mincho"/>
          <w:szCs w:val="22"/>
          <w:vertAlign w:val="superscript"/>
        </w:rPr>
        <w:t>o</w:t>
      </w:r>
      <w:r w:rsidRPr="00B91366">
        <w:rPr>
          <w:rFonts w:eastAsia="MS Mincho"/>
          <w:szCs w:val="22"/>
        </w:rPr>
        <w:t> </w:t>
      </w:r>
      <w:r w:rsidRPr="00B91366">
        <w:t>48 en vigueur au moment de la demande d’homologation de type sont applicables, sauf indication contraire. En outre, on entend par</w:t>
      </w:r>
      <w:r>
        <w:t> :</w:t>
      </w:r>
    </w:p>
    <w:p w:rsidR="00746703" w:rsidRPr="00B91366" w:rsidRDefault="00746703" w:rsidP="00746703">
      <w:pPr>
        <w:pStyle w:val="SingleTxtG"/>
        <w:ind w:left="2268" w:hanging="1134"/>
      </w:pPr>
      <w:r w:rsidRPr="00B91366">
        <w:t>2.1</w:t>
      </w:r>
      <w:r w:rsidRPr="00B91366">
        <w:tab/>
      </w:r>
      <w:r w:rsidRPr="00B91366">
        <w:tab/>
        <w:t>“</w:t>
      </w:r>
      <w:r w:rsidRPr="00B91366">
        <w:rPr>
          <w:i/>
        </w:rPr>
        <w:t>Type de véhicule</w:t>
      </w:r>
      <w:r w:rsidRPr="00B91366">
        <w:t>”, une catégorie de véhicules qui ne présentent pas entre eux de différences sur des aspect essentiels tels que</w:t>
      </w:r>
      <w:r>
        <w:t> :</w:t>
      </w:r>
    </w:p>
    <w:p w:rsidR="00746703" w:rsidRPr="00B91366" w:rsidRDefault="00746703" w:rsidP="00746703">
      <w:pPr>
        <w:pStyle w:val="SingleTxtG"/>
        <w:ind w:left="2268" w:hanging="1134"/>
      </w:pPr>
      <w:r w:rsidRPr="00B91366">
        <w:t>2.1.1</w:t>
      </w:r>
      <w:r w:rsidRPr="00B91366">
        <w:tab/>
        <w:t>Les dimensions et la forme extérieure du véhicule</w:t>
      </w:r>
      <w:r>
        <w:t> ;</w:t>
      </w:r>
    </w:p>
    <w:p w:rsidR="00746703" w:rsidRPr="00B91366" w:rsidRDefault="00746703" w:rsidP="00746703">
      <w:pPr>
        <w:pStyle w:val="SingleTxtG"/>
        <w:ind w:left="2268" w:hanging="1134"/>
      </w:pPr>
      <w:r w:rsidRPr="00B91366">
        <w:t>2.1.2</w:t>
      </w:r>
      <w:r w:rsidRPr="00B91366">
        <w:tab/>
        <w:t>Le nombre et l’emplacement des dispositifs</w:t>
      </w:r>
      <w:r>
        <w:t> ;</w:t>
      </w:r>
    </w:p>
    <w:p w:rsidR="00746703" w:rsidRPr="00B91366" w:rsidRDefault="00746703" w:rsidP="00746703">
      <w:pPr>
        <w:pStyle w:val="SingleTxtG"/>
        <w:ind w:left="2268" w:hanging="1134"/>
      </w:pPr>
      <w:r w:rsidRPr="00B91366">
        <w:t>2.1.3</w:t>
      </w:r>
      <w:r w:rsidRPr="00B91366">
        <w:tab/>
        <w:t>Ne sont pas considérés comme “véhicules d’un autre type”</w:t>
      </w:r>
      <w:r>
        <w:t> :</w:t>
      </w:r>
    </w:p>
    <w:p w:rsidR="00746703" w:rsidRPr="00B91366" w:rsidRDefault="00746703" w:rsidP="00746703">
      <w:pPr>
        <w:pStyle w:val="SingleTxtG"/>
        <w:ind w:left="2268" w:hanging="1134"/>
      </w:pPr>
      <w:r w:rsidRPr="00B91366">
        <w:t>2.1.3.1</w:t>
      </w:r>
      <w:r w:rsidRPr="00B91366">
        <w:tab/>
        <w:t>Les véhicules qui présentent des différences au sens des paragraphes 2.1.1 et 2.1.2 ci-dessus, mais sans que cela implique une modification de la nature, du nombre, de l’emplacement ou de la visibilité géométrique des feux prescrits pour le type de véhicule considéré</w:t>
      </w:r>
      <w:r>
        <w:t> ;</w:t>
      </w:r>
    </w:p>
    <w:p w:rsidR="00746703" w:rsidRPr="00B91366" w:rsidRDefault="00746703" w:rsidP="00746703">
      <w:pPr>
        <w:pStyle w:val="SingleTxtG"/>
        <w:ind w:left="2268" w:hanging="1134"/>
      </w:pPr>
      <w:r w:rsidRPr="00B91366">
        <w:t>2.1.3.2</w:t>
      </w:r>
      <w:r w:rsidRPr="00B91366">
        <w:tab/>
        <w:t>Les véhicules sur lesquels des feux homologués en vertu d’un des Règlements annexés à l’Accord de 1958, ou admis dans le pays d’immatriculation, sont montés, ou sont absents lorsque l’installation de ces feux est facultative</w:t>
      </w:r>
      <w:r>
        <w:t> ;</w:t>
      </w:r>
    </w:p>
    <w:p w:rsidR="00746703" w:rsidRPr="00B91366" w:rsidRDefault="00746703" w:rsidP="00746703">
      <w:pPr>
        <w:pStyle w:val="SingleTxtG"/>
        <w:ind w:left="2268" w:hanging="1134"/>
      </w:pPr>
      <w:r w:rsidRPr="00B91366">
        <w:t>2.2</w:t>
      </w:r>
      <w:r w:rsidRPr="00B91366">
        <w:tab/>
        <w:t>“</w:t>
      </w:r>
      <w:r w:rsidRPr="00B91366">
        <w:rPr>
          <w:i/>
        </w:rPr>
        <w:t>Véhicule à vide</w:t>
      </w:r>
      <w:r w:rsidRPr="00B91366">
        <w:t>”, le véhicule sans conducteur, ni passager, ni chargement, mais avec son plein de carburant et son outillage normal de bord</w:t>
      </w:r>
      <w:r>
        <w:t> ;</w:t>
      </w:r>
    </w:p>
    <w:p w:rsidR="00746703" w:rsidRPr="00B91366" w:rsidRDefault="00746703" w:rsidP="00746703">
      <w:pPr>
        <w:pStyle w:val="SingleTxtG"/>
        <w:ind w:left="2268" w:hanging="1134"/>
      </w:pPr>
      <w:r w:rsidRPr="00B91366">
        <w:t>2.3</w:t>
      </w:r>
      <w:r w:rsidRPr="00B91366">
        <w:tab/>
        <w:t>“</w:t>
      </w:r>
      <w:r w:rsidRPr="00B91366">
        <w:rPr>
          <w:i/>
        </w:rPr>
        <w:t>Feu</w:t>
      </w:r>
      <w:r w:rsidRPr="00B91366">
        <w:t>”, un dispositif destiné à éclairer la route ou à émettre un signal lumineux à l’intention des autres usagers de la route. Les dispositifs d’éclairage de la plaque d’immatriculation arrière et les catadioptres sont également considérés comme des feux</w:t>
      </w:r>
      <w:r>
        <w:t> ;</w:t>
      </w:r>
    </w:p>
    <w:p w:rsidR="00746703" w:rsidRPr="00B91366" w:rsidRDefault="00746703" w:rsidP="00746703">
      <w:pPr>
        <w:pStyle w:val="SingleTxtG"/>
        <w:ind w:left="2268" w:hanging="1134"/>
      </w:pPr>
      <w:r w:rsidRPr="00B91366">
        <w:t>2.3.1</w:t>
      </w:r>
      <w:r w:rsidRPr="00B91366">
        <w:tab/>
        <w:t>“</w:t>
      </w:r>
      <w:r w:rsidRPr="00B91366">
        <w:rPr>
          <w:i/>
        </w:rPr>
        <w:t>Feux équivalents</w:t>
      </w:r>
      <w:r w:rsidRPr="00B91366">
        <w:t>”, des feux ayant la même fonction et admis dans le pays d’immatriculation du véhicule</w:t>
      </w:r>
      <w:r>
        <w:t> ;</w:t>
      </w:r>
      <w:r w:rsidRPr="00B91366">
        <w:t xml:space="preserve"> ils peuvent avoir des caractéristiques différentes des feux équipant le véhicule lors de son homologation, à condition qu’ils satisfassent aux prescriptions du présent Règlement</w:t>
      </w:r>
      <w:r>
        <w:t> ;</w:t>
      </w:r>
    </w:p>
    <w:p w:rsidR="00746703" w:rsidRPr="00B91366" w:rsidRDefault="00746703" w:rsidP="00746703">
      <w:pPr>
        <w:pStyle w:val="SingleTxtG"/>
        <w:ind w:left="2268" w:hanging="1134"/>
      </w:pPr>
      <w:r w:rsidRPr="00B91366">
        <w:t>2.3.2</w:t>
      </w:r>
      <w:r w:rsidRPr="00B91366">
        <w:tab/>
        <w:t>“</w:t>
      </w:r>
      <w:r w:rsidRPr="00B91366">
        <w:rPr>
          <w:i/>
        </w:rPr>
        <w:t>Feux indépendants</w:t>
      </w:r>
      <w:r w:rsidRPr="00B91366">
        <w:t>”, des dispositifs ayant des surfaces apparentes distinctes, des sources lumineuses distinctes et des boîtiers distincts</w:t>
      </w:r>
      <w:r>
        <w:t> ;</w:t>
      </w:r>
    </w:p>
    <w:p w:rsidR="00746703" w:rsidRPr="00B91366" w:rsidRDefault="00746703" w:rsidP="00746703">
      <w:pPr>
        <w:pStyle w:val="SingleTxtG"/>
        <w:ind w:left="2268" w:hanging="1134"/>
      </w:pPr>
      <w:r w:rsidRPr="00B91366">
        <w:t>2.3.3</w:t>
      </w:r>
      <w:r w:rsidRPr="00B91366">
        <w:tab/>
        <w:t>“</w:t>
      </w:r>
      <w:r w:rsidRPr="00B91366">
        <w:rPr>
          <w:i/>
        </w:rPr>
        <w:t>Feux groupés</w:t>
      </w:r>
      <w:r w:rsidRPr="00B91366">
        <w:t>”, des dispositifs ayant des surfaces apparentes distinctes et des sources lumineuses distinctes, mais un boîtier commun</w:t>
      </w:r>
      <w:r>
        <w:t> ;</w:t>
      </w:r>
    </w:p>
    <w:p w:rsidR="00746703" w:rsidRPr="00B91366" w:rsidRDefault="00746703" w:rsidP="00746703">
      <w:pPr>
        <w:pStyle w:val="SingleTxtG"/>
        <w:ind w:left="2268" w:hanging="1134"/>
      </w:pPr>
      <w:r w:rsidRPr="00B91366">
        <w:t>2.3.4</w:t>
      </w:r>
      <w:r w:rsidRPr="00B91366">
        <w:tab/>
        <w:t>“</w:t>
      </w:r>
      <w:r w:rsidRPr="00B91366">
        <w:rPr>
          <w:i/>
        </w:rPr>
        <w:t>Feux combinés</w:t>
      </w:r>
      <w:r w:rsidRPr="00B91366">
        <w:t>”, des dispositifs ayant des surfaces apparentes distinctes mais une même source lumineuse et un boîtier commun</w:t>
      </w:r>
      <w:r>
        <w:t> ;</w:t>
      </w:r>
    </w:p>
    <w:p w:rsidR="00746703" w:rsidRPr="00B91366" w:rsidRDefault="00746703" w:rsidP="00746703">
      <w:pPr>
        <w:pStyle w:val="SingleTxtG"/>
        <w:ind w:left="2268" w:hanging="1134"/>
      </w:pPr>
      <w:r w:rsidRPr="00B91366">
        <w:t>2.3.5</w:t>
      </w:r>
      <w:r w:rsidRPr="00B91366">
        <w:tab/>
        <w:t>“</w:t>
      </w:r>
      <w:r w:rsidRPr="00B91366">
        <w:rPr>
          <w:i/>
        </w:rPr>
        <w:t>Feux mutuellement incorporés</w:t>
      </w:r>
      <w:r w:rsidRPr="00B91366">
        <w:t>”, des dispositifs ayant des sources lumineuses distinctes ou une source lumineuse unique fonctionnant dans des conditions différentes (différences optiques, mécaniques ou électriques, par exemple), des surfaces apparentes totalement ou partiellement communes et un boîtier commun</w:t>
      </w:r>
      <w:r>
        <w:t> ;</w:t>
      </w:r>
    </w:p>
    <w:p w:rsidR="00746703" w:rsidRPr="00B91366" w:rsidRDefault="00746703" w:rsidP="00746703">
      <w:pPr>
        <w:pStyle w:val="SingleTxtG"/>
        <w:ind w:left="2268" w:hanging="1134"/>
      </w:pPr>
      <w:r w:rsidRPr="00B91366">
        <w:t>2.3.6</w:t>
      </w:r>
      <w:r w:rsidRPr="00B91366">
        <w:tab/>
        <w:t>“</w:t>
      </w:r>
      <w:r w:rsidRPr="00B91366">
        <w:rPr>
          <w:i/>
        </w:rPr>
        <w:t>Feu indicateur de direction</w:t>
      </w:r>
      <w:r w:rsidRPr="00B91366">
        <w:t>”, le feu servant à indiquer aux autres usagers de la route que le conducteur a l’intention de changer de direction vers la droite ou vers la gauche</w:t>
      </w:r>
      <w:r>
        <w:t> ;</w:t>
      </w:r>
    </w:p>
    <w:p w:rsidR="00746703" w:rsidRPr="00B91366" w:rsidRDefault="00746703" w:rsidP="00746703">
      <w:pPr>
        <w:pStyle w:val="SingleTxtG"/>
        <w:ind w:left="2268"/>
      </w:pPr>
      <w:r w:rsidRPr="00B91366">
        <w:tab/>
        <w:t xml:space="preserve">Un feu indicateur de direction peut aussi être utilisé selon les dispositions du Règlement ONU </w:t>
      </w:r>
      <w:r w:rsidRPr="00B91366">
        <w:rPr>
          <w:rFonts w:eastAsia="MS Mincho"/>
          <w:szCs w:val="22"/>
        </w:rPr>
        <w:t>n</w:t>
      </w:r>
      <w:r w:rsidRPr="00B91366">
        <w:rPr>
          <w:rFonts w:eastAsia="MS Mincho"/>
          <w:szCs w:val="22"/>
          <w:vertAlign w:val="superscript"/>
        </w:rPr>
        <w:t>o</w:t>
      </w:r>
      <w:r w:rsidRPr="00B91366">
        <w:t> 97.</w:t>
      </w:r>
    </w:p>
    <w:p w:rsidR="00746703" w:rsidRPr="00B91366" w:rsidRDefault="00746703" w:rsidP="00746703">
      <w:pPr>
        <w:pStyle w:val="SingleTxtG"/>
        <w:ind w:left="2268" w:hanging="1134"/>
      </w:pPr>
      <w:r w:rsidRPr="00B91366">
        <w:t>2.3.7</w:t>
      </w:r>
      <w:r w:rsidRPr="00B91366">
        <w:tab/>
        <w:t>“</w:t>
      </w:r>
      <w:r w:rsidRPr="00B91366">
        <w:rPr>
          <w:i/>
        </w:rPr>
        <w:t>Feu de position avant</w:t>
      </w:r>
      <w:r w:rsidRPr="00B91366">
        <w:t>”, le feu servant à indiquer la présence du véhicule vu de l’avant</w:t>
      </w:r>
      <w:r>
        <w:t> ;</w:t>
      </w:r>
    </w:p>
    <w:p w:rsidR="00746703" w:rsidRPr="00B91366" w:rsidRDefault="00746703" w:rsidP="00746703">
      <w:pPr>
        <w:pStyle w:val="SingleTxtG"/>
        <w:ind w:left="2268" w:hanging="1134"/>
      </w:pPr>
      <w:r w:rsidRPr="00B91366">
        <w:t>2.3.8</w:t>
      </w:r>
      <w:r w:rsidRPr="00B91366">
        <w:tab/>
        <w:t>“</w:t>
      </w:r>
      <w:r w:rsidRPr="00B91366">
        <w:rPr>
          <w:i/>
        </w:rPr>
        <w:t>Feu de position arrière</w:t>
      </w:r>
      <w:r w:rsidRPr="00B91366">
        <w:t>”, le feu servant à indiquer la présence du véhicule vu de l’arrière</w:t>
      </w:r>
      <w:r>
        <w:t> ;</w:t>
      </w:r>
    </w:p>
    <w:p w:rsidR="00746703" w:rsidRPr="00B91366" w:rsidRDefault="00746703" w:rsidP="00746703">
      <w:pPr>
        <w:pStyle w:val="SingleTxtG"/>
        <w:ind w:left="2268" w:hanging="1134"/>
      </w:pPr>
      <w:r w:rsidRPr="00B91366">
        <w:lastRenderedPageBreak/>
        <w:t>2.3.9</w:t>
      </w:r>
      <w:r w:rsidRPr="00B91366">
        <w:tab/>
        <w:t>“</w:t>
      </w:r>
      <w:r w:rsidRPr="00B91366">
        <w:rPr>
          <w:i/>
        </w:rPr>
        <w:t>Catadioptre</w:t>
      </w:r>
      <w:r w:rsidRPr="00B91366">
        <w:t>”, un dispositif servant à indiquer la présence d’un véhicule par réflexion de la lumière émanant d’une source lumineuse non reliée à ce véhicule, pour un observateur placé près de cette source</w:t>
      </w:r>
      <w:r>
        <w:t> ;</w:t>
      </w:r>
    </w:p>
    <w:p w:rsidR="00746703" w:rsidRPr="00B91366" w:rsidRDefault="00746703" w:rsidP="00D97BA7">
      <w:pPr>
        <w:pStyle w:val="SingleTxtG"/>
        <w:ind w:left="2268"/>
      </w:pPr>
      <w:r w:rsidRPr="00B91366">
        <w:t xml:space="preserve">Au sens du présent Règlement, les plaques d’immatriculation </w:t>
      </w:r>
      <w:proofErr w:type="spellStart"/>
      <w:r w:rsidRPr="00B91366">
        <w:t>rétroréfléchissantes</w:t>
      </w:r>
      <w:proofErr w:type="spellEnd"/>
      <w:r w:rsidRPr="00B91366">
        <w:t xml:space="preserve"> ne sont pas considérées comme des catadioptres</w:t>
      </w:r>
      <w:r>
        <w:t> ;</w:t>
      </w:r>
    </w:p>
    <w:p w:rsidR="00746703" w:rsidRPr="00B91366" w:rsidRDefault="00746703" w:rsidP="00746703">
      <w:pPr>
        <w:pStyle w:val="SingleTxtG"/>
        <w:ind w:left="2268" w:hanging="1134"/>
      </w:pPr>
      <w:r w:rsidRPr="00B91366">
        <w:t>2.4</w:t>
      </w:r>
      <w:r w:rsidRPr="00B91366">
        <w:tab/>
        <w:t>“</w:t>
      </w:r>
      <w:r w:rsidRPr="00B91366">
        <w:rPr>
          <w:i/>
        </w:rPr>
        <w:t>Surface de sortie de la lumière</w:t>
      </w:r>
      <w:r w:rsidRPr="00B91366">
        <w:t>” d’un “dispositif d’éclairage”, d’un “dispositif de signalisation lumineuse” ou d’un catadioptre, tout ou partie de la surface extérieure du matériau transparent comme indiqué dans la demande d’homologation par le fabricant du dispositif figurant sur le dessin (voir annexe</w:t>
      </w:r>
      <w:r w:rsidR="006F047F">
        <w:t> </w:t>
      </w:r>
      <w:r w:rsidRPr="00B91366">
        <w:t>3)</w:t>
      </w:r>
      <w:r>
        <w:t> ;</w:t>
      </w:r>
    </w:p>
    <w:p w:rsidR="00746703" w:rsidRPr="00B91366" w:rsidRDefault="00746703" w:rsidP="00746703">
      <w:pPr>
        <w:pStyle w:val="SingleTxtG"/>
        <w:ind w:left="2268" w:hanging="1134"/>
      </w:pPr>
      <w:r w:rsidRPr="00B91366">
        <w:t>2.5</w:t>
      </w:r>
      <w:r w:rsidRPr="00B91366">
        <w:tab/>
        <w:t>“</w:t>
      </w:r>
      <w:r w:rsidRPr="00B91366">
        <w:rPr>
          <w:i/>
        </w:rPr>
        <w:t>Plage éclairante</w:t>
      </w:r>
      <w:r w:rsidRPr="00B91366">
        <w:t>” (voir annexe 3)</w:t>
      </w:r>
      <w:r>
        <w:t> ;</w:t>
      </w:r>
    </w:p>
    <w:p w:rsidR="00746703" w:rsidRPr="00B91366" w:rsidRDefault="00746703" w:rsidP="00746703">
      <w:pPr>
        <w:pStyle w:val="SingleTxtG"/>
        <w:ind w:left="2268" w:hanging="1134"/>
      </w:pPr>
      <w:r w:rsidRPr="00B91366">
        <w:t>2.5.1</w:t>
      </w:r>
      <w:r w:rsidRPr="00B91366">
        <w:tab/>
        <w:t>“</w:t>
      </w:r>
      <w:r w:rsidRPr="00B91366">
        <w:rPr>
          <w:i/>
        </w:rPr>
        <w:t>Plage éclairante d’un dispositif d’éclairage</w:t>
      </w:r>
      <w:r w:rsidRPr="00B91366">
        <w:t>” (feu de route, feu de croisement ou feu de brouillard avant), la projection orthogonale de l’ouverture totale du miroir ou, dans le cas de projecteurs à miroir ellipsoïdal, de la “lentille”, sur un plan transversal. Si le dispositif d’éclairage n’a pas de miroir, c’est la définition du paragraphe 2.5.2 ci-dessous qui s’applique. Si la surface de sortie de la lumière du feu ne recouvre qu’une partie de l’ouverture totale du miroir, on ne considère que la projection de cette partie</w:t>
      </w:r>
      <w:r>
        <w:t> ;</w:t>
      </w:r>
    </w:p>
    <w:p w:rsidR="00746703" w:rsidRPr="00B91366" w:rsidRDefault="00746703" w:rsidP="00746703">
      <w:pPr>
        <w:pStyle w:val="SingleTxtG"/>
        <w:ind w:left="2268"/>
      </w:pPr>
      <w:r w:rsidRPr="00B91366">
        <w:tab/>
        <w:t>Dans le cas d’un feu de croisement, la plage éclairante est limitée par la trace de la coupure apparente sur la glace. Si le miroir et la glace sont réglables l’un par rapport à l’autre, il faut faire usage de la position de réglage moyenne</w:t>
      </w:r>
      <w:r>
        <w:t> ;</w:t>
      </w:r>
    </w:p>
    <w:p w:rsidR="00746703" w:rsidRPr="00B91366" w:rsidRDefault="00746703" w:rsidP="00746703">
      <w:pPr>
        <w:pStyle w:val="SingleTxtG"/>
        <w:ind w:left="2268"/>
      </w:pPr>
      <w:r w:rsidRPr="00B91366">
        <w:tab/>
        <w:t>Lorsqu’un projecteur émettant le faisceau de croisement principal est utilisé conjointement avec des unités d’éclairage ou des sources lumineuses supplémentaires conçues pour produire l’éclairage de virage, les multiples plages éclairantes forment ensemble la plage éclairante</w:t>
      </w:r>
      <w:r>
        <w:t> ;</w:t>
      </w:r>
    </w:p>
    <w:p w:rsidR="00746703" w:rsidRPr="00B91366" w:rsidRDefault="00746703" w:rsidP="00746703">
      <w:pPr>
        <w:pStyle w:val="SingleTxtG"/>
        <w:ind w:left="2268" w:hanging="1134"/>
      </w:pPr>
      <w:r w:rsidRPr="00B91366">
        <w:t>2.5.2</w:t>
      </w:r>
      <w:r w:rsidRPr="00B91366">
        <w:tab/>
        <w:t>“</w:t>
      </w:r>
      <w:r w:rsidRPr="00B91366">
        <w:rPr>
          <w:i/>
        </w:rPr>
        <w:t>Plage éclairante d’un dispositif de signalisation autre qu’un catadioptre</w:t>
      </w:r>
      <w:r w:rsidRPr="00B91366">
        <w:t>” (feu indicateur de direction, feu stop, feu de position avant, feu de position arrière, feu de détresse ou feu de brouillard arrière), la projection orthogonale du feu sur un plan perpendiculaire à son axe de référence et en contact avec la surface extérieure de sortie de la lumière du feu, cette projection étant limitée par les bords d’écrans situés dans ce plan et ne laissant subsister individuellement que 98</w:t>
      </w:r>
      <w:r w:rsidR="006F047F">
        <w:t> </w:t>
      </w:r>
      <w:r w:rsidRPr="00B91366">
        <w:t>% de l’intensité totale du feu dans la direction de l’axe de référence. Pour déterminer les bords inférieur, supérieur et latéraux de la plage éclairante, on ne doit utiliser que les écrans à bords horizontaux ou verticaux</w:t>
      </w:r>
      <w:r>
        <w:t> ;</w:t>
      </w:r>
    </w:p>
    <w:p w:rsidR="00746703" w:rsidRPr="00B91366" w:rsidRDefault="00746703" w:rsidP="00746703">
      <w:pPr>
        <w:pStyle w:val="SingleTxtG"/>
        <w:ind w:left="2268" w:hanging="1134"/>
      </w:pPr>
      <w:r w:rsidRPr="00B91366">
        <w:t>2.5.3</w:t>
      </w:r>
      <w:r w:rsidRPr="00B91366">
        <w:tab/>
        <w:t>“</w:t>
      </w:r>
      <w:r w:rsidRPr="00B91366">
        <w:rPr>
          <w:i/>
        </w:rPr>
        <w:t>Plage éclairante d’un catadioptre</w:t>
      </w:r>
      <w:r w:rsidRPr="00B91366">
        <w:t>” (par.</w:t>
      </w:r>
      <w:r w:rsidR="006F047F">
        <w:t> </w:t>
      </w:r>
      <w:r w:rsidRPr="00B91366">
        <w:t>2.3.9 ci-dessus), la projection orthogonale d’un catadioptre dans un plan perpendiculaire à son axe de référence et qui est délimitée par des plans contigus aux parties extrêmes de l’optique catadioptrique et parallèles à cet axe. Pour déterminer les bords inférieur, supérieur et latéraux d’un dispositif, on ne doit prendre en considération que les plans horizontaux et verticaux</w:t>
      </w:r>
      <w:r>
        <w:t> ;</w:t>
      </w:r>
    </w:p>
    <w:p w:rsidR="00746703" w:rsidRPr="00B91366" w:rsidRDefault="00746703" w:rsidP="00746703">
      <w:pPr>
        <w:pStyle w:val="SingleTxtG"/>
        <w:ind w:left="2268" w:hanging="1134"/>
      </w:pPr>
      <w:r w:rsidRPr="00B91366">
        <w:t>2.6</w:t>
      </w:r>
      <w:r w:rsidRPr="00B91366">
        <w:tab/>
        <w:t>“</w:t>
      </w:r>
      <w:r w:rsidRPr="00B91366">
        <w:rPr>
          <w:i/>
        </w:rPr>
        <w:t>Surface apparente</w:t>
      </w:r>
      <w:r w:rsidRPr="00B91366">
        <w:t>”, dans une direction d’observation donnée, à la demande du fabricant ou de son représentant dûment agréé, la projection orthogonale</w:t>
      </w:r>
      <w:r>
        <w:t> :</w:t>
      </w:r>
    </w:p>
    <w:p w:rsidR="00746703" w:rsidRPr="00B91366" w:rsidRDefault="00746703" w:rsidP="00746703">
      <w:pPr>
        <w:pStyle w:val="SingleTxtG"/>
        <w:ind w:left="2268"/>
      </w:pPr>
      <w:r w:rsidRPr="00B91366">
        <w:tab/>
        <w:t>Soit de la limite de la plage éclairante projetée sur la surface extérieure de la glace (a-b)</w:t>
      </w:r>
      <w:r>
        <w:t> ;</w:t>
      </w:r>
    </w:p>
    <w:p w:rsidR="00746703" w:rsidRPr="00B91366" w:rsidRDefault="00746703" w:rsidP="00746703">
      <w:pPr>
        <w:pStyle w:val="SingleTxtG"/>
        <w:ind w:left="2268"/>
      </w:pPr>
      <w:r w:rsidRPr="00B91366">
        <w:tab/>
        <w:t>Soit la surface de sortie de la lumière (c-d)</w:t>
      </w:r>
      <w:r>
        <w:t> ;</w:t>
      </w:r>
    </w:p>
    <w:p w:rsidR="00746703" w:rsidRPr="00B91366" w:rsidRDefault="00746703" w:rsidP="00746703">
      <w:pPr>
        <w:pStyle w:val="SingleTxtG"/>
        <w:ind w:left="2268"/>
      </w:pPr>
      <w:r w:rsidRPr="00B91366">
        <w:tab/>
        <w:t>Dans un plan perpendiculaire à la direction d’observation et tangent à la limite extérieure de la glace (voir l’annexe 3 du présent Règlement)</w:t>
      </w:r>
      <w:r>
        <w:t> ;</w:t>
      </w:r>
    </w:p>
    <w:p w:rsidR="00746703" w:rsidRPr="00B91366" w:rsidRDefault="00746703" w:rsidP="008E2E08">
      <w:pPr>
        <w:pStyle w:val="SingleTxtG"/>
        <w:keepNext/>
        <w:ind w:left="2268" w:hanging="1134"/>
      </w:pPr>
      <w:r w:rsidRPr="00B91366">
        <w:lastRenderedPageBreak/>
        <w:t>2.7</w:t>
      </w:r>
      <w:r w:rsidRPr="00B91366">
        <w:tab/>
        <w:t>“</w:t>
      </w:r>
      <w:r w:rsidRPr="00B91366">
        <w:rPr>
          <w:i/>
        </w:rPr>
        <w:t>Centre de référence</w:t>
      </w:r>
      <w:r w:rsidRPr="00B91366">
        <w:t>”, l’intersection de l’axe de référence avec la surface de sortie de la lumière émise par le feu et indiquée par le fabricant du feu</w:t>
      </w:r>
      <w:r>
        <w:t> ;</w:t>
      </w:r>
    </w:p>
    <w:p w:rsidR="00746703" w:rsidRPr="00B91366" w:rsidRDefault="00746703" w:rsidP="00746703">
      <w:pPr>
        <w:pStyle w:val="SingleTxtG"/>
        <w:ind w:left="2268" w:hanging="1134"/>
      </w:pPr>
      <w:r w:rsidRPr="00B91366">
        <w:t>2.8</w:t>
      </w:r>
      <w:r w:rsidRPr="00B91366">
        <w:tab/>
        <w:t>“</w:t>
      </w:r>
      <w:r w:rsidRPr="00B91366">
        <w:rPr>
          <w:i/>
        </w:rPr>
        <w:t>Extrémité de la largeur hors tout</w:t>
      </w:r>
      <w:r w:rsidRPr="00B91366">
        <w:t>” de chaque côté du véhicule, le plan parallèle au plan longitudinal médian du véhicule qui en touche le bord latéral extérieur, compte non tenu de la ou des saillies</w:t>
      </w:r>
      <w:r>
        <w:t> :</w:t>
      </w:r>
    </w:p>
    <w:p w:rsidR="00746703" w:rsidRPr="00B91366" w:rsidRDefault="00746703" w:rsidP="00746703">
      <w:pPr>
        <w:pStyle w:val="SingleTxtG"/>
        <w:ind w:left="2268" w:hanging="1134"/>
      </w:pPr>
      <w:r w:rsidRPr="00B91366">
        <w:t>2.8.1</w:t>
      </w:r>
      <w:r w:rsidRPr="00B91366">
        <w:tab/>
        <w:t>Des miroirs rétroviseurs</w:t>
      </w:r>
      <w:r>
        <w:t> ;</w:t>
      </w:r>
    </w:p>
    <w:p w:rsidR="00746703" w:rsidRPr="00B91366" w:rsidRDefault="00746703" w:rsidP="00746703">
      <w:pPr>
        <w:pStyle w:val="SingleTxtG"/>
        <w:ind w:left="2268" w:hanging="1134"/>
      </w:pPr>
      <w:r w:rsidRPr="00B91366">
        <w:t>2.8.2</w:t>
      </w:r>
      <w:r w:rsidRPr="00B91366">
        <w:tab/>
        <w:t>Des feux indicateurs de direction latéraux</w:t>
      </w:r>
      <w:r>
        <w:t> ;</w:t>
      </w:r>
    </w:p>
    <w:p w:rsidR="00746703" w:rsidRPr="00B91366" w:rsidRDefault="00746703" w:rsidP="00746703">
      <w:pPr>
        <w:pStyle w:val="SingleTxtG"/>
        <w:ind w:left="2268" w:hanging="1134"/>
      </w:pPr>
      <w:r w:rsidRPr="00B91366">
        <w:t>2.8.3</w:t>
      </w:r>
      <w:r w:rsidRPr="00B91366">
        <w:tab/>
        <w:t>Des feux de position avant et arrière et des catadioptres</w:t>
      </w:r>
      <w:r>
        <w:t> ;</w:t>
      </w:r>
    </w:p>
    <w:p w:rsidR="00746703" w:rsidRPr="00B91366" w:rsidRDefault="00746703" w:rsidP="00746703">
      <w:pPr>
        <w:pStyle w:val="SingleTxtG"/>
        <w:ind w:left="2268" w:hanging="1134"/>
      </w:pPr>
      <w:r w:rsidRPr="00B91366">
        <w:t>2.9</w:t>
      </w:r>
      <w:r w:rsidRPr="00B91366">
        <w:tab/>
        <w:t>“</w:t>
      </w:r>
      <w:r w:rsidRPr="00B91366">
        <w:rPr>
          <w:i/>
        </w:rPr>
        <w:t>Largeur hors tout</w:t>
      </w:r>
      <w:r w:rsidRPr="00B91366">
        <w:t>”, la distance entre les deux plans verticaux définis au paragraphe 2.8 ci-dessus</w:t>
      </w:r>
      <w:r>
        <w:t> ;</w:t>
      </w:r>
    </w:p>
    <w:p w:rsidR="00746703" w:rsidRPr="00B91366" w:rsidRDefault="00746703" w:rsidP="00746703">
      <w:pPr>
        <w:pStyle w:val="SingleTxtG"/>
        <w:ind w:left="2268" w:hanging="1134"/>
      </w:pPr>
      <w:r w:rsidRPr="00B91366">
        <w:t>2.10</w:t>
      </w:r>
      <w:r w:rsidRPr="00B91366">
        <w:tab/>
        <w:t>“</w:t>
      </w:r>
      <w:r w:rsidRPr="00B91366">
        <w:rPr>
          <w:i/>
        </w:rPr>
        <w:t>Couleur de la lumière émise par un dispositif</w:t>
      </w:r>
      <w:r w:rsidRPr="00B91366">
        <w:t>”</w:t>
      </w:r>
      <w:r w:rsidRPr="006F047F">
        <w:t xml:space="preserve">. </w:t>
      </w:r>
      <w:r w:rsidRPr="00B91366">
        <w:t xml:space="preserve">Les définitions de la couleur de la lumière émise qui figurent dans le Règlement ONU </w:t>
      </w:r>
      <w:r w:rsidRPr="00B91366">
        <w:rPr>
          <w:rFonts w:eastAsia="MS Mincho"/>
          <w:szCs w:val="22"/>
        </w:rPr>
        <w:t>n</w:t>
      </w:r>
      <w:r w:rsidRPr="00B91366">
        <w:rPr>
          <w:rFonts w:eastAsia="MS Mincho"/>
          <w:szCs w:val="22"/>
          <w:vertAlign w:val="superscript"/>
        </w:rPr>
        <w:t>o</w:t>
      </w:r>
      <w:r w:rsidRPr="00B91366">
        <w:t> 48 et ses séries d’amendements en vigueur à la date de la demande d’homologation de type s’appliquent au présent Règlement</w:t>
      </w:r>
      <w:r>
        <w:t> ;</w:t>
      </w:r>
    </w:p>
    <w:p w:rsidR="00746703" w:rsidRPr="00B91366" w:rsidRDefault="00746703" w:rsidP="00746703">
      <w:pPr>
        <w:pStyle w:val="SingleTxtG"/>
        <w:ind w:left="2268" w:hanging="1134"/>
      </w:pPr>
      <w:r w:rsidRPr="00B91366">
        <w:t>2.11</w:t>
      </w:r>
      <w:r w:rsidRPr="00B91366">
        <w:tab/>
        <w:t>“</w:t>
      </w:r>
      <w:r w:rsidRPr="00B91366">
        <w:rPr>
          <w:i/>
        </w:rPr>
        <w:t>Masse totale en charge</w:t>
      </w:r>
      <w:r w:rsidRPr="00B91366">
        <w:t>” ou “masse maximale”, la masse maximale techniquement admissible déclarée par le constructeur</w:t>
      </w:r>
      <w:r>
        <w:t> ;</w:t>
      </w:r>
    </w:p>
    <w:p w:rsidR="00746703" w:rsidRPr="00B91366" w:rsidRDefault="00746703" w:rsidP="00746703">
      <w:pPr>
        <w:pStyle w:val="SingleTxtG"/>
        <w:ind w:left="2268" w:hanging="1134"/>
      </w:pPr>
      <w:r w:rsidRPr="00B91366">
        <w:t>2.12</w:t>
      </w:r>
      <w:r w:rsidRPr="00B91366">
        <w:tab/>
        <w:t>“</w:t>
      </w:r>
      <w:r w:rsidRPr="00B91366">
        <w:rPr>
          <w:i/>
        </w:rPr>
        <w:t>Véhicule en charge</w:t>
      </w:r>
      <w:r w:rsidRPr="00B91366">
        <w:t>”, le véhicule chargé de manière à atteindre sa “masse totale en charge” telle qu’elle est définie au paragraphe 2.11</w:t>
      </w:r>
      <w:r>
        <w:t> ;</w:t>
      </w:r>
    </w:p>
    <w:p w:rsidR="00746703" w:rsidRPr="00B91366" w:rsidRDefault="00746703" w:rsidP="00746703">
      <w:pPr>
        <w:pStyle w:val="SingleTxtG"/>
        <w:ind w:left="2268" w:hanging="1134"/>
      </w:pPr>
      <w:r w:rsidRPr="00B91366">
        <w:t>2.13</w:t>
      </w:r>
      <w:r w:rsidRPr="00B91366">
        <w:tab/>
      </w:r>
      <w:r w:rsidRPr="00B91366">
        <w:tab/>
        <w:t>“</w:t>
      </w:r>
      <w:r w:rsidRPr="00B91366">
        <w:rPr>
          <w:i/>
        </w:rPr>
        <w:t>Angle d’inclinaison transversale du faisceau</w:t>
      </w:r>
      <w:r w:rsidRPr="00B91366">
        <w:t>”, l’angle formé entre la ligne de coupure du faisceau lorsque le motocycle est dans la position indiquée au paragraphe 5.4 du présent Règlement et la ligne de coupure lorsque le motocycle est à un angle de roulis (voir le schéma à l’annexe 6)</w:t>
      </w:r>
      <w:r>
        <w:t> ;</w:t>
      </w:r>
    </w:p>
    <w:p w:rsidR="00746703" w:rsidRPr="00B91366" w:rsidRDefault="00746703" w:rsidP="00746703">
      <w:pPr>
        <w:pStyle w:val="SingleTxtG"/>
        <w:ind w:left="2268" w:hanging="1134"/>
      </w:pPr>
      <w:r w:rsidRPr="00B91366">
        <w:t>2.14</w:t>
      </w:r>
      <w:r w:rsidRPr="00B91366">
        <w:tab/>
      </w:r>
      <w:r w:rsidRPr="00B91366">
        <w:tab/>
        <w:t>“</w:t>
      </w:r>
      <w:r w:rsidRPr="00B91366">
        <w:rPr>
          <w:i/>
        </w:rPr>
        <w:t>Système de correction de l’inclinaison transversale du faisceau</w:t>
      </w:r>
      <w:r w:rsidRPr="00B91366">
        <w:t>”, un dispositif qui corrige l’inclinaison transversale du faisceau pour la faire tendre vers zéro</w:t>
      </w:r>
      <w:r>
        <w:t> ;</w:t>
      </w:r>
    </w:p>
    <w:p w:rsidR="00746703" w:rsidRPr="00B91366" w:rsidRDefault="00746703" w:rsidP="00746703">
      <w:pPr>
        <w:pStyle w:val="SingleTxtG"/>
        <w:ind w:left="2268" w:hanging="1134"/>
      </w:pPr>
      <w:r w:rsidRPr="00B91366">
        <w:t>2.15</w:t>
      </w:r>
      <w:r w:rsidRPr="00B91366">
        <w:tab/>
        <w:t>“</w:t>
      </w:r>
      <w:r w:rsidRPr="00B91366">
        <w:rPr>
          <w:i/>
        </w:rPr>
        <w:t>Angle de roulis du motocycle</w:t>
      </w:r>
      <w:r w:rsidRPr="00B91366">
        <w:t>”, l’angle entre la verticale et le plan longitudinal médian vertical du véhicule, lorsque le motocycle est en rotation le long de son axe longitudinal (voir le schéma à l’annexe 6)</w:t>
      </w:r>
      <w:r>
        <w:t> ;</w:t>
      </w:r>
    </w:p>
    <w:p w:rsidR="00746703" w:rsidRPr="00B91366" w:rsidRDefault="00746703" w:rsidP="00746703">
      <w:pPr>
        <w:pStyle w:val="SingleTxtG"/>
        <w:ind w:left="2268" w:hanging="1134"/>
      </w:pPr>
      <w:r w:rsidRPr="00B91366">
        <w:t>2.16</w:t>
      </w:r>
      <w:r w:rsidRPr="00B91366">
        <w:tab/>
        <w:t>“</w:t>
      </w:r>
      <w:r w:rsidRPr="00B91366">
        <w:rPr>
          <w:i/>
        </w:rPr>
        <w:t>Signal du système de correction de l’inclinaison transversale du faisceau</w:t>
      </w:r>
      <w:r w:rsidRPr="00B91366">
        <w:t>”, tout signal de commande ou tout signal de commande additionnel d’entrée du système, ou tout signal de commande de sortie du système émis vers le motocycle</w:t>
      </w:r>
      <w:r>
        <w:t> ;</w:t>
      </w:r>
    </w:p>
    <w:p w:rsidR="00746703" w:rsidRPr="00B91366" w:rsidRDefault="00746703" w:rsidP="00746703">
      <w:pPr>
        <w:pStyle w:val="SingleTxtG"/>
        <w:ind w:left="2268" w:hanging="1134"/>
      </w:pPr>
      <w:r w:rsidRPr="00B91366">
        <w:t>2.17</w:t>
      </w:r>
      <w:r w:rsidRPr="00B91366">
        <w:tab/>
        <w:t>“</w:t>
      </w:r>
      <w:r w:rsidRPr="00B91366">
        <w:rPr>
          <w:i/>
        </w:rPr>
        <w:t>Générateur de signal du système de correction de l’inclinaison transversale du faisceau</w:t>
      </w:r>
      <w:r w:rsidRPr="00B91366">
        <w:t>”, un dispositif reproduisant un ou plusieurs signaux du système de correction de l’inclinaison transversale du faisceau pour les essais du système</w:t>
      </w:r>
      <w:r>
        <w:t> ;</w:t>
      </w:r>
    </w:p>
    <w:p w:rsidR="00746703" w:rsidRPr="00B91366" w:rsidRDefault="00746703" w:rsidP="00746703">
      <w:pPr>
        <w:pStyle w:val="SingleTxtG"/>
        <w:ind w:left="2268" w:hanging="1134"/>
      </w:pPr>
      <w:r w:rsidRPr="00B91366">
        <w:t>2.18</w:t>
      </w:r>
      <w:r w:rsidRPr="00B91366">
        <w:tab/>
        <w:t>“</w:t>
      </w:r>
      <w:r w:rsidRPr="00B91366">
        <w:rPr>
          <w:i/>
        </w:rPr>
        <w:t>Angle d’essai du système de correction de l’inclinaison transversale du faisceau</w:t>
      </w:r>
      <w:r w:rsidRPr="00B91366">
        <w:t>”, l’angle δ formé par la ligne de coupure du faisceau (ou la partie horizontale de la ligne de coupure dans le cas d’un projecteur émettant un faisceau asymétrique) et la ligne HH (voir le schéma à l’annexe 6)</w:t>
      </w:r>
      <w:r>
        <w:t> ;</w:t>
      </w:r>
    </w:p>
    <w:p w:rsidR="00746703" w:rsidRPr="00B91366" w:rsidRDefault="00746703" w:rsidP="00746703">
      <w:pPr>
        <w:pStyle w:val="SingleTxtG"/>
        <w:ind w:left="2268" w:hanging="1134"/>
      </w:pPr>
      <w:r w:rsidRPr="00B91366">
        <w:t>2.19</w:t>
      </w:r>
      <w:r w:rsidRPr="00B91366">
        <w:tab/>
        <w:t>“</w:t>
      </w:r>
      <w:r w:rsidRPr="00B91366">
        <w:rPr>
          <w:i/>
        </w:rPr>
        <w:t>Dispositif</w:t>
      </w:r>
      <w:r w:rsidRPr="00B91366">
        <w:t>”, un élément ou une combinaison d’éléments servant à remplir une ou plusieurs fonctions</w:t>
      </w:r>
      <w:r>
        <w:t> ;</w:t>
      </w:r>
    </w:p>
    <w:p w:rsidR="00746703" w:rsidRPr="00B91366" w:rsidRDefault="00746703" w:rsidP="00746703">
      <w:pPr>
        <w:pStyle w:val="SingleTxtG"/>
        <w:ind w:left="2268" w:hanging="1134"/>
      </w:pPr>
      <w:r w:rsidRPr="00B91366">
        <w:t>2.20</w:t>
      </w:r>
      <w:r w:rsidRPr="00B91366">
        <w:tab/>
        <w:t>“</w:t>
      </w:r>
      <w:r w:rsidRPr="00B91366">
        <w:rPr>
          <w:i/>
        </w:rPr>
        <w:t>Feu d’accès au véhicule</w:t>
      </w:r>
      <w:r w:rsidRPr="00B91366">
        <w:t>”, un feu servant à fournir un éclairage supplémentaire pour aider le conducteur et les passagers à monter dans le véhicule ou à en descendre, ou encore à faciliter les opérations de chargement. ».</w:t>
      </w:r>
    </w:p>
    <w:p w:rsidR="00746703" w:rsidRPr="00B91366" w:rsidRDefault="00746703" w:rsidP="006F047F">
      <w:pPr>
        <w:pStyle w:val="SingleTxtG"/>
      </w:pPr>
      <w:r w:rsidRPr="006F047F">
        <w:rPr>
          <w:i/>
          <w:iCs/>
        </w:rPr>
        <w:t>Paragraphe 3.2.5</w:t>
      </w:r>
      <w:r w:rsidRPr="00B91366">
        <w:t>, lire</w:t>
      </w:r>
      <w:r>
        <w:t> :</w:t>
      </w:r>
    </w:p>
    <w:p w:rsidR="00746703" w:rsidRPr="00B91366" w:rsidRDefault="00746703" w:rsidP="008E2E08">
      <w:pPr>
        <w:pStyle w:val="SingleTxtG"/>
        <w:ind w:left="2268" w:hanging="1134"/>
      </w:pPr>
      <w:r w:rsidRPr="00B91366">
        <w:t>« 3.2.5</w:t>
      </w:r>
      <w:r w:rsidRPr="00B91366">
        <w:tab/>
        <w:t>La méthode utilisée pour la définition de la surface apparente (voir par. 2.6)</w:t>
      </w:r>
      <w:r>
        <w:t> ;</w:t>
      </w:r>
      <w:r w:rsidRPr="00B91366">
        <w:t> »</w:t>
      </w:r>
    </w:p>
    <w:p w:rsidR="00746703" w:rsidRPr="00B91366" w:rsidRDefault="00746703" w:rsidP="008E2E08">
      <w:pPr>
        <w:pStyle w:val="SingleTxtG"/>
        <w:keepNext/>
        <w:ind w:left="2268" w:hanging="1134"/>
      </w:pPr>
      <w:r w:rsidRPr="00B91366">
        <w:rPr>
          <w:i/>
        </w:rPr>
        <w:lastRenderedPageBreak/>
        <w:t>Ajouter un paragraphe</w:t>
      </w:r>
      <w:r w:rsidRPr="00B91366">
        <w:t xml:space="preserve"> libellé comme suit</w:t>
      </w:r>
      <w:r>
        <w:t> :</w:t>
      </w:r>
    </w:p>
    <w:p w:rsidR="00746703" w:rsidRPr="00B91366" w:rsidRDefault="00746703" w:rsidP="008E2E08">
      <w:pPr>
        <w:pStyle w:val="SingleTxtG"/>
        <w:keepNext/>
        <w:keepLines/>
        <w:ind w:left="2268" w:hanging="1134"/>
      </w:pPr>
      <w:r w:rsidRPr="00B91366">
        <w:t>« 3.2.6</w:t>
      </w:r>
      <w:r w:rsidRPr="00B91366">
        <w:tab/>
      </w:r>
      <w:r w:rsidRPr="00B91366">
        <w:rPr>
          <w:caps/>
        </w:rPr>
        <w:t>à</w:t>
      </w:r>
      <w:r w:rsidRPr="00B91366">
        <w:t xml:space="preserve"> la discrétion du constructeur, une déclaration indiquant s’il est autorisé ou non d’installer sur le véhicule des feux homologués pour être équipés de sources lumineuses à DEL de substitution, et qui en sont équipés</w:t>
      </w:r>
      <w:r>
        <w:t> ;</w:t>
      </w:r>
      <w:r w:rsidRPr="00B91366">
        <w:t xml:space="preserve"> dans l’affirmative, préciser les types de feux concernés. ».</w:t>
      </w:r>
    </w:p>
    <w:p w:rsidR="00746703" w:rsidRPr="00B91366" w:rsidRDefault="00746703" w:rsidP="006F047F">
      <w:pPr>
        <w:pStyle w:val="SingleTxtG"/>
        <w:keepNext/>
        <w:ind w:left="2268" w:hanging="1134"/>
        <w:rPr>
          <w:i/>
        </w:rPr>
      </w:pPr>
      <w:r w:rsidRPr="00B91366">
        <w:rPr>
          <w:i/>
        </w:rPr>
        <w:t>Ajouter un paragraphe</w:t>
      </w:r>
      <w:r w:rsidRPr="00B91366">
        <w:t xml:space="preserve"> libellé comme suit</w:t>
      </w:r>
      <w:r>
        <w:t> :</w:t>
      </w:r>
    </w:p>
    <w:p w:rsidR="00746703" w:rsidRPr="00B91366" w:rsidRDefault="00746703" w:rsidP="00746703">
      <w:pPr>
        <w:pStyle w:val="SingleTxtG"/>
        <w:ind w:left="2268" w:hanging="1134"/>
      </w:pPr>
      <w:r w:rsidRPr="00B91366">
        <w:t>« 5.22</w:t>
      </w:r>
      <w:r w:rsidRPr="00B91366">
        <w:tab/>
        <w:t>L’utilisation de feux homologués pour être équipés de sources lumineuses à DEL de substitution, et qui en sont équipés, est autorisée uniquement lorsqu’il est répondu positivement à la question du paragraphe 3.2.6.</w:t>
      </w:r>
    </w:p>
    <w:p w:rsidR="00746703" w:rsidRPr="00B91366" w:rsidRDefault="00746703" w:rsidP="00746703">
      <w:pPr>
        <w:pStyle w:val="SingleTxtG"/>
        <w:ind w:left="2268"/>
      </w:pPr>
      <w:r w:rsidRPr="00B91366">
        <w:tab/>
        <w:t>Pour vérifier que cette déclaration est suivie d’effets, il faut contrôler la présence sur les feux de la marque relative à l’utilisation de sources lumineuses à DEL de substitution, tant au stade de l’homologation de type qu’à celui de la vérification de la conformité de la production. ».</w:t>
      </w:r>
    </w:p>
    <w:p w:rsidR="00746703" w:rsidRPr="00B91366" w:rsidRDefault="00746703" w:rsidP="006F047F">
      <w:pPr>
        <w:pStyle w:val="SingleTxtG"/>
        <w:keepNext/>
        <w:ind w:left="2268" w:hanging="1134"/>
        <w:rPr>
          <w:i/>
        </w:rPr>
      </w:pPr>
      <w:r w:rsidRPr="00B91366">
        <w:rPr>
          <w:i/>
        </w:rPr>
        <w:t>Paragraphe 6.1.1.2</w:t>
      </w:r>
      <w:r w:rsidRPr="006F047F">
        <w:rPr>
          <w:iCs/>
        </w:rPr>
        <w:t xml:space="preserve">, </w:t>
      </w:r>
      <w:r w:rsidRPr="00B91366">
        <w:t>lire</w:t>
      </w:r>
      <w:r w:rsidRPr="006F047F">
        <w:rPr>
          <w:iCs/>
        </w:rPr>
        <w:t> :</w:t>
      </w:r>
    </w:p>
    <w:p w:rsidR="00746703" w:rsidRPr="00B91366" w:rsidRDefault="00746703" w:rsidP="00746703">
      <w:pPr>
        <w:pStyle w:val="SingleTxtG"/>
        <w:ind w:left="2268" w:hanging="1134"/>
      </w:pPr>
      <w:r w:rsidRPr="00B91366">
        <w:t>« 6.1.1.2</w:t>
      </w:r>
      <w:r w:rsidRPr="00B91366">
        <w:tab/>
        <w:t xml:space="preserve">Pour les motocycles d’une cylindrée </w:t>
      </w:r>
      <m:oMath>
        <m:r>
          <w:rPr>
            <w:rFonts w:ascii="Cambria Math" w:hAnsi="Cambria Math"/>
          </w:rPr>
          <m:t>&gt;</m:t>
        </m:r>
      </m:oMath>
      <w:r w:rsidRPr="00B91366">
        <w:t>125 cm</w:t>
      </w:r>
      <w:r w:rsidRPr="00B91366">
        <w:rPr>
          <w:vertAlign w:val="superscript"/>
        </w:rPr>
        <w:t>3</w:t>
      </w:r>
    </w:p>
    <w:p w:rsidR="00746703" w:rsidRPr="00B91366" w:rsidRDefault="00746703" w:rsidP="00746703">
      <w:pPr>
        <w:pStyle w:val="SingleTxtG"/>
        <w:ind w:left="2268"/>
      </w:pPr>
      <w:r w:rsidRPr="00B91366">
        <w:tab/>
        <w:t>Un ou deux du type homologué selon</w:t>
      </w:r>
      <w:r>
        <w:t> :</w:t>
      </w:r>
    </w:p>
    <w:p w:rsidR="00746703" w:rsidRPr="00B91366" w:rsidRDefault="00746703" w:rsidP="00746703">
      <w:pPr>
        <w:pStyle w:val="SingleTxtG"/>
        <w:ind w:left="2268"/>
      </w:pPr>
      <w:r w:rsidRPr="00B91366">
        <w:t>a)</w:t>
      </w:r>
      <w:r w:rsidRPr="00B91366">
        <w:tab/>
        <w:t xml:space="preserve">La classe D ou E du Règlement ONU </w:t>
      </w:r>
      <w:r w:rsidRPr="00B91366">
        <w:rPr>
          <w:rFonts w:eastAsia="MS Mincho"/>
          <w:szCs w:val="22"/>
        </w:rPr>
        <w:t>n</w:t>
      </w:r>
      <w:r w:rsidRPr="00B91366">
        <w:rPr>
          <w:rFonts w:eastAsia="MS Mincho"/>
          <w:szCs w:val="22"/>
          <w:vertAlign w:val="superscript"/>
        </w:rPr>
        <w:t>o</w:t>
      </w:r>
      <w:r w:rsidRPr="00B91366">
        <w:t> 113</w:t>
      </w:r>
      <w:r>
        <w:t> ;</w:t>
      </w:r>
    </w:p>
    <w:p w:rsidR="00746703" w:rsidRPr="00B91366" w:rsidRDefault="00746703" w:rsidP="00746703">
      <w:pPr>
        <w:pStyle w:val="SingleTxtG"/>
        <w:ind w:left="2268"/>
      </w:pPr>
      <w:r w:rsidRPr="00B91366">
        <w:t>b)</w:t>
      </w:r>
      <w:r w:rsidRPr="00B91366">
        <w:tab/>
        <w:t xml:space="preserve">Le Règlement ONU </w:t>
      </w:r>
      <w:r w:rsidRPr="00B91366">
        <w:rPr>
          <w:rFonts w:eastAsia="MS Mincho"/>
          <w:szCs w:val="22"/>
        </w:rPr>
        <w:t>n</w:t>
      </w:r>
      <w:r w:rsidRPr="00B91366">
        <w:rPr>
          <w:rFonts w:eastAsia="MS Mincho"/>
          <w:szCs w:val="22"/>
          <w:vertAlign w:val="superscript"/>
        </w:rPr>
        <w:t>o</w:t>
      </w:r>
      <w:r w:rsidRPr="00B91366">
        <w:t> 112</w:t>
      </w:r>
      <w:r>
        <w:t> ;</w:t>
      </w:r>
    </w:p>
    <w:p w:rsidR="00746703" w:rsidRPr="00B91366" w:rsidRDefault="00746703" w:rsidP="00746703">
      <w:pPr>
        <w:pStyle w:val="SingleTxtG"/>
        <w:ind w:left="2268"/>
      </w:pPr>
      <w:r w:rsidRPr="00B91366">
        <w:t>c)</w:t>
      </w:r>
      <w:r w:rsidRPr="00B91366">
        <w:tab/>
        <w:t xml:space="preserve">Le Règlement ONU </w:t>
      </w:r>
      <w:r w:rsidRPr="00B91366">
        <w:rPr>
          <w:rFonts w:eastAsia="MS Mincho"/>
          <w:szCs w:val="22"/>
        </w:rPr>
        <w:t>n</w:t>
      </w:r>
      <w:r w:rsidRPr="00B91366">
        <w:rPr>
          <w:rFonts w:eastAsia="MS Mincho"/>
          <w:szCs w:val="22"/>
          <w:vertAlign w:val="superscript"/>
        </w:rPr>
        <w:t>o</w:t>
      </w:r>
      <w:r w:rsidRPr="00B91366">
        <w:t> 1</w:t>
      </w:r>
      <w:r>
        <w:t> ;</w:t>
      </w:r>
    </w:p>
    <w:p w:rsidR="00746703" w:rsidRPr="00B91366" w:rsidRDefault="00746703" w:rsidP="00746703">
      <w:pPr>
        <w:pStyle w:val="SingleTxtG"/>
        <w:ind w:left="2268"/>
      </w:pPr>
      <w:r w:rsidRPr="00B91366">
        <w:t>d)</w:t>
      </w:r>
      <w:r w:rsidRPr="00B91366">
        <w:tab/>
        <w:t xml:space="preserve">Le Règlement ONU </w:t>
      </w:r>
      <w:r w:rsidRPr="00B91366">
        <w:rPr>
          <w:rFonts w:eastAsia="MS Mincho"/>
          <w:szCs w:val="22"/>
        </w:rPr>
        <w:t>n</w:t>
      </w:r>
      <w:r w:rsidRPr="00B91366">
        <w:rPr>
          <w:rFonts w:eastAsia="MS Mincho"/>
          <w:szCs w:val="22"/>
          <w:vertAlign w:val="superscript"/>
        </w:rPr>
        <w:t>o</w:t>
      </w:r>
      <w:r w:rsidRPr="00B91366">
        <w:t> 8</w:t>
      </w:r>
      <w:r>
        <w:t> ;</w:t>
      </w:r>
    </w:p>
    <w:p w:rsidR="00746703" w:rsidRPr="00B91366" w:rsidRDefault="00746703" w:rsidP="00746703">
      <w:pPr>
        <w:pStyle w:val="SingleTxtG"/>
        <w:ind w:left="2268"/>
      </w:pPr>
      <w:r w:rsidRPr="00B91366">
        <w:t>e)</w:t>
      </w:r>
      <w:r w:rsidRPr="00B91366">
        <w:tab/>
        <w:t xml:space="preserve">Le Règlement ONU </w:t>
      </w:r>
      <w:r w:rsidRPr="00B91366">
        <w:rPr>
          <w:rFonts w:eastAsia="MS Mincho"/>
          <w:szCs w:val="22"/>
        </w:rPr>
        <w:t>n</w:t>
      </w:r>
      <w:r w:rsidRPr="00B91366">
        <w:rPr>
          <w:rFonts w:eastAsia="MS Mincho"/>
          <w:szCs w:val="22"/>
          <w:vertAlign w:val="superscript"/>
        </w:rPr>
        <w:t>o</w:t>
      </w:r>
      <w:r w:rsidRPr="00B91366">
        <w:t> 20</w:t>
      </w:r>
      <w:r>
        <w:t> ;</w:t>
      </w:r>
    </w:p>
    <w:p w:rsidR="00746703" w:rsidRPr="00B91366" w:rsidRDefault="00746703" w:rsidP="00746703">
      <w:pPr>
        <w:pStyle w:val="SingleTxtG"/>
        <w:ind w:left="2268"/>
      </w:pPr>
      <w:r w:rsidRPr="00B91366">
        <w:t>f)</w:t>
      </w:r>
      <w:r w:rsidRPr="00B91366">
        <w:tab/>
        <w:t xml:space="preserve">Le Règlement ONU </w:t>
      </w:r>
      <w:r w:rsidRPr="00B91366">
        <w:rPr>
          <w:rFonts w:eastAsia="MS Mincho"/>
          <w:szCs w:val="22"/>
        </w:rPr>
        <w:t>n</w:t>
      </w:r>
      <w:r w:rsidRPr="00B91366">
        <w:rPr>
          <w:rFonts w:eastAsia="MS Mincho"/>
          <w:szCs w:val="22"/>
          <w:vertAlign w:val="superscript"/>
        </w:rPr>
        <w:t>o</w:t>
      </w:r>
      <w:r w:rsidRPr="00B91366">
        <w:t> 72</w:t>
      </w:r>
      <w:r>
        <w:t> ;</w:t>
      </w:r>
    </w:p>
    <w:p w:rsidR="00746703" w:rsidRPr="00B91366" w:rsidRDefault="00746703" w:rsidP="00746703">
      <w:pPr>
        <w:pStyle w:val="SingleTxtG"/>
        <w:ind w:left="2268"/>
      </w:pPr>
      <w:r w:rsidRPr="00B91366">
        <w:t>g)</w:t>
      </w:r>
      <w:r w:rsidRPr="00B91366">
        <w:tab/>
        <w:t xml:space="preserve">Le Règlement ONU </w:t>
      </w:r>
      <w:r w:rsidRPr="00B91366">
        <w:rPr>
          <w:rFonts w:eastAsia="MS Mincho"/>
          <w:szCs w:val="22"/>
        </w:rPr>
        <w:t>n</w:t>
      </w:r>
      <w:r w:rsidRPr="00B91366">
        <w:rPr>
          <w:rFonts w:eastAsia="MS Mincho"/>
          <w:szCs w:val="22"/>
          <w:vertAlign w:val="superscript"/>
        </w:rPr>
        <w:t>o</w:t>
      </w:r>
      <w:r w:rsidRPr="00B91366">
        <w:t> 98</w:t>
      </w:r>
      <w:r>
        <w:t> ;</w:t>
      </w:r>
    </w:p>
    <w:p w:rsidR="00746703" w:rsidRPr="00B91366" w:rsidRDefault="00746703" w:rsidP="00746703">
      <w:pPr>
        <w:pStyle w:val="SingleTxtG"/>
        <w:ind w:left="2268"/>
      </w:pPr>
      <w:r w:rsidRPr="00B91366">
        <w:t>h)</w:t>
      </w:r>
      <w:r w:rsidRPr="00B91366">
        <w:tab/>
        <w:t xml:space="preserve">La classe A, B, D, DS ou ES du Règlement ONU </w:t>
      </w:r>
      <w:r w:rsidRPr="00B91366">
        <w:rPr>
          <w:rFonts w:eastAsia="MS Mincho"/>
          <w:szCs w:val="22"/>
        </w:rPr>
        <w:t>n</w:t>
      </w:r>
      <w:r w:rsidRPr="00B91366">
        <w:rPr>
          <w:rFonts w:eastAsia="MS Mincho"/>
          <w:szCs w:val="22"/>
          <w:vertAlign w:val="superscript"/>
        </w:rPr>
        <w:t>o</w:t>
      </w:r>
      <w:r w:rsidRPr="00B91366">
        <w:t> 149.</w:t>
      </w:r>
    </w:p>
    <w:p w:rsidR="00746703" w:rsidRPr="00B91366" w:rsidRDefault="00746703" w:rsidP="006F047F">
      <w:pPr>
        <w:pStyle w:val="SingleTxtG"/>
        <w:keepNext/>
        <w:ind w:left="2268"/>
      </w:pPr>
      <w:r w:rsidRPr="00B91366">
        <w:t>Deux du type homologué selon</w:t>
      </w:r>
      <w:r>
        <w:t> :</w:t>
      </w:r>
    </w:p>
    <w:p w:rsidR="00746703" w:rsidRPr="00B91366" w:rsidRDefault="00746703" w:rsidP="00746703">
      <w:pPr>
        <w:pStyle w:val="SingleTxtG"/>
        <w:ind w:left="2268"/>
      </w:pPr>
      <w:r w:rsidRPr="00B91366">
        <w:t>i)</w:t>
      </w:r>
      <w:r w:rsidRPr="00B91366">
        <w:tab/>
        <w:t xml:space="preserve">La classe C du Règlement ONU </w:t>
      </w:r>
      <w:r w:rsidRPr="00B91366">
        <w:rPr>
          <w:rFonts w:eastAsia="MS Mincho"/>
          <w:szCs w:val="22"/>
        </w:rPr>
        <w:t>n</w:t>
      </w:r>
      <w:r w:rsidRPr="00B91366">
        <w:rPr>
          <w:rFonts w:eastAsia="MS Mincho"/>
          <w:szCs w:val="22"/>
          <w:vertAlign w:val="superscript"/>
        </w:rPr>
        <w:t>o</w:t>
      </w:r>
      <w:r w:rsidRPr="00B91366">
        <w:t> 113</w:t>
      </w:r>
      <w:r>
        <w:t> ;</w:t>
      </w:r>
    </w:p>
    <w:p w:rsidR="00746703" w:rsidRPr="00B91366" w:rsidRDefault="00746703" w:rsidP="00746703">
      <w:pPr>
        <w:pStyle w:val="SingleTxtG"/>
        <w:ind w:left="2268"/>
      </w:pPr>
      <w:r w:rsidRPr="00B91366">
        <w:t>j)</w:t>
      </w:r>
      <w:r w:rsidRPr="00B91366">
        <w:tab/>
        <w:t xml:space="preserve">La classe CS du Règlement ONU </w:t>
      </w:r>
      <w:r w:rsidRPr="00B91366">
        <w:rPr>
          <w:rFonts w:eastAsia="MS Mincho"/>
          <w:szCs w:val="22"/>
        </w:rPr>
        <w:t>n</w:t>
      </w:r>
      <w:r w:rsidRPr="00B91366">
        <w:rPr>
          <w:rFonts w:eastAsia="MS Mincho"/>
          <w:szCs w:val="22"/>
          <w:vertAlign w:val="superscript"/>
        </w:rPr>
        <w:t>o</w:t>
      </w:r>
      <w:r w:rsidRPr="00B91366">
        <w:t> 149. ».</w:t>
      </w:r>
    </w:p>
    <w:p w:rsidR="00746703" w:rsidRPr="00B91366" w:rsidRDefault="00746703" w:rsidP="00746703">
      <w:pPr>
        <w:pStyle w:val="SingleTxtG"/>
        <w:spacing w:line="220" w:lineRule="atLeast"/>
        <w:ind w:left="2268" w:hanging="1134"/>
      </w:pPr>
      <w:r w:rsidRPr="00B91366">
        <w:rPr>
          <w:i/>
        </w:rPr>
        <w:t>Paragraphe 6.4.6</w:t>
      </w:r>
      <w:r w:rsidRPr="00B91366">
        <w:t>, lire</w:t>
      </w:r>
      <w:r>
        <w:t> :</w:t>
      </w:r>
    </w:p>
    <w:p w:rsidR="00746703" w:rsidRPr="00B91366" w:rsidRDefault="00746703" w:rsidP="00746703">
      <w:pPr>
        <w:pStyle w:val="SingleTxtG"/>
        <w:spacing w:line="220" w:lineRule="atLeast"/>
        <w:ind w:left="2268" w:hanging="1134"/>
      </w:pPr>
      <w:r w:rsidRPr="00B91366">
        <w:t>« 6.4.6</w:t>
      </w:r>
      <w:r w:rsidRPr="00B91366">
        <w:tab/>
        <w:t>Branchements électriques</w:t>
      </w:r>
    </w:p>
    <w:p w:rsidR="00746703" w:rsidRPr="00B91366" w:rsidRDefault="00746703" w:rsidP="00746703">
      <w:pPr>
        <w:pStyle w:val="SingleTxtG"/>
        <w:spacing w:line="220" w:lineRule="atLeast"/>
        <w:ind w:left="2268" w:hanging="1134"/>
      </w:pPr>
      <w:r w:rsidRPr="00B91366">
        <w:t>6.4.6.1</w:t>
      </w:r>
      <w:r w:rsidRPr="00B91366">
        <w:tab/>
        <w:t xml:space="preserve">Tous les feux stop doivent s’allumer simultanément lorsque le système de freinage émet le signal de freinage défini dans le Règlement ONU </w:t>
      </w:r>
      <w:r w:rsidRPr="00B91366">
        <w:rPr>
          <w:rFonts w:eastAsia="MS Mincho"/>
          <w:szCs w:val="22"/>
        </w:rPr>
        <w:t>n</w:t>
      </w:r>
      <w:r w:rsidRPr="00B91366">
        <w:rPr>
          <w:rFonts w:eastAsia="MS Mincho"/>
          <w:szCs w:val="22"/>
          <w:vertAlign w:val="superscript"/>
        </w:rPr>
        <w:t>o</w:t>
      </w:r>
      <w:r w:rsidRPr="00B91366">
        <w:t> 78.</w:t>
      </w:r>
    </w:p>
    <w:p w:rsidR="00746703" w:rsidRPr="00B91366" w:rsidRDefault="00746703" w:rsidP="00746703">
      <w:pPr>
        <w:pStyle w:val="SingleTxtG"/>
        <w:spacing w:line="220" w:lineRule="atLeast"/>
        <w:ind w:left="2268" w:hanging="1134"/>
      </w:pPr>
      <w:r w:rsidRPr="00B91366">
        <w:t>6.4.6.2</w:t>
      </w:r>
      <w:r w:rsidRPr="00B91366">
        <w:tab/>
        <w:t>Il n’est pas nécessaire que les feux stop s’allument si le dispositif commandant le démarrage et/ou l’arrêt du moteur (système de propulsion) se trouve dans une position qui rend impossible le fonctionnement du moteur (système de propulsion). ».</w:t>
      </w:r>
    </w:p>
    <w:p w:rsidR="00746703" w:rsidRPr="00B91366" w:rsidRDefault="00746703" w:rsidP="00746703">
      <w:pPr>
        <w:pStyle w:val="SingleTxtG"/>
        <w:spacing w:line="220" w:lineRule="atLeast"/>
        <w:ind w:left="2268" w:hanging="1134"/>
      </w:pPr>
      <w:r w:rsidRPr="00B91366">
        <w:rPr>
          <w:i/>
        </w:rPr>
        <w:t>Paragraphe 6.7.4</w:t>
      </w:r>
      <w:r w:rsidRPr="00B91366">
        <w:t>, lire</w:t>
      </w:r>
      <w:r>
        <w:t> :</w:t>
      </w:r>
    </w:p>
    <w:p w:rsidR="00746703" w:rsidRDefault="00746703" w:rsidP="00746703">
      <w:pPr>
        <w:pStyle w:val="SingleTxtG"/>
        <w:spacing w:line="220" w:lineRule="atLeast"/>
        <w:ind w:left="2268" w:hanging="1134"/>
      </w:pPr>
      <w:r w:rsidRPr="00B91366">
        <w:t>« 6.7.4</w:t>
      </w:r>
      <w:r w:rsidRPr="00B91366">
        <w:tab/>
        <w:t>Visibilité géométrique</w:t>
      </w:r>
    </w:p>
    <w:p w:rsidR="00746703" w:rsidRPr="00B91366" w:rsidRDefault="00746703" w:rsidP="00746703">
      <w:pPr>
        <w:pStyle w:val="SingleTxtG"/>
        <w:spacing w:line="220" w:lineRule="atLeast"/>
        <w:ind w:left="2268"/>
      </w:pPr>
      <w:r w:rsidRPr="00B91366">
        <w:tab/>
        <w:t>Angle horizontal</w:t>
      </w:r>
      <w:r>
        <w:t> :</w:t>
      </w:r>
      <w:r>
        <w:tab/>
      </w:r>
      <w:r w:rsidRPr="00B91366">
        <w:t>80° à gauche et à droite pour un feu simple</w:t>
      </w:r>
      <w:r>
        <w:t> :</w:t>
      </w:r>
    </w:p>
    <w:p w:rsidR="00746703" w:rsidRDefault="00746703" w:rsidP="00746703">
      <w:pPr>
        <w:pStyle w:val="SingleTxtG"/>
        <w:spacing w:line="220" w:lineRule="atLeast"/>
        <w:ind w:left="3969"/>
      </w:pPr>
      <w:r w:rsidRPr="00B91366">
        <w:t>L’angle horizontal peut être de 80° vers l’extérieur et</w:t>
      </w:r>
      <w:r w:rsidR="006F047F">
        <w:t xml:space="preserve"> </w:t>
      </w:r>
      <w:r w:rsidRPr="00B91366">
        <w:t>20° vers l’intérieur pour chaque paire de feux</w:t>
      </w:r>
      <w:r>
        <w:t> ;</w:t>
      </w:r>
    </w:p>
    <w:p w:rsidR="00746703" w:rsidRDefault="00746703" w:rsidP="00746703">
      <w:pPr>
        <w:pStyle w:val="SingleTxtG"/>
        <w:spacing w:line="220" w:lineRule="atLeast"/>
        <w:ind w:left="2268"/>
      </w:pPr>
      <w:r w:rsidRPr="00B91366">
        <w:tab/>
        <w:t>Angle vertical</w:t>
      </w:r>
      <w:r>
        <w:t> :</w:t>
      </w:r>
      <w:r>
        <w:tab/>
      </w:r>
      <w:r w:rsidRPr="00B91366">
        <w:t>15° au-dessus et au-dessous de l’horizontale.</w:t>
      </w:r>
    </w:p>
    <w:p w:rsidR="00746703" w:rsidRPr="00B91366" w:rsidRDefault="00746703" w:rsidP="00746703">
      <w:pPr>
        <w:pStyle w:val="SingleTxtG"/>
        <w:spacing w:line="220" w:lineRule="atLeast"/>
        <w:ind w:left="2268"/>
      </w:pPr>
      <w:r w:rsidRPr="00B91366">
        <w:tab/>
        <w:t>Toutefois, lorsqu’un feu est monté à moins de 750</w:t>
      </w:r>
      <w:r w:rsidR="006F047F">
        <w:t> </w:t>
      </w:r>
      <w:r w:rsidRPr="00B91366">
        <w:t>mm au-dessus du sol (mesure effectuée conformément aux dispositions du paragraphe</w:t>
      </w:r>
      <w:r w:rsidR="006F047F">
        <w:t xml:space="preserve"> </w:t>
      </w:r>
      <w:r w:rsidRPr="00B91366">
        <w:t>5.7), l’angle de 15° vers le bas peut être ramené à 5°. ».</w:t>
      </w:r>
    </w:p>
    <w:p w:rsidR="00746703" w:rsidRPr="00B91366" w:rsidRDefault="00746703" w:rsidP="008E2E08">
      <w:pPr>
        <w:pStyle w:val="SingleTxtG"/>
        <w:keepNext/>
        <w:spacing w:before="120"/>
        <w:ind w:left="2268" w:hanging="1134"/>
      </w:pPr>
      <w:r w:rsidRPr="00B91366">
        <w:rPr>
          <w:i/>
        </w:rPr>
        <w:lastRenderedPageBreak/>
        <w:t>Anne</w:t>
      </w:r>
      <w:bookmarkStart w:id="0" w:name="_GoBack"/>
      <w:bookmarkEnd w:id="0"/>
      <w:r w:rsidRPr="00B91366">
        <w:rPr>
          <w:i/>
        </w:rPr>
        <w:t>xe 1</w:t>
      </w:r>
      <w:r w:rsidRPr="00B91366">
        <w:t>,</w:t>
      </w:r>
    </w:p>
    <w:p w:rsidR="00746703" w:rsidRPr="00B91366" w:rsidRDefault="00746703" w:rsidP="00746703">
      <w:pPr>
        <w:pStyle w:val="SingleTxtG"/>
        <w:ind w:left="2268" w:hanging="1134"/>
      </w:pPr>
      <w:r w:rsidRPr="00B91366">
        <w:rPr>
          <w:i/>
        </w:rPr>
        <w:t>Ajouter un nouveau paragraphe et une nouvelle note de bas de page</w:t>
      </w:r>
      <w:r w:rsidRPr="00B91366">
        <w:t xml:space="preserve"> libellés comme suit</w:t>
      </w:r>
      <w:r>
        <w:t> :</w:t>
      </w:r>
    </w:p>
    <w:p w:rsidR="00746703" w:rsidRPr="006F047F" w:rsidRDefault="00746703" w:rsidP="00746703">
      <w:pPr>
        <w:pStyle w:val="SingleTxtG"/>
        <w:ind w:left="2268" w:hanging="1134"/>
      </w:pPr>
      <w:r w:rsidRPr="00B91366">
        <w:t>« 9.23</w:t>
      </w:r>
      <w:r w:rsidRPr="00B91366">
        <w:tab/>
        <w:t>Feux homologués pour être équipés de sources lumineuses à DEL de substitution, et qui en sont équipés, autorisés sur ce type de véhicule</w:t>
      </w:r>
      <w:r>
        <w:t> :</w:t>
      </w:r>
      <w:r w:rsidR="006F047F">
        <w:t xml:space="preserve"> </w:t>
      </w:r>
      <w:r w:rsidRPr="00B91366">
        <w:t>oui/non</w:t>
      </w:r>
      <w:r w:rsidRPr="006F047F">
        <w:rPr>
          <w:sz w:val="18"/>
          <w:szCs w:val="18"/>
          <w:vertAlign w:val="superscript"/>
        </w:rPr>
        <w:t>2,</w:t>
      </w:r>
      <w:r w:rsidR="006F047F" w:rsidRPr="006F047F">
        <w:rPr>
          <w:sz w:val="18"/>
          <w:szCs w:val="18"/>
          <w:vertAlign w:val="superscript"/>
        </w:rPr>
        <w:t> </w:t>
      </w:r>
      <w:r w:rsidRPr="006F047F">
        <w:rPr>
          <w:sz w:val="18"/>
          <w:szCs w:val="18"/>
          <w:vertAlign w:val="superscript"/>
        </w:rPr>
        <w:t>4</w:t>
      </w:r>
    </w:p>
    <w:p w:rsidR="00746703" w:rsidRPr="00B91366" w:rsidRDefault="006F047F" w:rsidP="006F047F">
      <w:pPr>
        <w:pStyle w:val="SingleTxtG"/>
        <w:tabs>
          <w:tab w:val="right" w:leader="dot" w:pos="8505"/>
        </w:tabs>
        <w:ind w:left="2268"/>
      </w:pPr>
      <w:r>
        <w:tab/>
      </w:r>
    </w:p>
    <w:p w:rsidR="00746703" w:rsidRPr="00B91366" w:rsidRDefault="00746703" w:rsidP="008E2E08">
      <w:pPr>
        <w:pStyle w:val="Notedebasdepage"/>
      </w:pPr>
      <w:r w:rsidRPr="00746703">
        <w:rPr>
          <w:vertAlign w:val="superscript"/>
        </w:rPr>
        <w:tab/>
        <w:t>4</w:t>
      </w:r>
      <w:r w:rsidRPr="00746703">
        <w:rPr>
          <w:vertAlign w:val="superscript"/>
        </w:rPr>
        <w:tab/>
      </w:r>
      <w:r w:rsidRPr="00B91366">
        <w:t>Dans l’affirmative, donner la liste des feux concernés. </w:t>
      </w:r>
      <w:r w:rsidRPr="008E2E08">
        <w:rPr>
          <w:sz w:val="20"/>
        </w:rPr>
        <w:t>».</w:t>
      </w:r>
    </w:p>
    <w:p w:rsidR="005F0207" w:rsidRPr="00746703" w:rsidRDefault="00746703" w:rsidP="00746703">
      <w:pPr>
        <w:pStyle w:val="SingleTxtG"/>
        <w:spacing w:before="240" w:after="0"/>
        <w:jc w:val="center"/>
        <w:rPr>
          <w:u w:val="single"/>
        </w:rPr>
      </w:pPr>
      <w:r>
        <w:rPr>
          <w:u w:val="single"/>
        </w:rPr>
        <w:tab/>
      </w:r>
      <w:r>
        <w:rPr>
          <w:u w:val="single"/>
        </w:rPr>
        <w:tab/>
      </w:r>
      <w:r>
        <w:rPr>
          <w:u w:val="single"/>
        </w:rPr>
        <w:tab/>
      </w:r>
      <w:r w:rsidR="008E2E08">
        <w:rPr>
          <w:u w:val="single"/>
        </w:rPr>
        <w:tab/>
      </w:r>
    </w:p>
    <w:sectPr w:rsidR="005F0207" w:rsidRPr="00746703" w:rsidSect="00BF045E">
      <w:headerReference w:type="even" r:id="rId8"/>
      <w:headerReference w:type="default" r:id="rId9"/>
      <w:footerReference w:type="even" r:id="rId10"/>
      <w:footerReference w:type="default" r:id="rId11"/>
      <w:footerReference w:type="first" r:id="rId12"/>
      <w:endnotePr>
        <w:numFmt w:val="decimal"/>
      </w:endnotePr>
      <w:pgSz w:w="11907" w:h="16840" w:code="9"/>
      <w:pgMar w:top="1417" w:right="1134" w:bottom="1134" w:left="1134"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4FC" w:rsidRDefault="00F304FC"/>
  </w:endnote>
  <w:endnote w:type="continuationSeparator" w:id="0">
    <w:p w:rsidR="00F304FC" w:rsidRDefault="00F304FC">
      <w:pPr>
        <w:pStyle w:val="Pieddepage"/>
      </w:pPr>
    </w:p>
  </w:endnote>
  <w:endnote w:type="continuationNotice" w:id="1">
    <w:p w:rsidR="00F304FC" w:rsidRPr="00C451B9" w:rsidRDefault="00F304FC" w:rsidP="00C451B9">
      <w:pPr>
        <w:spacing w:line="240" w:lineRule="auto"/>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45E" w:rsidRPr="00BF045E" w:rsidRDefault="00BF045E" w:rsidP="00BF045E">
    <w:pPr>
      <w:pStyle w:val="Pieddepage"/>
      <w:tabs>
        <w:tab w:val="right" w:pos="9638"/>
      </w:tabs>
    </w:pPr>
    <w:r w:rsidRPr="00BF045E">
      <w:rPr>
        <w:b/>
        <w:sz w:val="18"/>
      </w:rPr>
      <w:fldChar w:fldCharType="begin"/>
    </w:r>
    <w:r w:rsidRPr="00BF045E">
      <w:rPr>
        <w:b/>
        <w:sz w:val="18"/>
      </w:rPr>
      <w:instrText xml:space="preserve"> PAGE  \* MERGEFORMAT </w:instrText>
    </w:r>
    <w:r w:rsidRPr="00BF045E">
      <w:rPr>
        <w:b/>
        <w:sz w:val="18"/>
      </w:rPr>
      <w:fldChar w:fldCharType="separate"/>
    </w:r>
    <w:r w:rsidRPr="00BF045E">
      <w:rPr>
        <w:b/>
        <w:noProof/>
        <w:sz w:val="18"/>
      </w:rPr>
      <w:t>2</w:t>
    </w:r>
    <w:r w:rsidRPr="00BF045E">
      <w:rPr>
        <w:b/>
        <w:sz w:val="18"/>
      </w:rPr>
      <w:fldChar w:fldCharType="end"/>
    </w:r>
    <w:r>
      <w:rPr>
        <w:b/>
        <w:sz w:val="18"/>
      </w:rPr>
      <w:tab/>
    </w:r>
    <w:r>
      <w:t>GE.20-08732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45E" w:rsidRPr="00BF045E" w:rsidRDefault="00BF045E" w:rsidP="00BF045E">
    <w:pPr>
      <w:pStyle w:val="Pieddepage"/>
      <w:tabs>
        <w:tab w:val="right" w:pos="9638"/>
      </w:tabs>
      <w:rPr>
        <w:b/>
        <w:sz w:val="18"/>
      </w:rPr>
    </w:pPr>
    <w:r>
      <w:t>GE.20-08732</w:t>
    </w:r>
    <w:r>
      <w:tab/>
    </w:r>
    <w:r w:rsidRPr="00BF045E">
      <w:rPr>
        <w:b/>
        <w:sz w:val="18"/>
      </w:rPr>
      <w:fldChar w:fldCharType="begin"/>
    </w:r>
    <w:r w:rsidRPr="00BF045E">
      <w:rPr>
        <w:b/>
        <w:sz w:val="18"/>
      </w:rPr>
      <w:instrText xml:space="preserve"> PAGE  \* MERGEFORMAT </w:instrText>
    </w:r>
    <w:r w:rsidRPr="00BF045E">
      <w:rPr>
        <w:b/>
        <w:sz w:val="18"/>
      </w:rPr>
      <w:fldChar w:fldCharType="separate"/>
    </w:r>
    <w:r w:rsidRPr="00BF045E">
      <w:rPr>
        <w:b/>
        <w:noProof/>
        <w:sz w:val="18"/>
      </w:rPr>
      <w:t>3</w:t>
    </w:r>
    <w:r w:rsidRPr="00BF045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F2C" w:rsidRPr="00BF045E" w:rsidRDefault="00BF045E" w:rsidP="00BF045E">
    <w:pPr>
      <w:pStyle w:val="Pieddepage"/>
      <w:spacing w:before="120"/>
      <w:rPr>
        <w:sz w:val="20"/>
      </w:rPr>
    </w:pPr>
    <w:r>
      <w:rPr>
        <w:sz w:val="20"/>
      </w:rPr>
      <w:t>GE.</w:t>
    </w:r>
    <w:r w:rsidR="00467F2C">
      <w:rPr>
        <w:noProof/>
        <w:lang w:eastAsia="fr-CH"/>
      </w:rPr>
      <w:drawing>
        <wp:anchor distT="0" distB="0" distL="114300" distR="114300" simplePos="0" relativeHeight="251659264" behindDoc="0" locked="0" layoutInCell="1" allowOverlap="1" wp14:anchorId="6F16D785" wp14:editId="5A57052C">
          <wp:simplePos x="0" y="0"/>
          <wp:positionH relativeFrom="margin">
            <wp:posOffset>4319905</wp:posOffset>
          </wp:positionH>
          <wp:positionV relativeFrom="margin">
            <wp:posOffset>9144000</wp:posOffset>
          </wp:positionV>
          <wp:extent cx="1104900" cy="228600"/>
          <wp:effectExtent l="0" t="0" r="0" b="0"/>
          <wp:wrapNone/>
          <wp:docPr id="3" name="Image 3"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20-08732  (F)</w:t>
    </w:r>
    <w:r>
      <w:rPr>
        <w:noProof/>
        <w:sz w:val="20"/>
      </w:rPr>
      <w:drawing>
        <wp:anchor distT="0" distB="0" distL="114300" distR="114300" simplePos="0" relativeHeight="251660288" behindDoc="0" locked="0" layoutInCell="1" allowOverlap="1">
          <wp:simplePos x="0" y="0"/>
          <wp:positionH relativeFrom="margin">
            <wp:posOffset>5489575</wp:posOffset>
          </wp:positionH>
          <wp:positionV relativeFrom="margin">
            <wp:posOffset>8891905</wp:posOffset>
          </wp:positionV>
          <wp:extent cx="638175" cy="63817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111220    111220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4FC" w:rsidRPr="00D27D5E" w:rsidRDefault="00F304FC" w:rsidP="00D27D5E">
      <w:pPr>
        <w:tabs>
          <w:tab w:val="right" w:pos="2155"/>
        </w:tabs>
        <w:spacing w:after="80"/>
        <w:ind w:left="680"/>
        <w:rPr>
          <w:u w:val="single"/>
        </w:rPr>
      </w:pPr>
      <w:r>
        <w:rPr>
          <w:u w:val="single"/>
        </w:rPr>
        <w:tab/>
      </w:r>
    </w:p>
  </w:footnote>
  <w:footnote w:type="continuationSeparator" w:id="0">
    <w:p w:rsidR="00F304FC" w:rsidRPr="00D171D4" w:rsidRDefault="00F304FC" w:rsidP="00D171D4">
      <w:pPr>
        <w:tabs>
          <w:tab w:val="right" w:pos="2155"/>
        </w:tabs>
        <w:spacing w:after="80"/>
        <w:ind w:left="680"/>
        <w:rPr>
          <w:u w:val="single"/>
        </w:rPr>
      </w:pPr>
      <w:r w:rsidRPr="00D171D4">
        <w:rPr>
          <w:u w:val="single"/>
        </w:rPr>
        <w:tab/>
      </w:r>
    </w:p>
  </w:footnote>
  <w:footnote w:type="continuationNotice" w:id="1">
    <w:p w:rsidR="00F304FC" w:rsidRPr="00C451B9" w:rsidRDefault="00F304FC" w:rsidP="00C451B9">
      <w:pPr>
        <w:spacing w:line="240" w:lineRule="auto"/>
        <w:rPr>
          <w:sz w:val="2"/>
          <w:szCs w:val="2"/>
        </w:rPr>
      </w:pPr>
    </w:p>
  </w:footnote>
  <w:footnote w:id="2">
    <w:p w:rsidR="00591072" w:rsidRPr="00591072" w:rsidRDefault="00442E31" w:rsidP="00591072">
      <w:pPr>
        <w:pStyle w:val="Notedebasdepage"/>
      </w:pPr>
      <w:r w:rsidRPr="00591072">
        <w:rPr>
          <w:rStyle w:val="Appelnotedebasdep"/>
        </w:rPr>
        <w:tab/>
      </w:r>
      <w:r w:rsidRPr="00591072">
        <w:rPr>
          <w:rStyle w:val="Appelnotedebasdep"/>
          <w:sz w:val="20"/>
          <w:vertAlign w:val="baseline"/>
        </w:rPr>
        <w:t>*</w:t>
      </w:r>
      <w:r w:rsidRPr="00591072">
        <w:rPr>
          <w:rStyle w:val="Appelnotedebasdep"/>
          <w:sz w:val="20"/>
          <w:vertAlign w:val="baseline"/>
        </w:rPr>
        <w:tab/>
      </w:r>
      <w:r w:rsidR="00591072" w:rsidRPr="00591072">
        <w:t>Anciens titres de l’Accord </w:t>
      </w:r>
      <w:r w:rsidR="00746703">
        <w:t> :</w:t>
      </w:r>
    </w:p>
    <w:p w:rsidR="00591072" w:rsidRPr="00591072" w:rsidRDefault="00591072" w:rsidP="00591072">
      <w:pPr>
        <w:pStyle w:val="Notedebasdepage"/>
      </w:pPr>
      <w:r w:rsidRPr="00BF045E">
        <w:tab/>
      </w:r>
      <w:r w:rsidRPr="00BF045E">
        <w:tab/>
        <w:t xml:space="preserve">Accord </w:t>
      </w:r>
      <w:r w:rsidRPr="00591072">
        <w:t>concernant l’adoption de conditions uniformes d’homologation et la reconnaissance réciproque de l’homologation des équipements et pièces de véhicules à moteur, en date, à Genève, du 20 mars 1958 (version originale) </w:t>
      </w:r>
      <w:r w:rsidR="00746703">
        <w:t> ;</w:t>
      </w:r>
    </w:p>
    <w:p w:rsidR="00442E31" w:rsidRPr="00442E31" w:rsidRDefault="00591072">
      <w:pPr>
        <w:pStyle w:val="Notedebasdepage"/>
      </w:pPr>
      <w:r>
        <w:tab/>
      </w:r>
      <w:r>
        <w:tab/>
      </w:r>
      <w:r w:rsidRPr="00591072">
        <w:t>Accord concernant l’adoption de prescriptions techniques uniformes applicables aux véhicules à</w:t>
      </w:r>
      <w:r>
        <w:t> </w:t>
      </w:r>
      <w:r w:rsidRPr="00591072">
        <w:t>roues, aux équipements et aux pièces susceptibles d’être montés ou utilisés sur un véhicule à roues et les conditions de reconnaissance réciproque des homologations délivrées conformément à ces prescriptions, en date, à Genève, du 5 octobre 1995 (Révision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45E" w:rsidRPr="00BF045E" w:rsidRDefault="00BF045E">
    <w:pPr>
      <w:pStyle w:val="En-tte"/>
      <w:rPr>
        <w:lang w:val="en-US"/>
      </w:rPr>
    </w:pPr>
    <w:r>
      <w:fldChar w:fldCharType="begin"/>
    </w:r>
    <w:r w:rsidRPr="00BF045E">
      <w:rPr>
        <w:lang w:val="en-US"/>
      </w:rPr>
      <w:instrText xml:space="preserve"> TITLE  \* MERGEFORMAT </w:instrText>
    </w:r>
    <w:r>
      <w:fldChar w:fldCharType="separate"/>
    </w:r>
    <w:r w:rsidRPr="00BF045E">
      <w:rPr>
        <w:lang w:val="en-US"/>
      </w:rPr>
      <w:t>E/ECE/324/Rev.1/Add.52/Rev.4/Amend.4</w:t>
    </w:r>
    <w:r>
      <w:fldChar w:fldCharType="end"/>
    </w:r>
    <w:r w:rsidRPr="00BF045E">
      <w:rPr>
        <w:lang w:val="en-US"/>
      </w:rPr>
      <w:br/>
    </w:r>
    <w:r>
      <w:fldChar w:fldCharType="begin"/>
    </w:r>
    <w:r w:rsidRPr="00BF045E">
      <w:rPr>
        <w:lang w:val="en-US"/>
      </w:rPr>
      <w:instrText xml:space="preserve"> KEYWORDS  \* MERGEFORMAT </w:instrText>
    </w:r>
    <w:r>
      <w:fldChar w:fldCharType="separate"/>
    </w:r>
    <w:r w:rsidRPr="00BF045E">
      <w:rPr>
        <w:lang w:val="en-US"/>
      </w:rPr>
      <w:t>E/ECE/TRANS/505/Rev.1/Add.52/Rev.4/Amend.4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45E" w:rsidRPr="00BF045E" w:rsidRDefault="00BF045E" w:rsidP="00BF045E">
    <w:pPr>
      <w:pStyle w:val="En-tte"/>
      <w:jc w:val="right"/>
      <w:rPr>
        <w:lang w:val="en-US"/>
      </w:rPr>
    </w:pPr>
    <w:r>
      <w:fldChar w:fldCharType="begin"/>
    </w:r>
    <w:r w:rsidRPr="00BF045E">
      <w:rPr>
        <w:lang w:val="en-US"/>
      </w:rPr>
      <w:instrText xml:space="preserve"> TITLE  \* MERGEFORMAT </w:instrText>
    </w:r>
    <w:r>
      <w:fldChar w:fldCharType="separate"/>
    </w:r>
    <w:r w:rsidRPr="00BF045E">
      <w:rPr>
        <w:lang w:val="en-US"/>
      </w:rPr>
      <w:t>E/ECE/324/Rev.1/Add.52/Rev.4/Amend.4</w:t>
    </w:r>
    <w:r>
      <w:fldChar w:fldCharType="end"/>
    </w:r>
    <w:r w:rsidRPr="00BF045E">
      <w:rPr>
        <w:lang w:val="en-US"/>
      </w:rPr>
      <w:br/>
    </w:r>
    <w:r>
      <w:fldChar w:fldCharType="begin"/>
    </w:r>
    <w:r w:rsidRPr="00BF045E">
      <w:rPr>
        <w:lang w:val="en-US"/>
      </w:rPr>
      <w:instrText xml:space="preserve"> KEYWORDS  \* MERGEFORMAT </w:instrText>
    </w:r>
    <w:r>
      <w:fldChar w:fldCharType="separate"/>
    </w:r>
    <w:r w:rsidRPr="00BF045E">
      <w:rPr>
        <w:lang w:val="en-US"/>
      </w:rPr>
      <w:t>E/ECE/TRANS/505/Rev.1/Add.52/Rev.4/Amend.4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5" w:nlCheck="1" w:checkStyle="1"/>
  <w:activeWritingStyle w:appName="MSWord" w:lang="fr-CH"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4FC"/>
    <w:rsid w:val="0001470D"/>
    <w:rsid w:val="00016165"/>
    <w:rsid w:val="00016AC5"/>
    <w:rsid w:val="00021126"/>
    <w:rsid w:val="00021907"/>
    <w:rsid w:val="000233A5"/>
    <w:rsid w:val="0002445D"/>
    <w:rsid w:val="00024C50"/>
    <w:rsid w:val="00025E92"/>
    <w:rsid w:val="000276A3"/>
    <w:rsid w:val="00032060"/>
    <w:rsid w:val="00034ED9"/>
    <w:rsid w:val="00040539"/>
    <w:rsid w:val="00040598"/>
    <w:rsid w:val="00047F10"/>
    <w:rsid w:val="00052157"/>
    <w:rsid w:val="0005346D"/>
    <w:rsid w:val="00055FE4"/>
    <w:rsid w:val="000641CE"/>
    <w:rsid w:val="00067310"/>
    <w:rsid w:val="00077E35"/>
    <w:rsid w:val="0008669E"/>
    <w:rsid w:val="00090599"/>
    <w:rsid w:val="000A1501"/>
    <w:rsid w:val="000A2494"/>
    <w:rsid w:val="000A6B7E"/>
    <w:rsid w:val="000B20D3"/>
    <w:rsid w:val="000C6CDB"/>
    <w:rsid w:val="000D5C25"/>
    <w:rsid w:val="000E4F06"/>
    <w:rsid w:val="000E5601"/>
    <w:rsid w:val="000E5602"/>
    <w:rsid w:val="000F41F2"/>
    <w:rsid w:val="0010373B"/>
    <w:rsid w:val="0011415F"/>
    <w:rsid w:val="00125446"/>
    <w:rsid w:val="001358D9"/>
    <w:rsid w:val="00141E26"/>
    <w:rsid w:val="00143EB9"/>
    <w:rsid w:val="00152C5A"/>
    <w:rsid w:val="0015389C"/>
    <w:rsid w:val="00160540"/>
    <w:rsid w:val="00166C68"/>
    <w:rsid w:val="00174814"/>
    <w:rsid w:val="00181A90"/>
    <w:rsid w:val="00190D5D"/>
    <w:rsid w:val="00192EEB"/>
    <w:rsid w:val="00194484"/>
    <w:rsid w:val="001A2040"/>
    <w:rsid w:val="001A20FB"/>
    <w:rsid w:val="001A252F"/>
    <w:rsid w:val="001A376F"/>
    <w:rsid w:val="001B09BB"/>
    <w:rsid w:val="001C3D8D"/>
    <w:rsid w:val="001C6497"/>
    <w:rsid w:val="001D2614"/>
    <w:rsid w:val="001D7F8A"/>
    <w:rsid w:val="001E0447"/>
    <w:rsid w:val="001E1495"/>
    <w:rsid w:val="001E34CB"/>
    <w:rsid w:val="001E3FEB"/>
    <w:rsid w:val="001E4541"/>
    <w:rsid w:val="001E4A02"/>
    <w:rsid w:val="001E4E3F"/>
    <w:rsid w:val="001E653B"/>
    <w:rsid w:val="001E6DF0"/>
    <w:rsid w:val="001E7643"/>
    <w:rsid w:val="001F3E68"/>
    <w:rsid w:val="001F4931"/>
    <w:rsid w:val="002000CD"/>
    <w:rsid w:val="00200CBA"/>
    <w:rsid w:val="00204B66"/>
    <w:rsid w:val="002059CE"/>
    <w:rsid w:val="00206AD4"/>
    <w:rsid w:val="00224B8B"/>
    <w:rsid w:val="00225A8C"/>
    <w:rsid w:val="00230ED3"/>
    <w:rsid w:val="00231A7F"/>
    <w:rsid w:val="00242BBD"/>
    <w:rsid w:val="00244817"/>
    <w:rsid w:val="0024586F"/>
    <w:rsid w:val="00246BC8"/>
    <w:rsid w:val="00251F95"/>
    <w:rsid w:val="00252317"/>
    <w:rsid w:val="002659F1"/>
    <w:rsid w:val="00271E41"/>
    <w:rsid w:val="00284C19"/>
    <w:rsid w:val="00286E23"/>
    <w:rsid w:val="002876A1"/>
    <w:rsid w:val="00287CA6"/>
    <w:rsid w:val="00287E79"/>
    <w:rsid w:val="002928F9"/>
    <w:rsid w:val="00294D5B"/>
    <w:rsid w:val="0029791D"/>
    <w:rsid w:val="002A2A2C"/>
    <w:rsid w:val="002A5D07"/>
    <w:rsid w:val="002D25CA"/>
    <w:rsid w:val="002D3DA4"/>
    <w:rsid w:val="002E2F5C"/>
    <w:rsid w:val="002F0C48"/>
    <w:rsid w:val="003016B7"/>
    <w:rsid w:val="0030754C"/>
    <w:rsid w:val="00312115"/>
    <w:rsid w:val="00317E54"/>
    <w:rsid w:val="00322DF1"/>
    <w:rsid w:val="00324EBF"/>
    <w:rsid w:val="0032556C"/>
    <w:rsid w:val="00330508"/>
    <w:rsid w:val="0033286A"/>
    <w:rsid w:val="00333130"/>
    <w:rsid w:val="00346E32"/>
    <w:rsid w:val="003515AA"/>
    <w:rsid w:val="00364F13"/>
    <w:rsid w:val="0036776C"/>
    <w:rsid w:val="00370223"/>
    <w:rsid w:val="00372A7A"/>
    <w:rsid w:val="00372D1D"/>
    <w:rsid w:val="00374106"/>
    <w:rsid w:val="0037679A"/>
    <w:rsid w:val="0038047C"/>
    <w:rsid w:val="00390EEF"/>
    <w:rsid w:val="00394410"/>
    <w:rsid w:val="003976D5"/>
    <w:rsid w:val="003B53B6"/>
    <w:rsid w:val="003D6C68"/>
    <w:rsid w:val="003E01D0"/>
    <w:rsid w:val="003E49B9"/>
    <w:rsid w:val="003E5E5B"/>
    <w:rsid w:val="003E5F12"/>
    <w:rsid w:val="003E786C"/>
    <w:rsid w:val="003F2A89"/>
    <w:rsid w:val="003F4A54"/>
    <w:rsid w:val="003F7B62"/>
    <w:rsid w:val="0040144C"/>
    <w:rsid w:val="004067AE"/>
    <w:rsid w:val="00410521"/>
    <w:rsid w:val="00413BB0"/>
    <w:rsid w:val="004159D0"/>
    <w:rsid w:val="00417326"/>
    <w:rsid w:val="00421A10"/>
    <w:rsid w:val="00422499"/>
    <w:rsid w:val="00430EFC"/>
    <w:rsid w:val="004342E2"/>
    <w:rsid w:val="00434354"/>
    <w:rsid w:val="00440BC8"/>
    <w:rsid w:val="00442E31"/>
    <w:rsid w:val="00454F8D"/>
    <w:rsid w:val="004567EB"/>
    <w:rsid w:val="00457676"/>
    <w:rsid w:val="00460E72"/>
    <w:rsid w:val="00464191"/>
    <w:rsid w:val="00467412"/>
    <w:rsid w:val="00467F2C"/>
    <w:rsid w:val="00476265"/>
    <w:rsid w:val="0048687D"/>
    <w:rsid w:val="00490F56"/>
    <w:rsid w:val="00491F39"/>
    <w:rsid w:val="004A49A5"/>
    <w:rsid w:val="004A66A2"/>
    <w:rsid w:val="004B07A3"/>
    <w:rsid w:val="004B261D"/>
    <w:rsid w:val="004B51CD"/>
    <w:rsid w:val="004B576C"/>
    <w:rsid w:val="004C54C0"/>
    <w:rsid w:val="004C56B2"/>
    <w:rsid w:val="004C6F4A"/>
    <w:rsid w:val="004D00B2"/>
    <w:rsid w:val="004E3182"/>
    <w:rsid w:val="004E4963"/>
    <w:rsid w:val="004E6809"/>
    <w:rsid w:val="004E7F24"/>
    <w:rsid w:val="005111B1"/>
    <w:rsid w:val="0051457E"/>
    <w:rsid w:val="0051714B"/>
    <w:rsid w:val="00520F80"/>
    <w:rsid w:val="005239FF"/>
    <w:rsid w:val="00523DB8"/>
    <w:rsid w:val="00533150"/>
    <w:rsid w:val="00543B57"/>
    <w:rsid w:val="00543C47"/>
    <w:rsid w:val="00543D5E"/>
    <w:rsid w:val="00552260"/>
    <w:rsid w:val="00552777"/>
    <w:rsid w:val="00555494"/>
    <w:rsid w:val="00555CBA"/>
    <w:rsid w:val="00556C1A"/>
    <w:rsid w:val="00565B29"/>
    <w:rsid w:val="00571BC1"/>
    <w:rsid w:val="00571F41"/>
    <w:rsid w:val="00575476"/>
    <w:rsid w:val="00583A20"/>
    <w:rsid w:val="00584373"/>
    <w:rsid w:val="0059061F"/>
    <w:rsid w:val="00591072"/>
    <w:rsid w:val="00591DB3"/>
    <w:rsid w:val="005939ED"/>
    <w:rsid w:val="005947BC"/>
    <w:rsid w:val="00595E8A"/>
    <w:rsid w:val="005A0268"/>
    <w:rsid w:val="005A6014"/>
    <w:rsid w:val="005B473C"/>
    <w:rsid w:val="005C549A"/>
    <w:rsid w:val="005D0035"/>
    <w:rsid w:val="005D7719"/>
    <w:rsid w:val="005E1B9B"/>
    <w:rsid w:val="005E32D1"/>
    <w:rsid w:val="005E5D1F"/>
    <w:rsid w:val="005F0207"/>
    <w:rsid w:val="005F5C1F"/>
    <w:rsid w:val="0061113B"/>
    <w:rsid w:val="00611D43"/>
    <w:rsid w:val="00612D48"/>
    <w:rsid w:val="00613A5E"/>
    <w:rsid w:val="00616B45"/>
    <w:rsid w:val="00617C8B"/>
    <w:rsid w:val="006241C6"/>
    <w:rsid w:val="00630D9B"/>
    <w:rsid w:val="00631953"/>
    <w:rsid w:val="0063208D"/>
    <w:rsid w:val="006434FD"/>
    <w:rsid w:val="00643814"/>
    <w:rsid w:val="006439EC"/>
    <w:rsid w:val="00645090"/>
    <w:rsid w:val="00647059"/>
    <w:rsid w:val="00647162"/>
    <w:rsid w:val="0065029A"/>
    <w:rsid w:val="006553F9"/>
    <w:rsid w:val="00661E96"/>
    <w:rsid w:val="00665786"/>
    <w:rsid w:val="00671C93"/>
    <w:rsid w:val="00671F00"/>
    <w:rsid w:val="006729C8"/>
    <w:rsid w:val="00675501"/>
    <w:rsid w:val="0068562A"/>
    <w:rsid w:val="006A6B31"/>
    <w:rsid w:val="006A6C95"/>
    <w:rsid w:val="006A7B29"/>
    <w:rsid w:val="006B0EB2"/>
    <w:rsid w:val="006B0FF8"/>
    <w:rsid w:val="006B4590"/>
    <w:rsid w:val="006C340C"/>
    <w:rsid w:val="006E29E5"/>
    <w:rsid w:val="006F047F"/>
    <w:rsid w:val="006F1D0B"/>
    <w:rsid w:val="006F27A8"/>
    <w:rsid w:val="006F3493"/>
    <w:rsid w:val="006F3544"/>
    <w:rsid w:val="00700A8B"/>
    <w:rsid w:val="0070347C"/>
    <w:rsid w:val="007102D2"/>
    <w:rsid w:val="00714A66"/>
    <w:rsid w:val="007176C1"/>
    <w:rsid w:val="00720BC0"/>
    <w:rsid w:val="0072116B"/>
    <w:rsid w:val="00725063"/>
    <w:rsid w:val="00732E72"/>
    <w:rsid w:val="00741D90"/>
    <w:rsid w:val="00746703"/>
    <w:rsid w:val="00755D4F"/>
    <w:rsid w:val="007607B1"/>
    <w:rsid w:val="00765296"/>
    <w:rsid w:val="00766D28"/>
    <w:rsid w:val="007723C2"/>
    <w:rsid w:val="007815B9"/>
    <w:rsid w:val="00783E82"/>
    <w:rsid w:val="00785F1F"/>
    <w:rsid w:val="007869B6"/>
    <w:rsid w:val="00790B9D"/>
    <w:rsid w:val="00796316"/>
    <w:rsid w:val="007A1C58"/>
    <w:rsid w:val="007A20D2"/>
    <w:rsid w:val="007A79CD"/>
    <w:rsid w:val="007C16EA"/>
    <w:rsid w:val="007D2668"/>
    <w:rsid w:val="007D3119"/>
    <w:rsid w:val="007F1867"/>
    <w:rsid w:val="007F1EC4"/>
    <w:rsid w:val="007F55CB"/>
    <w:rsid w:val="007F768E"/>
    <w:rsid w:val="008021D4"/>
    <w:rsid w:val="008149F9"/>
    <w:rsid w:val="008245B7"/>
    <w:rsid w:val="0082755E"/>
    <w:rsid w:val="00831A18"/>
    <w:rsid w:val="00837345"/>
    <w:rsid w:val="00844750"/>
    <w:rsid w:val="00851A74"/>
    <w:rsid w:val="00853AB8"/>
    <w:rsid w:val="00854C34"/>
    <w:rsid w:val="0085586A"/>
    <w:rsid w:val="00856DB2"/>
    <w:rsid w:val="00895DE5"/>
    <w:rsid w:val="008A0FA8"/>
    <w:rsid w:val="008A1EC0"/>
    <w:rsid w:val="008A4A2E"/>
    <w:rsid w:val="008B44C4"/>
    <w:rsid w:val="008C322B"/>
    <w:rsid w:val="008C4B74"/>
    <w:rsid w:val="008D1156"/>
    <w:rsid w:val="008D59DB"/>
    <w:rsid w:val="008E0319"/>
    <w:rsid w:val="008E2E08"/>
    <w:rsid w:val="008E4DE2"/>
    <w:rsid w:val="008E6252"/>
    <w:rsid w:val="008E7CE2"/>
    <w:rsid w:val="008E7FAE"/>
    <w:rsid w:val="00911BF7"/>
    <w:rsid w:val="0091594A"/>
    <w:rsid w:val="009230F1"/>
    <w:rsid w:val="00926925"/>
    <w:rsid w:val="00935490"/>
    <w:rsid w:val="009418DE"/>
    <w:rsid w:val="009516B7"/>
    <w:rsid w:val="009545F1"/>
    <w:rsid w:val="00957CE5"/>
    <w:rsid w:val="009624E2"/>
    <w:rsid w:val="009707E4"/>
    <w:rsid w:val="00973B8F"/>
    <w:rsid w:val="00974DD2"/>
    <w:rsid w:val="00977EC8"/>
    <w:rsid w:val="00996562"/>
    <w:rsid w:val="009A3048"/>
    <w:rsid w:val="009A6C26"/>
    <w:rsid w:val="009B17AD"/>
    <w:rsid w:val="009B3F8C"/>
    <w:rsid w:val="009B45E0"/>
    <w:rsid w:val="009B540F"/>
    <w:rsid w:val="009D3A8C"/>
    <w:rsid w:val="009E1BA9"/>
    <w:rsid w:val="009E2876"/>
    <w:rsid w:val="009E2F0B"/>
    <w:rsid w:val="009E7956"/>
    <w:rsid w:val="009F072F"/>
    <w:rsid w:val="009F26C1"/>
    <w:rsid w:val="009F3F95"/>
    <w:rsid w:val="00A023FC"/>
    <w:rsid w:val="00A0338D"/>
    <w:rsid w:val="00A05DD1"/>
    <w:rsid w:val="00A077E9"/>
    <w:rsid w:val="00A2492E"/>
    <w:rsid w:val="00A27C92"/>
    <w:rsid w:val="00A31163"/>
    <w:rsid w:val="00A34593"/>
    <w:rsid w:val="00A364DB"/>
    <w:rsid w:val="00A45E90"/>
    <w:rsid w:val="00A4770F"/>
    <w:rsid w:val="00A50D6B"/>
    <w:rsid w:val="00A51050"/>
    <w:rsid w:val="00A56945"/>
    <w:rsid w:val="00A57027"/>
    <w:rsid w:val="00A5750C"/>
    <w:rsid w:val="00A72C35"/>
    <w:rsid w:val="00A752BB"/>
    <w:rsid w:val="00A81F93"/>
    <w:rsid w:val="00A84FCF"/>
    <w:rsid w:val="00A9247E"/>
    <w:rsid w:val="00AA0DCA"/>
    <w:rsid w:val="00AA7796"/>
    <w:rsid w:val="00AC67A1"/>
    <w:rsid w:val="00AC7977"/>
    <w:rsid w:val="00AC7E56"/>
    <w:rsid w:val="00AE2617"/>
    <w:rsid w:val="00AE352C"/>
    <w:rsid w:val="00AE39A5"/>
    <w:rsid w:val="00AE79AC"/>
    <w:rsid w:val="00B01AAD"/>
    <w:rsid w:val="00B101DB"/>
    <w:rsid w:val="00B13E4F"/>
    <w:rsid w:val="00B21751"/>
    <w:rsid w:val="00B256F0"/>
    <w:rsid w:val="00B31D7D"/>
    <w:rsid w:val="00B32E2D"/>
    <w:rsid w:val="00B416B8"/>
    <w:rsid w:val="00B42351"/>
    <w:rsid w:val="00B43741"/>
    <w:rsid w:val="00B45642"/>
    <w:rsid w:val="00B52F29"/>
    <w:rsid w:val="00B5388D"/>
    <w:rsid w:val="00B61990"/>
    <w:rsid w:val="00B6249B"/>
    <w:rsid w:val="00B70CCD"/>
    <w:rsid w:val="00B75E66"/>
    <w:rsid w:val="00B773BF"/>
    <w:rsid w:val="00BC3F20"/>
    <w:rsid w:val="00BC76F0"/>
    <w:rsid w:val="00BD13E6"/>
    <w:rsid w:val="00BD28B2"/>
    <w:rsid w:val="00BD5A8D"/>
    <w:rsid w:val="00BD7343"/>
    <w:rsid w:val="00BF045E"/>
    <w:rsid w:val="00BF0556"/>
    <w:rsid w:val="00BF1C7D"/>
    <w:rsid w:val="00BF37EE"/>
    <w:rsid w:val="00BF3FEB"/>
    <w:rsid w:val="00C024A1"/>
    <w:rsid w:val="00C02C42"/>
    <w:rsid w:val="00C10FB1"/>
    <w:rsid w:val="00C11282"/>
    <w:rsid w:val="00C14108"/>
    <w:rsid w:val="00C261F8"/>
    <w:rsid w:val="00C27662"/>
    <w:rsid w:val="00C32914"/>
    <w:rsid w:val="00C33100"/>
    <w:rsid w:val="00C42EDB"/>
    <w:rsid w:val="00C451B9"/>
    <w:rsid w:val="00C51D9C"/>
    <w:rsid w:val="00C54DA4"/>
    <w:rsid w:val="00C55118"/>
    <w:rsid w:val="00C577D1"/>
    <w:rsid w:val="00C57A2D"/>
    <w:rsid w:val="00C6018C"/>
    <w:rsid w:val="00C6525D"/>
    <w:rsid w:val="00C67D23"/>
    <w:rsid w:val="00C71827"/>
    <w:rsid w:val="00C75D25"/>
    <w:rsid w:val="00C825E5"/>
    <w:rsid w:val="00C95EB8"/>
    <w:rsid w:val="00CA0756"/>
    <w:rsid w:val="00CB02C5"/>
    <w:rsid w:val="00CB0D41"/>
    <w:rsid w:val="00CB39CD"/>
    <w:rsid w:val="00CC2A62"/>
    <w:rsid w:val="00CC7CE6"/>
    <w:rsid w:val="00CD044C"/>
    <w:rsid w:val="00CD1A71"/>
    <w:rsid w:val="00CD1FBB"/>
    <w:rsid w:val="00CE033D"/>
    <w:rsid w:val="00CE08E5"/>
    <w:rsid w:val="00D016B5"/>
    <w:rsid w:val="00D034F1"/>
    <w:rsid w:val="00D05828"/>
    <w:rsid w:val="00D06712"/>
    <w:rsid w:val="00D13CAA"/>
    <w:rsid w:val="00D14C21"/>
    <w:rsid w:val="00D14F42"/>
    <w:rsid w:val="00D171D4"/>
    <w:rsid w:val="00D244CB"/>
    <w:rsid w:val="00D27D5E"/>
    <w:rsid w:val="00D32B08"/>
    <w:rsid w:val="00D407D1"/>
    <w:rsid w:val="00D43E5F"/>
    <w:rsid w:val="00D51CE6"/>
    <w:rsid w:val="00D639BD"/>
    <w:rsid w:val="00D65777"/>
    <w:rsid w:val="00D66E0D"/>
    <w:rsid w:val="00D7425A"/>
    <w:rsid w:val="00D74F7E"/>
    <w:rsid w:val="00D7695F"/>
    <w:rsid w:val="00D9039B"/>
    <w:rsid w:val="00D93582"/>
    <w:rsid w:val="00D97BA7"/>
    <w:rsid w:val="00DA41A2"/>
    <w:rsid w:val="00DA43A1"/>
    <w:rsid w:val="00DA5E1D"/>
    <w:rsid w:val="00DB01CD"/>
    <w:rsid w:val="00DC161C"/>
    <w:rsid w:val="00DC3628"/>
    <w:rsid w:val="00DC4F43"/>
    <w:rsid w:val="00DE083E"/>
    <w:rsid w:val="00DE6D90"/>
    <w:rsid w:val="00DF002F"/>
    <w:rsid w:val="00E0244D"/>
    <w:rsid w:val="00E026DF"/>
    <w:rsid w:val="00E02F48"/>
    <w:rsid w:val="00E03712"/>
    <w:rsid w:val="00E06B3F"/>
    <w:rsid w:val="00E10A73"/>
    <w:rsid w:val="00E14F27"/>
    <w:rsid w:val="00E171D2"/>
    <w:rsid w:val="00E25534"/>
    <w:rsid w:val="00E319B6"/>
    <w:rsid w:val="00E32145"/>
    <w:rsid w:val="00E32F5A"/>
    <w:rsid w:val="00E510F3"/>
    <w:rsid w:val="00E51874"/>
    <w:rsid w:val="00E60012"/>
    <w:rsid w:val="00E62CFF"/>
    <w:rsid w:val="00E665EE"/>
    <w:rsid w:val="00E679AE"/>
    <w:rsid w:val="00E71570"/>
    <w:rsid w:val="00E73B13"/>
    <w:rsid w:val="00E75C58"/>
    <w:rsid w:val="00E76819"/>
    <w:rsid w:val="00E81E94"/>
    <w:rsid w:val="00E82607"/>
    <w:rsid w:val="00E84A82"/>
    <w:rsid w:val="00E85025"/>
    <w:rsid w:val="00E9483E"/>
    <w:rsid w:val="00E96710"/>
    <w:rsid w:val="00E97E2C"/>
    <w:rsid w:val="00EA3B1D"/>
    <w:rsid w:val="00EB77B9"/>
    <w:rsid w:val="00EB7D07"/>
    <w:rsid w:val="00ED3A26"/>
    <w:rsid w:val="00EF70BB"/>
    <w:rsid w:val="00F02FA9"/>
    <w:rsid w:val="00F06660"/>
    <w:rsid w:val="00F07AE1"/>
    <w:rsid w:val="00F116EB"/>
    <w:rsid w:val="00F1794E"/>
    <w:rsid w:val="00F211AF"/>
    <w:rsid w:val="00F25EC3"/>
    <w:rsid w:val="00F304FC"/>
    <w:rsid w:val="00F32ADB"/>
    <w:rsid w:val="00F32C98"/>
    <w:rsid w:val="00F37E12"/>
    <w:rsid w:val="00F424BD"/>
    <w:rsid w:val="00F4527A"/>
    <w:rsid w:val="00F45D41"/>
    <w:rsid w:val="00F515AD"/>
    <w:rsid w:val="00F57DD7"/>
    <w:rsid w:val="00F636AD"/>
    <w:rsid w:val="00F66827"/>
    <w:rsid w:val="00F734D9"/>
    <w:rsid w:val="00F73F83"/>
    <w:rsid w:val="00F74902"/>
    <w:rsid w:val="00F85A4E"/>
    <w:rsid w:val="00F9353A"/>
    <w:rsid w:val="00F965C2"/>
    <w:rsid w:val="00FA27D4"/>
    <w:rsid w:val="00FA5A79"/>
    <w:rsid w:val="00FB0BFE"/>
    <w:rsid w:val="00FB4300"/>
    <w:rsid w:val="00FB4C51"/>
    <w:rsid w:val="00FB734D"/>
    <w:rsid w:val="00FD02A2"/>
    <w:rsid w:val="00FD5E64"/>
    <w:rsid w:val="00FD7985"/>
    <w:rsid w:val="00FE6526"/>
    <w:rsid w:val="00FF1DBD"/>
    <w:rsid w:val="00FF1E4B"/>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3F5AB608"/>
  <w15:docId w15:val="{BE6C967A-C7EB-46C1-9574-499F2200C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D4F"/>
    <w:pPr>
      <w:suppressAutoHyphens/>
      <w:kinsoku w:val="0"/>
      <w:overflowPunct w:val="0"/>
      <w:autoSpaceDE w:val="0"/>
      <w:autoSpaceDN w:val="0"/>
      <w:adjustRightInd w:val="0"/>
      <w:snapToGrid w:val="0"/>
      <w:spacing w:line="240" w:lineRule="atLeast"/>
    </w:pPr>
    <w:rPr>
      <w:rFonts w:eastAsiaTheme="minorHAnsi"/>
      <w:lang w:val="fr-CH"/>
    </w:rPr>
  </w:style>
  <w:style w:type="paragraph" w:styleId="Titre1">
    <w:name w:val="heading 1"/>
    <w:aliases w:val="Table_G"/>
    <w:basedOn w:val="SingleTxtG"/>
    <w:next w:val="SingleTxtG"/>
    <w:link w:val="Titre1Car"/>
    <w:qFormat/>
    <w:rsid w:val="0048687D"/>
    <w:pPr>
      <w:keepNext/>
      <w:keepLines/>
      <w:spacing w:after="0" w:line="240" w:lineRule="auto"/>
      <w:ind w:right="0"/>
      <w:jc w:val="left"/>
      <w:outlineLvl w:val="0"/>
    </w:pPr>
  </w:style>
  <w:style w:type="paragraph" w:styleId="Titre2">
    <w:name w:val="heading 2"/>
    <w:basedOn w:val="Normal"/>
    <w:next w:val="Normal"/>
    <w:link w:val="Titre2Car"/>
    <w:semiHidden/>
    <w:qFormat/>
    <w:rsid w:val="0048687D"/>
    <w:pPr>
      <w:outlineLvl w:val="1"/>
    </w:pPr>
  </w:style>
  <w:style w:type="paragraph" w:styleId="Titre3">
    <w:name w:val="heading 3"/>
    <w:basedOn w:val="Normal"/>
    <w:next w:val="Normal"/>
    <w:link w:val="Titre3Car"/>
    <w:semiHidden/>
    <w:qFormat/>
    <w:rsid w:val="0048687D"/>
    <w:pPr>
      <w:outlineLvl w:val="2"/>
    </w:pPr>
  </w:style>
  <w:style w:type="paragraph" w:styleId="Titre4">
    <w:name w:val="heading 4"/>
    <w:basedOn w:val="Normal"/>
    <w:next w:val="Normal"/>
    <w:link w:val="Titre4Car"/>
    <w:semiHidden/>
    <w:qFormat/>
    <w:rsid w:val="0048687D"/>
    <w:pPr>
      <w:outlineLvl w:val="3"/>
    </w:pPr>
  </w:style>
  <w:style w:type="paragraph" w:styleId="Titre5">
    <w:name w:val="heading 5"/>
    <w:basedOn w:val="Normal"/>
    <w:next w:val="Normal"/>
    <w:link w:val="Titre5Car"/>
    <w:semiHidden/>
    <w:qFormat/>
    <w:rsid w:val="0048687D"/>
    <w:pPr>
      <w:outlineLvl w:val="4"/>
    </w:pPr>
  </w:style>
  <w:style w:type="paragraph" w:styleId="Titre6">
    <w:name w:val="heading 6"/>
    <w:basedOn w:val="Normal"/>
    <w:next w:val="Normal"/>
    <w:link w:val="Titre6Car"/>
    <w:semiHidden/>
    <w:qFormat/>
    <w:rsid w:val="0048687D"/>
    <w:pPr>
      <w:outlineLvl w:val="5"/>
    </w:pPr>
  </w:style>
  <w:style w:type="paragraph" w:styleId="Titre7">
    <w:name w:val="heading 7"/>
    <w:basedOn w:val="Normal"/>
    <w:next w:val="Normal"/>
    <w:link w:val="Titre7Car"/>
    <w:semiHidden/>
    <w:qFormat/>
    <w:rsid w:val="0048687D"/>
    <w:pPr>
      <w:outlineLvl w:val="6"/>
    </w:pPr>
  </w:style>
  <w:style w:type="paragraph" w:styleId="Titre8">
    <w:name w:val="heading 8"/>
    <w:basedOn w:val="Normal"/>
    <w:next w:val="Normal"/>
    <w:link w:val="Titre8Car"/>
    <w:semiHidden/>
    <w:qFormat/>
    <w:rsid w:val="0048687D"/>
    <w:pPr>
      <w:outlineLvl w:val="7"/>
    </w:pPr>
  </w:style>
  <w:style w:type="paragraph" w:styleId="Titre9">
    <w:name w:val="heading 9"/>
    <w:basedOn w:val="Normal"/>
    <w:next w:val="Normal"/>
    <w:link w:val="Titre9Car"/>
    <w:semiHidden/>
    <w:qFormat/>
    <w:rsid w:val="0048687D"/>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G">
    <w:name w:val="_ Single Txt_G"/>
    <w:basedOn w:val="Normal"/>
    <w:link w:val="SingleTxtGChar"/>
    <w:qFormat/>
    <w:rsid w:val="00F66827"/>
    <w:pPr>
      <w:spacing w:after="120"/>
      <w:ind w:left="1134" w:right="1134"/>
      <w:jc w:val="both"/>
    </w:pPr>
  </w:style>
  <w:style w:type="paragraph" w:styleId="Notedefin">
    <w:name w:val="endnote text"/>
    <w:aliases w:val="2_G"/>
    <w:basedOn w:val="Notedebasdepage"/>
    <w:link w:val="NotedefinCar"/>
    <w:qFormat/>
    <w:rsid w:val="0048687D"/>
  </w:style>
  <w:style w:type="paragraph" w:styleId="Notedebasdepage">
    <w:name w:val="footnote text"/>
    <w:aliases w:val="5_G"/>
    <w:basedOn w:val="Normal"/>
    <w:link w:val="NotedebasdepageCar"/>
    <w:qFormat/>
    <w:rsid w:val="0048687D"/>
    <w:pPr>
      <w:tabs>
        <w:tab w:val="right" w:pos="1021"/>
      </w:tabs>
      <w:spacing w:line="220" w:lineRule="exact"/>
      <w:ind w:left="1134" w:right="1134" w:hanging="1134"/>
    </w:pPr>
    <w:rPr>
      <w:sz w:val="18"/>
    </w:rPr>
  </w:style>
  <w:style w:type="paragraph" w:styleId="Pieddepage">
    <w:name w:val="footer"/>
    <w:aliases w:val="3_G"/>
    <w:basedOn w:val="Normal"/>
    <w:next w:val="Normal"/>
    <w:link w:val="PieddepageCar"/>
    <w:qFormat/>
    <w:rsid w:val="0048687D"/>
    <w:pPr>
      <w:spacing w:line="240" w:lineRule="auto"/>
    </w:pPr>
    <w:rPr>
      <w:sz w:val="16"/>
    </w:rPr>
  </w:style>
  <w:style w:type="character" w:styleId="Appeldenotedefin">
    <w:name w:val="endnote reference"/>
    <w:aliases w:val="1_G"/>
    <w:qFormat/>
    <w:rsid w:val="0048687D"/>
    <w:rPr>
      <w:rFonts w:ascii="Times New Roman" w:hAnsi="Times New Roman"/>
      <w:sz w:val="18"/>
      <w:vertAlign w:val="superscript"/>
      <w:lang w:val="fr-CH"/>
    </w:rPr>
  </w:style>
  <w:style w:type="character" w:styleId="Appelnotedebasdep">
    <w:name w:val="footnote reference"/>
    <w:aliases w:val="4_G"/>
    <w:qFormat/>
    <w:rsid w:val="0048687D"/>
    <w:rPr>
      <w:rFonts w:ascii="Times New Roman" w:hAnsi="Times New Roman"/>
      <w:sz w:val="18"/>
      <w:vertAlign w:val="superscript"/>
      <w:lang w:val="fr-CH"/>
    </w:rPr>
  </w:style>
  <w:style w:type="character" w:styleId="Numrodepage">
    <w:name w:val="page number"/>
    <w:aliases w:val="7_G"/>
    <w:qFormat/>
    <w:rsid w:val="0048687D"/>
    <w:rPr>
      <w:rFonts w:ascii="Times New Roman" w:hAnsi="Times New Roman"/>
      <w:b/>
      <w:sz w:val="18"/>
      <w:lang w:val="fr-CH"/>
    </w:rPr>
  </w:style>
  <w:style w:type="paragraph" w:styleId="En-tte">
    <w:name w:val="header"/>
    <w:aliases w:val="6_G"/>
    <w:basedOn w:val="Normal"/>
    <w:next w:val="Normal"/>
    <w:link w:val="En-tteCar"/>
    <w:qFormat/>
    <w:rsid w:val="0048687D"/>
    <w:pPr>
      <w:pBdr>
        <w:bottom w:val="single" w:sz="4" w:space="4" w:color="auto"/>
      </w:pBdr>
      <w:spacing w:line="240" w:lineRule="auto"/>
    </w:pPr>
    <w:rPr>
      <w:b/>
      <w:sz w:val="18"/>
    </w:rPr>
  </w:style>
  <w:style w:type="paragraph" w:customStyle="1" w:styleId="H1G">
    <w:name w:val="_ H_1_G"/>
    <w:basedOn w:val="Normal"/>
    <w:next w:val="Normal"/>
    <w:qFormat/>
    <w:rsid w:val="0048687D"/>
    <w:pPr>
      <w:keepNext/>
      <w:keepLines/>
      <w:tabs>
        <w:tab w:val="right" w:pos="851"/>
      </w:tabs>
      <w:spacing w:before="360" w:after="240" w:line="270" w:lineRule="exact"/>
      <w:ind w:left="1134" w:right="1134" w:hanging="1134"/>
      <w:outlineLvl w:val="2"/>
    </w:pPr>
    <w:rPr>
      <w:b/>
      <w:sz w:val="24"/>
    </w:rPr>
  </w:style>
  <w:style w:type="paragraph" w:customStyle="1" w:styleId="HChG">
    <w:name w:val="_ H _Ch_G"/>
    <w:basedOn w:val="Normal"/>
    <w:next w:val="Normal"/>
    <w:link w:val="HChGChar"/>
    <w:qFormat/>
    <w:rsid w:val="0048687D"/>
    <w:pPr>
      <w:keepNext/>
      <w:keepLines/>
      <w:tabs>
        <w:tab w:val="right" w:pos="851"/>
      </w:tabs>
      <w:spacing w:before="360" w:after="240" w:line="300" w:lineRule="exact"/>
      <w:ind w:left="1134" w:right="1134" w:hanging="1134"/>
      <w:outlineLvl w:val="1"/>
    </w:pPr>
    <w:rPr>
      <w:b/>
      <w:sz w:val="28"/>
    </w:rPr>
  </w:style>
  <w:style w:type="paragraph" w:customStyle="1" w:styleId="HMG">
    <w:name w:val="_ H __M_G"/>
    <w:basedOn w:val="Normal"/>
    <w:next w:val="Normal"/>
    <w:qFormat/>
    <w:rsid w:val="0048687D"/>
    <w:pPr>
      <w:keepNext/>
      <w:keepLines/>
      <w:tabs>
        <w:tab w:val="right" w:pos="851"/>
      </w:tabs>
      <w:spacing w:before="240" w:after="240" w:line="360" w:lineRule="exact"/>
      <w:ind w:left="1134" w:right="1134" w:hanging="1134"/>
      <w:outlineLvl w:val="0"/>
    </w:pPr>
    <w:rPr>
      <w:b/>
      <w:sz w:val="34"/>
    </w:rPr>
  </w:style>
  <w:style w:type="paragraph" w:customStyle="1" w:styleId="H23G">
    <w:name w:val="_ H_2/3_G"/>
    <w:basedOn w:val="Normal"/>
    <w:next w:val="Normal"/>
    <w:qFormat/>
    <w:rsid w:val="0048687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8687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8687D"/>
    <w:pPr>
      <w:keepNext/>
      <w:keepLines/>
      <w:tabs>
        <w:tab w:val="right" w:pos="851"/>
      </w:tabs>
      <w:spacing w:before="240" w:after="120" w:line="240" w:lineRule="exact"/>
      <w:ind w:left="1134" w:right="1134" w:hanging="1134"/>
      <w:outlineLvl w:val="5"/>
    </w:pPr>
  </w:style>
  <w:style w:type="paragraph" w:customStyle="1" w:styleId="SMG">
    <w:name w:val="__S_M_G"/>
    <w:basedOn w:val="Normal"/>
    <w:next w:val="Normal"/>
    <w:rsid w:val="0048687D"/>
    <w:pPr>
      <w:keepNext/>
      <w:keepLines/>
      <w:spacing w:before="240" w:after="240" w:line="420" w:lineRule="exact"/>
      <w:ind w:left="1134" w:right="1134"/>
    </w:pPr>
    <w:rPr>
      <w:b/>
      <w:sz w:val="40"/>
    </w:rPr>
  </w:style>
  <w:style w:type="paragraph" w:customStyle="1" w:styleId="SLG">
    <w:name w:val="__S_L_G"/>
    <w:basedOn w:val="Normal"/>
    <w:next w:val="Normal"/>
    <w:rsid w:val="0048687D"/>
    <w:pPr>
      <w:keepNext/>
      <w:keepLines/>
      <w:spacing w:before="240" w:after="240" w:line="580" w:lineRule="exact"/>
      <w:ind w:left="1134" w:right="1134"/>
    </w:pPr>
    <w:rPr>
      <w:b/>
      <w:sz w:val="56"/>
    </w:rPr>
  </w:style>
  <w:style w:type="paragraph" w:customStyle="1" w:styleId="SSG">
    <w:name w:val="__S_S_G"/>
    <w:basedOn w:val="Normal"/>
    <w:next w:val="Normal"/>
    <w:rsid w:val="0048687D"/>
    <w:pPr>
      <w:keepNext/>
      <w:keepLines/>
      <w:spacing w:before="240" w:after="240" w:line="300" w:lineRule="exact"/>
      <w:ind w:left="1134" w:right="1134"/>
    </w:pPr>
    <w:rPr>
      <w:b/>
      <w:sz w:val="28"/>
    </w:rPr>
  </w:style>
  <w:style w:type="paragraph" w:customStyle="1" w:styleId="XLargeG">
    <w:name w:val="__XLarge_G"/>
    <w:basedOn w:val="Normal"/>
    <w:next w:val="Normal"/>
    <w:rsid w:val="0048687D"/>
    <w:pPr>
      <w:keepNext/>
      <w:keepLines/>
      <w:spacing w:before="240" w:after="240" w:line="420" w:lineRule="exact"/>
      <w:ind w:left="1134" w:right="1134"/>
    </w:pPr>
    <w:rPr>
      <w:b/>
      <w:sz w:val="40"/>
    </w:rPr>
  </w:style>
  <w:style w:type="paragraph" w:customStyle="1" w:styleId="Bullet1G">
    <w:name w:val="_Bullet 1_G"/>
    <w:basedOn w:val="Normal"/>
    <w:qFormat/>
    <w:rsid w:val="0048687D"/>
    <w:pPr>
      <w:numPr>
        <w:numId w:val="4"/>
      </w:numPr>
      <w:spacing w:after="120"/>
      <w:ind w:right="1134"/>
      <w:jc w:val="both"/>
    </w:pPr>
  </w:style>
  <w:style w:type="paragraph" w:customStyle="1" w:styleId="Bullet2G">
    <w:name w:val="_Bullet 2_G"/>
    <w:basedOn w:val="Normal"/>
    <w:qFormat/>
    <w:rsid w:val="0048687D"/>
    <w:pPr>
      <w:numPr>
        <w:numId w:val="5"/>
      </w:numPr>
      <w:spacing w:after="120"/>
      <w:ind w:right="1134"/>
      <w:jc w:val="both"/>
    </w:pPr>
  </w:style>
  <w:style w:type="table" w:styleId="Grilledutableau">
    <w:name w:val="Table Grid"/>
    <w:basedOn w:val="TableauNormal"/>
    <w:rsid w:val="0048687D"/>
    <w:pPr>
      <w:suppressAutoHyphens/>
      <w:spacing w:line="240" w:lineRule="atLeast"/>
    </w:pPr>
    <w:rPr>
      <w:rFonts w:eastAsiaTheme="minorHAns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qFormat/>
    <w:rsid w:val="00F66827"/>
    <w:rPr>
      <w:rFonts w:eastAsiaTheme="minorHAnsi"/>
      <w:lang w:val="fr-CH"/>
    </w:rPr>
  </w:style>
  <w:style w:type="character" w:styleId="Lienhypertexte">
    <w:name w:val="Hyperlink"/>
    <w:semiHidden/>
    <w:rsid w:val="0048687D"/>
    <w:rPr>
      <w:color w:val="0000FF"/>
      <w:u w:val="none"/>
    </w:rPr>
  </w:style>
  <w:style w:type="character" w:styleId="Lienhypertextesuivivisit">
    <w:name w:val="FollowedHyperlink"/>
    <w:semiHidden/>
    <w:rsid w:val="0048687D"/>
    <w:rPr>
      <w:color w:val="0000FF"/>
      <w:u w:val="none"/>
    </w:rPr>
  </w:style>
  <w:style w:type="paragraph" w:customStyle="1" w:styleId="ParNoG">
    <w:name w:val="_ParNo_G"/>
    <w:basedOn w:val="Normal"/>
    <w:qFormat/>
    <w:rsid w:val="00F66827"/>
    <w:pPr>
      <w:numPr>
        <w:numId w:val="6"/>
      </w:numPr>
      <w:tabs>
        <w:tab w:val="clear" w:pos="1701"/>
      </w:tabs>
      <w:spacing w:after="120"/>
      <w:ind w:right="1134"/>
      <w:jc w:val="both"/>
    </w:pPr>
  </w:style>
  <w:style w:type="character" w:customStyle="1" w:styleId="En-tteCar">
    <w:name w:val="En-tête Car"/>
    <w:aliases w:val="6_G Car"/>
    <w:link w:val="En-tte"/>
    <w:rsid w:val="0048687D"/>
    <w:rPr>
      <w:rFonts w:eastAsiaTheme="minorHAnsi"/>
      <w:b/>
      <w:sz w:val="18"/>
      <w:lang w:val="fr-CH"/>
    </w:rPr>
  </w:style>
  <w:style w:type="character" w:customStyle="1" w:styleId="NotedebasdepageCar">
    <w:name w:val="Note de bas de page Car"/>
    <w:aliases w:val="5_G Car"/>
    <w:link w:val="Notedebasdepage"/>
    <w:rsid w:val="0048687D"/>
    <w:rPr>
      <w:rFonts w:eastAsiaTheme="minorHAnsi"/>
      <w:sz w:val="18"/>
      <w:lang w:val="fr-CH"/>
    </w:rPr>
  </w:style>
  <w:style w:type="character" w:customStyle="1" w:styleId="NotedefinCar">
    <w:name w:val="Note de fin Car"/>
    <w:aliases w:val="2_G Car"/>
    <w:link w:val="Notedefin"/>
    <w:rsid w:val="0048687D"/>
    <w:rPr>
      <w:rFonts w:eastAsiaTheme="minorHAnsi"/>
      <w:sz w:val="18"/>
      <w:lang w:val="fr-CH"/>
    </w:rPr>
  </w:style>
  <w:style w:type="character" w:customStyle="1" w:styleId="PieddepageCar">
    <w:name w:val="Pied de page Car"/>
    <w:aliases w:val="3_G Car"/>
    <w:link w:val="Pieddepage"/>
    <w:rsid w:val="0048687D"/>
    <w:rPr>
      <w:rFonts w:eastAsiaTheme="minorHAnsi"/>
      <w:sz w:val="16"/>
      <w:lang w:val="fr-CH"/>
    </w:rPr>
  </w:style>
  <w:style w:type="character" w:customStyle="1" w:styleId="Titre1Car">
    <w:name w:val="Titre 1 Car"/>
    <w:aliases w:val="Table_G Car"/>
    <w:link w:val="Titre1"/>
    <w:rsid w:val="0048687D"/>
    <w:rPr>
      <w:rFonts w:eastAsiaTheme="minorHAnsi"/>
      <w:lang w:val="fr-CH"/>
    </w:rPr>
  </w:style>
  <w:style w:type="character" w:customStyle="1" w:styleId="Titre2Car">
    <w:name w:val="Titre 2 Car"/>
    <w:link w:val="Titre2"/>
    <w:semiHidden/>
    <w:rsid w:val="00755D4F"/>
    <w:rPr>
      <w:rFonts w:eastAsiaTheme="minorHAnsi"/>
      <w:lang w:val="fr-CH"/>
    </w:rPr>
  </w:style>
  <w:style w:type="character" w:customStyle="1" w:styleId="Titre3Car">
    <w:name w:val="Titre 3 Car"/>
    <w:link w:val="Titre3"/>
    <w:semiHidden/>
    <w:rsid w:val="00755D4F"/>
    <w:rPr>
      <w:rFonts w:eastAsiaTheme="minorHAnsi"/>
      <w:lang w:val="fr-CH"/>
    </w:rPr>
  </w:style>
  <w:style w:type="character" w:customStyle="1" w:styleId="Titre4Car">
    <w:name w:val="Titre 4 Car"/>
    <w:link w:val="Titre4"/>
    <w:semiHidden/>
    <w:rsid w:val="00755D4F"/>
    <w:rPr>
      <w:rFonts w:eastAsiaTheme="minorHAnsi"/>
      <w:lang w:val="fr-CH"/>
    </w:rPr>
  </w:style>
  <w:style w:type="character" w:customStyle="1" w:styleId="Titre5Car">
    <w:name w:val="Titre 5 Car"/>
    <w:link w:val="Titre5"/>
    <w:semiHidden/>
    <w:rsid w:val="00755D4F"/>
    <w:rPr>
      <w:rFonts w:eastAsiaTheme="minorHAnsi"/>
      <w:lang w:val="fr-CH"/>
    </w:rPr>
  </w:style>
  <w:style w:type="character" w:customStyle="1" w:styleId="Titre6Car">
    <w:name w:val="Titre 6 Car"/>
    <w:link w:val="Titre6"/>
    <w:semiHidden/>
    <w:rsid w:val="00755D4F"/>
    <w:rPr>
      <w:rFonts w:eastAsiaTheme="minorHAnsi"/>
      <w:lang w:val="fr-CH"/>
    </w:rPr>
  </w:style>
  <w:style w:type="character" w:customStyle="1" w:styleId="Titre7Car">
    <w:name w:val="Titre 7 Car"/>
    <w:link w:val="Titre7"/>
    <w:semiHidden/>
    <w:rsid w:val="00755D4F"/>
    <w:rPr>
      <w:rFonts w:eastAsiaTheme="minorHAnsi"/>
      <w:lang w:val="fr-CH"/>
    </w:rPr>
  </w:style>
  <w:style w:type="character" w:customStyle="1" w:styleId="Titre8Car">
    <w:name w:val="Titre 8 Car"/>
    <w:link w:val="Titre8"/>
    <w:semiHidden/>
    <w:rsid w:val="00755D4F"/>
    <w:rPr>
      <w:rFonts w:eastAsiaTheme="minorHAnsi"/>
      <w:lang w:val="fr-CH"/>
    </w:rPr>
  </w:style>
  <w:style w:type="character" w:customStyle="1" w:styleId="Titre9Car">
    <w:name w:val="Titre 9 Car"/>
    <w:link w:val="Titre9"/>
    <w:semiHidden/>
    <w:rsid w:val="00755D4F"/>
    <w:rPr>
      <w:rFonts w:eastAsiaTheme="minorHAnsi"/>
      <w:lang w:val="fr-CH"/>
    </w:rPr>
  </w:style>
  <w:style w:type="paragraph" w:styleId="Textedebulles">
    <w:name w:val="Balloon Text"/>
    <w:basedOn w:val="Normal"/>
    <w:link w:val="TextedebullesCar"/>
    <w:semiHidden/>
    <w:rsid w:val="00442E31"/>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755D4F"/>
    <w:rPr>
      <w:rFonts w:ascii="Tahoma" w:eastAsiaTheme="minorHAnsi" w:hAnsi="Tahoma" w:cs="Tahoma"/>
      <w:sz w:val="16"/>
      <w:szCs w:val="16"/>
      <w:lang w:val="fr-CH"/>
    </w:rPr>
  </w:style>
  <w:style w:type="character" w:customStyle="1" w:styleId="HChGChar">
    <w:name w:val="_ H _Ch_G Char"/>
    <w:link w:val="HChG"/>
    <w:rsid w:val="00746703"/>
    <w:rPr>
      <w:rFonts w:eastAsiaTheme="minorHAnsi"/>
      <w:b/>
      <w:sz w:val="28"/>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87267">
      <w:bodyDiv w:val="1"/>
      <w:marLeft w:val="0"/>
      <w:marRight w:val="0"/>
      <w:marTop w:val="0"/>
      <w:marBottom w:val="0"/>
      <w:divBdr>
        <w:top w:val="none" w:sz="0" w:space="0" w:color="auto"/>
        <w:left w:val="none" w:sz="0" w:space="0" w:color="auto"/>
        <w:bottom w:val="none" w:sz="0" w:space="0" w:color="auto"/>
        <w:right w:val="none" w:sz="0" w:space="0" w:color="auto"/>
      </w:divBdr>
    </w:div>
    <w:div w:id="108075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Rapports\E_ECE_324.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15A19E-2C1B-49E7-AC2F-EBA103870FB4}"/>
</file>

<file path=customXml/itemProps2.xml><?xml version="1.0" encoding="utf-8"?>
<ds:datastoreItem xmlns:ds="http://schemas.openxmlformats.org/officeDocument/2006/customXml" ds:itemID="{FAD49883-2978-43FB-93B3-529E1A571C0D}"/>
</file>

<file path=customXml/itemProps3.xml><?xml version="1.0" encoding="utf-8"?>
<ds:datastoreItem xmlns:ds="http://schemas.openxmlformats.org/officeDocument/2006/customXml" ds:itemID="{6F37C56A-D020-4B8E-B81B-855FFE91B74D}"/>
</file>

<file path=docProps/app.xml><?xml version="1.0" encoding="utf-8"?>
<Properties xmlns="http://schemas.openxmlformats.org/officeDocument/2006/extended-properties" xmlns:vt="http://schemas.openxmlformats.org/officeDocument/2006/docPropsVTypes">
  <Template>E_ECE_324.dotm</Template>
  <TotalTime>0</TotalTime>
  <Pages>6</Pages>
  <Words>1752</Words>
  <Characters>11389</Characters>
  <Application>Microsoft Office Word</Application>
  <DocSecurity>0</DocSecurity>
  <Lines>1138</Lines>
  <Paragraphs>772</Paragraphs>
  <ScaleCrop>false</ScaleCrop>
  <HeadingPairs>
    <vt:vector size="2" baseType="variant">
      <vt:variant>
        <vt:lpstr>Titre</vt:lpstr>
      </vt:variant>
      <vt:variant>
        <vt:i4>1</vt:i4>
      </vt:variant>
    </vt:vector>
  </HeadingPairs>
  <TitlesOfParts>
    <vt:vector size="1" baseType="lpstr">
      <vt:lpstr>E/ECE/324/Rev.1/Add.52/Rev.4/Amend.4</vt:lpstr>
    </vt:vector>
  </TitlesOfParts>
  <Company>CSD</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E/ECE/324/Rev.1/Add.52/Rev.4/Amend.4</dc:title>
  <dc:creator>Nicolas MORIN</dc:creator>
  <cp:keywords>E/ECE/TRANS/505/Rev.1/Add.52/Rev.4/Amend.4</cp:keywords>
  <cp:lastModifiedBy>Nicolas Morin</cp:lastModifiedBy>
  <cp:revision>2</cp:revision>
  <cp:lastPrinted>2008-11-04T15:54:00Z</cp:lastPrinted>
  <dcterms:created xsi:type="dcterms:W3CDTF">2020-12-11T14:22:00Z</dcterms:created>
  <dcterms:modified xsi:type="dcterms:W3CDTF">2020-12-11T14:22:00Z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