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5E7DD4" w:rsidTr="00A27C92">
        <w:trPr>
          <w:trHeight w:hRule="exact" w:val="851"/>
        </w:trPr>
        <w:tc>
          <w:tcPr>
            <w:tcW w:w="9639" w:type="dxa"/>
            <w:gridSpan w:val="2"/>
            <w:tcBorders>
              <w:bottom w:val="single" w:sz="4" w:space="0" w:color="auto"/>
            </w:tcBorders>
            <w:shd w:val="clear" w:color="auto" w:fill="auto"/>
            <w:vAlign w:val="bottom"/>
          </w:tcPr>
          <w:p w:rsidR="00D6374E" w:rsidRPr="00D6374E" w:rsidRDefault="00D6374E" w:rsidP="00D6374E">
            <w:pPr>
              <w:jc w:val="right"/>
              <w:rPr>
                <w:lang w:val="en-US"/>
              </w:rPr>
            </w:pPr>
            <w:r w:rsidRPr="00D6374E">
              <w:rPr>
                <w:sz w:val="40"/>
                <w:lang w:val="en-US"/>
              </w:rPr>
              <w:t>E</w:t>
            </w:r>
            <w:r w:rsidRPr="00D6374E">
              <w:rPr>
                <w:lang w:val="en-US"/>
              </w:rPr>
              <w:t>/ECE/324/Rev.1/Add.47/Rev.12/Amend.8−</w:t>
            </w:r>
            <w:r w:rsidRPr="00D6374E">
              <w:rPr>
                <w:sz w:val="40"/>
                <w:lang w:val="en-US"/>
              </w:rPr>
              <w:t>E</w:t>
            </w:r>
            <w:r w:rsidRPr="00D6374E">
              <w:rPr>
                <w:lang w:val="en-US"/>
              </w:rPr>
              <w:t>/ECE/TRANS/505/Rev.1/Add.47/Rev.12/Amend.8</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D6374E"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D6374E" w:rsidP="00A27C92">
            <w:pPr>
              <w:spacing w:before="480" w:line="240" w:lineRule="exact"/>
            </w:pPr>
            <w:r>
              <w:t>8 novembre 2019</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 xml:space="preserve">Concernant l’adoption </w:t>
      </w:r>
      <w:r w:rsidR="00D6374E">
        <w:t>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442E31" w:rsidRPr="00D6374E">
        <w:rPr>
          <w:rStyle w:val="Appelnotedebasdep"/>
          <w:b w:val="0"/>
          <w:bCs/>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D6374E">
        <w:t>3, comprenant les amendements entrés en vigueur le 14 septembre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D6374E">
        <w:t>47 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D6374E">
        <w:t>48</w:t>
      </w:r>
    </w:p>
    <w:p w:rsidR="00421A10" w:rsidRPr="006549FF" w:rsidRDefault="0029791D" w:rsidP="0029791D">
      <w:pPr>
        <w:pStyle w:val="H1G"/>
      </w:pPr>
      <w:r>
        <w:tab/>
      </w:r>
      <w:r>
        <w:tab/>
      </w:r>
      <w:r w:rsidR="00421A10" w:rsidRPr="006549FF">
        <w:t xml:space="preserve">Révision </w:t>
      </w:r>
      <w:r w:rsidR="00D6374E">
        <w:t>12</w:t>
      </w:r>
      <w:r w:rsidR="00D6374E" w:rsidRPr="00014D07">
        <w:t xml:space="preserve"> - </w:t>
      </w:r>
      <w:r w:rsidR="00D6374E">
        <w:t>Amendement</w:t>
      </w:r>
      <w:r w:rsidR="00D6374E" w:rsidRPr="00014D07">
        <w:t xml:space="preserve"> </w:t>
      </w:r>
      <w:r w:rsidR="00D6374E">
        <w:t>8</w:t>
      </w:r>
    </w:p>
    <w:p w:rsidR="00D6374E" w:rsidRDefault="00D6374E" w:rsidP="00D6374E">
      <w:pPr>
        <w:pStyle w:val="SingleTxtG"/>
      </w:pPr>
      <w:r w:rsidRPr="00701B67">
        <w:t>Complément 12 à la série 06 d</w:t>
      </w:r>
      <w:r>
        <w:rPr>
          <w:b/>
        </w:rPr>
        <w:t>’</w:t>
      </w:r>
      <w:r w:rsidRPr="00701B67">
        <w:t>amendements - Date d</w:t>
      </w:r>
      <w:r>
        <w:rPr>
          <w:b/>
        </w:rPr>
        <w:t>’</w:t>
      </w:r>
      <w:r w:rsidRPr="00701B67">
        <w:t>entrée en</w:t>
      </w:r>
      <w:r>
        <w:t xml:space="preserve"> </w:t>
      </w:r>
      <w:r w:rsidRPr="00701B67">
        <w:t>vigueur : 15 octobre 2019</w:t>
      </w:r>
    </w:p>
    <w:p w:rsidR="00421A10" w:rsidRDefault="0029791D" w:rsidP="00DB75DF">
      <w:pPr>
        <w:pStyle w:val="H1G"/>
      </w:pPr>
      <w:r>
        <w:tab/>
      </w:r>
      <w:r>
        <w:tab/>
      </w:r>
      <w:r w:rsidR="00D6374E" w:rsidRPr="00332E8E">
        <w:t>Installation des dispositifs d</w:t>
      </w:r>
      <w:r w:rsidR="00D6374E">
        <w:t>’</w:t>
      </w:r>
      <w:r w:rsidR="00D6374E" w:rsidRPr="00332E8E">
        <w:t>éclairage et de signalisation lumineuse</w:t>
      </w:r>
    </w:p>
    <w:p w:rsidR="00D6374E" w:rsidRDefault="00D6374E" w:rsidP="00D6374E">
      <w:pPr>
        <w:pStyle w:val="SingleTxtG"/>
        <w:spacing w:after="40"/>
        <w:rPr>
          <w:spacing w:val="-6"/>
          <w:lang w:eastAsia="en-GB"/>
        </w:rPr>
      </w:pPr>
      <w:r>
        <w:t>Le présent document est communiqué uniquement à titre d’information</w:t>
      </w:r>
      <w:r w:rsidRPr="00B32121">
        <w:rPr>
          <w:spacing w:val="-4"/>
          <w:lang w:eastAsia="en-GB"/>
        </w:rPr>
        <w:t xml:space="preserve">. </w:t>
      </w:r>
      <w:r>
        <w:t xml:space="preserve">Le texte authentique, juridiquement contraignant, est celui du document </w:t>
      </w:r>
      <w:r>
        <w:rPr>
          <w:spacing w:val="-6"/>
          <w:lang w:eastAsia="en-GB"/>
        </w:rPr>
        <w:t>ECE/TRANS/WP.29/2018/99/Rev.2.</w:t>
      </w:r>
    </w:p>
    <w:p w:rsidR="00D6374E" w:rsidRDefault="00442E31" w:rsidP="005F0207">
      <w:r>
        <w:rPr>
          <w:noProof/>
          <w:lang w:eastAsia="fr-CH"/>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8D6608" w:rsidRPr="0029791D" w:rsidRDefault="008D6608" w:rsidP="00DB75DF">
                            <w:pPr>
                              <w:ind w:left="1134" w:right="1134"/>
                              <w:jc w:val="center"/>
                            </w:pPr>
                            <w:r>
                              <w:t>_______________</w:t>
                            </w:r>
                          </w:p>
                          <w:p w:rsidR="008D6608" w:rsidRDefault="008D6608" w:rsidP="00DB75DF">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bookmarkStart w:id="0" w:name="_GoBack"/>
                            <w:bookmarkEnd w:id="0"/>
                          </w:p>
                          <w:p w:rsidR="008D6608" w:rsidRDefault="008D6608"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8D6608" w:rsidRPr="0029791D" w:rsidRDefault="008D6608" w:rsidP="00DB75DF">
                      <w:pPr>
                        <w:ind w:left="1134" w:right="1134"/>
                        <w:jc w:val="center"/>
                      </w:pPr>
                      <w:r>
                        <w:t>_______________</w:t>
                      </w:r>
                    </w:p>
                    <w:p w:rsidR="008D6608" w:rsidRDefault="008D6608" w:rsidP="00DB75DF">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bookmarkStart w:id="1" w:name="_GoBack"/>
                      <w:bookmarkEnd w:id="1"/>
                    </w:p>
                    <w:p w:rsidR="008D6608" w:rsidRDefault="008D6608" w:rsidP="00C6525D">
                      <w:pPr>
                        <w:jc w:val="center"/>
                      </w:pPr>
                      <w:r w:rsidRPr="0029791D">
                        <w:rPr>
                          <w:b/>
                          <w:bCs/>
                          <w:sz w:val="24"/>
                          <w:szCs w:val="24"/>
                        </w:rPr>
                        <w:t>Nations Unies</w:t>
                      </w:r>
                    </w:p>
                  </w:txbxContent>
                </v:textbox>
                <w10:wrap anchorx="margin" anchory="margin"/>
              </v:shape>
            </w:pict>
          </mc:Fallback>
        </mc:AlternateContent>
      </w:r>
    </w:p>
    <w:p w:rsidR="00D6374E" w:rsidRDefault="00D6374E">
      <w:pPr>
        <w:suppressAutoHyphens w:val="0"/>
        <w:kinsoku/>
        <w:overflowPunct/>
        <w:autoSpaceDE/>
        <w:autoSpaceDN/>
        <w:adjustRightInd/>
        <w:snapToGrid/>
        <w:spacing w:line="240" w:lineRule="auto"/>
      </w:pPr>
      <w:r>
        <w:br w:type="page"/>
      </w:r>
    </w:p>
    <w:p w:rsidR="00D6374E" w:rsidRPr="00D6374E" w:rsidRDefault="00D6374E" w:rsidP="00D6374E">
      <w:pPr>
        <w:pStyle w:val="HChG"/>
      </w:pPr>
      <w:r>
        <w:lastRenderedPageBreak/>
        <w:tab/>
      </w:r>
      <w:r>
        <w:tab/>
      </w:r>
      <w:r w:rsidRPr="00D6374E">
        <w:t>Complément 12 à la série 06 d’amendements au Règlement ONU n</w:t>
      </w:r>
      <w:r w:rsidRPr="00D6374E">
        <w:rPr>
          <w:vertAlign w:val="superscript"/>
        </w:rPr>
        <w:t>o</w:t>
      </w:r>
      <w:r w:rsidRPr="00D6374E">
        <w:t xml:space="preserve"> 48 (Installation des dispositifs d’éclairage </w:t>
      </w:r>
      <w:r w:rsidRPr="00D6374E">
        <w:br/>
        <w:t>et de signalisation lumineuse)</w:t>
      </w:r>
    </w:p>
    <w:p w:rsidR="00D6374E" w:rsidRPr="00D6374E" w:rsidRDefault="00D6374E" w:rsidP="00DB75DF">
      <w:pPr>
        <w:pStyle w:val="SingleTxtG"/>
      </w:pPr>
      <w:r w:rsidRPr="005E7DD4">
        <w:rPr>
          <w:i/>
          <w:iCs/>
        </w:rPr>
        <w:t>Paragraphe 2</w:t>
      </w:r>
      <w:r w:rsidRPr="005E7DD4">
        <w:t>, lire :</w:t>
      </w:r>
    </w:p>
    <w:p w:rsidR="00D6374E" w:rsidRPr="00D6374E" w:rsidRDefault="00D6374E" w:rsidP="00D6374E">
      <w:pPr>
        <w:pStyle w:val="HChG"/>
        <w:ind w:left="2268"/>
      </w:pPr>
      <w:r w:rsidRPr="00D6374E">
        <w:t>« 2.</w:t>
      </w:r>
      <w:r w:rsidRPr="00D6374E">
        <w:tab/>
      </w:r>
      <w:r>
        <w:tab/>
      </w:r>
      <w:r w:rsidRPr="00D6374E">
        <w:t>Définitions</w:t>
      </w:r>
    </w:p>
    <w:p w:rsidR="00D6374E" w:rsidRPr="00D6374E" w:rsidRDefault="00D6374E" w:rsidP="00D6374E">
      <w:pPr>
        <w:pStyle w:val="SingleTxtG"/>
        <w:ind w:left="2268" w:hanging="1134"/>
      </w:pPr>
      <w:r w:rsidRPr="00D6374E">
        <w:t>2.1</w:t>
      </w:r>
      <w:r w:rsidRPr="00D6374E">
        <w:tab/>
        <w:t>Définitions générales</w:t>
      </w:r>
    </w:p>
    <w:p w:rsidR="00D6374E" w:rsidRPr="00D6374E" w:rsidRDefault="00D6374E" w:rsidP="00D6374E">
      <w:pPr>
        <w:pStyle w:val="SingleTxtG"/>
        <w:ind w:left="2268" w:hanging="1134"/>
        <w:rPr>
          <w:rFonts w:eastAsia="Calibri"/>
        </w:rPr>
      </w:pPr>
      <w:r w:rsidRPr="00D6374E">
        <w:rPr>
          <w:rFonts w:eastAsia="Calibri"/>
        </w:rPr>
        <w:t>2.1.1</w:t>
      </w:r>
      <w:r w:rsidRPr="00D6374E">
        <w:rPr>
          <w:rFonts w:eastAsia="Calibri"/>
        </w:rPr>
        <w:tab/>
        <w:t xml:space="preserve">Les définitions contenues dans le présent Règlement et sa série d’amendements en vigueur à la date de la demande d’homologation de type s’appliquent aux Règlements qui concernent les dispositifs de signalisation lumineuse, les dispositifs d’éclairage routier et les dispositifs </w:t>
      </w:r>
      <w:proofErr w:type="spellStart"/>
      <w:r w:rsidRPr="00D6374E">
        <w:rPr>
          <w:rFonts w:eastAsia="Calibri"/>
        </w:rPr>
        <w:t>rétroréfléchissants</w:t>
      </w:r>
      <w:proofErr w:type="spellEnd"/>
      <w:r w:rsidRPr="00D6374E">
        <w:rPr>
          <w:rFonts w:eastAsia="Calibri"/>
        </w:rPr>
        <w:t>.</w:t>
      </w:r>
    </w:p>
    <w:p w:rsidR="00D6374E" w:rsidRPr="00D6374E" w:rsidRDefault="00D6374E" w:rsidP="00D6374E">
      <w:pPr>
        <w:pStyle w:val="SingleTxtG"/>
        <w:ind w:left="2268" w:hanging="1134"/>
        <w:rPr>
          <w:rFonts w:eastAsia="Calibri"/>
        </w:rPr>
      </w:pPr>
      <w:r w:rsidRPr="00D6374E">
        <w:rPr>
          <w:rFonts w:eastAsia="Calibri"/>
        </w:rPr>
        <w:t>2.1.2</w:t>
      </w:r>
      <w:r w:rsidRPr="00D6374E">
        <w:rPr>
          <w:rFonts w:eastAsia="Calibri"/>
        </w:rPr>
        <w:tab/>
        <w:t>Les renvois aux sources lumineuses étalon renvoient respectivement aux Règlements n</w:t>
      </w:r>
      <w:r w:rsidRPr="00D6374E">
        <w:rPr>
          <w:rFonts w:eastAsia="Calibri"/>
          <w:vertAlign w:val="superscript"/>
        </w:rPr>
        <w:t>os</w:t>
      </w:r>
      <w:r w:rsidRPr="00D6374E">
        <w:rPr>
          <w:rFonts w:eastAsia="Calibri"/>
        </w:rPr>
        <w:t> 37, 99 et 128 et à leurs séries d’amendements en vigueur à la date de la demande d’homologation de type.</w:t>
      </w:r>
    </w:p>
    <w:p w:rsidR="00D6374E" w:rsidRPr="00D6374E" w:rsidRDefault="00D6374E" w:rsidP="00D6374E">
      <w:pPr>
        <w:spacing w:after="120"/>
        <w:ind w:left="3402" w:right="1134" w:hanging="1134"/>
        <w:jc w:val="both"/>
        <w:rPr>
          <w:rFonts w:eastAsia="Calibri"/>
        </w:rPr>
      </w:pPr>
      <w:r w:rsidRPr="00D6374E">
        <w:rPr>
          <w:rFonts w:eastAsia="Calibri"/>
        </w:rPr>
        <w:t>Au sens du présent Règlement, on entend par :</w:t>
      </w:r>
    </w:p>
    <w:p w:rsidR="00D6374E" w:rsidRPr="00D6374E" w:rsidRDefault="00D6374E" w:rsidP="00D6374E">
      <w:pPr>
        <w:pStyle w:val="SingleTxtG"/>
        <w:ind w:left="2268" w:hanging="1134"/>
        <w:rPr>
          <w:rFonts w:eastAsia="Calibri"/>
          <w:lang w:eastAsia="fr-FR"/>
        </w:rPr>
      </w:pPr>
      <w:r w:rsidRPr="00D6374E">
        <w:rPr>
          <w:rFonts w:eastAsia="Calibri"/>
        </w:rPr>
        <w:t>2.1.3</w:t>
      </w:r>
      <w:r w:rsidRPr="00D6374E">
        <w:rPr>
          <w:rFonts w:eastAsia="Calibri"/>
        </w:rPr>
        <w:tab/>
      </w:r>
      <w:r w:rsidRPr="00D6374E">
        <w:rPr>
          <w:rFonts w:eastAsia="Calibri"/>
          <w:lang w:eastAsia="fr-FR"/>
        </w:rPr>
        <w:t>“</w:t>
      </w:r>
      <w:r w:rsidRPr="00D6374E">
        <w:rPr>
          <w:rFonts w:eastAsia="Calibri"/>
          <w:i/>
          <w:lang w:eastAsia="fr-FR"/>
        </w:rPr>
        <w:t>Homologation d’un véhicule</w:t>
      </w:r>
      <w:r w:rsidRPr="00D6374E">
        <w:rPr>
          <w:rFonts w:eastAsia="Calibri"/>
          <w:lang w:eastAsia="fr-FR"/>
        </w:rPr>
        <w:t>”, l’homologation d’un type de véhicule en ce qui concerne le nombre et les conditions d’installation des dispositifs d’éclairage et de signalisation lumineuse.</w:t>
      </w:r>
    </w:p>
    <w:p w:rsidR="00D6374E" w:rsidRPr="00D6374E" w:rsidRDefault="00D6374E" w:rsidP="00D6374E">
      <w:pPr>
        <w:pStyle w:val="SingleTxtG"/>
        <w:ind w:left="2268" w:hanging="1134"/>
        <w:rPr>
          <w:rFonts w:eastAsia="Calibri"/>
          <w:lang w:eastAsia="fr-FR"/>
        </w:rPr>
      </w:pPr>
      <w:r w:rsidRPr="00D6374E">
        <w:rPr>
          <w:rFonts w:eastAsia="Calibri"/>
          <w:lang w:eastAsia="fr-FR"/>
        </w:rPr>
        <w:t>2.1.4</w:t>
      </w:r>
      <w:r w:rsidRPr="00D6374E">
        <w:rPr>
          <w:rFonts w:eastAsia="Calibri"/>
          <w:lang w:eastAsia="fr-FR"/>
        </w:rPr>
        <w:tab/>
        <w:t>“</w:t>
      </w:r>
      <w:r w:rsidRPr="00D6374E">
        <w:rPr>
          <w:rFonts w:eastAsia="Calibri"/>
          <w:i/>
          <w:lang w:eastAsia="fr-FR"/>
        </w:rPr>
        <w:t>Dispositif</w:t>
      </w:r>
      <w:r w:rsidRPr="00D6374E">
        <w:rPr>
          <w:rFonts w:eastAsia="Calibri"/>
          <w:lang w:eastAsia="fr-FR"/>
        </w:rPr>
        <w:t>”, un élément ou un ensemble d’éléments servant à remplir une ou plusieurs fonctions.</w:t>
      </w:r>
    </w:p>
    <w:p w:rsidR="00D6374E" w:rsidRPr="00D6374E" w:rsidRDefault="00D6374E" w:rsidP="00D6374E">
      <w:pPr>
        <w:pStyle w:val="SingleTxtG"/>
        <w:ind w:left="2268" w:hanging="1134"/>
        <w:rPr>
          <w:rFonts w:eastAsia="Calibri"/>
          <w:lang w:eastAsia="fr-FR"/>
        </w:rPr>
      </w:pPr>
      <w:r w:rsidRPr="00D6374E">
        <w:rPr>
          <w:rFonts w:eastAsia="Calibri"/>
          <w:lang w:eastAsia="fr-FR"/>
        </w:rPr>
        <w:t>2.1.4.1</w:t>
      </w:r>
      <w:r w:rsidRPr="00D6374E">
        <w:rPr>
          <w:rFonts w:eastAsia="Calibri"/>
          <w:lang w:eastAsia="fr-FR"/>
        </w:rPr>
        <w:tab/>
        <w:t>“</w:t>
      </w:r>
      <w:r w:rsidRPr="00D6374E">
        <w:rPr>
          <w:rFonts w:eastAsia="Calibri"/>
          <w:i/>
          <w:lang w:eastAsia="fr-FR"/>
        </w:rPr>
        <w:t>Fonction d’éclairage</w:t>
      </w:r>
      <w:r w:rsidRPr="00D6374E">
        <w:rPr>
          <w:rFonts w:eastAsia="Calibri"/>
          <w:lang w:eastAsia="fr-FR"/>
        </w:rPr>
        <w:t>”, la lumière émise par un dispositif afin d’éclairer la route et les objets dans le sens du déplacement du véhicule.</w:t>
      </w:r>
    </w:p>
    <w:p w:rsidR="00D6374E" w:rsidRPr="00D6374E" w:rsidRDefault="00D6374E" w:rsidP="00D6374E">
      <w:pPr>
        <w:pStyle w:val="SingleTxtG"/>
        <w:ind w:left="2268" w:hanging="1134"/>
        <w:rPr>
          <w:rFonts w:eastAsia="Calibri"/>
          <w:lang w:eastAsia="fr-FR"/>
        </w:rPr>
      </w:pPr>
      <w:r w:rsidRPr="00D6374E">
        <w:rPr>
          <w:rFonts w:eastAsia="Calibri"/>
          <w:lang w:eastAsia="fr-FR"/>
        </w:rPr>
        <w:t>2.1.4.2</w:t>
      </w:r>
      <w:r w:rsidRPr="00D6374E">
        <w:rPr>
          <w:rFonts w:eastAsia="Calibri"/>
          <w:lang w:eastAsia="fr-FR"/>
        </w:rPr>
        <w:tab/>
        <w:t>“</w:t>
      </w:r>
      <w:r w:rsidRPr="00D6374E">
        <w:rPr>
          <w:rFonts w:eastAsia="Calibri"/>
          <w:i/>
          <w:lang w:eastAsia="fr-FR"/>
        </w:rPr>
        <w:t>Fonction de signalisation lumineuse</w:t>
      </w:r>
      <w:r w:rsidRPr="00D6374E">
        <w:rPr>
          <w:rFonts w:eastAsia="Calibri"/>
          <w:lang w:eastAsia="fr-FR"/>
        </w:rPr>
        <w:t>”, la lumière émise ou réfléchie par un dispositif afin d’indiquer de façon visuelle la présence, l’identification et/ou le changement de direction du véhicule.</w:t>
      </w:r>
    </w:p>
    <w:p w:rsidR="00D6374E" w:rsidRPr="00D6374E" w:rsidRDefault="00D6374E" w:rsidP="00D6374E">
      <w:pPr>
        <w:pStyle w:val="SingleTxtG"/>
        <w:ind w:left="2268" w:hanging="1134"/>
        <w:rPr>
          <w:rFonts w:eastAsia="Calibri"/>
          <w:lang w:eastAsia="fr-FR"/>
        </w:rPr>
      </w:pPr>
      <w:r w:rsidRPr="00D6374E">
        <w:rPr>
          <w:rFonts w:eastAsia="Calibri"/>
          <w:lang w:eastAsia="fr-FR"/>
        </w:rPr>
        <w:t>2.1.5</w:t>
      </w:r>
      <w:r w:rsidRPr="00D6374E">
        <w:rPr>
          <w:rFonts w:eastAsia="Calibri"/>
          <w:i/>
          <w:spacing w:val="-1"/>
          <w:lang w:eastAsia="fr-FR"/>
        </w:rPr>
        <w:tab/>
      </w:r>
      <w:r w:rsidRPr="00D6374E">
        <w:rPr>
          <w:rFonts w:eastAsia="Calibri"/>
          <w:spacing w:val="-1"/>
          <w:lang w:eastAsia="fr-FR"/>
        </w:rPr>
        <w:t>“</w:t>
      </w:r>
      <w:r w:rsidRPr="00D6374E">
        <w:rPr>
          <w:rFonts w:eastAsia="Calibri"/>
          <w:i/>
          <w:spacing w:val="-1"/>
          <w:lang w:eastAsia="fr-FR"/>
        </w:rPr>
        <w:t>Feu</w:t>
      </w:r>
      <w:r w:rsidRPr="00D6374E">
        <w:rPr>
          <w:rFonts w:eastAsia="Calibri"/>
          <w:spacing w:val="-1"/>
          <w:lang w:eastAsia="fr-FR"/>
        </w:rPr>
        <w:t>”,</w:t>
      </w:r>
      <w:r w:rsidRPr="00D6374E">
        <w:rPr>
          <w:rFonts w:eastAsia="Calibri"/>
          <w:i/>
          <w:spacing w:val="-1"/>
          <w:lang w:eastAsia="fr-FR"/>
        </w:rPr>
        <w:t xml:space="preserve"> </w:t>
      </w:r>
      <w:r w:rsidRPr="00D6374E">
        <w:rPr>
          <w:rFonts w:eastAsia="Calibri"/>
          <w:spacing w:val="-1"/>
          <w:lang w:eastAsia="fr-FR"/>
        </w:rPr>
        <w:t xml:space="preserve">un dispositif conçu pour éclairer la route ou émettre un signal lumineux à l’intention des autres usagers. Les dispositifs d’éclairage et les dispositifs </w:t>
      </w:r>
      <w:proofErr w:type="spellStart"/>
      <w:r w:rsidRPr="00D6374E">
        <w:rPr>
          <w:rFonts w:eastAsia="Calibri"/>
          <w:spacing w:val="-1"/>
          <w:lang w:eastAsia="fr-FR"/>
        </w:rPr>
        <w:t>rétroréfléchissants</w:t>
      </w:r>
      <w:proofErr w:type="spellEnd"/>
      <w:r w:rsidRPr="00D6374E">
        <w:rPr>
          <w:rFonts w:eastAsia="Calibri"/>
          <w:spacing w:val="-1"/>
          <w:lang w:eastAsia="fr-FR"/>
        </w:rPr>
        <w:t xml:space="preserve"> des plaques d’immatriculation arrière sont également considérés comme des feux. Aux fins du présent Règlement, les plaques d’immatriculation arrière lumineuses et les systèmes d’éclairage de la porte de service des véhicules des catégories M</w:t>
      </w:r>
      <w:r w:rsidRPr="00D6374E">
        <w:rPr>
          <w:rFonts w:eastAsia="Calibri"/>
          <w:spacing w:val="-1"/>
          <w:vertAlign w:val="subscript"/>
          <w:lang w:eastAsia="fr-FR"/>
        </w:rPr>
        <w:t>2</w:t>
      </w:r>
      <w:r w:rsidRPr="00D6374E">
        <w:rPr>
          <w:rFonts w:eastAsia="Calibri"/>
          <w:spacing w:val="-1"/>
          <w:lang w:eastAsia="fr-FR"/>
        </w:rPr>
        <w:t xml:space="preserve"> et M</w:t>
      </w:r>
      <w:r w:rsidRPr="00D6374E">
        <w:rPr>
          <w:rFonts w:eastAsia="Calibri"/>
          <w:spacing w:val="-1"/>
          <w:vertAlign w:val="subscript"/>
          <w:lang w:eastAsia="fr-FR"/>
        </w:rPr>
        <w:t>3</w:t>
      </w:r>
      <w:r w:rsidRPr="00D6374E">
        <w:rPr>
          <w:rFonts w:eastAsia="Calibri"/>
          <w:spacing w:val="-1"/>
          <w:lang w:eastAsia="fr-FR"/>
        </w:rPr>
        <w:t>, conformément aux dispositions du Règlement ONU n</w:t>
      </w:r>
      <w:r w:rsidRPr="00D6374E">
        <w:rPr>
          <w:rFonts w:eastAsia="Calibri"/>
          <w:spacing w:val="-1"/>
          <w:vertAlign w:val="superscript"/>
          <w:lang w:eastAsia="fr-FR"/>
        </w:rPr>
        <w:t>o</w:t>
      </w:r>
      <w:r w:rsidRPr="00D6374E">
        <w:rPr>
          <w:rFonts w:eastAsia="Calibri"/>
          <w:spacing w:val="-1"/>
          <w:lang w:eastAsia="fr-FR"/>
        </w:rPr>
        <w:t> 107, ne sont pas considérés comme des feux.</w:t>
      </w:r>
    </w:p>
    <w:p w:rsidR="00D6374E" w:rsidRPr="00D6374E" w:rsidRDefault="00D6374E" w:rsidP="00D6374E">
      <w:pPr>
        <w:pStyle w:val="SingleTxtG"/>
        <w:ind w:left="2268" w:hanging="1134"/>
        <w:rPr>
          <w:rFonts w:eastAsia="Calibri"/>
        </w:rPr>
      </w:pPr>
      <w:r w:rsidRPr="00D6374E">
        <w:rPr>
          <w:rFonts w:eastAsia="Calibri"/>
        </w:rPr>
        <w:t>2.1.6</w:t>
      </w:r>
      <w:r w:rsidRPr="00D6374E">
        <w:rPr>
          <w:rFonts w:eastAsia="Calibri"/>
        </w:rPr>
        <w:tab/>
      </w:r>
      <w:r w:rsidRPr="00D6374E">
        <w:rPr>
          <w:rFonts w:eastAsia="Calibri"/>
        </w:rPr>
        <w:tab/>
        <w:t>“</w:t>
      </w:r>
      <w:r w:rsidRPr="00D6374E">
        <w:rPr>
          <w:rFonts w:eastAsia="Calibri"/>
          <w:i/>
        </w:rPr>
        <w:t>Indice de modification</w:t>
      </w:r>
      <w:r w:rsidRPr="00D6374E">
        <w:rPr>
          <w:rFonts w:eastAsia="Calibri"/>
        </w:rPr>
        <w:t>”, un numéro séquentiel, en partant de 0, spécifique à chaque feu (fonction) visé par les Règlements ONU n</w:t>
      </w:r>
      <w:r w:rsidRPr="00D6374E">
        <w:rPr>
          <w:rFonts w:eastAsia="Calibri"/>
          <w:vertAlign w:val="superscript"/>
        </w:rPr>
        <w:t>o</w:t>
      </w:r>
      <w:r w:rsidRPr="00D6374E">
        <w:rPr>
          <w:rFonts w:eastAsia="Calibri"/>
        </w:rPr>
        <w:t> [LSD], [RID] et [RRD]. Il indique le nombre de fois que de nouvelles séries d’amendements au Règlement ONU concerné ([LSD], [RID] et [RRD]) ont introduit des exigences plus élevées pour le feu (fonction) en question.</w:t>
      </w:r>
    </w:p>
    <w:p w:rsidR="00D6374E" w:rsidRPr="00D6374E" w:rsidRDefault="00D6374E" w:rsidP="00D6374E">
      <w:pPr>
        <w:pStyle w:val="SingleTxtG"/>
        <w:ind w:left="2268" w:hanging="1134"/>
        <w:rPr>
          <w:rFonts w:eastAsia="Calibri"/>
        </w:rPr>
      </w:pPr>
      <w:r w:rsidRPr="00D6374E">
        <w:rPr>
          <w:rFonts w:eastAsia="Calibri"/>
        </w:rPr>
        <w:t>2.2</w:t>
      </w:r>
      <w:r w:rsidRPr="00D6374E">
        <w:rPr>
          <w:rFonts w:eastAsia="Calibri"/>
        </w:rPr>
        <w:tab/>
        <w:t>Définitions relatives au type de véhicule</w:t>
      </w:r>
    </w:p>
    <w:p w:rsidR="00D6374E" w:rsidRPr="00D6374E" w:rsidRDefault="00D6374E" w:rsidP="00DB75DF">
      <w:pPr>
        <w:pStyle w:val="SingleTxtG"/>
        <w:ind w:left="2268"/>
      </w:pPr>
      <w:r w:rsidRPr="00D6374E">
        <w:t>Au sens du présent Règlement, on entend par :</w:t>
      </w:r>
    </w:p>
    <w:p w:rsidR="00D6374E" w:rsidRPr="00D6374E" w:rsidRDefault="00D6374E" w:rsidP="00D6374E">
      <w:pPr>
        <w:pStyle w:val="SingleTxtG"/>
        <w:ind w:left="2268" w:hanging="1134"/>
        <w:rPr>
          <w:rFonts w:eastAsia="Calibri"/>
        </w:rPr>
      </w:pPr>
      <w:r w:rsidRPr="00D6374E">
        <w:rPr>
          <w:rFonts w:eastAsia="Calibri"/>
        </w:rPr>
        <w:t>2.2.1</w:t>
      </w:r>
      <w:r w:rsidRPr="00D6374E">
        <w:rPr>
          <w:rFonts w:eastAsia="Calibri"/>
        </w:rPr>
        <w:tab/>
      </w:r>
      <w:r w:rsidRPr="00D6374E">
        <w:rPr>
          <w:rFonts w:eastAsia="Calibri"/>
          <w:spacing w:val="-2"/>
          <w:lang w:eastAsia="fr-FR"/>
        </w:rPr>
        <w:t>“</w:t>
      </w:r>
      <w:r w:rsidRPr="00D6374E">
        <w:rPr>
          <w:rFonts w:eastAsia="Calibri"/>
          <w:i/>
          <w:spacing w:val="-2"/>
          <w:lang w:eastAsia="fr-FR"/>
        </w:rPr>
        <w:t xml:space="preserve">Type de véhicule en ce qui concerne l’installation des dispositifs d’éclairage </w:t>
      </w:r>
      <w:r w:rsidRPr="00D6374E">
        <w:rPr>
          <w:rFonts w:eastAsia="Calibri"/>
          <w:i/>
          <w:lang w:eastAsia="fr-FR"/>
        </w:rPr>
        <w:t>et de signalisation lumineuse</w:t>
      </w:r>
      <w:r w:rsidRPr="00D6374E">
        <w:rPr>
          <w:rFonts w:eastAsia="Calibri"/>
          <w:lang w:eastAsia="fr-FR"/>
        </w:rPr>
        <w:t>”, les véhicules ne présentant pas entre eux de différences essentielles au sens des paragraphes 2.2.1.1 à 2.2.1.4.</w:t>
      </w:r>
    </w:p>
    <w:p w:rsidR="00D6374E" w:rsidRPr="00D6374E" w:rsidRDefault="00D6374E" w:rsidP="00DB75DF">
      <w:pPr>
        <w:pStyle w:val="SingleTxtG"/>
        <w:ind w:left="2268"/>
        <w:rPr>
          <w:rFonts w:eastAsia="Calibri"/>
          <w:lang w:eastAsia="fr-FR"/>
        </w:rPr>
      </w:pPr>
      <w:r w:rsidRPr="00D6374E">
        <w:rPr>
          <w:rFonts w:eastAsia="Calibri"/>
          <w:lang w:eastAsia="fr-FR"/>
        </w:rPr>
        <w:t xml:space="preserve">Ne sont pas considérés comme “autres types de véhicules” les véhicules présentant des </w:t>
      </w:r>
      <w:r w:rsidRPr="00D6374E">
        <w:rPr>
          <w:rFonts w:eastAsia="Calibri"/>
        </w:rPr>
        <w:t>différences</w:t>
      </w:r>
      <w:r w:rsidRPr="00D6374E">
        <w:rPr>
          <w:rFonts w:eastAsia="Calibri"/>
          <w:lang w:eastAsia="fr-FR"/>
        </w:rPr>
        <w:t xml:space="preserve"> au sens des paragraphes 2.2.1.1 à 2.2.1.4, mais qui n’entraînent pas de modifications du genre, du nombre, de l’emplacement et de la visibilité géométrique des feux ni de l’inclinaison du faisceau-croisement prescrite pour le type de véhicule en cause, ou les véhicules sur lesquels des feux facultatifs sont montés ou sont absents :</w:t>
      </w:r>
    </w:p>
    <w:p w:rsidR="00D6374E" w:rsidRPr="00D6374E" w:rsidRDefault="00D6374E" w:rsidP="00D6374E">
      <w:pPr>
        <w:pStyle w:val="SingleTxtG"/>
        <w:ind w:left="2268" w:hanging="1134"/>
        <w:rPr>
          <w:rFonts w:eastAsia="Calibri"/>
          <w:lang w:eastAsia="fr-FR"/>
        </w:rPr>
      </w:pPr>
      <w:r w:rsidRPr="00D6374E">
        <w:rPr>
          <w:rFonts w:eastAsia="Calibri"/>
          <w:lang w:eastAsia="fr-FR"/>
        </w:rPr>
        <w:t>2.2.1.1</w:t>
      </w:r>
      <w:r w:rsidRPr="00D6374E">
        <w:rPr>
          <w:rFonts w:eastAsia="Calibri"/>
          <w:lang w:eastAsia="fr-FR"/>
        </w:rPr>
        <w:tab/>
      </w:r>
      <w:r w:rsidRPr="00D6374E">
        <w:rPr>
          <w:rFonts w:eastAsia="Calibri"/>
        </w:rPr>
        <w:t>Dimensions</w:t>
      </w:r>
      <w:r w:rsidRPr="00D6374E">
        <w:rPr>
          <w:rFonts w:eastAsia="Calibri"/>
          <w:lang w:eastAsia="fr-FR"/>
        </w:rPr>
        <w:t xml:space="preserve"> et forme extérieure du véhicule ;</w:t>
      </w:r>
    </w:p>
    <w:p w:rsidR="00D6374E" w:rsidRPr="00D6374E" w:rsidRDefault="00D6374E" w:rsidP="00D6374E">
      <w:pPr>
        <w:pStyle w:val="SingleTxtG"/>
        <w:ind w:left="2268" w:hanging="1134"/>
        <w:rPr>
          <w:rFonts w:eastAsia="Calibri"/>
          <w:lang w:eastAsia="fr-FR"/>
        </w:rPr>
      </w:pPr>
      <w:r w:rsidRPr="00D6374E">
        <w:rPr>
          <w:rFonts w:eastAsia="Calibri"/>
          <w:lang w:eastAsia="fr-FR"/>
        </w:rPr>
        <w:lastRenderedPageBreak/>
        <w:t>2.2.1.2</w:t>
      </w:r>
      <w:r w:rsidRPr="00D6374E">
        <w:rPr>
          <w:rFonts w:eastAsia="Calibri"/>
          <w:lang w:eastAsia="fr-FR"/>
        </w:rPr>
        <w:tab/>
      </w:r>
      <w:r w:rsidRPr="00D6374E">
        <w:rPr>
          <w:rFonts w:eastAsia="Calibri"/>
        </w:rPr>
        <w:t>Nombre</w:t>
      </w:r>
      <w:r w:rsidRPr="00D6374E">
        <w:rPr>
          <w:rFonts w:eastAsia="Calibri"/>
          <w:lang w:eastAsia="fr-FR"/>
        </w:rPr>
        <w:t xml:space="preserve"> et emplacements des dispositifs ;</w:t>
      </w:r>
    </w:p>
    <w:p w:rsidR="00D6374E" w:rsidRPr="00D6374E" w:rsidRDefault="00D6374E" w:rsidP="00D6374E">
      <w:pPr>
        <w:pStyle w:val="SingleTxtG"/>
        <w:ind w:left="2268" w:hanging="1134"/>
        <w:rPr>
          <w:rFonts w:eastAsia="Calibri"/>
          <w:lang w:eastAsia="fr-FR"/>
        </w:rPr>
      </w:pPr>
      <w:r w:rsidRPr="00D6374E">
        <w:rPr>
          <w:rFonts w:eastAsia="Calibri"/>
          <w:lang w:eastAsia="fr-FR"/>
        </w:rPr>
        <w:t>2.2.1.3</w:t>
      </w:r>
      <w:r w:rsidRPr="00D6374E">
        <w:rPr>
          <w:rFonts w:eastAsia="Calibri"/>
          <w:lang w:eastAsia="fr-FR"/>
        </w:rPr>
        <w:tab/>
      </w:r>
      <w:r w:rsidRPr="00D6374E">
        <w:rPr>
          <w:rFonts w:eastAsia="Calibri"/>
        </w:rPr>
        <w:t>Système</w:t>
      </w:r>
      <w:r w:rsidRPr="00D6374E">
        <w:rPr>
          <w:rFonts w:eastAsia="Calibri"/>
          <w:lang w:eastAsia="fr-FR"/>
        </w:rPr>
        <w:t xml:space="preserve"> de réglage de l’inclinaison du faisceau-croisement ;</w:t>
      </w:r>
    </w:p>
    <w:p w:rsidR="00D6374E" w:rsidRPr="00D6374E" w:rsidRDefault="00D6374E" w:rsidP="00D6374E">
      <w:pPr>
        <w:pStyle w:val="SingleTxtG"/>
        <w:ind w:left="2268" w:hanging="1134"/>
        <w:rPr>
          <w:rFonts w:eastAsia="Calibri"/>
          <w:lang w:eastAsia="fr-FR"/>
        </w:rPr>
      </w:pPr>
      <w:r w:rsidRPr="00D6374E">
        <w:rPr>
          <w:rFonts w:eastAsia="Calibri"/>
          <w:lang w:eastAsia="fr-FR"/>
        </w:rPr>
        <w:t>2.2.1.4</w:t>
      </w:r>
      <w:r w:rsidRPr="00D6374E">
        <w:rPr>
          <w:rFonts w:eastAsia="Calibri"/>
          <w:lang w:eastAsia="fr-FR"/>
        </w:rPr>
        <w:tab/>
      </w:r>
      <w:r w:rsidRPr="00D6374E">
        <w:rPr>
          <w:rFonts w:eastAsia="Calibri"/>
        </w:rPr>
        <w:t>Système</w:t>
      </w:r>
      <w:r w:rsidRPr="00D6374E">
        <w:rPr>
          <w:rFonts w:eastAsia="Calibri"/>
          <w:lang w:eastAsia="fr-FR"/>
        </w:rPr>
        <w:t xml:space="preserve"> de suspension.</w:t>
      </w:r>
    </w:p>
    <w:p w:rsidR="00D6374E" w:rsidRPr="00D6374E" w:rsidRDefault="00D6374E" w:rsidP="00D6374E">
      <w:pPr>
        <w:pStyle w:val="SingleTxtG"/>
        <w:ind w:left="2268" w:hanging="1134"/>
        <w:rPr>
          <w:rFonts w:eastAsia="Calibri"/>
        </w:rPr>
      </w:pPr>
      <w:r w:rsidRPr="00D6374E">
        <w:rPr>
          <w:rFonts w:eastAsia="Calibri"/>
        </w:rPr>
        <w:t>2.3</w:t>
      </w:r>
      <w:r w:rsidRPr="00D6374E">
        <w:rPr>
          <w:rFonts w:eastAsia="Calibri"/>
        </w:rPr>
        <w:tab/>
        <w:t>Définitions relatives au véhicule</w:t>
      </w:r>
    </w:p>
    <w:p w:rsidR="00D6374E" w:rsidRPr="00D6374E" w:rsidRDefault="00D6374E" w:rsidP="00D6374E">
      <w:pPr>
        <w:spacing w:after="120"/>
        <w:ind w:left="3402" w:right="1134" w:hanging="1134"/>
        <w:jc w:val="both"/>
        <w:rPr>
          <w:rFonts w:eastAsia="Calibri"/>
        </w:rPr>
      </w:pPr>
      <w:r w:rsidRPr="00D6374E">
        <w:rPr>
          <w:rFonts w:eastAsia="Calibri"/>
        </w:rPr>
        <w:t>Au sens du présent Règlement, on entend par :</w:t>
      </w:r>
    </w:p>
    <w:p w:rsidR="00D6374E" w:rsidRPr="00D6374E" w:rsidRDefault="00D6374E" w:rsidP="00D6374E">
      <w:pPr>
        <w:pStyle w:val="SingleTxtG"/>
        <w:ind w:left="2268" w:hanging="1134"/>
        <w:rPr>
          <w:rFonts w:eastAsia="Calibri"/>
        </w:rPr>
      </w:pPr>
      <w:r w:rsidRPr="00D6374E">
        <w:rPr>
          <w:rFonts w:eastAsia="Calibri"/>
        </w:rPr>
        <w:t>2.3.1</w:t>
      </w:r>
      <w:r w:rsidRPr="00D6374E">
        <w:rPr>
          <w:rFonts w:eastAsia="Calibri"/>
        </w:rPr>
        <w:tab/>
      </w:r>
      <w:r w:rsidRPr="00D6374E">
        <w:rPr>
          <w:rFonts w:eastAsia="Calibri"/>
          <w:lang w:eastAsia="fr-FR"/>
        </w:rPr>
        <w:t>“</w:t>
      </w:r>
      <w:r w:rsidRPr="00D6374E">
        <w:rPr>
          <w:rFonts w:eastAsia="Calibri"/>
          <w:i/>
        </w:rPr>
        <w:t>Véhicule</w:t>
      </w:r>
      <w:r w:rsidRPr="00D6374E">
        <w:rPr>
          <w:rFonts w:eastAsia="Calibri"/>
          <w:i/>
          <w:lang w:eastAsia="fr-FR"/>
        </w:rPr>
        <w:t xml:space="preserve"> à vide</w:t>
      </w:r>
      <w:r w:rsidRPr="00D6374E">
        <w:rPr>
          <w:rFonts w:eastAsia="Calibri"/>
          <w:lang w:eastAsia="fr-FR"/>
        </w:rPr>
        <w:t>”, le véhicule sans conducteur, équipage, passagers, ni chargement, mais avec son plein de carburant, sa roue de secours et son outillage normal de bord.</w:t>
      </w:r>
    </w:p>
    <w:p w:rsidR="00D6374E" w:rsidRPr="00D6374E" w:rsidRDefault="00D6374E" w:rsidP="00D6374E">
      <w:pPr>
        <w:pStyle w:val="SingleTxtG"/>
        <w:ind w:left="2268" w:hanging="1134"/>
        <w:rPr>
          <w:rFonts w:eastAsia="Calibri"/>
        </w:rPr>
      </w:pPr>
      <w:r w:rsidRPr="00D6374E">
        <w:rPr>
          <w:rFonts w:eastAsia="Calibri"/>
        </w:rPr>
        <w:t>2.3.2</w:t>
      </w:r>
      <w:r w:rsidRPr="00D6374E">
        <w:rPr>
          <w:rFonts w:eastAsia="Calibri"/>
        </w:rPr>
        <w:tab/>
      </w:r>
      <w:r w:rsidRPr="00D6374E">
        <w:rPr>
          <w:rFonts w:eastAsia="Calibri"/>
          <w:lang w:eastAsia="fr-FR"/>
        </w:rPr>
        <w:t>“</w:t>
      </w:r>
      <w:r w:rsidRPr="00D6374E">
        <w:rPr>
          <w:rFonts w:eastAsia="Calibri"/>
          <w:i/>
          <w:lang w:eastAsia="fr-FR"/>
        </w:rPr>
        <w:t>Véhicule en charge</w:t>
      </w:r>
      <w:r w:rsidRPr="00D6374E">
        <w:rPr>
          <w:rFonts w:eastAsia="Calibri"/>
          <w:lang w:eastAsia="fr-FR"/>
        </w:rPr>
        <w:t>”, le véhicule chargé jusqu’à atteindre sa masse maximale techniquement admissible déclarée par le constructeur, qui fixe également la répartition sur les essieux selon la méthode décrite à l’annexe 5.</w:t>
      </w:r>
    </w:p>
    <w:p w:rsidR="00D6374E" w:rsidRPr="00D6374E" w:rsidRDefault="00D6374E" w:rsidP="00D6374E">
      <w:pPr>
        <w:pStyle w:val="SingleTxtG"/>
        <w:ind w:left="2268" w:hanging="1134"/>
        <w:rPr>
          <w:rFonts w:eastAsia="Calibri"/>
        </w:rPr>
      </w:pPr>
      <w:r w:rsidRPr="00D6374E">
        <w:rPr>
          <w:rFonts w:eastAsia="Calibri"/>
        </w:rPr>
        <w:t>2.3.3</w:t>
      </w:r>
      <w:r w:rsidRPr="00D6374E">
        <w:rPr>
          <w:rFonts w:eastAsia="Calibri"/>
        </w:rPr>
        <w:tab/>
      </w:r>
      <w:r w:rsidRPr="00D6374E">
        <w:rPr>
          <w:rFonts w:eastAsia="Calibri"/>
          <w:lang w:eastAsia="fr-FR"/>
        </w:rPr>
        <w:t>“</w:t>
      </w:r>
      <w:r w:rsidRPr="00D6374E">
        <w:rPr>
          <w:rFonts w:eastAsia="Calibri"/>
          <w:i/>
          <w:lang w:eastAsia="fr-FR"/>
        </w:rPr>
        <w:t>Extrémité de la largeur hors tout</w:t>
      </w:r>
      <w:r w:rsidRPr="00D6374E">
        <w:rPr>
          <w:rFonts w:eastAsia="Calibri"/>
          <w:lang w:eastAsia="fr-FR"/>
        </w:rPr>
        <w:t xml:space="preserve">”, de chaque côté du véhicule, le plan parallèle au plan </w:t>
      </w:r>
      <w:r w:rsidRPr="00D6374E">
        <w:rPr>
          <w:rFonts w:eastAsia="Calibri"/>
        </w:rPr>
        <w:t>longitudinal</w:t>
      </w:r>
      <w:r w:rsidRPr="00D6374E">
        <w:rPr>
          <w:rFonts w:eastAsia="Calibri"/>
          <w:lang w:eastAsia="fr-FR"/>
        </w:rPr>
        <w:t xml:space="preserve"> médian du véhicule tangent à son bord latéral extrême, compte non tenu de la saillie formée :</w:t>
      </w:r>
    </w:p>
    <w:p w:rsidR="00D6374E" w:rsidRPr="00D6374E" w:rsidRDefault="00D6374E" w:rsidP="00D6374E">
      <w:pPr>
        <w:pStyle w:val="SingleTxtG"/>
        <w:ind w:left="2268" w:hanging="1134"/>
        <w:rPr>
          <w:rFonts w:eastAsia="Calibri"/>
        </w:rPr>
      </w:pPr>
      <w:r w:rsidRPr="00D6374E">
        <w:rPr>
          <w:rFonts w:eastAsia="Calibri"/>
        </w:rPr>
        <w:t>2.3.3.1</w:t>
      </w:r>
      <w:r w:rsidRPr="00D6374E">
        <w:rPr>
          <w:rFonts w:eastAsia="Calibri"/>
        </w:rPr>
        <w:tab/>
        <w:t>P</w:t>
      </w:r>
      <w:r w:rsidRPr="00D6374E">
        <w:rPr>
          <w:rFonts w:eastAsia="Calibri"/>
          <w:lang w:eastAsia="fr-FR"/>
        </w:rPr>
        <w:t>ar les pneumatiques au voisinage de leur point de contact avec le sol et par les connections des indicateurs de pression des pneumatiques ;</w:t>
      </w:r>
    </w:p>
    <w:p w:rsidR="00D6374E" w:rsidRPr="00D6374E" w:rsidRDefault="00D6374E" w:rsidP="00D6374E">
      <w:pPr>
        <w:pStyle w:val="SingleTxtG"/>
        <w:ind w:left="2268" w:hanging="1134"/>
        <w:rPr>
          <w:rFonts w:eastAsia="Calibri"/>
        </w:rPr>
      </w:pPr>
      <w:r w:rsidRPr="00D6374E">
        <w:rPr>
          <w:rFonts w:eastAsia="Calibri"/>
        </w:rPr>
        <w:t>2.3.3.2</w:t>
      </w:r>
      <w:r w:rsidRPr="00D6374E">
        <w:rPr>
          <w:rFonts w:eastAsia="Calibri"/>
        </w:rPr>
        <w:tab/>
        <w:t>Par d’éventuels dispositifs antipatinage montés sur les roues ;</w:t>
      </w:r>
    </w:p>
    <w:p w:rsidR="00D6374E" w:rsidRPr="00D6374E" w:rsidRDefault="00D6374E" w:rsidP="00D6374E">
      <w:pPr>
        <w:pStyle w:val="SingleTxtG"/>
        <w:ind w:left="2268" w:hanging="1134"/>
        <w:rPr>
          <w:rFonts w:eastAsia="Calibri"/>
        </w:rPr>
      </w:pPr>
      <w:r w:rsidRPr="00D6374E">
        <w:rPr>
          <w:rFonts w:eastAsia="Calibri"/>
        </w:rPr>
        <w:t>2.3.3.3</w:t>
      </w:r>
      <w:r w:rsidRPr="00D6374E">
        <w:rPr>
          <w:rFonts w:eastAsia="Calibri"/>
        </w:rPr>
        <w:tab/>
        <w:t>Par les dispositifs de vision indirecte ;</w:t>
      </w:r>
    </w:p>
    <w:p w:rsidR="00D6374E" w:rsidRPr="00D6374E" w:rsidRDefault="00D6374E" w:rsidP="00D6374E">
      <w:pPr>
        <w:pStyle w:val="SingleTxtG"/>
        <w:ind w:left="2268" w:hanging="1134"/>
        <w:rPr>
          <w:rFonts w:eastAsia="Calibri"/>
        </w:rPr>
      </w:pPr>
      <w:r w:rsidRPr="00D6374E">
        <w:rPr>
          <w:rFonts w:eastAsia="Calibri"/>
        </w:rPr>
        <w:t>2.3.3.4</w:t>
      </w:r>
      <w:r w:rsidRPr="00D6374E">
        <w:rPr>
          <w:rFonts w:eastAsia="Calibri"/>
        </w:rPr>
        <w:tab/>
        <w:t>Par les feux indicateurs de direction latéraux, les feux d’encombrement, les feux de position avant et arrière, les feux de stationnement et les catadioptres et les feux de position latéraux ;</w:t>
      </w:r>
    </w:p>
    <w:p w:rsidR="00D6374E" w:rsidRPr="00D6374E" w:rsidRDefault="00D6374E" w:rsidP="00D6374E">
      <w:pPr>
        <w:pStyle w:val="SingleTxtG"/>
        <w:ind w:left="2268" w:hanging="1134"/>
        <w:rPr>
          <w:rFonts w:eastAsia="Calibri"/>
        </w:rPr>
      </w:pPr>
      <w:r w:rsidRPr="00D6374E">
        <w:rPr>
          <w:rFonts w:eastAsia="Calibri"/>
        </w:rPr>
        <w:t>2.3.3.5</w:t>
      </w:r>
      <w:r w:rsidRPr="00D6374E">
        <w:rPr>
          <w:rFonts w:eastAsia="Calibri"/>
        </w:rPr>
        <w:tab/>
        <w:t>Par les scellements douaniers apposés sur le véhicule et les dispositifs de fixation et de protection de ces scellements ;</w:t>
      </w:r>
    </w:p>
    <w:p w:rsidR="00D6374E" w:rsidRPr="00D6374E" w:rsidRDefault="00D6374E" w:rsidP="00D6374E">
      <w:pPr>
        <w:pStyle w:val="SingleTxtG"/>
        <w:ind w:left="2268" w:hanging="1134"/>
        <w:rPr>
          <w:rFonts w:eastAsia="Calibri"/>
        </w:rPr>
      </w:pPr>
      <w:r w:rsidRPr="00D6374E">
        <w:rPr>
          <w:rFonts w:eastAsia="Calibri"/>
        </w:rPr>
        <w:t>2.3.3.6</w:t>
      </w:r>
      <w:r w:rsidRPr="00D6374E">
        <w:rPr>
          <w:rFonts w:eastAsia="Calibri"/>
        </w:rPr>
        <w:tab/>
        <w:t>Par les systèmes d’éclairage de la porte de service sur les véhicules des catégories M</w:t>
      </w:r>
      <w:r w:rsidRPr="00D6374E">
        <w:rPr>
          <w:rFonts w:eastAsia="Calibri"/>
          <w:vertAlign w:val="subscript"/>
        </w:rPr>
        <w:t>2</w:t>
      </w:r>
      <w:r w:rsidRPr="00D6374E">
        <w:rPr>
          <w:rFonts w:eastAsia="Calibri"/>
        </w:rPr>
        <w:t xml:space="preserve"> et M</w:t>
      </w:r>
      <w:r w:rsidRPr="00D6374E">
        <w:rPr>
          <w:rFonts w:eastAsia="Calibri"/>
          <w:vertAlign w:val="subscript"/>
        </w:rPr>
        <w:t>3</w:t>
      </w:r>
      <w:r w:rsidRPr="00D6374E">
        <w:rPr>
          <w:rFonts w:eastAsia="Calibri"/>
        </w:rPr>
        <w:t xml:space="preserve"> comme précisé au paragraphe 2.1.5.</w:t>
      </w:r>
    </w:p>
    <w:p w:rsidR="00D6374E" w:rsidRPr="00D6374E" w:rsidRDefault="00D6374E" w:rsidP="00D6374E">
      <w:pPr>
        <w:pStyle w:val="SingleTxtG"/>
        <w:ind w:left="2268" w:hanging="1134"/>
        <w:rPr>
          <w:rFonts w:eastAsia="Calibri"/>
        </w:rPr>
      </w:pPr>
      <w:r w:rsidRPr="00D6374E">
        <w:rPr>
          <w:rFonts w:eastAsia="Calibri"/>
        </w:rPr>
        <w:t>2.3.4</w:t>
      </w:r>
      <w:r w:rsidRPr="00D6374E">
        <w:rPr>
          <w:rFonts w:eastAsia="Calibri"/>
        </w:rPr>
        <w:tab/>
      </w:r>
      <w:r w:rsidRPr="00D6374E">
        <w:rPr>
          <w:rFonts w:eastAsia="Calibri"/>
        </w:rPr>
        <w:tab/>
        <w:t>“</w:t>
      </w:r>
      <w:r w:rsidRPr="00D6374E">
        <w:rPr>
          <w:rFonts w:eastAsia="Calibri"/>
          <w:i/>
        </w:rPr>
        <w:t>Dimensions hors tout</w:t>
      </w:r>
      <w:r w:rsidRPr="00D6374E">
        <w:rPr>
          <w:rFonts w:eastAsia="Calibri"/>
        </w:rPr>
        <w:t>”, la distance entre les deux plans verticaux définis au paragraphe 2.3.3 ci-dessus.</w:t>
      </w:r>
    </w:p>
    <w:p w:rsidR="00D6374E" w:rsidRPr="00D6374E" w:rsidRDefault="00D6374E" w:rsidP="00D6374E">
      <w:pPr>
        <w:pStyle w:val="SingleTxtG"/>
        <w:ind w:left="2268" w:hanging="1134"/>
        <w:rPr>
          <w:rFonts w:eastAsia="Calibri"/>
        </w:rPr>
      </w:pPr>
      <w:r w:rsidRPr="00D6374E">
        <w:rPr>
          <w:rFonts w:eastAsia="Calibri"/>
        </w:rPr>
        <w:t>2.3.4.1</w:t>
      </w:r>
      <w:r w:rsidRPr="00D6374E">
        <w:rPr>
          <w:rFonts w:eastAsia="Calibri"/>
        </w:rPr>
        <w:tab/>
        <w:t>“</w:t>
      </w:r>
      <w:r w:rsidRPr="00D6374E">
        <w:rPr>
          <w:rFonts w:eastAsia="Calibri"/>
          <w:i/>
        </w:rPr>
        <w:t>Largeur hors tout</w:t>
      </w:r>
      <w:r w:rsidRPr="00D6374E">
        <w:rPr>
          <w:rFonts w:eastAsia="Calibri"/>
        </w:rPr>
        <w:t>”, la distance entre les deux plans verticaux définis au paragraphe 2.3.3 ci-dessus.</w:t>
      </w:r>
    </w:p>
    <w:p w:rsidR="00D6374E" w:rsidRPr="00D6374E" w:rsidRDefault="00D6374E" w:rsidP="00D6374E">
      <w:pPr>
        <w:pStyle w:val="SingleTxtG"/>
        <w:ind w:left="2268" w:hanging="1134"/>
        <w:rPr>
          <w:rFonts w:eastAsia="Calibri"/>
        </w:rPr>
      </w:pPr>
      <w:r w:rsidRPr="00D6374E">
        <w:rPr>
          <w:rFonts w:eastAsia="Calibri"/>
        </w:rPr>
        <w:t>2.3.4.2</w:t>
      </w:r>
      <w:r w:rsidRPr="00D6374E">
        <w:rPr>
          <w:rFonts w:eastAsia="Calibri"/>
        </w:rPr>
        <w:tab/>
        <w:t>“</w:t>
      </w:r>
      <w:r w:rsidRPr="00D6374E">
        <w:rPr>
          <w:rFonts w:eastAsia="Calibri"/>
          <w:i/>
        </w:rPr>
        <w:t>Longueur hors tout</w:t>
      </w:r>
      <w:r w:rsidRPr="00D6374E">
        <w:rPr>
          <w:rFonts w:eastAsia="Calibri"/>
        </w:rPr>
        <w:t>”, la distance entre les deux plans verticaux perpendiculaires au plan longitudinal médian du véhicule et touchant le bord extérieur avant et le bord extérieur arrière de ce dernier, compte non tenu de la saillie :</w:t>
      </w:r>
    </w:p>
    <w:p w:rsidR="00D6374E" w:rsidRPr="00D6374E" w:rsidRDefault="00D6374E" w:rsidP="00F82D7E">
      <w:pPr>
        <w:pStyle w:val="SingleTxtG"/>
        <w:ind w:left="2835" w:hanging="567"/>
      </w:pPr>
      <w:r w:rsidRPr="00D6374E">
        <w:t>a)</w:t>
      </w:r>
      <w:r w:rsidRPr="00D6374E">
        <w:tab/>
        <w:t>Des dispositifs de vision indirecte ;</w:t>
      </w:r>
    </w:p>
    <w:p w:rsidR="00D6374E" w:rsidRPr="00D6374E" w:rsidRDefault="00D6374E" w:rsidP="00F82D7E">
      <w:pPr>
        <w:pStyle w:val="SingleTxtG"/>
        <w:ind w:left="2835" w:hanging="567"/>
        <w:rPr>
          <w:rFonts w:eastAsia="Calibri"/>
        </w:rPr>
      </w:pPr>
      <w:r w:rsidRPr="00D6374E">
        <w:rPr>
          <w:rFonts w:eastAsia="Calibri"/>
        </w:rPr>
        <w:t>b)</w:t>
      </w:r>
      <w:r w:rsidRPr="00D6374E">
        <w:rPr>
          <w:rFonts w:eastAsia="Calibri"/>
        </w:rPr>
        <w:tab/>
        <w:t>Des feux d’encombrement ;</w:t>
      </w:r>
    </w:p>
    <w:p w:rsidR="00D6374E" w:rsidRPr="00D6374E" w:rsidRDefault="00D6374E" w:rsidP="00F82D7E">
      <w:pPr>
        <w:pStyle w:val="SingleTxtG"/>
        <w:ind w:left="2835" w:hanging="567"/>
        <w:rPr>
          <w:rFonts w:eastAsia="Calibri"/>
        </w:rPr>
      </w:pPr>
      <w:r w:rsidRPr="00D6374E">
        <w:rPr>
          <w:rFonts w:eastAsia="Calibri"/>
        </w:rPr>
        <w:t>c)</w:t>
      </w:r>
      <w:r w:rsidRPr="00D6374E">
        <w:rPr>
          <w:rFonts w:eastAsia="Calibri"/>
        </w:rPr>
        <w:tab/>
        <w:t>Des dispositifs d’attelage, dans le cas des véhicules automobiles.</w:t>
      </w:r>
    </w:p>
    <w:p w:rsidR="00D6374E" w:rsidRPr="00D6374E" w:rsidRDefault="00D6374E" w:rsidP="00DB75DF">
      <w:pPr>
        <w:pStyle w:val="SingleTxtG"/>
        <w:ind w:left="2268"/>
        <w:rPr>
          <w:rFonts w:eastAsia="Calibri"/>
        </w:rPr>
      </w:pPr>
      <w:r w:rsidRPr="00D6374E">
        <w:rPr>
          <w:rFonts w:eastAsia="Calibri"/>
        </w:rPr>
        <w:tab/>
        <w:t>Pour les remorques, le timon sera inclus dans la “longueur hors tout” et dans toute mesure de la longueur, sauf dans les cas où il est expressément exclu.</w:t>
      </w:r>
    </w:p>
    <w:p w:rsidR="00D6374E" w:rsidRPr="00D6374E" w:rsidRDefault="00D6374E" w:rsidP="00D6374E">
      <w:pPr>
        <w:pStyle w:val="SingleTxtG"/>
        <w:ind w:left="2268" w:hanging="1134"/>
        <w:rPr>
          <w:rFonts w:eastAsia="Calibri"/>
        </w:rPr>
      </w:pPr>
      <w:r w:rsidRPr="00D6374E">
        <w:rPr>
          <w:rFonts w:eastAsia="Calibri"/>
        </w:rPr>
        <w:t>2.3.5</w:t>
      </w:r>
      <w:r w:rsidRPr="00D6374E">
        <w:rPr>
          <w:rFonts w:eastAsia="Calibri"/>
        </w:rPr>
        <w:tab/>
        <w:t>“</w:t>
      </w:r>
      <w:r w:rsidRPr="00D6374E">
        <w:rPr>
          <w:rFonts w:eastAsia="Calibri"/>
          <w:i/>
        </w:rPr>
        <w:t>Témoin de fonctionnement</w:t>
      </w:r>
      <w:r w:rsidRPr="00D6374E">
        <w:rPr>
          <w:rFonts w:eastAsia="Calibri"/>
        </w:rPr>
        <w:t>”, un signal lumineux ou sonore (ou tout autre signal équivalent) indiquant qu’un dispositif a été actionné et qu’il fonctionne correctement ou non.</w:t>
      </w:r>
    </w:p>
    <w:p w:rsidR="00D6374E" w:rsidRPr="00D6374E" w:rsidRDefault="00D6374E" w:rsidP="00D6374E">
      <w:pPr>
        <w:pStyle w:val="SingleTxtG"/>
        <w:ind w:left="2268" w:hanging="1134"/>
        <w:rPr>
          <w:rFonts w:eastAsia="Calibri"/>
        </w:rPr>
      </w:pPr>
      <w:r w:rsidRPr="00D6374E">
        <w:rPr>
          <w:rFonts w:eastAsia="Calibri"/>
        </w:rPr>
        <w:t>2.3.6</w:t>
      </w:r>
      <w:r w:rsidRPr="00D6374E">
        <w:rPr>
          <w:rFonts w:eastAsia="Calibri"/>
        </w:rPr>
        <w:tab/>
        <w:t>“</w:t>
      </w:r>
      <w:r w:rsidRPr="00D6374E">
        <w:rPr>
          <w:rFonts w:eastAsia="Calibri"/>
          <w:i/>
        </w:rPr>
        <w:t>Témoin d’enclenchement</w:t>
      </w:r>
      <w:r w:rsidRPr="00D6374E">
        <w:rPr>
          <w:rFonts w:eastAsia="Calibri"/>
        </w:rPr>
        <w:t>”, un signal lumineux (ou autre) indiquant qu’un dispositif a été actionné, mais pas s’il fonctionne correctement ou non.</w:t>
      </w:r>
    </w:p>
    <w:p w:rsidR="00D6374E" w:rsidRPr="00D6374E" w:rsidRDefault="00D6374E" w:rsidP="00D6374E">
      <w:pPr>
        <w:pStyle w:val="SingleTxtG"/>
        <w:ind w:left="2268" w:hanging="1134"/>
        <w:rPr>
          <w:rFonts w:eastAsia="Calibri"/>
        </w:rPr>
      </w:pPr>
      <w:r w:rsidRPr="00D6374E">
        <w:rPr>
          <w:rFonts w:eastAsia="Calibri"/>
        </w:rPr>
        <w:t>2.3.7</w:t>
      </w:r>
      <w:r w:rsidRPr="00D6374E">
        <w:rPr>
          <w:rFonts w:eastAsia="Calibri"/>
        </w:rPr>
        <w:tab/>
        <w:t>“</w:t>
      </w:r>
      <w:r w:rsidRPr="00D6374E">
        <w:rPr>
          <w:rFonts w:eastAsia="Calibri"/>
          <w:i/>
        </w:rPr>
        <w:t>Sol</w:t>
      </w:r>
      <w:r w:rsidRPr="00D6374E">
        <w:rPr>
          <w:rFonts w:eastAsia="Calibri"/>
        </w:rPr>
        <w:t>”, la surface sur laquelle repose le véhicule et qui doit être à peu près horizontale.</w:t>
      </w:r>
    </w:p>
    <w:p w:rsidR="00D6374E" w:rsidRPr="00D6374E" w:rsidRDefault="00D6374E" w:rsidP="00505AC3">
      <w:pPr>
        <w:pStyle w:val="SingleTxtG"/>
        <w:keepNext/>
        <w:keepLines/>
        <w:ind w:left="2268" w:hanging="1134"/>
        <w:rPr>
          <w:rFonts w:eastAsia="Calibri"/>
        </w:rPr>
      </w:pPr>
      <w:r w:rsidRPr="00D6374E">
        <w:rPr>
          <w:rFonts w:eastAsia="Calibri"/>
        </w:rPr>
        <w:lastRenderedPageBreak/>
        <w:t>2.3.8</w:t>
      </w:r>
      <w:r w:rsidRPr="00D6374E">
        <w:rPr>
          <w:rFonts w:eastAsia="Calibri"/>
        </w:rPr>
        <w:tab/>
        <w:t>“</w:t>
      </w:r>
      <w:r w:rsidRPr="00D6374E">
        <w:rPr>
          <w:rFonts w:eastAsia="Calibri"/>
          <w:i/>
        </w:rPr>
        <w:t>Éléments mobiles</w:t>
      </w:r>
      <w:r w:rsidRPr="00D6374E">
        <w:rPr>
          <w:rFonts w:eastAsia="Calibri"/>
        </w:rPr>
        <w:t>” du véhicule, les panneaux de carrosserie ou d’autres parties du véhicule dont la position peut être modifiée en les faisant basculer, pivoter ou glisser, sans l’aide d’outils. Ils ne comprennent pas les cabines basculantes de camion.</w:t>
      </w:r>
    </w:p>
    <w:p w:rsidR="00D6374E" w:rsidRPr="00D6374E" w:rsidRDefault="00D6374E" w:rsidP="00505AC3">
      <w:pPr>
        <w:pStyle w:val="SingleTxtG"/>
        <w:keepNext/>
        <w:keepLines/>
        <w:ind w:left="2268" w:hanging="1134"/>
        <w:rPr>
          <w:rFonts w:eastAsia="Calibri"/>
        </w:rPr>
      </w:pPr>
      <w:r w:rsidRPr="00D6374E">
        <w:rPr>
          <w:rFonts w:eastAsia="Calibri"/>
        </w:rPr>
        <w:t>2.3.9</w:t>
      </w:r>
      <w:r w:rsidRPr="00D6374E">
        <w:rPr>
          <w:rFonts w:eastAsia="Calibri"/>
        </w:rPr>
        <w:tab/>
        <w:t>“</w:t>
      </w:r>
      <w:r w:rsidRPr="00D6374E">
        <w:rPr>
          <w:rFonts w:eastAsia="Calibri"/>
          <w:i/>
        </w:rPr>
        <w:t>Position normale d’utilisation d’un élément mobile</w:t>
      </w:r>
      <w:r w:rsidRPr="00D6374E">
        <w:rPr>
          <w:rFonts w:eastAsia="Calibri"/>
        </w:rPr>
        <w:t>”, la (les) position(s) d’un élément mobile définie(s) par le fabricant du véhicule lorsque ce dernier est en condition normale d’utilisation et à l’arrêt.</w:t>
      </w:r>
    </w:p>
    <w:p w:rsidR="00D6374E" w:rsidRPr="00D6374E" w:rsidRDefault="00D6374E" w:rsidP="00D6374E">
      <w:pPr>
        <w:pStyle w:val="SingleTxtG"/>
        <w:ind w:left="2268" w:hanging="1134"/>
        <w:rPr>
          <w:rFonts w:eastAsia="Calibri"/>
        </w:rPr>
      </w:pPr>
      <w:r w:rsidRPr="00D6374E">
        <w:rPr>
          <w:rFonts w:eastAsia="Calibri"/>
        </w:rPr>
        <w:t>2.3.10</w:t>
      </w:r>
      <w:r w:rsidRPr="00D6374E">
        <w:rPr>
          <w:rFonts w:eastAsia="Calibri"/>
        </w:rPr>
        <w:tab/>
        <w:t>“</w:t>
      </w:r>
      <w:r w:rsidRPr="00D6374E">
        <w:rPr>
          <w:rFonts w:eastAsia="Calibri"/>
          <w:i/>
        </w:rPr>
        <w:t>Conditions normales d’utilisation d’un véhicule</w:t>
      </w:r>
      <w:r w:rsidRPr="00D6374E">
        <w:rPr>
          <w:rFonts w:eastAsia="Calibri"/>
        </w:rPr>
        <w:t>” :</w:t>
      </w:r>
    </w:p>
    <w:p w:rsidR="00D6374E" w:rsidRPr="00D6374E" w:rsidRDefault="00D6374E" w:rsidP="00D6374E">
      <w:pPr>
        <w:pStyle w:val="SingleTxtG"/>
        <w:ind w:left="2268" w:hanging="1134"/>
        <w:rPr>
          <w:rFonts w:eastAsia="Calibri"/>
        </w:rPr>
      </w:pPr>
      <w:r w:rsidRPr="00D6374E">
        <w:rPr>
          <w:rFonts w:eastAsia="Calibri"/>
        </w:rPr>
        <w:t>2.3.10.1</w:t>
      </w:r>
      <w:r w:rsidRPr="00D6374E">
        <w:rPr>
          <w:rFonts w:eastAsia="Calibri"/>
        </w:rPr>
        <w:tab/>
        <w:t>Pour un véhicule à moteur, la situation dans laquelle se trouve le véhicule lorsqu’il est prêt à partir, que son moteur tourne et que ses éléments mobiles sont dans la (les) position(s) normale(s) définie(s) au paragraphe 2.3.9 ;</w:t>
      </w:r>
    </w:p>
    <w:p w:rsidR="00D6374E" w:rsidRPr="00D6374E" w:rsidRDefault="00D6374E" w:rsidP="00D6374E">
      <w:pPr>
        <w:pStyle w:val="SingleTxtG"/>
        <w:ind w:left="2268" w:hanging="1134"/>
        <w:rPr>
          <w:rFonts w:eastAsia="Calibri"/>
        </w:rPr>
      </w:pPr>
      <w:r w:rsidRPr="00D6374E">
        <w:rPr>
          <w:rFonts w:eastAsia="Calibri"/>
        </w:rPr>
        <w:t>2.3.10.2</w:t>
      </w:r>
      <w:r w:rsidRPr="00D6374E">
        <w:rPr>
          <w:rFonts w:eastAsia="Calibri"/>
        </w:rPr>
        <w:tab/>
        <w:t>Pour une remorque, la situation dans laquelle la remorque se trouve lorsqu’elle est attelée à un véhicule à moteur se trouvant dans les conditions définies au paragraphe 2.3.10.1, et que ses éléments mobiles se trouvent dans la (les) position(s) normale(s) définie(s) au paragraphe 2.3.9.</w:t>
      </w:r>
    </w:p>
    <w:p w:rsidR="00D6374E" w:rsidRPr="00D6374E" w:rsidRDefault="00D6374E" w:rsidP="00D6374E">
      <w:pPr>
        <w:pStyle w:val="SingleTxtG"/>
        <w:ind w:left="2268" w:hanging="1134"/>
        <w:rPr>
          <w:rFonts w:eastAsia="Calibri"/>
          <w:lang w:eastAsia="fr-FR"/>
        </w:rPr>
      </w:pPr>
      <w:r w:rsidRPr="00D6374E">
        <w:rPr>
          <w:rFonts w:eastAsia="Calibri"/>
        </w:rPr>
        <w:t>2</w:t>
      </w:r>
      <w:r w:rsidRPr="00D6374E">
        <w:rPr>
          <w:rFonts w:eastAsia="Calibri"/>
          <w:lang w:eastAsia="fr-FR"/>
        </w:rPr>
        <w:t>.3.11</w:t>
      </w:r>
      <w:r w:rsidRPr="00D6374E">
        <w:rPr>
          <w:rFonts w:eastAsia="Calibri"/>
          <w:lang w:eastAsia="fr-FR"/>
        </w:rPr>
        <w:tab/>
        <w:t>“</w:t>
      </w:r>
      <w:r w:rsidRPr="00D6374E">
        <w:rPr>
          <w:rFonts w:eastAsia="Calibri"/>
          <w:i/>
          <w:lang w:eastAsia="fr-FR"/>
        </w:rPr>
        <w:t>Arrêt d’un véhicule</w:t>
      </w:r>
      <w:r w:rsidRPr="00D6374E">
        <w:rPr>
          <w:rFonts w:eastAsia="Calibri"/>
          <w:lang w:eastAsia="fr-FR"/>
        </w:rPr>
        <w:t>”</w:t>
      </w:r>
    </w:p>
    <w:p w:rsidR="00D6374E" w:rsidRPr="00D6374E" w:rsidRDefault="00D6374E" w:rsidP="00D6374E">
      <w:pPr>
        <w:pStyle w:val="SingleTxtG"/>
        <w:ind w:left="2268" w:hanging="1134"/>
        <w:rPr>
          <w:rFonts w:eastAsia="Calibri"/>
        </w:rPr>
      </w:pPr>
      <w:r w:rsidRPr="00D6374E">
        <w:rPr>
          <w:rFonts w:eastAsia="Calibri"/>
          <w:lang w:eastAsia="fr-FR"/>
        </w:rPr>
        <w:t>2.3.11</w:t>
      </w:r>
      <w:r w:rsidRPr="00D6374E">
        <w:rPr>
          <w:rFonts w:eastAsia="Calibri"/>
        </w:rPr>
        <w:t>.1</w:t>
      </w:r>
      <w:r w:rsidRPr="00D6374E">
        <w:rPr>
          <w:rFonts w:eastAsia="Calibri"/>
        </w:rPr>
        <w:tab/>
        <w:t>Pour un véhicule à moteur, la situation dans laquelle il se trouve lorsqu’il est immobile, que son moteur est arrêté et que ses éléments mobiles sont dans la (les) position(s) normale(s) définie(s) au paragraphe 2.3.9 ;</w:t>
      </w:r>
    </w:p>
    <w:p w:rsidR="00D6374E" w:rsidRPr="00D6374E" w:rsidRDefault="00D6374E" w:rsidP="00D6374E">
      <w:pPr>
        <w:pStyle w:val="SingleTxtG"/>
        <w:ind w:left="2268" w:hanging="1134"/>
        <w:rPr>
          <w:rFonts w:eastAsia="Calibri"/>
        </w:rPr>
      </w:pPr>
      <w:r w:rsidRPr="00D6374E">
        <w:rPr>
          <w:rFonts w:eastAsia="Calibri"/>
        </w:rPr>
        <w:t>2.3.11.2</w:t>
      </w:r>
      <w:r w:rsidRPr="00D6374E">
        <w:rPr>
          <w:rFonts w:eastAsia="Calibri"/>
        </w:rPr>
        <w:tab/>
        <w:t>Pour une remorque, la situation dans laquelle se trouve la remorque lorsqu’elle est attelée à un véhicule à moteur se trouvant dans les conditions définies au paragraphe 2.3.11.1 et que ses éléments mobiles sont dans la (les) position(s) normale(s) définie(s) au paragraphe 2.3.9.</w:t>
      </w:r>
    </w:p>
    <w:p w:rsidR="00D6374E" w:rsidRPr="00D6374E" w:rsidRDefault="00D6374E" w:rsidP="00D6374E">
      <w:pPr>
        <w:pStyle w:val="SingleTxtG"/>
        <w:ind w:left="2268" w:hanging="1134"/>
        <w:rPr>
          <w:rFonts w:eastAsia="Calibri"/>
        </w:rPr>
      </w:pPr>
      <w:r w:rsidRPr="00D6374E">
        <w:rPr>
          <w:rFonts w:eastAsia="Calibri"/>
        </w:rPr>
        <w:t>2.4</w:t>
      </w:r>
      <w:r w:rsidRPr="00D6374E">
        <w:rPr>
          <w:rFonts w:eastAsia="Calibri"/>
        </w:rPr>
        <w:tab/>
        <w:t>Définitions concernant les feux en général</w:t>
      </w:r>
    </w:p>
    <w:p w:rsidR="00D6374E" w:rsidRPr="00D6374E" w:rsidRDefault="00D6374E" w:rsidP="00DB75DF">
      <w:pPr>
        <w:pStyle w:val="SingleTxtG"/>
        <w:ind w:left="2268"/>
        <w:rPr>
          <w:rFonts w:eastAsia="Calibri"/>
        </w:rPr>
      </w:pPr>
      <w:r w:rsidRPr="00D6374E">
        <w:rPr>
          <w:rFonts w:eastAsia="Calibri"/>
        </w:rPr>
        <w:tab/>
        <w:t>Au sens du présent Règlement, on entend par :</w:t>
      </w:r>
    </w:p>
    <w:p w:rsidR="00D6374E" w:rsidRPr="00D6374E" w:rsidRDefault="00D6374E" w:rsidP="00D6374E">
      <w:pPr>
        <w:pStyle w:val="SingleTxtG"/>
        <w:ind w:left="2268" w:hanging="1134"/>
        <w:rPr>
          <w:rFonts w:eastAsia="Calibri"/>
        </w:rPr>
      </w:pPr>
      <w:r w:rsidRPr="00D6374E">
        <w:rPr>
          <w:rFonts w:eastAsia="Calibri"/>
        </w:rPr>
        <w:t>2.4.1</w:t>
      </w:r>
      <w:r w:rsidRPr="00D6374E">
        <w:rPr>
          <w:rFonts w:eastAsia="Calibri"/>
        </w:rPr>
        <w:tab/>
        <w:t>“</w:t>
      </w:r>
      <w:r w:rsidRPr="00D6374E">
        <w:rPr>
          <w:rFonts w:eastAsia="Calibri"/>
          <w:i/>
        </w:rPr>
        <w:t>Feux équivalents</w:t>
      </w:r>
      <w:r w:rsidRPr="00D6374E">
        <w:rPr>
          <w:rFonts w:eastAsia="Calibri"/>
        </w:rPr>
        <w:t>”, des feux ayant la même fonction et autorisés dans le pays d’immatriculation du véhicule ; ces feux peuvent avoir des caractéristiques différentes des feux équipant le véhicule lors de son homologation, à condition de satisfaire aux prescriptions imposées par le présent Règlement.</w:t>
      </w:r>
    </w:p>
    <w:p w:rsidR="00D6374E" w:rsidRPr="00D6374E" w:rsidRDefault="00D6374E" w:rsidP="00D6374E">
      <w:pPr>
        <w:pStyle w:val="SingleTxtG"/>
        <w:ind w:left="2268" w:hanging="1134"/>
        <w:rPr>
          <w:rFonts w:eastAsia="Calibri"/>
        </w:rPr>
      </w:pPr>
      <w:r w:rsidRPr="00D6374E">
        <w:rPr>
          <w:rFonts w:eastAsia="Calibri"/>
        </w:rPr>
        <w:t>2.4.2</w:t>
      </w:r>
      <w:r w:rsidRPr="00D6374E">
        <w:rPr>
          <w:rFonts w:eastAsia="Calibri"/>
        </w:rPr>
        <w:tab/>
        <w:t>“</w:t>
      </w:r>
      <w:r w:rsidRPr="00D6374E">
        <w:rPr>
          <w:rFonts w:eastAsia="Calibri"/>
          <w:i/>
        </w:rPr>
        <w:t>Feux indépendants</w:t>
      </w:r>
      <w:r w:rsidRPr="00D6374E">
        <w:rPr>
          <w:rFonts w:eastAsia="Calibri"/>
        </w:rPr>
        <w:t>”, des dispositifs ayant des surfaces apparentes distinctes dans la direction de l’axe de référence</w:t>
      </w:r>
      <w:r w:rsidRPr="0012120F">
        <w:rPr>
          <w:rStyle w:val="Appelnotedebasdep"/>
        </w:rPr>
        <w:footnoteReference w:id="3"/>
      </w:r>
      <w:r w:rsidRPr="00D6374E">
        <w:rPr>
          <w:rFonts w:eastAsia="Calibri"/>
        </w:rPr>
        <w:t>, des sources lumineuses distinctes et des boîtiers distincts.</w:t>
      </w:r>
    </w:p>
    <w:p w:rsidR="00D6374E" w:rsidRPr="00D6374E" w:rsidRDefault="00D6374E" w:rsidP="00D6374E">
      <w:pPr>
        <w:pStyle w:val="SingleTxtG"/>
        <w:ind w:left="2268" w:hanging="1134"/>
        <w:rPr>
          <w:rFonts w:eastAsia="Calibri"/>
        </w:rPr>
      </w:pPr>
      <w:r w:rsidRPr="00D6374E">
        <w:rPr>
          <w:rFonts w:eastAsia="Calibri"/>
        </w:rPr>
        <w:t>2.4.3</w:t>
      </w:r>
      <w:r w:rsidRPr="00D6374E">
        <w:rPr>
          <w:rFonts w:eastAsia="Calibri"/>
        </w:rPr>
        <w:tab/>
        <w:t>“</w:t>
      </w:r>
      <w:r w:rsidRPr="00D6374E">
        <w:rPr>
          <w:rFonts w:eastAsia="Calibri"/>
          <w:i/>
        </w:rPr>
        <w:t>Feux groupés</w:t>
      </w:r>
      <w:r w:rsidRPr="00D6374E">
        <w:rPr>
          <w:rFonts w:eastAsia="Calibri"/>
        </w:rPr>
        <w:t>”, des dispositifs ayant des surfaces apparentes distinctes dans la direction de l’axe de référence</w:t>
      </w:r>
      <w:r w:rsidRPr="0012120F">
        <w:rPr>
          <w:rStyle w:val="Appelnotedebasdep"/>
        </w:rPr>
        <w:footnoteReference w:id="4"/>
      </w:r>
      <w:r w:rsidRPr="00D6374E">
        <w:rPr>
          <w:rFonts w:eastAsia="Calibri"/>
        </w:rPr>
        <w:t xml:space="preserve"> et des sources lumineuses distinctes, mais un même boîtier.</w:t>
      </w:r>
    </w:p>
    <w:p w:rsidR="00D6374E" w:rsidRPr="00D6374E" w:rsidRDefault="00D6374E" w:rsidP="00D6374E">
      <w:pPr>
        <w:pStyle w:val="SingleTxtG"/>
        <w:ind w:left="2268" w:hanging="1134"/>
        <w:rPr>
          <w:rFonts w:eastAsia="Calibri"/>
        </w:rPr>
      </w:pPr>
      <w:r w:rsidRPr="00D6374E">
        <w:rPr>
          <w:rFonts w:eastAsia="Calibri"/>
        </w:rPr>
        <w:t>2.4.4</w:t>
      </w:r>
      <w:r w:rsidRPr="00D6374E">
        <w:rPr>
          <w:rFonts w:eastAsia="Calibri"/>
        </w:rPr>
        <w:tab/>
        <w:t>“</w:t>
      </w:r>
      <w:r w:rsidRPr="00D6374E">
        <w:rPr>
          <w:rFonts w:eastAsia="Calibri"/>
          <w:i/>
        </w:rPr>
        <w:t>Feux combinés</w:t>
      </w:r>
      <w:r w:rsidRPr="00D6374E">
        <w:rPr>
          <w:rFonts w:eastAsia="Calibri"/>
        </w:rPr>
        <w:t>”, des dispositifs ayant des surfaces apparentes distinctes dans la direction de l’axe de référence</w:t>
      </w:r>
      <w:r w:rsidRPr="0012120F">
        <w:rPr>
          <w:rStyle w:val="Appelnotedebasdep"/>
        </w:rPr>
        <w:t>2</w:t>
      </w:r>
      <w:r w:rsidRPr="00D6374E">
        <w:rPr>
          <w:rFonts w:eastAsia="Calibri"/>
        </w:rPr>
        <w:t>, mais une source lumineuse et un boîtier communs.</w:t>
      </w:r>
    </w:p>
    <w:p w:rsidR="00D6374E" w:rsidRPr="00D6374E" w:rsidRDefault="00D6374E" w:rsidP="00D6374E">
      <w:pPr>
        <w:pStyle w:val="SingleTxtG"/>
        <w:ind w:left="2268" w:hanging="1134"/>
        <w:rPr>
          <w:rFonts w:eastAsia="Calibri"/>
        </w:rPr>
      </w:pPr>
      <w:r w:rsidRPr="00D6374E">
        <w:rPr>
          <w:rFonts w:eastAsia="Calibri"/>
        </w:rPr>
        <w:t>2.4.5</w:t>
      </w:r>
      <w:r w:rsidRPr="00D6374E">
        <w:rPr>
          <w:rFonts w:eastAsia="Calibri"/>
        </w:rPr>
        <w:tab/>
        <w:t>“</w:t>
      </w:r>
      <w:r w:rsidRPr="00D6374E">
        <w:rPr>
          <w:rFonts w:eastAsia="Calibri"/>
          <w:i/>
        </w:rPr>
        <w:t>Feux mutuellement incorporés</w:t>
      </w:r>
      <w:r w:rsidRPr="00D6374E">
        <w:rPr>
          <w:rFonts w:eastAsia="Calibri"/>
        </w:rPr>
        <w:t>”, des dispositifs ayant des sources lumineuses distinctes ou une source lumineuse unique fonctionnant dans des conditions différentes (différences optiques, mécaniques ou électriques, par exemple), des surfaces apparentes dans la direction de l’axe de référence</w:t>
      </w:r>
      <w:r w:rsidRPr="0012120F">
        <w:rPr>
          <w:rStyle w:val="Appelnotedebasdep"/>
        </w:rPr>
        <w:t>2</w:t>
      </w:r>
      <w:r w:rsidRPr="00D6374E">
        <w:rPr>
          <w:rFonts w:eastAsia="Calibri"/>
        </w:rPr>
        <w:t xml:space="preserve"> totalement ou partiellement communes et un même boîtier</w:t>
      </w:r>
      <w:r w:rsidRPr="00D6374E">
        <w:rPr>
          <w:rFonts w:eastAsia="Calibri"/>
          <w:sz w:val="18"/>
          <w:szCs w:val="18"/>
          <w:vertAlign w:val="superscript"/>
        </w:rPr>
        <w:t>2</w:t>
      </w:r>
      <w:r w:rsidRPr="00D6374E">
        <w:rPr>
          <w:rFonts w:eastAsia="Calibri"/>
        </w:rPr>
        <w:t>.</w:t>
      </w:r>
    </w:p>
    <w:p w:rsidR="00D6374E" w:rsidRPr="00D6374E" w:rsidRDefault="00D6374E" w:rsidP="00D6374E">
      <w:pPr>
        <w:pStyle w:val="SingleTxtG"/>
        <w:ind w:left="2268" w:hanging="1134"/>
        <w:rPr>
          <w:rFonts w:eastAsia="Calibri"/>
        </w:rPr>
      </w:pPr>
      <w:r w:rsidRPr="00D6374E">
        <w:rPr>
          <w:rFonts w:eastAsia="Calibri"/>
        </w:rPr>
        <w:t>2.4.6</w:t>
      </w:r>
      <w:r w:rsidRPr="00D6374E">
        <w:rPr>
          <w:rFonts w:eastAsia="Calibri"/>
        </w:rPr>
        <w:tab/>
        <w:t>“</w:t>
      </w:r>
      <w:r w:rsidRPr="00D6374E">
        <w:rPr>
          <w:rFonts w:eastAsia="Calibri"/>
          <w:i/>
        </w:rPr>
        <w:t>Feu simple</w:t>
      </w:r>
      <w:r w:rsidRPr="00D6374E">
        <w:rPr>
          <w:rFonts w:eastAsia="Calibri"/>
        </w:rPr>
        <w:t>”, la partie d’un dispositif assurant une seule fonction d’éclairage ou de signalisation lumineuse.</w:t>
      </w:r>
    </w:p>
    <w:p w:rsidR="00D6374E" w:rsidRPr="00D6374E" w:rsidRDefault="00D6374E" w:rsidP="00D6374E">
      <w:pPr>
        <w:pStyle w:val="SingleTxtG"/>
        <w:ind w:left="2268" w:hanging="1134"/>
        <w:rPr>
          <w:rFonts w:eastAsia="Calibri"/>
        </w:rPr>
      </w:pPr>
      <w:r w:rsidRPr="00D6374E">
        <w:rPr>
          <w:rFonts w:eastAsia="Calibri"/>
        </w:rPr>
        <w:lastRenderedPageBreak/>
        <w:t>2.4.7</w:t>
      </w:r>
      <w:r w:rsidRPr="00D6374E">
        <w:rPr>
          <w:rFonts w:eastAsia="Calibri"/>
        </w:rPr>
        <w:tab/>
        <w:t>“</w:t>
      </w:r>
      <w:r w:rsidRPr="00D6374E">
        <w:rPr>
          <w:rFonts w:eastAsia="Calibri"/>
          <w:i/>
        </w:rPr>
        <w:t>Feu occultable</w:t>
      </w:r>
      <w:r w:rsidRPr="00D6374E">
        <w:rPr>
          <w:rFonts w:eastAsia="Calibri"/>
        </w:rPr>
        <w:t>”, un feu pouvant être dissimulé partiellement ou totalement, lorsqu’il n’est pas utilisé, au moyen d’un cache amovible, par déplacement du feu ou par tout autre moyen approprié. Le terme “escamotable” désigne plus particulièrement un feu occultable qui, par déplacement, disparaît dans la carrosserie.</w:t>
      </w:r>
    </w:p>
    <w:p w:rsidR="00D6374E" w:rsidRPr="00D6374E" w:rsidRDefault="00D6374E" w:rsidP="00D6374E">
      <w:pPr>
        <w:pStyle w:val="SingleTxtG"/>
        <w:ind w:left="2268" w:hanging="1134"/>
        <w:rPr>
          <w:rFonts w:eastAsia="Calibri"/>
        </w:rPr>
      </w:pPr>
      <w:r w:rsidRPr="00D6374E">
        <w:rPr>
          <w:rFonts w:eastAsia="Calibri"/>
        </w:rPr>
        <w:t>2.4.8</w:t>
      </w:r>
      <w:r w:rsidRPr="00D6374E">
        <w:rPr>
          <w:rFonts w:eastAsia="Calibri"/>
        </w:rPr>
        <w:tab/>
        <w:t>“</w:t>
      </w:r>
      <w:r w:rsidRPr="00D6374E">
        <w:rPr>
          <w:rFonts w:eastAsia="Calibri"/>
          <w:i/>
        </w:rPr>
        <w:t>Distance entre deux feux</w:t>
      </w:r>
      <w:r w:rsidRPr="00D6374E">
        <w:rPr>
          <w:rFonts w:eastAsia="Calibri"/>
        </w:rPr>
        <w:t>” orientés dans la même direction, la plus courte distance entre les deux surfaces apparentes dans la direction de l’axe de référence. Lorsque la distance entre deux feux satisfait manifestement aux prescriptions du présent Règlement, il est inutile de déterminer les bords exacts des surfaces apparentes.</w:t>
      </w:r>
    </w:p>
    <w:p w:rsidR="00D6374E" w:rsidRPr="00D6374E" w:rsidRDefault="00D6374E" w:rsidP="00D6374E">
      <w:pPr>
        <w:pStyle w:val="SingleTxtG"/>
        <w:ind w:left="2268" w:hanging="1134"/>
        <w:rPr>
          <w:rFonts w:eastAsia="Calibri"/>
        </w:rPr>
      </w:pPr>
      <w:r w:rsidRPr="00D6374E">
        <w:rPr>
          <w:rFonts w:eastAsia="Calibri"/>
        </w:rPr>
        <w:t>2.4.9</w:t>
      </w:r>
      <w:r w:rsidRPr="00D6374E">
        <w:rPr>
          <w:rFonts w:eastAsia="Calibri"/>
        </w:rPr>
        <w:tab/>
        <w:t>“</w:t>
      </w:r>
      <w:r w:rsidRPr="00D6374E">
        <w:rPr>
          <w:rFonts w:eastAsia="Calibri"/>
          <w:i/>
        </w:rPr>
        <w:t>Feu facultatif</w:t>
      </w:r>
      <w:r w:rsidRPr="00D6374E">
        <w:rPr>
          <w:rFonts w:eastAsia="Calibri"/>
        </w:rPr>
        <w:t>”, un feu dont l’installation est laissée à la discrétion du constructeur.</w:t>
      </w:r>
    </w:p>
    <w:p w:rsidR="00D6374E" w:rsidRPr="00D6374E" w:rsidRDefault="00D6374E" w:rsidP="00D6374E">
      <w:pPr>
        <w:pStyle w:val="SingleTxtG"/>
        <w:ind w:left="2268" w:hanging="1134"/>
        <w:rPr>
          <w:rFonts w:eastAsia="Calibri"/>
        </w:rPr>
      </w:pPr>
      <w:r w:rsidRPr="00D6374E">
        <w:rPr>
          <w:rFonts w:eastAsia="Calibri"/>
        </w:rPr>
        <w:t>2.4.10</w:t>
      </w:r>
      <w:r w:rsidRPr="00D6374E">
        <w:rPr>
          <w:rFonts w:eastAsia="Calibri"/>
        </w:rPr>
        <w:tab/>
        <w:t>“</w:t>
      </w:r>
      <w:r w:rsidRPr="00D6374E">
        <w:rPr>
          <w:rFonts w:eastAsia="Calibri"/>
          <w:i/>
        </w:rPr>
        <w:t>Paire</w:t>
      </w:r>
      <w:r w:rsidRPr="00D6374E">
        <w:rPr>
          <w:rFonts w:eastAsia="Calibri"/>
        </w:rPr>
        <w:t>”, un jeu de feux ayant la même fonction sur le côté droit et sur le côté gauche du véhicule.</w:t>
      </w:r>
    </w:p>
    <w:p w:rsidR="00D6374E" w:rsidRPr="00D6374E" w:rsidRDefault="00D6374E" w:rsidP="00D6374E">
      <w:pPr>
        <w:pStyle w:val="SingleTxtG"/>
        <w:ind w:left="2268" w:hanging="1134"/>
        <w:rPr>
          <w:rFonts w:eastAsia="Calibri"/>
        </w:rPr>
      </w:pPr>
      <w:r w:rsidRPr="00D6374E">
        <w:rPr>
          <w:rFonts w:eastAsia="Calibri"/>
        </w:rPr>
        <w:t>2.4.10.1</w:t>
      </w:r>
      <w:r w:rsidRPr="00D6374E">
        <w:rPr>
          <w:rFonts w:eastAsia="Calibri"/>
        </w:rPr>
        <w:tab/>
        <w:t>“</w:t>
      </w:r>
      <w:r w:rsidRPr="00D6374E">
        <w:rPr>
          <w:rFonts w:eastAsia="Calibri"/>
          <w:i/>
        </w:rPr>
        <w:t>Paire assortie</w:t>
      </w:r>
      <w:r w:rsidRPr="00D6374E">
        <w:rPr>
          <w:rFonts w:eastAsia="Calibri"/>
        </w:rPr>
        <w:t xml:space="preserve">”, un jeu de feux qui ont la même fonction sur le côté droit et sur le côté gauche du véhicule, et qui, en tant que </w:t>
      </w:r>
      <w:proofErr w:type="spellStart"/>
      <w:r w:rsidRPr="00D6374E">
        <w:rPr>
          <w:rFonts w:eastAsia="Calibri"/>
        </w:rPr>
        <w:t>paire</w:t>
      </w:r>
      <w:proofErr w:type="spellEnd"/>
      <w:r w:rsidRPr="00D6374E">
        <w:rPr>
          <w:rFonts w:eastAsia="Calibri"/>
        </w:rPr>
        <w:t xml:space="preserve">, satisfont aux prescriptions photométriques. </w:t>
      </w:r>
    </w:p>
    <w:p w:rsidR="00D6374E" w:rsidRPr="00D6374E" w:rsidRDefault="00D6374E" w:rsidP="00D6374E">
      <w:pPr>
        <w:pStyle w:val="SingleTxtG"/>
        <w:ind w:left="2268" w:hanging="1134"/>
        <w:rPr>
          <w:rFonts w:eastAsia="Calibri"/>
        </w:rPr>
      </w:pPr>
      <w:r w:rsidRPr="00D6374E">
        <w:rPr>
          <w:rFonts w:eastAsia="Calibri"/>
        </w:rPr>
        <w:t>2.4.11</w:t>
      </w:r>
      <w:r w:rsidRPr="00D6374E">
        <w:rPr>
          <w:rFonts w:eastAsia="Calibri"/>
        </w:rPr>
        <w:tab/>
        <w:t>“</w:t>
      </w:r>
      <w:r w:rsidRPr="00D6374E">
        <w:rPr>
          <w:rFonts w:eastAsia="Calibri"/>
          <w:i/>
        </w:rPr>
        <w:t>Feux simples et feux multiples</w:t>
      </w:r>
      <w:r w:rsidRPr="00D6374E">
        <w:rPr>
          <w:rFonts w:eastAsia="Calibri"/>
        </w:rPr>
        <w:t>”</w:t>
      </w:r>
    </w:p>
    <w:p w:rsidR="00D6374E" w:rsidRPr="00D6374E" w:rsidRDefault="00D6374E" w:rsidP="00D6374E">
      <w:pPr>
        <w:pStyle w:val="SingleTxtG"/>
        <w:ind w:left="2268" w:hanging="1134"/>
        <w:rPr>
          <w:rFonts w:eastAsia="Calibri"/>
          <w:lang w:eastAsia="fr-FR"/>
        </w:rPr>
      </w:pPr>
      <w:r w:rsidRPr="00D6374E">
        <w:rPr>
          <w:rFonts w:eastAsia="Calibri"/>
        </w:rPr>
        <w:t>2.4.11.1</w:t>
      </w:r>
      <w:r w:rsidRPr="00D6374E">
        <w:rPr>
          <w:rFonts w:eastAsia="Calibri"/>
        </w:rPr>
        <w:tab/>
        <w:t>“</w:t>
      </w:r>
      <w:r w:rsidRPr="00D6374E">
        <w:rPr>
          <w:rFonts w:eastAsia="Calibri"/>
          <w:i/>
          <w:lang w:eastAsia="fr-FR"/>
        </w:rPr>
        <w:t>Feu simple</w:t>
      </w:r>
      <w:r w:rsidRPr="00D6374E">
        <w:rPr>
          <w:rFonts w:eastAsia="Calibri"/>
          <w:lang w:eastAsia="fr-FR"/>
        </w:rPr>
        <w:t>” :</w:t>
      </w:r>
    </w:p>
    <w:p w:rsidR="00D6374E" w:rsidRPr="00D6374E" w:rsidRDefault="00D6374E" w:rsidP="00F82D7E">
      <w:pPr>
        <w:pStyle w:val="SingleTxtG"/>
        <w:ind w:left="2835" w:hanging="567"/>
        <w:rPr>
          <w:rFonts w:eastAsia="Calibri"/>
        </w:rPr>
      </w:pPr>
      <w:r w:rsidRPr="00D6374E">
        <w:rPr>
          <w:rFonts w:eastAsia="Calibri"/>
        </w:rPr>
        <w:t>a)</w:t>
      </w:r>
      <w:r w:rsidRPr="00D6374E">
        <w:rPr>
          <w:rFonts w:eastAsia="Calibri"/>
        </w:rPr>
        <w:tab/>
        <w:t>Un dispositif ou une partie de dispositif ne possédant qu’une fonction d’éclairage ou de signalisation lumineuse, une ou plusieurs sources lumineuses et une surface apparente dans la direction de l’axe de référence, qui peut être continue ou composée de deux parties distinctes ou plus ; ou</w:t>
      </w:r>
    </w:p>
    <w:p w:rsidR="00D6374E" w:rsidRPr="00D6374E" w:rsidRDefault="00D6374E" w:rsidP="00F82D7E">
      <w:pPr>
        <w:pStyle w:val="SingleTxtG"/>
        <w:ind w:left="2835" w:hanging="567"/>
        <w:rPr>
          <w:rFonts w:eastAsia="Calibri"/>
        </w:rPr>
      </w:pPr>
      <w:r w:rsidRPr="00D6374E">
        <w:rPr>
          <w:rFonts w:eastAsia="Calibri"/>
        </w:rPr>
        <w:t>b)</w:t>
      </w:r>
      <w:r w:rsidRPr="00D6374E">
        <w:rPr>
          <w:rFonts w:eastAsia="Calibri"/>
        </w:rPr>
        <w:tab/>
        <w:t>Tout assemblage de deux feux homologués en tant que feux “D”, identiques ou non, ayant la même fonction ; ou</w:t>
      </w:r>
    </w:p>
    <w:p w:rsidR="00D6374E" w:rsidRPr="00D6374E" w:rsidRDefault="00D6374E" w:rsidP="00F82D7E">
      <w:pPr>
        <w:pStyle w:val="SingleTxtG"/>
        <w:ind w:left="2835" w:hanging="567"/>
        <w:rPr>
          <w:rFonts w:eastAsia="Calibri"/>
        </w:rPr>
      </w:pPr>
      <w:r w:rsidRPr="00D6374E">
        <w:rPr>
          <w:rFonts w:eastAsia="Calibri"/>
        </w:rPr>
        <w:t>c)</w:t>
      </w:r>
      <w:r w:rsidRPr="00D6374E">
        <w:rPr>
          <w:rFonts w:eastAsia="Calibri"/>
        </w:rPr>
        <w:tab/>
        <w:t>Tout assemblage de deux catadioptres indépendants, identiques ou non, qui ont été homologués séparément ; ou</w:t>
      </w:r>
    </w:p>
    <w:p w:rsidR="00D6374E" w:rsidRPr="00D6374E" w:rsidRDefault="00D6374E" w:rsidP="00F82D7E">
      <w:pPr>
        <w:pStyle w:val="SingleTxtG"/>
        <w:ind w:left="2835" w:hanging="567"/>
        <w:rPr>
          <w:rFonts w:eastAsia="Calibri"/>
        </w:rPr>
      </w:pPr>
      <w:r w:rsidRPr="00D6374E">
        <w:rPr>
          <w:rFonts w:eastAsia="Calibri"/>
        </w:rPr>
        <w:t>d)</w:t>
      </w:r>
      <w:r w:rsidRPr="00D6374E">
        <w:rPr>
          <w:rFonts w:eastAsia="Calibri"/>
        </w:rPr>
        <w:tab/>
        <w:t xml:space="preserve">Tout système de feux interdépendants constitué de deux ou trois feux </w:t>
      </w:r>
      <w:r w:rsidRPr="000F0D70">
        <w:rPr>
          <w:rFonts w:eastAsia="Calibri"/>
        </w:rPr>
        <w:t>interdépendants ayant la même fonction, qui ont été homologués</w:t>
      </w:r>
      <w:r w:rsidRPr="00D6374E">
        <w:rPr>
          <w:rFonts w:eastAsia="Calibri"/>
        </w:rPr>
        <w:t xml:space="preserve"> ensemble en tant que feux “Y”.</w:t>
      </w:r>
    </w:p>
    <w:p w:rsidR="00D6374E" w:rsidRPr="00D6374E" w:rsidRDefault="00D6374E" w:rsidP="00D6374E">
      <w:pPr>
        <w:pStyle w:val="SingleTxtG"/>
        <w:ind w:left="2268" w:hanging="1134"/>
        <w:rPr>
          <w:rFonts w:eastAsia="Calibri"/>
        </w:rPr>
      </w:pPr>
      <w:r w:rsidRPr="000F0D70">
        <w:rPr>
          <w:rFonts w:eastAsia="Calibri"/>
        </w:rPr>
        <w:t>2.4.11.2</w:t>
      </w:r>
      <w:r w:rsidRPr="00D6374E">
        <w:rPr>
          <w:rFonts w:eastAsia="Calibri"/>
        </w:rPr>
        <w:tab/>
        <w:t>“</w:t>
      </w:r>
      <w:r w:rsidRPr="00D6374E">
        <w:rPr>
          <w:rFonts w:eastAsia="Calibri"/>
          <w:i/>
        </w:rPr>
        <w:t>Deux feux</w:t>
      </w:r>
      <w:r w:rsidRPr="00D6374E">
        <w:rPr>
          <w:rFonts w:eastAsia="Calibri"/>
        </w:rPr>
        <w:t>” ou “</w:t>
      </w:r>
      <w:r w:rsidRPr="00D6374E">
        <w:rPr>
          <w:rFonts w:eastAsia="Calibri"/>
          <w:i/>
        </w:rPr>
        <w:t>un nombre pair de feux</w:t>
      </w:r>
      <w:r w:rsidRPr="00D6374E">
        <w:rPr>
          <w:rFonts w:eastAsia="Calibri"/>
        </w:rPr>
        <w:t>” ayant la forme d’une bande désigne deux feux avec une seule surface de sortie de la lumière lorsque cette bande est située symétriquement par rapport au plan longitudinal médian du véhicule.</w:t>
      </w:r>
    </w:p>
    <w:p w:rsidR="00D6374E" w:rsidRPr="00D6374E" w:rsidRDefault="00D6374E" w:rsidP="00D6374E">
      <w:pPr>
        <w:pStyle w:val="SingleTxtG"/>
        <w:ind w:left="2268" w:hanging="1134"/>
        <w:rPr>
          <w:rFonts w:eastAsia="Calibri"/>
        </w:rPr>
      </w:pPr>
      <w:r w:rsidRPr="00D6374E">
        <w:rPr>
          <w:rFonts w:eastAsia="Calibri"/>
        </w:rPr>
        <w:t>2.4.12</w:t>
      </w:r>
      <w:r w:rsidRPr="00D6374E">
        <w:rPr>
          <w:rFonts w:eastAsia="Calibri"/>
        </w:rPr>
        <w:tab/>
        <w:t>“</w:t>
      </w:r>
      <w:r w:rsidRPr="00D6374E">
        <w:rPr>
          <w:rFonts w:eastAsia="Calibri"/>
          <w:i/>
        </w:rPr>
        <w:t>Système de feux interdépendants</w:t>
      </w:r>
      <w:r w:rsidRPr="00D6374E">
        <w:rPr>
          <w:rFonts w:eastAsia="Calibri"/>
        </w:rPr>
        <w:t>”, un ensemble constitué de deux ou trois feux interdépendants ayant la même fonction.</w:t>
      </w:r>
    </w:p>
    <w:p w:rsidR="00D6374E" w:rsidRPr="00D6374E" w:rsidRDefault="00D6374E" w:rsidP="00D6374E">
      <w:pPr>
        <w:pStyle w:val="SingleTxtG"/>
        <w:ind w:left="2268" w:hanging="1134"/>
        <w:rPr>
          <w:rFonts w:eastAsia="Calibri"/>
        </w:rPr>
      </w:pPr>
      <w:r w:rsidRPr="00D6374E">
        <w:rPr>
          <w:rFonts w:eastAsia="Calibri"/>
        </w:rPr>
        <w:t>2.4.12.1</w:t>
      </w:r>
      <w:r w:rsidRPr="00D6374E">
        <w:rPr>
          <w:rFonts w:eastAsia="Calibri"/>
        </w:rPr>
        <w:tab/>
        <w:t>“</w:t>
      </w:r>
      <w:r w:rsidRPr="00D6374E">
        <w:rPr>
          <w:rFonts w:eastAsia="Calibri"/>
          <w:i/>
        </w:rPr>
        <w:t>Feu interdépendant marqué « Y »</w:t>
      </w:r>
      <w:r w:rsidRPr="00D6374E">
        <w:rPr>
          <w:rFonts w:eastAsia="Calibri"/>
        </w:rPr>
        <w:t>”, un dispositif fonctionnant comme un élément d’un système de feux interdépendants. Les feux interdépendants fonctionnent ensemble lorsqu’ils sont activés, ont des surfaces apparentes dans la direction de l’axe de référence distinctes et des boîtiers distincts, et peuvent avoir des sources lumineuses distinctes.</w:t>
      </w:r>
    </w:p>
    <w:p w:rsidR="00D6374E" w:rsidRPr="00D6374E" w:rsidRDefault="00D6374E" w:rsidP="00D6374E">
      <w:pPr>
        <w:pStyle w:val="SingleTxtG"/>
        <w:ind w:left="2268" w:hanging="1134"/>
        <w:rPr>
          <w:rFonts w:eastAsia="Calibri"/>
        </w:rPr>
      </w:pPr>
      <w:r w:rsidRPr="00D6374E">
        <w:rPr>
          <w:rFonts w:eastAsia="Calibri"/>
        </w:rPr>
        <w:t>2.4.13</w:t>
      </w:r>
      <w:r w:rsidRPr="00D6374E">
        <w:rPr>
          <w:rFonts w:eastAsia="Calibri"/>
        </w:rPr>
        <w:tab/>
        <w:t>“</w:t>
      </w:r>
      <w:r w:rsidRPr="00D6374E">
        <w:rPr>
          <w:rFonts w:eastAsia="Calibri"/>
          <w:i/>
        </w:rPr>
        <w:t>Feux marqués « D »</w:t>
      </w:r>
      <w:r w:rsidRPr="00D6374E">
        <w:rPr>
          <w:rFonts w:eastAsia="Calibri"/>
        </w:rPr>
        <w:t>”, des feux indépendants, homologués en tant qu’entités distinctes, de manière qu’ils puissent être utilisés séparément ou comme un ensemble de deux feux considéré comme un “feu simple”.</w:t>
      </w:r>
    </w:p>
    <w:p w:rsidR="00D6374E" w:rsidRPr="00D6374E" w:rsidRDefault="00D6374E" w:rsidP="00D6374E">
      <w:pPr>
        <w:pStyle w:val="SingleTxtG"/>
        <w:ind w:left="2268" w:hanging="1134"/>
        <w:rPr>
          <w:rFonts w:eastAsia="Calibri"/>
        </w:rPr>
      </w:pPr>
      <w:r w:rsidRPr="00D6374E">
        <w:rPr>
          <w:rFonts w:eastAsia="Calibri"/>
        </w:rPr>
        <w:t>2.4.14</w:t>
      </w:r>
      <w:r w:rsidRPr="00D6374E">
        <w:rPr>
          <w:rFonts w:eastAsia="Calibri"/>
        </w:rPr>
        <w:tab/>
        <w:t>“</w:t>
      </w:r>
      <w:r w:rsidRPr="00D6374E">
        <w:rPr>
          <w:rFonts w:eastAsia="Calibri"/>
          <w:i/>
        </w:rPr>
        <w:t>Projecteurs de différentes « classes »</w:t>
      </w:r>
      <w:r w:rsidRPr="00D6374E">
        <w:rPr>
          <w:rFonts w:eastAsia="Calibri"/>
        </w:rPr>
        <w:t>”, les projecteurs définis au moyen de prescriptions photométriques particulières.</w:t>
      </w:r>
    </w:p>
    <w:p w:rsidR="00D6374E" w:rsidRPr="00D6374E" w:rsidRDefault="00D6374E" w:rsidP="00D6374E">
      <w:pPr>
        <w:pStyle w:val="SingleTxtG"/>
        <w:ind w:left="2268" w:hanging="1134"/>
        <w:rPr>
          <w:rFonts w:eastAsia="Calibri"/>
        </w:rPr>
      </w:pPr>
      <w:r w:rsidRPr="00D6374E">
        <w:rPr>
          <w:rFonts w:eastAsia="Calibri"/>
        </w:rPr>
        <w:t>2.4.15</w:t>
      </w:r>
      <w:r w:rsidRPr="00D6374E">
        <w:rPr>
          <w:rFonts w:eastAsia="Calibri"/>
        </w:rPr>
        <w:tab/>
        <w:t>Définitions concernant les projecteurs émettant un faisceau de route et/ou un faisceau de croisement symétrique pour les véhicules des catégories L et T</w:t>
      </w:r>
    </w:p>
    <w:p w:rsidR="00D6374E" w:rsidRPr="00D6374E" w:rsidRDefault="00D6374E" w:rsidP="00D6374E">
      <w:pPr>
        <w:pStyle w:val="SingleTxtG"/>
        <w:ind w:left="2268" w:hanging="1134"/>
        <w:rPr>
          <w:rFonts w:eastAsia="Calibri"/>
        </w:rPr>
      </w:pPr>
      <w:r w:rsidRPr="00D6374E">
        <w:rPr>
          <w:rFonts w:eastAsia="Calibri"/>
        </w:rPr>
        <w:t>2.4.15.1</w:t>
      </w:r>
      <w:r w:rsidRPr="00D6374E">
        <w:rPr>
          <w:rFonts w:eastAsia="Calibri"/>
        </w:rPr>
        <w:tab/>
        <w:t>“</w:t>
      </w:r>
      <w:r w:rsidRPr="00D6374E">
        <w:rPr>
          <w:rFonts w:eastAsia="Calibri"/>
          <w:i/>
        </w:rPr>
        <w:t>Unité d’éclairage supplémentaire</w:t>
      </w:r>
      <w:r w:rsidRPr="00D6374E">
        <w:rPr>
          <w:rFonts w:eastAsia="Calibri"/>
        </w:rPr>
        <w:t xml:space="preserve">” désigne le composant d’un projecteur qui produit l’éclairage de virage. Ce composant, qui est indépendant du dispositif émettant le faisceau de croisement principal, peut être constitué d’éléments </w:t>
      </w:r>
      <w:r w:rsidRPr="00D6374E">
        <w:rPr>
          <w:rFonts w:eastAsia="Calibri"/>
        </w:rPr>
        <w:lastRenderedPageBreak/>
        <w:t>optiques, mécaniques et électriques, et peut être groupé avec d’autres dispositifs d’éclairage ou de signalisation lumineuse et/ou mutuellement incorporé à ceux-ci.</w:t>
      </w:r>
    </w:p>
    <w:p w:rsidR="00D6374E" w:rsidRPr="00D6374E" w:rsidRDefault="00D6374E" w:rsidP="00D6374E">
      <w:pPr>
        <w:pStyle w:val="SingleTxtG"/>
        <w:ind w:left="2268" w:hanging="1134"/>
        <w:rPr>
          <w:rFonts w:eastAsia="Calibri"/>
        </w:rPr>
      </w:pPr>
      <w:r w:rsidRPr="00D6374E">
        <w:rPr>
          <w:rFonts w:eastAsia="Calibri"/>
        </w:rPr>
        <w:t>2.4.16</w:t>
      </w:r>
      <w:r w:rsidRPr="00D6374E">
        <w:rPr>
          <w:rFonts w:eastAsia="Calibri"/>
        </w:rPr>
        <w:tab/>
        <w:t>Définitions concernant les catadioptres</w:t>
      </w:r>
    </w:p>
    <w:p w:rsidR="00D6374E" w:rsidRPr="00D6374E" w:rsidRDefault="00D6374E" w:rsidP="00DB75DF">
      <w:pPr>
        <w:pStyle w:val="SingleTxtG"/>
        <w:ind w:left="2268"/>
        <w:rPr>
          <w:rFonts w:eastAsia="Calibri"/>
        </w:rPr>
      </w:pPr>
      <w:r w:rsidRPr="00D6374E">
        <w:rPr>
          <w:rFonts w:eastAsia="Calibri"/>
        </w:rPr>
        <w:t>On entend par :</w:t>
      </w:r>
    </w:p>
    <w:p w:rsidR="00D6374E" w:rsidRPr="00D6374E" w:rsidRDefault="00D6374E" w:rsidP="00D6374E">
      <w:pPr>
        <w:pStyle w:val="SingleTxtG"/>
        <w:ind w:left="2268" w:hanging="1134"/>
        <w:rPr>
          <w:rFonts w:eastAsia="Calibri"/>
        </w:rPr>
      </w:pPr>
      <w:r w:rsidRPr="00D6374E">
        <w:rPr>
          <w:rFonts w:eastAsia="Calibri"/>
        </w:rPr>
        <w:t>2.4.16.1</w:t>
      </w:r>
      <w:r w:rsidRPr="00D6374E">
        <w:rPr>
          <w:rFonts w:eastAsia="Calibri"/>
        </w:rPr>
        <w:tab/>
        <w:t>“</w:t>
      </w:r>
      <w:r w:rsidRPr="00D6374E">
        <w:rPr>
          <w:rFonts w:eastAsia="Calibri"/>
          <w:i/>
        </w:rPr>
        <w:t>Réflexion catadioptrique</w:t>
      </w:r>
      <w:r w:rsidRPr="00D6374E">
        <w:rPr>
          <w:rFonts w:eastAsia="Calibri"/>
        </w:rPr>
        <w:t>”, la réflexion caractérisée par le renvoi du rayonnement dans des directions voisines de celle d’où il provient. Cette propriété est conservée même pour des variations importantes de l’angle d’éclairage :</w:t>
      </w:r>
    </w:p>
    <w:p w:rsidR="00D6374E" w:rsidRPr="00D6374E" w:rsidRDefault="00D6374E" w:rsidP="00D6374E">
      <w:pPr>
        <w:pStyle w:val="SingleTxtG"/>
        <w:ind w:left="2268" w:hanging="1134"/>
        <w:rPr>
          <w:rFonts w:eastAsia="Calibri"/>
        </w:rPr>
      </w:pPr>
      <w:r w:rsidRPr="00D6374E">
        <w:rPr>
          <w:rFonts w:eastAsia="Calibri"/>
        </w:rPr>
        <w:t>2.4.16.2</w:t>
      </w:r>
      <w:r w:rsidRPr="00D6374E">
        <w:rPr>
          <w:rFonts w:eastAsia="Calibri"/>
        </w:rPr>
        <w:tab/>
        <w:t>“</w:t>
      </w:r>
      <w:r w:rsidRPr="00D6374E">
        <w:rPr>
          <w:rFonts w:eastAsia="Calibri"/>
          <w:i/>
        </w:rPr>
        <w:t>Dispositif catadioptrique</w:t>
      </w:r>
      <w:r w:rsidRPr="00D6374E">
        <w:rPr>
          <w:rFonts w:eastAsia="Calibri"/>
        </w:rPr>
        <w:t>”, un ensemble prêt à être utilisé et qui comprend une ou plusieurs optiques catadioptriques ; les dispositifs catadioptriques sont répartis, suivant leurs caractéristiques photométriques, en diverses classes : Classe IA ou IB, Classe IIIA ou IIIB, et Classe IVA. Les dispositifs catadioptriques des Classes IB et IIIB sont des dispositifs combinés avec d’autres feux de signalisation qui ne sont pas étanches et qui sont intégrés dans la carrosserie d’un véhicule.</w:t>
      </w:r>
    </w:p>
    <w:p w:rsidR="00D6374E" w:rsidRPr="00D6374E" w:rsidRDefault="00D6374E" w:rsidP="00D6374E">
      <w:pPr>
        <w:pStyle w:val="SingleTxtG"/>
        <w:ind w:left="2268" w:hanging="1134"/>
        <w:rPr>
          <w:rFonts w:eastAsia="Calibri"/>
        </w:rPr>
      </w:pPr>
      <w:r w:rsidRPr="00D6374E">
        <w:rPr>
          <w:rFonts w:eastAsia="Calibri"/>
        </w:rPr>
        <w:t>2.4.17</w:t>
      </w:r>
      <w:r w:rsidRPr="00D6374E">
        <w:rPr>
          <w:rFonts w:eastAsia="Calibri"/>
        </w:rPr>
        <w:tab/>
        <w:t xml:space="preserve">Définitions concernant le marquage </w:t>
      </w:r>
      <w:proofErr w:type="spellStart"/>
      <w:r w:rsidRPr="00D6374E">
        <w:rPr>
          <w:rFonts w:eastAsia="Calibri"/>
        </w:rPr>
        <w:t>rétroréfléchissant</w:t>
      </w:r>
      <w:proofErr w:type="spellEnd"/>
    </w:p>
    <w:p w:rsidR="00D6374E" w:rsidRPr="00D6374E" w:rsidRDefault="00D6374E" w:rsidP="00DB75DF">
      <w:pPr>
        <w:pStyle w:val="SingleTxtG"/>
        <w:ind w:left="2268"/>
        <w:rPr>
          <w:rFonts w:eastAsia="Calibri"/>
        </w:rPr>
      </w:pPr>
      <w:r w:rsidRPr="00D6374E">
        <w:rPr>
          <w:rFonts w:eastAsia="Calibri"/>
        </w:rPr>
        <w:t>On entend par :</w:t>
      </w:r>
    </w:p>
    <w:p w:rsidR="00D6374E" w:rsidRPr="00D6374E" w:rsidRDefault="00D6374E" w:rsidP="00D6374E">
      <w:pPr>
        <w:pStyle w:val="SingleTxtG"/>
        <w:ind w:left="2268" w:hanging="1134"/>
        <w:rPr>
          <w:rFonts w:eastAsia="Calibri"/>
        </w:rPr>
      </w:pPr>
      <w:r w:rsidRPr="00D6374E">
        <w:rPr>
          <w:rFonts w:eastAsia="Calibri"/>
        </w:rPr>
        <w:t>2.4.17.1</w:t>
      </w:r>
      <w:r w:rsidRPr="00D6374E">
        <w:rPr>
          <w:rFonts w:eastAsia="Calibri"/>
        </w:rPr>
        <w:tab/>
        <w:t>“</w:t>
      </w:r>
      <w:r w:rsidRPr="00D6374E">
        <w:rPr>
          <w:rFonts w:eastAsia="Calibri"/>
          <w:i/>
        </w:rPr>
        <w:t xml:space="preserve">Produit de marquage </w:t>
      </w:r>
      <w:proofErr w:type="spellStart"/>
      <w:r w:rsidRPr="00D6374E">
        <w:rPr>
          <w:rFonts w:eastAsia="Calibri"/>
          <w:i/>
        </w:rPr>
        <w:t>rétroréfléchissant</w:t>
      </w:r>
      <w:proofErr w:type="spellEnd"/>
      <w:r w:rsidRPr="00D6374E">
        <w:rPr>
          <w:rFonts w:eastAsia="Calibri"/>
        </w:rPr>
        <w:t>”, une surface ou un dispositif qui, lorsqu’ils sont éclairés de façon directionnelle, renvoient une partie relativement importante du rayonnement incident.</w:t>
      </w:r>
    </w:p>
    <w:p w:rsidR="00D6374E" w:rsidRPr="00D6374E" w:rsidRDefault="00D6374E" w:rsidP="00D6374E">
      <w:pPr>
        <w:pStyle w:val="SingleTxtG"/>
        <w:ind w:left="2268" w:hanging="1134"/>
        <w:rPr>
          <w:rFonts w:eastAsia="Calibri"/>
        </w:rPr>
      </w:pPr>
      <w:r w:rsidRPr="00D6374E">
        <w:rPr>
          <w:rFonts w:eastAsia="Calibri"/>
        </w:rPr>
        <w:t>2.4.17.2</w:t>
      </w:r>
      <w:r w:rsidRPr="00D6374E">
        <w:rPr>
          <w:rFonts w:eastAsia="Calibri"/>
        </w:rPr>
        <w:tab/>
        <w:t>“</w:t>
      </w:r>
      <w:r w:rsidRPr="00D6374E">
        <w:rPr>
          <w:rFonts w:eastAsia="Calibri"/>
          <w:i/>
        </w:rPr>
        <w:t>Plaque d’immatriculation arrière</w:t>
      </w:r>
      <w:r w:rsidRPr="00D6374E">
        <w:rPr>
          <w:rFonts w:eastAsia="Calibri"/>
        </w:rPr>
        <w:t xml:space="preserve">”, une plaque revêtue d’un matériau ou de dispositifs </w:t>
      </w:r>
      <w:proofErr w:type="spellStart"/>
      <w:r w:rsidRPr="00D6374E">
        <w:rPr>
          <w:rFonts w:eastAsia="Calibri"/>
        </w:rPr>
        <w:t>rétroréfléchissants</w:t>
      </w:r>
      <w:proofErr w:type="spellEnd"/>
      <w:r w:rsidRPr="00D6374E">
        <w:rPr>
          <w:rFonts w:eastAsia="Calibri"/>
        </w:rPr>
        <w:t xml:space="preserve"> et fluorescents, conçue pour rendre plus visibles et facilement reconnaissables les véhicules lourds et longs.</w:t>
      </w:r>
    </w:p>
    <w:p w:rsidR="00D6374E" w:rsidRPr="00D6374E" w:rsidRDefault="00D6374E" w:rsidP="00D6374E">
      <w:pPr>
        <w:pStyle w:val="SingleTxtG"/>
        <w:ind w:left="2268" w:hanging="1134"/>
        <w:rPr>
          <w:rFonts w:eastAsia="Calibri"/>
        </w:rPr>
      </w:pPr>
      <w:r w:rsidRPr="00D6374E">
        <w:rPr>
          <w:rFonts w:eastAsia="Calibri"/>
        </w:rPr>
        <w:t>2.4.17.3</w:t>
      </w:r>
      <w:r w:rsidRPr="00D6374E">
        <w:rPr>
          <w:rFonts w:eastAsia="Calibri"/>
        </w:rPr>
        <w:tab/>
        <w:t>“</w:t>
      </w:r>
      <w:r w:rsidRPr="00D6374E">
        <w:rPr>
          <w:rFonts w:eastAsia="Calibri"/>
          <w:i/>
        </w:rPr>
        <w:t>Plaque d’immatriculation arrière pour véhicules lents</w:t>
      </w:r>
      <w:r w:rsidRPr="00D6374E">
        <w:rPr>
          <w:rFonts w:eastAsia="Calibri"/>
        </w:rPr>
        <w:t xml:space="preserve">”, une plaque triangulaire aux sommets tronqués qui porte un dessin caractéristique et des catadioptres ou des matériaux </w:t>
      </w:r>
      <w:proofErr w:type="spellStart"/>
      <w:r w:rsidRPr="00D6374E">
        <w:rPr>
          <w:rFonts w:eastAsia="Calibri"/>
        </w:rPr>
        <w:t>rétroréfléchissants</w:t>
      </w:r>
      <w:proofErr w:type="spellEnd"/>
      <w:r w:rsidRPr="00D6374E">
        <w:rPr>
          <w:rFonts w:eastAsia="Calibri"/>
        </w:rPr>
        <w:t xml:space="preserve"> ou fluorescents.</w:t>
      </w:r>
    </w:p>
    <w:p w:rsidR="00D6374E" w:rsidRPr="00D6374E" w:rsidRDefault="00D6374E" w:rsidP="00D6374E">
      <w:pPr>
        <w:pStyle w:val="SingleTxtG"/>
        <w:ind w:left="2268" w:hanging="1134"/>
        <w:rPr>
          <w:rFonts w:eastAsia="Calibri"/>
        </w:rPr>
      </w:pPr>
      <w:r w:rsidRPr="00D6374E">
        <w:rPr>
          <w:rFonts w:eastAsia="Calibri"/>
        </w:rPr>
        <w:t>2.4.17.4</w:t>
      </w:r>
      <w:r w:rsidRPr="00D6374E">
        <w:rPr>
          <w:rFonts w:eastAsia="Calibri"/>
        </w:rPr>
        <w:tab/>
        <w:t>“</w:t>
      </w:r>
      <w:r w:rsidRPr="00D6374E">
        <w:rPr>
          <w:rFonts w:eastAsia="Calibri"/>
          <w:i/>
        </w:rPr>
        <w:t>Unité-échantillon</w:t>
      </w:r>
      <w:r w:rsidRPr="00D6374E">
        <w:rPr>
          <w:rFonts w:eastAsia="Calibri"/>
        </w:rPr>
        <w:t xml:space="preserve">”, un dispositif </w:t>
      </w:r>
      <w:proofErr w:type="spellStart"/>
      <w:r w:rsidRPr="00D6374E">
        <w:rPr>
          <w:rFonts w:eastAsia="Calibri"/>
        </w:rPr>
        <w:t>rétroréfléchissant</w:t>
      </w:r>
      <w:proofErr w:type="spellEnd"/>
      <w:r w:rsidRPr="00D6374E">
        <w:rPr>
          <w:rFonts w:eastAsia="Calibri"/>
        </w:rPr>
        <w:t xml:space="preserve"> complet prêt à être monté sur un véhicule et d’un modèle courant. </w:t>
      </w:r>
    </w:p>
    <w:p w:rsidR="00D6374E" w:rsidRPr="00D6374E" w:rsidRDefault="00D6374E" w:rsidP="00D6374E">
      <w:pPr>
        <w:pStyle w:val="SingleTxtG"/>
        <w:ind w:left="2268" w:hanging="1134"/>
        <w:rPr>
          <w:rFonts w:eastAsia="Calibri"/>
        </w:rPr>
      </w:pPr>
      <w:r w:rsidRPr="00BB77EE">
        <w:rPr>
          <w:rFonts w:eastAsia="Calibri"/>
        </w:rPr>
        <w:t>2.4.17.5</w:t>
      </w:r>
      <w:r w:rsidRPr="00BB77EE">
        <w:rPr>
          <w:rFonts w:eastAsia="Calibri"/>
        </w:rPr>
        <w:tab/>
        <w:t>“</w:t>
      </w:r>
      <w:r w:rsidRPr="00BB77EE">
        <w:rPr>
          <w:rFonts w:eastAsia="Calibri"/>
          <w:i/>
        </w:rPr>
        <w:t>Fluorescence</w:t>
      </w:r>
      <w:r w:rsidRPr="00BB77EE">
        <w:rPr>
          <w:rFonts w:eastAsia="Calibri"/>
        </w:rPr>
        <w:t>”, le phénomène qui fait que lorsque certaines substances sont placées près d’une source de radiations ultraviolettes ou bleues, elles émettent des radiations dont la longueur d’onde est presque toujours supérieure à celle des radiations produisant cet effet. De jour, ainsi qu’à l’aube et au crépuscule, les couleurs fluorescentes sont plus brillantes que les couleurs ordinaires car elles reflètent une partie de la lumière qu’elles reçoivent et, en plus, elles émettent de la lumière. De nuit, elles ne sont pas plus vives que les couleurs ordinaires.</w:t>
      </w:r>
      <w:r w:rsidRPr="00D6374E">
        <w:rPr>
          <w:rFonts w:eastAsia="Calibri"/>
        </w:rPr>
        <w:t xml:space="preserve"> </w:t>
      </w:r>
    </w:p>
    <w:p w:rsidR="00D6374E" w:rsidRPr="00D6374E" w:rsidRDefault="00D6374E" w:rsidP="00D6374E">
      <w:pPr>
        <w:pStyle w:val="SingleTxtG"/>
        <w:ind w:left="2268" w:hanging="1134"/>
        <w:rPr>
          <w:rFonts w:eastAsia="Calibri"/>
        </w:rPr>
      </w:pPr>
      <w:r w:rsidRPr="00D6374E">
        <w:rPr>
          <w:rFonts w:eastAsia="Calibri"/>
        </w:rPr>
        <w:t>2.5</w:t>
      </w:r>
      <w:r w:rsidRPr="00D6374E">
        <w:rPr>
          <w:rFonts w:eastAsia="Calibri"/>
        </w:rPr>
        <w:tab/>
        <w:t>Définitions concernant certains feux</w:t>
      </w:r>
    </w:p>
    <w:p w:rsidR="00D6374E" w:rsidRPr="00D6374E" w:rsidRDefault="00D6374E" w:rsidP="00DB75DF">
      <w:pPr>
        <w:pStyle w:val="SingleTxtG"/>
        <w:ind w:left="2268"/>
        <w:rPr>
          <w:rFonts w:eastAsia="Calibri"/>
        </w:rPr>
      </w:pPr>
      <w:r w:rsidRPr="00D6374E">
        <w:rPr>
          <w:rFonts w:eastAsia="Calibri"/>
        </w:rPr>
        <w:t>Au sens du présent Règlement, on entend par :</w:t>
      </w:r>
    </w:p>
    <w:p w:rsidR="00D6374E" w:rsidRPr="00D6374E" w:rsidRDefault="00D6374E" w:rsidP="00D6374E">
      <w:pPr>
        <w:pStyle w:val="SingleTxtG"/>
        <w:ind w:left="2268" w:hanging="1134"/>
        <w:rPr>
          <w:rFonts w:eastAsia="Calibri"/>
        </w:rPr>
      </w:pPr>
      <w:r w:rsidRPr="00D6374E">
        <w:rPr>
          <w:rFonts w:eastAsia="Calibri"/>
        </w:rPr>
        <w:t>2.5.1</w:t>
      </w:r>
      <w:r w:rsidRPr="00D6374E">
        <w:rPr>
          <w:rFonts w:eastAsia="Calibri"/>
        </w:rPr>
        <w:tab/>
        <w:t>“</w:t>
      </w:r>
      <w:r w:rsidRPr="00D6374E">
        <w:rPr>
          <w:rFonts w:eastAsia="Calibri"/>
          <w:i/>
        </w:rPr>
        <w:t>Feu de route</w:t>
      </w:r>
      <w:r w:rsidRPr="00D6374E">
        <w:rPr>
          <w:rFonts w:eastAsia="Calibri"/>
        </w:rPr>
        <w:t>”, le feu servant à éclairer la route sur une grande distance en avant du véhicule.</w:t>
      </w:r>
    </w:p>
    <w:p w:rsidR="00D6374E" w:rsidRPr="00D6374E" w:rsidRDefault="00D6374E" w:rsidP="00D6374E">
      <w:pPr>
        <w:pStyle w:val="SingleTxtG"/>
        <w:ind w:left="2268" w:hanging="1134"/>
        <w:rPr>
          <w:rFonts w:eastAsia="Calibri"/>
        </w:rPr>
      </w:pPr>
      <w:r w:rsidRPr="00D6374E">
        <w:rPr>
          <w:rFonts w:eastAsia="Calibri"/>
        </w:rPr>
        <w:t>2.5.2</w:t>
      </w:r>
      <w:r w:rsidRPr="00D6374E">
        <w:rPr>
          <w:rFonts w:eastAsia="Calibri"/>
        </w:rPr>
        <w:tab/>
        <w:t>“</w:t>
      </w:r>
      <w:r w:rsidRPr="00D6374E">
        <w:rPr>
          <w:rFonts w:eastAsia="Calibri"/>
          <w:i/>
        </w:rPr>
        <w:t>Feu de croisement</w:t>
      </w:r>
      <w:r w:rsidRPr="00D6374E">
        <w:rPr>
          <w:rFonts w:eastAsia="Calibri"/>
        </w:rPr>
        <w:t>”, le feu servant à éclairer la route en avant du véhicule, sans éblouir ni gêner indûment les conducteurs venant en sens inverse ou les autres usagers de la route.</w:t>
      </w:r>
    </w:p>
    <w:p w:rsidR="00D6374E" w:rsidRPr="00D6374E" w:rsidRDefault="00D6374E" w:rsidP="00D6374E">
      <w:pPr>
        <w:pStyle w:val="SingleTxtG"/>
        <w:ind w:left="2268" w:hanging="1134"/>
        <w:rPr>
          <w:rFonts w:eastAsia="Calibri"/>
        </w:rPr>
      </w:pPr>
      <w:r w:rsidRPr="00D6374E">
        <w:rPr>
          <w:rFonts w:eastAsia="Calibri"/>
        </w:rPr>
        <w:t>2.5.2.1</w:t>
      </w:r>
      <w:r w:rsidRPr="00D6374E">
        <w:rPr>
          <w:rFonts w:eastAsia="Calibri"/>
        </w:rPr>
        <w:tab/>
        <w:t>“</w:t>
      </w:r>
      <w:r w:rsidRPr="00D6374E">
        <w:rPr>
          <w:rFonts w:eastAsia="Calibri"/>
          <w:i/>
        </w:rPr>
        <w:t>Faisceau de croisement principal</w:t>
      </w:r>
      <w:r w:rsidRPr="00D6374E">
        <w:rPr>
          <w:rFonts w:eastAsia="Calibri"/>
        </w:rPr>
        <w:t xml:space="preserve">”, le faisceau de croisement produit sans l’appoint d’un émetteur </w:t>
      </w:r>
      <w:proofErr w:type="spellStart"/>
      <w:r w:rsidRPr="00D6374E">
        <w:rPr>
          <w:rFonts w:eastAsia="Calibri"/>
        </w:rPr>
        <w:t>infrarouge</w:t>
      </w:r>
      <w:proofErr w:type="spellEnd"/>
      <w:r w:rsidRPr="00D6374E">
        <w:rPr>
          <w:rFonts w:eastAsia="Calibri"/>
        </w:rPr>
        <w:t xml:space="preserve"> ni de sources lumineuses supplémentaires comme éclairage de virage.</w:t>
      </w:r>
    </w:p>
    <w:p w:rsidR="00D6374E" w:rsidRPr="00D6374E" w:rsidRDefault="00D6374E" w:rsidP="00D6374E">
      <w:pPr>
        <w:pStyle w:val="SingleTxtG"/>
        <w:ind w:left="2268" w:hanging="1134"/>
        <w:rPr>
          <w:rFonts w:eastAsia="Calibri"/>
        </w:rPr>
      </w:pPr>
      <w:r w:rsidRPr="00D6374E">
        <w:rPr>
          <w:rFonts w:eastAsia="Calibri"/>
        </w:rPr>
        <w:t>2.5.3</w:t>
      </w:r>
      <w:r w:rsidRPr="00D6374E">
        <w:rPr>
          <w:rFonts w:eastAsia="Calibri"/>
        </w:rPr>
        <w:tab/>
        <w:t>“</w:t>
      </w:r>
      <w:r w:rsidRPr="00D6374E">
        <w:rPr>
          <w:rFonts w:eastAsia="Calibri"/>
          <w:i/>
        </w:rPr>
        <w:t>Feu indicateur de direction</w:t>
      </w:r>
      <w:r w:rsidRPr="00D6374E">
        <w:rPr>
          <w:rFonts w:eastAsia="Calibri"/>
        </w:rPr>
        <w:t xml:space="preserve">”, le feu servant à indiquer aux autres usagers de la route que le conducteur a l’intention de changer de direction vers la droite ou vers la gauche. Le(s) feu(x) indicateur(s) de direction peut (peuvent) aussi </w:t>
      </w:r>
      <w:r w:rsidRPr="00D6374E">
        <w:rPr>
          <w:rFonts w:eastAsia="Calibri"/>
        </w:rPr>
        <w:lastRenderedPageBreak/>
        <w:t>être utilisé(s) conformément aux prescriptions du Règlement ONU n</w:t>
      </w:r>
      <w:r w:rsidRPr="00D6374E">
        <w:rPr>
          <w:rFonts w:eastAsia="Calibri"/>
          <w:vertAlign w:val="superscript"/>
        </w:rPr>
        <w:t>o</w:t>
      </w:r>
      <w:r w:rsidRPr="00D6374E">
        <w:rPr>
          <w:rFonts w:eastAsia="Calibri"/>
        </w:rPr>
        <w:t> 97 ou n</w:t>
      </w:r>
      <w:r w:rsidRPr="00D6374E">
        <w:rPr>
          <w:rFonts w:eastAsia="Calibri"/>
          <w:vertAlign w:val="superscript"/>
        </w:rPr>
        <w:t>o</w:t>
      </w:r>
      <w:r w:rsidRPr="00D6374E">
        <w:rPr>
          <w:rFonts w:eastAsia="Calibri"/>
        </w:rPr>
        <w:t> 116.</w:t>
      </w:r>
    </w:p>
    <w:p w:rsidR="00D6374E" w:rsidRPr="00D6374E" w:rsidRDefault="00D6374E" w:rsidP="00D6374E">
      <w:pPr>
        <w:pStyle w:val="SingleTxtG"/>
        <w:ind w:left="2268" w:hanging="1134"/>
        <w:rPr>
          <w:rFonts w:eastAsia="Calibri"/>
        </w:rPr>
      </w:pPr>
      <w:r w:rsidRPr="00D6374E">
        <w:rPr>
          <w:rFonts w:eastAsia="Calibri"/>
        </w:rPr>
        <w:t>2.5.4</w:t>
      </w:r>
      <w:r w:rsidRPr="00D6374E">
        <w:rPr>
          <w:rFonts w:eastAsia="Calibri"/>
        </w:rPr>
        <w:tab/>
        <w:t>“</w:t>
      </w:r>
      <w:r w:rsidRPr="00D6374E">
        <w:rPr>
          <w:rFonts w:eastAsia="Calibri"/>
          <w:i/>
        </w:rPr>
        <w:t>Feu stop</w:t>
      </w:r>
      <w:r w:rsidRPr="00D6374E">
        <w:rPr>
          <w:rFonts w:eastAsia="Calibri"/>
        </w:rPr>
        <w:t>” désigne le feu servant à indiquer aux autres usagers de la route qui se trouvent derrière lui que le mouvement longitudinal du véhicule est intentionnellement freiné.</w:t>
      </w:r>
    </w:p>
    <w:p w:rsidR="00D6374E" w:rsidRPr="00D6374E" w:rsidRDefault="00D6374E" w:rsidP="00D6374E">
      <w:pPr>
        <w:pStyle w:val="SingleTxtG"/>
        <w:ind w:left="2268" w:hanging="1134"/>
        <w:rPr>
          <w:rFonts w:eastAsia="Calibri"/>
        </w:rPr>
      </w:pPr>
      <w:r w:rsidRPr="00D6374E">
        <w:rPr>
          <w:rFonts w:eastAsia="Calibri"/>
        </w:rPr>
        <w:t>2.5.5</w:t>
      </w:r>
      <w:r w:rsidRPr="00D6374E">
        <w:rPr>
          <w:rFonts w:eastAsia="Calibri"/>
        </w:rPr>
        <w:tab/>
        <w:t>“</w:t>
      </w:r>
      <w:r w:rsidRPr="00D6374E">
        <w:rPr>
          <w:rFonts w:eastAsia="Calibri"/>
          <w:i/>
        </w:rPr>
        <w:t>Dispositif d’éclairage de la plaque d’immatriculation arrière</w:t>
      </w:r>
      <w:r w:rsidRPr="00D6374E">
        <w:rPr>
          <w:rFonts w:eastAsia="Calibri"/>
        </w:rPr>
        <w:t>”, le dispositif servant à assurer l’éclairage de l’emplacement destiné à la plaque d’immatriculation arrière et qui peut être composé de différents éléments optiques.</w:t>
      </w:r>
    </w:p>
    <w:p w:rsidR="00D6374E" w:rsidRPr="00D6374E" w:rsidRDefault="00D6374E" w:rsidP="00D6374E">
      <w:pPr>
        <w:pStyle w:val="SingleTxtG"/>
        <w:ind w:left="2268" w:hanging="1134"/>
        <w:rPr>
          <w:rFonts w:eastAsia="Calibri"/>
        </w:rPr>
      </w:pPr>
      <w:r w:rsidRPr="00D6374E">
        <w:rPr>
          <w:rFonts w:eastAsia="Calibri"/>
        </w:rPr>
        <w:t>2.5.6</w:t>
      </w:r>
      <w:r w:rsidRPr="00D6374E">
        <w:rPr>
          <w:rFonts w:eastAsia="Calibri"/>
        </w:rPr>
        <w:tab/>
        <w:t>“</w:t>
      </w:r>
      <w:r w:rsidRPr="00D6374E">
        <w:rPr>
          <w:rFonts w:eastAsia="Calibri"/>
          <w:i/>
        </w:rPr>
        <w:t>Feu de position avant</w:t>
      </w:r>
      <w:r w:rsidRPr="00D6374E">
        <w:rPr>
          <w:rFonts w:eastAsia="Calibri"/>
        </w:rPr>
        <w:t>”, le feu servant à indiquer la présence et la largeur du véhicule vu de l’avant.</w:t>
      </w:r>
    </w:p>
    <w:p w:rsidR="00D6374E" w:rsidRPr="00D6374E" w:rsidRDefault="00D6374E" w:rsidP="00D6374E">
      <w:pPr>
        <w:pStyle w:val="SingleTxtG"/>
        <w:ind w:left="2268" w:hanging="1134"/>
        <w:rPr>
          <w:rFonts w:eastAsia="Calibri"/>
        </w:rPr>
      </w:pPr>
      <w:r w:rsidRPr="00D6374E">
        <w:rPr>
          <w:rFonts w:eastAsia="Calibri"/>
        </w:rPr>
        <w:t>2.5.7</w:t>
      </w:r>
      <w:r w:rsidRPr="00D6374E">
        <w:rPr>
          <w:rFonts w:eastAsia="Calibri"/>
        </w:rPr>
        <w:tab/>
        <w:t>“</w:t>
      </w:r>
      <w:r w:rsidRPr="00D6374E">
        <w:rPr>
          <w:rFonts w:eastAsia="Calibri"/>
          <w:i/>
        </w:rPr>
        <w:t>Feu de position arrière</w:t>
      </w:r>
      <w:r w:rsidRPr="00D6374E">
        <w:rPr>
          <w:rFonts w:eastAsia="Calibri"/>
        </w:rPr>
        <w:t>”, le feu servant à indiquer la présence et la largeur du véhicule vu de l’arrière.</w:t>
      </w:r>
    </w:p>
    <w:p w:rsidR="00D6374E" w:rsidRPr="00D6374E" w:rsidRDefault="00D6374E" w:rsidP="00D6374E">
      <w:pPr>
        <w:pStyle w:val="SingleTxtG"/>
        <w:ind w:left="2268" w:hanging="1134"/>
        <w:rPr>
          <w:rFonts w:eastAsia="Calibri"/>
        </w:rPr>
      </w:pPr>
      <w:r w:rsidRPr="00D6374E">
        <w:rPr>
          <w:rFonts w:eastAsia="Calibri"/>
        </w:rPr>
        <w:t>2.5.8</w:t>
      </w:r>
      <w:r w:rsidRPr="00D6374E">
        <w:rPr>
          <w:rFonts w:eastAsia="Calibri"/>
        </w:rPr>
        <w:tab/>
        <w:t>“</w:t>
      </w:r>
      <w:r w:rsidRPr="00D6374E">
        <w:rPr>
          <w:rFonts w:eastAsia="Calibri"/>
          <w:i/>
        </w:rPr>
        <w:t>Catadioptre</w:t>
      </w:r>
      <w:r w:rsidRPr="00D6374E">
        <w:rPr>
          <w:rFonts w:eastAsia="Calibri"/>
        </w:rPr>
        <w:t>”, un dispositif servant à indiquer la présence d’un véhicule par réflexion de la lumière émanant d’une source non reliée à ce véhicule, pour un observateur placé près de ladite source.</w:t>
      </w:r>
    </w:p>
    <w:p w:rsidR="00D6374E" w:rsidRPr="00D6374E" w:rsidRDefault="00D6374E" w:rsidP="00DB75DF">
      <w:pPr>
        <w:pStyle w:val="SingleTxtG"/>
        <w:ind w:left="2268"/>
        <w:rPr>
          <w:rFonts w:eastAsia="Calibri"/>
        </w:rPr>
      </w:pPr>
      <w:r w:rsidRPr="00D6374E">
        <w:rPr>
          <w:rFonts w:eastAsia="Calibri"/>
        </w:rPr>
        <w:t>Au sens du présent Règlement, ne sont pas considérés comme des catadioptres :</w:t>
      </w:r>
    </w:p>
    <w:p w:rsidR="00D6374E" w:rsidRPr="00D6374E" w:rsidRDefault="00D6374E" w:rsidP="00D6374E">
      <w:pPr>
        <w:pStyle w:val="SingleTxtG"/>
        <w:ind w:left="2268" w:hanging="1134"/>
        <w:rPr>
          <w:rFonts w:eastAsia="Calibri"/>
        </w:rPr>
      </w:pPr>
      <w:r w:rsidRPr="00D6374E">
        <w:rPr>
          <w:rFonts w:eastAsia="Calibri"/>
        </w:rPr>
        <w:t>2.5.8.1</w:t>
      </w:r>
      <w:r w:rsidRPr="00D6374E">
        <w:rPr>
          <w:rFonts w:eastAsia="Calibri"/>
        </w:rPr>
        <w:tab/>
        <w:t xml:space="preserve">Les plaques d’immatriculation </w:t>
      </w:r>
      <w:proofErr w:type="spellStart"/>
      <w:r w:rsidRPr="00D6374E">
        <w:rPr>
          <w:rFonts w:eastAsia="Calibri"/>
        </w:rPr>
        <w:t>rétroréfléchissantes</w:t>
      </w:r>
      <w:proofErr w:type="spellEnd"/>
    </w:p>
    <w:p w:rsidR="00D6374E" w:rsidRPr="00D6374E" w:rsidRDefault="00D6374E" w:rsidP="00D6374E">
      <w:pPr>
        <w:pStyle w:val="SingleTxtG"/>
        <w:ind w:left="2268" w:hanging="1134"/>
        <w:rPr>
          <w:rFonts w:eastAsia="Calibri"/>
        </w:rPr>
      </w:pPr>
      <w:r w:rsidRPr="00D6374E">
        <w:rPr>
          <w:rFonts w:eastAsia="Calibri"/>
        </w:rPr>
        <w:t>2.5.8.2</w:t>
      </w:r>
      <w:r w:rsidRPr="00D6374E">
        <w:rPr>
          <w:rFonts w:eastAsia="Calibri"/>
        </w:rPr>
        <w:tab/>
        <w:t xml:space="preserve">Les signaux </w:t>
      </w:r>
      <w:proofErr w:type="spellStart"/>
      <w:r w:rsidRPr="00D6374E">
        <w:rPr>
          <w:rFonts w:eastAsia="Calibri"/>
        </w:rPr>
        <w:t>rétroréfléchissants</w:t>
      </w:r>
      <w:proofErr w:type="spellEnd"/>
      <w:r w:rsidRPr="00D6374E">
        <w:rPr>
          <w:rFonts w:eastAsia="Calibri"/>
        </w:rPr>
        <w:t xml:space="preserve"> mentionnés dans l’Accord européen relatif au transport international des marchandises dangereuses par route (ADR) ;</w:t>
      </w:r>
    </w:p>
    <w:p w:rsidR="00D6374E" w:rsidRPr="00D6374E" w:rsidRDefault="00D6374E" w:rsidP="00D6374E">
      <w:pPr>
        <w:pStyle w:val="SingleTxtG"/>
        <w:ind w:left="2268" w:hanging="1134"/>
        <w:rPr>
          <w:rFonts w:eastAsia="Calibri"/>
        </w:rPr>
      </w:pPr>
      <w:r w:rsidRPr="00D6374E">
        <w:rPr>
          <w:rFonts w:eastAsia="Calibri"/>
        </w:rPr>
        <w:t>2.5.8.3</w:t>
      </w:r>
      <w:r w:rsidRPr="00D6374E">
        <w:rPr>
          <w:rFonts w:eastAsia="Calibri"/>
        </w:rPr>
        <w:tab/>
        <w:t xml:space="preserve">Les autres plaques et signaux </w:t>
      </w:r>
      <w:proofErr w:type="spellStart"/>
      <w:r w:rsidRPr="00D6374E">
        <w:rPr>
          <w:rFonts w:eastAsia="Calibri"/>
        </w:rPr>
        <w:t>rétroréfléchissants</w:t>
      </w:r>
      <w:proofErr w:type="spellEnd"/>
      <w:r w:rsidRPr="00D6374E">
        <w:rPr>
          <w:rFonts w:eastAsia="Calibri"/>
        </w:rPr>
        <w:t xml:space="preserve"> prescrits par les spécifications nationales pour certaines catégories de véhicules ou certaines méthodes d’exploitation.</w:t>
      </w:r>
    </w:p>
    <w:p w:rsidR="00D6374E" w:rsidRPr="00D6374E" w:rsidRDefault="00D6374E" w:rsidP="00D6374E">
      <w:pPr>
        <w:pStyle w:val="SingleTxtG"/>
        <w:ind w:left="2268" w:hanging="1134"/>
        <w:rPr>
          <w:rFonts w:eastAsia="Calibri"/>
        </w:rPr>
      </w:pPr>
      <w:r w:rsidRPr="00D6374E">
        <w:rPr>
          <w:rFonts w:eastAsia="Calibri"/>
        </w:rPr>
        <w:t>2.5.8.4</w:t>
      </w:r>
      <w:r w:rsidRPr="00D6374E">
        <w:rPr>
          <w:rFonts w:eastAsia="Calibri"/>
        </w:rPr>
        <w:tab/>
        <w:t xml:space="preserve">Les matériaux </w:t>
      </w:r>
      <w:proofErr w:type="spellStart"/>
      <w:r w:rsidRPr="00D6374E">
        <w:rPr>
          <w:rFonts w:eastAsia="Calibri"/>
        </w:rPr>
        <w:t>rétroréfléchissants</w:t>
      </w:r>
      <w:proofErr w:type="spellEnd"/>
      <w:r w:rsidRPr="00D6374E">
        <w:rPr>
          <w:rFonts w:eastAsia="Calibri"/>
        </w:rPr>
        <w:t xml:space="preserve"> homologués en classes D, E ou F selon le Règlement ONU n</w:t>
      </w:r>
      <w:r w:rsidRPr="00D6374E">
        <w:rPr>
          <w:rFonts w:eastAsia="Calibri"/>
          <w:vertAlign w:val="superscript"/>
        </w:rPr>
        <w:t>o</w:t>
      </w:r>
      <w:r w:rsidRPr="00D6374E">
        <w:rPr>
          <w:rFonts w:eastAsia="Calibri"/>
        </w:rPr>
        <w:t> 104 ou [RRD] et utilisés à d’autres fins conformément aux prescriptions nationales.</w:t>
      </w:r>
    </w:p>
    <w:p w:rsidR="00D6374E" w:rsidRPr="00D6374E" w:rsidRDefault="00D6374E" w:rsidP="00D6374E">
      <w:pPr>
        <w:pStyle w:val="SingleTxtG"/>
        <w:ind w:left="2268" w:hanging="1134"/>
        <w:rPr>
          <w:rFonts w:eastAsia="Calibri"/>
        </w:rPr>
      </w:pPr>
      <w:r w:rsidRPr="00D6374E">
        <w:rPr>
          <w:rFonts w:eastAsia="Calibri"/>
        </w:rPr>
        <w:t>2.5.9</w:t>
      </w:r>
      <w:r w:rsidRPr="00D6374E">
        <w:rPr>
          <w:rFonts w:eastAsia="Calibri"/>
        </w:rPr>
        <w:tab/>
      </w:r>
      <w:r w:rsidRPr="00D6374E">
        <w:rPr>
          <w:rFonts w:eastAsia="Calibri"/>
        </w:rPr>
        <w:tab/>
        <w:t>“</w:t>
      </w:r>
      <w:r w:rsidRPr="00D6374E">
        <w:rPr>
          <w:rFonts w:eastAsia="Calibri"/>
          <w:i/>
        </w:rPr>
        <w:t>Marquage à grande visibilité</w:t>
      </w:r>
      <w:r w:rsidRPr="00D6374E">
        <w:rPr>
          <w:rFonts w:eastAsia="Calibri"/>
        </w:rPr>
        <w:t>”, un dispositif destiné à accroître la visibilité d’un véhicule vu de côté ou de l’arrière (ou dans le cas d’une remorque, de l’avant également), grâce à la réflexion de la lumière émanant d’une source lumineuse non reliée à ce véhicule, pour un observateur placé près de ladite source.</w:t>
      </w:r>
    </w:p>
    <w:p w:rsidR="00D6374E" w:rsidRPr="00D6374E" w:rsidRDefault="00D6374E" w:rsidP="00D6374E">
      <w:pPr>
        <w:pStyle w:val="SingleTxtG"/>
        <w:ind w:left="2268" w:hanging="1134"/>
        <w:rPr>
          <w:rFonts w:eastAsia="Calibri"/>
        </w:rPr>
      </w:pPr>
      <w:r w:rsidRPr="00D6374E">
        <w:rPr>
          <w:rFonts w:eastAsia="Calibri"/>
        </w:rPr>
        <w:t>2.5.9.1</w:t>
      </w:r>
      <w:r w:rsidRPr="00D6374E">
        <w:rPr>
          <w:rFonts w:eastAsia="Calibri"/>
        </w:rPr>
        <w:tab/>
        <w:t>“</w:t>
      </w:r>
      <w:r w:rsidRPr="00D6374E">
        <w:rPr>
          <w:rFonts w:eastAsia="Calibri"/>
          <w:i/>
        </w:rPr>
        <w:t>Marquage de gabarit</w:t>
      </w:r>
      <w:r w:rsidRPr="00D6374E">
        <w:rPr>
          <w:rFonts w:eastAsia="Calibri"/>
        </w:rPr>
        <w:t>”, un marquage à grande visibilité destiné à indiquer les dimensions horizontales et verticales (longueur, largeur et hauteur) d’un véhicule.</w:t>
      </w:r>
    </w:p>
    <w:p w:rsidR="00D6374E" w:rsidRPr="00D6374E" w:rsidRDefault="00D6374E" w:rsidP="00D6374E">
      <w:pPr>
        <w:pStyle w:val="SingleTxtG"/>
        <w:ind w:left="2268" w:hanging="1134"/>
        <w:rPr>
          <w:rFonts w:eastAsia="Calibri"/>
        </w:rPr>
      </w:pPr>
      <w:r w:rsidRPr="00D6374E">
        <w:rPr>
          <w:rFonts w:eastAsia="Calibri"/>
        </w:rPr>
        <w:t>2.5.9.1.1</w:t>
      </w:r>
      <w:r w:rsidRPr="00D6374E">
        <w:rPr>
          <w:rFonts w:eastAsia="Calibri"/>
        </w:rPr>
        <w:tab/>
        <w:t>“</w:t>
      </w:r>
      <w:r w:rsidRPr="00D6374E">
        <w:rPr>
          <w:rFonts w:eastAsia="Calibri"/>
          <w:i/>
        </w:rPr>
        <w:t>Marquage de gabarit intégral</w:t>
      </w:r>
      <w:r w:rsidRPr="00D6374E">
        <w:rPr>
          <w:rFonts w:eastAsia="Calibri"/>
        </w:rPr>
        <w:t>”, un marquage de gabarit qui indique la silhouette du véhicule au moyen d’une ligne continue.</w:t>
      </w:r>
    </w:p>
    <w:p w:rsidR="00D6374E" w:rsidRPr="00D6374E" w:rsidRDefault="00D6374E" w:rsidP="00D6374E">
      <w:pPr>
        <w:pStyle w:val="SingleTxtG"/>
        <w:ind w:left="2268" w:hanging="1134"/>
        <w:rPr>
          <w:rFonts w:eastAsia="Calibri"/>
        </w:rPr>
      </w:pPr>
      <w:r w:rsidRPr="00D6374E">
        <w:rPr>
          <w:rFonts w:eastAsia="Calibri"/>
        </w:rPr>
        <w:t>2.5.9.1.2</w:t>
      </w:r>
      <w:r w:rsidRPr="00D6374E">
        <w:rPr>
          <w:rFonts w:eastAsia="Calibri"/>
        </w:rPr>
        <w:tab/>
        <w:t>“</w:t>
      </w:r>
      <w:r w:rsidRPr="00D6374E">
        <w:rPr>
          <w:rFonts w:eastAsia="Calibri"/>
          <w:i/>
        </w:rPr>
        <w:t>Marquage de gabarit partiel</w:t>
      </w:r>
      <w:r w:rsidRPr="00D6374E">
        <w:rPr>
          <w:rFonts w:eastAsia="Calibri"/>
        </w:rPr>
        <w:t xml:space="preserve">”, un marquage de gabarit qui indique la dimension horizontale du véhicule au moyen d’une ligne continue et la dimension verticale au moyen d’un marquage des coins supérieurs. </w:t>
      </w:r>
    </w:p>
    <w:p w:rsidR="00D6374E" w:rsidRPr="00D6374E" w:rsidRDefault="00D6374E" w:rsidP="00D6374E">
      <w:pPr>
        <w:pStyle w:val="SingleTxtG"/>
        <w:ind w:left="2268" w:hanging="1134"/>
        <w:rPr>
          <w:rFonts w:eastAsia="Calibri"/>
        </w:rPr>
      </w:pPr>
      <w:r w:rsidRPr="00D6374E">
        <w:rPr>
          <w:rFonts w:eastAsia="Calibri"/>
        </w:rPr>
        <w:t>2.5.9.2</w:t>
      </w:r>
      <w:r w:rsidRPr="00D6374E">
        <w:rPr>
          <w:rFonts w:eastAsia="Calibri"/>
        </w:rPr>
        <w:tab/>
        <w:t>“</w:t>
      </w:r>
      <w:r w:rsidRPr="00D6374E">
        <w:rPr>
          <w:rFonts w:eastAsia="Calibri"/>
          <w:i/>
        </w:rPr>
        <w:t>Marquage linéaire</w:t>
      </w:r>
      <w:r w:rsidRPr="00D6374E">
        <w:rPr>
          <w:rFonts w:eastAsia="Calibri"/>
        </w:rPr>
        <w:t>”, un marquage à grande visibilité destiné à indiquer les dimensions horizontales (longueur et largeur) d’un véhicule au moyen d’une ligne continue.</w:t>
      </w:r>
    </w:p>
    <w:p w:rsidR="00D6374E" w:rsidRPr="00D6374E" w:rsidRDefault="00D6374E" w:rsidP="00D6374E">
      <w:pPr>
        <w:pStyle w:val="SingleTxtG"/>
        <w:ind w:left="2268" w:hanging="1134"/>
        <w:rPr>
          <w:rFonts w:eastAsia="Calibri"/>
        </w:rPr>
      </w:pPr>
      <w:r w:rsidRPr="00D6374E">
        <w:rPr>
          <w:rFonts w:eastAsia="Calibri"/>
        </w:rPr>
        <w:t>2.5.10</w:t>
      </w:r>
      <w:r w:rsidRPr="00D6374E">
        <w:rPr>
          <w:rFonts w:eastAsia="Calibri"/>
        </w:rPr>
        <w:tab/>
        <w:t>“</w:t>
      </w:r>
      <w:r w:rsidRPr="00D6374E">
        <w:rPr>
          <w:rFonts w:eastAsia="Calibri"/>
          <w:i/>
        </w:rPr>
        <w:t>Feu de brouillard avant</w:t>
      </w:r>
      <w:r w:rsidRPr="00D6374E">
        <w:rPr>
          <w:rFonts w:eastAsia="Calibri"/>
        </w:rPr>
        <w:t>”, le feu servant à améliorer l’éclairage de la route en avant du véhicule en cas de brouillard ou dans toute situation similaire caractérisée par une visibilité réduite.</w:t>
      </w:r>
    </w:p>
    <w:p w:rsidR="00D6374E" w:rsidRPr="00D6374E" w:rsidRDefault="00D6374E" w:rsidP="00D6374E">
      <w:pPr>
        <w:pStyle w:val="SingleTxtG"/>
        <w:ind w:left="2268" w:hanging="1134"/>
        <w:rPr>
          <w:rFonts w:eastAsia="Calibri"/>
        </w:rPr>
      </w:pPr>
      <w:r w:rsidRPr="00D6374E">
        <w:rPr>
          <w:rFonts w:eastAsia="Calibri"/>
        </w:rPr>
        <w:t>2.5.11</w:t>
      </w:r>
      <w:r w:rsidRPr="00D6374E">
        <w:rPr>
          <w:rFonts w:eastAsia="Calibri"/>
        </w:rPr>
        <w:tab/>
        <w:t>“</w:t>
      </w:r>
      <w:r w:rsidRPr="00D6374E">
        <w:rPr>
          <w:rFonts w:eastAsia="Calibri"/>
          <w:i/>
        </w:rPr>
        <w:t>Feu de brouillard arrière</w:t>
      </w:r>
      <w:r w:rsidRPr="00D6374E">
        <w:rPr>
          <w:rFonts w:eastAsia="Calibri"/>
        </w:rPr>
        <w:t>”, le feu servant à rendre plus visible le véhicule vu de l’arrière, en cas de brouillard dense.</w:t>
      </w:r>
    </w:p>
    <w:p w:rsidR="00D6374E" w:rsidRPr="00D6374E" w:rsidRDefault="00D6374E" w:rsidP="00D6374E">
      <w:pPr>
        <w:pStyle w:val="SingleTxtG"/>
        <w:ind w:left="2268" w:hanging="1134"/>
        <w:rPr>
          <w:rFonts w:eastAsia="Calibri"/>
        </w:rPr>
      </w:pPr>
      <w:r w:rsidRPr="00D6374E">
        <w:rPr>
          <w:rFonts w:eastAsia="Calibri"/>
        </w:rPr>
        <w:lastRenderedPageBreak/>
        <w:t>2.5.12</w:t>
      </w:r>
      <w:r w:rsidRPr="00D6374E">
        <w:rPr>
          <w:rFonts w:eastAsia="Calibri"/>
        </w:rPr>
        <w:tab/>
        <w:t>“</w:t>
      </w:r>
      <w:r w:rsidRPr="00D6374E">
        <w:rPr>
          <w:rFonts w:eastAsia="Calibri"/>
          <w:i/>
        </w:rPr>
        <w:t>Feu de marche arrière</w:t>
      </w:r>
      <w:r w:rsidRPr="00D6374E">
        <w:rPr>
          <w:rFonts w:eastAsia="Calibri"/>
        </w:rPr>
        <w:t>”, le feu servant à éclairer la route à l’arrière du véhicule et à avertir les autres usagers de la route que le véhicule fait marche arrière ou est sur le point de faire marche arrière.</w:t>
      </w:r>
    </w:p>
    <w:p w:rsidR="00D6374E" w:rsidRPr="00D6374E" w:rsidRDefault="00D6374E" w:rsidP="00D6374E">
      <w:pPr>
        <w:pStyle w:val="SingleTxtG"/>
        <w:ind w:left="2268" w:hanging="1134"/>
        <w:rPr>
          <w:rFonts w:eastAsia="Calibri"/>
        </w:rPr>
      </w:pPr>
      <w:r w:rsidRPr="00D6374E">
        <w:rPr>
          <w:rFonts w:eastAsia="Calibri"/>
        </w:rPr>
        <w:t>2.5.13</w:t>
      </w:r>
      <w:r w:rsidRPr="00D6374E">
        <w:rPr>
          <w:rFonts w:eastAsia="Calibri"/>
        </w:rPr>
        <w:tab/>
        <w:t>“</w:t>
      </w:r>
      <w:r w:rsidRPr="00D6374E">
        <w:rPr>
          <w:rFonts w:eastAsia="Calibri"/>
          <w:i/>
        </w:rPr>
        <w:t>Feu de stationnement</w:t>
      </w:r>
      <w:r w:rsidRPr="00D6374E">
        <w:rPr>
          <w:rFonts w:eastAsia="Calibri"/>
        </w:rPr>
        <w:t>”, le feu servant à signaler la présence d’un véhicule en stationnement dans une agglomération. Il remplace, dans ce cas, les feux de position avant et arrière.</w:t>
      </w:r>
    </w:p>
    <w:p w:rsidR="00D6374E" w:rsidRPr="00D6374E" w:rsidRDefault="00D6374E" w:rsidP="00D6374E">
      <w:pPr>
        <w:pStyle w:val="SingleTxtG"/>
        <w:ind w:left="2268" w:hanging="1134"/>
        <w:rPr>
          <w:rFonts w:eastAsia="Calibri"/>
        </w:rPr>
      </w:pPr>
      <w:r w:rsidRPr="00D6374E">
        <w:rPr>
          <w:rFonts w:eastAsia="Calibri"/>
        </w:rPr>
        <w:t>2.5.14</w:t>
      </w:r>
      <w:r w:rsidRPr="00D6374E">
        <w:rPr>
          <w:rFonts w:eastAsia="Calibri"/>
        </w:rPr>
        <w:tab/>
        <w:t>“</w:t>
      </w:r>
      <w:r w:rsidRPr="00D6374E">
        <w:rPr>
          <w:rFonts w:eastAsia="Calibri"/>
          <w:i/>
        </w:rPr>
        <w:t>Feu d’encombrement</w:t>
      </w:r>
      <w:r w:rsidRPr="00D6374E">
        <w:rPr>
          <w:rFonts w:eastAsia="Calibri"/>
        </w:rPr>
        <w:t>”, le feu installé près de l’extrémité extérieure aussi près que possible du point le plus haut du véhicule et destiné à indiquer nettement sa largeur hors tout. Ce feu est destiné à compléter les feux de position avant et arrière de certains véhicules et remorques en attirant particulièrement l’attention sur leur encombrement.</w:t>
      </w:r>
    </w:p>
    <w:p w:rsidR="00D6374E" w:rsidRPr="00D6374E" w:rsidRDefault="00D6374E" w:rsidP="00D6374E">
      <w:pPr>
        <w:pStyle w:val="SingleTxtG"/>
        <w:ind w:left="2268" w:hanging="1134"/>
        <w:rPr>
          <w:rFonts w:eastAsia="Calibri"/>
        </w:rPr>
      </w:pPr>
      <w:r w:rsidRPr="00D6374E">
        <w:rPr>
          <w:rFonts w:eastAsia="Calibri"/>
        </w:rPr>
        <w:t>2.5.15</w:t>
      </w:r>
      <w:r w:rsidRPr="00D6374E">
        <w:rPr>
          <w:rFonts w:eastAsia="Calibri"/>
        </w:rPr>
        <w:tab/>
        <w:t>“</w:t>
      </w:r>
      <w:r w:rsidRPr="00D6374E">
        <w:rPr>
          <w:rFonts w:eastAsia="Calibri"/>
          <w:i/>
        </w:rPr>
        <w:t>Feu de position latéral</w:t>
      </w:r>
      <w:r w:rsidRPr="00D6374E">
        <w:rPr>
          <w:rFonts w:eastAsia="Calibri"/>
        </w:rPr>
        <w:t>”, un feu servant à indiquer la présence d’un véhicule vu de côté.</w:t>
      </w:r>
    </w:p>
    <w:p w:rsidR="00D6374E" w:rsidRPr="00D6374E" w:rsidRDefault="00D6374E" w:rsidP="00D6374E">
      <w:pPr>
        <w:pStyle w:val="SingleTxtG"/>
        <w:ind w:left="2268" w:hanging="1134"/>
        <w:rPr>
          <w:rFonts w:eastAsia="Calibri"/>
        </w:rPr>
      </w:pPr>
      <w:r w:rsidRPr="00D6374E">
        <w:rPr>
          <w:rFonts w:eastAsia="Calibri"/>
        </w:rPr>
        <w:t>2.5.16</w:t>
      </w:r>
      <w:r w:rsidRPr="00D6374E">
        <w:rPr>
          <w:rFonts w:eastAsia="Calibri"/>
        </w:rPr>
        <w:tab/>
        <w:t>“</w:t>
      </w:r>
      <w:r w:rsidRPr="00D6374E">
        <w:rPr>
          <w:rFonts w:eastAsia="Calibri"/>
          <w:i/>
        </w:rPr>
        <w:t>Feu de circulation diurne</w:t>
      </w:r>
      <w:r w:rsidRPr="00D6374E">
        <w:rPr>
          <w:rFonts w:eastAsia="Calibri"/>
        </w:rPr>
        <w:t>”, un feu tourné vers l’avant servant à rendre le véhicule plus visible en conduite de jour.</w:t>
      </w:r>
    </w:p>
    <w:p w:rsidR="00D6374E" w:rsidRPr="00D6374E" w:rsidRDefault="00D6374E" w:rsidP="00D6374E">
      <w:pPr>
        <w:pStyle w:val="SingleTxtG"/>
        <w:ind w:left="2268" w:hanging="1134"/>
        <w:rPr>
          <w:rFonts w:eastAsia="Calibri"/>
        </w:rPr>
      </w:pPr>
      <w:r w:rsidRPr="00D6374E">
        <w:rPr>
          <w:rFonts w:eastAsia="Calibri"/>
        </w:rPr>
        <w:t>2.5.17</w:t>
      </w:r>
      <w:r w:rsidRPr="00D6374E">
        <w:rPr>
          <w:rFonts w:eastAsia="Calibri"/>
        </w:rPr>
        <w:tab/>
        <w:t>“</w:t>
      </w:r>
      <w:r w:rsidRPr="00D6374E">
        <w:rPr>
          <w:rFonts w:eastAsia="Calibri"/>
          <w:i/>
        </w:rPr>
        <w:t>Feu d’angle</w:t>
      </w:r>
      <w:r w:rsidRPr="00D6374E">
        <w:rPr>
          <w:rFonts w:eastAsia="Calibri"/>
        </w:rPr>
        <w:t>”, le feu servant à compléter l’éclairage de la partie de la route située en avant du véhicule, du côté vers lequel il va tourner.</w:t>
      </w:r>
    </w:p>
    <w:p w:rsidR="00D6374E" w:rsidRPr="00D6374E" w:rsidRDefault="00D6374E" w:rsidP="00D6374E">
      <w:pPr>
        <w:pStyle w:val="SingleTxtG"/>
        <w:ind w:left="2268" w:hanging="1134"/>
        <w:rPr>
          <w:rFonts w:eastAsia="Calibri"/>
        </w:rPr>
      </w:pPr>
      <w:r w:rsidRPr="00D6374E">
        <w:rPr>
          <w:rFonts w:eastAsia="Calibri"/>
        </w:rPr>
        <w:t>2.5.18</w:t>
      </w:r>
      <w:r w:rsidRPr="00D6374E">
        <w:rPr>
          <w:rFonts w:eastAsia="Calibri"/>
        </w:rPr>
        <w:tab/>
        <w:t>“</w:t>
      </w:r>
      <w:r w:rsidRPr="00D6374E">
        <w:rPr>
          <w:rFonts w:eastAsia="Calibri"/>
          <w:i/>
        </w:rPr>
        <w:t>Feu de courtoisie extérieur</w:t>
      </w:r>
      <w:r w:rsidRPr="00D6374E">
        <w:rPr>
          <w:rFonts w:eastAsia="Calibri"/>
        </w:rPr>
        <w:t>”, un feu servant à fournir un éclairage supplémentaire pour aider le conducteur et les passagers à monter dans le véhicule ou à en descendre, ou encore faciliter les opérations de chargement.</w:t>
      </w:r>
    </w:p>
    <w:p w:rsidR="00D6374E" w:rsidRPr="00D6374E" w:rsidRDefault="00D6374E" w:rsidP="00D6374E">
      <w:pPr>
        <w:pStyle w:val="SingleTxtG"/>
        <w:ind w:left="2268" w:hanging="1134"/>
        <w:rPr>
          <w:rFonts w:eastAsia="Calibri"/>
        </w:rPr>
      </w:pPr>
      <w:r w:rsidRPr="00D6374E">
        <w:rPr>
          <w:rFonts w:eastAsia="Calibri"/>
        </w:rPr>
        <w:t>2.5.19</w:t>
      </w:r>
      <w:r w:rsidRPr="00D6374E">
        <w:rPr>
          <w:rFonts w:eastAsia="Calibri"/>
        </w:rPr>
        <w:tab/>
        <w:t>“</w:t>
      </w:r>
      <w:r w:rsidRPr="00D6374E">
        <w:rPr>
          <w:rFonts w:eastAsia="Calibri"/>
          <w:i/>
        </w:rPr>
        <w:t>Feu de manœuvre</w:t>
      </w:r>
      <w:r w:rsidRPr="00D6374E">
        <w:rPr>
          <w:rFonts w:eastAsia="Calibri"/>
        </w:rPr>
        <w:t>”, un feu fournissant un éclairage supplémentaire sur les côtés du véhicule pour faciliter les manœuvres à vitesse réduite.</w:t>
      </w:r>
    </w:p>
    <w:p w:rsidR="00D6374E" w:rsidRPr="00D6374E" w:rsidRDefault="00D6374E" w:rsidP="00D6374E">
      <w:pPr>
        <w:pStyle w:val="SingleTxtG"/>
        <w:ind w:left="2268" w:hanging="1134"/>
        <w:rPr>
          <w:rFonts w:eastAsia="Calibri"/>
        </w:rPr>
      </w:pPr>
      <w:r w:rsidRPr="00D6374E">
        <w:rPr>
          <w:rFonts w:eastAsia="Calibri"/>
        </w:rPr>
        <w:t>2.6</w:t>
      </w:r>
      <w:r w:rsidRPr="00D6374E">
        <w:rPr>
          <w:rFonts w:eastAsia="Calibri"/>
        </w:rPr>
        <w:tab/>
        <w:t>Définitions concernant les signaux</w:t>
      </w:r>
    </w:p>
    <w:p w:rsidR="00D6374E" w:rsidRPr="00D6374E" w:rsidRDefault="00D6374E" w:rsidP="00DB75DF">
      <w:pPr>
        <w:pStyle w:val="SingleTxtG"/>
        <w:ind w:left="2268"/>
        <w:rPr>
          <w:rFonts w:eastAsia="Calibri"/>
        </w:rPr>
      </w:pPr>
      <w:r w:rsidRPr="00D6374E">
        <w:rPr>
          <w:rFonts w:eastAsia="Calibri"/>
        </w:rPr>
        <w:t>Au sens du présent Règlement, on entend par :</w:t>
      </w:r>
    </w:p>
    <w:p w:rsidR="00D6374E" w:rsidRPr="00D6374E" w:rsidRDefault="00D6374E" w:rsidP="00D6374E">
      <w:pPr>
        <w:pStyle w:val="SingleTxtG"/>
        <w:ind w:left="2268" w:hanging="1134"/>
        <w:rPr>
          <w:rFonts w:eastAsia="Calibri"/>
        </w:rPr>
      </w:pPr>
      <w:r w:rsidRPr="00D6374E">
        <w:rPr>
          <w:rFonts w:eastAsia="Calibri"/>
        </w:rPr>
        <w:t>2.6.1</w:t>
      </w:r>
      <w:r w:rsidRPr="00D6374E">
        <w:rPr>
          <w:rFonts w:eastAsia="Calibri"/>
        </w:rPr>
        <w:tab/>
        <w:t>“</w:t>
      </w:r>
      <w:r w:rsidRPr="00D6374E">
        <w:rPr>
          <w:rFonts w:eastAsia="Calibri"/>
          <w:i/>
        </w:rPr>
        <w:t>Signal de détresse</w:t>
      </w:r>
      <w:r w:rsidRPr="00D6374E">
        <w:rPr>
          <w:rFonts w:eastAsia="Calibri"/>
        </w:rPr>
        <w:t>”, le fonctionnement simultané de tous les indicateurs de direction, destiné à signaler le danger particulier que constitue momentanément le véhicule pour les autres usagers de la route.</w:t>
      </w:r>
    </w:p>
    <w:p w:rsidR="00D6374E" w:rsidRPr="00D6374E" w:rsidRDefault="00D6374E" w:rsidP="00D6374E">
      <w:pPr>
        <w:pStyle w:val="SingleTxtG"/>
        <w:ind w:left="2268" w:hanging="1134"/>
        <w:rPr>
          <w:rFonts w:eastAsia="Calibri"/>
        </w:rPr>
      </w:pPr>
      <w:r w:rsidRPr="00D6374E">
        <w:rPr>
          <w:rFonts w:eastAsia="Calibri"/>
        </w:rPr>
        <w:t>2.6.2</w:t>
      </w:r>
      <w:r w:rsidRPr="00D6374E">
        <w:rPr>
          <w:rFonts w:eastAsia="Calibri"/>
        </w:rPr>
        <w:tab/>
        <w:t>“</w:t>
      </w:r>
      <w:r w:rsidRPr="00D6374E">
        <w:rPr>
          <w:rFonts w:eastAsia="Calibri"/>
          <w:i/>
        </w:rPr>
        <w:t>Signal de freinage d’urgence</w:t>
      </w:r>
      <w:r w:rsidRPr="00D6374E">
        <w:rPr>
          <w:rFonts w:eastAsia="Calibri"/>
        </w:rPr>
        <w:t>”, un signal qui indique aux usagers de la route qui se trouvent en arrière du véhicule qu’une puissante force de ralentissement a été appliquée au véhicule en raison des conditions de circulation.</w:t>
      </w:r>
    </w:p>
    <w:p w:rsidR="00D6374E" w:rsidRPr="00D6374E" w:rsidRDefault="00D6374E" w:rsidP="00D6374E">
      <w:pPr>
        <w:pStyle w:val="SingleTxtG"/>
        <w:ind w:left="2268" w:hanging="1134"/>
        <w:rPr>
          <w:rFonts w:eastAsia="Calibri"/>
        </w:rPr>
      </w:pPr>
      <w:r w:rsidRPr="00D6374E">
        <w:rPr>
          <w:rFonts w:eastAsia="Calibri"/>
        </w:rPr>
        <w:t>2.6.3</w:t>
      </w:r>
      <w:r w:rsidRPr="00D6374E">
        <w:rPr>
          <w:rFonts w:eastAsia="Calibri"/>
        </w:rPr>
        <w:tab/>
        <w:t>“</w:t>
      </w:r>
      <w:r w:rsidRPr="00D6374E">
        <w:rPr>
          <w:rFonts w:eastAsia="Calibri"/>
          <w:i/>
        </w:rPr>
        <w:t>Signal avertisseur de risque de choc arrière</w:t>
      </w:r>
      <w:r w:rsidRPr="00D6374E">
        <w:rPr>
          <w:rFonts w:eastAsia="Calibri"/>
        </w:rPr>
        <w:t>”, un signal automatique émis par le véhicule aval à l’intention du véhicule amont afin de l’avertir qu’il doit agir de toute urgence pour éviter une collision.</w:t>
      </w:r>
    </w:p>
    <w:p w:rsidR="00D6374E" w:rsidRPr="00D6374E" w:rsidRDefault="00D6374E" w:rsidP="00D6374E">
      <w:pPr>
        <w:pStyle w:val="SingleTxtG"/>
        <w:ind w:left="2268" w:hanging="1134"/>
        <w:rPr>
          <w:rFonts w:eastAsia="Calibri"/>
        </w:rPr>
      </w:pPr>
      <w:r w:rsidRPr="00D6374E">
        <w:rPr>
          <w:rFonts w:eastAsia="Calibri"/>
        </w:rPr>
        <w:t>2.7</w:t>
      </w:r>
      <w:r w:rsidRPr="00D6374E">
        <w:rPr>
          <w:rFonts w:eastAsia="Calibri"/>
        </w:rPr>
        <w:tab/>
        <w:t>Définitions concernant le système</w:t>
      </w:r>
    </w:p>
    <w:p w:rsidR="00D6374E" w:rsidRPr="00D6374E" w:rsidRDefault="00D6374E" w:rsidP="00DB75DF">
      <w:pPr>
        <w:pStyle w:val="SingleTxtG"/>
        <w:ind w:left="2268"/>
        <w:rPr>
          <w:rFonts w:eastAsia="Calibri"/>
        </w:rPr>
      </w:pPr>
      <w:r w:rsidRPr="00D6374E">
        <w:rPr>
          <w:rFonts w:eastAsia="Calibri"/>
        </w:rPr>
        <w:t>Au sens du présent Règlement, on entend par :</w:t>
      </w:r>
    </w:p>
    <w:p w:rsidR="00D6374E" w:rsidRPr="00D6374E" w:rsidRDefault="00D6374E" w:rsidP="00D6374E">
      <w:pPr>
        <w:pStyle w:val="SingleTxtG"/>
        <w:ind w:left="2268" w:hanging="1134"/>
        <w:rPr>
          <w:rFonts w:eastAsia="Calibri"/>
        </w:rPr>
      </w:pPr>
      <w:r w:rsidRPr="00D6374E">
        <w:rPr>
          <w:rFonts w:eastAsia="Calibri"/>
        </w:rPr>
        <w:t>2.7.1</w:t>
      </w:r>
      <w:r w:rsidRPr="00D6374E">
        <w:rPr>
          <w:rFonts w:eastAsia="Calibri"/>
        </w:rPr>
        <w:tab/>
        <w:t>“</w:t>
      </w:r>
      <w:r w:rsidRPr="00D6374E">
        <w:rPr>
          <w:rFonts w:eastAsia="Calibri"/>
          <w:i/>
        </w:rPr>
        <w:t>Orientation</w:t>
      </w:r>
      <w:r w:rsidRPr="00D6374E">
        <w:rPr>
          <w:rFonts w:eastAsia="Calibri"/>
        </w:rPr>
        <w:t>”, le positionnement du faisceau ou d’une de ses parties sur un écran de mesure conformément aux prescriptions.</w:t>
      </w:r>
    </w:p>
    <w:p w:rsidR="00D6374E" w:rsidRPr="00D6374E" w:rsidRDefault="00D6374E" w:rsidP="00D6374E">
      <w:pPr>
        <w:pStyle w:val="SingleTxtG"/>
        <w:ind w:left="2268" w:hanging="1134"/>
        <w:rPr>
          <w:rFonts w:eastAsia="Calibri"/>
        </w:rPr>
      </w:pPr>
      <w:r w:rsidRPr="00D6374E">
        <w:rPr>
          <w:rFonts w:eastAsia="Calibri"/>
        </w:rPr>
        <w:t>2.7.2</w:t>
      </w:r>
      <w:r w:rsidRPr="00D6374E">
        <w:rPr>
          <w:rFonts w:eastAsia="Calibri"/>
        </w:rPr>
        <w:tab/>
        <w:t>“</w:t>
      </w:r>
      <w:r w:rsidRPr="00D6374E">
        <w:rPr>
          <w:rFonts w:eastAsia="Calibri"/>
          <w:i/>
        </w:rPr>
        <w:t>Réglage</w:t>
      </w:r>
      <w:r w:rsidRPr="00D6374E">
        <w:rPr>
          <w:rFonts w:eastAsia="Calibri"/>
        </w:rPr>
        <w:t>”, l’utilisation des moyens prévus par le système pour l’orientation verticale et/ou horizontale du faisceau.</w:t>
      </w:r>
    </w:p>
    <w:p w:rsidR="00D6374E" w:rsidRPr="00D6374E" w:rsidRDefault="00D6374E" w:rsidP="00D6374E">
      <w:pPr>
        <w:spacing w:after="120"/>
        <w:ind w:left="2268" w:right="1134" w:hanging="1134"/>
        <w:jc w:val="both"/>
        <w:rPr>
          <w:rFonts w:eastAsia="Calibri"/>
        </w:rPr>
      </w:pPr>
      <w:r w:rsidRPr="00D6374E">
        <w:rPr>
          <w:rFonts w:eastAsia="Calibri"/>
        </w:rPr>
        <w:t>2.7.3</w:t>
      </w:r>
      <w:r w:rsidRPr="00D6374E">
        <w:rPr>
          <w:rFonts w:eastAsia="Calibri"/>
        </w:rPr>
        <w:tab/>
        <w:t>“</w:t>
      </w:r>
      <w:r w:rsidRPr="00D6374E">
        <w:rPr>
          <w:rFonts w:eastAsia="Calibri"/>
          <w:i/>
        </w:rPr>
        <w:t>Éclairage virage</w:t>
      </w:r>
      <w:r w:rsidRPr="00D6374E">
        <w:rPr>
          <w:rFonts w:eastAsia="Calibri"/>
        </w:rPr>
        <w:t>”, une fonction du système d’éclairage conçue pour un meilleur éclairement dans les virages.</w:t>
      </w:r>
    </w:p>
    <w:p w:rsidR="00D6374E" w:rsidRPr="00D6374E" w:rsidRDefault="00D6374E" w:rsidP="00D6374E">
      <w:pPr>
        <w:pStyle w:val="SingleTxtG"/>
        <w:ind w:left="2268" w:hanging="1134"/>
        <w:rPr>
          <w:rFonts w:eastAsia="Calibri"/>
        </w:rPr>
      </w:pPr>
      <w:r w:rsidRPr="00D6374E">
        <w:rPr>
          <w:rFonts w:eastAsia="Calibri"/>
        </w:rPr>
        <w:t>2.7.4</w:t>
      </w:r>
      <w:r w:rsidRPr="00D6374E">
        <w:rPr>
          <w:rFonts w:eastAsia="Calibri"/>
        </w:rPr>
        <w:tab/>
        <w:t>“</w:t>
      </w:r>
      <w:r w:rsidRPr="00D6374E">
        <w:rPr>
          <w:rFonts w:eastAsia="Calibri"/>
          <w:i/>
        </w:rPr>
        <w:t>Système d’éclairage avant adaptatif</w:t>
      </w:r>
      <w:r w:rsidRPr="00D6374E">
        <w:rPr>
          <w:rFonts w:eastAsia="Calibri"/>
        </w:rPr>
        <w:t>” (AFS), un dispositif d’éclairage homologué conformément au Règlement ONU n</w:t>
      </w:r>
      <w:r w:rsidRPr="00D6374E">
        <w:rPr>
          <w:rFonts w:eastAsia="Calibri"/>
          <w:vertAlign w:val="superscript"/>
        </w:rPr>
        <w:t>o</w:t>
      </w:r>
      <w:r w:rsidRPr="00D6374E">
        <w:rPr>
          <w:rFonts w:eastAsia="Calibri"/>
        </w:rPr>
        <w:t> 123 ou [RID], qui émet des faisceaux possédant des caractéristiques différenciées pour une adaptation automatique à des conditions variables d’utilisation du faisceau de croisement et, le cas échéant, du faisceau de route.</w:t>
      </w:r>
    </w:p>
    <w:p w:rsidR="00D6374E" w:rsidRPr="00D6374E" w:rsidRDefault="00D6374E" w:rsidP="00D6374E">
      <w:pPr>
        <w:pStyle w:val="SingleTxtG"/>
        <w:ind w:left="2268" w:hanging="1134"/>
        <w:rPr>
          <w:rFonts w:eastAsia="Calibri"/>
        </w:rPr>
      </w:pPr>
      <w:r w:rsidRPr="00D6374E">
        <w:rPr>
          <w:rFonts w:eastAsia="Calibri"/>
        </w:rPr>
        <w:t>2.7.4.1</w:t>
      </w:r>
      <w:r w:rsidRPr="00D6374E">
        <w:rPr>
          <w:rFonts w:eastAsia="Calibri"/>
        </w:rPr>
        <w:tab/>
        <w:t>“</w:t>
      </w:r>
      <w:r w:rsidRPr="00D6374E">
        <w:rPr>
          <w:rFonts w:eastAsia="Calibri"/>
          <w:i/>
        </w:rPr>
        <w:t>Unité d’éclairage</w:t>
      </w:r>
      <w:r w:rsidRPr="00D6374E">
        <w:rPr>
          <w:rFonts w:eastAsia="Calibri"/>
        </w:rPr>
        <w:t>”, un élément émettant de la lumière, conçu pour assurer totalement ou partiellement une ou plusieurs fonctions d’éclairage avant produite(s) par l’AFS.</w:t>
      </w:r>
    </w:p>
    <w:p w:rsidR="00D6374E" w:rsidRPr="00D6374E" w:rsidRDefault="00D6374E" w:rsidP="00D6374E">
      <w:pPr>
        <w:pStyle w:val="SingleTxtG"/>
        <w:ind w:left="2268" w:hanging="1134"/>
        <w:rPr>
          <w:rFonts w:eastAsia="Calibri"/>
        </w:rPr>
      </w:pPr>
      <w:r w:rsidRPr="00D6374E">
        <w:rPr>
          <w:rFonts w:eastAsia="Calibri"/>
        </w:rPr>
        <w:lastRenderedPageBreak/>
        <w:t>2.7.4.2</w:t>
      </w:r>
      <w:r w:rsidRPr="00D6374E">
        <w:rPr>
          <w:rFonts w:eastAsia="Calibri"/>
        </w:rPr>
        <w:tab/>
        <w:t>“</w:t>
      </w:r>
      <w:r w:rsidRPr="00D6374E">
        <w:rPr>
          <w:rFonts w:eastAsia="Calibri"/>
          <w:i/>
        </w:rPr>
        <w:t>Unité d’installation</w:t>
      </w:r>
      <w:r w:rsidRPr="00D6374E">
        <w:rPr>
          <w:rFonts w:eastAsia="Calibri"/>
        </w:rPr>
        <w:t>”, un boîtier indivisible (boîtier du feu) contenant une ou plusieurs unités d’éclairage.</w:t>
      </w:r>
    </w:p>
    <w:p w:rsidR="00D6374E" w:rsidRPr="00D6374E" w:rsidRDefault="00D6374E" w:rsidP="00D6374E">
      <w:pPr>
        <w:pStyle w:val="SingleTxtG"/>
        <w:ind w:left="2268" w:hanging="1134"/>
        <w:rPr>
          <w:rFonts w:eastAsia="Calibri"/>
        </w:rPr>
      </w:pPr>
      <w:r w:rsidRPr="00D6374E">
        <w:rPr>
          <w:rFonts w:eastAsia="Calibri"/>
        </w:rPr>
        <w:t>2.7.4.3</w:t>
      </w:r>
      <w:r w:rsidRPr="00D6374E">
        <w:rPr>
          <w:rFonts w:eastAsia="Calibri"/>
        </w:rPr>
        <w:tab/>
        <w:t>“</w:t>
      </w:r>
      <w:r w:rsidRPr="00D6374E">
        <w:rPr>
          <w:rFonts w:eastAsia="Calibri"/>
          <w:i/>
        </w:rPr>
        <w:t>Mode d’éclairage</w:t>
      </w:r>
      <w:r w:rsidRPr="00D6374E">
        <w:rPr>
          <w:rFonts w:eastAsia="Calibri"/>
        </w:rPr>
        <w:t>” ou “</w:t>
      </w:r>
      <w:r w:rsidRPr="00D6374E">
        <w:rPr>
          <w:rFonts w:eastAsia="Calibri"/>
          <w:i/>
        </w:rPr>
        <w:t>mode</w:t>
      </w:r>
      <w:r w:rsidRPr="00D6374E">
        <w:rPr>
          <w:rFonts w:eastAsia="Calibri"/>
        </w:rPr>
        <w:t>” d’une fonction d’éclairage avant assurée par un système AFS, un faisceau conforme aux dispositions du présent Règlement, soit pour l’une des classes de faisceau de croisement soit pour le faisceau de route, conçu par le fabricant pour être utilisé sur certains véhicules et dans certaines conditions.</w:t>
      </w:r>
    </w:p>
    <w:p w:rsidR="00D6374E" w:rsidRPr="00D6374E" w:rsidRDefault="00D6374E" w:rsidP="00D6374E">
      <w:pPr>
        <w:pStyle w:val="SingleTxtG"/>
        <w:ind w:left="2268" w:hanging="1134"/>
        <w:rPr>
          <w:rFonts w:eastAsia="Calibri"/>
        </w:rPr>
      </w:pPr>
      <w:r w:rsidRPr="00D6374E">
        <w:rPr>
          <w:rFonts w:eastAsia="Calibri"/>
        </w:rPr>
        <w:t>2.7.4.4</w:t>
      </w:r>
      <w:r w:rsidRPr="00D6374E">
        <w:rPr>
          <w:rFonts w:eastAsia="Calibri"/>
        </w:rPr>
        <w:tab/>
        <w:t>“</w:t>
      </w:r>
      <w:r w:rsidRPr="00D6374E">
        <w:rPr>
          <w:rFonts w:eastAsia="Calibri"/>
          <w:i/>
        </w:rPr>
        <w:t>Commande du système</w:t>
      </w:r>
      <w:r w:rsidRPr="00D6374E">
        <w:rPr>
          <w:rFonts w:eastAsia="Calibri"/>
        </w:rPr>
        <w:t>”, la ou les partie(s) de l’AFS qui reçoivent les signaux provenant du véhicule et qui commandent automatiquement le fonctionnement des unités d’éclairage.</w:t>
      </w:r>
    </w:p>
    <w:p w:rsidR="00D6374E" w:rsidRPr="00D6374E" w:rsidRDefault="00D6374E" w:rsidP="00D6374E">
      <w:pPr>
        <w:pStyle w:val="SingleTxtG"/>
        <w:ind w:left="2268" w:hanging="1134"/>
        <w:rPr>
          <w:rFonts w:eastAsia="Calibri"/>
        </w:rPr>
      </w:pPr>
      <w:r w:rsidRPr="00D6374E">
        <w:rPr>
          <w:rFonts w:eastAsia="Calibri"/>
        </w:rPr>
        <w:t>2.7.4.5</w:t>
      </w:r>
      <w:r w:rsidRPr="00D6374E">
        <w:rPr>
          <w:rFonts w:eastAsia="Calibri"/>
        </w:rPr>
        <w:tab/>
        <w:t>“</w:t>
      </w:r>
      <w:r w:rsidRPr="00D6374E">
        <w:rPr>
          <w:rFonts w:eastAsia="Calibri"/>
          <w:i/>
        </w:rPr>
        <w:t>Signal de commande AFS</w:t>
      </w:r>
      <w:r w:rsidRPr="00D6374E">
        <w:rPr>
          <w:rFonts w:eastAsia="Calibri"/>
        </w:rPr>
        <w:t>” (V, E, W, T), le signal entrant dans l’AFS, conformément au paragraphe 6.22.7.4 du présent Règlement.</w:t>
      </w:r>
    </w:p>
    <w:p w:rsidR="00D6374E" w:rsidRPr="00D6374E" w:rsidRDefault="00D6374E" w:rsidP="00D6374E">
      <w:pPr>
        <w:pStyle w:val="SingleTxtG"/>
        <w:ind w:left="2268" w:hanging="1134"/>
        <w:rPr>
          <w:rFonts w:eastAsia="Calibri"/>
        </w:rPr>
      </w:pPr>
      <w:r w:rsidRPr="00D6374E">
        <w:rPr>
          <w:rFonts w:eastAsia="Calibri"/>
        </w:rPr>
        <w:t>2.7.4.6</w:t>
      </w:r>
      <w:r w:rsidRPr="00D6374E">
        <w:rPr>
          <w:rFonts w:eastAsia="Calibri"/>
        </w:rPr>
        <w:tab/>
        <w:t>“</w:t>
      </w:r>
      <w:r w:rsidRPr="00D6374E">
        <w:rPr>
          <w:rFonts w:eastAsia="Calibri"/>
          <w:i/>
        </w:rPr>
        <w:t>État neutre</w:t>
      </w:r>
      <w:r w:rsidRPr="00D6374E">
        <w:rPr>
          <w:rFonts w:eastAsia="Calibri"/>
        </w:rPr>
        <w:t>”, l’état de l’AFS lorsqu’un mode défini du faisceau de croisement de la classe C (“faisceau de croisement de base”) ou, du faisceau de route dans sa condition d’activation maximale, le cas échéant, est émis, mais qu’aucun signal de commande n’est appliqué.</w:t>
      </w:r>
    </w:p>
    <w:p w:rsidR="00D6374E" w:rsidRPr="00D6374E" w:rsidRDefault="00D6374E" w:rsidP="00D6374E">
      <w:pPr>
        <w:pStyle w:val="SingleTxtG"/>
        <w:ind w:left="2268" w:hanging="1134"/>
        <w:rPr>
          <w:rFonts w:eastAsia="Calibri"/>
        </w:rPr>
      </w:pPr>
      <w:r w:rsidRPr="00D6374E">
        <w:rPr>
          <w:rFonts w:eastAsia="Calibri"/>
        </w:rPr>
        <w:t>2.7.4.7</w:t>
      </w:r>
      <w:r w:rsidRPr="00D6374E">
        <w:rPr>
          <w:rFonts w:eastAsia="Calibri"/>
        </w:rPr>
        <w:tab/>
        <w:t>“</w:t>
      </w:r>
      <w:r w:rsidRPr="00D6374E">
        <w:rPr>
          <w:rFonts w:eastAsia="Calibri"/>
          <w:i/>
        </w:rPr>
        <w:t>Faisceau de route adaptatif</w:t>
      </w:r>
      <w:r w:rsidRPr="00D6374E">
        <w:rPr>
          <w:rFonts w:eastAsia="Calibri"/>
        </w:rPr>
        <w:t>”, le faisceau de route d’un AFS dont la forme s’adapte du fait de l’arrivée d’un véhicule en sens inverse ou de la présence d’un véhicule en aval, de façon à améliorer la visibilité à distance du conducteur, sans occasionner de gêne, de distraction ou d’éblouissement pour les autres usagers de la route.</w:t>
      </w:r>
    </w:p>
    <w:p w:rsidR="00D6374E" w:rsidRPr="00D6374E" w:rsidRDefault="00D6374E" w:rsidP="00D6374E">
      <w:pPr>
        <w:pStyle w:val="SingleTxtG"/>
        <w:ind w:left="2268" w:hanging="1134"/>
        <w:rPr>
          <w:rFonts w:eastAsia="Calibri"/>
        </w:rPr>
      </w:pPr>
      <w:r w:rsidRPr="00D6374E">
        <w:rPr>
          <w:rFonts w:eastAsia="Calibri"/>
        </w:rPr>
        <w:t>2.7.5</w:t>
      </w:r>
      <w:r w:rsidRPr="00D6374E">
        <w:rPr>
          <w:rFonts w:eastAsia="Calibri"/>
        </w:rPr>
        <w:tab/>
        <w:t>Définitions concernant l’AFS</w:t>
      </w:r>
    </w:p>
    <w:p w:rsidR="00D6374E" w:rsidRPr="00D6374E" w:rsidRDefault="00D6374E" w:rsidP="00DB75DF">
      <w:pPr>
        <w:pStyle w:val="SingleTxtG"/>
        <w:ind w:left="2268"/>
        <w:rPr>
          <w:rFonts w:eastAsia="Calibri"/>
        </w:rPr>
      </w:pPr>
      <w:r w:rsidRPr="00D6374E">
        <w:rPr>
          <w:rFonts w:eastAsia="Calibri"/>
        </w:rPr>
        <w:t>Au sens du présent Règlement, on entend par :</w:t>
      </w:r>
    </w:p>
    <w:p w:rsidR="00D6374E" w:rsidRPr="00D6374E" w:rsidRDefault="00D6374E" w:rsidP="00D6374E">
      <w:pPr>
        <w:pStyle w:val="SingleTxtG"/>
        <w:ind w:left="2268" w:hanging="1134"/>
        <w:rPr>
          <w:rFonts w:eastAsia="Calibri"/>
        </w:rPr>
      </w:pPr>
      <w:r w:rsidRPr="00D6374E">
        <w:rPr>
          <w:rFonts w:eastAsia="Calibri"/>
        </w:rPr>
        <w:t>2.7.5.1</w:t>
      </w:r>
      <w:r w:rsidRPr="00D6374E">
        <w:rPr>
          <w:rFonts w:eastAsia="Calibri"/>
        </w:rPr>
        <w:tab/>
        <w:t>“</w:t>
      </w:r>
      <w:r w:rsidRPr="00D6374E">
        <w:rPr>
          <w:rFonts w:eastAsia="Calibri"/>
          <w:i/>
        </w:rPr>
        <w:t>Classe</w:t>
      </w:r>
      <w:r w:rsidRPr="00D6374E">
        <w:rPr>
          <w:rFonts w:eastAsia="Calibri"/>
        </w:rPr>
        <w:t>” d’un faisceau de croisement (C, V, E ou W), un faisceau de croisement possédant les caractéristiques énoncées dans le Règlement n</w:t>
      </w:r>
      <w:r w:rsidRPr="00D6374E">
        <w:rPr>
          <w:rFonts w:eastAsia="Calibri"/>
          <w:vertAlign w:val="superscript"/>
        </w:rPr>
        <w:t>o</w:t>
      </w:r>
      <w:r w:rsidRPr="00D6374E">
        <w:rPr>
          <w:rFonts w:eastAsia="Calibri"/>
        </w:rPr>
        <w:t> 48 de l’ONU. (Uniquement aux fins d’explication, la classe C correspond au faisceau de croisement de base, la classe V correspond au faisceau de croisement utilisé dans les zones éclairées, par exemple les agglomérations, la classe E correspond au faisceau de croisement utilisé sur les routes ou les autoroutes et la classe W correspond au faisceau de croisement utilisé par mauvais temps, par exemple sur route mouillée.) ;</w:t>
      </w:r>
    </w:p>
    <w:p w:rsidR="00D6374E" w:rsidRPr="00D6374E" w:rsidRDefault="00D6374E" w:rsidP="00D6374E">
      <w:pPr>
        <w:pStyle w:val="SingleTxtG"/>
        <w:ind w:left="2268" w:hanging="1134"/>
        <w:rPr>
          <w:rFonts w:eastAsia="Calibri"/>
        </w:rPr>
      </w:pPr>
      <w:r w:rsidRPr="00D6374E">
        <w:rPr>
          <w:rFonts w:eastAsia="Calibri"/>
        </w:rPr>
        <w:t>2.7.5.2</w:t>
      </w:r>
      <w:r w:rsidRPr="00D6374E">
        <w:rPr>
          <w:rFonts w:eastAsia="Calibri"/>
        </w:rPr>
        <w:tab/>
        <w:t>“</w:t>
      </w:r>
      <w:r w:rsidRPr="00D6374E">
        <w:rPr>
          <w:rFonts w:eastAsia="Calibri"/>
          <w:i/>
        </w:rPr>
        <w:t>Mode d’éclairage en virage</w:t>
      </w:r>
      <w:r w:rsidRPr="00D6374E">
        <w:rPr>
          <w:rFonts w:eastAsia="Calibri"/>
        </w:rPr>
        <w:t>”, une fonction d’éclairage avant dont l’éclairement est déplacé latéralement ou modifié (afin d’obtenir un résultat équivalent), conçu pour les courbes, les virages ou les intersections de la route, et possédant des caractéristiques</w:t>
      </w:r>
      <w:r w:rsidRPr="00D6374E">
        <w:rPr>
          <w:rFonts w:ascii="Times New Roman Gras" w:eastAsia="Calibri" w:hAnsi="Times New Roman Gras"/>
        </w:rPr>
        <w:t xml:space="preserve"> photométriques propres :</w:t>
      </w:r>
    </w:p>
    <w:p w:rsidR="00D6374E" w:rsidRPr="00D6374E" w:rsidRDefault="00D6374E" w:rsidP="00F82D7E">
      <w:pPr>
        <w:pStyle w:val="SingleTxtG"/>
        <w:ind w:left="2835" w:hanging="567"/>
        <w:rPr>
          <w:rFonts w:eastAsia="Calibri"/>
        </w:rPr>
      </w:pPr>
      <w:r w:rsidRPr="00D6374E">
        <w:rPr>
          <w:rFonts w:eastAsia="Calibri"/>
        </w:rPr>
        <w:t>a)</w:t>
      </w:r>
      <w:r w:rsidRPr="00D6374E">
        <w:rPr>
          <w:rFonts w:eastAsia="Calibri"/>
        </w:rPr>
        <w:tab/>
        <w:t>“</w:t>
      </w:r>
      <w:r w:rsidRPr="00D6374E">
        <w:rPr>
          <w:rFonts w:eastAsia="Calibri"/>
          <w:i/>
        </w:rPr>
        <w:t>Mode d’éclairage en virage de la catégorie 1</w:t>
      </w:r>
      <w:r w:rsidRPr="00D6374E">
        <w:rPr>
          <w:rFonts w:eastAsia="Calibri"/>
        </w:rPr>
        <w:t>”, un mode d’éclairage en virage par déplacement horizontal du coude de la ligne de coupure ;</w:t>
      </w:r>
    </w:p>
    <w:p w:rsidR="00D6374E" w:rsidRPr="00D6374E" w:rsidRDefault="00D6374E" w:rsidP="00F82D7E">
      <w:pPr>
        <w:pStyle w:val="SingleTxtG"/>
        <w:ind w:left="2835" w:hanging="567"/>
        <w:rPr>
          <w:rFonts w:eastAsia="Calibri"/>
        </w:rPr>
      </w:pPr>
      <w:r w:rsidRPr="00D6374E">
        <w:rPr>
          <w:rFonts w:eastAsia="Calibri"/>
        </w:rPr>
        <w:t>b)</w:t>
      </w:r>
      <w:r w:rsidRPr="00D6374E">
        <w:rPr>
          <w:rFonts w:eastAsia="Calibri"/>
        </w:rPr>
        <w:tab/>
        <w:t>“</w:t>
      </w:r>
      <w:r w:rsidRPr="00D6374E">
        <w:rPr>
          <w:rFonts w:eastAsia="Calibri"/>
          <w:i/>
        </w:rPr>
        <w:t>Mode d’éclairage en virage de la catégorie 2</w:t>
      </w:r>
      <w:r w:rsidRPr="00D6374E">
        <w:rPr>
          <w:rFonts w:eastAsia="Calibri"/>
        </w:rPr>
        <w:t>”, un mode d’éclairage en virage sans déplacement horizontal du coude de la ligne de coupure ;</w:t>
      </w:r>
    </w:p>
    <w:p w:rsidR="00D6374E" w:rsidRPr="00D6374E" w:rsidRDefault="00D6374E" w:rsidP="00D6374E">
      <w:pPr>
        <w:pStyle w:val="SingleTxtG"/>
        <w:ind w:left="2268" w:hanging="1134"/>
        <w:rPr>
          <w:rFonts w:eastAsia="Calibri"/>
        </w:rPr>
      </w:pPr>
      <w:r w:rsidRPr="00D6374E">
        <w:rPr>
          <w:rFonts w:eastAsia="Calibri"/>
        </w:rPr>
        <w:t>2.7.5.3</w:t>
      </w:r>
      <w:r w:rsidRPr="00D6374E">
        <w:rPr>
          <w:rFonts w:eastAsia="Calibri"/>
        </w:rPr>
        <w:tab/>
        <w:t>“</w:t>
      </w:r>
      <w:r w:rsidRPr="00D6374E">
        <w:rPr>
          <w:rFonts w:eastAsia="Calibri"/>
          <w:i/>
        </w:rPr>
        <w:t>Côté droit</w:t>
      </w:r>
      <w:r w:rsidRPr="00D6374E">
        <w:rPr>
          <w:rFonts w:eastAsia="Calibri"/>
        </w:rPr>
        <w:t>” ou “</w:t>
      </w:r>
      <w:r w:rsidRPr="00D6374E">
        <w:rPr>
          <w:rFonts w:eastAsia="Calibri"/>
          <w:i/>
        </w:rPr>
        <w:t>côté gauche</w:t>
      </w:r>
      <w:r w:rsidRPr="00D6374E">
        <w:rPr>
          <w:rFonts w:eastAsia="Calibri"/>
        </w:rPr>
        <w:t>”, la totalité des unités d’éclairage destinées à être montées sur le côté en question du plan longitudinal médian du véhicule par rapport à son axe de déplacement vers l’avant ;</w:t>
      </w:r>
    </w:p>
    <w:p w:rsidR="00D6374E" w:rsidRPr="00D6374E" w:rsidRDefault="00D6374E" w:rsidP="00D6374E">
      <w:pPr>
        <w:pStyle w:val="SingleTxtG"/>
        <w:ind w:left="2268" w:hanging="1134"/>
        <w:rPr>
          <w:rFonts w:eastAsia="Calibri"/>
        </w:rPr>
      </w:pPr>
      <w:r w:rsidRPr="00D6374E">
        <w:rPr>
          <w:rFonts w:eastAsia="Calibri"/>
        </w:rPr>
        <w:t>2.7.5.4</w:t>
      </w:r>
      <w:r w:rsidRPr="00D6374E">
        <w:rPr>
          <w:rFonts w:eastAsia="Calibri"/>
        </w:rPr>
        <w:tab/>
        <w:t>“</w:t>
      </w:r>
      <w:r w:rsidRPr="00D6374E">
        <w:rPr>
          <w:rFonts w:eastAsia="Calibri"/>
          <w:i/>
        </w:rPr>
        <w:t>Signal</w:t>
      </w:r>
      <w:r w:rsidRPr="00D6374E">
        <w:rPr>
          <w:rFonts w:eastAsia="Calibri"/>
        </w:rPr>
        <w:t>”, tout signal de commande AFS ou tout signal de commande supplémentaire d’entrée du système, ou encore une commande de sortie du système vers le véhicule ;</w:t>
      </w:r>
    </w:p>
    <w:p w:rsidR="00D6374E" w:rsidRPr="00D6374E" w:rsidRDefault="00D6374E" w:rsidP="00D6374E">
      <w:pPr>
        <w:pStyle w:val="SingleTxtG"/>
        <w:ind w:left="2268" w:hanging="1134"/>
        <w:rPr>
          <w:rFonts w:eastAsia="Calibri"/>
        </w:rPr>
      </w:pPr>
      <w:r w:rsidRPr="00D6374E">
        <w:rPr>
          <w:rFonts w:eastAsia="Calibri"/>
        </w:rPr>
        <w:t>2.7.5.5</w:t>
      </w:r>
      <w:r w:rsidRPr="00D6374E">
        <w:rPr>
          <w:rFonts w:eastAsia="Calibri"/>
        </w:rPr>
        <w:tab/>
        <w:t>“</w:t>
      </w:r>
      <w:r w:rsidRPr="00D6374E">
        <w:rPr>
          <w:rFonts w:eastAsia="Calibri"/>
          <w:i/>
        </w:rPr>
        <w:t>Générateur de signal</w:t>
      </w:r>
      <w:r w:rsidRPr="00D6374E">
        <w:rPr>
          <w:rFonts w:eastAsia="Calibri"/>
        </w:rPr>
        <w:t>”, un dispositif capable de reproduire un ou plusieurs des signaux pour les essais du système ;</w:t>
      </w:r>
    </w:p>
    <w:p w:rsidR="00D6374E" w:rsidRPr="00D6374E" w:rsidRDefault="00D6374E" w:rsidP="00D6374E">
      <w:pPr>
        <w:pStyle w:val="SingleTxtG"/>
        <w:ind w:left="2268" w:hanging="1134"/>
        <w:rPr>
          <w:rFonts w:eastAsia="Calibri"/>
        </w:rPr>
      </w:pPr>
      <w:r w:rsidRPr="00D6374E">
        <w:rPr>
          <w:rFonts w:eastAsia="Calibri"/>
        </w:rPr>
        <w:t>2.7.5.6</w:t>
      </w:r>
      <w:r w:rsidRPr="00D6374E">
        <w:rPr>
          <w:rFonts w:eastAsia="Calibri"/>
        </w:rPr>
        <w:tab/>
        <w:t>“</w:t>
      </w:r>
      <w:r w:rsidRPr="00D6374E">
        <w:rPr>
          <w:rFonts w:eastAsia="Calibri"/>
          <w:i/>
        </w:rPr>
        <w:t>Dispositif d’alimentation et de fonctionnement</w:t>
      </w:r>
      <w:r w:rsidRPr="00D6374E">
        <w:rPr>
          <w:rFonts w:eastAsia="Calibri"/>
        </w:rPr>
        <w:t>”, l’un ou plusieurs des éléments d’un système alimentant en énergie une ou plusieurs parties de ce système, comme un régulateur de puissance et/ou de tension pour une ou plusieurs sources lumineuses, par exemple des équipements de commande électronique des sources lumineuses ;</w:t>
      </w:r>
    </w:p>
    <w:p w:rsidR="00D6374E" w:rsidRPr="00D6374E" w:rsidRDefault="00D6374E" w:rsidP="00D6374E">
      <w:pPr>
        <w:pStyle w:val="SingleTxtG"/>
        <w:ind w:left="2268" w:hanging="1134"/>
        <w:rPr>
          <w:rFonts w:eastAsia="Calibri"/>
        </w:rPr>
      </w:pPr>
      <w:r w:rsidRPr="00D6374E">
        <w:rPr>
          <w:rFonts w:eastAsia="Calibri"/>
        </w:rPr>
        <w:lastRenderedPageBreak/>
        <w:t>2.7.5.7</w:t>
      </w:r>
      <w:r w:rsidRPr="00D6374E">
        <w:rPr>
          <w:rFonts w:eastAsia="Calibri"/>
        </w:rPr>
        <w:tab/>
        <w:t>“</w:t>
      </w:r>
      <w:r w:rsidRPr="00D6374E">
        <w:rPr>
          <w:rFonts w:eastAsia="Calibri"/>
          <w:i/>
        </w:rPr>
        <w:t>Axe de référence du système</w:t>
      </w:r>
      <w:r w:rsidRPr="00D6374E">
        <w:rPr>
          <w:rFonts w:eastAsia="Calibri"/>
        </w:rPr>
        <w:t>”, la ligne d’intersection du plan longitudinal médian du véhicule avec le plan horizontal passant par le centre de référence d’une des unités d’éclairage figurant sur les dessins accompagnant la demande d’homologation du dispositif ;</w:t>
      </w:r>
    </w:p>
    <w:p w:rsidR="00D6374E" w:rsidRPr="00D6374E" w:rsidRDefault="00D6374E" w:rsidP="00D6374E">
      <w:pPr>
        <w:pStyle w:val="SingleTxtG"/>
        <w:ind w:left="2268" w:hanging="1134"/>
        <w:rPr>
          <w:rFonts w:eastAsia="Calibri"/>
        </w:rPr>
      </w:pPr>
      <w:r w:rsidRPr="00D6374E">
        <w:rPr>
          <w:rFonts w:eastAsia="Calibri"/>
        </w:rPr>
        <w:t>2.7.5.8</w:t>
      </w:r>
      <w:r w:rsidRPr="00D6374E">
        <w:rPr>
          <w:rFonts w:eastAsia="Calibri"/>
        </w:rPr>
        <w:tab/>
        <w:t>“</w:t>
      </w:r>
      <w:r w:rsidRPr="00D6374E">
        <w:rPr>
          <w:rFonts w:eastAsia="Calibri"/>
          <w:i/>
        </w:rPr>
        <w:t>Fonction pour changement de sens de circulation</w:t>
      </w:r>
      <w:r w:rsidRPr="00D6374E">
        <w:rPr>
          <w:rFonts w:eastAsia="Calibri"/>
        </w:rPr>
        <w:t>”, toute fonction d’éclairage avant, ou un de ses modes ou seulement une ou plusieurs de ses parties, ou encore toute combinaison de ces éléments, prévue pour éviter tout éblouissement et assurer un éclairement suffisant lorsqu’un véhicule équipé d’un système conçu pour circuler d’un côté de la chaussée est provisoirement</w:t>
      </w:r>
      <w:r w:rsidRPr="00D6374E">
        <w:rPr>
          <w:rFonts w:eastAsia="Calibri"/>
          <w:spacing w:val="-3"/>
        </w:rPr>
        <w:t xml:space="preserve"> utilisé dans un pays où la circulation se fait de l’autre côté ;</w:t>
      </w:r>
    </w:p>
    <w:p w:rsidR="00D6374E" w:rsidRPr="00D6374E" w:rsidRDefault="00D6374E" w:rsidP="00D6374E">
      <w:pPr>
        <w:pStyle w:val="SingleTxtG"/>
        <w:ind w:left="2268" w:hanging="1134"/>
        <w:rPr>
          <w:rFonts w:eastAsia="Calibri"/>
        </w:rPr>
      </w:pPr>
      <w:r w:rsidRPr="00D6374E">
        <w:rPr>
          <w:rFonts w:eastAsia="Calibri"/>
        </w:rPr>
        <w:t>2.7.5.9</w:t>
      </w:r>
      <w:r w:rsidRPr="00D6374E">
        <w:rPr>
          <w:rFonts w:eastAsia="Calibri"/>
        </w:rPr>
        <w:tab/>
        <w:t>“</w:t>
      </w:r>
      <w:r w:rsidRPr="00D6374E">
        <w:rPr>
          <w:rFonts w:eastAsia="Calibri"/>
          <w:i/>
        </w:rPr>
        <w:t>Fonction de remplacement</w:t>
      </w:r>
      <w:r w:rsidRPr="00D6374E">
        <w:rPr>
          <w:rFonts w:eastAsia="Calibri"/>
        </w:rPr>
        <w:t>”, toute fonction d’éclairage et/ou de signalisation avant, ou un de ses modes ou seulement une ou plusieurs de ses parties, ou encore toute combinaison de ces éléments, conçue pour remplacer une fonction ou un mode d’éclairage avant en cas de défaillance ;</w:t>
      </w:r>
    </w:p>
    <w:p w:rsidR="00D6374E" w:rsidRPr="00D6374E" w:rsidRDefault="00D6374E" w:rsidP="00D6374E">
      <w:pPr>
        <w:pStyle w:val="SingleTxtG"/>
        <w:ind w:left="2268" w:hanging="1134"/>
        <w:rPr>
          <w:rFonts w:eastAsia="Calibri"/>
        </w:rPr>
      </w:pPr>
      <w:r w:rsidRPr="00D6374E">
        <w:rPr>
          <w:rFonts w:eastAsia="Calibri"/>
        </w:rPr>
        <w:t>2.7.5.10</w:t>
      </w:r>
      <w:r w:rsidRPr="00D6374E">
        <w:rPr>
          <w:rFonts w:eastAsia="Calibri"/>
        </w:rPr>
        <w:tab/>
        <w:t>“</w:t>
      </w:r>
      <w:r w:rsidRPr="00D6374E">
        <w:rPr>
          <w:rFonts w:eastAsia="Calibri"/>
          <w:i/>
        </w:rPr>
        <w:t>Unité fonctionnelle</w:t>
      </w:r>
      <w:r w:rsidRPr="00D6374E">
        <w:rPr>
          <w:rFonts w:eastAsia="Calibri"/>
        </w:rPr>
        <w:t>”, la partie d’une unité d’éclairage qui permet une répartition spécifique de la lumière et peut être utilisée dans différents modes et classes. Lorsqu’elle est utilisée pour le mode d’éclairage en virage, la manière dont elle répartit la lumière peut varier en fonction du signal T (rayon de braquage) ; toutefois, pour un signal T (rayon de braquage) donné, la répartition de la lumière doit être identique dans tous les modes et classes.</w:t>
      </w:r>
    </w:p>
    <w:p w:rsidR="00D6374E" w:rsidRPr="00D6374E" w:rsidRDefault="00D6374E" w:rsidP="00D6374E">
      <w:pPr>
        <w:pStyle w:val="SingleTxtG"/>
        <w:ind w:left="2268" w:hanging="1134"/>
        <w:rPr>
          <w:rFonts w:eastAsia="Calibri"/>
        </w:rPr>
      </w:pPr>
      <w:r w:rsidRPr="00D6374E">
        <w:rPr>
          <w:rFonts w:eastAsia="Calibri"/>
        </w:rPr>
        <w:t>2.7.6</w:t>
      </w:r>
      <w:r w:rsidRPr="00D6374E">
        <w:rPr>
          <w:rFonts w:eastAsia="Calibri"/>
        </w:rPr>
        <w:tab/>
      </w:r>
      <w:r w:rsidRPr="00D6374E">
        <w:rPr>
          <w:rFonts w:eastAsia="Calibri"/>
        </w:rPr>
        <w:tab/>
        <w:t>“</w:t>
      </w:r>
      <w:r w:rsidRPr="00D6374E">
        <w:rPr>
          <w:rFonts w:eastAsia="Calibri"/>
          <w:i/>
        </w:rPr>
        <w:t>Activation séquentielle</w:t>
      </w:r>
      <w:r w:rsidRPr="00D6374E">
        <w:rPr>
          <w:rFonts w:eastAsia="Calibri"/>
        </w:rPr>
        <w:t>”, un branchement électrique dans lequel les différentes sources lumineuses d’un feu sont interconnectées de manière à être activées dans un ordre prédéterminé.</w:t>
      </w:r>
    </w:p>
    <w:p w:rsidR="00D6374E" w:rsidRPr="00D6374E" w:rsidRDefault="00D6374E" w:rsidP="00D6374E">
      <w:pPr>
        <w:pStyle w:val="SingleTxtG"/>
        <w:ind w:left="2268" w:hanging="1134"/>
        <w:rPr>
          <w:rFonts w:eastAsia="Calibri"/>
        </w:rPr>
      </w:pPr>
      <w:r w:rsidRPr="00D6374E">
        <w:rPr>
          <w:rFonts w:eastAsia="Calibri"/>
        </w:rPr>
        <w:t>2.7.7</w:t>
      </w:r>
      <w:r w:rsidRPr="00D6374E">
        <w:rPr>
          <w:rFonts w:eastAsia="Calibri"/>
        </w:rPr>
        <w:tab/>
      </w:r>
      <w:r w:rsidRPr="00D6374E">
        <w:rPr>
          <w:rFonts w:eastAsia="Calibri"/>
        </w:rPr>
        <w:tab/>
        <w:t>“</w:t>
      </w:r>
      <w:r w:rsidRPr="00D6374E">
        <w:rPr>
          <w:rFonts w:eastAsia="Calibri"/>
          <w:i/>
        </w:rPr>
        <w:t>Optique catadioptrique</w:t>
      </w:r>
      <w:r w:rsidRPr="00D6374E">
        <w:rPr>
          <w:rFonts w:eastAsia="Calibri"/>
        </w:rPr>
        <w:t xml:space="preserve">”, une combinaison d’éléments optiques qui permet d’obtenir la réflexion catadioptrique. </w:t>
      </w:r>
    </w:p>
    <w:p w:rsidR="00D6374E" w:rsidRPr="00D6374E" w:rsidRDefault="00D6374E" w:rsidP="00D6374E">
      <w:pPr>
        <w:pStyle w:val="SingleTxtG"/>
        <w:ind w:left="2268" w:hanging="1134"/>
        <w:rPr>
          <w:rFonts w:eastAsia="Calibri"/>
        </w:rPr>
      </w:pPr>
      <w:r w:rsidRPr="00D6374E">
        <w:rPr>
          <w:rFonts w:eastAsia="Calibri"/>
        </w:rPr>
        <w:t>2.8</w:t>
      </w:r>
      <w:r w:rsidRPr="00D6374E">
        <w:rPr>
          <w:rFonts w:eastAsia="Calibri"/>
        </w:rPr>
        <w:tab/>
        <w:t>Définitions concernant les glaces</w:t>
      </w:r>
    </w:p>
    <w:p w:rsidR="00D6374E" w:rsidRPr="00D6374E" w:rsidRDefault="00D6374E" w:rsidP="00DB75DF">
      <w:pPr>
        <w:pStyle w:val="SingleTxtG"/>
        <w:ind w:left="2268"/>
        <w:rPr>
          <w:rFonts w:eastAsia="Calibri"/>
        </w:rPr>
      </w:pPr>
      <w:r w:rsidRPr="00D6374E">
        <w:rPr>
          <w:rFonts w:eastAsia="Calibri"/>
        </w:rPr>
        <w:t>Au sens du présent Règlement, on entend par :</w:t>
      </w:r>
    </w:p>
    <w:p w:rsidR="00D6374E" w:rsidRPr="00D6374E" w:rsidRDefault="00D6374E" w:rsidP="00D6374E">
      <w:pPr>
        <w:pStyle w:val="SingleTxtG"/>
        <w:ind w:left="2268" w:hanging="1134"/>
        <w:rPr>
          <w:rFonts w:eastAsia="Calibri"/>
        </w:rPr>
      </w:pPr>
      <w:r w:rsidRPr="00D6374E">
        <w:rPr>
          <w:rFonts w:eastAsia="Calibri"/>
        </w:rPr>
        <w:t>2.8.1</w:t>
      </w:r>
      <w:r w:rsidRPr="00D6374E">
        <w:rPr>
          <w:rFonts w:eastAsia="Calibri"/>
        </w:rPr>
        <w:tab/>
        <w:t>“</w:t>
      </w:r>
      <w:r w:rsidRPr="00D6374E">
        <w:rPr>
          <w:rFonts w:eastAsia="Calibri"/>
          <w:i/>
        </w:rPr>
        <w:t>Glace</w:t>
      </w:r>
      <w:r w:rsidRPr="00D6374E">
        <w:rPr>
          <w:rFonts w:eastAsia="Calibri"/>
        </w:rPr>
        <w:t>”, l’élément le plus à l’extérieur du feu (de l’unité) qui transmet de la lumière à travers la surface éclairante ;</w:t>
      </w:r>
    </w:p>
    <w:p w:rsidR="00D6374E" w:rsidRPr="00D6374E" w:rsidRDefault="00D6374E" w:rsidP="00D6374E">
      <w:pPr>
        <w:pStyle w:val="SingleTxtG"/>
        <w:ind w:left="2268" w:hanging="1134"/>
        <w:rPr>
          <w:rFonts w:eastAsia="Calibri"/>
        </w:rPr>
      </w:pPr>
      <w:r w:rsidRPr="00D6374E">
        <w:rPr>
          <w:rFonts w:eastAsia="Calibri"/>
        </w:rPr>
        <w:t>2.8.2</w:t>
      </w:r>
      <w:r w:rsidRPr="00D6374E">
        <w:rPr>
          <w:rFonts w:eastAsia="Calibri"/>
        </w:rPr>
        <w:tab/>
        <w:t>“</w:t>
      </w:r>
      <w:r w:rsidRPr="00D6374E">
        <w:rPr>
          <w:rFonts w:eastAsia="Calibri"/>
          <w:i/>
        </w:rPr>
        <w:t>Revêtement</w:t>
      </w:r>
      <w:r w:rsidRPr="00D6374E">
        <w:rPr>
          <w:rFonts w:eastAsia="Calibri"/>
        </w:rPr>
        <w:t>”, tout produit appliqué en une ou plusieurs couches sur la surface externe de la glace ;</w:t>
      </w:r>
    </w:p>
    <w:p w:rsidR="00D6374E" w:rsidRPr="00D6374E" w:rsidRDefault="00D6374E" w:rsidP="00D6374E">
      <w:pPr>
        <w:pStyle w:val="SingleTxtG"/>
        <w:ind w:left="2268" w:hanging="1134"/>
        <w:rPr>
          <w:rFonts w:eastAsia="Calibri"/>
        </w:rPr>
      </w:pPr>
      <w:r w:rsidRPr="00D6374E">
        <w:rPr>
          <w:rFonts w:eastAsia="Calibri"/>
        </w:rPr>
        <w:t>2.8.3</w:t>
      </w:r>
      <w:r w:rsidRPr="00D6374E">
        <w:rPr>
          <w:rFonts w:eastAsia="Calibri"/>
        </w:rPr>
        <w:tab/>
        <w:t>“</w:t>
      </w:r>
      <w:r w:rsidRPr="00D6374E">
        <w:rPr>
          <w:rFonts w:eastAsia="Calibri"/>
          <w:i/>
        </w:rPr>
        <w:t>Glace extérieure texturée</w:t>
      </w:r>
      <w:r w:rsidRPr="00D6374E">
        <w:rPr>
          <w:rFonts w:eastAsia="Calibri"/>
        </w:rPr>
        <w:t>” ou “</w:t>
      </w:r>
      <w:r w:rsidRPr="00D6374E">
        <w:rPr>
          <w:rFonts w:eastAsia="Calibri"/>
          <w:i/>
        </w:rPr>
        <w:t>partie de glace extérieure texturée</w:t>
      </w:r>
      <w:r w:rsidRPr="00D6374E">
        <w:rPr>
          <w:rFonts w:eastAsia="Calibri"/>
        </w:rPr>
        <w:t>”, tout ou partie d’une glace extérieure, conçue pour modifier la propagation de la lumière émise par une ou des sources lumineuses ou pour influer sur celle-ci, de manière que les rayons lumineux s’écartent sensiblement de leur direction initiale.</w:t>
      </w:r>
    </w:p>
    <w:p w:rsidR="00D6374E" w:rsidRPr="00D6374E" w:rsidRDefault="00D6374E" w:rsidP="00D6374E">
      <w:pPr>
        <w:pStyle w:val="SingleTxtG"/>
        <w:ind w:left="2268" w:hanging="1134"/>
        <w:rPr>
          <w:rFonts w:eastAsia="Calibri"/>
        </w:rPr>
      </w:pPr>
      <w:r w:rsidRPr="00DA2BD3">
        <w:rPr>
          <w:rFonts w:eastAsia="Calibri"/>
        </w:rPr>
        <w:t>2.9</w:t>
      </w:r>
      <w:r w:rsidRPr="00DA2BD3">
        <w:rPr>
          <w:rFonts w:eastAsia="Calibri"/>
        </w:rPr>
        <w:tab/>
        <w:t>Définitions concernant les sources lumineuses</w:t>
      </w:r>
    </w:p>
    <w:p w:rsidR="00D6374E" w:rsidRPr="00D6374E" w:rsidRDefault="00D6374E" w:rsidP="00DB75DF">
      <w:pPr>
        <w:pStyle w:val="SingleTxtG"/>
        <w:ind w:left="2268"/>
        <w:rPr>
          <w:rFonts w:eastAsia="Calibri"/>
        </w:rPr>
      </w:pPr>
      <w:r w:rsidRPr="00D6374E">
        <w:rPr>
          <w:rFonts w:eastAsia="Calibri"/>
        </w:rPr>
        <w:t>Au sens du présent Règlement, on entend par :</w:t>
      </w:r>
    </w:p>
    <w:p w:rsidR="00D6374E" w:rsidRPr="00D6374E" w:rsidRDefault="00D6374E" w:rsidP="00D6374E">
      <w:pPr>
        <w:pStyle w:val="SingleTxtG"/>
        <w:ind w:left="2268" w:hanging="1134"/>
        <w:rPr>
          <w:rFonts w:eastAsia="Calibri"/>
        </w:rPr>
      </w:pPr>
      <w:r w:rsidRPr="00D6374E">
        <w:rPr>
          <w:rFonts w:eastAsia="Calibri"/>
        </w:rPr>
        <w:t>2.9.1</w:t>
      </w:r>
      <w:r w:rsidRPr="00D6374E">
        <w:rPr>
          <w:rFonts w:eastAsia="Calibri"/>
        </w:rPr>
        <w:tab/>
      </w:r>
      <w:r w:rsidRPr="00D6374E">
        <w:rPr>
          <w:rFonts w:eastAsia="Calibri"/>
        </w:rPr>
        <w:tab/>
        <w:t>“</w:t>
      </w:r>
      <w:r w:rsidRPr="00D6374E">
        <w:rPr>
          <w:rFonts w:eastAsia="Calibri"/>
          <w:i/>
        </w:rPr>
        <w:t>Source lumineuse</w:t>
      </w:r>
      <w:r w:rsidRPr="00D6374E">
        <w:rPr>
          <w:rFonts w:eastAsia="Calibri"/>
        </w:rPr>
        <w:t>”, un ou plusieurs éléments émettant un rayonnement optique visible assortis d’un culot pour le montage mécanique et le raccordement électrique, et éventuellement d’un ou de plusieurs modules de commande de ces éléments.</w:t>
      </w:r>
    </w:p>
    <w:p w:rsidR="00D6374E" w:rsidRPr="00D6374E" w:rsidRDefault="00D6374E" w:rsidP="00D6374E">
      <w:pPr>
        <w:pStyle w:val="SingleTxtG"/>
        <w:ind w:left="2268" w:hanging="1134"/>
        <w:rPr>
          <w:rFonts w:eastAsia="Calibri"/>
        </w:rPr>
      </w:pPr>
      <w:r w:rsidRPr="00D6374E">
        <w:rPr>
          <w:rFonts w:eastAsia="Calibri"/>
        </w:rPr>
        <w:t>2.9.1.1</w:t>
      </w:r>
      <w:r w:rsidRPr="00D6374E">
        <w:rPr>
          <w:rFonts w:eastAsia="Calibri"/>
        </w:rPr>
        <w:tab/>
        <w:t>“</w:t>
      </w:r>
      <w:r w:rsidRPr="00D6374E">
        <w:rPr>
          <w:rFonts w:eastAsia="Calibri"/>
          <w:i/>
        </w:rPr>
        <w:t>Source lumineuse remplaçable</w:t>
      </w:r>
      <w:r w:rsidRPr="00D6374E">
        <w:rPr>
          <w:rFonts w:eastAsia="Calibri"/>
        </w:rPr>
        <w:t>”, une source lumineuse pouvant être insérée dans la douille du dispositif, ou extraite de celle-ci sans outil.</w:t>
      </w:r>
    </w:p>
    <w:p w:rsidR="00D6374E" w:rsidRPr="00D6374E" w:rsidRDefault="00D6374E" w:rsidP="00D6374E">
      <w:pPr>
        <w:pStyle w:val="SingleTxtG"/>
        <w:ind w:left="2268" w:hanging="1134"/>
        <w:rPr>
          <w:rFonts w:eastAsia="Calibri"/>
        </w:rPr>
      </w:pPr>
      <w:r w:rsidRPr="00D6374E">
        <w:rPr>
          <w:rFonts w:eastAsia="Calibri"/>
        </w:rPr>
        <w:t>2.9.1.2</w:t>
      </w:r>
      <w:r w:rsidRPr="00D6374E">
        <w:rPr>
          <w:rFonts w:eastAsia="Calibri"/>
        </w:rPr>
        <w:tab/>
        <w:t>“</w:t>
      </w:r>
      <w:r w:rsidRPr="00D6374E">
        <w:rPr>
          <w:rFonts w:eastAsia="Calibri"/>
          <w:i/>
        </w:rPr>
        <w:t>Source lumineuse non remplaçable</w:t>
      </w:r>
      <w:r w:rsidRPr="00D6374E">
        <w:rPr>
          <w:rFonts w:eastAsia="Calibri"/>
        </w:rPr>
        <w:t>”, une source lumineuse dont le remplacement nécessite obligatoirement le remplacement du dispositif auquel elle est fixée :</w:t>
      </w:r>
    </w:p>
    <w:p w:rsidR="00D6374E" w:rsidRPr="00D6374E" w:rsidRDefault="00D6374E" w:rsidP="00F82D7E">
      <w:pPr>
        <w:pStyle w:val="SingleTxtG"/>
        <w:ind w:left="2835" w:hanging="567"/>
        <w:rPr>
          <w:rFonts w:eastAsia="Calibri"/>
        </w:rPr>
      </w:pPr>
      <w:r w:rsidRPr="00D6374E">
        <w:rPr>
          <w:rFonts w:eastAsia="Calibri"/>
        </w:rPr>
        <w:t>a)</w:t>
      </w:r>
      <w:r w:rsidRPr="00D6374E">
        <w:rPr>
          <w:rFonts w:eastAsia="Calibri"/>
        </w:rPr>
        <w:tab/>
        <w:t>Dans le cas d’un module d’éclairage : une source lumineuse dont le remplacement nécessite obligatoirement le remplacement du module d’éclairage auquel elle est fixée ;</w:t>
      </w:r>
    </w:p>
    <w:p w:rsidR="00D6374E" w:rsidRPr="00D6374E" w:rsidRDefault="00D6374E" w:rsidP="00F82D7E">
      <w:pPr>
        <w:pStyle w:val="SingleTxtG"/>
        <w:ind w:left="2835" w:hanging="567"/>
        <w:rPr>
          <w:rFonts w:eastAsia="Calibri"/>
        </w:rPr>
      </w:pPr>
      <w:r w:rsidRPr="00D6374E">
        <w:rPr>
          <w:rFonts w:eastAsia="Calibri"/>
        </w:rPr>
        <w:lastRenderedPageBreak/>
        <w:t>b)</w:t>
      </w:r>
      <w:r w:rsidRPr="00D6374E">
        <w:rPr>
          <w:rFonts w:eastAsia="Calibri"/>
        </w:rPr>
        <w:tab/>
        <w:t>Dans le cas d’un système d’éclairage avant adaptatif (AFS) : une source lumineuse dont le remplacement nécessite obligatoirement le remplacement de l’unité d’éclairage à laquelle elle est fixée.</w:t>
      </w:r>
    </w:p>
    <w:p w:rsidR="00D6374E" w:rsidRPr="00D6374E" w:rsidRDefault="00D6374E" w:rsidP="00D6374E">
      <w:pPr>
        <w:pStyle w:val="SingleTxtG"/>
        <w:ind w:left="2268" w:hanging="1134"/>
        <w:rPr>
          <w:rFonts w:eastAsia="Calibri"/>
        </w:rPr>
      </w:pPr>
      <w:r w:rsidRPr="00D6374E">
        <w:rPr>
          <w:rFonts w:eastAsia="Calibri"/>
        </w:rPr>
        <w:t>2.9.1.3</w:t>
      </w:r>
      <w:r w:rsidRPr="00D6374E">
        <w:rPr>
          <w:rFonts w:eastAsia="Calibri"/>
        </w:rPr>
        <w:tab/>
        <w:t>“</w:t>
      </w:r>
      <w:r w:rsidRPr="00D6374E">
        <w:rPr>
          <w:rFonts w:eastAsia="Calibri"/>
          <w:i/>
        </w:rPr>
        <w:t>Module d’éclairage</w:t>
      </w:r>
      <w:r w:rsidRPr="00D6374E">
        <w:rPr>
          <w:rFonts w:eastAsia="Calibri"/>
        </w:rPr>
        <w:t>”, la partie optique d’un dispositif qui appartient spécifiquement à ce dispositif. Il contient une ou plusieurs sources lumineuses non remplaçables, et il peut facultativement contenir une ou plusieurs douilles pour des sources lumineuses remplaçables homologuées.</w:t>
      </w:r>
    </w:p>
    <w:p w:rsidR="00D6374E" w:rsidRPr="00D6374E" w:rsidRDefault="00D6374E" w:rsidP="00D6374E">
      <w:pPr>
        <w:pStyle w:val="SingleTxtG"/>
        <w:ind w:left="2268" w:hanging="1134"/>
        <w:rPr>
          <w:rFonts w:eastAsia="Calibri"/>
        </w:rPr>
      </w:pPr>
      <w:r w:rsidRPr="00D6374E">
        <w:rPr>
          <w:rFonts w:eastAsia="Calibri"/>
        </w:rPr>
        <w:t>2.9.1.4</w:t>
      </w:r>
      <w:r w:rsidRPr="00D6374E">
        <w:rPr>
          <w:rFonts w:eastAsia="Calibri"/>
        </w:rPr>
        <w:tab/>
        <w:t>“</w:t>
      </w:r>
      <w:r w:rsidRPr="00D6374E">
        <w:rPr>
          <w:rFonts w:eastAsia="Calibri"/>
          <w:i/>
        </w:rPr>
        <w:t>Source lumineuse à incandescence</w:t>
      </w:r>
      <w:r w:rsidRPr="00D6374E">
        <w:rPr>
          <w:rFonts w:eastAsia="Calibri"/>
        </w:rPr>
        <w:t>” (lampe à incandescence), une source lumineuse dont l’élément émettant le rayonnement visible est constitué par un ou plusieurs filaments chauffés produisant un rayonnement thermique.</w:t>
      </w:r>
    </w:p>
    <w:p w:rsidR="00D6374E" w:rsidRPr="00D6374E" w:rsidRDefault="00D6374E" w:rsidP="00D6374E">
      <w:pPr>
        <w:pStyle w:val="SingleTxtG"/>
        <w:ind w:left="2268" w:hanging="1134"/>
        <w:rPr>
          <w:rFonts w:eastAsia="Calibri"/>
        </w:rPr>
      </w:pPr>
      <w:r w:rsidRPr="00D6374E">
        <w:rPr>
          <w:rFonts w:eastAsia="Calibri"/>
        </w:rPr>
        <w:t>2.9.1.5</w:t>
      </w:r>
      <w:r w:rsidRPr="00D6374E">
        <w:rPr>
          <w:rFonts w:eastAsia="Calibri"/>
        </w:rPr>
        <w:tab/>
        <w:t>“</w:t>
      </w:r>
      <w:r w:rsidRPr="00D6374E">
        <w:rPr>
          <w:rFonts w:eastAsia="Calibri"/>
          <w:i/>
        </w:rPr>
        <w:t>Source lumineuse à décharge</w:t>
      </w:r>
      <w:r w:rsidRPr="00D6374E">
        <w:rPr>
          <w:rFonts w:eastAsia="Calibri"/>
        </w:rPr>
        <w:t>”, une source lumineuse dont l’élément émettant le rayonnement visible est un arc de décharge produisant un effet d’électroluminescence ou d’</w:t>
      </w:r>
      <w:proofErr w:type="spellStart"/>
      <w:r w:rsidRPr="00D6374E">
        <w:rPr>
          <w:rFonts w:eastAsia="Calibri"/>
        </w:rPr>
        <w:t>électrofluorescence</w:t>
      </w:r>
      <w:proofErr w:type="spellEnd"/>
      <w:r w:rsidRPr="00D6374E">
        <w:rPr>
          <w:rFonts w:eastAsia="Calibri"/>
        </w:rPr>
        <w:t>.</w:t>
      </w:r>
    </w:p>
    <w:p w:rsidR="00D6374E" w:rsidRPr="00D6374E" w:rsidRDefault="00D6374E" w:rsidP="00D6374E">
      <w:pPr>
        <w:pStyle w:val="SingleTxtG"/>
        <w:ind w:left="2268" w:hanging="1134"/>
        <w:rPr>
          <w:rFonts w:eastAsia="Calibri"/>
        </w:rPr>
      </w:pPr>
      <w:r w:rsidRPr="00D6374E">
        <w:rPr>
          <w:rFonts w:eastAsia="Calibri"/>
        </w:rPr>
        <w:t>2.9.1.6</w:t>
      </w:r>
      <w:r w:rsidRPr="00D6374E">
        <w:rPr>
          <w:rFonts w:eastAsia="Calibri"/>
        </w:rPr>
        <w:tab/>
        <w:t>“</w:t>
      </w:r>
      <w:r w:rsidRPr="00D6374E">
        <w:rPr>
          <w:rFonts w:eastAsia="Calibri"/>
          <w:i/>
        </w:rPr>
        <w:t>Source lumineuse à diode électroluminescente (DEL)</w:t>
      </w:r>
      <w:r w:rsidRPr="00D6374E">
        <w:rPr>
          <w:rFonts w:eastAsia="Calibri"/>
        </w:rPr>
        <w:t>”, une source lumineuse dont l’élément émettant le rayonnement visible est constitué d’une ou plusieurs jonctions de semi-conducteur produisant un effet d’électroluminescence, qui peuvent être complétées par un ou plusieurs éléments destinés à la conversion de la fluorescence.</w:t>
      </w:r>
    </w:p>
    <w:p w:rsidR="00D6374E" w:rsidRPr="00D6374E" w:rsidRDefault="00D6374E" w:rsidP="00D6374E">
      <w:pPr>
        <w:pStyle w:val="SingleTxtG"/>
        <w:ind w:left="2268" w:hanging="1134"/>
        <w:rPr>
          <w:rFonts w:eastAsia="Calibri"/>
        </w:rPr>
      </w:pPr>
      <w:r w:rsidRPr="00D6374E">
        <w:rPr>
          <w:rFonts w:eastAsia="Calibri"/>
        </w:rPr>
        <w:t>2.9.1.7</w:t>
      </w:r>
      <w:r w:rsidRPr="00D6374E">
        <w:rPr>
          <w:rFonts w:eastAsia="Calibri"/>
        </w:rPr>
        <w:tab/>
        <w:t>“</w:t>
      </w:r>
      <w:r w:rsidRPr="00D6374E">
        <w:rPr>
          <w:rFonts w:eastAsia="Calibri"/>
          <w:i/>
        </w:rPr>
        <w:t>Module à DEL</w:t>
      </w:r>
      <w:r w:rsidRPr="00D6374E">
        <w:rPr>
          <w:rFonts w:eastAsia="Calibri"/>
        </w:rPr>
        <w:t>”, un module d’éclairage dont les sources lumineuses sont uniquement des DEL. Il peut facultativement contenir une ou plusieurs douilles pour des sources lumineuses remplaçables homologuées.</w:t>
      </w:r>
    </w:p>
    <w:p w:rsidR="00D6374E" w:rsidRPr="00D6374E" w:rsidRDefault="00D6374E" w:rsidP="00D6374E">
      <w:pPr>
        <w:pStyle w:val="SingleTxtG"/>
        <w:ind w:left="2268" w:hanging="1134"/>
        <w:rPr>
          <w:rFonts w:eastAsia="Calibri"/>
        </w:rPr>
      </w:pPr>
      <w:r w:rsidRPr="00D6374E">
        <w:rPr>
          <w:rFonts w:eastAsia="Calibri"/>
        </w:rPr>
        <w:t>2.9.2</w:t>
      </w:r>
      <w:r w:rsidRPr="00D6374E">
        <w:rPr>
          <w:rFonts w:eastAsia="Calibri"/>
        </w:rPr>
        <w:tab/>
        <w:t>“</w:t>
      </w:r>
      <w:r w:rsidRPr="00D6374E">
        <w:rPr>
          <w:rFonts w:eastAsia="Calibri"/>
          <w:i/>
        </w:rPr>
        <w:t>Dispositif de régulation électronique d’une source lumineuse</w:t>
      </w:r>
      <w:r w:rsidRPr="00D6374E">
        <w:rPr>
          <w:rFonts w:eastAsia="Calibri"/>
        </w:rPr>
        <w:t>”, un ou plusieurs éléments interposés entre l’alimentation et la source lumineuse, faisant ou non partie intégrante de ladite source lumineuse ou du feu, destinés à réguler la tension et/ou l’intensité électrique alimentant la source lumineuse.</w:t>
      </w:r>
    </w:p>
    <w:p w:rsidR="00D6374E" w:rsidRPr="00D6374E" w:rsidRDefault="00D6374E" w:rsidP="00D6374E">
      <w:pPr>
        <w:pStyle w:val="SingleTxtG"/>
        <w:ind w:left="2268" w:hanging="1134"/>
        <w:rPr>
          <w:rFonts w:eastAsia="Calibri"/>
        </w:rPr>
      </w:pPr>
      <w:r w:rsidRPr="00D6374E">
        <w:rPr>
          <w:rFonts w:eastAsia="Calibri"/>
        </w:rPr>
        <w:t>2.9.2.1</w:t>
      </w:r>
      <w:r w:rsidRPr="00D6374E">
        <w:rPr>
          <w:rFonts w:eastAsia="Calibri"/>
        </w:rPr>
        <w:tab/>
        <w:t>“</w:t>
      </w:r>
      <w:r w:rsidRPr="00D6374E">
        <w:rPr>
          <w:rFonts w:eastAsia="Calibri"/>
          <w:i/>
        </w:rPr>
        <w:t>Ballast</w:t>
      </w:r>
      <w:r w:rsidRPr="00D6374E">
        <w:rPr>
          <w:rFonts w:eastAsia="Calibri"/>
        </w:rPr>
        <w:t>”, un ou plusieurs éléments, situés entre l’alimentation et la source lumineuse ou intégrés à celle-ci, qui permettent de réguler le courant électrique d’une source lumineuse à décharge.</w:t>
      </w:r>
    </w:p>
    <w:p w:rsidR="00D6374E" w:rsidRPr="00D6374E" w:rsidRDefault="00D6374E" w:rsidP="00D6374E">
      <w:pPr>
        <w:pStyle w:val="SingleTxtG"/>
        <w:ind w:left="2268" w:hanging="1134"/>
        <w:rPr>
          <w:rFonts w:eastAsia="Calibri"/>
        </w:rPr>
      </w:pPr>
      <w:r w:rsidRPr="00D6374E">
        <w:rPr>
          <w:rFonts w:eastAsia="Calibri"/>
        </w:rPr>
        <w:t>2.9.2.2</w:t>
      </w:r>
      <w:r w:rsidRPr="00D6374E">
        <w:rPr>
          <w:rFonts w:eastAsia="Calibri"/>
        </w:rPr>
        <w:tab/>
        <w:t>“</w:t>
      </w:r>
      <w:r w:rsidRPr="00D6374E">
        <w:rPr>
          <w:rFonts w:eastAsia="Calibri"/>
          <w:i/>
        </w:rPr>
        <w:t>Amorceur</w:t>
      </w:r>
      <w:r w:rsidRPr="00D6374E">
        <w:rPr>
          <w:rFonts w:eastAsia="Calibri"/>
        </w:rPr>
        <w:t>”, un dispositif de commande électronique d’une source lumineuse permettant d’amorcer l’arc d’une source lumineuse à décharge.</w:t>
      </w:r>
    </w:p>
    <w:p w:rsidR="00D6374E" w:rsidRPr="00D6374E" w:rsidRDefault="00D6374E" w:rsidP="00D6374E">
      <w:pPr>
        <w:pStyle w:val="SingleTxtG"/>
        <w:ind w:left="2268" w:hanging="1134"/>
        <w:rPr>
          <w:rFonts w:eastAsia="Calibri"/>
        </w:rPr>
      </w:pPr>
      <w:r w:rsidRPr="00D6374E">
        <w:rPr>
          <w:rFonts w:eastAsia="Calibri"/>
        </w:rPr>
        <w:t>2.9.3</w:t>
      </w:r>
      <w:r w:rsidRPr="00D6374E">
        <w:rPr>
          <w:rFonts w:eastAsia="Calibri"/>
        </w:rPr>
        <w:tab/>
        <w:t>“</w:t>
      </w:r>
      <w:r w:rsidRPr="00D6374E">
        <w:rPr>
          <w:rFonts w:eastAsia="Calibri"/>
          <w:i/>
        </w:rPr>
        <w:t>Régulateur d’intensité</w:t>
      </w:r>
      <w:r w:rsidRPr="00D6374E">
        <w:rPr>
          <w:rFonts w:eastAsia="Calibri"/>
        </w:rPr>
        <w:t>”, le dispositif qui commande automatiquement les feux de signalisation arrière produisant une lumière d’intensité variable et assure une perception des signaux ne variant pas. Le régulateur d’intensité fait partie soit du feu soit du véhicule, ou des deux à la fois.</w:t>
      </w:r>
    </w:p>
    <w:p w:rsidR="00D6374E" w:rsidRPr="00D6374E" w:rsidRDefault="00D6374E" w:rsidP="00D6374E">
      <w:pPr>
        <w:pStyle w:val="SingleTxtG"/>
        <w:ind w:left="2268" w:hanging="1134"/>
        <w:rPr>
          <w:rFonts w:eastAsia="Calibri"/>
        </w:rPr>
      </w:pPr>
      <w:r w:rsidRPr="00D6374E">
        <w:rPr>
          <w:rFonts w:eastAsia="Calibri"/>
        </w:rPr>
        <w:t>2.10</w:t>
      </w:r>
      <w:r w:rsidRPr="00D6374E">
        <w:rPr>
          <w:rFonts w:eastAsia="Calibri"/>
        </w:rPr>
        <w:tab/>
        <w:t>Définitions concernant les caractéristiques photométriques</w:t>
      </w:r>
    </w:p>
    <w:p w:rsidR="00D6374E" w:rsidRPr="00D6374E" w:rsidRDefault="00D6374E" w:rsidP="00DB75DF">
      <w:pPr>
        <w:pStyle w:val="SingleTxtG"/>
        <w:ind w:left="2268"/>
        <w:rPr>
          <w:rFonts w:eastAsia="Calibri"/>
        </w:rPr>
      </w:pPr>
      <w:r w:rsidRPr="00D6374E">
        <w:rPr>
          <w:rFonts w:eastAsia="Calibri"/>
        </w:rPr>
        <w:t>Au sens du présent Règlement, on entend par :</w:t>
      </w:r>
    </w:p>
    <w:p w:rsidR="00D6374E" w:rsidRPr="00D6374E" w:rsidRDefault="00D6374E" w:rsidP="00D6374E">
      <w:pPr>
        <w:pStyle w:val="SingleTxtG"/>
        <w:ind w:left="2268" w:hanging="1134"/>
        <w:rPr>
          <w:rFonts w:eastAsia="Calibri"/>
        </w:rPr>
      </w:pPr>
      <w:r w:rsidRPr="00D6374E">
        <w:rPr>
          <w:rFonts w:eastAsia="Calibri"/>
        </w:rPr>
        <w:t>2.10.1</w:t>
      </w:r>
      <w:r w:rsidRPr="00D6374E">
        <w:rPr>
          <w:rFonts w:eastAsia="Calibri"/>
        </w:rPr>
        <w:tab/>
        <w:t>“</w:t>
      </w:r>
      <w:r w:rsidRPr="00D6374E">
        <w:rPr>
          <w:rFonts w:eastAsia="Calibri"/>
          <w:i/>
        </w:rPr>
        <w:t>Flux lumineux objectif</w:t>
      </w:r>
      <w:r w:rsidRPr="00D6374E">
        <w:rPr>
          <w:rFonts w:eastAsia="Calibri"/>
        </w:rPr>
        <w:t>” :</w:t>
      </w:r>
    </w:p>
    <w:p w:rsidR="00D6374E" w:rsidRPr="00D6374E" w:rsidRDefault="00D6374E" w:rsidP="00F82D7E">
      <w:pPr>
        <w:pStyle w:val="SingleTxtG"/>
        <w:ind w:left="2835" w:hanging="567"/>
        <w:rPr>
          <w:rFonts w:eastAsia="Calibri"/>
        </w:rPr>
      </w:pPr>
      <w:r w:rsidRPr="00D6374E">
        <w:rPr>
          <w:rFonts w:eastAsia="Calibri"/>
        </w:rPr>
        <w:t>a)</w:t>
      </w:r>
      <w:r w:rsidRPr="00D6374E">
        <w:rPr>
          <w:rFonts w:eastAsia="Calibri"/>
        </w:rPr>
        <w:tab/>
        <w:t>Dans le cas d’une source lumineuse :</w:t>
      </w:r>
    </w:p>
    <w:p w:rsidR="00D6374E" w:rsidRPr="00D6374E" w:rsidRDefault="00D6374E" w:rsidP="00D6374E">
      <w:pPr>
        <w:spacing w:after="120"/>
        <w:ind w:left="2835" w:right="1134"/>
        <w:jc w:val="both"/>
        <w:rPr>
          <w:rFonts w:eastAsia="Calibri"/>
        </w:rPr>
      </w:pPr>
      <w:r w:rsidRPr="00D6374E">
        <w:rPr>
          <w:rFonts w:eastAsia="Calibri"/>
        </w:rPr>
        <w:t>La valeur du flux lumineux objectif, tolérances non comprises, d’une source lumineuse telle qu’elle est définie dans la feuille de données pertinente du Règlement en vertu duquel la source lumineuse est homologuée ;</w:t>
      </w:r>
    </w:p>
    <w:p w:rsidR="00D6374E" w:rsidRPr="00D6374E" w:rsidRDefault="00D6374E" w:rsidP="00F82D7E">
      <w:pPr>
        <w:pStyle w:val="SingleTxtG"/>
        <w:ind w:left="2835" w:hanging="567"/>
        <w:rPr>
          <w:rFonts w:eastAsia="Calibri"/>
        </w:rPr>
      </w:pPr>
      <w:r w:rsidRPr="00D6374E">
        <w:rPr>
          <w:rFonts w:eastAsia="Calibri"/>
        </w:rPr>
        <w:t>b)</w:t>
      </w:r>
      <w:r w:rsidRPr="00D6374E">
        <w:rPr>
          <w:rFonts w:eastAsia="Calibri"/>
        </w:rPr>
        <w:tab/>
        <w:t>Dans le cas d’un module DEL :</w:t>
      </w:r>
    </w:p>
    <w:p w:rsidR="00D6374E" w:rsidRPr="00D6374E" w:rsidRDefault="00D6374E" w:rsidP="00D6374E">
      <w:pPr>
        <w:spacing w:after="120"/>
        <w:ind w:left="2835" w:right="1134"/>
        <w:jc w:val="both"/>
        <w:rPr>
          <w:rFonts w:eastAsia="Calibri"/>
        </w:rPr>
      </w:pPr>
      <w:r w:rsidRPr="00D6374E">
        <w:rPr>
          <w:rFonts w:eastAsia="Calibri"/>
        </w:rPr>
        <w:tab/>
        <w:t>La valeur du flux lumineux objectif telle qu’elle est définie dans la fiche technique accompagnant le module DEL pour l’homologation du feu dont le module DEL fait partie.</w:t>
      </w:r>
    </w:p>
    <w:p w:rsidR="00D6374E" w:rsidRPr="00D6374E" w:rsidRDefault="00D6374E" w:rsidP="00D6374E">
      <w:pPr>
        <w:pStyle w:val="SingleTxtG"/>
        <w:ind w:left="2268" w:hanging="1134"/>
        <w:rPr>
          <w:rFonts w:eastAsia="Calibri"/>
          <w:spacing w:val="-1"/>
        </w:rPr>
      </w:pPr>
      <w:r w:rsidRPr="00D6374E">
        <w:rPr>
          <w:rFonts w:eastAsia="Calibri"/>
          <w:spacing w:val="-1"/>
        </w:rPr>
        <w:t>2.10.2</w:t>
      </w:r>
      <w:r w:rsidRPr="00D6374E">
        <w:rPr>
          <w:rFonts w:eastAsia="Calibri"/>
          <w:spacing w:val="-1"/>
        </w:rPr>
        <w:tab/>
        <w:t>“</w:t>
      </w:r>
      <w:r w:rsidRPr="00D6374E">
        <w:rPr>
          <w:rFonts w:eastAsia="Calibri"/>
          <w:i/>
          <w:spacing w:val="-1"/>
        </w:rPr>
        <w:t>Surface de sortie de la lumière</w:t>
      </w:r>
      <w:r w:rsidRPr="00D6374E">
        <w:rPr>
          <w:rFonts w:eastAsia="Calibri"/>
          <w:spacing w:val="-1"/>
        </w:rPr>
        <w:t>”, d’un “</w:t>
      </w:r>
      <w:r w:rsidRPr="00D6374E">
        <w:rPr>
          <w:rFonts w:eastAsia="Calibri"/>
          <w:i/>
          <w:spacing w:val="-1"/>
        </w:rPr>
        <w:t>dispositif d’éclairage</w:t>
      </w:r>
      <w:r w:rsidRPr="00D6374E">
        <w:rPr>
          <w:rFonts w:eastAsia="Calibri"/>
          <w:spacing w:val="-1"/>
        </w:rPr>
        <w:t>”, d’un “</w:t>
      </w:r>
      <w:r w:rsidRPr="00D6374E">
        <w:rPr>
          <w:rFonts w:eastAsia="Calibri"/>
          <w:i/>
          <w:spacing w:val="-1"/>
        </w:rPr>
        <w:t>dispositif de signalisation lumineuse</w:t>
      </w:r>
      <w:r w:rsidRPr="00D6374E">
        <w:rPr>
          <w:rFonts w:eastAsia="Calibri"/>
          <w:spacing w:val="-1"/>
        </w:rPr>
        <w:t xml:space="preserve">” ou d’un catadioptre, la surface indiquée </w:t>
      </w:r>
      <w:r w:rsidRPr="00D6374E">
        <w:rPr>
          <w:rFonts w:eastAsia="Calibri"/>
        </w:rPr>
        <w:t>sur la figure de la demande d’homologation présentée par le constructeur du dispositif, voir annexe 3 (voir, par exemple, les parties 1 et 4).</w:t>
      </w:r>
    </w:p>
    <w:p w:rsidR="00D6374E" w:rsidRPr="00D6374E" w:rsidRDefault="00D6374E" w:rsidP="00DB75DF">
      <w:pPr>
        <w:pStyle w:val="SingleTxtG"/>
        <w:ind w:left="2268"/>
        <w:rPr>
          <w:rFonts w:eastAsia="Calibri"/>
        </w:rPr>
      </w:pPr>
      <w:r w:rsidRPr="00D6374E">
        <w:rPr>
          <w:rFonts w:eastAsia="Calibri"/>
        </w:rPr>
        <w:lastRenderedPageBreak/>
        <w:t>Cette indication doit se faire comme suit :</w:t>
      </w:r>
    </w:p>
    <w:p w:rsidR="00D6374E" w:rsidRPr="00D6374E" w:rsidRDefault="00D6374E" w:rsidP="00F82D7E">
      <w:pPr>
        <w:pStyle w:val="SingleTxtG"/>
        <w:ind w:left="2835" w:hanging="567"/>
        <w:rPr>
          <w:rFonts w:eastAsia="Calibri"/>
        </w:rPr>
      </w:pPr>
      <w:r w:rsidRPr="00D6374E">
        <w:rPr>
          <w:rFonts w:eastAsia="Calibri"/>
        </w:rPr>
        <w:t>a)</w:t>
      </w:r>
      <w:r w:rsidRPr="00D6374E">
        <w:rPr>
          <w:rFonts w:eastAsia="Calibri"/>
        </w:rPr>
        <w:tab/>
        <w:t>Dans le cas où la glace extérieure est texturée, la surface de sortie de la lumière indiquée doit correspondre à tout ou partie de la surface extérieure de la glace extérieure ;</w:t>
      </w:r>
    </w:p>
    <w:p w:rsidR="00D6374E" w:rsidRPr="00D6374E" w:rsidRDefault="00D6374E" w:rsidP="00F82D7E">
      <w:pPr>
        <w:pStyle w:val="SingleTxtG"/>
        <w:ind w:left="2835" w:hanging="567"/>
        <w:rPr>
          <w:rFonts w:eastAsia="Calibri"/>
        </w:rPr>
      </w:pPr>
      <w:r w:rsidRPr="00D6374E">
        <w:rPr>
          <w:rFonts w:eastAsia="Calibri"/>
        </w:rPr>
        <w:t>b)</w:t>
      </w:r>
      <w:r w:rsidRPr="00D6374E">
        <w:rPr>
          <w:rFonts w:eastAsia="Calibri"/>
        </w:rPr>
        <w:tab/>
        <w:t>Dans le cas où la glace extérieure n’est pas texturée, on peut l’ignorer et la surface de sortie de la lumière doit être celle indiquée sur la figure, voir annexe 3 (voir, par exemple, la partie 5).</w:t>
      </w:r>
    </w:p>
    <w:p w:rsidR="00D6374E" w:rsidRPr="00D6374E" w:rsidRDefault="00D6374E" w:rsidP="00D6374E">
      <w:pPr>
        <w:pStyle w:val="SingleTxtG"/>
        <w:ind w:left="2268" w:hanging="1134"/>
        <w:rPr>
          <w:rFonts w:eastAsia="Calibri"/>
        </w:rPr>
      </w:pPr>
      <w:r w:rsidRPr="00D6374E">
        <w:rPr>
          <w:rFonts w:eastAsia="Calibri"/>
        </w:rPr>
        <w:t>2.10.3</w:t>
      </w:r>
      <w:r w:rsidRPr="00D6374E">
        <w:rPr>
          <w:rFonts w:eastAsia="Calibri"/>
        </w:rPr>
        <w:tab/>
        <w:t>“</w:t>
      </w:r>
      <w:r w:rsidRPr="00D6374E">
        <w:rPr>
          <w:rFonts w:eastAsia="Calibri"/>
          <w:i/>
        </w:rPr>
        <w:t>Plage éclairante</w:t>
      </w:r>
      <w:r w:rsidRPr="00D6374E">
        <w:rPr>
          <w:rFonts w:eastAsia="Calibri"/>
        </w:rPr>
        <w:t>” (voir annexe 3).</w:t>
      </w:r>
    </w:p>
    <w:p w:rsidR="00D6374E" w:rsidRPr="00D6374E" w:rsidRDefault="00D6374E" w:rsidP="00D6374E">
      <w:pPr>
        <w:pStyle w:val="SingleTxtG"/>
        <w:ind w:left="2268" w:hanging="1134"/>
        <w:rPr>
          <w:rFonts w:eastAsia="Calibri"/>
        </w:rPr>
      </w:pPr>
      <w:r w:rsidRPr="00D6374E">
        <w:rPr>
          <w:rFonts w:eastAsia="Calibri"/>
        </w:rPr>
        <w:t>2.10.3.1</w:t>
      </w:r>
      <w:r w:rsidRPr="00D6374E">
        <w:rPr>
          <w:rFonts w:eastAsia="Calibri"/>
        </w:rPr>
        <w:tab/>
        <w:t>“</w:t>
      </w:r>
      <w:r w:rsidRPr="00D6374E">
        <w:rPr>
          <w:rFonts w:eastAsia="Calibri"/>
          <w:i/>
        </w:rPr>
        <w:t>Plage éclairante d’un dispositif d’éclairage</w:t>
      </w:r>
      <w:r w:rsidRPr="00D6374E">
        <w:rPr>
          <w:rFonts w:eastAsia="Calibri"/>
        </w:rPr>
        <w:t>” (par. 2.5.1, 2.5.2, 2.5.10, 2.5.12 et 2.5.17), la projection orthogonale de la totalité du réflecteur ou, dans le cas de projecteurs à réflecteur ellipsoïdal, de la glace, sur un plan transversal. Si le dispositif d’éclairage est dépourvu de réflecteur, c’est la définition du paragraphe 2.10.3.2 qui s’applique. Si la surface de sortie de la lumière du feu n’occupe qu’une partie du réflecteur, on ne considère que la projection de cette partie.</w:t>
      </w:r>
    </w:p>
    <w:p w:rsidR="00D6374E" w:rsidRPr="00D6374E" w:rsidRDefault="00D6374E" w:rsidP="00DB75DF">
      <w:pPr>
        <w:pStyle w:val="SingleTxtG"/>
        <w:ind w:left="2268"/>
        <w:rPr>
          <w:rFonts w:eastAsia="Calibri"/>
        </w:rPr>
      </w:pPr>
      <w:r w:rsidRPr="00D6374E">
        <w:rPr>
          <w:rFonts w:eastAsia="Calibri"/>
        </w:rPr>
        <w:t>Dans le cas d’un feu de croisement, la plage éclairante est limitée par la trace de la coupure apparente sur la glace. Si le miroir et la glace sont réglables l’un par rapport à l’autre, il est fait usage de la position de réglage moyenne.</w:t>
      </w:r>
    </w:p>
    <w:p w:rsidR="00D6374E" w:rsidRPr="00D6374E" w:rsidRDefault="00D6374E" w:rsidP="00DB75DF">
      <w:pPr>
        <w:pStyle w:val="SingleTxtG"/>
        <w:ind w:left="2268"/>
        <w:rPr>
          <w:rFonts w:eastAsia="Calibri"/>
        </w:rPr>
      </w:pPr>
      <w:r w:rsidRPr="00D6374E">
        <w:rPr>
          <w:rFonts w:eastAsia="Calibri"/>
        </w:rPr>
        <w:t xml:space="preserve">Dans le cas d’un AFS : si la fonction d’éclairage est assurée par deux ou plusieurs unités d’éclairage fonctionnant simultanément d’un même côté du véhicule, les plages éclairantes individuelles, prises ensemble, constituent la plage éclairante à prendre en considération (par exemple, dans la figure du paragraphe 6.22.4 ci-dessous, les plages éclairantes de chacune des unités d’éclairage 8, 9 et 11, prises ensemble et compte tenu de leur emplacement respectif, constituent la plage éclairante à prendre en considération pour le côté droit du véhicule). </w:t>
      </w:r>
    </w:p>
    <w:p w:rsidR="00D6374E" w:rsidRPr="00D6374E" w:rsidRDefault="00D6374E" w:rsidP="00D6374E">
      <w:pPr>
        <w:pStyle w:val="SingleTxtG"/>
        <w:ind w:left="2268" w:hanging="1134"/>
        <w:rPr>
          <w:rFonts w:eastAsia="Calibri"/>
        </w:rPr>
      </w:pPr>
      <w:r w:rsidRPr="00D6374E">
        <w:rPr>
          <w:rFonts w:eastAsia="Calibri"/>
        </w:rPr>
        <w:t>2.10.3.2</w:t>
      </w:r>
      <w:r w:rsidRPr="00D6374E">
        <w:rPr>
          <w:rFonts w:eastAsia="Calibri"/>
        </w:rPr>
        <w:tab/>
        <w:t>“</w:t>
      </w:r>
      <w:r w:rsidRPr="00D6374E">
        <w:rPr>
          <w:rFonts w:eastAsia="Calibri"/>
          <w:i/>
        </w:rPr>
        <w:t>Plage éclairante d’un dispositif de signalisation autre qu’un catadioptre</w:t>
      </w:r>
      <w:r w:rsidRPr="00D6374E">
        <w:rPr>
          <w:rFonts w:eastAsia="Calibri"/>
        </w:rPr>
        <w:t>” (par. 2.5.3 à 2.5.7, 2.6.1, 2.5.11 et 2.5.13 à 2.5.16), la projection orthogonale du feu sur un plan perpendiculaire à son axe de référence et en contact avec la surface extérieure de sortie de la lumière du feu, cette projection étant limitée par les bords d’écran situés dans ce plan et ne laissant subsister individuellement que 98 % de l’intensité totale du feu dans la direction de l’axe de référence.</w:t>
      </w:r>
    </w:p>
    <w:p w:rsidR="00D6374E" w:rsidRPr="00D6374E" w:rsidRDefault="00D6374E" w:rsidP="00DB75DF">
      <w:pPr>
        <w:pStyle w:val="SingleTxtG"/>
        <w:ind w:left="2268"/>
        <w:rPr>
          <w:rFonts w:eastAsia="Calibri"/>
        </w:rPr>
      </w:pPr>
      <w:r w:rsidRPr="00D6374E">
        <w:rPr>
          <w:rFonts w:eastAsia="Calibri"/>
        </w:rPr>
        <w:t>Pour déterminer les bords inférieur, supérieur et latéral de la plage éclairante, on ne doit utiliser que des écrans à bords horizontaux ou verticaux, de façon à vérifier la distance jusqu’aux extrémités du véhicule et la hauteur au-dessus du</w:t>
      </w:r>
      <w:r w:rsidR="00306559">
        <w:rPr>
          <w:rFonts w:eastAsia="Calibri"/>
        </w:rPr>
        <w:t> </w:t>
      </w:r>
      <w:r w:rsidRPr="00D6374E">
        <w:rPr>
          <w:rFonts w:eastAsia="Calibri"/>
        </w:rPr>
        <w:t>sol.</w:t>
      </w:r>
    </w:p>
    <w:p w:rsidR="00D6374E" w:rsidRPr="00D6374E" w:rsidRDefault="00D6374E" w:rsidP="00DB75DF">
      <w:pPr>
        <w:pStyle w:val="SingleTxtG"/>
        <w:ind w:left="2268"/>
        <w:rPr>
          <w:rFonts w:eastAsia="Calibri"/>
        </w:rPr>
      </w:pPr>
      <w:r w:rsidRPr="00D6374E">
        <w:rPr>
          <w:rFonts w:eastAsia="Calibri"/>
        </w:rPr>
        <w:t xml:space="preserve">Pour d’autres applications de la plage éclairante (distance entre deux feux ou fonctions par exemple), il faut utiliser la forme de cette plage éclairante. </w:t>
      </w:r>
      <w:r w:rsidRPr="00D6374E">
        <w:rPr>
          <w:rFonts w:eastAsia="Calibri"/>
          <w:spacing w:val="-1"/>
        </w:rPr>
        <w:t>Les écrans doivent rester parallèles, mais on peut utiliser d’autres orientations.</w:t>
      </w:r>
    </w:p>
    <w:p w:rsidR="00D6374E" w:rsidRPr="00D6374E" w:rsidRDefault="00D6374E" w:rsidP="00DB75DF">
      <w:pPr>
        <w:pStyle w:val="SingleTxtG"/>
        <w:ind w:left="2268"/>
        <w:rPr>
          <w:rFonts w:eastAsia="Calibri"/>
        </w:rPr>
      </w:pPr>
      <w:r w:rsidRPr="00D6374E">
        <w:rPr>
          <w:rFonts w:eastAsia="Calibri"/>
        </w:rPr>
        <w:t xml:space="preserve">Dans le cas d’un dispositif de signalisation lumineuse dont la plage éclairante recoupe en totalité ou partiellement la plage éclairante d’une autre fonction ou une plage non éclairante, on peut considérer que la plage éclairante se limite à la surface de sortie de la lumière (voir, par exemple, annexe 3, parties 2, 3, 5 et 6). </w:t>
      </w:r>
    </w:p>
    <w:p w:rsidR="00D6374E" w:rsidRPr="00D6374E" w:rsidRDefault="00D6374E" w:rsidP="00D6374E">
      <w:pPr>
        <w:pStyle w:val="SingleTxtG"/>
        <w:ind w:left="2268" w:hanging="1134"/>
        <w:rPr>
          <w:rFonts w:eastAsia="Calibri"/>
        </w:rPr>
      </w:pPr>
      <w:r w:rsidRPr="00D6374E">
        <w:rPr>
          <w:rFonts w:eastAsia="Calibri"/>
        </w:rPr>
        <w:t>2.10.3.3</w:t>
      </w:r>
      <w:r w:rsidRPr="00D6374E">
        <w:rPr>
          <w:rFonts w:eastAsia="Calibri"/>
        </w:rPr>
        <w:tab/>
        <w:t>“</w:t>
      </w:r>
      <w:r w:rsidRPr="00D6374E">
        <w:rPr>
          <w:rFonts w:eastAsia="Calibri"/>
          <w:i/>
        </w:rPr>
        <w:t>Plage éclairante d’un catadioptre</w:t>
      </w:r>
      <w:r w:rsidRPr="00D6374E">
        <w:rPr>
          <w:rFonts w:eastAsia="Calibri"/>
        </w:rPr>
        <w:t>” (par. 2.5.8), la projection orthogonale d’un catadioptre dans un plan perpendiculaire à son axe de référence, délimitée par des plans parallèles à cet axe et contigus aux parties extrêmes de la surface de l’optique catadioptrique indiquée par le fabricant lors de la procédure d’homologation de l’entité. Pour déterminer les bords inférieur, supérieur et latéral d’un dispositif, on ne doit considérer que les plans horizontaux et verticaux.</w:t>
      </w:r>
    </w:p>
    <w:p w:rsidR="00D6374E" w:rsidRPr="00D6374E" w:rsidRDefault="00D6374E" w:rsidP="00D6374E">
      <w:pPr>
        <w:pStyle w:val="SingleTxtG"/>
        <w:ind w:left="2268" w:hanging="1134"/>
        <w:rPr>
          <w:rFonts w:eastAsia="Calibri"/>
        </w:rPr>
      </w:pPr>
      <w:r w:rsidRPr="00D6374E">
        <w:rPr>
          <w:rFonts w:eastAsia="Calibri"/>
        </w:rPr>
        <w:lastRenderedPageBreak/>
        <w:t>2.10.4</w:t>
      </w:r>
      <w:r w:rsidRPr="00D6374E">
        <w:rPr>
          <w:rFonts w:eastAsia="Calibri"/>
        </w:rPr>
        <w:tab/>
        <w:t>“</w:t>
      </w:r>
      <w:r w:rsidRPr="00D6374E">
        <w:rPr>
          <w:rFonts w:eastAsia="Calibri"/>
          <w:i/>
        </w:rPr>
        <w:t>Surface apparente</w:t>
      </w:r>
      <w:r w:rsidRPr="00D6374E">
        <w:rPr>
          <w:rFonts w:eastAsia="Calibri"/>
        </w:rPr>
        <w:t>”, dans une direction d’observation donnée, sur demande du fabricant ou de son représentant dûment agréé, la projection orthogonale :</w:t>
      </w:r>
    </w:p>
    <w:p w:rsidR="00D6374E" w:rsidRPr="00D6374E" w:rsidRDefault="00D6374E" w:rsidP="00DB75DF">
      <w:pPr>
        <w:pStyle w:val="SingleTxtG"/>
        <w:ind w:left="2268"/>
        <w:rPr>
          <w:rFonts w:eastAsia="Calibri"/>
        </w:rPr>
      </w:pPr>
      <w:r w:rsidRPr="00D6374E">
        <w:rPr>
          <w:rFonts w:eastAsia="Calibri"/>
        </w:rPr>
        <w:t>Soit de la limite de la plage éclairante projetée sur la surface extérieure de la</w:t>
      </w:r>
      <w:r w:rsidR="00306559">
        <w:rPr>
          <w:rFonts w:eastAsia="Calibri"/>
        </w:rPr>
        <w:t> </w:t>
      </w:r>
      <w:r w:rsidRPr="00D6374E">
        <w:rPr>
          <w:rFonts w:eastAsia="Calibri"/>
        </w:rPr>
        <w:t>glace ;</w:t>
      </w:r>
    </w:p>
    <w:p w:rsidR="00D6374E" w:rsidRPr="00D6374E" w:rsidRDefault="00D6374E" w:rsidP="00DB75DF">
      <w:pPr>
        <w:pStyle w:val="SingleTxtG"/>
        <w:ind w:left="2268"/>
        <w:rPr>
          <w:rFonts w:eastAsia="Calibri"/>
        </w:rPr>
      </w:pPr>
      <w:r w:rsidRPr="00D6374E">
        <w:rPr>
          <w:rFonts w:eastAsia="Calibri"/>
        </w:rPr>
        <w:t>Soit de la surface de sortie de la lumière ;</w:t>
      </w:r>
    </w:p>
    <w:p w:rsidR="00D6374E" w:rsidRPr="00D6374E" w:rsidRDefault="00D6374E" w:rsidP="00DB75DF">
      <w:pPr>
        <w:pStyle w:val="SingleTxtG"/>
        <w:ind w:left="2268"/>
        <w:rPr>
          <w:rFonts w:eastAsia="Calibri"/>
        </w:rPr>
      </w:pPr>
      <w:r w:rsidRPr="00D6374E">
        <w:rPr>
          <w:rFonts w:eastAsia="Calibri"/>
        </w:rPr>
        <w:t>Uniquement dans le cas des feux de signalisation produisant une lumière d’intensité variable, leur surface apparente, qui peut être variable comme il est spécifié au paragraphe 2.9.3, doit être envisagée dans toutes les situations rendues possibles par le régulateur d’intensité, le cas échéant.</w:t>
      </w:r>
    </w:p>
    <w:p w:rsidR="00D6374E" w:rsidRPr="00D6374E" w:rsidRDefault="00D6374E" w:rsidP="00DB75DF">
      <w:pPr>
        <w:pStyle w:val="SingleTxtG"/>
        <w:ind w:left="2268"/>
        <w:rPr>
          <w:rFonts w:eastAsia="Calibri"/>
        </w:rPr>
      </w:pPr>
      <w:r w:rsidRPr="00D6374E">
        <w:rPr>
          <w:rFonts w:eastAsia="Calibri"/>
        </w:rPr>
        <w:t>Dans un plan perpendiculaire à la direction d’observation et tangent à la limite extérieure de la lentille. On trouvera différents exemples d’application de la surface apparente à l’annexe 3 du présent Règlement.</w:t>
      </w:r>
    </w:p>
    <w:p w:rsidR="00D6374E" w:rsidRPr="00D6374E" w:rsidRDefault="00D6374E" w:rsidP="00D6374E">
      <w:pPr>
        <w:pStyle w:val="SingleTxtG"/>
        <w:ind w:left="2268" w:hanging="1134"/>
        <w:rPr>
          <w:rFonts w:eastAsia="Calibri"/>
        </w:rPr>
      </w:pPr>
      <w:r w:rsidRPr="00D6374E">
        <w:rPr>
          <w:rFonts w:eastAsia="Calibri"/>
        </w:rPr>
        <w:t>2.10.5</w:t>
      </w:r>
      <w:r w:rsidRPr="00D6374E">
        <w:rPr>
          <w:rFonts w:eastAsia="Calibri"/>
        </w:rPr>
        <w:tab/>
        <w:t>“</w:t>
      </w:r>
      <w:r w:rsidRPr="00D6374E">
        <w:rPr>
          <w:rFonts w:eastAsia="Calibri"/>
          <w:i/>
        </w:rPr>
        <w:t>Axe de référence</w:t>
      </w:r>
      <w:r w:rsidRPr="00D6374E">
        <w:rPr>
          <w:rFonts w:eastAsia="Calibri"/>
        </w:rPr>
        <w:t>”, l’axe caractéristique du feu, spécifié par le fabricant (du feu) pour servir de direction de référence (H = 0º, V = 0°) pour les angles de champ aux fins des mesures photométriques et de l’installation du feu sur le véhicule.</w:t>
      </w:r>
    </w:p>
    <w:p w:rsidR="00D6374E" w:rsidRPr="00D6374E" w:rsidRDefault="00D6374E" w:rsidP="00D6374E">
      <w:pPr>
        <w:pStyle w:val="SingleTxtG"/>
        <w:ind w:left="2268" w:hanging="1134"/>
        <w:rPr>
          <w:rFonts w:eastAsia="Calibri"/>
        </w:rPr>
      </w:pPr>
      <w:r w:rsidRPr="00D6374E">
        <w:rPr>
          <w:rFonts w:eastAsia="Calibri"/>
        </w:rPr>
        <w:t>2.10.6</w:t>
      </w:r>
      <w:r w:rsidRPr="00D6374E">
        <w:rPr>
          <w:rFonts w:eastAsia="Calibri"/>
        </w:rPr>
        <w:tab/>
        <w:t>“</w:t>
      </w:r>
      <w:r w:rsidRPr="00D6374E">
        <w:rPr>
          <w:rFonts w:eastAsia="Calibri"/>
          <w:i/>
        </w:rPr>
        <w:t>Centre de référence</w:t>
      </w:r>
      <w:r w:rsidRPr="00D6374E">
        <w:rPr>
          <w:rFonts w:eastAsia="Calibri"/>
        </w:rPr>
        <w:t>” :</w:t>
      </w:r>
    </w:p>
    <w:p w:rsidR="00D6374E" w:rsidRPr="00D6374E" w:rsidRDefault="00D6374E" w:rsidP="00F82D7E">
      <w:pPr>
        <w:pStyle w:val="SingleTxtG"/>
        <w:ind w:left="2835" w:hanging="567"/>
        <w:rPr>
          <w:rFonts w:eastAsia="Calibri"/>
        </w:rPr>
      </w:pPr>
      <w:r w:rsidRPr="00D6374E">
        <w:rPr>
          <w:rFonts w:eastAsia="Calibri"/>
        </w:rPr>
        <w:t>a)</w:t>
      </w:r>
      <w:r w:rsidRPr="00D6374E">
        <w:rPr>
          <w:rFonts w:eastAsia="Calibri"/>
        </w:rPr>
        <w:tab/>
        <w:t>L’intersection de l’axe de référence avec la surface de sortie de la lumière émise par le feu ; ou</w:t>
      </w:r>
    </w:p>
    <w:p w:rsidR="00D6374E" w:rsidRPr="00D6374E" w:rsidRDefault="00D6374E" w:rsidP="00F82D7E">
      <w:pPr>
        <w:pStyle w:val="SingleTxtG"/>
        <w:ind w:left="2835" w:hanging="567"/>
        <w:rPr>
          <w:rFonts w:eastAsia="Calibri"/>
        </w:rPr>
      </w:pPr>
      <w:r w:rsidRPr="00D6374E">
        <w:rPr>
          <w:rFonts w:eastAsia="Calibri"/>
        </w:rPr>
        <w:t>b)</w:t>
      </w:r>
      <w:r w:rsidRPr="00D6374E">
        <w:rPr>
          <w:rFonts w:eastAsia="Calibri"/>
        </w:rPr>
        <w:tab/>
        <w:t xml:space="preserve">Un point sur une surface </w:t>
      </w:r>
      <w:proofErr w:type="spellStart"/>
      <w:r w:rsidRPr="00D6374E">
        <w:rPr>
          <w:rFonts w:eastAsia="Calibri"/>
        </w:rPr>
        <w:t>rétroréfléchissante</w:t>
      </w:r>
      <w:proofErr w:type="spellEnd"/>
      <w:r w:rsidRPr="00D6374E">
        <w:rPr>
          <w:rFonts w:eastAsia="Calibri"/>
        </w:rPr>
        <w:t xml:space="preserve"> ou à proximité d’une surface </w:t>
      </w:r>
      <w:proofErr w:type="spellStart"/>
      <w:r w:rsidRPr="00D6374E">
        <w:rPr>
          <w:rFonts w:eastAsia="Calibri"/>
        </w:rPr>
        <w:t>rétroréfléchissante</w:t>
      </w:r>
      <w:proofErr w:type="spellEnd"/>
      <w:r w:rsidRPr="00D6374E">
        <w:rPr>
          <w:rFonts w:eastAsia="Calibri"/>
        </w:rPr>
        <w:t>,</w:t>
      </w:r>
    </w:p>
    <w:p w:rsidR="00D6374E" w:rsidRPr="00D6374E" w:rsidRDefault="00D6374E" w:rsidP="00DB75DF">
      <w:pPr>
        <w:pStyle w:val="SingleTxtG"/>
        <w:ind w:left="2268"/>
        <w:rPr>
          <w:rFonts w:eastAsia="Calibri"/>
        </w:rPr>
      </w:pPr>
      <w:r w:rsidRPr="00D6374E">
        <w:rPr>
          <w:rFonts w:eastAsia="Calibri"/>
        </w:rPr>
        <w:t>qui est désigné comme le centre du dispositif en vue d’en déterminer les caractéristiques fonctionnelles ; le centre de référence est indiqué par le fabricant.</w:t>
      </w:r>
    </w:p>
    <w:p w:rsidR="00D6374E" w:rsidRPr="00D6374E" w:rsidRDefault="00D6374E" w:rsidP="00D6374E">
      <w:pPr>
        <w:pStyle w:val="SingleTxtG"/>
        <w:ind w:left="2268" w:hanging="1134"/>
        <w:rPr>
          <w:rFonts w:eastAsia="Calibri"/>
        </w:rPr>
      </w:pPr>
      <w:r w:rsidRPr="00D6374E">
        <w:rPr>
          <w:rFonts w:eastAsia="Calibri"/>
        </w:rPr>
        <w:t>2.10.7</w:t>
      </w:r>
      <w:r w:rsidRPr="00D6374E">
        <w:rPr>
          <w:rFonts w:eastAsia="Calibri"/>
        </w:rPr>
        <w:tab/>
        <w:t>“</w:t>
      </w:r>
      <w:r w:rsidRPr="00D6374E">
        <w:rPr>
          <w:rFonts w:eastAsia="Calibri"/>
          <w:i/>
        </w:rPr>
        <w:t>Angles de visibilité géométrique</w:t>
      </w:r>
      <w:r w:rsidRPr="00D6374E">
        <w:rPr>
          <w:rFonts w:eastAsia="Calibri"/>
        </w:rPr>
        <w:t>”, les angles qui déterminent le champ de l’angle solide minimal dans lequel la surface apparente du feu est visible. Ce champ est déterminé par les segments d’une sphère dont le centre coïncide avec le centre de référence du feu et dont l’équateur est parallèle au sol. Ces segments sont déterminés par rapport à l’axe de référence. Les angles horizontaux β correspondent à la longitude et les angles verticaux α à la latitude.</w:t>
      </w:r>
    </w:p>
    <w:p w:rsidR="00D6374E" w:rsidRPr="00D6374E" w:rsidRDefault="00D6374E" w:rsidP="00D6374E">
      <w:pPr>
        <w:pStyle w:val="SingleTxtG"/>
        <w:ind w:left="2268" w:hanging="1134"/>
        <w:rPr>
          <w:rFonts w:eastAsia="Calibri"/>
        </w:rPr>
      </w:pPr>
      <w:r w:rsidRPr="00D6374E">
        <w:rPr>
          <w:rFonts w:eastAsia="Calibri"/>
        </w:rPr>
        <w:t>2.10.8</w:t>
      </w:r>
      <w:r w:rsidRPr="00D6374E">
        <w:rPr>
          <w:rFonts w:eastAsia="Calibri"/>
        </w:rPr>
        <w:tab/>
        <w:t>“</w:t>
      </w:r>
      <w:r w:rsidRPr="00D6374E">
        <w:rPr>
          <w:rFonts w:eastAsia="Calibri"/>
          <w:i/>
        </w:rPr>
        <w:t>Stabilité photométrique</w:t>
      </w:r>
      <w:r w:rsidRPr="00D6374E">
        <w:rPr>
          <w:rFonts w:eastAsia="Calibri"/>
        </w:rPr>
        <w:t>”, le moment où la variation de l’intensité lumineuse au point d’essai indiqué est inférieure à 3 % au cours de toute période de 15 minutes.</w:t>
      </w:r>
    </w:p>
    <w:p w:rsidR="00D6374E" w:rsidRPr="00D6374E" w:rsidRDefault="00D6374E" w:rsidP="00D6374E">
      <w:pPr>
        <w:pStyle w:val="SingleTxtG"/>
        <w:ind w:left="2268" w:hanging="1134"/>
        <w:rPr>
          <w:rFonts w:eastAsia="Calibri"/>
        </w:rPr>
      </w:pPr>
      <w:r w:rsidRPr="00D6374E">
        <w:rPr>
          <w:rFonts w:eastAsia="Calibri"/>
        </w:rPr>
        <w:t>2.10.9</w:t>
      </w:r>
      <w:r w:rsidRPr="00D6374E">
        <w:rPr>
          <w:rFonts w:eastAsia="Calibri"/>
        </w:rPr>
        <w:tab/>
        <w:t>“</w:t>
      </w:r>
      <w:proofErr w:type="spellStart"/>
      <w:r w:rsidRPr="00D6374E">
        <w:rPr>
          <w:rFonts w:eastAsia="Calibri"/>
          <w:i/>
        </w:rPr>
        <w:t>Gonio</w:t>
      </w:r>
      <w:proofErr w:type="spellEnd"/>
      <w:r w:rsidRPr="00D6374E">
        <w:rPr>
          <w:rFonts w:eastAsia="Calibri"/>
          <w:i/>
        </w:rPr>
        <w:t>(photo)mètre (sauf si un règlement spécifique en dispose autrement)</w:t>
      </w:r>
      <w:r w:rsidRPr="00D6374E">
        <w:rPr>
          <w:rFonts w:eastAsia="Calibri"/>
        </w:rPr>
        <w:t>”, un système utilisé pour effectuer des mesures photométriques à partir des coordonnées angulaires indiquées en degrés sur une sphère ayant un axe polaire vertical conformément à la publication n</w:t>
      </w:r>
      <w:r w:rsidRPr="00D6374E">
        <w:rPr>
          <w:rFonts w:eastAsia="Calibri"/>
          <w:vertAlign w:val="superscript"/>
        </w:rPr>
        <w:t>o</w:t>
      </w:r>
      <w:r w:rsidRPr="00D6374E">
        <w:rPr>
          <w:rFonts w:eastAsia="Calibri"/>
        </w:rPr>
        <w:t xml:space="preserve"> 70 de la CEI, Vienne 1987, c’est-à-dire correspondant à un </w:t>
      </w:r>
      <w:proofErr w:type="spellStart"/>
      <w:r w:rsidRPr="00D6374E">
        <w:rPr>
          <w:rFonts w:eastAsia="Calibri"/>
        </w:rPr>
        <w:t>gonio</w:t>
      </w:r>
      <w:proofErr w:type="spellEnd"/>
      <w:r w:rsidRPr="00D6374E">
        <w:rPr>
          <w:rFonts w:eastAsia="Calibri"/>
        </w:rPr>
        <w:t xml:space="preserve">(photo)mètre dont l’axe horizontal est fixe par rapport au sol et l’axe de rotation, mobile, perpendiculaire à l’axe horizontal (voir l’annexe 14 du présent Règlement). </w:t>
      </w:r>
      <w:r w:rsidRPr="00D6374E">
        <w:rPr>
          <w:rFonts w:eastAsia="Calibri"/>
          <w:i/>
        </w:rPr>
        <w:t>Note</w:t>
      </w:r>
      <w:r w:rsidRPr="00D6374E">
        <w:rPr>
          <w:rFonts w:eastAsia="Calibri"/>
        </w:rPr>
        <w:t xml:space="preserve"> : La publication de la CEI susmentionnée précise la procédure à suivre pour corriger les coordonnées angulaires lorsqu’un </w:t>
      </w:r>
      <w:proofErr w:type="spellStart"/>
      <w:r w:rsidRPr="00D6374E">
        <w:rPr>
          <w:rFonts w:eastAsia="Calibri"/>
        </w:rPr>
        <w:t>gonio</w:t>
      </w:r>
      <w:proofErr w:type="spellEnd"/>
      <w:r w:rsidRPr="00D6374E">
        <w:rPr>
          <w:rFonts w:eastAsia="Calibri"/>
        </w:rPr>
        <w:t>(photo)mètre d’un type différent est utilisé.</w:t>
      </w:r>
    </w:p>
    <w:p w:rsidR="00D6374E" w:rsidRPr="00D6374E" w:rsidRDefault="00D6374E" w:rsidP="00D6374E">
      <w:pPr>
        <w:pStyle w:val="SingleTxtG"/>
        <w:ind w:left="2268" w:hanging="1134"/>
        <w:rPr>
          <w:rFonts w:eastAsia="Calibri"/>
        </w:rPr>
      </w:pPr>
      <w:r w:rsidRPr="00D6374E">
        <w:rPr>
          <w:rFonts w:eastAsia="Calibri"/>
        </w:rPr>
        <w:t>2.10.10</w:t>
      </w:r>
      <w:r w:rsidRPr="00D6374E">
        <w:rPr>
          <w:rFonts w:eastAsia="Calibri"/>
        </w:rPr>
        <w:tab/>
        <w:t>“</w:t>
      </w:r>
      <w:r w:rsidRPr="00D6374E">
        <w:rPr>
          <w:rFonts w:eastAsia="Calibri"/>
          <w:i/>
        </w:rPr>
        <w:t>Plan H</w:t>
      </w:r>
      <w:r w:rsidRPr="00D6374E">
        <w:rPr>
          <w:rFonts w:eastAsia="Calibri"/>
        </w:rPr>
        <w:t>”, le plan horizontal contenant le centre de référence du feu.</w:t>
      </w:r>
    </w:p>
    <w:p w:rsidR="00D6374E" w:rsidRPr="00D6374E" w:rsidRDefault="00D6374E" w:rsidP="00D6374E">
      <w:pPr>
        <w:pStyle w:val="SingleTxtG"/>
        <w:ind w:left="2268" w:hanging="1134"/>
        <w:rPr>
          <w:rFonts w:eastAsia="Calibri"/>
        </w:rPr>
      </w:pPr>
      <w:r w:rsidRPr="00D6374E">
        <w:rPr>
          <w:rFonts w:eastAsia="Calibri"/>
        </w:rPr>
        <w:t>2.10.11</w:t>
      </w:r>
      <w:r w:rsidRPr="00D6374E">
        <w:rPr>
          <w:rFonts w:eastAsia="Calibri"/>
        </w:rPr>
        <w:tab/>
        <w:t>“</w:t>
      </w:r>
      <w:r w:rsidRPr="00D6374E">
        <w:rPr>
          <w:rFonts w:eastAsia="Calibri"/>
          <w:i/>
        </w:rPr>
        <w:t>Plan transversal</w:t>
      </w:r>
      <w:r w:rsidRPr="00D6374E">
        <w:rPr>
          <w:rFonts w:eastAsia="Calibri"/>
        </w:rPr>
        <w:t xml:space="preserve">”, un plan vertical perpendiculaire au plan longitudinal médian du véhicule. </w:t>
      </w:r>
    </w:p>
    <w:p w:rsidR="00D6374E" w:rsidRPr="00D6374E" w:rsidRDefault="00D6374E" w:rsidP="00D6374E">
      <w:pPr>
        <w:pStyle w:val="SingleTxtG"/>
        <w:ind w:left="2268" w:hanging="1134"/>
        <w:rPr>
          <w:rFonts w:eastAsia="Calibri"/>
        </w:rPr>
      </w:pPr>
      <w:r w:rsidRPr="00D6374E">
        <w:rPr>
          <w:rFonts w:eastAsia="Calibri"/>
        </w:rPr>
        <w:t>2.10.12</w:t>
      </w:r>
      <w:r w:rsidRPr="00D6374E">
        <w:rPr>
          <w:rFonts w:eastAsia="Calibri"/>
        </w:rPr>
        <w:tab/>
        <w:t>“</w:t>
      </w:r>
      <w:r w:rsidRPr="00D6374E">
        <w:rPr>
          <w:rFonts w:eastAsia="Calibri"/>
          <w:i/>
        </w:rPr>
        <w:t>Angle de divergence</w:t>
      </w:r>
      <w:r w:rsidRPr="00D6374E">
        <w:rPr>
          <w:rFonts w:eastAsia="Calibri"/>
        </w:rPr>
        <w:t>”, l’angle formé par les droites reliant le centre de référence au centre du récepteur et au centre de la source d’éclairage.</w:t>
      </w:r>
    </w:p>
    <w:p w:rsidR="00D6374E" w:rsidRPr="00D6374E" w:rsidRDefault="00D6374E" w:rsidP="00D6374E">
      <w:pPr>
        <w:pStyle w:val="SingleTxtG"/>
        <w:ind w:left="2268" w:hanging="1134"/>
        <w:rPr>
          <w:rFonts w:eastAsia="Calibri"/>
        </w:rPr>
      </w:pPr>
      <w:r w:rsidRPr="00D6374E">
        <w:rPr>
          <w:rFonts w:eastAsia="Calibri"/>
        </w:rPr>
        <w:t>2.10.13</w:t>
      </w:r>
      <w:r w:rsidRPr="00D6374E">
        <w:rPr>
          <w:rFonts w:eastAsia="Calibri"/>
        </w:rPr>
        <w:tab/>
        <w:t>“</w:t>
      </w:r>
      <w:r w:rsidRPr="00D6374E">
        <w:rPr>
          <w:rFonts w:eastAsia="Calibri"/>
          <w:i/>
        </w:rPr>
        <w:t>Angle d’éclairage</w:t>
      </w:r>
      <w:r w:rsidRPr="00D6374E">
        <w:rPr>
          <w:rFonts w:eastAsia="Calibri"/>
        </w:rPr>
        <w:t>”, l’angle formé par l’axe de référence et la droite reliant le centre de référence au centre de la source de lumière.</w:t>
      </w:r>
    </w:p>
    <w:p w:rsidR="00D6374E" w:rsidRPr="00D6374E" w:rsidRDefault="00D6374E" w:rsidP="00FB5C51">
      <w:pPr>
        <w:pStyle w:val="SingleTxtG"/>
        <w:spacing w:line="230" w:lineRule="atLeast"/>
        <w:ind w:left="2268" w:hanging="1134"/>
        <w:rPr>
          <w:rFonts w:eastAsia="Calibri"/>
        </w:rPr>
      </w:pPr>
      <w:r w:rsidRPr="00D6374E">
        <w:rPr>
          <w:rFonts w:eastAsia="Calibri"/>
        </w:rPr>
        <w:lastRenderedPageBreak/>
        <w:t>2.10.14</w:t>
      </w:r>
      <w:r w:rsidRPr="00D6374E">
        <w:rPr>
          <w:rFonts w:eastAsia="Calibri"/>
        </w:rPr>
        <w:tab/>
        <w:t>“</w:t>
      </w:r>
      <w:r w:rsidRPr="00D6374E">
        <w:rPr>
          <w:rFonts w:eastAsia="Calibri"/>
          <w:i/>
        </w:rPr>
        <w:t>Angle de rotation</w:t>
      </w:r>
      <w:r w:rsidRPr="00D6374E">
        <w:rPr>
          <w:rFonts w:eastAsia="Calibri"/>
        </w:rPr>
        <w:t>”, l’angle de déplacement du dispositif catadioptrique autour de l’axe de référence, à partir d’une position particulière.</w:t>
      </w:r>
    </w:p>
    <w:p w:rsidR="00D6374E" w:rsidRPr="00D6374E" w:rsidRDefault="00D6374E" w:rsidP="00FB5C51">
      <w:pPr>
        <w:pStyle w:val="SingleTxtG"/>
        <w:spacing w:line="230" w:lineRule="atLeast"/>
        <w:ind w:left="2268" w:hanging="1134"/>
        <w:rPr>
          <w:rFonts w:eastAsia="Calibri"/>
        </w:rPr>
      </w:pPr>
      <w:r w:rsidRPr="00D6374E">
        <w:rPr>
          <w:rFonts w:eastAsia="Calibri"/>
        </w:rPr>
        <w:t>2.10.15</w:t>
      </w:r>
      <w:r w:rsidRPr="00D6374E">
        <w:rPr>
          <w:rFonts w:eastAsia="Calibri"/>
        </w:rPr>
        <w:tab/>
        <w:t>“</w:t>
      </w:r>
      <w:r w:rsidRPr="00D6374E">
        <w:rPr>
          <w:rFonts w:eastAsia="Calibri"/>
          <w:i/>
        </w:rPr>
        <w:t>Ouverture angulaire du dispositif catadioptrique</w:t>
      </w:r>
      <w:r w:rsidRPr="00D6374E">
        <w:rPr>
          <w:rFonts w:eastAsia="Calibri"/>
        </w:rPr>
        <w:t>”, l’angle sous lequel est vue la plus grande dimension de la surface apparente de la plage éclairante, soit du centre de la source éclairante soit du centre du récepteur.</w:t>
      </w:r>
    </w:p>
    <w:p w:rsidR="00D6374E" w:rsidRPr="00D6374E" w:rsidRDefault="00D6374E" w:rsidP="00FB5C51">
      <w:pPr>
        <w:pStyle w:val="SingleTxtG"/>
        <w:spacing w:line="230" w:lineRule="atLeast"/>
        <w:ind w:left="2268" w:hanging="1134"/>
        <w:rPr>
          <w:rFonts w:eastAsia="Calibri"/>
        </w:rPr>
      </w:pPr>
      <w:r w:rsidRPr="00D6374E">
        <w:rPr>
          <w:rFonts w:eastAsia="Calibri"/>
        </w:rPr>
        <w:t>2.10.16</w:t>
      </w:r>
      <w:r w:rsidRPr="00D6374E">
        <w:rPr>
          <w:rFonts w:eastAsia="Calibri"/>
        </w:rPr>
        <w:tab/>
        <w:t>“</w:t>
      </w:r>
      <w:r w:rsidRPr="00D6374E">
        <w:rPr>
          <w:rFonts w:eastAsia="Calibri"/>
          <w:i/>
        </w:rPr>
        <w:t>Éclairement du dispositif catadioptrique</w:t>
      </w:r>
      <w:r w:rsidRPr="00D6374E">
        <w:rPr>
          <w:rFonts w:eastAsia="Calibri"/>
        </w:rPr>
        <w:t>”, l’expression abrégée employée conventionnellement pour désigner l’éclairement mesuré dans un plan normal aux rayons incidents et passant par le centre de référence.</w:t>
      </w:r>
    </w:p>
    <w:p w:rsidR="00D6374E" w:rsidRPr="00D6374E" w:rsidRDefault="00D6374E" w:rsidP="00FB5C51">
      <w:pPr>
        <w:pStyle w:val="SingleTxtG"/>
        <w:spacing w:line="230" w:lineRule="atLeast"/>
        <w:ind w:left="2268" w:hanging="1134"/>
        <w:rPr>
          <w:rFonts w:eastAsia="Calibri"/>
          <w:spacing w:val="-4"/>
        </w:rPr>
      </w:pPr>
      <w:r w:rsidRPr="00D6374E">
        <w:rPr>
          <w:rFonts w:eastAsia="Calibri"/>
          <w:spacing w:val="-4"/>
        </w:rPr>
        <w:t>2.10.17</w:t>
      </w:r>
      <w:r w:rsidRPr="00D6374E">
        <w:rPr>
          <w:rFonts w:eastAsia="Calibri"/>
          <w:spacing w:val="-4"/>
        </w:rPr>
        <w:tab/>
        <w:t>“</w:t>
      </w:r>
      <w:r w:rsidRPr="00D6374E">
        <w:rPr>
          <w:rFonts w:eastAsia="Calibri"/>
          <w:i/>
          <w:spacing w:val="-4"/>
        </w:rPr>
        <w:t>Coefficient d’intensité lumineuse (CIL)</w:t>
      </w:r>
      <w:r w:rsidRPr="00D6374E">
        <w:rPr>
          <w:rFonts w:eastAsia="Calibri"/>
          <w:spacing w:val="-4"/>
        </w:rPr>
        <w:t>”, le quotient de l’intensité lumineuse réfléchie dans la direction considérée par l’éclairement du dispositif catadioptrique, pour des angles d’éclairage, de divergence et de rotation donnés.</w:t>
      </w:r>
    </w:p>
    <w:p w:rsidR="00D6374E" w:rsidRPr="00D6374E" w:rsidRDefault="00D6374E" w:rsidP="00FB5C51">
      <w:pPr>
        <w:pStyle w:val="SingleTxtG"/>
        <w:spacing w:line="230" w:lineRule="atLeast"/>
        <w:ind w:left="2268" w:hanging="1134"/>
        <w:rPr>
          <w:rFonts w:eastAsia="Calibri"/>
        </w:rPr>
      </w:pPr>
      <w:r w:rsidRPr="00D6374E">
        <w:rPr>
          <w:rFonts w:eastAsia="Calibri"/>
        </w:rPr>
        <w:t>2.11</w:t>
      </w:r>
      <w:r w:rsidRPr="00D6374E">
        <w:rPr>
          <w:rFonts w:eastAsia="Calibri"/>
        </w:rPr>
        <w:tab/>
      </w:r>
      <w:r w:rsidRPr="00D6374E">
        <w:rPr>
          <w:rFonts w:eastAsia="Calibri"/>
        </w:rPr>
        <w:tab/>
        <w:t>Définitions des couleurs</w:t>
      </w:r>
    </w:p>
    <w:p w:rsidR="00D6374E" w:rsidRPr="00D6374E" w:rsidRDefault="00D6374E" w:rsidP="00FB5C51">
      <w:pPr>
        <w:pStyle w:val="SingleTxtG"/>
        <w:spacing w:line="230" w:lineRule="atLeast"/>
        <w:ind w:left="2268" w:hanging="1134"/>
        <w:rPr>
          <w:rFonts w:eastAsia="Calibri"/>
        </w:rPr>
      </w:pPr>
      <w:r w:rsidRPr="00D6374E">
        <w:rPr>
          <w:rFonts w:eastAsia="Calibri"/>
        </w:rPr>
        <w:t>2.11.1</w:t>
      </w:r>
      <w:r w:rsidRPr="00D6374E">
        <w:rPr>
          <w:rFonts w:eastAsia="Calibri"/>
        </w:rPr>
        <w:tab/>
        <w:t>Couleur de la lumière émise par un dispositif</w:t>
      </w:r>
    </w:p>
    <w:p w:rsidR="00D6374E" w:rsidRPr="00D6374E" w:rsidRDefault="00D6374E" w:rsidP="00FB5C51">
      <w:pPr>
        <w:pStyle w:val="SingleTxtG"/>
        <w:spacing w:line="230" w:lineRule="atLeast"/>
        <w:ind w:left="2268" w:hanging="1134"/>
        <w:rPr>
          <w:rFonts w:eastAsia="Calibri"/>
          <w:spacing w:val="-2"/>
          <w:lang w:eastAsia="fr-FR"/>
        </w:rPr>
      </w:pPr>
      <w:r w:rsidRPr="00D6374E">
        <w:rPr>
          <w:rFonts w:eastAsia="Calibri"/>
        </w:rPr>
        <w:t>2.11.1.1</w:t>
      </w:r>
      <w:r w:rsidRPr="00D6374E">
        <w:rPr>
          <w:rFonts w:eastAsia="Calibri"/>
        </w:rPr>
        <w:tab/>
      </w:r>
      <w:r w:rsidRPr="00FB5C51">
        <w:rPr>
          <w:rFonts w:eastAsia="Calibri"/>
          <w:spacing w:val="-2"/>
        </w:rPr>
        <w:t>Par “</w:t>
      </w:r>
      <w:r w:rsidRPr="00FB5C51">
        <w:rPr>
          <w:rFonts w:eastAsia="Calibri"/>
          <w:i/>
          <w:spacing w:val="-2"/>
        </w:rPr>
        <w:t>blanc</w:t>
      </w:r>
      <w:r w:rsidRPr="00FB5C51">
        <w:rPr>
          <w:rFonts w:eastAsia="Calibri"/>
          <w:spacing w:val="-2"/>
        </w:rPr>
        <w:t>”, on entend les coordonnées chromatiques (x, y)</w:t>
      </w:r>
      <w:r w:rsidRPr="00FB5C51">
        <w:rPr>
          <w:rFonts w:eastAsia="Calibri"/>
          <w:spacing w:val="-2"/>
          <w:sz w:val="18"/>
          <w:vertAlign w:val="superscript"/>
        </w:rPr>
        <w:footnoteReference w:id="5"/>
      </w:r>
      <w:r w:rsidRPr="00FB5C51">
        <w:rPr>
          <w:rFonts w:eastAsia="Calibri"/>
          <w:spacing w:val="-2"/>
        </w:rPr>
        <w:t xml:space="preserve"> de la lumière émise comprises dans les zones</w:t>
      </w:r>
      <w:r w:rsidRPr="00FB5C51">
        <w:rPr>
          <w:rFonts w:eastAsia="Calibri"/>
          <w:spacing w:val="-2"/>
          <w:lang w:eastAsia="fr-FR"/>
        </w:rPr>
        <w:t xml:space="preserve"> de chromaticité définies par les limites suivantes :</w:t>
      </w:r>
    </w:p>
    <w:tbl>
      <w:tblPr>
        <w:tblW w:w="6236" w:type="dxa"/>
        <w:tblInd w:w="2268" w:type="dxa"/>
        <w:tblLayout w:type="fixed"/>
        <w:tblCellMar>
          <w:left w:w="0" w:type="dxa"/>
          <w:right w:w="0" w:type="dxa"/>
        </w:tblCellMar>
        <w:tblLook w:val="0000" w:firstRow="0" w:lastRow="0" w:firstColumn="0" w:lastColumn="0" w:noHBand="0" w:noVBand="0"/>
      </w:tblPr>
      <w:tblGrid>
        <w:gridCol w:w="1418"/>
        <w:gridCol w:w="2834"/>
        <w:gridCol w:w="1984"/>
      </w:tblGrid>
      <w:tr w:rsidR="00D6374E" w:rsidRPr="00D6374E" w:rsidTr="00DB75DF">
        <w:trPr>
          <w:cantSplit/>
        </w:trPr>
        <w:tc>
          <w:tcPr>
            <w:tcW w:w="1418" w:type="dxa"/>
            <w:shd w:val="clear" w:color="auto" w:fill="auto"/>
          </w:tcPr>
          <w:p w:rsidR="00D6374E" w:rsidRPr="00D6374E" w:rsidRDefault="00D6374E" w:rsidP="00FB5C51">
            <w:pPr>
              <w:spacing w:before="40" w:after="40" w:line="230" w:lineRule="atLeast"/>
              <w:rPr>
                <w:rFonts w:eastAsia="Calibri"/>
              </w:rPr>
            </w:pPr>
            <w:r w:rsidRPr="00D6374E">
              <w:rPr>
                <w:rFonts w:eastAsia="Calibri"/>
              </w:rPr>
              <w:t>W</w:t>
            </w:r>
            <w:r w:rsidRPr="00D6374E">
              <w:rPr>
                <w:rFonts w:eastAsia="Calibri"/>
                <w:vertAlign w:val="subscript"/>
              </w:rPr>
              <w:t>12</w:t>
            </w:r>
          </w:p>
        </w:tc>
        <w:tc>
          <w:tcPr>
            <w:tcW w:w="2834" w:type="dxa"/>
            <w:shd w:val="clear" w:color="auto" w:fill="auto"/>
          </w:tcPr>
          <w:p w:rsidR="00D6374E" w:rsidRPr="00D6374E" w:rsidRDefault="00D6374E" w:rsidP="00FB5C51">
            <w:pPr>
              <w:spacing w:before="40" w:after="40" w:line="230" w:lineRule="atLeast"/>
              <w:rPr>
                <w:rFonts w:eastAsia="Calibri"/>
                <w:lang w:eastAsia="fr-FR"/>
              </w:rPr>
            </w:pPr>
            <w:r w:rsidRPr="00D6374E">
              <w:rPr>
                <w:rFonts w:eastAsia="Calibri"/>
                <w:lang w:eastAsia="fr-FR"/>
              </w:rPr>
              <w:t>limite vers le vert :</w:t>
            </w:r>
          </w:p>
        </w:tc>
        <w:tc>
          <w:tcPr>
            <w:tcW w:w="1984" w:type="dxa"/>
            <w:shd w:val="clear" w:color="auto" w:fill="auto"/>
          </w:tcPr>
          <w:p w:rsidR="00D6374E" w:rsidRPr="00D6374E" w:rsidRDefault="00D6374E" w:rsidP="00FB5C51">
            <w:pPr>
              <w:spacing w:before="40" w:after="40" w:line="230" w:lineRule="atLeast"/>
              <w:rPr>
                <w:rFonts w:eastAsia="Calibri"/>
              </w:rPr>
            </w:pPr>
            <w:r w:rsidRPr="00D6374E">
              <w:rPr>
                <w:rFonts w:eastAsia="Calibri"/>
              </w:rPr>
              <w:t>y = 0,150 + 0,640 x</w:t>
            </w:r>
          </w:p>
        </w:tc>
      </w:tr>
      <w:tr w:rsidR="00D6374E" w:rsidRPr="00D6374E" w:rsidTr="00DB75DF">
        <w:trPr>
          <w:cantSplit/>
        </w:trPr>
        <w:tc>
          <w:tcPr>
            <w:tcW w:w="1418" w:type="dxa"/>
            <w:shd w:val="clear" w:color="auto" w:fill="auto"/>
          </w:tcPr>
          <w:p w:rsidR="00D6374E" w:rsidRPr="00D6374E" w:rsidRDefault="00D6374E" w:rsidP="00FB5C51">
            <w:pPr>
              <w:spacing w:before="40" w:after="40" w:line="230" w:lineRule="atLeast"/>
              <w:rPr>
                <w:rFonts w:eastAsia="Calibri"/>
                <w:vertAlign w:val="subscript"/>
              </w:rPr>
            </w:pPr>
            <w:r w:rsidRPr="00D6374E">
              <w:rPr>
                <w:rFonts w:eastAsia="Calibri"/>
              </w:rPr>
              <w:t>W</w:t>
            </w:r>
            <w:r w:rsidRPr="00D6374E">
              <w:rPr>
                <w:rFonts w:eastAsia="Calibri"/>
                <w:vertAlign w:val="subscript"/>
              </w:rPr>
              <w:t>23</w:t>
            </w:r>
          </w:p>
        </w:tc>
        <w:tc>
          <w:tcPr>
            <w:tcW w:w="2834" w:type="dxa"/>
            <w:shd w:val="clear" w:color="auto" w:fill="auto"/>
          </w:tcPr>
          <w:p w:rsidR="00D6374E" w:rsidRPr="00D6374E" w:rsidRDefault="00D6374E" w:rsidP="00FB5C51">
            <w:pPr>
              <w:spacing w:before="40" w:after="40" w:line="230" w:lineRule="atLeast"/>
              <w:rPr>
                <w:rFonts w:eastAsia="Calibri"/>
              </w:rPr>
            </w:pPr>
            <w:r w:rsidRPr="00D6374E">
              <w:rPr>
                <w:rFonts w:eastAsia="Calibri"/>
                <w:lang w:eastAsia="fr-FR"/>
              </w:rPr>
              <w:t>limite vers le jaune-vert :</w:t>
            </w:r>
          </w:p>
        </w:tc>
        <w:tc>
          <w:tcPr>
            <w:tcW w:w="1984" w:type="dxa"/>
            <w:shd w:val="clear" w:color="auto" w:fill="auto"/>
          </w:tcPr>
          <w:p w:rsidR="00D6374E" w:rsidRPr="00D6374E" w:rsidRDefault="00D6374E" w:rsidP="00FB5C51">
            <w:pPr>
              <w:spacing w:before="40" w:after="40" w:line="230" w:lineRule="atLeast"/>
              <w:rPr>
                <w:rFonts w:eastAsia="Calibri"/>
              </w:rPr>
            </w:pPr>
            <w:r w:rsidRPr="00D6374E">
              <w:rPr>
                <w:rFonts w:eastAsia="Calibri"/>
              </w:rPr>
              <w:t>y = 0,440</w:t>
            </w:r>
          </w:p>
        </w:tc>
      </w:tr>
      <w:tr w:rsidR="00D6374E" w:rsidRPr="00D6374E" w:rsidTr="00DB75DF">
        <w:trPr>
          <w:cantSplit/>
        </w:trPr>
        <w:tc>
          <w:tcPr>
            <w:tcW w:w="1418" w:type="dxa"/>
            <w:shd w:val="clear" w:color="auto" w:fill="auto"/>
          </w:tcPr>
          <w:p w:rsidR="00D6374E" w:rsidRPr="00D6374E" w:rsidRDefault="00D6374E" w:rsidP="00FB5C51">
            <w:pPr>
              <w:spacing w:before="40" w:after="40" w:line="230" w:lineRule="atLeast"/>
              <w:rPr>
                <w:rFonts w:eastAsia="Calibri"/>
                <w:vertAlign w:val="subscript"/>
              </w:rPr>
            </w:pPr>
            <w:r w:rsidRPr="00D6374E">
              <w:rPr>
                <w:rFonts w:eastAsia="Calibri"/>
              </w:rPr>
              <w:t>W</w:t>
            </w:r>
            <w:r w:rsidRPr="00D6374E">
              <w:rPr>
                <w:rFonts w:eastAsia="Calibri"/>
                <w:vertAlign w:val="subscript"/>
              </w:rPr>
              <w:t>34</w:t>
            </w:r>
          </w:p>
        </w:tc>
        <w:tc>
          <w:tcPr>
            <w:tcW w:w="2834" w:type="dxa"/>
            <w:shd w:val="clear" w:color="auto" w:fill="auto"/>
          </w:tcPr>
          <w:p w:rsidR="00D6374E" w:rsidRPr="00D6374E" w:rsidRDefault="00D6374E" w:rsidP="00FB5C51">
            <w:pPr>
              <w:spacing w:before="40" w:after="40" w:line="230" w:lineRule="atLeast"/>
              <w:rPr>
                <w:rFonts w:eastAsia="Calibri"/>
              </w:rPr>
            </w:pPr>
            <w:r w:rsidRPr="00D6374E">
              <w:rPr>
                <w:rFonts w:eastAsia="Calibri"/>
                <w:lang w:eastAsia="fr-FR"/>
              </w:rPr>
              <w:t>limite vers le jaune :</w:t>
            </w:r>
          </w:p>
        </w:tc>
        <w:tc>
          <w:tcPr>
            <w:tcW w:w="1984" w:type="dxa"/>
            <w:shd w:val="clear" w:color="auto" w:fill="auto"/>
          </w:tcPr>
          <w:p w:rsidR="00D6374E" w:rsidRPr="00D6374E" w:rsidRDefault="00D6374E" w:rsidP="00FB5C51">
            <w:pPr>
              <w:spacing w:before="40" w:after="40" w:line="230" w:lineRule="atLeast"/>
              <w:rPr>
                <w:rFonts w:eastAsia="Calibri"/>
              </w:rPr>
            </w:pPr>
            <w:r w:rsidRPr="00D6374E">
              <w:rPr>
                <w:rFonts w:eastAsia="Calibri"/>
              </w:rPr>
              <w:t>x = 0,500</w:t>
            </w:r>
          </w:p>
        </w:tc>
      </w:tr>
      <w:tr w:rsidR="00D6374E" w:rsidRPr="00D6374E" w:rsidTr="00DB75DF">
        <w:trPr>
          <w:cantSplit/>
        </w:trPr>
        <w:tc>
          <w:tcPr>
            <w:tcW w:w="1418" w:type="dxa"/>
            <w:shd w:val="clear" w:color="auto" w:fill="auto"/>
          </w:tcPr>
          <w:p w:rsidR="00D6374E" w:rsidRPr="00D6374E" w:rsidRDefault="00D6374E" w:rsidP="00FB5C51">
            <w:pPr>
              <w:spacing w:before="40" w:after="40" w:line="230" w:lineRule="atLeast"/>
              <w:rPr>
                <w:rFonts w:eastAsia="Calibri"/>
                <w:vertAlign w:val="subscript"/>
              </w:rPr>
            </w:pPr>
            <w:r w:rsidRPr="00D6374E">
              <w:rPr>
                <w:rFonts w:eastAsia="Calibri"/>
              </w:rPr>
              <w:t>W</w:t>
            </w:r>
            <w:r w:rsidRPr="00D6374E">
              <w:rPr>
                <w:rFonts w:eastAsia="Calibri"/>
                <w:vertAlign w:val="subscript"/>
              </w:rPr>
              <w:t>45</w:t>
            </w:r>
          </w:p>
        </w:tc>
        <w:tc>
          <w:tcPr>
            <w:tcW w:w="2834" w:type="dxa"/>
            <w:shd w:val="clear" w:color="auto" w:fill="auto"/>
          </w:tcPr>
          <w:p w:rsidR="00D6374E" w:rsidRPr="00D6374E" w:rsidRDefault="00D6374E" w:rsidP="00FB5C51">
            <w:pPr>
              <w:spacing w:before="40" w:after="40" w:line="230" w:lineRule="atLeast"/>
              <w:rPr>
                <w:rFonts w:eastAsia="Calibri"/>
              </w:rPr>
            </w:pPr>
            <w:r w:rsidRPr="00D6374E">
              <w:rPr>
                <w:rFonts w:eastAsia="Calibri"/>
                <w:lang w:eastAsia="fr-FR"/>
              </w:rPr>
              <w:t>limite vers le rouge-violet :</w:t>
            </w:r>
          </w:p>
        </w:tc>
        <w:tc>
          <w:tcPr>
            <w:tcW w:w="1984" w:type="dxa"/>
            <w:shd w:val="clear" w:color="auto" w:fill="auto"/>
          </w:tcPr>
          <w:p w:rsidR="00D6374E" w:rsidRPr="00D6374E" w:rsidRDefault="00D6374E" w:rsidP="00FB5C51">
            <w:pPr>
              <w:spacing w:before="40" w:after="40" w:line="230" w:lineRule="atLeast"/>
              <w:rPr>
                <w:rFonts w:eastAsia="Calibri"/>
              </w:rPr>
            </w:pPr>
            <w:r w:rsidRPr="00D6374E">
              <w:rPr>
                <w:rFonts w:eastAsia="Calibri"/>
              </w:rPr>
              <w:t>y = 0,382</w:t>
            </w:r>
          </w:p>
        </w:tc>
      </w:tr>
      <w:tr w:rsidR="00D6374E" w:rsidRPr="00D6374E" w:rsidTr="00DB75DF">
        <w:trPr>
          <w:cantSplit/>
        </w:trPr>
        <w:tc>
          <w:tcPr>
            <w:tcW w:w="1418" w:type="dxa"/>
            <w:shd w:val="clear" w:color="auto" w:fill="auto"/>
          </w:tcPr>
          <w:p w:rsidR="00D6374E" w:rsidRPr="00D6374E" w:rsidRDefault="00D6374E" w:rsidP="00FB5C51">
            <w:pPr>
              <w:spacing w:before="40" w:after="40" w:line="230" w:lineRule="atLeast"/>
              <w:rPr>
                <w:rFonts w:eastAsia="Calibri"/>
                <w:vertAlign w:val="subscript"/>
              </w:rPr>
            </w:pPr>
            <w:r w:rsidRPr="00D6374E">
              <w:rPr>
                <w:rFonts w:eastAsia="Calibri"/>
              </w:rPr>
              <w:t>W</w:t>
            </w:r>
            <w:r w:rsidRPr="00D6374E">
              <w:rPr>
                <w:rFonts w:eastAsia="Calibri"/>
                <w:vertAlign w:val="subscript"/>
              </w:rPr>
              <w:t>56</w:t>
            </w:r>
          </w:p>
        </w:tc>
        <w:tc>
          <w:tcPr>
            <w:tcW w:w="2834" w:type="dxa"/>
            <w:shd w:val="clear" w:color="auto" w:fill="auto"/>
          </w:tcPr>
          <w:p w:rsidR="00D6374E" w:rsidRPr="00D6374E" w:rsidRDefault="00D6374E" w:rsidP="00FB5C51">
            <w:pPr>
              <w:spacing w:before="40" w:after="40" w:line="230" w:lineRule="atLeast"/>
              <w:rPr>
                <w:rFonts w:eastAsia="Calibri"/>
              </w:rPr>
            </w:pPr>
            <w:r w:rsidRPr="00D6374E">
              <w:rPr>
                <w:rFonts w:eastAsia="Calibri"/>
                <w:lang w:eastAsia="fr-FR"/>
              </w:rPr>
              <w:t>limite vers le violet :</w:t>
            </w:r>
          </w:p>
        </w:tc>
        <w:tc>
          <w:tcPr>
            <w:tcW w:w="1984" w:type="dxa"/>
            <w:shd w:val="clear" w:color="auto" w:fill="auto"/>
          </w:tcPr>
          <w:p w:rsidR="00D6374E" w:rsidRPr="00D6374E" w:rsidRDefault="00D6374E" w:rsidP="00FB5C51">
            <w:pPr>
              <w:spacing w:before="40" w:after="40" w:line="230" w:lineRule="atLeast"/>
              <w:rPr>
                <w:rFonts w:eastAsia="Calibri"/>
              </w:rPr>
            </w:pPr>
            <w:r w:rsidRPr="00D6374E">
              <w:rPr>
                <w:rFonts w:eastAsia="Calibri"/>
              </w:rPr>
              <w:t>y = 0,050 + 0,750 x</w:t>
            </w:r>
          </w:p>
        </w:tc>
      </w:tr>
      <w:tr w:rsidR="00D6374E" w:rsidRPr="00D6374E" w:rsidTr="00DB75DF">
        <w:trPr>
          <w:cantSplit/>
        </w:trPr>
        <w:tc>
          <w:tcPr>
            <w:tcW w:w="1418" w:type="dxa"/>
            <w:shd w:val="clear" w:color="auto" w:fill="auto"/>
          </w:tcPr>
          <w:p w:rsidR="00D6374E" w:rsidRPr="00D6374E" w:rsidRDefault="00D6374E" w:rsidP="00FB5C51">
            <w:pPr>
              <w:spacing w:before="40" w:after="40" w:line="230" w:lineRule="atLeast"/>
              <w:rPr>
                <w:rFonts w:eastAsia="Calibri"/>
                <w:vertAlign w:val="subscript"/>
              </w:rPr>
            </w:pPr>
            <w:r w:rsidRPr="00D6374E">
              <w:rPr>
                <w:rFonts w:eastAsia="Calibri"/>
              </w:rPr>
              <w:t>W</w:t>
            </w:r>
            <w:r w:rsidRPr="00D6374E">
              <w:rPr>
                <w:rFonts w:eastAsia="Calibri"/>
                <w:vertAlign w:val="subscript"/>
              </w:rPr>
              <w:t>61</w:t>
            </w:r>
          </w:p>
        </w:tc>
        <w:tc>
          <w:tcPr>
            <w:tcW w:w="2834" w:type="dxa"/>
            <w:shd w:val="clear" w:color="auto" w:fill="auto"/>
          </w:tcPr>
          <w:p w:rsidR="00D6374E" w:rsidRPr="00D6374E" w:rsidRDefault="00D6374E" w:rsidP="00FB5C51">
            <w:pPr>
              <w:spacing w:before="40" w:after="40" w:line="230" w:lineRule="atLeast"/>
              <w:rPr>
                <w:rFonts w:eastAsia="Calibri"/>
              </w:rPr>
            </w:pPr>
            <w:r w:rsidRPr="00D6374E">
              <w:rPr>
                <w:rFonts w:eastAsia="Calibri"/>
                <w:lang w:eastAsia="fr-FR"/>
              </w:rPr>
              <w:t>limite vers le bleu :</w:t>
            </w:r>
          </w:p>
        </w:tc>
        <w:tc>
          <w:tcPr>
            <w:tcW w:w="1984" w:type="dxa"/>
            <w:shd w:val="clear" w:color="auto" w:fill="auto"/>
          </w:tcPr>
          <w:p w:rsidR="00D6374E" w:rsidRPr="00D6374E" w:rsidRDefault="00D6374E" w:rsidP="00FB5C51">
            <w:pPr>
              <w:spacing w:before="40" w:after="40" w:line="230" w:lineRule="atLeast"/>
              <w:rPr>
                <w:rFonts w:eastAsia="Calibri"/>
              </w:rPr>
            </w:pPr>
            <w:r w:rsidRPr="00D6374E">
              <w:rPr>
                <w:rFonts w:eastAsia="Calibri"/>
              </w:rPr>
              <w:t>x = 0,310</w:t>
            </w:r>
          </w:p>
        </w:tc>
      </w:tr>
    </w:tbl>
    <w:p w:rsidR="00D6374E" w:rsidRPr="00D6374E" w:rsidRDefault="00D6374E" w:rsidP="00FB5C51">
      <w:pPr>
        <w:pStyle w:val="SingleTxtG"/>
        <w:spacing w:before="120" w:line="230" w:lineRule="atLeast"/>
        <w:ind w:left="2268"/>
        <w:rPr>
          <w:rFonts w:eastAsia="Calibri"/>
          <w:lang w:eastAsia="fr-FR"/>
        </w:rPr>
      </w:pPr>
      <w:r w:rsidRPr="00D6374E">
        <w:rPr>
          <w:rFonts w:eastAsia="Calibri"/>
          <w:lang w:eastAsia="fr-FR"/>
        </w:rPr>
        <w:t xml:space="preserve">Points </w:t>
      </w:r>
      <w:r w:rsidRPr="00D6374E">
        <w:rPr>
          <w:rFonts w:eastAsia="Calibri"/>
        </w:rPr>
        <w:t>d’intersection</w:t>
      </w:r>
      <w:r w:rsidRPr="00D6374E">
        <w:rPr>
          <w:rFonts w:eastAsia="Calibri"/>
          <w:lang w:eastAsia="fr-FR"/>
        </w:rPr>
        <w:t>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9"/>
        <w:gridCol w:w="2079"/>
        <w:gridCol w:w="2080"/>
      </w:tblGrid>
      <w:tr w:rsidR="00D6374E" w:rsidRPr="00D6374E" w:rsidTr="00DB75DF">
        <w:trPr>
          <w:cantSplit/>
        </w:trPr>
        <w:tc>
          <w:tcPr>
            <w:tcW w:w="2079" w:type="dxa"/>
            <w:tcBorders>
              <w:top w:val="nil"/>
              <w:left w:val="nil"/>
              <w:bottom w:val="nil"/>
              <w:right w:val="nil"/>
            </w:tcBorders>
          </w:tcPr>
          <w:p w:rsidR="00D6374E" w:rsidRPr="00D6374E" w:rsidRDefault="00D6374E" w:rsidP="00FB5C51">
            <w:pPr>
              <w:spacing w:before="40" w:after="40" w:line="230" w:lineRule="atLeast"/>
              <w:rPr>
                <w:rFonts w:eastAsia="Calibri"/>
              </w:rPr>
            </w:pPr>
          </w:p>
        </w:tc>
        <w:tc>
          <w:tcPr>
            <w:tcW w:w="2079" w:type="dxa"/>
            <w:tcBorders>
              <w:top w:val="nil"/>
              <w:left w:val="nil"/>
              <w:bottom w:val="nil"/>
              <w:right w:val="nil"/>
            </w:tcBorders>
            <w:vAlign w:val="bottom"/>
          </w:tcPr>
          <w:p w:rsidR="00D6374E" w:rsidRPr="00D6374E" w:rsidRDefault="00D6374E" w:rsidP="00FB5C51">
            <w:pPr>
              <w:spacing w:before="40" w:after="40" w:line="230" w:lineRule="atLeast"/>
              <w:rPr>
                <w:rFonts w:eastAsia="Calibri"/>
              </w:rPr>
            </w:pPr>
            <w:r w:rsidRPr="00D6374E">
              <w:rPr>
                <w:rFonts w:eastAsia="Calibri"/>
              </w:rPr>
              <w:t>x</w:t>
            </w:r>
          </w:p>
        </w:tc>
        <w:tc>
          <w:tcPr>
            <w:tcW w:w="2080" w:type="dxa"/>
            <w:tcBorders>
              <w:top w:val="nil"/>
              <w:left w:val="nil"/>
              <w:bottom w:val="nil"/>
              <w:right w:val="nil"/>
            </w:tcBorders>
            <w:vAlign w:val="bottom"/>
          </w:tcPr>
          <w:p w:rsidR="00D6374E" w:rsidRPr="00D6374E" w:rsidRDefault="00D6374E" w:rsidP="00FB5C51">
            <w:pPr>
              <w:spacing w:before="40" w:after="40" w:line="230" w:lineRule="atLeast"/>
              <w:rPr>
                <w:rFonts w:eastAsia="Calibri"/>
              </w:rPr>
            </w:pPr>
            <w:r w:rsidRPr="00D6374E">
              <w:rPr>
                <w:rFonts w:eastAsia="Calibri"/>
              </w:rPr>
              <w:t>y</w:t>
            </w:r>
          </w:p>
        </w:tc>
      </w:tr>
      <w:tr w:rsidR="00D6374E" w:rsidRPr="00D6374E" w:rsidTr="00DB75DF">
        <w:trPr>
          <w:cantSplit/>
        </w:trPr>
        <w:tc>
          <w:tcPr>
            <w:tcW w:w="2079" w:type="dxa"/>
            <w:tcBorders>
              <w:top w:val="nil"/>
              <w:left w:val="nil"/>
              <w:bottom w:val="nil"/>
              <w:right w:val="nil"/>
            </w:tcBorders>
          </w:tcPr>
          <w:p w:rsidR="00D6374E" w:rsidRPr="00D6374E" w:rsidRDefault="00D6374E" w:rsidP="00FB5C51">
            <w:pPr>
              <w:spacing w:before="40" w:after="40" w:line="230" w:lineRule="atLeast"/>
              <w:rPr>
                <w:rFonts w:eastAsia="Calibri"/>
              </w:rPr>
            </w:pPr>
            <w:r w:rsidRPr="00D6374E">
              <w:rPr>
                <w:rFonts w:eastAsia="Calibri"/>
              </w:rPr>
              <w:t>W</w:t>
            </w:r>
            <w:r w:rsidRPr="00D6374E">
              <w:rPr>
                <w:rFonts w:eastAsia="Calibri"/>
                <w:vertAlign w:val="subscript"/>
              </w:rPr>
              <w:t>1</w:t>
            </w:r>
          </w:p>
        </w:tc>
        <w:tc>
          <w:tcPr>
            <w:tcW w:w="2079" w:type="dxa"/>
            <w:tcBorders>
              <w:top w:val="nil"/>
              <w:left w:val="nil"/>
              <w:bottom w:val="nil"/>
              <w:right w:val="nil"/>
            </w:tcBorders>
            <w:vAlign w:val="bottom"/>
          </w:tcPr>
          <w:p w:rsidR="00D6374E" w:rsidRPr="00D6374E" w:rsidRDefault="00D6374E" w:rsidP="00FB5C51">
            <w:pPr>
              <w:spacing w:before="40" w:after="40" w:line="230" w:lineRule="atLeast"/>
              <w:rPr>
                <w:rFonts w:eastAsia="Calibri"/>
              </w:rPr>
            </w:pPr>
            <w:r w:rsidRPr="00D6374E">
              <w:rPr>
                <w:rFonts w:eastAsia="Calibri"/>
              </w:rPr>
              <w:t>0,310</w:t>
            </w:r>
          </w:p>
        </w:tc>
        <w:tc>
          <w:tcPr>
            <w:tcW w:w="2080" w:type="dxa"/>
            <w:tcBorders>
              <w:top w:val="nil"/>
              <w:left w:val="nil"/>
              <w:bottom w:val="nil"/>
              <w:right w:val="nil"/>
            </w:tcBorders>
            <w:vAlign w:val="bottom"/>
          </w:tcPr>
          <w:p w:rsidR="00D6374E" w:rsidRPr="00D6374E" w:rsidRDefault="00D6374E" w:rsidP="00FB5C51">
            <w:pPr>
              <w:spacing w:before="40" w:after="40" w:line="230" w:lineRule="atLeast"/>
              <w:rPr>
                <w:rFonts w:eastAsia="Calibri"/>
              </w:rPr>
            </w:pPr>
            <w:r w:rsidRPr="00D6374E">
              <w:rPr>
                <w:rFonts w:eastAsia="Calibri"/>
              </w:rPr>
              <w:t>0,348</w:t>
            </w:r>
          </w:p>
        </w:tc>
      </w:tr>
      <w:tr w:rsidR="00D6374E" w:rsidRPr="00D6374E" w:rsidTr="00DB75DF">
        <w:trPr>
          <w:cantSplit/>
        </w:trPr>
        <w:tc>
          <w:tcPr>
            <w:tcW w:w="2079" w:type="dxa"/>
            <w:tcBorders>
              <w:top w:val="nil"/>
              <w:left w:val="nil"/>
              <w:bottom w:val="nil"/>
              <w:right w:val="nil"/>
            </w:tcBorders>
          </w:tcPr>
          <w:p w:rsidR="00D6374E" w:rsidRPr="00D6374E" w:rsidRDefault="00D6374E" w:rsidP="00FB5C51">
            <w:pPr>
              <w:spacing w:before="40" w:after="40" w:line="230" w:lineRule="atLeast"/>
              <w:rPr>
                <w:rFonts w:eastAsia="Calibri"/>
              </w:rPr>
            </w:pPr>
            <w:r w:rsidRPr="00D6374E">
              <w:rPr>
                <w:rFonts w:eastAsia="Calibri"/>
              </w:rPr>
              <w:t>W</w:t>
            </w:r>
            <w:r w:rsidRPr="00D6374E">
              <w:rPr>
                <w:rFonts w:eastAsia="Calibri"/>
                <w:vertAlign w:val="subscript"/>
              </w:rPr>
              <w:t>2</w:t>
            </w:r>
          </w:p>
        </w:tc>
        <w:tc>
          <w:tcPr>
            <w:tcW w:w="2079" w:type="dxa"/>
            <w:tcBorders>
              <w:top w:val="nil"/>
              <w:left w:val="nil"/>
              <w:bottom w:val="nil"/>
              <w:right w:val="nil"/>
            </w:tcBorders>
            <w:vAlign w:val="bottom"/>
          </w:tcPr>
          <w:p w:rsidR="00D6374E" w:rsidRPr="00D6374E" w:rsidRDefault="00D6374E" w:rsidP="00FB5C51">
            <w:pPr>
              <w:spacing w:before="40" w:after="40" w:line="230" w:lineRule="atLeast"/>
              <w:rPr>
                <w:rFonts w:eastAsia="Calibri"/>
              </w:rPr>
            </w:pPr>
            <w:r w:rsidRPr="00D6374E">
              <w:rPr>
                <w:rFonts w:eastAsia="Calibri"/>
              </w:rPr>
              <w:t>0,453</w:t>
            </w:r>
          </w:p>
        </w:tc>
        <w:tc>
          <w:tcPr>
            <w:tcW w:w="2080" w:type="dxa"/>
            <w:tcBorders>
              <w:top w:val="nil"/>
              <w:left w:val="nil"/>
              <w:bottom w:val="nil"/>
              <w:right w:val="nil"/>
            </w:tcBorders>
            <w:vAlign w:val="bottom"/>
          </w:tcPr>
          <w:p w:rsidR="00D6374E" w:rsidRPr="00D6374E" w:rsidRDefault="00D6374E" w:rsidP="00FB5C51">
            <w:pPr>
              <w:spacing w:before="40" w:after="40" w:line="230" w:lineRule="atLeast"/>
              <w:rPr>
                <w:rFonts w:eastAsia="Calibri"/>
              </w:rPr>
            </w:pPr>
            <w:r w:rsidRPr="00D6374E">
              <w:rPr>
                <w:rFonts w:eastAsia="Calibri"/>
              </w:rPr>
              <w:t>0,440</w:t>
            </w:r>
          </w:p>
        </w:tc>
      </w:tr>
      <w:tr w:rsidR="00D6374E" w:rsidRPr="00D6374E" w:rsidTr="00DB75DF">
        <w:trPr>
          <w:cantSplit/>
        </w:trPr>
        <w:tc>
          <w:tcPr>
            <w:tcW w:w="2079" w:type="dxa"/>
            <w:tcBorders>
              <w:top w:val="nil"/>
              <w:left w:val="nil"/>
              <w:bottom w:val="nil"/>
              <w:right w:val="nil"/>
            </w:tcBorders>
          </w:tcPr>
          <w:p w:rsidR="00D6374E" w:rsidRPr="00D6374E" w:rsidRDefault="00D6374E" w:rsidP="00FB5C51">
            <w:pPr>
              <w:spacing w:before="40" w:after="40" w:line="230" w:lineRule="atLeast"/>
              <w:rPr>
                <w:rFonts w:eastAsia="Calibri"/>
              </w:rPr>
            </w:pPr>
            <w:r w:rsidRPr="00D6374E">
              <w:rPr>
                <w:rFonts w:eastAsia="Calibri"/>
              </w:rPr>
              <w:t>W</w:t>
            </w:r>
            <w:r w:rsidRPr="00D6374E">
              <w:rPr>
                <w:rFonts w:eastAsia="Calibri"/>
                <w:vertAlign w:val="subscript"/>
              </w:rPr>
              <w:t>3</w:t>
            </w:r>
          </w:p>
        </w:tc>
        <w:tc>
          <w:tcPr>
            <w:tcW w:w="2079" w:type="dxa"/>
            <w:tcBorders>
              <w:top w:val="nil"/>
              <w:left w:val="nil"/>
              <w:bottom w:val="nil"/>
              <w:right w:val="nil"/>
            </w:tcBorders>
            <w:vAlign w:val="bottom"/>
          </w:tcPr>
          <w:p w:rsidR="00D6374E" w:rsidRPr="00D6374E" w:rsidRDefault="00D6374E" w:rsidP="00FB5C51">
            <w:pPr>
              <w:spacing w:before="40" w:after="40" w:line="230" w:lineRule="atLeast"/>
              <w:rPr>
                <w:rFonts w:eastAsia="Calibri"/>
              </w:rPr>
            </w:pPr>
            <w:r w:rsidRPr="00D6374E">
              <w:rPr>
                <w:rFonts w:eastAsia="Calibri"/>
              </w:rPr>
              <w:t>0,500</w:t>
            </w:r>
          </w:p>
        </w:tc>
        <w:tc>
          <w:tcPr>
            <w:tcW w:w="2080" w:type="dxa"/>
            <w:tcBorders>
              <w:top w:val="nil"/>
              <w:left w:val="nil"/>
              <w:bottom w:val="nil"/>
              <w:right w:val="nil"/>
            </w:tcBorders>
            <w:vAlign w:val="bottom"/>
          </w:tcPr>
          <w:p w:rsidR="00D6374E" w:rsidRPr="00D6374E" w:rsidRDefault="00D6374E" w:rsidP="00FB5C51">
            <w:pPr>
              <w:spacing w:before="40" w:after="40" w:line="230" w:lineRule="atLeast"/>
              <w:rPr>
                <w:rFonts w:eastAsia="Calibri"/>
              </w:rPr>
            </w:pPr>
            <w:r w:rsidRPr="00D6374E">
              <w:rPr>
                <w:rFonts w:eastAsia="Calibri"/>
              </w:rPr>
              <w:t>0,440</w:t>
            </w:r>
          </w:p>
        </w:tc>
      </w:tr>
      <w:tr w:rsidR="00D6374E" w:rsidRPr="00D6374E" w:rsidTr="00DB75DF">
        <w:trPr>
          <w:cantSplit/>
        </w:trPr>
        <w:tc>
          <w:tcPr>
            <w:tcW w:w="2079" w:type="dxa"/>
            <w:tcBorders>
              <w:top w:val="nil"/>
              <w:left w:val="nil"/>
              <w:bottom w:val="nil"/>
              <w:right w:val="nil"/>
            </w:tcBorders>
          </w:tcPr>
          <w:p w:rsidR="00D6374E" w:rsidRPr="00D6374E" w:rsidRDefault="00D6374E" w:rsidP="00FB5C51">
            <w:pPr>
              <w:spacing w:before="40" w:after="40" w:line="230" w:lineRule="atLeast"/>
              <w:rPr>
                <w:rFonts w:eastAsia="Calibri"/>
              </w:rPr>
            </w:pPr>
            <w:r w:rsidRPr="00D6374E">
              <w:rPr>
                <w:rFonts w:eastAsia="Calibri"/>
              </w:rPr>
              <w:t>W</w:t>
            </w:r>
            <w:r w:rsidRPr="00D6374E">
              <w:rPr>
                <w:rFonts w:eastAsia="Calibri"/>
                <w:vertAlign w:val="subscript"/>
              </w:rPr>
              <w:t>4</w:t>
            </w:r>
          </w:p>
        </w:tc>
        <w:tc>
          <w:tcPr>
            <w:tcW w:w="2079" w:type="dxa"/>
            <w:tcBorders>
              <w:top w:val="nil"/>
              <w:left w:val="nil"/>
              <w:bottom w:val="nil"/>
              <w:right w:val="nil"/>
            </w:tcBorders>
            <w:vAlign w:val="bottom"/>
          </w:tcPr>
          <w:p w:rsidR="00D6374E" w:rsidRPr="00D6374E" w:rsidRDefault="00D6374E" w:rsidP="00FB5C51">
            <w:pPr>
              <w:spacing w:before="40" w:after="40" w:line="230" w:lineRule="atLeast"/>
              <w:rPr>
                <w:rFonts w:eastAsia="Calibri"/>
              </w:rPr>
            </w:pPr>
            <w:r w:rsidRPr="00D6374E">
              <w:rPr>
                <w:rFonts w:eastAsia="Calibri"/>
              </w:rPr>
              <w:t>0,500</w:t>
            </w:r>
          </w:p>
        </w:tc>
        <w:tc>
          <w:tcPr>
            <w:tcW w:w="2080" w:type="dxa"/>
            <w:tcBorders>
              <w:top w:val="nil"/>
              <w:left w:val="nil"/>
              <w:bottom w:val="nil"/>
              <w:right w:val="nil"/>
            </w:tcBorders>
            <w:vAlign w:val="bottom"/>
          </w:tcPr>
          <w:p w:rsidR="00D6374E" w:rsidRPr="00D6374E" w:rsidRDefault="00D6374E" w:rsidP="00FB5C51">
            <w:pPr>
              <w:spacing w:before="40" w:after="40" w:line="230" w:lineRule="atLeast"/>
              <w:rPr>
                <w:rFonts w:eastAsia="Calibri"/>
              </w:rPr>
            </w:pPr>
            <w:r w:rsidRPr="00D6374E">
              <w:rPr>
                <w:rFonts w:eastAsia="Calibri"/>
              </w:rPr>
              <w:t>0,382</w:t>
            </w:r>
          </w:p>
        </w:tc>
      </w:tr>
      <w:tr w:rsidR="00D6374E" w:rsidRPr="00D6374E" w:rsidTr="00DB75DF">
        <w:trPr>
          <w:cantSplit/>
        </w:trPr>
        <w:tc>
          <w:tcPr>
            <w:tcW w:w="2079" w:type="dxa"/>
            <w:tcBorders>
              <w:top w:val="nil"/>
              <w:left w:val="nil"/>
              <w:bottom w:val="nil"/>
              <w:right w:val="nil"/>
            </w:tcBorders>
          </w:tcPr>
          <w:p w:rsidR="00D6374E" w:rsidRPr="00D6374E" w:rsidRDefault="00D6374E" w:rsidP="00FB5C51">
            <w:pPr>
              <w:spacing w:before="40" w:after="40" w:line="230" w:lineRule="atLeast"/>
              <w:rPr>
                <w:rFonts w:eastAsia="Calibri"/>
              </w:rPr>
            </w:pPr>
            <w:r w:rsidRPr="00D6374E">
              <w:rPr>
                <w:rFonts w:eastAsia="Calibri"/>
              </w:rPr>
              <w:t>W</w:t>
            </w:r>
            <w:r w:rsidRPr="00D6374E">
              <w:rPr>
                <w:rFonts w:eastAsia="Calibri"/>
                <w:vertAlign w:val="subscript"/>
              </w:rPr>
              <w:t>5</w:t>
            </w:r>
          </w:p>
        </w:tc>
        <w:tc>
          <w:tcPr>
            <w:tcW w:w="2079" w:type="dxa"/>
            <w:tcBorders>
              <w:top w:val="nil"/>
              <w:left w:val="nil"/>
              <w:bottom w:val="nil"/>
              <w:right w:val="nil"/>
            </w:tcBorders>
            <w:vAlign w:val="bottom"/>
          </w:tcPr>
          <w:p w:rsidR="00D6374E" w:rsidRPr="00D6374E" w:rsidRDefault="00D6374E" w:rsidP="00FB5C51">
            <w:pPr>
              <w:spacing w:before="40" w:after="40" w:line="230" w:lineRule="atLeast"/>
              <w:rPr>
                <w:rFonts w:eastAsia="Calibri"/>
              </w:rPr>
            </w:pPr>
            <w:r w:rsidRPr="00D6374E">
              <w:rPr>
                <w:rFonts w:eastAsia="Calibri"/>
              </w:rPr>
              <w:t>0,443</w:t>
            </w:r>
          </w:p>
        </w:tc>
        <w:tc>
          <w:tcPr>
            <w:tcW w:w="2080" w:type="dxa"/>
            <w:tcBorders>
              <w:top w:val="nil"/>
              <w:left w:val="nil"/>
              <w:bottom w:val="nil"/>
              <w:right w:val="nil"/>
            </w:tcBorders>
            <w:vAlign w:val="bottom"/>
          </w:tcPr>
          <w:p w:rsidR="00D6374E" w:rsidRPr="00D6374E" w:rsidRDefault="00D6374E" w:rsidP="00FB5C51">
            <w:pPr>
              <w:spacing w:before="40" w:after="40" w:line="230" w:lineRule="atLeast"/>
              <w:rPr>
                <w:rFonts w:eastAsia="Calibri"/>
              </w:rPr>
            </w:pPr>
            <w:r w:rsidRPr="00D6374E">
              <w:rPr>
                <w:rFonts w:eastAsia="Calibri"/>
              </w:rPr>
              <w:t>0,382</w:t>
            </w:r>
          </w:p>
        </w:tc>
      </w:tr>
      <w:tr w:rsidR="00D6374E" w:rsidRPr="00D6374E" w:rsidTr="00DB75DF">
        <w:trPr>
          <w:cantSplit/>
        </w:trPr>
        <w:tc>
          <w:tcPr>
            <w:tcW w:w="2079" w:type="dxa"/>
            <w:tcBorders>
              <w:top w:val="nil"/>
              <w:left w:val="nil"/>
              <w:bottom w:val="nil"/>
              <w:right w:val="nil"/>
            </w:tcBorders>
          </w:tcPr>
          <w:p w:rsidR="00D6374E" w:rsidRPr="00D6374E" w:rsidRDefault="00D6374E" w:rsidP="00FB5C51">
            <w:pPr>
              <w:spacing w:before="40" w:after="40" w:line="230" w:lineRule="atLeast"/>
              <w:rPr>
                <w:rFonts w:eastAsia="Calibri"/>
              </w:rPr>
            </w:pPr>
            <w:r w:rsidRPr="00D6374E">
              <w:rPr>
                <w:rFonts w:eastAsia="Calibri"/>
              </w:rPr>
              <w:t>W</w:t>
            </w:r>
            <w:r w:rsidRPr="00D6374E">
              <w:rPr>
                <w:rFonts w:eastAsia="Calibri"/>
                <w:vertAlign w:val="subscript"/>
              </w:rPr>
              <w:t>6</w:t>
            </w:r>
          </w:p>
        </w:tc>
        <w:tc>
          <w:tcPr>
            <w:tcW w:w="2079" w:type="dxa"/>
            <w:tcBorders>
              <w:top w:val="nil"/>
              <w:left w:val="nil"/>
              <w:bottom w:val="nil"/>
              <w:right w:val="nil"/>
            </w:tcBorders>
            <w:vAlign w:val="bottom"/>
          </w:tcPr>
          <w:p w:rsidR="00D6374E" w:rsidRPr="00D6374E" w:rsidRDefault="00D6374E" w:rsidP="00FB5C51">
            <w:pPr>
              <w:spacing w:before="40" w:after="40" w:line="230" w:lineRule="atLeast"/>
              <w:rPr>
                <w:rFonts w:eastAsia="Calibri"/>
              </w:rPr>
            </w:pPr>
            <w:r w:rsidRPr="00D6374E">
              <w:rPr>
                <w:rFonts w:eastAsia="Calibri"/>
              </w:rPr>
              <w:t>0,310</w:t>
            </w:r>
          </w:p>
        </w:tc>
        <w:tc>
          <w:tcPr>
            <w:tcW w:w="2080" w:type="dxa"/>
            <w:tcBorders>
              <w:top w:val="nil"/>
              <w:left w:val="nil"/>
              <w:bottom w:val="nil"/>
              <w:right w:val="nil"/>
            </w:tcBorders>
            <w:vAlign w:val="bottom"/>
          </w:tcPr>
          <w:p w:rsidR="00D6374E" w:rsidRPr="00D6374E" w:rsidRDefault="00D6374E" w:rsidP="00FB5C51">
            <w:pPr>
              <w:spacing w:before="40" w:after="40" w:line="230" w:lineRule="atLeast"/>
              <w:rPr>
                <w:rFonts w:eastAsia="Calibri"/>
              </w:rPr>
            </w:pPr>
            <w:r w:rsidRPr="00D6374E">
              <w:rPr>
                <w:rFonts w:eastAsia="Calibri"/>
              </w:rPr>
              <w:t>0,283</w:t>
            </w:r>
          </w:p>
        </w:tc>
      </w:tr>
    </w:tbl>
    <w:p w:rsidR="00D6374E" w:rsidRPr="00D6374E" w:rsidRDefault="00D6374E" w:rsidP="00FB5C51">
      <w:pPr>
        <w:pStyle w:val="SingleTxtG"/>
        <w:spacing w:before="120" w:line="230" w:lineRule="atLeast"/>
        <w:ind w:left="2268" w:hanging="1134"/>
        <w:rPr>
          <w:rFonts w:eastAsia="Calibri"/>
        </w:rPr>
      </w:pPr>
      <w:r w:rsidRPr="00D6374E">
        <w:rPr>
          <w:rFonts w:eastAsia="Calibri"/>
        </w:rPr>
        <w:t>2.11.1.2</w:t>
      </w:r>
      <w:r w:rsidRPr="00D6374E">
        <w:rPr>
          <w:rFonts w:eastAsia="Calibri"/>
        </w:rPr>
        <w:tab/>
      </w:r>
      <w:r w:rsidRPr="00D6374E">
        <w:rPr>
          <w:rFonts w:eastAsia="Calibri"/>
          <w:lang w:eastAsia="fr-FR"/>
        </w:rPr>
        <w:t>Par “</w:t>
      </w:r>
      <w:r w:rsidRPr="00D6374E">
        <w:rPr>
          <w:rFonts w:eastAsia="Calibri"/>
          <w:i/>
          <w:lang w:eastAsia="fr-FR"/>
        </w:rPr>
        <w:t>jaune sélectif</w:t>
      </w:r>
      <w:r w:rsidRPr="00D6374E">
        <w:rPr>
          <w:rFonts w:eastAsia="Calibri"/>
          <w:lang w:eastAsia="fr-FR"/>
        </w:rPr>
        <w:t xml:space="preserve">”, on entend les coordonnées chromatiques </w:t>
      </w:r>
      <w:r w:rsidRPr="00D6374E">
        <w:rPr>
          <w:rFonts w:eastAsia="Calibri"/>
        </w:rPr>
        <w:t>(x, y)</w:t>
      </w:r>
      <w:r w:rsidRPr="00D6374E">
        <w:rPr>
          <w:rFonts w:eastAsia="Calibri"/>
          <w:sz w:val="18"/>
          <w:szCs w:val="18"/>
          <w:vertAlign w:val="superscript"/>
        </w:rPr>
        <w:t>4</w:t>
      </w:r>
      <w:r w:rsidRPr="00D6374E">
        <w:rPr>
          <w:rFonts w:eastAsia="Calibri"/>
        </w:rPr>
        <w:t xml:space="preserve"> </w:t>
      </w:r>
      <w:r w:rsidRPr="00D6374E">
        <w:rPr>
          <w:rFonts w:eastAsia="Calibri"/>
          <w:lang w:eastAsia="fr-FR"/>
        </w:rPr>
        <w:t xml:space="preserve">de la </w:t>
      </w:r>
      <w:r w:rsidRPr="00D6374E">
        <w:rPr>
          <w:rFonts w:eastAsia="Calibri"/>
        </w:rPr>
        <w:t>lumière</w:t>
      </w:r>
      <w:r w:rsidRPr="00D6374E">
        <w:rPr>
          <w:rFonts w:eastAsia="Calibri"/>
          <w:lang w:eastAsia="fr-FR"/>
        </w:rPr>
        <w:t xml:space="preserve"> émise comprises dans les zones de chromaticité définies par les limites suivantes :</w:t>
      </w:r>
    </w:p>
    <w:tbl>
      <w:tblPr>
        <w:tblW w:w="6237" w:type="dxa"/>
        <w:tblInd w:w="2268" w:type="dxa"/>
        <w:tblCellMar>
          <w:left w:w="0" w:type="dxa"/>
          <w:right w:w="0" w:type="dxa"/>
        </w:tblCellMar>
        <w:tblLook w:val="0000" w:firstRow="0" w:lastRow="0" w:firstColumn="0" w:lastColumn="0" w:noHBand="0" w:noVBand="0"/>
      </w:tblPr>
      <w:tblGrid>
        <w:gridCol w:w="1418"/>
        <w:gridCol w:w="2740"/>
        <w:gridCol w:w="2079"/>
      </w:tblGrid>
      <w:tr w:rsidR="00D6374E" w:rsidRPr="00D6374E" w:rsidTr="00DB75DF">
        <w:tc>
          <w:tcPr>
            <w:tcW w:w="1418" w:type="dxa"/>
          </w:tcPr>
          <w:p w:rsidR="00D6374E" w:rsidRPr="00D6374E" w:rsidRDefault="00D6374E" w:rsidP="00FB5C51">
            <w:pPr>
              <w:spacing w:before="40" w:after="40" w:line="230" w:lineRule="atLeast"/>
              <w:rPr>
                <w:rFonts w:eastAsia="Calibri"/>
              </w:rPr>
            </w:pPr>
            <w:r w:rsidRPr="00D6374E">
              <w:rPr>
                <w:rFonts w:eastAsia="Calibri"/>
              </w:rPr>
              <w:t>SY</w:t>
            </w:r>
            <w:r w:rsidRPr="00D6374E">
              <w:rPr>
                <w:rFonts w:eastAsia="Calibri"/>
                <w:vertAlign w:val="subscript"/>
              </w:rPr>
              <w:t>12</w:t>
            </w:r>
          </w:p>
        </w:tc>
        <w:tc>
          <w:tcPr>
            <w:tcW w:w="2740" w:type="dxa"/>
          </w:tcPr>
          <w:p w:rsidR="00D6374E" w:rsidRPr="00D6374E" w:rsidRDefault="00D6374E" w:rsidP="00FB5C51">
            <w:pPr>
              <w:spacing w:before="40" w:after="40" w:line="230" w:lineRule="atLeast"/>
              <w:rPr>
                <w:rFonts w:eastAsia="Calibri"/>
              </w:rPr>
            </w:pPr>
            <w:r w:rsidRPr="00D6374E">
              <w:rPr>
                <w:rFonts w:eastAsia="Calibri"/>
              </w:rPr>
              <w:t>limite vers le vert :</w:t>
            </w:r>
          </w:p>
        </w:tc>
        <w:tc>
          <w:tcPr>
            <w:tcW w:w="2079" w:type="dxa"/>
          </w:tcPr>
          <w:p w:rsidR="00D6374E" w:rsidRPr="00D6374E" w:rsidRDefault="00D6374E" w:rsidP="00FB5C51">
            <w:pPr>
              <w:spacing w:before="40" w:after="40" w:line="230" w:lineRule="atLeast"/>
              <w:rPr>
                <w:rFonts w:eastAsia="Calibri"/>
              </w:rPr>
            </w:pPr>
            <w:r w:rsidRPr="00D6374E">
              <w:rPr>
                <w:rFonts w:eastAsia="Calibri"/>
              </w:rPr>
              <w:t>y = 1,290 x - 0,100</w:t>
            </w:r>
          </w:p>
        </w:tc>
      </w:tr>
      <w:tr w:rsidR="00D6374E" w:rsidRPr="00D6374E" w:rsidTr="00DB75DF">
        <w:tc>
          <w:tcPr>
            <w:tcW w:w="1418" w:type="dxa"/>
          </w:tcPr>
          <w:p w:rsidR="00D6374E" w:rsidRPr="00D6374E" w:rsidRDefault="00D6374E" w:rsidP="00FB5C51">
            <w:pPr>
              <w:spacing w:before="40" w:after="40" w:line="230" w:lineRule="atLeast"/>
              <w:rPr>
                <w:rFonts w:eastAsia="Calibri"/>
              </w:rPr>
            </w:pPr>
            <w:r w:rsidRPr="00D6374E">
              <w:rPr>
                <w:rFonts w:eastAsia="Calibri"/>
              </w:rPr>
              <w:t>SY</w:t>
            </w:r>
            <w:r w:rsidRPr="00D6374E">
              <w:rPr>
                <w:rFonts w:eastAsia="Calibri"/>
                <w:vertAlign w:val="subscript"/>
              </w:rPr>
              <w:t>23</w:t>
            </w:r>
          </w:p>
        </w:tc>
        <w:tc>
          <w:tcPr>
            <w:tcW w:w="2740" w:type="dxa"/>
          </w:tcPr>
          <w:p w:rsidR="00D6374E" w:rsidRPr="00D6374E" w:rsidRDefault="00D6374E" w:rsidP="00FB5C51">
            <w:pPr>
              <w:spacing w:before="40" w:after="40" w:line="230" w:lineRule="atLeast"/>
              <w:rPr>
                <w:rFonts w:eastAsia="Calibri"/>
              </w:rPr>
            </w:pPr>
            <w:r w:rsidRPr="00D6374E">
              <w:rPr>
                <w:rFonts w:eastAsia="Calibri"/>
              </w:rPr>
              <w:t>lieu spectral</w:t>
            </w:r>
          </w:p>
        </w:tc>
        <w:tc>
          <w:tcPr>
            <w:tcW w:w="2079" w:type="dxa"/>
          </w:tcPr>
          <w:p w:rsidR="00D6374E" w:rsidRPr="00D6374E" w:rsidRDefault="00D6374E" w:rsidP="00FB5C51">
            <w:pPr>
              <w:spacing w:before="40" w:after="40" w:line="230" w:lineRule="atLeast"/>
              <w:rPr>
                <w:rFonts w:eastAsia="Calibri"/>
              </w:rPr>
            </w:pPr>
          </w:p>
        </w:tc>
      </w:tr>
      <w:tr w:rsidR="00D6374E" w:rsidRPr="00D6374E" w:rsidTr="00DB75DF">
        <w:tc>
          <w:tcPr>
            <w:tcW w:w="1418" w:type="dxa"/>
          </w:tcPr>
          <w:p w:rsidR="00D6374E" w:rsidRPr="00D6374E" w:rsidRDefault="00D6374E" w:rsidP="00FB5C51">
            <w:pPr>
              <w:spacing w:before="40" w:after="40" w:line="230" w:lineRule="atLeast"/>
              <w:rPr>
                <w:rFonts w:eastAsia="Calibri"/>
              </w:rPr>
            </w:pPr>
            <w:r w:rsidRPr="00D6374E">
              <w:rPr>
                <w:rFonts w:eastAsia="Calibri"/>
              </w:rPr>
              <w:t>SY</w:t>
            </w:r>
            <w:r w:rsidRPr="00D6374E">
              <w:rPr>
                <w:rFonts w:eastAsia="Calibri"/>
                <w:vertAlign w:val="subscript"/>
              </w:rPr>
              <w:t>34</w:t>
            </w:r>
          </w:p>
        </w:tc>
        <w:tc>
          <w:tcPr>
            <w:tcW w:w="2740" w:type="dxa"/>
          </w:tcPr>
          <w:p w:rsidR="00D6374E" w:rsidRPr="00D6374E" w:rsidRDefault="00D6374E" w:rsidP="00FB5C51">
            <w:pPr>
              <w:spacing w:before="40" w:after="40" w:line="230" w:lineRule="atLeast"/>
              <w:rPr>
                <w:rFonts w:eastAsia="Calibri"/>
              </w:rPr>
            </w:pPr>
            <w:r w:rsidRPr="00D6374E">
              <w:rPr>
                <w:rFonts w:eastAsia="Calibri"/>
              </w:rPr>
              <w:t>limite vers le rouge :</w:t>
            </w:r>
          </w:p>
        </w:tc>
        <w:tc>
          <w:tcPr>
            <w:tcW w:w="2079" w:type="dxa"/>
          </w:tcPr>
          <w:p w:rsidR="00D6374E" w:rsidRPr="00D6374E" w:rsidRDefault="00D6374E" w:rsidP="00FB5C51">
            <w:pPr>
              <w:spacing w:before="40" w:after="40" w:line="230" w:lineRule="atLeast"/>
              <w:rPr>
                <w:rFonts w:eastAsia="Calibri"/>
              </w:rPr>
            </w:pPr>
            <w:r w:rsidRPr="00D6374E">
              <w:rPr>
                <w:rFonts w:eastAsia="Calibri"/>
              </w:rPr>
              <w:t>y = 0,138 + 0,580 x</w:t>
            </w:r>
          </w:p>
        </w:tc>
      </w:tr>
      <w:tr w:rsidR="00D6374E" w:rsidRPr="00D6374E" w:rsidTr="00DB75DF">
        <w:tc>
          <w:tcPr>
            <w:tcW w:w="1418" w:type="dxa"/>
          </w:tcPr>
          <w:p w:rsidR="00D6374E" w:rsidRPr="00D6374E" w:rsidRDefault="00D6374E" w:rsidP="00FB5C51">
            <w:pPr>
              <w:spacing w:before="40" w:after="40" w:line="230" w:lineRule="atLeast"/>
              <w:rPr>
                <w:rFonts w:eastAsia="Calibri"/>
              </w:rPr>
            </w:pPr>
            <w:r w:rsidRPr="00D6374E">
              <w:rPr>
                <w:rFonts w:eastAsia="Calibri"/>
              </w:rPr>
              <w:t>SY</w:t>
            </w:r>
            <w:r w:rsidRPr="00D6374E">
              <w:rPr>
                <w:rFonts w:eastAsia="Calibri"/>
                <w:vertAlign w:val="subscript"/>
              </w:rPr>
              <w:t>45</w:t>
            </w:r>
          </w:p>
        </w:tc>
        <w:tc>
          <w:tcPr>
            <w:tcW w:w="2740" w:type="dxa"/>
          </w:tcPr>
          <w:p w:rsidR="00D6374E" w:rsidRPr="00D6374E" w:rsidRDefault="00D6374E" w:rsidP="00FB5C51">
            <w:pPr>
              <w:spacing w:before="40" w:after="40" w:line="230" w:lineRule="atLeast"/>
              <w:rPr>
                <w:rFonts w:eastAsia="Calibri"/>
              </w:rPr>
            </w:pPr>
            <w:r w:rsidRPr="00D6374E">
              <w:rPr>
                <w:rFonts w:eastAsia="Calibri"/>
              </w:rPr>
              <w:t>limite vers le blanc jaunâtre :</w:t>
            </w:r>
          </w:p>
        </w:tc>
        <w:tc>
          <w:tcPr>
            <w:tcW w:w="2079" w:type="dxa"/>
          </w:tcPr>
          <w:p w:rsidR="00D6374E" w:rsidRPr="00D6374E" w:rsidRDefault="00D6374E" w:rsidP="00FB5C51">
            <w:pPr>
              <w:spacing w:before="40" w:after="40" w:line="230" w:lineRule="atLeast"/>
              <w:rPr>
                <w:rFonts w:eastAsia="Calibri"/>
              </w:rPr>
            </w:pPr>
            <w:r w:rsidRPr="00D6374E">
              <w:rPr>
                <w:rFonts w:eastAsia="Calibri"/>
              </w:rPr>
              <w:t>y = 0,440</w:t>
            </w:r>
          </w:p>
        </w:tc>
      </w:tr>
      <w:tr w:rsidR="00D6374E" w:rsidRPr="00D6374E" w:rsidTr="00DB75DF">
        <w:tc>
          <w:tcPr>
            <w:tcW w:w="1418" w:type="dxa"/>
          </w:tcPr>
          <w:p w:rsidR="00D6374E" w:rsidRPr="00D6374E" w:rsidRDefault="00D6374E" w:rsidP="00FB5C51">
            <w:pPr>
              <w:spacing w:before="40" w:after="40" w:line="230" w:lineRule="atLeast"/>
              <w:rPr>
                <w:rFonts w:eastAsia="Calibri"/>
              </w:rPr>
            </w:pPr>
            <w:r w:rsidRPr="00D6374E">
              <w:rPr>
                <w:rFonts w:eastAsia="Calibri"/>
              </w:rPr>
              <w:t>SY</w:t>
            </w:r>
            <w:r w:rsidRPr="00D6374E">
              <w:rPr>
                <w:rFonts w:eastAsia="Calibri"/>
                <w:vertAlign w:val="subscript"/>
              </w:rPr>
              <w:t>51</w:t>
            </w:r>
          </w:p>
        </w:tc>
        <w:tc>
          <w:tcPr>
            <w:tcW w:w="2740" w:type="dxa"/>
          </w:tcPr>
          <w:p w:rsidR="00D6374E" w:rsidRPr="00D6374E" w:rsidRDefault="00D6374E" w:rsidP="00FB5C51">
            <w:pPr>
              <w:spacing w:before="40" w:after="40" w:line="230" w:lineRule="atLeast"/>
              <w:rPr>
                <w:rFonts w:eastAsia="Calibri"/>
              </w:rPr>
            </w:pPr>
            <w:r w:rsidRPr="00D6374E">
              <w:rPr>
                <w:rFonts w:eastAsia="Calibri"/>
              </w:rPr>
              <w:t>limite vers le blanc :</w:t>
            </w:r>
          </w:p>
        </w:tc>
        <w:tc>
          <w:tcPr>
            <w:tcW w:w="2079" w:type="dxa"/>
          </w:tcPr>
          <w:p w:rsidR="00D6374E" w:rsidRPr="00D6374E" w:rsidRDefault="00D6374E" w:rsidP="00FB5C51">
            <w:pPr>
              <w:spacing w:before="40" w:after="40" w:line="230" w:lineRule="atLeast"/>
              <w:rPr>
                <w:rFonts w:eastAsia="Calibri"/>
              </w:rPr>
            </w:pPr>
            <w:r w:rsidRPr="00D6374E">
              <w:rPr>
                <w:rFonts w:eastAsia="Calibri"/>
              </w:rPr>
              <w:t>y = 0,940 - x</w:t>
            </w:r>
          </w:p>
        </w:tc>
      </w:tr>
    </w:tbl>
    <w:p w:rsidR="00D6374E" w:rsidRPr="00D6374E" w:rsidRDefault="00D6374E" w:rsidP="00FB5C51">
      <w:pPr>
        <w:pStyle w:val="SingleTxtG"/>
        <w:spacing w:before="120" w:line="230" w:lineRule="atLeast"/>
        <w:ind w:left="2268"/>
        <w:rPr>
          <w:rFonts w:eastAsia="Calibri"/>
        </w:rPr>
      </w:pPr>
      <w:r w:rsidRPr="00D6374E">
        <w:rPr>
          <w:rFonts w:eastAsia="Calibri"/>
          <w:lang w:eastAsia="fr-FR"/>
        </w:rPr>
        <w:t>Points d’intersection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D6374E" w:rsidRPr="00D6374E" w:rsidTr="00DB75DF">
        <w:tc>
          <w:tcPr>
            <w:tcW w:w="2079" w:type="dxa"/>
          </w:tcPr>
          <w:p w:rsidR="00D6374E" w:rsidRPr="00D6374E" w:rsidRDefault="00D6374E" w:rsidP="00FB5C51">
            <w:pPr>
              <w:spacing w:before="40" w:after="40" w:line="230" w:lineRule="atLeast"/>
              <w:rPr>
                <w:rFonts w:eastAsia="Calibri"/>
              </w:rPr>
            </w:pPr>
          </w:p>
        </w:tc>
        <w:tc>
          <w:tcPr>
            <w:tcW w:w="2079" w:type="dxa"/>
            <w:vAlign w:val="bottom"/>
          </w:tcPr>
          <w:p w:rsidR="00D6374E" w:rsidRPr="00D6374E" w:rsidRDefault="00D6374E" w:rsidP="00FB5C51">
            <w:pPr>
              <w:spacing w:before="40" w:after="40" w:line="230" w:lineRule="atLeast"/>
              <w:rPr>
                <w:rFonts w:eastAsia="Calibri"/>
              </w:rPr>
            </w:pPr>
            <w:r w:rsidRPr="00D6374E">
              <w:rPr>
                <w:rFonts w:eastAsia="Calibri"/>
              </w:rPr>
              <w:t>x</w:t>
            </w:r>
          </w:p>
        </w:tc>
        <w:tc>
          <w:tcPr>
            <w:tcW w:w="2080" w:type="dxa"/>
            <w:vAlign w:val="bottom"/>
          </w:tcPr>
          <w:p w:rsidR="00D6374E" w:rsidRPr="00D6374E" w:rsidRDefault="00D6374E" w:rsidP="00FB5C51">
            <w:pPr>
              <w:spacing w:before="40" w:after="40" w:line="230" w:lineRule="atLeast"/>
              <w:rPr>
                <w:rFonts w:eastAsia="Calibri"/>
              </w:rPr>
            </w:pPr>
            <w:r w:rsidRPr="00D6374E">
              <w:rPr>
                <w:rFonts w:eastAsia="Calibri"/>
              </w:rPr>
              <w:t>y</w:t>
            </w:r>
          </w:p>
        </w:tc>
      </w:tr>
      <w:tr w:rsidR="00D6374E" w:rsidRPr="00D6374E" w:rsidTr="00DB75DF">
        <w:tc>
          <w:tcPr>
            <w:tcW w:w="2079" w:type="dxa"/>
          </w:tcPr>
          <w:p w:rsidR="00D6374E" w:rsidRPr="00D6374E" w:rsidRDefault="00D6374E" w:rsidP="00FB5C51">
            <w:pPr>
              <w:spacing w:before="40" w:after="40" w:line="230" w:lineRule="atLeast"/>
              <w:rPr>
                <w:rFonts w:eastAsia="Calibri"/>
              </w:rPr>
            </w:pPr>
            <w:r w:rsidRPr="00D6374E">
              <w:rPr>
                <w:rFonts w:eastAsia="Calibri"/>
              </w:rPr>
              <w:t>SY</w:t>
            </w:r>
            <w:r w:rsidRPr="00D6374E">
              <w:rPr>
                <w:rFonts w:eastAsia="Calibri"/>
                <w:vertAlign w:val="subscript"/>
              </w:rPr>
              <w:t>1</w:t>
            </w:r>
          </w:p>
        </w:tc>
        <w:tc>
          <w:tcPr>
            <w:tcW w:w="2079" w:type="dxa"/>
            <w:vAlign w:val="bottom"/>
          </w:tcPr>
          <w:p w:rsidR="00D6374E" w:rsidRPr="00D6374E" w:rsidRDefault="00D6374E" w:rsidP="00FB5C51">
            <w:pPr>
              <w:spacing w:before="40" w:after="40" w:line="230" w:lineRule="atLeast"/>
              <w:rPr>
                <w:rFonts w:eastAsia="Calibri"/>
              </w:rPr>
            </w:pPr>
            <w:r w:rsidRPr="00D6374E">
              <w:rPr>
                <w:rFonts w:eastAsia="Calibri"/>
              </w:rPr>
              <w:t>0,454</w:t>
            </w:r>
          </w:p>
        </w:tc>
        <w:tc>
          <w:tcPr>
            <w:tcW w:w="2080" w:type="dxa"/>
            <w:vAlign w:val="bottom"/>
          </w:tcPr>
          <w:p w:rsidR="00D6374E" w:rsidRPr="00D6374E" w:rsidRDefault="00D6374E" w:rsidP="00FB5C51">
            <w:pPr>
              <w:spacing w:before="40" w:after="40" w:line="230" w:lineRule="atLeast"/>
              <w:rPr>
                <w:rFonts w:eastAsia="Calibri"/>
              </w:rPr>
            </w:pPr>
            <w:r w:rsidRPr="00D6374E">
              <w:rPr>
                <w:rFonts w:eastAsia="Calibri"/>
              </w:rPr>
              <w:t>0,486</w:t>
            </w:r>
          </w:p>
        </w:tc>
      </w:tr>
      <w:tr w:rsidR="00D6374E" w:rsidRPr="00D6374E" w:rsidTr="00DB75DF">
        <w:tc>
          <w:tcPr>
            <w:tcW w:w="2079" w:type="dxa"/>
          </w:tcPr>
          <w:p w:rsidR="00D6374E" w:rsidRPr="00D6374E" w:rsidRDefault="00D6374E" w:rsidP="00FB5C51">
            <w:pPr>
              <w:spacing w:before="40" w:after="40" w:line="230" w:lineRule="atLeast"/>
              <w:rPr>
                <w:rFonts w:eastAsia="Calibri"/>
              </w:rPr>
            </w:pPr>
            <w:r w:rsidRPr="00D6374E">
              <w:rPr>
                <w:rFonts w:eastAsia="Calibri"/>
              </w:rPr>
              <w:t>SY</w:t>
            </w:r>
            <w:r w:rsidRPr="00D6374E">
              <w:rPr>
                <w:rFonts w:eastAsia="Calibri"/>
                <w:vertAlign w:val="subscript"/>
              </w:rPr>
              <w:t>2</w:t>
            </w:r>
          </w:p>
        </w:tc>
        <w:tc>
          <w:tcPr>
            <w:tcW w:w="2079" w:type="dxa"/>
            <w:vAlign w:val="bottom"/>
          </w:tcPr>
          <w:p w:rsidR="00D6374E" w:rsidRPr="00D6374E" w:rsidRDefault="00D6374E" w:rsidP="00FB5C51">
            <w:pPr>
              <w:spacing w:before="40" w:after="40" w:line="230" w:lineRule="atLeast"/>
              <w:rPr>
                <w:rFonts w:eastAsia="Calibri"/>
              </w:rPr>
            </w:pPr>
            <w:r w:rsidRPr="00D6374E">
              <w:rPr>
                <w:rFonts w:eastAsia="Calibri"/>
              </w:rPr>
              <w:t>0,480</w:t>
            </w:r>
          </w:p>
        </w:tc>
        <w:tc>
          <w:tcPr>
            <w:tcW w:w="2080" w:type="dxa"/>
            <w:vAlign w:val="bottom"/>
          </w:tcPr>
          <w:p w:rsidR="00D6374E" w:rsidRPr="00D6374E" w:rsidRDefault="00D6374E" w:rsidP="00FB5C51">
            <w:pPr>
              <w:spacing w:before="40" w:after="40" w:line="230" w:lineRule="atLeast"/>
              <w:rPr>
                <w:rFonts w:eastAsia="Calibri"/>
              </w:rPr>
            </w:pPr>
            <w:r w:rsidRPr="00D6374E">
              <w:rPr>
                <w:rFonts w:eastAsia="Calibri"/>
              </w:rPr>
              <w:t>0,519</w:t>
            </w:r>
          </w:p>
        </w:tc>
      </w:tr>
      <w:tr w:rsidR="00D6374E" w:rsidRPr="00D6374E" w:rsidTr="00DB75DF">
        <w:tc>
          <w:tcPr>
            <w:tcW w:w="2079" w:type="dxa"/>
          </w:tcPr>
          <w:p w:rsidR="00D6374E" w:rsidRPr="00D6374E" w:rsidRDefault="00D6374E" w:rsidP="00FB5C51">
            <w:pPr>
              <w:spacing w:before="40" w:after="40" w:line="230" w:lineRule="atLeast"/>
              <w:rPr>
                <w:rFonts w:eastAsia="Calibri"/>
              </w:rPr>
            </w:pPr>
            <w:r w:rsidRPr="00D6374E">
              <w:rPr>
                <w:rFonts w:eastAsia="Calibri"/>
              </w:rPr>
              <w:t>SY</w:t>
            </w:r>
            <w:r w:rsidRPr="00D6374E">
              <w:rPr>
                <w:rFonts w:eastAsia="Calibri"/>
                <w:vertAlign w:val="subscript"/>
              </w:rPr>
              <w:t>3</w:t>
            </w:r>
          </w:p>
        </w:tc>
        <w:tc>
          <w:tcPr>
            <w:tcW w:w="2079" w:type="dxa"/>
            <w:vAlign w:val="bottom"/>
          </w:tcPr>
          <w:p w:rsidR="00D6374E" w:rsidRPr="00D6374E" w:rsidRDefault="00D6374E" w:rsidP="00FB5C51">
            <w:pPr>
              <w:spacing w:before="40" w:after="40" w:line="230" w:lineRule="atLeast"/>
              <w:rPr>
                <w:rFonts w:eastAsia="Calibri"/>
              </w:rPr>
            </w:pPr>
            <w:r w:rsidRPr="00D6374E">
              <w:rPr>
                <w:rFonts w:eastAsia="Calibri"/>
              </w:rPr>
              <w:t>0,545</w:t>
            </w:r>
          </w:p>
        </w:tc>
        <w:tc>
          <w:tcPr>
            <w:tcW w:w="2080" w:type="dxa"/>
            <w:vAlign w:val="bottom"/>
          </w:tcPr>
          <w:p w:rsidR="00D6374E" w:rsidRPr="00D6374E" w:rsidRDefault="00D6374E" w:rsidP="00FB5C51">
            <w:pPr>
              <w:spacing w:before="40" w:after="40" w:line="230" w:lineRule="atLeast"/>
              <w:rPr>
                <w:rFonts w:eastAsia="Calibri"/>
              </w:rPr>
            </w:pPr>
            <w:r w:rsidRPr="00D6374E">
              <w:rPr>
                <w:rFonts w:eastAsia="Calibri"/>
              </w:rPr>
              <w:t>0,454</w:t>
            </w:r>
          </w:p>
        </w:tc>
      </w:tr>
      <w:tr w:rsidR="00D6374E" w:rsidRPr="00D6374E" w:rsidTr="00DB75DF">
        <w:tc>
          <w:tcPr>
            <w:tcW w:w="2079" w:type="dxa"/>
          </w:tcPr>
          <w:p w:rsidR="00D6374E" w:rsidRPr="00D6374E" w:rsidRDefault="00D6374E" w:rsidP="00FB5C51">
            <w:pPr>
              <w:spacing w:before="40" w:after="40" w:line="230" w:lineRule="atLeast"/>
              <w:rPr>
                <w:rFonts w:eastAsia="Calibri"/>
              </w:rPr>
            </w:pPr>
            <w:r w:rsidRPr="00D6374E">
              <w:rPr>
                <w:rFonts w:eastAsia="Calibri"/>
              </w:rPr>
              <w:t>SY</w:t>
            </w:r>
            <w:r w:rsidRPr="00D6374E">
              <w:rPr>
                <w:rFonts w:eastAsia="Calibri"/>
                <w:vertAlign w:val="subscript"/>
              </w:rPr>
              <w:t>4</w:t>
            </w:r>
          </w:p>
        </w:tc>
        <w:tc>
          <w:tcPr>
            <w:tcW w:w="2079" w:type="dxa"/>
            <w:vAlign w:val="bottom"/>
          </w:tcPr>
          <w:p w:rsidR="00D6374E" w:rsidRPr="00D6374E" w:rsidRDefault="00D6374E" w:rsidP="00FB5C51">
            <w:pPr>
              <w:spacing w:before="40" w:after="40" w:line="230" w:lineRule="atLeast"/>
              <w:rPr>
                <w:rFonts w:eastAsia="Calibri"/>
              </w:rPr>
            </w:pPr>
            <w:r w:rsidRPr="00D6374E">
              <w:rPr>
                <w:rFonts w:eastAsia="Calibri"/>
              </w:rPr>
              <w:t>0,521</w:t>
            </w:r>
          </w:p>
        </w:tc>
        <w:tc>
          <w:tcPr>
            <w:tcW w:w="2080" w:type="dxa"/>
            <w:vAlign w:val="bottom"/>
          </w:tcPr>
          <w:p w:rsidR="00D6374E" w:rsidRPr="00D6374E" w:rsidRDefault="00D6374E" w:rsidP="00FB5C51">
            <w:pPr>
              <w:spacing w:before="40" w:after="40" w:line="230" w:lineRule="atLeast"/>
              <w:rPr>
                <w:rFonts w:eastAsia="Calibri"/>
              </w:rPr>
            </w:pPr>
            <w:r w:rsidRPr="00D6374E">
              <w:rPr>
                <w:rFonts w:eastAsia="Calibri"/>
              </w:rPr>
              <w:t>0,440</w:t>
            </w:r>
          </w:p>
        </w:tc>
      </w:tr>
      <w:tr w:rsidR="00D6374E" w:rsidRPr="00D6374E" w:rsidTr="00DB75DF">
        <w:tc>
          <w:tcPr>
            <w:tcW w:w="2079" w:type="dxa"/>
          </w:tcPr>
          <w:p w:rsidR="00D6374E" w:rsidRPr="00D6374E" w:rsidRDefault="00D6374E" w:rsidP="00FB5C51">
            <w:pPr>
              <w:spacing w:before="40" w:after="40" w:line="230" w:lineRule="atLeast"/>
              <w:rPr>
                <w:rFonts w:eastAsia="Calibri"/>
              </w:rPr>
            </w:pPr>
            <w:r w:rsidRPr="00D6374E">
              <w:rPr>
                <w:rFonts w:eastAsia="Calibri"/>
              </w:rPr>
              <w:t>SY</w:t>
            </w:r>
            <w:r w:rsidRPr="00D6374E">
              <w:rPr>
                <w:rFonts w:eastAsia="Calibri"/>
                <w:vertAlign w:val="subscript"/>
              </w:rPr>
              <w:t>5</w:t>
            </w:r>
          </w:p>
        </w:tc>
        <w:tc>
          <w:tcPr>
            <w:tcW w:w="2079" w:type="dxa"/>
            <w:vAlign w:val="bottom"/>
          </w:tcPr>
          <w:p w:rsidR="00D6374E" w:rsidRPr="00D6374E" w:rsidRDefault="00D6374E" w:rsidP="00FB5C51">
            <w:pPr>
              <w:spacing w:before="40" w:after="40" w:line="230" w:lineRule="atLeast"/>
              <w:rPr>
                <w:rFonts w:eastAsia="Calibri"/>
              </w:rPr>
            </w:pPr>
            <w:r w:rsidRPr="00D6374E">
              <w:rPr>
                <w:rFonts w:eastAsia="Calibri"/>
              </w:rPr>
              <w:t>0,500</w:t>
            </w:r>
          </w:p>
        </w:tc>
        <w:tc>
          <w:tcPr>
            <w:tcW w:w="2080" w:type="dxa"/>
            <w:vAlign w:val="bottom"/>
          </w:tcPr>
          <w:p w:rsidR="00D6374E" w:rsidRPr="00D6374E" w:rsidRDefault="00D6374E" w:rsidP="00FB5C51">
            <w:pPr>
              <w:spacing w:before="40" w:after="40" w:line="230" w:lineRule="atLeast"/>
              <w:rPr>
                <w:rFonts w:eastAsia="Calibri"/>
              </w:rPr>
            </w:pPr>
            <w:r w:rsidRPr="00D6374E">
              <w:rPr>
                <w:rFonts w:eastAsia="Calibri"/>
              </w:rPr>
              <w:t>0,440</w:t>
            </w:r>
          </w:p>
        </w:tc>
      </w:tr>
    </w:tbl>
    <w:p w:rsidR="00D6374E" w:rsidRPr="00D6374E" w:rsidRDefault="00D6374E" w:rsidP="00505AC3">
      <w:pPr>
        <w:pStyle w:val="SingleTxtG"/>
        <w:spacing w:before="120"/>
        <w:ind w:left="2268" w:hanging="1134"/>
        <w:rPr>
          <w:rFonts w:eastAsia="Calibri"/>
        </w:rPr>
      </w:pPr>
      <w:r w:rsidRPr="00D6374E">
        <w:rPr>
          <w:rFonts w:eastAsia="Calibri"/>
        </w:rPr>
        <w:lastRenderedPageBreak/>
        <w:t>2.11.1.3</w:t>
      </w:r>
      <w:r w:rsidRPr="00D6374E">
        <w:rPr>
          <w:rFonts w:eastAsia="Calibri"/>
        </w:rPr>
        <w:tab/>
      </w:r>
      <w:r w:rsidRPr="00D6374E">
        <w:rPr>
          <w:rFonts w:eastAsia="Calibri"/>
          <w:lang w:eastAsia="fr-FR"/>
        </w:rPr>
        <w:t>Par “</w:t>
      </w:r>
      <w:r w:rsidRPr="00D6374E">
        <w:rPr>
          <w:rFonts w:eastAsia="Calibri"/>
          <w:i/>
          <w:lang w:eastAsia="fr-FR"/>
        </w:rPr>
        <w:t>jaune-auto</w:t>
      </w:r>
      <w:r w:rsidRPr="00D6374E">
        <w:rPr>
          <w:rFonts w:eastAsia="Calibri"/>
          <w:lang w:eastAsia="fr-FR"/>
        </w:rPr>
        <w:t xml:space="preserve">”, on entend les coordonnées chromatiques </w:t>
      </w:r>
      <w:r w:rsidRPr="00D6374E">
        <w:rPr>
          <w:rFonts w:eastAsia="Calibri"/>
        </w:rPr>
        <w:t>(x, y)</w:t>
      </w:r>
      <w:r w:rsidRPr="00D6374E">
        <w:rPr>
          <w:rFonts w:eastAsia="Calibri"/>
          <w:sz w:val="18"/>
          <w:szCs w:val="18"/>
          <w:vertAlign w:val="superscript"/>
        </w:rPr>
        <w:t>4</w:t>
      </w:r>
      <w:r w:rsidRPr="00D6374E">
        <w:rPr>
          <w:rFonts w:eastAsia="Calibri"/>
        </w:rPr>
        <w:t xml:space="preserve"> </w:t>
      </w:r>
      <w:r w:rsidRPr="00D6374E">
        <w:rPr>
          <w:rFonts w:eastAsia="Calibri"/>
          <w:lang w:eastAsia="fr-FR"/>
        </w:rPr>
        <w:t>de la lumière émise comprises dans les zones de chromaticité définies par les limites suivantes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A</w:t>
            </w:r>
            <w:r w:rsidRPr="00D6374E">
              <w:rPr>
                <w:rFonts w:eastAsia="Calibri"/>
                <w:vertAlign w:val="subscript"/>
              </w:rPr>
              <w:t>12</w:t>
            </w:r>
          </w:p>
        </w:tc>
        <w:tc>
          <w:tcPr>
            <w:tcW w:w="2079" w:type="dxa"/>
          </w:tcPr>
          <w:p w:rsidR="00D6374E" w:rsidRPr="00D6374E" w:rsidRDefault="00D6374E" w:rsidP="00D6374E">
            <w:pPr>
              <w:spacing w:before="40" w:after="40"/>
              <w:rPr>
                <w:rFonts w:eastAsia="Calibri"/>
              </w:rPr>
            </w:pPr>
            <w:r w:rsidRPr="00D6374E">
              <w:rPr>
                <w:rFonts w:eastAsia="Calibri"/>
              </w:rPr>
              <w:t>limite vers le vert :</w:t>
            </w:r>
          </w:p>
        </w:tc>
        <w:tc>
          <w:tcPr>
            <w:tcW w:w="2080" w:type="dxa"/>
          </w:tcPr>
          <w:p w:rsidR="00D6374E" w:rsidRPr="00D6374E" w:rsidRDefault="00D6374E" w:rsidP="00D6374E">
            <w:pPr>
              <w:spacing w:before="40" w:after="40"/>
              <w:rPr>
                <w:rFonts w:eastAsia="Calibri"/>
              </w:rPr>
            </w:pPr>
            <w:r w:rsidRPr="00D6374E">
              <w:rPr>
                <w:rFonts w:eastAsia="Calibri"/>
              </w:rPr>
              <w:t>y = x - 0,120</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A</w:t>
            </w:r>
            <w:r w:rsidRPr="00D6374E">
              <w:rPr>
                <w:rFonts w:eastAsia="Calibri"/>
                <w:vertAlign w:val="subscript"/>
              </w:rPr>
              <w:t>23</w:t>
            </w:r>
          </w:p>
        </w:tc>
        <w:tc>
          <w:tcPr>
            <w:tcW w:w="2079" w:type="dxa"/>
          </w:tcPr>
          <w:p w:rsidR="00D6374E" w:rsidRPr="00D6374E" w:rsidRDefault="00D6374E" w:rsidP="00D6374E">
            <w:pPr>
              <w:spacing w:before="40" w:after="40"/>
              <w:rPr>
                <w:rFonts w:eastAsia="Calibri"/>
              </w:rPr>
            </w:pPr>
            <w:r w:rsidRPr="00D6374E">
              <w:rPr>
                <w:rFonts w:eastAsia="Calibri"/>
              </w:rPr>
              <w:t>lieu spectral</w:t>
            </w:r>
          </w:p>
        </w:tc>
        <w:tc>
          <w:tcPr>
            <w:tcW w:w="2080" w:type="dxa"/>
          </w:tcPr>
          <w:p w:rsidR="00D6374E" w:rsidRPr="00D6374E" w:rsidRDefault="00D6374E" w:rsidP="00D6374E">
            <w:pPr>
              <w:spacing w:before="40" w:after="40"/>
              <w:rPr>
                <w:rFonts w:eastAsia="Calibri"/>
              </w:rPr>
            </w:pP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A</w:t>
            </w:r>
            <w:r w:rsidRPr="00D6374E">
              <w:rPr>
                <w:rFonts w:eastAsia="Calibri"/>
                <w:vertAlign w:val="subscript"/>
              </w:rPr>
              <w:t>34</w:t>
            </w:r>
          </w:p>
        </w:tc>
        <w:tc>
          <w:tcPr>
            <w:tcW w:w="2079" w:type="dxa"/>
          </w:tcPr>
          <w:p w:rsidR="00D6374E" w:rsidRPr="00D6374E" w:rsidRDefault="00D6374E" w:rsidP="00D6374E">
            <w:pPr>
              <w:spacing w:before="40" w:after="40"/>
              <w:rPr>
                <w:rFonts w:eastAsia="Calibri"/>
              </w:rPr>
            </w:pPr>
            <w:r w:rsidRPr="00D6374E">
              <w:rPr>
                <w:rFonts w:eastAsia="Calibri"/>
              </w:rPr>
              <w:t>limite vers le rouge :</w:t>
            </w:r>
          </w:p>
        </w:tc>
        <w:tc>
          <w:tcPr>
            <w:tcW w:w="2080" w:type="dxa"/>
          </w:tcPr>
          <w:p w:rsidR="00D6374E" w:rsidRPr="00D6374E" w:rsidRDefault="00D6374E" w:rsidP="00D6374E">
            <w:pPr>
              <w:spacing w:before="40" w:after="40"/>
              <w:rPr>
                <w:rFonts w:eastAsia="Calibri"/>
              </w:rPr>
            </w:pPr>
            <w:r w:rsidRPr="00D6374E">
              <w:rPr>
                <w:rFonts w:eastAsia="Calibri"/>
              </w:rPr>
              <w:t>y = 0,390</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A</w:t>
            </w:r>
            <w:r w:rsidRPr="00D6374E">
              <w:rPr>
                <w:rFonts w:eastAsia="Calibri"/>
                <w:vertAlign w:val="subscript"/>
              </w:rPr>
              <w:t>41</w:t>
            </w:r>
          </w:p>
        </w:tc>
        <w:tc>
          <w:tcPr>
            <w:tcW w:w="2079" w:type="dxa"/>
          </w:tcPr>
          <w:p w:rsidR="00D6374E" w:rsidRPr="00D6374E" w:rsidRDefault="00D6374E" w:rsidP="00D6374E">
            <w:pPr>
              <w:spacing w:before="40" w:after="40"/>
              <w:rPr>
                <w:rFonts w:eastAsia="Calibri"/>
              </w:rPr>
            </w:pPr>
            <w:r w:rsidRPr="00D6374E">
              <w:rPr>
                <w:rFonts w:eastAsia="Calibri"/>
              </w:rPr>
              <w:t>limite vers le blanc :</w:t>
            </w:r>
          </w:p>
        </w:tc>
        <w:tc>
          <w:tcPr>
            <w:tcW w:w="2080" w:type="dxa"/>
          </w:tcPr>
          <w:p w:rsidR="00D6374E" w:rsidRPr="00D6374E" w:rsidRDefault="00D6374E" w:rsidP="00D6374E">
            <w:pPr>
              <w:spacing w:before="40" w:after="40"/>
              <w:rPr>
                <w:rFonts w:eastAsia="Calibri"/>
              </w:rPr>
            </w:pPr>
            <w:r w:rsidRPr="00D6374E">
              <w:rPr>
                <w:rFonts w:eastAsia="Calibri"/>
              </w:rPr>
              <w:t>y = 0,790 - 0,670 x</w:t>
            </w:r>
          </w:p>
        </w:tc>
      </w:tr>
    </w:tbl>
    <w:p w:rsidR="00D6374E" w:rsidRPr="00D6374E" w:rsidRDefault="00D6374E" w:rsidP="00505AC3">
      <w:pPr>
        <w:pStyle w:val="SingleTxtG"/>
        <w:spacing w:before="120"/>
        <w:ind w:left="2268"/>
        <w:rPr>
          <w:rFonts w:eastAsia="Calibri"/>
        </w:rPr>
      </w:pPr>
      <w:r w:rsidRPr="00D6374E">
        <w:rPr>
          <w:rFonts w:eastAsia="Calibri"/>
          <w:lang w:eastAsia="fr-FR"/>
        </w:rPr>
        <w:t>Points d’intersection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D6374E" w:rsidRPr="00D6374E" w:rsidTr="00DB75DF">
        <w:tc>
          <w:tcPr>
            <w:tcW w:w="2079" w:type="dxa"/>
          </w:tcPr>
          <w:p w:rsidR="00D6374E" w:rsidRPr="00D6374E" w:rsidRDefault="00D6374E" w:rsidP="00D6374E">
            <w:pPr>
              <w:spacing w:before="40" w:after="40"/>
              <w:rPr>
                <w:rFonts w:eastAsia="Calibri"/>
              </w:rPr>
            </w:pPr>
          </w:p>
        </w:tc>
        <w:tc>
          <w:tcPr>
            <w:tcW w:w="2079" w:type="dxa"/>
            <w:vAlign w:val="bottom"/>
          </w:tcPr>
          <w:p w:rsidR="00D6374E" w:rsidRPr="00D6374E" w:rsidRDefault="00D6374E" w:rsidP="00D6374E">
            <w:pPr>
              <w:spacing w:before="40" w:after="40"/>
              <w:rPr>
                <w:rFonts w:eastAsia="Calibri"/>
              </w:rPr>
            </w:pPr>
            <w:r w:rsidRPr="00D6374E">
              <w:rPr>
                <w:rFonts w:eastAsia="Calibri"/>
              </w:rPr>
              <w:t>x</w:t>
            </w:r>
          </w:p>
        </w:tc>
        <w:tc>
          <w:tcPr>
            <w:tcW w:w="2080" w:type="dxa"/>
            <w:vAlign w:val="bottom"/>
          </w:tcPr>
          <w:p w:rsidR="00D6374E" w:rsidRPr="00D6374E" w:rsidRDefault="00D6374E" w:rsidP="00D6374E">
            <w:pPr>
              <w:spacing w:before="40" w:after="40"/>
              <w:rPr>
                <w:rFonts w:eastAsia="Calibri"/>
              </w:rPr>
            </w:pPr>
            <w:r w:rsidRPr="00D6374E">
              <w:rPr>
                <w:rFonts w:eastAsia="Calibri"/>
              </w:rPr>
              <w:t>y</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A</w:t>
            </w:r>
            <w:r w:rsidRPr="00D6374E">
              <w:rPr>
                <w:rFonts w:eastAsia="Calibri"/>
                <w:vertAlign w:val="subscript"/>
              </w:rPr>
              <w:t>1</w:t>
            </w:r>
          </w:p>
        </w:tc>
        <w:tc>
          <w:tcPr>
            <w:tcW w:w="2079" w:type="dxa"/>
            <w:vAlign w:val="bottom"/>
          </w:tcPr>
          <w:p w:rsidR="00D6374E" w:rsidRPr="00D6374E" w:rsidRDefault="00D6374E" w:rsidP="00D6374E">
            <w:pPr>
              <w:spacing w:before="40" w:after="40"/>
              <w:rPr>
                <w:rFonts w:eastAsia="Calibri"/>
              </w:rPr>
            </w:pPr>
            <w:r w:rsidRPr="00D6374E">
              <w:rPr>
                <w:rFonts w:eastAsia="Calibri"/>
              </w:rPr>
              <w:t>0,545</w:t>
            </w:r>
          </w:p>
        </w:tc>
        <w:tc>
          <w:tcPr>
            <w:tcW w:w="2080" w:type="dxa"/>
            <w:vAlign w:val="bottom"/>
          </w:tcPr>
          <w:p w:rsidR="00D6374E" w:rsidRPr="00D6374E" w:rsidRDefault="00D6374E" w:rsidP="00D6374E">
            <w:pPr>
              <w:spacing w:before="40" w:after="40"/>
              <w:rPr>
                <w:rFonts w:eastAsia="Calibri"/>
              </w:rPr>
            </w:pPr>
            <w:r w:rsidRPr="00D6374E">
              <w:rPr>
                <w:rFonts w:eastAsia="Calibri"/>
              </w:rPr>
              <w:t>0,425</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A</w:t>
            </w:r>
            <w:r w:rsidRPr="00D6374E">
              <w:rPr>
                <w:rFonts w:eastAsia="Calibri"/>
                <w:vertAlign w:val="subscript"/>
              </w:rPr>
              <w:t>2</w:t>
            </w:r>
          </w:p>
        </w:tc>
        <w:tc>
          <w:tcPr>
            <w:tcW w:w="2079" w:type="dxa"/>
            <w:vAlign w:val="bottom"/>
          </w:tcPr>
          <w:p w:rsidR="00D6374E" w:rsidRPr="00D6374E" w:rsidRDefault="00D6374E" w:rsidP="00D6374E">
            <w:pPr>
              <w:spacing w:before="40" w:after="40"/>
              <w:rPr>
                <w:rFonts w:eastAsia="Calibri"/>
              </w:rPr>
            </w:pPr>
            <w:r w:rsidRPr="00D6374E">
              <w:rPr>
                <w:rFonts w:eastAsia="Calibri"/>
              </w:rPr>
              <w:t>0,560</w:t>
            </w:r>
          </w:p>
        </w:tc>
        <w:tc>
          <w:tcPr>
            <w:tcW w:w="2080" w:type="dxa"/>
            <w:vAlign w:val="bottom"/>
          </w:tcPr>
          <w:p w:rsidR="00D6374E" w:rsidRPr="00D6374E" w:rsidRDefault="00D6374E" w:rsidP="00D6374E">
            <w:pPr>
              <w:spacing w:before="40" w:after="40"/>
              <w:rPr>
                <w:rFonts w:eastAsia="Calibri"/>
              </w:rPr>
            </w:pPr>
            <w:r w:rsidRPr="00D6374E">
              <w:rPr>
                <w:rFonts w:eastAsia="Calibri"/>
              </w:rPr>
              <w:t>0,440</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A</w:t>
            </w:r>
            <w:r w:rsidRPr="00D6374E">
              <w:rPr>
                <w:rFonts w:eastAsia="Calibri"/>
                <w:vertAlign w:val="subscript"/>
              </w:rPr>
              <w:t>3</w:t>
            </w:r>
          </w:p>
        </w:tc>
        <w:tc>
          <w:tcPr>
            <w:tcW w:w="2079" w:type="dxa"/>
            <w:vAlign w:val="bottom"/>
          </w:tcPr>
          <w:p w:rsidR="00D6374E" w:rsidRPr="00D6374E" w:rsidRDefault="00D6374E" w:rsidP="00D6374E">
            <w:pPr>
              <w:spacing w:before="40" w:after="40"/>
              <w:rPr>
                <w:rFonts w:eastAsia="Calibri"/>
              </w:rPr>
            </w:pPr>
            <w:r w:rsidRPr="00D6374E">
              <w:rPr>
                <w:rFonts w:eastAsia="Calibri"/>
              </w:rPr>
              <w:t>0,609</w:t>
            </w:r>
          </w:p>
        </w:tc>
        <w:tc>
          <w:tcPr>
            <w:tcW w:w="2080" w:type="dxa"/>
            <w:vAlign w:val="bottom"/>
          </w:tcPr>
          <w:p w:rsidR="00D6374E" w:rsidRPr="00D6374E" w:rsidRDefault="00D6374E" w:rsidP="00D6374E">
            <w:pPr>
              <w:spacing w:before="40" w:after="40"/>
              <w:rPr>
                <w:rFonts w:eastAsia="Calibri"/>
              </w:rPr>
            </w:pPr>
            <w:r w:rsidRPr="00D6374E">
              <w:rPr>
                <w:rFonts w:eastAsia="Calibri"/>
              </w:rPr>
              <w:t>0,390</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A</w:t>
            </w:r>
            <w:r w:rsidRPr="00D6374E">
              <w:rPr>
                <w:rFonts w:eastAsia="Calibri"/>
                <w:vertAlign w:val="subscript"/>
              </w:rPr>
              <w:t>4</w:t>
            </w:r>
          </w:p>
        </w:tc>
        <w:tc>
          <w:tcPr>
            <w:tcW w:w="2079" w:type="dxa"/>
            <w:vAlign w:val="bottom"/>
          </w:tcPr>
          <w:p w:rsidR="00D6374E" w:rsidRPr="00D6374E" w:rsidRDefault="00D6374E" w:rsidP="00D6374E">
            <w:pPr>
              <w:spacing w:before="40" w:after="40"/>
              <w:rPr>
                <w:rFonts w:eastAsia="Calibri"/>
              </w:rPr>
            </w:pPr>
            <w:r w:rsidRPr="00D6374E">
              <w:rPr>
                <w:rFonts w:eastAsia="Calibri"/>
              </w:rPr>
              <w:t>0,597</w:t>
            </w:r>
          </w:p>
        </w:tc>
        <w:tc>
          <w:tcPr>
            <w:tcW w:w="2080" w:type="dxa"/>
            <w:vAlign w:val="bottom"/>
          </w:tcPr>
          <w:p w:rsidR="00D6374E" w:rsidRPr="00D6374E" w:rsidRDefault="00D6374E" w:rsidP="00D6374E">
            <w:pPr>
              <w:spacing w:before="40" w:after="40"/>
              <w:rPr>
                <w:rFonts w:eastAsia="Calibri"/>
              </w:rPr>
            </w:pPr>
            <w:r w:rsidRPr="00D6374E">
              <w:rPr>
                <w:rFonts w:eastAsia="Calibri"/>
              </w:rPr>
              <w:t>0,390</w:t>
            </w:r>
          </w:p>
        </w:tc>
      </w:tr>
    </w:tbl>
    <w:p w:rsidR="00D6374E" w:rsidRPr="00D6374E" w:rsidRDefault="00D6374E" w:rsidP="00505AC3">
      <w:pPr>
        <w:pStyle w:val="SingleTxtG"/>
        <w:spacing w:before="120"/>
        <w:ind w:left="2268" w:hanging="1134"/>
        <w:rPr>
          <w:rFonts w:eastAsia="Calibri"/>
        </w:rPr>
      </w:pPr>
      <w:r w:rsidRPr="00D6374E">
        <w:rPr>
          <w:rFonts w:eastAsia="Calibri"/>
        </w:rPr>
        <w:t>2.11.1.4</w:t>
      </w:r>
      <w:r w:rsidRPr="00D6374E">
        <w:rPr>
          <w:rFonts w:eastAsia="Calibri"/>
        </w:rPr>
        <w:tab/>
      </w:r>
      <w:r w:rsidRPr="00D6374E">
        <w:rPr>
          <w:rFonts w:eastAsia="Calibri"/>
          <w:spacing w:val="-3"/>
          <w:lang w:eastAsia="fr-FR"/>
        </w:rPr>
        <w:t>Par “</w:t>
      </w:r>
      <w:r w:rsidRPr="00D6374E">
        <w:rPr>
          <w:rFonts w:eastAsia="Calibri"/>
          <w:i/>
          <w:spacing w:val="-3"/>
          <w:lang w:eastAsia="fr-FR"/>
        </w:rPr>
        <w:t>rouge</w:t>
      </w:r>
      <w:r w:rsidRPr="00D6374E">
        <w:rPr>
          <w:rFonts w:eastAsia="Calibri"/>
          <w:lang w:eastAsia="fr-FR"/>
        </w:rPr>
        <w:t>”</w:t>
      </w:r>
      <w:r w:rsidRPr="00D6374E">
        <w:rPr>
          <w:rFonts w:eastAsia="Calibri"/>
          <w:spacing w:val="-3"/>
          <w:lang w:eastAsia="fr-FR"/>
        </w:rPr>
        <w:t xml:space="preserve">, on entend les coordonnées chromatiques </w:t>
      </w:r>
      <w:r w:rsidRPr="00D6374E">
        <w:rPr>
          <w:rFonts w:eastAsia="Calibri"/>
          <w:spacing w:val="-3"/>
        </w:rPr>
        <w:t>(x, y)</w:t>
      </w:r>
      <w:r w:rsidRPr="00D6374E">
        <w:rPr>
          <w:rFonts w:eastAsia="Calibri"/>
          <w:spacing w:val="-3"/>
          <w:sz w:val="18"/>
          <w:szCs w:val="18"/>
          <w:vertAlign w:val="superscript"/>
        </w:rPr>
        <w:t>4</w:t>
      </w:r>
      <w:r w:rsidRPr="00D6374E">
        <w:rPr>
          <w:rFonts w:eastAsia="Calibri"/>
          <w:spacing w:val="-3"/>
        </w:rPr>
        <w:t xml:space="preserve"> </w:t>
      </w:r>
      <w:r w:rsidRPr="00D6374E">
        <w:rPr>
          <w:rFonts w:eastAsia="Calibri"/>
          <w:spacing w:val="-3"/>
          <w:lang w:eastAsia="fr-FR"/>
        </w:rPr>
        <w:t>de la lumière émise comprises dans les zones de chromaticité définies par les limites suivantes :</w:t>
      </w:r>
    </w:p>
    <w:tbl>
      <w:tblPr>
        <w:tblW w:w="6237" w:type="dxa"/>
        <w:tblInd w:w="2268" w:type="dxa"/>
        <w:tblLayout w:type="fixed"/>
        <w:tblCellMar>
          <w:left w:w="0" w:type="dxa"/>
          <w:right w:w="0" w:type="dxa"/>
        </w:tblCellMar>
        <w:tblLook w:val="0000" w:firstRow="0" w:lastRow="0" w:firstColumn="0" w:lastColumn="0" w:noHBand="0" w:noVBand="0"/>
      </w:tblPr>
      <w:tblGrid>
        <w:gridCol w:w="851"/>
        <w:gridCol w:w="2126"/>
        <w:gridCol w:w="3260"/>
      </w:tblGrid>
      <w:tr w:rsidR="00D6374E" w:rsidRPr="00D6374E" w:rsidTr="00DB75DF">
        <w:tc>
          <w:tcPr>
            <w:tcW w:w="851" w:type="dxa"/>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12</w:t>
            </w:r>
          </w:p>
        </w:tc>
        <w:tc>
          <w:tcPr>
            <w:tcW w:w="2126" w:type="dxa"/>
          </w:tcPr>
          <w:p w:rsidR="00D6374E" w:rsidRPr="00D6374E" w:rsidRDefault="00D6374E" w:rsidP="00D6374E">
            <w:pPr>
              <w:spacing w:before="40" w:after="40"/>
              <w:rPr>
                <w:rFonts w:eastAsia="Calibri"/>
              </w:rPr>
            </w:pPr>
            <w:r w:rsidRPr="00D6374E">
              <w:rPr>
                <w:rFonts w:eastAsia="Calibri"/>
              </w:rPr>
              <w:t>limite vers le jaune :</w:t>
            </w:r>
          </w:p>
        </w:tc>
        <w:tc>
          <w:tcPr>
            <w:tcW w:w="3260" w:type="dxa"/>
          </w:tcPr>
          <w:p w:rsidR="00D6374E" w:rsidRPr="00D6374E" w:rsidRDefault="00D6374E" w:rsidP="00D6374E">
            <w:pPr>
              <w:spacing w:before="40" w:after="40"/>
              <w:rPr>
                <w:rFonts w:eastAsia="Calibri"/>
              </w:rPr>
            </w:pPr>
            <w:r w:rsidRPr="00D6374E">
              <w:rPr>
                <w:rFonts w:eastAsia="Calibri"/>
              </w:rPr>
              <w:t>y = 0,335</w:t>
            </w:r>
          </w:p>
        </w:tc>
      </w:tr>
      <w:tr w:rsidR="00D6374E" w:rsidRPr="00D6374E" w:rsidTr="00DB75DF">
        <w:tc>
          <w:tcPr>
            <w:tcW w:w="851" w:type="dxa"/>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23</w:t>
            </w:r>
          </w:p>
        </w:tc>
        <w:tc>
          <w:tcPr>
            <w:tcW w:w="2126" w:type="dxa"/>
          </w:tcPr>
          <w:p w:rsidR="00D6374E" w:rsidRPr="00D6374E" w:rsidRDefault="00D6374E" w:rsidP="00D6374E">
            <w:pPr>
              <w:spacing w:before="40" w:after="40"/>
              <w:rPr>
                <w:rFonts w:eastAsia="Calibri"/>
              </w:rPr>
            </w:pPr>
            <w:r w:rsidRPr="00D6374E">
              <w:rPr>
                <w:rFonts w:eastAsia="Calibri"/>
              </w:rPr>
              <w:t>lieu spectral</w:t>
            </w:r>
          </w:p>
        </w:tc>
        <w:tc>
          <w:tcPr>
            <w:tcW w:w="3260" w:type="dxa"/>
          </w:tcPr>
          <w:p w:rsidR="00D6374E" w:rsidRPr="00D6374E" w:rsidRDefault="00D6374E" w:rsidP="00D6374E">
            <w:pPr>
              <w:spacing w:before="40" w:after="40"/>
              <w:rPr>
                <w:rFonts w:eastAsia="Calibri"/>
              </w:rPr>
            </w:pPr>
          </w:p>
        </w:tc>
      </w:tr>
      <w:tr w:rsidR="00D6374E" w:rsidRPr="00D6374E" w:rsidTr="00DB75DF">
        <w:tc>
          <w:tcPr>
            <w:tcW w:w="851" w:type="dxa"/>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34</w:t>
            </w:r>
          </w:p>
        </w:tc>
        <w:tc>
          <w:tcPr>
            <w:tcW w:w="2126" w:type="dxa"/>
          </w:tcPr>
          <w:p w:rsidR="00D6374E" w:rsidRPr="00D6374E" w:rsidRDefault="00D6374E" w:rsidP="00D6374E">
            <w:pPr>
              <w:spacing w:before="40" w:after="40"/>
              <w:rPr>
                <w:rFonts w:eastAsia="Calibri"/>
              </w:rPr>
            </w:pPr>
            <w:r w:rsidRPr="00D6374E">
              <w:rPr>
                <w:rFonts w:eastAsia="Calibri"/>
              </w:rPr>
              <w:t>ligne violette :</w:t>
            </w:r>
          </w:p>
        </w:tc>
        <w:tc>
          <w:tcPr>
            <w:tcW w:w="3260" w:type="dxa"/>
          </w:tcPr>
          <w:p w:rsidR="00D6374E" w:rsidRPr="00D6374E" w:rsidRDefault="00D6374E" w:rsidP="00D6374E">
            <w:pPr>
              <w:spacing w:before="40" w:after="40"/>
              <w:rPr>
                <w:rFonts w:eastAsia="Calibri"/>
              </w:rPr>
            </w:pPr>
            <w:r w:rsidRPr="00D6374E">
              <w:rPr>
                <w:rFonts w:eastAsia="Calibri"/>
              </w:rPr>
              <w:t>(extension linéaire dans la gamme des violets entre les extrémités rouge et bleue du lieu spectral)</w:t>
            </w:r>
          </w:p>
        </w:tc>
      </w:tr>
      <w:tr w:rsidR="00D6374E" w:rsidRPr="00D6374E" w:rsidTr="00DB75DF">
        <w:tc>
          <w:tcPr>
            <w:tcW w:w="851" w:type="dxa"/>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41</w:t>
            </w:r>
          </w:p>
        </w:tc>
        <w:tc>
          <w:tcPr>
            <w:tcW w:w="2126" w:type="dxa"/>
          </w:tcPr>
          <w:p w:rsidR="00D6374E" w:rsidRPr="00D6374E" w:rsidRDefault="00D6374E" w:rsidP="00D6374E">
            <w:pPr>
              <w:spacing w:before="40" w:after="40"/>
              <w:rPr>
                <w:rFonts w:eastAsia="Calibri"/>
              </w:rPr>
            </w:pPr>
            <w:r w:rsidRPr="00D6374E">
              <w:rPr>
                <w:rFonts w:eastAsia="Calibri"/>
              </w:rPr>
              <w:t>limite vers le violet :</w:t>
            </w:r>
          </w:p>
        </w:tc>
        <w:tc>
          <w:tcPr>
            <w:tcW w:w="3260" w:type="dxa"/>
          </w:tcPr>
          <w:p w:rsidR="00D6374E" w:rsidRPr="00D6374E" w:rsidRDefault="00D6374E" w:rsidP="00D6374E">
            <w:pPr>
              <w:spacing w:before="40" w:after="40"/>
              <w:rPr>
                <w:rFonts w:eastAsia="Calibri"/>
              </w:rPr>
            </w:pPr>
            <w:r w:rsidRPr="00D6374E">
              <w:rPr>
                <w:rFonts w:eastAsia="Calibri"/>
              </w:rPr>
              <w:t>y = 0,980 - x</w:t>
            </w:r>
          </w:p>
        </w:tc>
      </w:tr>
    </w:tbl>
    <w:p w:rsidR="00D6374E" w:rsidRPr="00D6374E" w:rsidRDefault="00D6374E" w:rsidP="00505AC3">
      <w:pPr>
        <w:pStyle w:val="SingleTxtG"/>
        <w:spacing w:before="120"/>
        <w:ind w:left="2268"/>
        <w:rPr>
          <w:rFonts w:eastAsia="Calibri"/>
        </w:rPr>
      </w:pPr>
      <w:r w:rsidRPr="00D6374E">
        <w:rPr>
          <w:rFonts w:eastAsia="Calibri"/>
          <w:lang w:eastAsia="fr-FR"/>
        </w:rPr>
        <w:t>Points d’intersection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D6374E" w:rsidRPr="00D6374E" w:rsidTr="00DB75DF">
        <w:tc>
          <w:tcPr>
            <w:tcW w:w="2079" w:type="dxa"/>
          </w:tcPr>
          <w:p w:rsidR="00D6374E" w:rsidRPr="00D6374E" w:rsidRDefault="00D6374E" w:rsidP="00D6374E">
            <w:pPr>
              <w:spacing w:before="40" w:after="40"/>
              <w:rPr>
                <w:rFonts w:eastAsia="Calibri"/>
              </w:rPr>
            </w:pPr>
          </w:p>
        </w:tc>
        <w:tc>
          <w:tcPr>
            <w:tcW w:w="2079" w:type="dxa"/>
            <w:vAlign w:val="bottom"/>
          </w:tcPr>
          <w:p w:rsidR="00D6374E" w:rsidRPr="00D6374E" w:rsidRDefault="00D6374E" w:rsidP="00D6374E">
            <w:pPr>
              <w:spacing w:before="40" w:after="40"/>
              <w:rPr>
                <w:rFonts w:eastAsia="Calibri"/>
              </w:rPr>
            </w:pPr>
            <w:r w:rsidRPr="00D6374E">
              <w:rPr>
                <w:rFonts w:eastAsia="Calibri"/>
              </w:rPr>
              <w:t>x</w:t>
            </w:r>
          </w:p>
        </w:tc>
        <w:tc>
          <w:tcPr>
            <w:tcW w:w="2080" w:type="dxa"/>
            <w:vAlign w:val="bottom"/>
          </w:tcPr>
          <w:p w:rsidR="00D6374E" w:rsidRPr="00D6374E" w:rsidRDefault="00D6374E" w:rsidP="00D6374E">
            <w:pPr>
              <w:spacing w:before="40" w:after="40"/>
              <w:rPr>
                <w:rFonts w:eastAsia="Calibri"/>
              </w:rPr>
            </w:pPr>
            <w:r w:rsidRPr="00D6374E">
              <w:rPr>
                <w:rFonts w:eastAsia="Calibri"/>
              </w:rPr>
              <w:t>y</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1</w:t>
            </w:r>
          </w:p>
        </w:tc>
        <w:tc>
          <w:tcPr>
            <w:tcW w:w="2079" w:type="dxa"/>
            <w:vAlign w:val="bottom"/>
          </w:tcPr>
          <w:p w:rsidR="00D6374E" w:rsidRPr="00D6374E" w:rsidRDefault="00D6374E" w:rsidP="00D6374E">
            <w:pPr>
              <w:spacing w:before="40" w:after="40"/>
              <w:rPr>
                <w:rFonts w:eastAsia="Calibri"/>
              </w:rPr>
            </w:pPr>
            <w:r w:rsidRPr="00D6374E">
              <w:rPr>
                <w:rFonts w:eastAsia="Calibri"/>
              </w:rPr>
              <w:t>0,645</w:t>
            </w:r>
          </w:p>
        </w:tc>
        <w:tc>
          <w:tcPr>
            <w:tcW w:w="2080" w:type="dxa"/>
            <w:vAlign w:val="bottom"/>
          </w:tcPr>
          <w:p w:rsidR="00D6374E" w:rsidRPr="00D6374E" w:rsidRDefault="00D6374E" w:rsidP="00D6374E">
            <w:pPr>
              <w:spacing w:before="40" w:after="40"/>
              <w:rPr>
                <w:rFonts w:eastAsia="Calibri"/>
              </w:rPr>
            </w:pPr>
            <w:r w:rsidRPr="00D6374E">
              <w:rPr>
                <w:rFonts w:eastAsia="Calibri"/>
              </w:rPr>
              <w:t>0,335</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2</w:t>
            </w:r>
          </w:p>
        </w:tc>
        <w:tc>
          <w:tcPr>
            <w:tcW w:w="2079" w:type="dxa"/>
            <w:vAlign w:val="bottom"/>
          </w:tcPr>
          <w:p w:rsidR="00D6374E" w:rsidRPr="00D6374E" w:rsidRDefault="00D6374E" w:rsidP="00D6374E">
            <w:pPr>
              <w:spacing w:before="40" w:after="40"/>
              <w:rPr>
                <w:rFonts w:eastAsia="Calibri"/>
              </w:rPr>
            </w:pPr>
            <w:r w:rsidRPr="00D6374E">
              <w:rPr>
                <w:rFonts w:eastAsia="Calibri"/>
              </w:rPr>
              <w:t>0,665</w:t>
            </w:r>
          </w:p>
        </w:tc>
        <w:tc>
          <w:tcPr>
            <w:tcW w:w="2080" w:type="dxa"/>
            <w:vAlign w:val="bottom"/>
          </w:tcPr>
          <w:p w:rsidR="00D6374E" w:rsidRPr="00D6374E" w:rsidRDefault="00D6374E" w:rsidP="00D6374E">
            <w:pPr>
              <w:spacing w:before="40" w:after="40"/>
              <w:rPr>
                <w:rFonts w:eastAsia="Calibri"/>
              </w:rPr>
            </w:pPr>
            <w:r w:rsidRPr="00D6374E">
              <w:rPr>
                <w:rFonts w:eastAsia="Calibri"/>
              </w:rPr>
              <w:t>0,335</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3</w:t>
            </w:r>
          </w:p>
        </w:tc>
        <w:tc>
          <w:tcPr>
            <w:tcW w:w="2079" w:type="dxa"/>
            <w:vAlign w:val="bottom"/>
          </w:tcPr>
          <w:p w:rsidR="00D6374E" w:rsidRPr="00D6374E" w:rsidRDefault="00D6374E" w:rsidP="00D6374E">
            <w:pPr>
              <w:spacing w:before="40" w:after="40"/>
              <w:rPr>
                <w:rFonts w:eastAsia="Calibri"/>
              </w:rPr>
            </w:pPr>
            <w:r w:rsidRPr="00D6374E">
              <w:rPr>
                <w:rFonts w:eastAsia="Calibri"/>
              </w:rPr>
              <w:t>0,735</w:t>
            </w:r>
          </w:p>
        </w:tc>
        <w:tc>
          <w:tcPr>
            <w:tcW w:w="2080" w:type="dxa"/>
            <w:vAlign w:val="bottom"/>
          </w:tcPr>
          <w:p w:rsidR="00D6374E" w:rsidRPr="00D6374E" w:rsidRDefault="00D6374E" w:rsidP="00D6374E">
            <w:pPr>
              <w:spacing w:before="40" w:after="40"/>
              <w:rPr>
                <w:rFonts w:eastAsia="Calibri"/>
              </w:rPr>
            </w:pPr>
            <w:r w:rsidRPr="00D6374E">
              <w:rPr>
                <w:rFonts w:eastAsia="Calibri"/>
              </w:rPr>
              <w:t>0,265</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4</w:t>
            </w:r>
          </w:p>
        </w:tc>
        <w:tc>
          <w:tcPr>
            <w:tcW w:w="2079" w:type="dxa"/>
            <w:vAlign w:val="bottom"/>
          </w:tcPr>
          <w:p w:rsidR="00D6374E" w:rsidRPr="00D6374E" w:rsidRDefault="00D6374E" w:rsidP="00D6374E">
            <w:pPr>
              <w:spacing w:before="40" w:after="40"/>
              <w:rPr>
                <w:rFonts w:eastAsia="Calibri"/>
              </w:rPr>
            </w:pPr>
            <w:r w:rsidRPr="00D6374E">
              <w:rPr>
                <w:rFonts w:eastAsia="Calibri"/>
              </w:rPr>
              <w:t>0,721</w:t>
            </w:r>
          </w:p>
        </w:tc>
        <w:tc>
          <w:tcPr>
            <w:tcW w:w="2080" w:type="dxa"/>
            <w:vAlign w:val="bottom"/>
          </w:tcPr>
          <w:p w:rsidR="00D6374E" w:rsidRPr="00D6374E" w:rsidRDefault="00D6374E" w:rsidP="00D6374E">
            <w:pPr>
              <w:spacing w:before="40" w:after="40"/>
              <w:rPr>
                <w:rFonts w:eastAsia="Calibri"/>
              </w:rPr>
            </w:pPr>
            <w:r w:rsidRPr="00D6374E">
              <w:rPr>
                <w:rFonts w:eastAsia="Calibri"/>
              </w:rPr>
              <w:t>0,259</w:t>
            </w:r>
          </w:p>
        </w:tc>
      </w:tr>
    </w:tbl>
    <w:p w:rsidR="00D6374E" w:rsidRPr="00D6374E" w:rsidRDefault="00D6374E" w:rsidP="00505AC3">
      <w:pPr>
        <w:pStyle w:val="SingleTxtG"/>
        <w:spacing w:before="120"/>
        <w:ind w:left="2268" w:hanging="1134"/>
        <w:rPr>
          <w:rFonts w:eastAsia="Calibri"/>
        </w:rPr>
      </w:pPr>
      <w:r w:rsidRPr="00D6374E">
        <w:rPr>
          <w:rFonts w:eastAsia="Calibri"/>
        </w:rPr>
        <w:t>2.11.2</w:t>
      </w:r>
      <w:r w:rsidRPr="00D6374E">
        <w:rPr>
          <w:rFonts w:eastAsia="Calibri"/>
        </w:rPr>
        <w:tab/>
        <w:t>Couleur</w:t>
      </w:r>
      <w:r w:rsidRPr="00D6374E">
        <w:rPr>
          <w:rFonts w:eastAsia="Calibri"/>
          <w:lang w:eastAsia="fr-FR"/>
        </w:rPr>
        <w:t xml:space="preserve"> nocturne de la lumière réfléchie par un dispositif, à l’exclusion des pneus réfléchissants définis dans le Règlement ONU </w:t>
      </w:r>
      <w:r w:rsidRPr="00D6374E">
        <w:rPr>
          <w:rFonts w:eastAsia="MS Mincho"/>
          <w:szCs w:val="22"/>
          <w:lang w:eastAsia="fr-FR"/>
        </w:rPr>
        <w:t>n</w:t>
      </w:r>
      <w:r w:rsidRPr="00D6374E">
        <w:rPr>
          <w:rFonts w:eastAsia="MS Mincho"/>
          <w:szCs w:val="22"/>
          <w:vertAlign w:val="superscript"/>
          <w:lang w:eastAsia="fr-FR"/>
        </w:rPr>
        <w:t>o</w:t>
      </w:r>
      <w:r w:rsidRPr="00D6374E">
        <w:rPr>
          <w:rFonts w:eastAsia="Calibri"/>
          <w:lang w:eastAsia="fr-FR"/>
        </w:rPr>
        <w:t> 88</w:t>
      </w:r>
    </w:p>
    <w:p w:rsidR="00D6374E" w:rsidRPr="00D6374E" w:rsidRDefault="00D6374E" w:rsidP="00D6374E">
      <w:pPr>
        <w:pStyle w:val="SingleTxtG"/>
        <w:ind w:left="2268" w:hanging="1134"/>
        <w:rPr>
          <w:rFonts w:eastAsia="Calibri"/>
        </w:rPr>
      </w:pPr>
      <w:r w:rsidRPr="00D6374E">
        <w:rPr>
          <w:rFonts w:eastAsia="Calibri"/>
        </w:rPr>
        <w:t>2.11.2.1</w:t>
      </w:r>
      <w:r w:rsidRPr="00D6374E">
        <w:rPr>
          <w:rFonts w:eastAsia="Calibri"/>
        </w:rPr>
        <w:tab/>
      </w:r>
      <w:r w:rsidRPr="00D6374E">
        <w:rPr>
          <w:rFonts w:eastAsia="Calibri"/>
          <w:lang w:eastAsia="fr-FR"/>
        </w:rPr>
        <w:t>Par “</w:t>
      </w:r>
      <w:r w:rsidRPr="00D6374E">
        <w:rPr>
          <w:rFonts w:eastAsia="Calibri"/>
          <w:i/>
          <w:lang w:eastAsia="fr-FR"/>
        </w:rPr>
        <w:t>blanc</w:t>
      </w:r>
      <w:r w:rsidRPr="00D6374E">
        <w:rPr>
          <w:rFonts w:eastAsia="Calibri"/>
          <w:lang w:eastAsia="fr-FR"/>
        </w:rPr>
        <w:t xml:space="preserve">”, on entend les coordonnées chromatiques </w:t>
      </w:r>
      <w:r w:rsidRPr="00D6374E">
        <w:rPr>
          <w:rFonts w:eastAsia="Calibri"/>
        </w:rPr>
        <w:t>(x, y)</w:t>
      </w:r>
      <w:r w:rsidRPr="00D6374E">
        <w:rPr>
          <w:rFonts w:eastAsia="Calibri"/>
          <w:sz w:val="18"/>
          <w:szCs w:val="18"/>
          <w:vertAlign w:val="superscript"/>
        </w:rPr>
        <w:t>4</w:t>
      </w:r>
      <w:r w:rsidRPr="00D6374E">
        <w:rPr>
          <w:rFonts w:eastAsia="Calibri"/>
        </w:rPr>
        <w:t xml:space="preserve"> </w:t>
      </w:r>
      <w:r w:rsidRPr="00D6374E">
        <w:rPr>
          <w:rFonts w:eastAsia="Calibri"/>
          <w:lang w:eastAsia="fr-FR"/>
        </w:rPr>
        <w:t xml:space="preserve">de la lumière réfléchie comprises dans les zones </w:t>
      </w:r>
      <w:r w:rsidRPr="00D6374E">
        <w:rPr>
          <w:rFonts w:eastAsia="Calibri"/>
        </w:rPr>
        <w:t>de</w:t>
      </w:r>
      <w:r w:rsidRPr="00D6374E">
        <w:rPr>
          <w:rFonts w:eastAsia="Calibri"/>
          <w:lang w:eastAsia="fr-FR"/>
        </w:rPr>
        <w:t xml:space="preserve"> chromaticité définies par les limites suivantes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79"/>
      </w:tblGrid>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W</w:t>
            </w:r>
            <w:r w:rsidRPr="00D6374E">
              <w:rPr>
                <w:rFonts w:eastAsia="Calibri"/>
                <w:vertAlign w:val="subscript"/>
              </w:rPr>
              <w:t>12</w:t>
            </w:r>
          </w:p>
        </w:tc>
        <w:tc>
          <w:tcPr>
            <w:tcW w:w="2079" w:type="dxa"/>
          </w:tcPr>
          <w:p w:rsidR="00D6374E" w:rsidRPr="00D6374E" w:rsidRDefault="00D6374E" w:rsidP="00D6374E">
            <w:pPr>
              <w:spacing w:before="40" w:after="40"/>
              <w:rPr>
                <w:rFonts w:eastAsia="Calibri"/>
              </w:rPr>
            </w:pPr>
            <w:r w:rsidRPr="00D6374E">
              <w:rPr>
                <w:rFonts w:eastAsia="Calibri"/>
              </w:rPr>
              <w:t>limite vers le bleu :</w:t>
            </w:r>
          </w:p>
        </w:tc>
        <w:tc>
          <w:tcPr>
            <w:tcW w:w="2079" w:type="dxa"/>
          </w:tcPr>
          <w:p w:rsidR="00D6374E" w:rsidRPr="00D6374E" w:rsidRDefault="00D6374E" w:rsidP="00D6374E">
            <w:pPr>
              <w:spacing w:before="40" w:after="40"/>
              <w:rPr>
                <w:rFonts w:eastAsia="Calibri"/>
              </w:rPr>
            </w:pPr>
            <w:r w:rsidRPr="00D6374E">
              <w:rPr>
                <w:rFonts w:eastAsia="Calibri"/>
              </w:rPr>
              <w:t>y = 0,843 - 1,182 x</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W</w:t>
            </w:r>
            <w:r w:rsidRPr="00D6374E">
              <w:rPr>
                <w:rFonts w:eastAsia="Calibri"/>
                <w:vertAlign w:val="subscript"/>
              </w:rPr>
              <w:t>23</w:t>
            </w:r>
          </w:p>
        </w:tc>
        <w:tc>
          <w:tcPr>
            <w:tcW w:w="2079" w:type="dxa"/>
          </w:tcPr>
          <w:p w:rsidR="00D6374E" w:rsidRPr="00D6374E" w:rsidRDefault="00D6374E" w:rsidP="00D6374E">
            <w:pPr>
              <w:spacing w:before="40" w:after="40"/>
              <w:rPr>
                <w:rFonts w:eastAsia="Calibri"/>
              </w:rPr>
            </w:pPr>
            <w:r w:rsidRPr="00D6374E">
              <w:rPr>
                <w:rFonts w:eastAsia="Calibri"/>
              </w:rPr>
              <w:t>limite vers le violet :</w:t>
            </w:r>
          </w:p>
        </w:tc>
        <w:tc>
          <w:tcPr>
            <w:tcW w:w="2079" w:type="dxa"/>
          </w:tcPr>
          <w:p w:rsidR="00D6374E" w:rsidRPr="00D6374E" w:rsidRDefault="00D6374E" w:rsidP="00D6374E">
            <w:pPr>
              <w:spacing w:before="40" w:after="40"/>
              <w:rPr>
                <w:rFonts w:eastAsia="Calibri"/>
              </w:rPr>
            </w:pPr>
            <w:r w:rsidRPr="00D6374E">
              <w:rPr>
                <w:rFonts w:eastAsia="Calibri"/>
              </w:rPr>
              <w:t>y = 0,489 x + 0,146</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W</w:t>
            </w:r>
            <w:r w:rsidRPr="00D6374E">
              <w:rPr>
                <w:rFonts w:eastAsia="Calibri"/>
                <w:vertAlign w:val="subscript"/>
              </w:rPr>
              <w:t>34</w:t>
            </w:r>
          </w:p>
        </w:tc>
        <w:tc>
          <w:tcPr>
            <w:tcW w:w="2079" w:type="dxa"/>
          </w:tcPr>
          <w:p w:rsidR="00D6374E" w:rsidRPr="00D6374E" w:rsidRDefault="00D6374E" w:rsidP="00D6374E">
            <w:pPr>
              <w:spacing w:before="40" w:after="40"/>
              <w:rPr>
                <w:rFonts w:eastAsia="Calibri"/>
              </w:rPr>
            </w:pPr>
            <w:r w:rsidRPr="00D6374E">
              <w:rPr>
                <w:rFonts w:eastAsia="Calibri"/>
              </w:rPr>
              <w:t>limite vers le jaune :</w:t>
            </w:r>
          </w:p>
        </w:tc>
        <w:tc>
          <w:tcPr>
            <w:tcW w:w="2079" w:type="dxa"/>
          </w:tcPr>
          <w:p w:rsidR="00D6374E" w:rsidRPr="00D6374E" w:rsidRDefault="00D6374E" w:rsidP="00D6374E">
            <w:pPr>
              <w:spacing w:before="40" w:after="40"/>
              <w:rPr>
                <w:rFonts w:eastAsia="Calibri"/>
              </w:rPr>
            </w:pPr>
            <w:r w:rsidRPr="00D6374E">
              <w:rPr>
                <w:rFonts w:eastAsia="Calibri"/>
              </w:rPr>
              <w:t>y = 0,968 - 1,010 x</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W</w:t>
            </w:r>
            <w:r w:rsidRPr="00D6374E">
              <w:rPr>
                <w:rFonts w:eastAsia="Calibri"/>
                <w:vertAlign w:val="subscript"/>
              </w:rPr>
              <w:t>41</w:t>
            </w:r>
          </w:p>
        </w:tc>
        <w:tc>
          <w:tcPr>
            <w:tcW w:w="2079" w:type="dxa"/>
          </w:tcPr>
          <w:p w:rsidR="00D6374E" w:rsidRPr="00D6374E" w:rsidRDefault="00D6374E" w:rsidP="00D6374E">
            <w:pPr>
              <w:spacing w:before="40" w:after="40"/>
              <w:rPr>
                <w:rFonts w:eastAsia="Calibri"/>
              </w:rPr>
            </w:pPr>
            <w:r w:rsidRPr="00D6374E">
              <w:rPr>
                <w:rFonts w:eastAsia="Calibri"/>
              </w:rPr>
              <w:t>limite vers le vert :</w:t>
            </w:r>
          </w:p>
        </w:tc>
        <w:tc>
          <w:tcPr>
            <w:tcW w:w="2079" w:type="dxa"/>
          </w:tcPr>
          <w:p w:rsidR="00D6374E" w:rsidRPr="00D6374E" w:rsidRDefault="00D6374E" w:rsidP="00D6374E">
            <w:pPr>
              <w:spacing w:before="40" w:after="40"/>
              <w:rPr>
                <w:rFonts w:eastAsia="Calibri"/>
              </w:rPr>
            </w:pPr>
            <w:r w:rsidRPr="00D6374E">
              <w:rPr>
                <w:rFonts w:eastAsia="Calibri"/>
              </w:rPr>
              <w:t>y = 1,442 x - 0,136</w:t>
            </w:r>
          </w:p>
        </w:tc>
      </w:tr>
    </w:tbl>
    <w:p w:rsidR="00D6374E" w:rsidRPr="00D6374E" w:rsidRDefault="00D6374E" w:rsidP="00505AC3">
      <w:pPr>
        <w:pStyle w:val="SingleTxtG"/>
        <w:spacing w:before="120"/>
        <w:ind w:left="2268"/>
        <w:rPr>
          <w:rFonts w:eastAsia="Calibri"/>
        </w:rPr>
      </w:pPr>
      <w:r w:rsidRPr="00D6374E">
        <w:rPr>
          <w:rFonts w:eastAsia="Calibri"/>
          <w:lang w:eastAsia="fr-FR"/>
        </w:rPr>
        <w:t>Points d’intersection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79"/>
      </w:tblGrid>
      <w:tr w:rsidR="00D6374E" w:rsidRPr="00D6374E" w:rsidTr="00DB75DF">
        <w:tc>
          <w:tcPr>
            <w:tcW w:w="2079" w:type="dxa"/>
          </w:tcPr>
          <w:p w:rsidR="00D6374E" w:rsidRPr="00D6374E" w:rsidRDefault="00D6374E" w:rsidP="00D6374E">
            <w:pPr>
              <w:spacing w:before="40" w:after="40"/>
              <w:rPr>
                <w:rFonts w:eastAsia="Calibri"/>
              </w:rPr>
            </w:pPr>
          </w:p>
        </w:tc>
        <w:tc>
          <w:tcPr>
            <w:tcW w:w="2079" w:type="dxa"/>
            <w:vAlign w:val="bottom"/>
          </w:tcPr>
          <w:p w:rsidR="00D6374E" w:rsidRPr="00D6374E" w:rsidRDefault="00D6374E" w:rsidP="00D6374E">
            <w:pPr>
              <w:spacing w:before="40" w:after="40"/>
              <w:rPr>
                <w:rFonts w:eastAsia="Calibri"/>
              </w:rPr>
            </w:pPr>
            <w:r w:rsidRPr="00D6374E">
              <w:rPr>
                <w:rFonts w:eastAsia="Calibri"/>
              </w:rPr>
              <w:t>x</w:t>
            </w:r>
          </w:p>
        </w:tc>
        <w:tc>
          <w:tcPr>
            <w:tcW w:w="2079" w:type="dxa"/>
            <w:vAlign w:val="bottom"/>
          </w:tcPr>
          <w:p w:rsidR="00D6374E" w:rsidRPr="00D6374E" w:rsidRDefault="00D6374E" w:rsidP="00D6374E">
            <w:pPr>
              <w:spacing w:before="40" w:after="40"/>
              <w:rPr>
                <w:rFonts w:eastAsia="Calibri"/>
              </w:rPr>
            </w:pPr>
            <w:r w:rsidRPr="00D6374E">
              <w:rPr>
                <w:rFonts w:eastAsia="Calibri"/>
              </w:rPr>
              <w:t>y</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W</w:t>
            </w:r>
            <w:r w:rsidRPr="00D6374E">
              <w:rPr>
                <w:rFonts w:eastAsia="Calibri"/>
                <w:vertAlign w:val="subscript"/>
              </w:rPr>
              <w:t>1</w:t>
            </w:r>
          </w:p>
        </w:tc>
        <w:tc>
          <w:tcPr>
            <w:tcW w:w="2079" w:type="dxa"/>
            <w:vAlign w:val="bottom"/>
          </w:tcPr>
          <w:p w:rsidR="00D6374E" w:rsidRPr="00D6374E" w:rsidRDefault="00D6374E" w:rsidP="00D6374E">
            <w:pPr>
              <w:spacing w:before="40" w:after="40"/>
              <w:rPr>
                <w:rFonts w:eastAsia="Calibri"/>
              </w:rPr>
            </w:pPr>
            <w:r w:rsidRPr="00D6374E">
              <w:rPr>
                <w:rFonts w:eastAsia="Calibri"/>
              </w:rPr>
              <w:t>0,373</w:t>
            </w:r>
          </w:p>
        </w:tc>
        <w:tc>
          <w:tcPr>
            <w:tcW w:w="2079" w:type="dxa"/>
            <w:vAlign w:val="bottom"/>
          </w:tcPr>
          <w:p w:rsidR="00D6374E" w:rsidRPr="00D6374E" w:rsidRDefault="00D6374E" w:rsidP="00D6374E">
            <w:pPr>
              <w:spacing w:before="40" w:after="40"/>
              <w:rPr>
                <w:rFonts w:eastAsia="Calibri"/>
              </w:rPr>
            </w:pPr>
            <w:r w:rsidRPr="00D6374E">
              <w:rPr>
                <w:rFonts w:eastAsia="Calibri"/>
              </w:rPr>
              <w:t>0,402</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W</w:t>
            </w:r>
            <w:r w:rsidRPr="00D6374E">
              <w:rPr>
                <w:rFonts w:eastAsia="Calibri"/>
                <w:vertAlign w:val="subscript"/>
              </w:rPr>
              <w:t>2</w:t>
            </w:r>
          </w:p>
        </w:tc>
        <w:tc>
          <w:tcPr>
            <w:tcW w:w="2079" w:type="dxa"/>
            <w:vAlign w:val="bottom"/>
          </w:tcPr>
          <w:p w:rsidR="00D6374E" w:rsidRPr="00D6374E" w:rsidRDefault="00D6374E" w:rsidP="00D6374E">
            <w:pPr>
              <w:spacing w:before="40" w:after="40"/>
              <w:rPr>
                <w:rFonts w:eastAsia="Calibri"/>
              </w:rPr>
            </w:pPr>
            <w:r w:rsidRPr="00D6374E">
              <w:rPr>
                <w:rFonts w:eastAsia="Calibri"/>
              </w:rPr>
              <w:t>0,417</w:t>
            </w:r>
          </w:p>
        </w:tc>
        <w:tc>
          <w:tcPr>
            <w:tcW w:w="2079" w:type="dxa"/>
            <w:vAlign w:val="bottom"/>
          </w:tcPr>
          <w:p w:rsidR="00D6374E" w:rsidRPr="00D6374E" w:rsidRDefault="00D6374E" w:rsidP="00D6374E">
            <w:pPr>
              <w:spacing w:before="40" w:after="40"/>
              <w:rPr>
                <w:rFonts w:eastAsia="Calibri"/>
              </w:rPr>
            </w:pPr>
            <w:r w:rsidRPr="00D6374E">
              <w:rPr>
                <w:rFonts w:eastAsia="Calibri"/>
              </w:rPr>
              <w:t>0,350</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W</w:t>
            </w:r>
            <w:r w:rsidRPr="00D6374E">
              <w:rPr>
                <w:rFonts w:eastAsia="Calibri"/>
                <w:vertAlign w:val="subscript"/>
              </w:rPr>
              <w:t>3</w:t>
            </w:r>
          </w:p>
        </w:tc>
        <w:tc>
          <w:tcPr>
            <w:tcW w:w="2079" w:type="dxa"/>
            <w:vAlign w:val="bottom"/>
          </w:tcPr>
          <w:p w:rsidR="00D6374E" w:rsidRPr="00D6374E" w:rsidRDefault="00D6374E" w:rsidP="00D6374E">
            <w:pPr>
              <w:spacing w:before="40" w:after="40"/>
              <w:rPr>
                <w:rFonts w:eastAsia="Calibri"/>
              </w:rPr>
            </w:pPr>
            <w:r w:rsidRPr="00D6374E">
              <w:rPr>
                <w:rFonts w:eastAsia="Calibri"/>
              </w:rPr>
              <w:t>0,548</w:t>
            </w:r>
          </w:p>
        </w:tc>
        <w:tc>
          <w:tcPr>
            <w:tcW w:w="2079" w:type="dxa"/>
            <w:vAlign w:val="bottom"/>
          </w:tcPr>
          <w:p w:rsidR="00D6374E" w:rsidRPr="00D6374E" w:rsidRDefault="00D6374E" w:rsidP="00D6374E">
            <w:pPr>
              <w:spacing w:before="40" w:after="40"/>
              <w:rPr>
                <w:rFonts w:eastAsia="Calibri"/>
              </w:rPr>
            </w:pPr>
            <w:r w:rsidRPr="00D6374E">
              <w:rPr>
                <w:rFonts w:eastAsia="Calibri"/>
              </w:rPr>
              <w:t>0,414</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W</w:t>
            </w:r>
            <w:r w:rsidRPr="00D6374E">
              <w:rPr>
                <w:rFonts w:eastAsia="Calibri"/>
                <w:vertAlign w:val="subscript"/>
              </w:rPr>
              <w:t>4</w:t>
            </w:r>
          </w:p>
        </w:tc>
        <w:tc>
          <w:tcPr>
            <w:tcW w:w="2079" w:type="dxa"/>
            <w:vAlign w:val="bottom"/>
          </w:tcPr>
          <w:p w:rsidR="00D6374E" w:rsidRPr="00D6374E" w:rsidRDefault="00D6374E" w:rsidP="00D6374E">
            <w:pPr>
              <w:spacing w:before="40" w:after="40"/>
              <w:rPr>
                <w:rFonts w:eastAsia="Calibri"/>
              </w:rPr>
            </w:pPr>
            <w:r w:rsidRPr="00D6374E">
              <w:rPr>
                <w:rFonts w:eastAsia="Calibri"/>
              </w:rPr>
              <w:t>0,450</w:t>
            </w:r>
          </w:p>
        </w:tc>
        <w:tc>
          <w:tcPr>
            <w:tcW w:w="2079" w:type="dxa"/>
            <w:vAlign w:val="bottom"/>
          </w:tcPr>
          <w:p w:rsidR="00D6374E" w:rsidRPr="00D6374E" w:rsidRDefault="00D6374E" w:rsidP="00D6374E">
            <w:pPr>
              <w:spacing w:before="40" w:after="40"/>
              <w:rPr>
                <w:rFonts w:eastAsia="Calibri"/>
              </w:rPr>
            </w:pPr>
            <w:r w:rsidRPr="00D6374E">
              <w:rPr>
                <w:rFonts w:eastAsia="Calibri"/>
              </w:rPr>
              <w:t>0,513</w:t>
            </w:r>
          </w:p>
        </w:tc>
      </w:tr>
    </w:tbl>
    <w:p w:rsidR="00D6374E" w:rsidRPr="00D6374E" w:rsidRDefault="00D6374E" w:rsidP="00FB5C51">
      <w:pPr>
        <w:pStyle w:val="SingleTxtG"/>
        <w:spacing w:before="160"/>
        <w:ind w:left="2268" w:hanging="1134"/>
        <w:rPr>
          <w:rFonts w:eastAsia="Calibri"/>
        </w:rPr>
      </w:pPr>
      <w:r w:rsidRPr="00D6374E">
        <w:rPr>
          <w:rFonts w:eastAsia="Calibri"/>
        </w:rPr>
        <w:lastRenderedPageBreak/>
        <w:t>2.11.2.2</w:t>
      </w:r>
      <w:r w:rsidRPr="00D6374E">
        <w:rPr>
          <w:rFonts w:eastAsia="Calibri"/>
        </w:rPr>
        <w:tab/>
      </w:r>
      <w:r w:rsidRPr="00D6374E">
        <w:rPr>
          <w:rFonts w:eastAsia="Calibri"/>
          <w:lang w:eastAsia="fr-FR"/>
        </w:rPr>
        <w:t>Par “</w:t>
      </w:r>
      <w:r w:rsidRPr="00D6374E">
        <w:rPr>
          <w:rFonts w:eastAsia="Calibri"/>
          <w:i/>
          <w:lang w:eastAsia="fr-FR"/>
        </w:rPr>
        <w:t>jaune</w:t>
      </w:r>
      <w:r w:rsidRPr="00D6374E">
        <w:rPr>
          <w:rFonts w:eastAsia="Calibri"/>
          <w:lang w:eastAsia="fr-FR"/>
        </w:rPr>
        <w:t xml:space="preserve">”, on entend les coordonnées chromatiques </w:t>
      </w:r>
      <w:r w:rsidRPr="00D6374E">
        <w:rPr>
          <w:rFonts w:eastAsia="Calibri"/>
        </w:rPr>
        <w:t>(x, y)</w:t>
      </w:r>
      <w:r w:rsidRPr="00D6374E">
        <w:rPr>
          <w:rFonts w:eastAsia="Calibri"/>
          <w:sz w:val="18"/>
          <w:szCs w:val="18"/>
          <w:vertAlign w:val="superscript"/>
        </w:rPr>
        <w:t>4</w:t>
      </w:r>
      <w:r w:rsidRPr="00D6374E">
        <w:rPr>
          <w:rFonts w:eastAsia="Calibri"/>
        </w:rPr>
        <w:t xml:space="preserve"> </w:t>
      </w:r>
      <w:r w:rsidRPr="00D6374E">
        <w:rPr>
          <w:rFonts w:eastAsia="Calibri"/>
          <w:lang w:eastAsia="fr-FR"/>
        </w:rPr>
        <w:t>de la lumière réfléchie comprises dans les zones de chromaticité définies par les limites suivantes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Y</w:t>
            </w:r>
            <w:r w:rsidRPr="00D6374E">
              <w:rPr>
                <w:rFonts w:eastAsia="Calibri"/>
                <w:vertAlign w:val="subscript"/>
              </w:rPr>
              <w:t>12</w:t>
            </w:r>
          </w:p>
        </w:tc>
        <w:tc>
          <w:tcPr>
            <w:tcW w:w="2079" w:type="dxa"/>
          </w:tcPr>
          <w:p w:rsidR="00D6374E" w:rsidRPr="00D6374E" w:rsidRDefault="00D6374E" w:rsidP="00D6374E">
            <w:pPr>
              <w:spacing w:before="40" w:after="40"/>
              <w:rPr>
                <w:rFonts w:eastAsia="Calibri"/>
              </w:rPr>
            </w:pPr>
            <w:r w:rsidRPr="00D6374E">
              <w:rPr>
                <w:rFonts w:eastAsia="Calibri"/>
              </w:rPr>
              <w:t>limite vers le vert :</w:t>
            </w:r>
          </w:p>
        </w:tc>
        <w:tc>
          <w:tcPr>
            <w:tcW w:w="2080" w:type="dxa"/>
          </w:tcPr>
          <w:p w:rsidR="00D6374E" w:rsidRPr="00D6374E" w:rsidRDefault="00D6374E" w:rsidP="00D6374E">
            <w:pPr>
              <w:spacing w:before="40" w:after="40"/>
              <w:rPr>
                <w:rFonts w:eastAsia="Calibri"/>
              </w:rPr>
            </w:pPr>
            <w:r w:rsidRPr="00D6374E">
              <w:rPr>
                <w:rFonts w:eastAsia="Calibri"/>
              </w:rPr>
              <w:t>y = x - 0,040</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Y</w:t>
            </w:r>
            <w:r w:rsidRPr="00D6374E">
              <w:rPr>
                <w:rFonts w:eastAsia="Calibri"/>
                <w:vertAlign w:val="subscript"/>
              </w:rPr>
              <w:t>23</w:t>
            </w:r>
          </w:p>
        </w:tc>
        <w:tc>
          <w:tcPr>
            <w:tcW w:w="2079" w:type="dxa"/>
          </w:tcPr>
          <w:p w:rsidR="00D6374E" w:rsidRPr="00D6374E" w:rsidRDefault="00D6374E" w:rsidP="00D6374E">
            <w:pPr>
              <w:spacing w:before="40" w:after="40"/>
              <w:rPr>
                <w:rFonts w:eastAsia="Calibri"/>
              </w:rPr>
            </w:pPr>
            <w:r w:rsidRPr="00D6374E">
              <w:rPr>
                <w:rFonts w:eastAsia="Calibri"/>
              </w:rPr>
              <w:t>lieu spectral</w:t>
            </w:r>
          </w:p>
        </w:tc>
        <w:tc>
          <w:tcPr>
            <w:tcW w:w="2080" w:type="dxa"/>
          </w:tcPr>
          <w:p w:rsidR="00D6374E" w:rsidRPr="00D6374E" w:rsidRDefault="00D6374E" w:rsidP="00D6374E">
            <w:pPr>
              <w:spacing w:before="40" w:after="40"/>
              <w:rPr>
                <w:rFonts w:eastAsia="Calibri"/>
              </w:rPr>
            </w:pP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Y</w:t>
            </w:r>
            <w:r w:rsidRPr="00D6374E">
              <w:rPr>
                <w:rFonts w:eastAsia="Calibri"/>
                <w:vertAlign w:val="subscript"/>
              </w:rPr>
              <w:t>34</w:t>
            </w:r>
          </w:p>
        </w:tc>
        <w:tc>
          <w:tcPr>
            <w:tcW w:w="2079" w:type="dxa"/>
          </w:tcPr>
          <w:p w:rsidR="00D6374E" w:rsidRPr="00D6374E" w:rsidRDefault="00D6374E" w:rsidP="00D6374E">
            <w:pPr>
              <w:spacing w:before="40" w:after="40"/>
              <w:rPr>
                <w:rFonts w:eastAsia="Calibri"/>
              </w:rPr>
            </w:pPr>
            <w:r w:rsidRPr="00D6374E">
              <w:rPr>
                <w:rFonts w:eastAsia="Calibri"/>
              </w:rPr>
              <w:t>limite vers le rouge :</w:t>
            </w:r>
          </w:p>
        </w:tc>
        <w:tc>
          <w:tcPr>
            <w:tcW w:w="2080" w:type="dxa"/>
          </w:tcPr>
          <w:p w:rsidR="00D6374E" w:rsidRPr="00D6374E" w:rsidRDefault="00D6374E" w:rsidP="00D6374E">
            <w:pPr>
              <w:spacing w:before="40" w:after="40"/>
              <w:rPr>
                <w:rFonts w:eastAsia="Calibri"/>
              </w:rPr>
            </w:pPr>
            <w:r w:rsidRPr="00D6374E">
              <w:rPr>
                <w:rFonts w:eastAsia="Calibri"/>
              </w:rPr>
              <w:t>y = 0,200 x + 0,268</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Y</w:t>
            </w:r>
            <w:r w:rsidRPr="00D6374E">
              <w:rPr>
                <w:rFonts w:eastAsia="Calibri"/>
                <w:vertAlign w:val="subscript"/>
              </w:rPr>
              <w:t>41</w:t>
            </w:r>
          </w:p>
        </w:tc>
        <w:tc>
          <w:tcPr>
            <w:tcW w:w="2079" w:type="dxa"/>
          </w:tcPr>
          <w:p w:rsidR="00D6374E" w:rsidRPr="00D6374E" w:rsidRDefault="00D6374E" w:rsidP="00D6374E">
            <w:pPr>
              <w:spacing w:before="40" w:after="40"/>
              <w:rPr>
                <w:rFonts w:eastAsia="Calibri"/>
              </w:rPr>
            </w:pPr>
            <w:r w:rsidRPr="00D6374E">
              <w:rPr>
                <w:rFonts w:eastAsia="Calibri"/>
              </w:rPr>
              <w:t>limite vers le blanc :</w:t>
            </w:r>
          </w:p>
        </w:tc>
        <w:tc>
          <w:tcPr>
            <w:tcW w:w="2080" w:type="dxa"/>
          </w:tcPr>
          <w:p w:rsidR="00D6374E" w:rsidRPr="00D6374E" w:rsidRDefault="00D6374E" w:rsidP="00D6374E">
            <w:pPr>
              <w:spacing w:before="40" w:after="40"/>
              <w:rPr>
                <w:rFonts w:eastAsia="Calibri"/>
              </w:rPr>
            </w:pPr>
            <w:r w:rsidRPr="00D6374E">
              <w:rPr>
                <w:rFonts w:eastAsia="Calibri"/>
              </w:rPr>
              <w:t>y = 0,970 - x</w:t>
            </w:r>
          </w:p>
        </w:tc>
      </w:tr>
    </w:tbl>
    <w:p w:rsidR="00D6374E" w:rsidRPr="00D6374E" w:rsidRDefault="00D6374E" w:rsidP="00505AC3">
      <w:pPr>
        <w:pStyle w:val="SingleTxtG"/>
        <w:spacing w:before="120"/>
        <w:ind w:left="2268"/>
        <w:rPr>
          <w:rFonts w:eastAsia="Calibri"/>
        </w:rPr>
      </w:pPr>
      <w:r w:rsidRPr="00D6374E">
        <w:rPr>
          <w:rFonts w:eastAsia="Calibri"/>
          <w:lang w:eastAsia="fr-FR"/>
        </w:rPr>
        <w:t>Points d’intersection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D6374E" w:rsidRPr="00D6374E" w:rsidTr="00DB75DF">
        <w:tc>
          <w:tcPr>
            <w:tcW w:w="2079" w:type="dxa"/>
          </w:tcPr>
          <w:p w:rsidR="00D6374E" w:rsidRPr="00D6374E" w:rsidRDefault="00D6374E" w:rsidP="00D6374E">
            <w:pPr>
              <w:spacing w:before="40" w:after="40"/>
              <w:rPr>
                <w:rFonts w:eastAsia="Calibri"/>
              </w:rPr>
            </w:pPr>
          </w:p>
        </w:tc>
        <w:tc>
          <w:tcPr>
            <w:tcW w:w="2079" w:type="dxa"/>
            <w:vAlign w:val="bottom"/>
          </w:tcPr>
          <w:p w:rsidR="00D6374E" w:rsidRPr="00D6374E" w:rsidRDefault="00D6374E" w:rsidP="00D6374E">
            <w:pPr>
              <w:spacing w:before="40" w:after="40"/>
              <w:rPr>
                <w:rFonts w:eastAsia="Calibri"/>
              </w:rPr>
            </w:pPr>
            <w:r w:rsidRPr="00D6374E">
              <w:rPr>
                <w:rFonts w:eastAsia="Calibri"/>
              </w:rPr>
              <w:t>x</w:t>
            </w:r>
          </w:p>
        </w:tc>
        <w:tc>
          <w:tcPr>
            <w:tcW w:w="2080" w:type="dxa"/>
            <w:vAlign w:val="bottom"/>
          </w:tcPr>
          <w:p w:rsidR="00D6374E" w:rsidRPr="00D6374E" w:rsidRDefault="00D6374E" w:rsidP="00D6374E">
            <w:pPr>
              <w:spacing w:before="40" w:after="40"/>
              <w:rPr>
                <w:rFonts w:eastAsia="Calibri"/>
              </w:rPr>
            </w:pPr>
            <w:r w:rsidRPr="00D6374E">
              <w:rPr>
                <w:rFonts w:eastAsia="Calibri"/>
              </w:rPr>
              <w:t>y</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Y</w:t>
            </w:r>
            <w:r w:rsidRPr="00D6374E">
              <w:rPr>
                <w:rFonts w:eastAsia="Calibri"/>
                <w:vertAlign w:val="subscript"/>
              </w:rPr>
              <w:t>1</w:t>
            </w:r>
          </w:p>
        </w:tc>
        <w:tc>
          <w:tcPr>
            <w:tcW w:w="2079" w:type="dxa"/>
            <w:vAlign w:val="bottom"/>
          </w:tcPr>
          <w:p w:rsidR="00D6374E" w:rsidRPr="00D6374E" w:rsidRDefault="00D6374E" w:rsidP="00D6374E">
            <w:pPr>
              <w:spacing w:before="40" w:after="40"/>
              <w:rPr>
                <w:rFonts w:eastAsia="Calibri"/>
              </w:rPr>
            </w:pPr>
            <w:r w:rsidRPr="00D6374E">
              <w:rPr>
                <w:rFonts w:eastAsia="Calibri"/>
              </w:rPr>
              <w:t>0,505</w:t>
            </w:r>
          </w:p>
        </w:tc>
        <w:tc>
          <w:tcPr>
            <w:tcW w:w="2080" w:type="dxa"/>
            <w:vAlign w:val="bottom"/>
          </w:tcPr>
          <w:p w:rsidR="00D6374E" w:rsidRPr="00D6374E" w:rsidRDefault="00D6374E" w:rsidP="00D6374E">
            <w:pPr>
              <w:spacing w:before="40" w:after="40"/>
              <w:rPr>
                <w:rFonts w:eastAsia="Calibri"/>
              </w:rPr>
            </w:pPr>
            <w:r w:rsidRPr="00D6374E">
              <w:rPr>
                <w:rFonts w:eastAsia="Calibri"/>
              </w:rPr>
              <w:t>0,465</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Y</w:t>
            </w:r>
            <w:r w:rsidRPr="00D6374E">
              <w:rPr>
                <w:rFonts w:eastAsia="Calibri"/>
                <w:vertAlign w:val="subscript"/>
              </w:rPr>
              <w:t>2</w:t>
            </w:r>
          </w:p>
        </w:tc>
        <w:tc>
          <w:tcPr>
            <w:tcW w:w="2079" w:type="dxa"/>
            <w:vAlign w:val="bottom"/>
          </w:tcPr>
          <w:p w:rsidR="00D6374E" w:rsidRPr="00D6374E" w:rsidRDefault="00D6374E" w:rsidP="00D6374E">
            <w:pPr>
              <w:spacing w:before="40" w:after="40"/>
              <w:rPr>
                <w:rFonts w:eastAsia="Calibri"/>
              </w:rPr>
            </w:pPr>
            <w:r w:rsidRPr="00D6374E">
              <w:rPr>
                <w:rFonts w:eastAsia="Calibri"/>
              </w:rPr>
              <w:t>0,520</w:t>
            </w:r>
          </w:p>
        </w:tc>
        <w:tc>
          <w:tcPr>
            <w:tcW w:w="2080" w:type="dxa"/>
            <w:vAlign w:val="bottom"/>
          </w:tcPr>
          <w:p w:rsidR="00D6374E" w:rsidRPr="00D6374E" w:rsidRDefault="00D6374E" w:rsidP="00D6374E">
            <w:pPr>
              <w:spacing w:before="40" w:after="40"/>
              <w:rPr>
                <w:rFonts w:eastAsia="Calibri"/>
              </w:rPr>
            </w:pPr>
            <w:r w:rsidRPr="00D6374E">
              <w:rPr>
                <w:rFonts w:eastAsia="Calibri"/>
              </w:rPr>
              <w:t>0,480</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Y</w:t>
            </w:r>
            <w:r w:rsidRPr="00D6374E">
              <w:rPr>
                <w:rFonts w:eastAsia="Calibri"/>
                <w:vertAlign w:val="subscript"/>
              </w:rPr>
              <w:t>3</w:t>
            </w:r>
          </w:p>
        </w:tc>
        <w:tc>
          <w:tcPr>
            <w:tcW w:w="2079" w:type="dxa"/>
            <w:vAlign w:val="bottom"/>
          </w:tcPr>
          <w:p w:rsidR="00D6374E" w:rsidRPr="00D6374E" w:rsidRDefault="00D6374E" w:rsidP="00D6374E">
            <w:pPr>
              <w:spacing w:before="40" w:after="40"/>
              <w:rPr>
                <w:rFonts w:eastAsia="Calibri"/>
              </w:rPr>
            </w:pPr>
            <w:r w:rsidRPr="00D6374E">
              <w:rPr>
                <w:rFonts w:eastAsia="Calibri"/>
              </w:rPr>
              <w:t>0,610</w:t>
            </w:r>
          </w:p>
        </w:tc>
        <w:tc>
          <w:tcPr>
            <w:tcW w:w="2080" w:type="dxa"/>
            <w:vAlign w:val="bottom"/>
          </w:tcPr>
          <w:p w:rsidR="00D6374E" w:rsidRPr="00D6374E" w:rsidRDefault="00D6374E" w:rsidP="00D6374E">
            <w:pPr>
              <w:spacing w:before="40" w:after="40"/>
              <w:rPr>
                <w:rFonts w:eastAsia="Calibri"/>
              </w:rPr>
            </w:pPr>
            <w:r w:rsidRPr="00D6374E">
              <w:rPr>
                <w:rFonts w:eastAsia="Calibri"/>
              </w:rPr>
              <w:t>0,390</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Y</w:t>
            </w:r>
            <w:r w:rsidRPr="00D6374E">
              <w:rPr>
                <w:rFonts w:eastAsia="Calibri"/>
                <w:vertAlign w:val="subscript"/>
              </w:rPr>
              <w:t>4</w:t>
            </w:r>
          </w:p>
        </w:tc>
        <w:tc>
          <w:tcPr>
            <w:tcW w:w="2079" w:type="dxa"/>
            <w:vAlign w:val="bottom"/>
          </w:tcPr>
          <w:p w:rsidR="00D6374E" w:rsidRPr="00D6374E" w:rsidRDefault="00D6374E" w:rsidP="00D6374E">
            <w:pPr>
              <w:spacing w:before="40" w:after="40"/>
              <w:rPr>
                <w:rFonts w:eastAsia="Calibri"/>
              </w:rPr>
            </w:pPr>
            <w:r w:rsidRPr="00D6374E">
              <w:rPr>
                <w:rFonts w:eastAsia="Calibri"/>
              </w:rPr>
              <w:t>0,585</w:t>
            </w:r>
          </w:p>
        </w:tc>
        <w:tc>
          <w:tcPr>
            <w:tcW w:w="2080" w:type="dxa"/>
            <w:vAlign w:val="bottom"/>
          </w:tcPr>
          <w:p w:rsidR="00D6374E" w:rsidRPr="00D6374E" w:rsidRDefault="00D6374E" w:rsidP="00D6374E">
            <w:pPr>
              <w:spacing w:before="40" w:after="40"/>
              <w:rPr>
                <w:rFonts w:eastAsia="Calibri"/>
              </w:rPr>
            </w:pPr>
            <w:r w:rsidRPr="00D6374E">
              <w:rPr>
                <w:rFonts w:eastAsia="Calibri"/>
              </w:rPr>
              <w:t>0,385</w:t>
            </w:r>
          </w:p>
        </w:tc>
      </w:tr>
    </w:tbl>
    <w:p w:rsidR="00D6374E" w:rsidRPr="00D6374E" w:rsidRDefault="00D6374E" w:rsidP="00FB5C51">
      <w:pPr>
        <w:pStyle w:val="SingleTxtG"/>
        <w:spacing w:before="160"/>
        <w:ind w:left="2268" w:hanging="1134"/>
        <w:rPr>
          <w:rFonts w:eastAsia="Calibri"/>
        </w:rPr>
      </w:pPr>
      <w:r w:rsidRPr="00D6374E">
        <w:rPr>
          <w:rFonts w:eastAsia="Calibri"/>
        </w:rPr>
        <w:t>2.11.2.3</w:t>
      </w:r>
      <w:r w:rsidRPr="00D6374E">
        <w:rPr>
          <w:rFonts w:eastAsia="Calibri"/>
        </w:rPr>
        <w:tab/>
      </w:r>
      <w:r w:rsidRPr="00D6374E">
        <w:rPr>
          <w:rFonts w:eastAsia="Calibri"/>
          <w:lang w:eastAsia="fr-FR"/>
        </w:rPr>
        <w:t>Par “</w:t>
      </w:r>
      <w:r w:rsidRPr="00D6374E">
        <w:rPr>
          <w:rFonts w:eastAsia="Calibri"/>
          <w:i/>
          <w:lang w:eastAsia="fr-FR"/>
        </w:rPr>
        <w:t>jaune-auto</w:t>
      </w:r>
      <w:r w:rsidRPr="00D6374E">
        <w:rPr>
          <w:rFonts w:eastAsia="Calibri"/>
          <w:lang w:eastAsia="fr-FR"/>
        </w:rPr>
        <w:t xml:space="preserve">”, on entend les coordonnées chromatiques </w:t>
      </w:r>
      <w:r w:rsidRPr="00D6374E">
        <w:rPr>
          <w:rFonts w:eastAsia="Calibri"/>
        </w:rPr>
        <w:t>(x, y)</w:t>
      </w:r>
      <w:r w:rsidRPr="00D6374E">
        <w:rPr>
          <w:rFonts w:eastAsia="Calibri"/>
          <w:sz w:val="18"/>
          <w:szCs w:val="18"/>
          <w:vertAlign w:val="superscript"/>
        </w:rPr>
        <w:t>4</w:t>
      </w:r>
      <w:r w:rsidRPr="00D6374E">
        <w:rPr>
          <w:rFonts w:eastAsia="Calibri"/>
          <w:lang w:eastAsia="fr-FR"/>
        </w:rPr>
        <w:t xml:space="preserve"> de la lumière réfléchie comprises dans les zones de chromaticité définies par les limites suivantes :</w:t>
      </w:r>
    </w:p>
    <w:tbl>
      <w:tblPr>
        <w:tblW w:w="0" w:type="auto"/>
        <w:tblInd w:w="2268" w:type="dxa"/>
        <w:tblLayout w:type="fixed"/>
        <w:tblCellMar>
          <w:left w:w="0" w:type="dxa"/>
          <w:right w:w="0" w:type="dxa"/>
        </w:tblCellMar>
        <w:tblLook w:val="01E0" w:firstRow="1" w:lastRow="1" w:firstColumn="1" w:lastColumn="1" w:noHBand="0" w:noVBand="0"/>
      </w:tblPr>
      <w:tblGrid>
        <w:gridCol w:w="2079"/>
        <w:gridCol w:w="2079"/>
        <w:gridCol w:w="2080"/>
      </w:tblGrid>
      <w:tr w:rsidR="00D6374E" w:rsidRPr="00D6374E" w:rsidTr="00DB75DF">
        <w:tc>
          <w:tcPr>
            <w:tcW w:w="2079" w:type="dxa"/>
            <w:shd w:val="clear" w:color="auto" w:fill="auto"/>
          </w:tcPr>
          <w:p w:rsidR="00D6374E" w:rsidRPr="00D6374E" w:rsidRDefault="00D6374E" w:rsidP="00D6374E">
            <w:pPr>
              <w:spacing w:before="40" w:after="40"/>
              <w:rPr>
                <w:rFonts w:eastAsia="Calibri"/>
              </w:rPr>
            </w:pPr>
            <w:r w:rsidRPr="00D6374E">
              <w:rPr>
                <w:rFonts w:eastAsia="Calibri"/>
              </w:rPr>
              <w:t>A</w:t>
            </w:r>
            <w:r w:rsidRPr="00D6374E">
              <w:rPr>
                <w:rFonts w:eastAsia="Calibri"/>
                <w:vertAlign w:val="subscript"/>
              </w:rPr>
              <w:t>12</w:t>
            </w:r>
          </w:p>
        </w:tc>
        <w:tc>
          <w:tcPr>
            <w:tcW w:w="2079" w:type="dxa"/>
            <w:shd w:val="clear" w:color="auto" w:fill="auto"/>
          </w:tcPr>
          <w:p w:rsidR="00D6374E" w:rsidRPr="00D6374E" w:rsidRDefault="00D6374E" w:rsidP="00D6374E">
            <w:pPr>
              <w:spacing w:before="40" w:after="40"/>
              <w:rPr>
                <w:rFonts w:eastAsia="Calibri"/>
              </w:rPr>
            </w:pPr>
            <w:r w:rsidRPr="00D6374E">
              <w:rPr>
                <w:rFonts w:eastAsia="Calibri"/>
              </w:rPr>
              <w:t>limite vers le vert :</w:t>
            </w:r>
          </w:p>
        </w:tc>
        <w:tc>
          <w:tcPr>
            <w:tcW w:w="2080" w:type="dxa"/>
            <w:shd w:val="clear" w:color="auto" w:fill="auto"/>
          </w:tcPr>
          <w:p w:rsidR="00D6374E" w:rsidRPr="00D6374E" w:rsidRDefault="00D6374E" w:rsidP="00D6374E">
            <w:pPr>
              <w:spacing w:before="40" w:after="40"/>
              <w:rPr>
                <w:rFonts w:eastAsia="Calibri"/>
              </w:rPr>
            </w:pPr>
            <w:r w:rsidRPr="00D6374E">
              <w:rPr>
                <w:rFonts w:eastAsia="Calibri"/>
              </w:rPr>
              <w:t>y = 1,417 x - 0,347</w:t>
            </w:r>
          </w:p>
        </w:tc>
      </w:tr>
      <w:tr w:rsidR="00D6374E" w:rsidRPr="00D6374E" w:rsidTr="00DB75DF">
        <w:tc>
          <w:tcPr>
            <w:tcW w:w="2079" w:type="dxa"/>
            <w:shd w:val="clear" w:color="auto" w:fill="auto"/>
          </w:tcPr>
          <w:p w:rsidR="00D6374E" w:rsidRPr="00D6374E" w:rsidRDefault="00D6374E" w:rsidP="00D6374E">
            <w:pPr>
              <w:spacing w:before="40" w:after="40"/>
              <w:rPr>
                <w:rFonts w:eastAsia="Calibri"/>
              </w:rPr>
            </w:pPr>
            <w:r w:rsidRPr="00D6374E">
              <w:rPr>
                <w:rFonts w:eastAsia="Calibri"/>
              </w:rPr>
              <w:t>A</w:t>
            </w:r>
            <w:r w:rsidRPr="00D6374E">
              <w:rPr>
                <w:rFonts w:eastAsia="Calibri"/>
                <w:vertAlign w:val="subscript"/>
              </w:rPr>
              <w:t>23</w:t>
            </w:r>
          </w:p>
        </w:tc>
        <w:tc>
          <w:tcPr>
            <w:tcW w:w="2079" w:type="dxa"/>
            <w:shd w:val="clear" w:color="auto" w:fill="auto"/>
          </w:tcPr>
          <w:p w:rsidR="00D6374E" w:rsidRPr="00D6374E" w:rsidRDefault="00D6374E" w:rsidP="00D6374E">
            <w:pPr>
              <w:spacing w:before="40" w:after="40"/>
              <w:rPr>
                <w:rFonts w:eastAsia="Calibri"/>
              </w:rPr>
            </w:pPr>
            <w:r w:rsidRPr="00D6374E">
              <w:rPr>
                <w:rFonts w:eastAsia="Calibri"/>
              </w:rPr>
              <w:t>lieu spectral</w:t>
            </w:r>
          </w:p>
        </w:tc>
        <w:tc>
          <w:tcPr>
            <w:tcW w:w="2080" w:type="dxa"/>
            <w:shd w:val="clear" w:color="auto" w:fill="auto"/>
          </w:tcPr>
          <w:p w:rsidR="00D6374E" w:rsidRPr="00D6374E" w:rsidRDefault="00D6374E" w:rsidP="00D6374E">
            <w:pPr>
              <w:spacing w:before="40" w:after="40"/>
              <w:rPr>
                <w:rFonts w:eastAsia="Calibri"/>
              </w:rPr>
            </w:pPr>
          </w:p>
        </w:tc>
      </w:tr>
      <w:tr w:rsidR="00D6374E" w:rsidRPr="00D6374E" w:rsidTr="00DB75DF">
        <w:tc>
          <w:tcPr>
            <w:tcW w:w="2079" w:type="dxa"/>
            <w:shd w:val="clear" w:color="auto" w:fill="auto"/>
          </w:tcPr>
          <w:p w:rsidR="00D6374E" w:rsidRPr="00D6374E" w:rsidRDefault="00D6374E" w:rsidP="00D6374E">
            <w:pPr>
              <w:spacing w:before="40" w:after="40"/>
              <w:rPr>
                <w:rFonts w:eastAsia="Calibri"/>
              </w:rPr>
            </w:pPr>
            <w:r w:rsidRPr="00D6374E">
              <w:rPr>
                <w:rFonts w:eastAsia="Calibri"/>
              </w:rPr>
              <w:t>A</w:t>
            </w:r>
            <w:r w:rsidRPr="00D6374E">
              <w:rPr>
                <w:rFonts w:eastAsia="Calibri"/>
                <w:vertAlign w:val="subscript"/>
              </w:rPr>
              <w:t>34</w:t>
            </w:r>
          </w:p>
        </w:tc>
        <w:tc>
          <w:tcPr>
            <w:tcW w:w="2079" w:type="dxa"/>
            <w:shd w:val="clear" w:color="auto" w:fill="auto"/>
          </w:tcPr>
          <w:p w:rsidR="00D6374E" w:rsidRPr="00D6374E" w:rsidRDefault="00D6374E" w:rsidP="00D6374E">
            <w:pPr>
              <w:spacing w:before="40" w:after="40"/>
              <w:rPr>
                <w:rFonts w:eastAsia="Calibri"/>
              </w:rPr>
            </w:pPr>
            <w:r w:rsidRPr="00D6374E">
              <w:rPr>
                <w:rFonts w:eastAsia="Calibri"/>
              </w:rPr>
              <w:t>limite vers le rouge :</w:t>
            </w:r>
          </w:p>
        </w:tc>
        <w:tc>
          <w:tcPr>
            <w:tcW w:w="2080" w:type="dxa"/>
            <w:shd w:val="clear" w:color="auto" w:fill="auto"/>
          </w:tcPr>
          <w:p w:rsidR="00D6374E" w:rsidRPr="00D6374E" w:rsidRDefault="00D6374E" w:rsidP="00D6374E">
            <w:pPr>
              <w:spacing w:before="40" w:after="40"/>
              <w:rPr>
                <w:rFonts w:eastAsia="Calibri"/>
              </w:rPr>
            </w:pPr>
            <w:r w:rsidRPr="00D6374E">
              <w:rPr>
                <w:rFonts w:eastAsia="Calibri"/>
              </w:rPr>
              <w:t>y = 0,390</w:t>
            </w:r>
          </w:p>
        </w:tc>
      </w:tr>
      <w:tr w:rsidR="00D6374E" w:rsidRPr="00D6374E" w:rsidTr="00DB75DF">
        <w:tc>
          <w:tcPr>
            <w:tcW w:w="2079" w:type="dxa"/>
            <w:shd w:val="clear" w:color="auto" w:fill="auto"/>
          </w:tcPr>
          <w:p w:rsidR="00D6374E" w:rsidRPr="00D6374E" w:rsidRDefault="00D6374E" w:rsidP="00D6374E">
            <w:pPr>
              <w:spacing w:before="40" w:after="40"/>
              <w:rPr>
                <w:rFonts w:eastAsia="Calibri"/>
              </w:rPr>
            </w:pPr>
            <w:r w:rsidRPr="00D6374E">
              <w:rPr>
                <w:rFonts w:eastAsia="Calibri"/>
              </w:rPr>
              <w:t>A</w:t>
            </w:r>
            <w:r w:rsidRPr="00D6374E">
              <w:rPr>
                <w:rFonts w:eastAsia="Calibri"/>
                <w:vertAlign w:val="subscript"/>
              </w:rPr>
              <w:t>41</w:t>
            </w:r>
          </w:p>
        </w:tc>
        <w:tc>
          <w:tcPr>
            <w:tcW w:w="2079" w:type="dxa"/>
            <w:shd w:val="clear" w:color="auto" w:fill="auto"/>
          </w:tcPr>
          <w:p w:rsidR="00D6374E" w:rsidRPr="00D6374E" w:rsidRDefault="00D6374E" w:rsidP="00D6374E">
            <w:pPr>
              <w:spacing w:before="40" w:after="40"/>
              <w:rPr>
                <w:rFonts w:eastAsia="Calibri"/>
              </w:rPr>
            </w:pPr>
            <w:r w:rsidRPr="00D6374E">
              <w:rPr>
                <w:rFonts w:eastAsia="Calibri"/>
              </w:rPr>
              <w:t>limite vers le blanc :</w:t>
            </w:r>
          </w:p>
        </w:tc>
        <w:tc>
          <w:tcPr>
            <w:tcW w:w="2080" w:type="dxa"/>
            <w:shd w:val="clear" w:color="auto" w:fill="auto"/>
          </w:tcPr>
          <w:p w:rsidR="00D6374E" w:rsidRPr="00D6374E" w:rsidRDefault="00D6374E" w:rsidP="00D6374E">
            <w:pPr>
              <w:spacing w:before="40" w:after="40"/>
              <w:rPr>
                <w:rFonts w:eastAsia="Calibri"/>
              </w:rPr>
            </w:pPr>
            <w:r w:rsidRPr="00D6374E">
              <w:rPr>
                <w:rFonts w:eastAsia="Calibri"/>
              </w:rPr>
              <w:t>y = 0,790 - 0,670 x</w:t>
            </w:r>
          </w:p>
        </w:tc>
      </w:tr>
    </w:tbl>
    <w:p w:rsidR="00D6374E" w:rsidRPr="00D6374E" w:rsidRDefault="00D6374E" w:rsidP="00505AC3">
      <w:pPr>
        <w:pStyle w:val="SingleTxtG"/>
        <w:spacing w:before="120"/>
        <w:ind w:left="2268"/>
        <w:rPr>
          <w:rFonts w:eastAsia="Calibri"/>
        </w:rPr>
      </w:pPr>
      <w:r w:rsidRPr="00D6374E">
        <w:rPr>
          <w:rFonts w:eastAsia="Calibri"/>
          <w:lang w:eastAsia="fr-FR"/>
        </w:rPr>
        <w:t>Points</w:t>
      </w:r>
      <w:r w:rsidRPr="00D6374E">
        <w:rPr>
          <w:rFonts w:eastAsia="Calibri"/>
        </w:rPr>
        <w:t xml:space="preserve"> </w:t>
      </w:r>
      <w:r w:rsidRPr="00D6374E">
        <w:rPr>
          <w:rFonts w:eastAsia="Calibri"/>
          <w:lang w:eastAsia="fr-FR"/>
        </w:rPr>
        <w:t>d’intersection</w:t>
      </w:r>
      <w:r w:rsidRPr="00D6374E">
        <w:rPr>
          <w:rFonts w:eastAsia="Calibri"/>
        </w:rPr>
        <w:t>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D6374E" w:rsidRPr="00D6374E" w:rsidTr="00DB75DF">
        <w:tc>
          <w:tcPr>
            <w:tcW w:w="2079" w:type="dxa"/>
          </w:tcPr>
          <w:p w:rsidR="00D6374E" w:rsidRPr="00D6374E" w:rsidRDefault="00D6374E" w:rsidP="00D6374E">
            <w:pPr>
              <w:spacing w:before="40" w:after="40"/>
              <w:rPr>
                <w:rFonts w:eastAsia="Calibri"/>
              </w:rPr>
            </w:pPr>
          </w:p>
        </w:tc>
        <w:tc>
          <w:tcPr>
            <w:tcW w:w="2079" w:type="dxa"/>
            <w:vAlign w:val="bottom"/>
          </w:tcPr>
          <w:p w:rsidR="00D6374E" w:rsidRPr="00D6374E" w:rsidRDefault="00D6374E" w:rsidP="00D6374E">
            <w:pPr>
              <w:spacing w:before="40" w:after="40"/>
              <w:rPr>
                <w:rFonts w:eastAsia="Calibri"/>
              </w:rPr>
            </w:pPr>
            <w:r w:rsidRPr="00D6374E">
              <w:rPr>
                <w:rFonts w:eastAsia="Calibri"/>
              </w:rPr>
              <w:t>x</w:t>
            </w:r>
          </w:p>
        </w:tc>
        <w:tc>
          <w:tcPr>
            <w:tcW w:w="2080" w:type="dxa"/>
            <w:vAlign w:val="bottom"/>
          </w:tcPr>
          <w:p w:rsidR="00D6374E" w:rsidRPr="00D6374E" w:rsidRDefault="00D6374E" w:rsidP="00D6374E">
            <w:pPr>
              <w:spacing w:before="40" w:after="40"/>
              <w:rPr>
                <w:rFonts w:eastAsia="Calibri"/>
              </w:rPr>
            </w:pPr>
            <w:r w:rsidRPr="00D6374E">
              <w:rPr>
                <w:rFonts w:eastAsia="Calibri"/>
              </w:rPr>
              <w:t>y</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A</w:t>
            </w:r>
            <w:r w:rsidRPr="00D6374E">
              <w:rPr>
                <w:rFonts w:eastAsia="Calibri"/>
                <w:vertAlign w:val="subscript"/>
              </w:rPr>
              <w:t>1</w:t>
            </w:r>
          </w:p>
        </w:tc>
        <w:tc>
          <w:tcPr>
            <w:tcW w:w="2079" w:type="dxa"/>
            <w:vAlign w:val="bottom"/>
          </w:tcPr>
          <w:p w:rsidR="00D6374E" w:rsidRPr="00D6374E" w:rsidRDefault="00D6374E" w:rsidP="00D6374E">
            <w:pPr>
              <w:spacing w:before="40" w:after="40"/>
              <w:rPr>
                <w:rFonts w:eastAsia="Calibri"/>
              </w:rPr>
            </w:pPr>
            <w:r w:rsidRPr="00D6374E">
              <w:rPr>
                <w:rFonts w:eastAsia="Calibri"/>
              </w:rPr>
              <w:t>0,545</w:t>
            </w:r>
          </w:p>
        </w:tc>
        <w:tc>
          <w:tcPr>
            <w:tcW w:w="2080" w:type="dxa"/>
            <w:vAlign w:val="bottom"/>
          </w:tcPr>
          <w:p w:rsidR="00D6374E" w:rsidRPr="00D6374E" w:rsidRDefault="00D6374E" w:rsidP="00D6374E">
            <w:pPr>
              <w:spacing w:before="40" w:after="40"/>
              <w:rPr>
                <w:rFonts w:eastAsia="Calibri"/>
              </w:rPr>
            </w:pPr>
            <w:r w:rsidRPr="00D6374E">
              <w:rPr>
                <w:rFonts w:eastAsia="Calibri"/>
              </w:rPr>
              <w:t>0,425</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A</w:t>
            </w:r>
            <w:r w:rsidRPr="00D6374E">
              <w:rPr>
                <w:rFonts w:eastAsia="Calibri"/>
                <w:vertAlign w:val="subscript"/>
              </w:rPr>
              <w:t>2</w:t>
            </w:r>
          </w:p>
        </w:tc>
        <w:tc>
          <w:tcPr>
            <w:tcW w:w="2079" w:type="dxa"/>
            <w:vAlign w:val="bottom"/>
          </w:tcPr>
          <w:p w:rsidR="00D6374E" w:rsidRPr="00D6374E" w:rsidRDefault="00D6374E" w:rsidP="00D6374E">
            <w:pPr>
              <w:spacing w:before="40" w:after="40"/>
              <w:rPr>
                <w:rFonts w:eastAsia="Calibri"/>
              </w:rPr>
            </w:pPr>
            <w:r w:rsidRPr="00D6374E">
              <w:rPr>
                <w:rFonts w:eastAsia="Calibri"/>
              </w:rPr>
              <w:t>0,557</w:t>
            </w:r>
          </w:p>
        </w:tc>
        <w:tc>
          <w:tcPr>
            <w:tcW w:w="2080" w:type="dxa"/>
            <w:vAlign w:val="bottom"/>
          </w:tcPr>
          <w:p w:rsidR="00D6374E" w:rsidRPr="00D6374E" w:rsidRDefault="00D6374E" w:rsidP="00D6374E">
            <w:pPr>
              <w:spacing w:before="40" w:after="40"/>
              <w:rPr>
                <w:rFonts w:eastAsia="Calibri"/>
              </w:rPr>
            </w:pPr>
            <w:r w:rsidRPr="00D6374E">
              <w:rPr>
                <w:rFonts w:eastAsia="Calibri"/>
              </w:rPr>
              <w:t>0,442</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A</w:t>
            </w:r>
            <w:r w:rsidRPr="00D6374E">
              <w:rPr>
                <w:rFonts w:eastAsia="Calibri"/>
                <w:vertAlign w:val="subscript"/>
              </w:rPr>
              <w:t>3</w:t>
            </w:r>
          </w:p>
        </w:tc>
        <w:tc>
          <w:tcPr>
            <w:tcW w:w="2079" w:type="dxa"/>
            <w:vAlign w:val="bottom"/>
          </w:tcPr>
          <w:p w:rsidR="00D6374E" w:rsidRPr="00D6374E" w:rsidRDefault="00D6374E" w:rsidP="00D6374E">
            <w:pPr>
              <w:spacing w:before="40" w:after="40"/>
              <w:rPr>
                <w:rFonts w:eastAsia="Calibri"/>
              </w:rPr>
            </w:pPr>
            <w:r w:rsidRPr="00D6374E">
              <w:rPr>
                <w:rFonts w:eastAsia="Calibri"/>
              </w:rPr>
              <w:t>0,609</w:t>
            </w:r>
          </w:p>
        </w:tc>
        <w:tc>
          <w:tcPr>
            <w:tcW w:w="2080" w:type="dxa"/>
            <w:vAlign w:val="bottom"/>
          </w:tcPr>
          <w:p w:rsidR="00D6374E" w:rsidRPr="00D6374E" w:rsidRDefault="00D6374E" w:rsidP="00D6374E">
            <w:pPr>
              <w:spacing w:before="40" w:after="40"/>
              <w:rPr>
                <w:rFonts w:eastAsia="Calibri"/>
              </w:rPr>
            </w:pPr>
            <w:r w:rsidRPr="00D6374E">
              <w:rPr>
                <w:rFonts w:eastAsia="Calibri"/>
              </w:rPr>
              <w:t>0,390</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A</w:t>
            </w:r>
            <w:r w:rsidRPr="00D6374E">
              <w:rPr>
                <w:rFonts w:eastAsia="Calibri"/>
                <w:vertAlign w:val="subscript"/>
              </w:rPr>
              <w:t>4</w:t>
            </w:r>
          </w:p>
        </w:tc>
        <w:tc>
          <w:tcPr>
            <w:tcW w:w="2079" w:type="dxa"/>
            <w:vAlign w:val="bottom"/>
          </w:tcPr>
          <w:p w:rsidR="00D6374E" w:rsidRPr="00D6374E" w:rsidRDefault="00D6374E" w:rsidP="00D6374E">
            <w:pPr>
              <w:spacing w:before="40" w:after="40"/>
              <w:rPr>
                <w:rFonts w:eastAsia="Calibri"/>
              </w:rPr>
            </w:pPr>
            <w:r w:rsidRPr="00D6374E">
              <w:rPr>
                <w:rFonts w:eastAsia="Calibri"/>
              </w:rPr>
              <w:t>0,597</w:t>
            </w:r>
          </w:p>
        </w:tc>
        <w:tc>
          <w:tcPr>
            <w:tcW w:w="2080" w:type="dxa"/>
            <w:vAlign w:val="bottom"/>
          </w:tcPr>
          <w:p w:rsidR="00D6374E" w:rsidRPr="00D6374E" w:rsidRDefault="00D6374E" w:rsidP="00D6374E">
            <w:pPr>
              <w:spacing w:before="40" w:after="40"/>
              <w:rPr>
                <w:rFonts w:eastAsia="Calibri"/>
              </w:rPr>
            </w:pPr>
            <w:r w:rsidRPr="00D6374E">
              <w:rPr>
                <w:rFonts w:eastAsia="Calibri"/>
              </w:rPr>
              <w:t>0,390</w:t>
            </w:r>
          </w:p>
        </w:tc>
      </w:tr>
    </w:tbl>
    <w:p w:rsidR="00D6374E" w:rsidRPr="00D6374E" w:rsidRDefault="00D6374E" w:rsidP="00FB5C51">
      <w:pPr>
        <w:pStyle w:val="SingleTxtG"/>
        <w:spacing w:before="160"/>
        <w:ind w:left="2268" w:hanging="1134"/>
        <w:rPr>
          <w:rFonts w:eastAsia="Calibri"/>
        </w:rPr>
      </w:pPr>
      <w:r w:rsidRPr="00D6374E">
        <w:rPr>
          <w:rFonts w:eastAsia="Calibri"/>
        </w:rPr>
        <w:t>2.</w:t>
      </w:r>
      <w:r w:rsidRPr="00D6374E">
        <w:rPr>
          <w:rFonts w:eastAsia="Calibri"/>
          <w:lang w:eastAsia="fr-FR"/>
        </w:rPr>
        <w:t>11</w:t>
      </w:r>
      <w:r w:rsidRPr="00D6374E">
        <w:rPr>
          <w:rFonts w:eastAsia="Calibri"/>
        </w:rPr>
        <w:t>.2.4</w:t>
      </w:r>
      <w:r w:rsidRPr="00D6374E">
        <w:rPr>
          <w:rFonts w:eastAsia="Calibri"/>
        </w:rPr>
        <w:tab/>
      </w:r>
      <w:r w:rsidRPr="00D6374E">
        <w:rPr>
          <w:rFonts w:eastAsia="Calibri"/>
          <w:lang w:eastAsia="fr-FR"/>
        </w:rPr>
        <w:t>Par “</w:t>
      </w:r>
      <w:r w:rsidRPr="00D6374E">
        <w:rPr>
          <w:rFonts w:eastAsia="Calibri"/>
          <w:i/>
          <w:lang w:eastAsia="fr-FR"/>
        </w:rPr>
        <w:t>rouge</w:t>
      </w:r>
      <w:r w:rsidRPr="00D6374E">
        <w:rPr>
          <w:rFonts w:eastAsia="Calibri"/>
          <w:lang w:eastAsia="fr-FR"/>
        </w:rPr>
        <w:t xml:space="preserve">”, on entend les coordonnées chromatiques </w:t>
      </w:r>
      <w:r w:rsidRPr="00D6374E">
        <w:rPr>
          <w:rFonts w:eastAsia="Calibri"/>
        </w:rPr>
        <w:t>(x, y)</w:t>
      </w:r>
      <w:r w:rsidRPr="00D6374E">
        <w:rPr>
          <w:rFonts w:eastAsia="Calibri"/>
          <w:sz w:val="18"/>
          <w:szCs w:val="18"/>
          <w:vertAlign w:val="superscript"/>
        </w:rPr>
        <w:t>4</w:t>
      </w:r>
      <w:r w:rsidRPr="00D6374E">
        <w:rPr>
          <w:rFonts w:eastAsia="Calibri"/>
        </w:rPr>
        <w:t xml:space="preserve"> </w:t>
      </w:r>
      <w:r w:rsidRPr="00D6374E">
        <w:rPr>
          <w:rFonts w:eastAsia="Calibri"/>
          <w:lang w:eastAsia="fr-FR"/>
        </w:rPr>
        <w:t>de la lumière réfléchie comprises dans les zones de chromaticité définies par les limites suivantes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12</w:t>
            </w:r>
          </w:p>
        </w:tc>
        <w:tc>
          <w:tcPr>
            <w:tcW w:w="2079" w:type="dxa"/>
          </w:tcPr>
          <w:p w:rsidR="00D6374E" w:rsidRPr="00D6374E" w:rsidRDefault="00D6374E" w:rsidP="00D6374E">
            <w:pPr>
              <w:spacing w:before="40" w:after="40"/>
              <w:rPr>
                <w:rFonts w:eastAsia="Calibri"/>
              </w:rPr>
            </w:pPr>
            <w:r w:rsidRPr="00D6374E">
              <w:rPr>
                <w:rFonts w:eastAsia="Calibri"/>
              </w:rPr>
              <w:t>limite vers le jaune :</w:t>
            </w:r>
          </w:p>
        </w:tc>
        <w:tc>
          <w:tcPr>
            <w:tcW w:w="2080" w:type="dxa"/>
          </w:tcPr>
          <w:p w:rsidR="00D6374E" w:rsidRPr="00D6374E" w:rsidRDefault="00D6374E" w:rsidP="00D6374E">
            <w:pPr>
              <w:spacing w:before="40" w:after="40"/>
              <w:rPr>
                <w:rFonts w:eastAsia="Calibri"/>
              </w:rPr>
            </w:pPr>
            <w:r w:rsidRPr="00D6374E">
              <w:rPr>
                <w:rFonts w:eastAsia="Calibri"/>
              </w:rPr>
              <w:t>y = 0,335</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23</w:t>
            </w:r>
          </w:p>
        </w:tc>
        <w:tc>
          <w:tcPr>
            <w:tcW w:w="2079" w:type="dxa"/>
          </w:tcPr>
          <w:p w:rsidR="00D6374E" w:rsidRPr="00D6374E" w:rsidRDefault="00D6374E" w:rsidP="00D6374E">
            <w:pPr>
              <w:spacing w:before="40" w:after="40"/>
              <w:rPr>
                <w:rFonts w:eastAsia="Calibri"/>
              </w:rPr>
            </w:pPr>
            <w:r w:rsidRPr="00D6374E">
              <w:rPr>
                <w:rFonts w:eastAsia="Calibri"/>
              </w:rPr>
              <w:t>lieu spectral</w:t>
            </w:r>
          </w:p>
        </w:tc>
        <w:tc>
          <w:tcPr>
            <w:tcW w:w="2080" w:type="dxa"/>
          </w:tcPr>
          <w:p w:rsidR="00D6374E" w:rsidRPr="00D6374E" w:rsidRDefault="00D6374E" w:rsidP="00D6374E">
            <w:pPr>
              <w:spacing w:before="40" w:after="40"/>
              <w:rPr>
                <w:rFonts w:eastAsia="Calibri"/>
              </w:rPr>
            </w:pP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34</w:t>
            </w:r>
          </w:p>
        </w:tc>
        <w:tc>
          <w:tcPr>
            <w:tcW w:w="2079" w:type="dxa"/>
          </w:tcPr>
          <w:p w:rsidR="00D6374E" w:rsidRPr="00D6374E" w:rsidRDefault="00D6374E" w:rsidP="00D6374E">
            <w:pPr>
              <w:spacing w:before="40" w:after="40"/>
              <w:rPr>
                <w:rFonts w:eastAsia="Calibri"/>
              </w:rPr>
            </w:pPr>
            <w:r w:rsidRPr="00D6374E">
              <w:rPr>
                <w:rFonts w:eastAsia="Calibri"/>
              </w:rPr>
              <w:t>ligne violette</w:t>
            </w:r>
          </w:p>
        </w:tc>
        <w:tc>
          <w:tcPr>
            <w:tcW w:w="2080" w:type="dxa"/>
          </w:tcPr>
          <w:p w:rsidR="00D6374E" w:rsidRPr="00D6374E" w:rsidRDefault="00D6374E" w:rsidP="00D6374E">
            <w:pPr>
              <w:spacing w:before="40" w:after="40"/>
              <w:rPr>
                <w:rFonts w:eastAsia="Calibri"/>
              </w:rPr>
            </w:pP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41</w:t>
            </w:r>
          </w:p>
        </w:tc>
        <w:tc>
          <w:tcPr>
            <w:tcW w:w="2079" w:type="dxa"/>
          </w:tcPr>
          <w:p w:rsidR="00D6374E" w:rsidRPr="00D6374E" w:rsidRDefault="00D6374E" w:rsidP="00D6374E">
            <w:pPr>
              <w:spacing w:before="40" w:after="40"/>
              <w:rPr>
                <w:rFonts w:eastAsia="Calibri"/>
              </w:rPr>
            </w:pPr>
            <w:r w:rsidRPr="00D6374E">
              <w:rPr>
                <w:rFonts w:eastAsia="Calibri"/>
              </w:rPr>
              <w:t>limite vers le violet :</w:t>
            </w:r>
          </w:p>
        </w:tc>
        <w:tc>
          <w:tcPr>
            <w:tcW w:w="2080" w:type="dxa"/>
          </w:tcPr>
          <w:p w:rsidR="00D6374E" w:rsidRPr="00D6374E" w:rsidRDefault="00D6374E" w:rsidP="00D6374E">
            <w:pPr>
              <w:spacing w:before="40" w:after="40"/>
              <w:rPr>
                <w:rFonts w:eastAsia="Calibri"/>
              </w:rPr>
            </w:pPr>
            <w:r w:rsidRPr="00D6374E">
              <w:rPr>
                <w:rFonts w:eastAsia="Calibri"/>
              </w:rPr>
              <w:t>y = 0,978 - x</w:t>
            </w:r>
          </w:p>
        </w:tc>
      </w:tr>
    </w:tbl>
    <w:p w:rsidR="00D6374E" w:rsidRPr="00D6374E" w:rsidRDefault="00D6374E" w:rsidP="00505AC3">
      <w:pPr>
        <w:pStyle w:val="SingleTxtG"/>
        <w:spacing w:before="120"/>
        <w:ind w:left="2268"/>
        <w:rPr>
          <w:rFonts w:eastAsia="Calibri"/>
        </w:rPr>
      </w:pPr>
      <w:r w:rsidRPr="00D6374E">
        <w:rPr>
          <w:rFonts w:eastAsia="Calibri"/>
        </w:rPr>
        <w:t xml:space="preserve">Points </w:t>
      </w:r>
      <w:r w:rsidRPr="00D6374E">
        <w:rPr>
          <w:rFonts w:eastAsia="Calibri"/>
          <w:lang w:eastAsia="fr-FR"/>
        </w:rPr>
        <w:t>d’intersection</w:t>
      </w:r>
      <w:r w:rsidRPr="00D6374E">
        <w:rPr>
          <w:rFonts w:eastAsia="Calibri"/>
        </w:rPr>
        <w:t>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D6374E" w:rsidRPr="00D6374E" w:rsidTr="00DB75DF">
        <w:tc>
          <w:tcPr>
            <w:tcW w:w="2079" w:type="dxa"/>
          </w:tcPr>
          <w:p w:rsidR="00D6374E" w:rsidRPr="00D6374E" w:rsidRDefault="00D6374E" w:rsidP="00D6374E">
            <w:pPr>
              <w:spacing w:before="40" w:after="40"/>
              <w:rPr>
                <w:rFonts w:eastAsia="Calibri"/>
              </w:rPr>
            </w:pPr>
          </w:p>
        </w:tc>
        <w:tc>
          <w:tcPr>
            <w:tcW w:w="2079" w:type="dxa"/>
            <w:vAlign w:val="bottom"/>
          </w:tcPr>
          <w:p w:rsidR="00D6374E" w:rsidRPr="00D6374E" w:rsidRDefault="00D6374E" w:rsidP="00D6374E">
            <w:pPr>
              <w:spacing w:before="40" w:after="40"/>
              <w:rPr>
                <w:rFonts w:eastAsia="Calibri"/>
              </w:rPr>
            </w:pPr>
            <w:r w:rsidRPr="00D6374E">
              <w:rPr>
                <w:rFonts w:eastAsia="Calibri"/>
              </w:rPr>
              <w:t>x</w:t>
            </w:r>
          </w:p>
        </w:tc>
        <w:tc>
          <w:tcPr>
            <w:tcW w:w="2080" w:type="dxa"/>
            <w:vAlign w:val="bottom"/>
          </w:tcPr>
          <w:p w:rsidR="00D6374E" w:rsidRPr="00D6374E" w:rsidRDefault="00D6374E" w:rsidP="00D6374E">
            <w:pPr>
              <w:spacing w:before="40" w:after="40"/>
              <w:rPr>
                <w:rFonts w:eastAsia="Calibri"/>
              </w:rPr>
            </w:pPr>
            <w:r w:rsidRPr="00D6374E">
              <w:rPr>
                <w:rFonts w:eastAsia="Calibri"/>
              </w:rPr>
              <w:t>y</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1</w:t>
            </w:r>
          </w:p>
        </w:tc>
        <w:tc>
          <w:tcPr>
            <w:tcW w:w="2079" w:type="dxa"/>
            <w:vAlign w:val="bottom"/>
          </w:tcPr>
          <w:p w:rsidR="00D6374E" w:rsidRPr="00D6374E" w:rsidRDefault="00D6374E" w:rsidP="00D6374E">
            <w:pPr>
              <w:spacing w:before="40" w:after="40"/>
              <w:rPr>
                <w:rFonts w:eastAsia="Calibri"/>
              </w:rPr>
            </w:pPr>
            <w:r w:rsidRPr="00D6374E">
              <w:rPr>
                <w:rFonts w:eastAsia="Calibri"/>
              </w:rPr>
              <w:t>0,643</w:t>
            </w:r>
          </w:p>
        </w:tc>
        <w:tc>
          <w:tcPr>
            <w:tcW w:w="2080" w:type="dxa"/>
            <w:vAlign w:val="bottom"/>
          </w:tcPr>
          <w:p w:rsidR="00D6374E" w:rsidRPr="00D6374E" w:rsidRDefault="00D6374E" w:rsidP="00D6374E">
            <w:pPr>
              <w:spacing w:before="40" w:after="40"/>
              <w:rPr>
                <w:rFonts w:eastAsia="Calibri"/>
              </w:rPr>
            </w:pPr>
            <w:r w:rsidRPr="00D6374E">
              <w:rPr>
                <w:rFonts w:eastAsia="Calibri"/>
              </w:rPr>
              <w:t>0,335</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2</w:t>
            </w:r>
          </w:p>
        </w:tc>
        <w:tc>
          <w:tcPr>
            <w:tcW w:w="2079" w:type="dxa"/>
            <w:vAlign w:val="bottom"/>
          </w:tcPr>
          <w:p w:rsidR="00D6374E" w:rsidRPr="00D6374E" w:rsidRDefault="00D6374E" w:rsidP="00D6374E">
            <w:pPr>
              <w:spacing w:before="40" w:after="40"/>
              <w:rPr>
                <w:rFonts w:eastAsia="Calibri"/>
              </w:rPr>
            </w:pPr>
            <w:r w:rsidRPr="00D6374E">
              <w:rPr>
                <w:rFonts w:eastAsia="Calibri"/>
              </w:rPr>
              <w:t>0,665</w:t>
            </w:r>
          </w:p>
        </w:tc>
        <w:tc>
          <w:tcPr>
            <w:tcW w:w="2080" w:type="dxa"/>
            <w:vAlign w:val="bottom"/>
          </w:tcPr>
          <w:p w:rsidR="00D6374E" w:rsidRPr="00D6374E" w:rsidRDefault="00D6374E" w:rsidP="00D6374E">
            <w:pPr>
              <w:spacing w:before="40" w:after="40"/>
              <w:rPr>
                <w:rFonts w:eastAsia="Calibri"/>
              </w:rPr>
            </w:pPr>
            <w:r w:rsidRPr="00D6374E">
              <w:rPr>
                <w:rFonts w:eastAsia="Calibri"/>
              </w:rPr>
              <w:t>0,335</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3</w:t>
            </w:r>
          </w:p>
        </w:tc>
        <w:tc>
          <w:tcPr>
            <w:tcW w:w="2079" w:type="dxa"/>
            <w:vAlign w:val="bottom"/>
          </w:tcPr>
          <w:p w:rsidR="00D6374E" w:rsidRPr="00D6374E" w:rsidRDefault="00D6374E" w:rsidP="00D6374E">
            <w:pPr>
              <w:spacing w:before="40" w:after="40"/>
              <w:rPr>
                <w:rFonts w:eastAsia="Calibri"/>
              </w:rPr>
            </w:pPr>
            <w:r w:rsidRPr="00D6374E">
              <w:rPr>
                <w:rFonts w:eastAsia="Calibri"/>
              </w:rPr>
              <w:t>0,735</w:t>
            </w:r>
          </w:p>
        </w:tc>
        <w:tc>
          <w:tcPr>
            <w:tcW w:w="2080" w:type="dxa"/>
            <w:vAlign w:val="bottom"/>
          </w:tcPr>
          <w:p w:rsidR="00D6374E" w:rsidRPr="00D6374E" w:rsidRDefault="00D6374E" w:rsidP="00D6374E">
            <w:pPr>
              <w:spacing w:before="40" w:after="40"/>
              <w:rPr>
                <w:rFonts w:eastAsia="Calibri"/>
              </w:rPr>
            </w:pPr>
            <w:r w:rsidRPr="00D6374E">
              <w:rPr>
                <w:rFonts w:eastAsia="Calibri"/>
              </w:rPr>
              <w:t>0,265</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4</w:t>
            </w:r>
          </w:p>
        </w:tc>
        <w:tc>
          <w:tcPr>
            <w:tcW w:w="2079" w:type="dxa"/>
            <w:vAlign w:val="bottom"/>
          </w:tcPr>
          <w:p w:rsidR="00D6374E" w:rsidRPr="00D6374E" w:rsidRDefault="00D6374E" w:rsidP="00D6374E">
            <w:pPr>
              <w:spacing w:before="40" w:after="40"/>
              <w:rPr>
                <w:rFonts w:eastAsia="Calibri"/>
              </w:rPr>
            </w:pPr>
            <w:r w:rsidRPr="00D6374E">
              <w:rPr>
                <w:rFonts w:eastAsia="Calibri"/>
              </w:rPr>
              <w:t>0,720</w:t>
            </w:r>
          </w:p>
        </w:tc>
        <w:tc>
          <w:tcPr>
            <w:tcW w:w="2080" w:type="dxa"/>
            <w:vAlign w:val="bottom"/>
          </w:tcPr>
          <w:p w:rsidR="00D6374E" w:rsidRPr="00D6374E" w:rsidRDefault="00D6374E" w:rsidP="00D6374E">
            <w:pPr>
              <w:spacing w:before="40" w:after="40"/>
              <w:rPr>
                <w:rFonts w:eastAsia="Calibri"/>
              </w:rPr>
            </w:pPr>
            <w:r w:rsidRPr="00D6374E">
              <w:rPr>
                <w:rFonts w:eastAsia="Calibri"/>
              </w:rPr>
              <w:t>0,258</w:t>
            </w:r>
          </w:p>
        </w:tc>
      </w:tr>
    </w:tbl>
    <w:p w:rsidR="00D6374E" w:rsidRPr="00D6374E" w:rsidRDefault="00D6374E" w:rsidP="00FB5C51">
      <w:pPr>
        <w:pStyle w:val="SingleTxtG"/>
        <w:keepNext/>
        <w:keepLines/>
        <w:spacing w:before="120"/>
        <w:ind w:left="2268" w:hanging="1134"/>
        <w:rPr>
          <w:rFonts w:eastAsia="Calibri"/>
        </w:rPr>
      </w:pPr>
      <w:r w:rsidRPr="00D6374E">
        <w:rPr>
          <w:rFonts w:eastAsia="Calibri"/>
        </w:rPr>
        <w:lastRenderedPageBreak/>
        <w:t>2.</w:t>
      </w:r>
      <w:r w:rsidRPr="00D6374E">
        <w:rPr>
          <w:rFonts w:eastAsia="Calibri"/>
          <w:lang w:eastAsia="fr-FR"/>
        </w:rPr>
        <w:t>11</w:t>
      </w:r>
      <w:r w:rsidRPr="00D6374E">
        <w:rPr>
          <w:rFonts w:eastAsia="Calibri"/>
        </w:rPr>
        <w:t>.3</w:t>
      </w:r>
      <w:r w:rsidRPr="00D6374E">
        <w:rPr>
          <w:rFonts w:eastAsia="Calibri"/>
        </w:rPr>
        <w:tab/>
      </w:r>
      <w:r w:rsidRPr="00D6374E">
        <w:rPr>
          <w:rFonts w:eastAsia="Calibri"/>
          <w:lang w:eastAsia="fr-FR"/>
        </w:rPr>
        <w:t>Couleur diurne de la lumière réfléchie par un dispositif</w:t>
      </w:r>
    </w:p>
    <w:p w:rsidR="00D6374E" w:rsidRPr="00D6374E" w:rsidRDefault="00D6374E" w:rsidP="00FB5C51">
      <w:pPr>
        <w:pStyle w:val="SingleTxtG"/>
        <w:keepNext/>
        <w:keepLines/>
        <w:spacing w:before="120"/>
        <w:ind w:left="2268" w:hanging="1134"/>
        <w:rPr>
          <w:rFonts w:eastAsia="Calibri"/>
        </w:rPr>
      </w:pPr>
      <w:r w:rsidRPr="00D6374E">
        <w:rPr>
          <w:rFonts w:eastAsia="Calibri"/>
        </w:rPr>
        <w:t>2.</w:t>
      </w:r>
      <w:r w:rsidRPr="00D6374E">
        <w:rPr>
          <w:rFonts w:eastAsia="Calibri"/>
          <w:lang w:eastAsia="fr-FR"/>
        </w:rPr>
        <w:t>11</w:t>
      </w:r>
      <w:r w:rsidRPr="00D6374E">
        <w:rPr>
          <w:rFonts w:eastAsia="Calibri"/>
        </w:rPr>
        <w:t>.3.1</w:t>
      </w:r>
      <w:r w:rsidRPr="00D6374E">
        <w:rPr>
          <w:rFonts w:eastAsia="Calibri"/>
        </w:rPr>
        <w:tab/>
      </w:r>
      <w:r w:rsidRPr="00D6374E">
        <w:rPr>
          <w:rFonts w:eastAsia="Calibri"/>
          <w:lang w:eastAsia="fr-FR"/>
        </w:rPr>
        <w:t>Par “</w:t>
      </w:r>
      <w:r w:rsidRPr="00D6374E">
        <w:rPr>
          <w:rFonts w:eastAsia="Calibri"/>
          <w:i/>
          <w:lang w:eastAsia="fr-FR"/>
        </w:rPr>
        <w:t>blanc</w:t>
      </w:r>
      <w:r w:rsidRPr="00D6374E">
        <w:rPr>
          <w:rFonts w:eastAsia="Calibri"/>
          <w:lang w:eastAsia="fr-FR"/>
        </w:rPr>
        <w:t>”, on entend les coordonnées chromatiques (x, y)</w:t>
      </w:r>
      <w:r w:rsidRPr="00D6374E">
        <w:rPr>
          <w:rFonts w:eastAsia="Calibri"/>
          <w:sz w:val="18"/>
          <w:szCs w:val="18"/>
          <w:vertAlign w:val="superscript"/>
        </w:rPr>
        <w:t>4</w:t>
      </w:r>
      <w:r w:rsidRPr="00D6374E">
        <w:rPr>
          <w:rFonts w:eastAsia="Calibri"/>
          <w:lang w:eastAsia="fr-FR"/>
        </w:rPr>
        <w:t xml:space="preserve"> de la lumière réfléchie comprises dans les zones de chromaticité définies par les limites suivantes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79"/>
      </w:tblGrid>
      <w:tr w:rsidR="00D6374E" w:rsidRPr="00D6374E" w:rsidTr="00DB75DF">
        <w:trPr>
          <w:trHeight w:val="20"/>
        </w:trPr>
        <w:tc>
          <w:tcPr>
            <w:tcW w:w="2079" w:type="dxa"/>
            <w:noWrap/>
          </w:tcPr>
          <w:p w:rsidR="00D6374E" w:rsidRPr="00D6374E" w:rsidRDefault="00D6374E" w:rsidP="00FB5C51">
            <w:pPr>
              <w:keepNext/>
              <w:keepLines/>
              <w:spacing w:before="40" w:after="40"/>
              <w:rPr>
                <w:rFonts w:eastAsia="Calibri"/>
              </w:rPr>
            </w:pPr>
            <w:r w:rsidRPr="00D6374E">
              <w:rPr>
                <w:rFonts w:eastAsia="Calibri"/>
              </w:rPr>
              <w:t>W</w:t>
            </w:r>
            <w:r w:rsidRPr="00D6374E">
              <w:rPr>
                <w:rFonts w:eastAsia="Calibri"/>
                <w:vertAlign w:val="subscript"/>
              </w:rPr>
              <w:t>12</w:t>
            </w:r>
          </w:p>
        </w:tc>
        <w:tc>
          <w:tcPr>
            <w:tcW w:w="2079" w:type="dxa"/>
          </w:tcPr>
          <w:p w:rsidR="00D6374E" w:rsidRPr="00D6374E" w:rsidRDefault="00D6374E" w:rsidP="00FB5C51">
            <w:pPr>
              <w:keepNext/>
              <w:keepLines/>
              <w:spacing w:before="40" w:after="40"/>
              <w:rPr>
                <w:rFonts w:eastAsia="Calibri"/>
              </w:rPr>
            </w:pPr>
            <w:r w:rsidRPr="00D6374E">
              <w:rPr>
                <w:rFonts w:eastAsia="Calibri"/>
              </w:rPr>
              <w:t>limite vers le violet :</w:t>
            </w:r>
          </w:p>
        </w:tc>
        <w:tc>
          <w:tcPr>
            <w:tcW w:w="2079" w:type="dxa"/>
            <w:noWrap/>
          </w:tcPr>
          <w:p w:rsidR="00D6374E" w:rsidRPr="00D6374E" w:rsidRDefault="00D6374E" w:rsidP="00FB5C51">
            <w:pPr>
              <w:keepNext/>
              <w:keepLines/>
              <w:spacing w:before="40" w:after="40"/>
              <w:rPr>
                <w:rFonts w:eastAsia="Calibri"/>
              </w:rPr>
            </w:pPr>
            <w:r w:rsidRPr="00D6374E">
              <w:rPr>
                <w:rFonts w:eastAsia="Calibri"/>
              </w:rPr>
              <w:t>y = x - 0,030</w:t>
            </w:r>
          </w:p>
        </w:tc>
      </w:tr>
      <w:tr w:rsidR="00D6374E" w:rsidRPr="00D6374E" w:rsidTr="00DB75DF">
        <w:trPr>
          <w:trHeight w:val="20"/>
        </w:trPr>
        <w:tc>
          <w:tcPr>
            <w:tcW w:w="2079" w:type="dxa"/>
            <w:noWrap/>
          </w:tcPr>
          <w:p w:rsidR="00D6374E" w:rsidRPr="00D6374E" w:rsidRDefault="00D6374E" w:rsidP="00FB5C51">
            <w:pPr>
              <w:keepNext/>
              <w:keepLines/>
              <w:spacing w:before="40" w:after="40"/>
              <w:rPr>
                <w:rFonts w:eastAsia="Calibri"/>
              </w:rPr>
            </w:pPr>
            <w:r w:rsidRPr="00D6374E">
              <w:rPr>
                <w:rFonts w:eastAsia="Calibri"/>
              </w:rPr>
              <w:t>W</w:t>
            </w:r>
            <w:r w:rsidRPr="00D6374E">
              <w:rPr>
                <w:rFonts w:eastAsia="Calibri"/>
                <w:vertAlign w:val="subscript"/>
              </w:rPr>
              <w:t>23</w:t>
            </w:r>
          </w:p>
        </w:tc>
        <w:tc>
          <w:tcPr>
            <w:tcW w:w="2079" w:type="dxa"/>
          </w:tcPr>
          <w:p w:rsidR="00D6374E" w:rsidRPr="00D6374E" w:rsidRDefault="00D6374E" w:rsidP="00FB5C51">
            <w:pPr>
              <w:keepNext/>
              <w:keepLines/>
              <w:spacing w:before="40" w:after="40"/>
              <w:rPr>
                <w:rFonts w:eastAsia="Calibri"/>
              </w:rPr>
            </w:pPr>
            <w:r w:rsidRPr="00D6374E">
              <w:rPr>
                <w:rFonts w:eastAsia="Calibri"/>
              </w:rPr>
              <w:t>limite vers le jaune :</w:t>
            </w:r>
          </w:p>
        </w:tc>
        <w:tc>
          <w:tcPr>
            <w:tcW w:w="2079" w:type="dxa"/>
            <w:noWrap/>
          </w:tcPr>
          <w:p w:rsidR="00D6374E" w:rsidRPr="00D6374E" w:rsidRDefault="00D6374E" w:rsidP="00FB5C51">
            <w:pPr>
              <w:keepNext/>
              <w:keepLines/>
              <w:spacing w:before="40" w:after="40"/>
              <w:rPr>
                <w:rFonts w:eastAsia="Calibri"/>
              </w:rPr>
            </w:pPr>
            <w:r w:rsidRPr="00D6374E">
              <w:rPr>
                <w:rFonts w:eastAsia="Calibri"/>
              </w:rPr>
              <w:t>y = 0,740 - x</w:t>
            </w:r>
          </w:p>
        </w:tc>
      </w:tr>
      <w:tr w:rsidR="00D6374E" w:rsidRPr="00D6374E" w:rsidTr="00DB75DF">
        <w:trPr>
          <w:trHeight w:val="20"/>
        </w:trPr>
        <w:tc>
          <w:tcPr>
            <w:tcW w:w="2079" w:type="dxa"/>
            <w:noWrap/>
          </w:tcPr>
          <w:p w:rsidR="00D6374E" w:rsidRPr="00D6374E" w:rsidRDefault="00D6374E" w:rsidP="00FB5C51">
            <w:pPr>
              <w:keepNext/>
              <w:keepLines/>
              <w:spacing w:before="40" w:after="40"/>
              <w:rPr>
                <w:rFonts w:eastAsia="Calibri"/>
              </w:rPr>
            </w:pPr>
            <w:r w:rsidRPr="00D6374E">
              <w:rPr>
                <w:rFonts w:eastAsia="Calibri"/>
              </w:rPr>
              <w:t>W</w:t>
            </w:r>
            <w:r w:rsidRPr="00D6374E">
              <w:rPr>
                <w:rFonts w:eastAsia="Calibri"/>
                <w:vertAlign w:val="subscript"/>
              </w:rPr>
              <w:t>34</w:t>
            </w:r>
          </w:p>
        </w:tc>
        <w:tc>
          <w:tcPr>
            <w:tcW w:w="2079" w:type="dxa"/>
          </w:tcPr>
          <w:p w:rsidR="00D6374E" w:rsidRPr="00D6374E" w:rsidRDefault="00D6374E" w:rsidP="00FB5C51">
            <w:pPr>
              <w:keepNext/>
              <w:keepLines/>
              <w:spacing w:before="40" w:after="40"/>
              <w:rPr>
                <w:rFonts w:eastAsia="Calibri"/>
              </w:rPr>
            </w:pPr>
            <w:r w:rsidRPr="00D6374E">
              <w:rPr>
                <w:rFonts w:eastAsia="Calibri"/>
              </w:rPr>
              <w:t>limite vers le vert :</w:t>
            </w:r>
          </w:p>
        </w:tc>
        <w:tc>
          <w:tcPr>
            <w:tcW w:w="2079" w:type="dxa"/>
            <w:noWrap/>
          </w:tcPr>
          <w:p w:rsidR="00D6374E" w:rsidRPr="00D6374E" w:rsidRDefault="00D6374E" w:rsidP="00FB5C51">
            <w:pPr>
              <w:keepNext/>
              <w:keepLines/>
              <w:spacing w:before="40" w:after="40"/>
              <w:rPr>
                <w:rFonts w:eastAsia="Calibri"/>
              </w:rPr>
            </w:pPr>
            <w:r w:rsidRPr="00D6374E">
              <w:rPr>
                <w:rFonts w:eastAsia="Calibri"/>
              </w:rPr>
              <w:t>y = x + 0,050</w:t>
            </w:r>
          </w:p>
        </w:tc>
      </w:tr>
      <w:tr w:rsidR="00D6374E" w:rsidRPr="00D6374E" w:rsidTr="00DB75DF">
        <w:trPr>
          <w:trHeight w:val="20"/>
        </w:trPr>
        <w:tc>
          <w:tcPr>
            <w:tcW w:w="2079" w:type="dxa"/>
            <w:noWrap/>
          </w:tcPr>
          <w:p w:rsidR="00D6374E" w:rsidRPr="00D6374E" w:rsidRDefault="00D6374E" w:rsidP="00FB5C51">
            <w:pPr>
              <w:keepNext/>
              <w:keepLines/>
              <w:spacing w:before="40" w:after="40"/>
              <w:rPr>
                <w:rFonts w:eastAsia="Calibri"/>
              </w:rPr>
            </w:pPr>
            <w:r w:rsidRPr="00D6374E">
              <w:rPr>
                <w:rFonts w:eastAsia="Calibri"/>
              </w:rPr>
              <w:t>W</w:t>
            </w:r>
            <w:r w:rsidRPr="00D6374E">
              <w:rPr>
                <w:rFonts w:eastAsia="Calibri"/>
                <w:vertAlign w:val="subscript"/>
              </w:rPr>
              <w:t>41</w:t>
            </w:r>
          </w:p>
        </w:tc>
        <w:tc>
          <w:tcPr>
            <w:tcW w:w="2079" w:type="dxa"/>
          </w:tcPr>
          <w:p w:rsidR="00D6374E" w:rsidRPr="00D6374E" w:rsidRDefault="00D6374E" w:rsidP="00FB5C51">
            <w:pPr>
              <w:keepNext/>
              <w:keepLines/>
              <w:spacing w:before="40" w:after="40"/>
              <w:rPr>
                <w:rFonts w:eastAsia="Calibri"/>
              </w:rPr>
            </w:pPr>
            <w:r w:rsidRPr="00D6374E">
              <w:rPr>
                <w:rFonts w:eastAsia="Calibri"/>
              </w:rPr>
              <w:t>limite vers le bleu :</w:t>
            </w:r>
          </w:p>
        </w:tc>
        <w:tc>
          <w:tcPr>
            <w:tcW w:w="2079" w:type="dxa"/>
            <w:noWrap/>
          </w:tcPr>
          <w:p w:rsidR="00D6374E" w:rsidRPr="00D6374E" w:rsidRDefault="00D6374E" w:rsidP="00FB5C51">
            <w:pPr>
              <w:keepNext/>
              <w:keepLines/>
              <w:spacing w:before="40" w:after="40"/>
              <w:rPr>
                <w:rFonts w:eastAsia="Calibri"/>
              </w:rPr>
            </w:pPr>
            <w:r w:rsidRPr="00D6374E">
              <w:rPr>
                <w:rFonts w:eastAsia="Calibri"/>
              </w:rPr>
              <w:t>y = 0,570 - x</w:t>
            </w:r>
          </w:p>
        </w:tc>
      </w:tr>
    </w:tbl>
    <w:p w:rsidR="00D6374E" w:rsidRPr="00D6374E" w:rsidRDefault="00D6374E" w:rsidP="00505AC3">
      <w:pPr>
        <w:pStyle w:val="SingleTxtG"/>
        <w:spacing w:before="120"/>
        <w:ind w:left="2268"/>
        <w:rPr>
          <w:rFonts w:eastAsia="Calibri"/>
        </w:rPr>
      </w:pPr>
      <w:r w:rsidRPr="00D6374E">
        <w:rPr>
          <w:rFonts w:eastAsia="Calibri"/>
        </w:rPr>
        <w:t xml:space="preserve">Points </w:t>
      </w:r>
      <w:r w:rsidRPr="00D6374E">
        <w:rPr>
          <w:rFonts w:eastAsia="Calibri"/>
          <w:lang w:eastAsia="fr-FR"/>
        </w:rPr>
        <w:t>d’intersection</w:t>
      </w:r>
      <w:r w:rsidRPr="00D6374E">
        <w:rPr>
          <w:rFonts w:eastAsia="Calibri"/>
        </w:rPr>
        <w:t>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D6374E" w:rsidRPr="00D6374E" w:rsidTr="00DB75DF">
        <w:tc>
          <w:tcPr>
            <w:tcW w:w="2079" w:type="dxa"/>
          </w:tcPr>
          <w:p w:rsidR="00D6374E" w:rsidRPr="00D6374E" w:rsidRDefault="00D6374E" w:rsidP="00D6374E">
            <w:pPr>
              <w:spacing w:before="40" w:after="40"/>
              <w:rPr>
                <w:rFonts w:eastAsia="Calibri"/>
              </w:rPr>
            </w:pPr>
          </w:p>
        </w:tc>
        <w:tc>
          <w:tcPr>
            <w:tcW w:w="2079" w:type="dxa"/>
            <w:vAlign w:val="bottom"/>
          </w:tcPr>
          <w:p w:rsidR="00D6374E" w:rsidRPr="00D6374E" w:rsidRDefault="00D6374E" w:rsidP="00D6374E">
            <w:pPr>
              <w:spacing w:before="40" w:after="40"/>
              <w:rPr>
                <w:rFonts w:eastAsia="Calibri"/>
              </w:rPr>
            </w:pPr>
            <w:r w:rsidRPr="00D6374E">
              <w:rPr>
                <w:rFonts w:eastAsia="Calibri"/>
              </w:rPr>
              <w:t>x</w:t>
            </w:r>
          </w:p>
        </w:tc>
        <w:tc>
          <w:tcPr>
            <w:tcW w:w="2080" w:type="dxa"/>
            <w:vAlign w:val="bottom"/>
          </w:tcPr>
          <w:p w:rsidR="00D6374E" w:rsidRPr="00D6374E" w:rsidRDefault="00D6374E" w:rsidP="00D6374E">
            <w:pPr>
              <w:spacing w:before="40" w:after="40"/>
              <w:rPr>
                <w:rFonts w:eastAsia="Calibri"/>
              </w:rPr>
            </w:pPr>
            <w:r w:rsidRPr="00D6374E">
              <w:rPr>
                <w:rFonts w:eastAsia="Calibri"/>
              </w:rPr>
              <w:t>y</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W</w:t>
            </w:r>
            <w:r w:rsidRPr="00D6374E">
              <w:rPr>
                <w:rFonts w:eastAsia="Calibri"/>
                <w:vertAlign w:val="subscript"/>
              </w:rPr>
              <w:t>1</w:t>
            </w:r>
          </w:p>
        </w:tc>
        <w:tc>
          <w:tcPr>
            <w:tcW w:w="2079" w:type="dxa"/>
            <w:vAlign w:val="bottom"/>
          </w:tcPr>
          <w:p w:rsidR="00D6374E" w:rsidRPr="00D6374E" w:rsidRDefault="00D6374E" w:rsidP="00D6374E">
            <w:pPr>
              <w:spacing w:before="40" w:after="40"/>
              <w:rPr>
                <w:rFonts w:eastAsia="Calibri"/>
              </w:rPr>
            </w:pPr>
            <w:r w:rsidRPr="00D6374E">
              <w:rPr>
                <w:rFonts w:eastAsia="Calibri"/>
              </w:rPr>
              <w:t>0,300</w:t>
            </w:r>
          </w:p>
        </w:tc>
        <w:tc>
          <w:tcPr>
            <w:tcW w:w="2080" w:type="dxa"/>
            <w:vAlign w:val="bottom"/>
          </w:tcPr>
          <w:p w:rsidR="00D6374E" w:rsidRPr="00D6374E" w:rsidRDefault="00D6374E" w:rsidP="00D6374E">
            <w:pPr>
              <w:spacing w:before="40" w:after="40"/>
              <w:rPr>
                <w:rFonts w:eastAsia="Calibri"/>
              </w:rPr>
            </w:pPr>
            <w:r w:rsidRPr="00D6374E">
              <w:rPr>
                <w:rFonts w:eastAsia="Calibri"/>
              </w:rPr>
              <w:t>0,270</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W</w:t>
            </w:r>
            <w:r w:rsidRPr="00D6374E">
              <w:rPr>
                <w:rFonts w:eastAsia="Calibri"/>
                <w:vertAlign w:val="subscript"/>
              </w:rPr>
              <w:t>2</w:t>
            </w:r>
          </w:p>
        </w:tc>
        <w:tc>
          <w:tcPr>
            <w:tcW w:w="2079" w:type="dxa"/>
            <w:vAlign w:val="bottom"/>
          </w:tcPr>
          <w:p w:rsidR="00D6374E" w:rsidRPr="00D6374E" w:rsidRDefault="00D6374E" w:rsidP="00D6374E">
            <w:pPr>
              <w:spacing w:before="40" w:after="40"/>
              <w:rPr>
                <w:rFonts w:eastAsia="Calibri"/>
              </w:rPr>
            </w:pPr>
            <w:r w:rsidRPr="00D6374E">
              <w:rPr>
                <w:rFonts w:eastAsia="Calibri"/>
              </w:rPr>
              <w:t>0,385</w:t>
            </w:r>
          </w:p>
        </w:tc>
        <w:tc>
          <w:tcPr>
            <w:tcW w:w="2080" w:type="dxa"/>
            <w:vAlign w:val="bottom"/>
          </w:tcPr>
          <w:p w:rsidR="00D6374E" w:rsidRPr="00D6374E" w:rsidRDefault="00D6374E" w:rsidP="00D6374E">
            <w:pPr>
              <w:spacing w:before="40" w:after="40"/>
              <w:rPr>
                <w:rFonts w:eastAsia="Calibri"/>
              </w:rPr>
            </w:pPr>
            <w:r w:rsidRPr="00D6374E">
              <w:rPr>
                <w:rFonts w:eastAsia="Calibri"/>
              </w:rPr>
              <w:t>0,355</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W</w:t>
            </w:r>
            <w:r w:rsidRPr="00D6374E">
              <w:rPr>
                <w:rFonts w:eastAsia="Calibri"/>
                <w:vertAlign w:val="subscript"/>
              </w:rPr>
              <w:t>3</w:t>
            </w:r>
          </w:p>
        </w:tc>
        <w:tc>
          <w:tcPr>
            <w:tcW w:w="2079" w:type="dxa"/>
            <w:vAlign w:val="bottom"/>
          </w:tcPr>
          <w:p w:rsidR="00D6374E" w:rsidRPr="00D6374E" w:rsidRDefault="00D6374E" w:rsidP="00D6374E">
            <w:pPr>
              <w:spacing w:before="40" w:after="40"/>
              <w:rPr>
                <w:rFonts w:eastAsia="Calibri"/>
              </w:rPr>
            </w:pPr>
            <w:r w:rsidRPr="00D6374E">
              <w:rPr>
                <w:rFonts w:eastAsia="Calibri"/>
              </w:rPr>
              <w:t>0,345</w:t>
            </w:r>
          </w:p>
        </w:tc>
        <w:tc>
          <w:tcPr>
            <w:tcW w:w="2080" w:type="dxa"/>
            <w:vAlign w:val="bottom"/>
          </w:tcPr>
          <w:p w:rsidR="00D6374E" w:rsidRPr="00D6374E" w:rsidRDefault="00D6374E" w:rsidP="00D6374E">
            <w:pPr>
              <w:spacing w:before="40" w:after="40"/>
              <w:rPr>
                <w:rFonts w:eastAsia="Calibri"/>
              </w:rPr>
            </w:pPr>
            <w:r w:rsidRPr="00D6374E">
              <w:rPr>
                <w:rFonts w:eastAsia="Calibri"/>
              </w:rPr>
              <w:t>0,395</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W</w:t>
            </w:r>
            <w:r w:rsidRPr="00D6374E">
              <w:rPr>
                <w:rFonts w:eastAsia="Calibri"/>
                <w:vertAlign w:val="subscript"/>
              </w:rPr>
              <w:t>4</w:t>
            </w:r>
          </w:p>
        </w:tc>
        <w:tc>
          <w:tcPr>
            <w:tcW w:w="2079" w:type="dxa"/>
            <w:vAlign w:val="bottom"/>
          </w:tcPr>
          <w:p w:rsidR="00D6374E" w:rsidRPr="00D6374E" w:rsidRDefault="00D6374E" w:rsidP="00D6374E">
            <w:pPr>
              <w:spacing w:before="40" w:after="40"/>
              <w:rPr>
                <w:rFonts w:eastAsia="Calibri"/>
              </w:rPr>
            </w:pPr>
            <w:r w:rsidRPr="00D6374E">
              <w:rPr>
                <w:rFonts w:eastAsia="Calibri"/>
              </w:rPr>
              <w:t>0,260</w:t>
            </w:r>
          </w:p>
        </w:tc>
        <w:tc>
          <w:tcPr>
            <w:tcW w:w="2080" w:type="dxa"/>
            <w:vAlign w:val="bottom"/>
          </w:tcPr>
          <w:p w:rsidR="00D6374E" w:rsidRPr="00D6374E" w:rsidRDefault="00D6374E" w:rsidP="00D6374E">
            <w:pPr>
              <w:spacing w:before="40" w:after="40"/>
              <w:rPr>
                <w:rFonts w:eastAsia="Calibri"/>
              </w:rPr>
            </w:pPr>
            <w:r w:rsidRPr="00D6374E">
              <w:rPr>
                <w:rFonts w:eastAsia="Calibri"/>
              </w:rPr>
              <w:t>0,310</w:t>
            </w:r>
          </w:p>
        </w:tc>
      </w:tr>
    </w:tbl>
    <w:p w:rsidR="00D6374E" w:rsidRPr="00D6374E" w:rsidRDefault="00D6374E" w:rsidP="00505AC3">
      <w:pPr>
        <w:pStyle w:val="SingleTxtG"/>
        <w:spacing w:before="120"/>
        <w:ind w:left="2268" w:hanging="1134"/>
        <w:rPr>
          <w:rFonts w:eastAsia="Calibri"/>
        </w:rPr>
      </w:pPr>
      <w:r w:rsidRPr="00D6374E">
        <w:rPr>
          <w:rFonts w:eastAsia="Calibri"/>
        </w:rPr>
        <w:t>2.</w:t>
      </w:r>
      <w:r w:rsidRPr="00D6374E">
        <w:rPr>
          <w:rFonts w:eastAsia="Calibri"/>
          <w:lang w:eastAsia="fr-FR"/>
        </w:rPr>
        <w:t>11</w:t>
      </w:r>
      <w:r w:rsidRPr="00D6374E">
        <w:rPr>
          <w:rFonts w:eastAsia="Calibri"/>
        </w:rPr>
        <w:t>.3.2</w:t>
      </w:r>
      <w:r w:rsidRPr="00D6374E">
        <w:rPr>
          <w:rFonts w:eastAsia="Calibri"/>
        </w:rPr>
        <w:tab/>
      </w:r>
      <w:r w:rsidRPr="00D6374E">
        <w:rPr>
          <w:rFonts w:eastAsia="Calibri"/>
          <w:lang w:eastAsia="fr-FR"/>
        </w:rPr>
        <w:t>Par “</w:t>
      </w:r>
      <w:r w:rsidRPr="00D6374E">
        <w:rPr>
          <w:rFonts w:eastAsia="Calibri"/>
          <w:i/>
          <w:lang w:eastAsia="fr-FR"/>
        </w:rPr>
        <w:t>jaune</w:t>
      </w:r>
      <w:r w:rsidRPr="00D6374E">
        <w:rPr>
          <w:rFonts w:eastAsia="Calibri"/>
          <w:lang w:eastAsia="fr-FR"/>
        </w:rPr>
        <w:t xml:space="preserve">”, on entend les coordonnées chromatiques </w:t>
      </w:r>
      <w:r w:rsidRPr="00D6374E">
        <w:rPr>
          <w:rFonts w:eastAsia="Calibri"/>
        </w:rPr>
        <w:t>(x, y)</w:t>
      </w:r>
      <w:r w:rsidRPr="00D6374E">
        <w:rPr>
          <w:rFonts w:eastAsia="Calibri"/>
          <w:sz w:val="18"/>
          <w:szCs w:val="18"/>
          <w:vertAlign w:val="superscript"/>
        </w:rPr>
        <w:t>4</w:t>
      </w:r>
      <w:r w:rsidRPr="00D6374E">
        <w:rPr>
          <w:rFonts w:eastAsia="Calibri"/>
        </w:rPr>
        <w:t xml:space="preserve"> </w:t>
      </w:r>
      <w:r w:rsidRPr="00D6374E">
        <w:rPr>
          <w:rFonts w:eastAsia="Calibri"/>
          <w:lang w:eastAsia="fr-FR"/>
        </w:rPr>
        <w:t>de la lumière réfléchie comprises dans les zones de chromaticité définies par les limites suivantes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79"/>
      </w:tblGrid>
      <w:tr w:rsidR="00D6374E" w:rsidRPr="00D6374E" w:rsidTr="00DB75DF">
        <w:trPr>
          <w:cantSplit/>
          <w:trHeight w:val="20"/>
        </w:trPr>
        <w:tc>
          <w:tcPr>
            <w:tcW w:w="2079" w:type="dxa"/>
            <w:noWrap/>
          </w:tcPr>
          <w:p w:rsidR="00D6374E" w:rsidRPr="00D6374E" w:rsidRDefault="00D6374E" w:rsidP="00D6374E">
            <w:pPr>
              <w:spacing w:before="40" w:after="40"/>
              <w:rPr>
                <w:rFonts w:eastAsia="Calibri"/>
              </w:rPr>
            </w:pPr>
            <w:r w:rsidRPr="00D6374E">
              <w:rPr>
                <w:rFonts w:eastAsia="Calibri"/>
              </w:rPr>
              <w:t>Y</w:t>
            </w:r>
            <w:r w:rsidRPr="00D6374E">
              <w:rPr>
                <w:rFonts w:eastAsia="Calibri"/>
                <w:vertAlign w:val="subscript"/>
              </w:rPr>
              <w:t>12</w:t>
            </w:r>
          </w:p>
        </w:tc>
        <w:tc>
          <w:tcPr>
            <w:tcW w:w="2079" w:type="dxa"/>
          </w:tcPr>
          <w:p w:rsidR="00D6374E" w:rsidRPr="00D6374E" w:rsidRDefault="00D6374E" w:rsidP="00D6374E">
            <w:pPr>
              <w:spacing w:before="40" w:after="40"/>
              <w:rPr>
                <w:rFonts w:eastAsia="Calibri"/>
              </w:rPr>
            </w:pPr>
            <w:r w:rsidRPr="00D6374E">
              <w:rPr>
                <w:rFonts w:eastAsia="Calibri"/>
              </w:rPr>
              <w:t>limite vers le rouge :</w:t>
            </w:r>
          </w:p>
        </w:tc>
        <w:tc>
          <w:tcPr>
            <w:tcW w:w="2079" w:type="dxa"/>
            <w:noWrap/>
          </w:tcPr>
          <w:p w:rsidR="00D6374E" w:rsidRPr="00D6374E" w:rsidRDefault="00D6374E" w:rsidP="00D6374E">
            <w:pPr>
              <w:spacing w:before="40" w:after="40"/>
              <w:rPr>
                <w:rFonts w:eastAsia="Calibri"/>
              </w:rPr>
            </w:pPr>
            <w:r w:rsidRPr="00D6374E">
              <w:rPr>
                <w:rFonts w:eastAsia="Calibri"/>
              </w:rPr>
              <w:t xml:space="preserve">y = 0,534 x + 0,163 </w:t>
            </w:r>
          </w:p>
        </w:tc>
      </w:tr>
      <w:tr w:rsidR="00D6374E" w:rsidRPr="00D6374E" w:rsidTr="00DB75DF">
        <w:trPr>
          <w:cantSplit/>
          <w:trHeight w:val="20"/>
        </w:trPr>
        <w:tc>
          <w:tcPr>
            <w:tcW w:w="2079" w:type="dxa"/>
            <w:noWrap/>
          </w:tcPr>
          <w:p w:rsidR="00D6374E" w:rsidRPr="00D6374E" w:rsidRDefault="00D6374E" w:rsidP="00D6374E">
            <w:pPr>
              <w:spacing w:before="40" w:after="40"/>
              <w:rPr>
                <w:rFonts w:eastAsia="Calibri"/>
              </w:rPr>
            </w:pPr>
            <w:r w:rsidRPr="00D6374E">
              <w:rPr>
                <w:rFonts w:eastAsia="Calibri"/>
              </w:rPr>
              <w:t>Y</w:t>
            </w:r>
            <w:r w:rsidRPr="00D6374E">
              <w:rPr>
                <w:rFonts w:eastAsia="Calibri"/>
                <w:vertAlign w:val="subscript"/>
              </w:rPr>
              <w:t>23</w:t>
            </w:r>
          </w:p>
        </w:tc>
        <w:tc>
          <w:tcPr>
            <w:tcW w:w="2079" w:type="dxa"/>
          </w:tcPr>
          <w:p w:rsidR="00D6374E" w:rsidRPr="00D6374E" w:rsidRDefault="00D6374E" w:rsidP="00D6374E">
            <w:pPr>
              <w:spacing w:before="40" w:after="40"/>
              <w:rPr>
                <w:rFonts w:eastAsia="Calibri"/>
              </w:rPr>
            </w:pPr>
            <w:r w:rsidRPr="00D6374E">
              <w:rPr>
                <w:rFonts w:eastAsia="Calibri"/>
              </w:rPr>
              <w:t>limite vers le blanc :</w:t>
            </w:r>
          </w:p>
        </w:tc>
        <w:tc>
          <w:tcPr>
            <w:tcW w:w="2079" w:type="dxa"/>
            <w:noWrap/>
          </w:tcPr>
          <w:p w:rsidR="00D6374E" w:rsidRPr="00D6374E" w:rsidRDefault="00D6374E" w:rsidP="00D6374E">
            <w:pPr>
              <w:spacing w:before="40" w:after="40"/>
              <w:rPr>
                <w:rFonts w:eastAsia="Calibri"/>
              </w:rPr>
            </w:pPr>
            <w:r w:rsidRPr="00D6374E">
              <w:rPr>
                <w:rFonts w:eastAsia="Calibri"/>
              </w:rPr>
              <w:t>y = 0,910 - x</w:t>
            </w:r>
          </w:p>
        </w:tc>
      </w:tr>
      <w:tr w:rsidR="00D6374E" w:rsidRPr="00D6374E" w:rsidTr="00DB75DF">
        <w:trPr>
          <w:cantSplit/>
          <w:trHeight w:val="20"/>
        </w:trPr>
        <w:tc>
          <w:tcPr>
            <w:tcW w:w="2079" w:type="dxa"/>
            <w:noWrap/>
          </w:tcPr>
          <w:p w:rsidR="00D6374E" w:rsidRPr="00D6374E" w:rsidRDefault="00D6374E" w:rsidP="00D6374E">
            <w:pPr>
              <w:spacing w:before="40" w:after="40"/>
              <w:rPr>
                <w:rFonts w:eastAsia="Calibri"/>
              </w:rPr>
            </w:pPr>
            <w:r w:rsidRPr="00D6374E">
              <w:rPr>
                <w:rFonts w:eastAsia="Calibri"/>
              </w:rPr>
              <w:t>Y</w:t>
            </w:r>
            <w:r w:rsidRPr="00D6374E">
              <w:rPr>
                <w:rFonts w:eastAsia="Calibri"/>
                <w:vertAlign w:val="subscript"/>
              </w:rPr>
              <w:t>34</w:t>
            </w:r>
          </w:p>
        </w:tc>
        <w:tc>
          <w:tcPr>
            <w:tcW w:w="2079" w:type="dxa"/>
          </w:tcPr>
          <w:p w:rsidR="00D6374E" w:rsidRPr="00D6374E" w:rsidRDefault="00D6374E" w:rsidP="00D6374E">
            <w:pPr>
              <w:spacing w:before="40" w:after="40"/>
              <w:rPr>
                <w:rFonts w:eastAsia="Calibri"/>
              </w:rPr>
            </w:pPr>
            <w:r w:rsidRPr="00D6374E">
              <w:rPr>
                <w:rFonts w:eastAsia="Calibri"/>
              </w:rPr>
              <w:t>limite vers le vert :</w:t>
            </w:r>
          </w:p>
        </w:tc>
        <w:tc>
          <w:tcPr>
            <w:tcW w:w="2079" w:type="dxa"/>
            <w:noWrap/>
          </w:tcPr>
          <w:p w:rsidR="00D6374E" w:rsidRPr="00D6374E" w:rsidRDefault="00D6374E" w:rsidP="00D6374E">
            <w:pPr>
              <w:spacing w:before="40" w:after="40"/>
              <w:rPr>
                <w:rFonts w:eastAsia="Calibri"/>
              </w:rPr>
            </w:pPr>
            <w:r w:rsidRPr="00D6374E">
              <w:rPr>
                <w:rFonts w:eastAsia="Calibri"/>
              </w:rPr>
              <w:t>y =1,342 x - 0,090</w:t>
            </w:r>
          </w:p>
        </w:tc>
      </w:tr>
      <w:tr w:rsidR="00D6374E" w:rsidRPr="00D6374E" w:rsidTr="00DB75DF">
        <w:trPr>
          <w:cantSplit/>
          <w:trHeight w:val="20"/>
        </w:trPr>
        <w:tc>
          <w:tcPr>
            <w:tcW w:w="2079" w:type="dxa"/>
            <w:noWrap/>
          </w:tcPr>
          <w:p w:rsidR="00D6374E" w:rsidRPr="00D6374E" w:rsidRDefault="00D6374E" w:rsidP="00D6374E">
            <w:pPr>
              <w:spacing w:before="40" w:after="40"/>
              <w:rPr>
                <w:rFonts w:eastAsia="Calibri"/>
              </w:rPr>
            </w:pPr>
            <w:r w:rsidRPr="00D6374E">
              <w:rPr>
                <w:rFonts w:eastAsia="Calibri"/>
              </w:rPr>
              <w:t>Y</w:t>
            </w:r>
            <w:r w:rsidRPr="00D6374E">
              <w:rPr>
                <w:rFonts w:eastAsia="Calibri"/>
                <w:vertAlign w:val="subscript"/>
              </w:rPr>
              <w:t>41</w:t>
            </w:r>
          </w:p>
        </w:tc>
        <w:tc>
          <w:tcPr>
            <w:tcW w:w="2079" w:type="dxa"/>
          </w:tcPr>
          <w:p w:rsidR="00D6374E" w:rsidRPr="00D6374E" w:rsidRDefault="00D6374E" w:rsidP="00D6374E">
            <w:pPr>
              <w:spacing w:before="40" w:after="40"/>
              <w:rPr>
                <w:rFonts w:eastAsia="Calibri"/>
              </w:rPr>
            </w:pPr>
            <w:r w:rsidRPr="00D6374E">
              <w:rPr>
                <w:rFonts w:eastAsia="Calibri"/>
              </w:rPr>
              <w:t>lieu spectral</w:t>
            </w:r>
          </w:p>
        </w:tc>
        <w:tc>
          <w:tcPr>
            <w:tcW w:w="2079" w:type="dxa"/>
            <w:noWrap/>
          </w:tcPr>
          <w:p w:rsidR="00D6374E" w:rsidRPr="00D6374E" w:rsidRDefault="00D6374E" w:rsidP="00D6374E">
            <w:pPr>
              <w:spacing w:before="40" w:after="40"/>
              <w:rPr>
                <w:rFonts w:eastAsia="Calibri"/>
              </w:rPr>
            </w:pPr>
          </w:p>
        </w:tc>
      </w:tr>
    </w:tbl>
    <w:p w:rsidR="00D6374E" w:rsidRPr="00D6374E" w:rsidRDefault="00D6374E" w:rsidP="00505AC3">
      <w:pPr>
        <w:pStyle w:val="SingleTxtG"/>
        <w:spacing w:before="120"/>
        <w:ind w:left="2268"/>
        <w:rPr>
          <w:rFonts w:eastAsia="Calibri"/>
        </w:rPr>
      </w:pPr>
      <w:r w:rsidRPr="00D6374E">
        <w:rPr>
          <w:rFonts w:eastAsia="Calibri"/>
          <w:lang w:eastAsia="fr-FR"/>
        </w:rPr>
        <w:t>Points</w:t>
      </w:r>
      <w:r w:rsidRPr="00D6374E">
        <w:rPr>
          <w:rFonts w:eastAsia="Calibri"/>
        </w:rPr>
        <w:t xml:space="preserve"> </w:t>
      </w:r>
      <w:r w:rsidRPr="00D6374E">
        <w:rPr>
          <w:rFonts w:eastAsia="Calibri"/>
          <w:lang w:eastAsia="fr-FR"/>
        </w:rPr>
        <w:t>d’intersection</w:t>
      </w:r>
      <w:r w:rsidRPr="00D6374E">
        <w:rPr>
          <w:rFonts w:eastAsia="Calibri"/>
        </w:rPr>
        <w:t>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D6374E" w:rsidRPr="00D6374E" w:rsidTr="00DB75DF">
        <w:tc>
          <w:tcPr>
            <w:tcW w:w="2079" w:type="dxa"/>
          </w:tcPr>
          <w:p w:rsidR="00D6374E" w:rsidRPr="00D6374E" w:rsidRDefault="00D6374E" w:rsidP="00D6374E">
            <w:pPr>
              <w:spacing w:before="40" w:after="40"/>
              <w:rPr>
                <w:rFonts w:eastAsia="Calibri"/>
              </w:rPr>
            </w:pPr>
          </w:p>
        </w:tc>
        <w:tc>
          <w:tcPr>
            <w:tcW w:w="2079" w:type="dxa"/>
            <w:vAlign w:val="bottom"/>
          </w:tcPr>
          <w:p w:rsidR="00D6374E" w:rsidRPr="00D6374E" w:rsidRDefault="00D6374E" w:rsidP="00D6374E">
            <w:pPr>
              <w:spacing w:before="40" w:after="40"/>
              <w:rPr>
                <w:rFonts w:eastAsia="Calibri"/>
              </w:rPr>
            </w:pPr>
            <w:r w:rsidRPr="00D6374E">
              <w:rPr>
                <w:rFonts w:eastAsia="Calibri"/>
              </w:rPr>
              <w:t>x</w:t>
            </w:r>
          </w:p>
        </w:tc>
        <w:tc>
          <w:tcPr>
            <w:tcW w:w="2080" w:type="dxa"/>
            <w:vAlign w:val="bottom"/>
          </w:tcPr>
          <w:p w:rsidR="00D6374E" w:rsidRPr="00D6374E" w:rsidRDefault="00D6374E" w:rsidP="00D6374E">
            <w:pPr>
              <w:spacing w:before="40" w:after="40"/>
              <w:rPr>
                <w:rFonts w:eastAsia="Calibri"/>
              </w:rPr>
            </w:pPr>
            <w:r w:rsidRPr="00D6374E">
              <w:rPr>
                <w:rFonts w:eastAsia="Calibri"/>
              </w:rPr>
              <w:t>y</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Y</w:t>
            </w:r>
            <w:r w:rsidRPr="00D6374E">
              <w:rPr>
                <w:rFonts w:eastAsia="Calibri"/>
                <w:vertAlign w:val="subscript"/>
              </w:rPr>
              <w:t>1</w:t>
            </w:r>
          </w:p>
        </w:tc>
        <w:tc>
          <w:tcPr>
            <w:tcW w:w="2079" w:type="dxa"/>
            <w:vAlign w:val="bottom"/>
          </w:tcPr>
          <w:p w:rsidR="00D6374E" w:rsidRPr="00D6374E" w:rsidRDefault="00D6374E" w:rsidP="00D6374E">
            <w:pPr>
              <w:spacing w:before="40" w:after="40"/>
              <w:rPr>
                <w:rFonts w:eastAsia="Calibri"/>
              </w:rPr>
            </w:pPr>
            <w:r w:rsidRPr="00D6374E">
              <w:rPr>
                <w:rFonts w:eastAsia="Calibri"/>
              </w:rPr>
              <w:t>0,545</w:t>
            </w:r>
          </w:p>
        </w:tc>
        <w:tc>
          <w:tcPr>
            <w:tcW w:w="2080" w:type="dxa"/>
            <w:vAlign w:val="bottom"/>
          </w:tcPr>
          <w:p w:rsidR="00D6374E" w:rsidRPr="00D6374E" w:rsidRDefault="00D6374E" w:rsidP="00D6374E">
            <w:pPr>
              <w:spacing w:before="40" w:after="40"/>
              <w:rPr>
                <w:rFonts w:eastAsia="Calibri"/>
              </w:rPr>
            </w:pPr>
            <w:r w:rsidRPr="00D6374E">
              <w:rPr>
                <w:rFonts w:eastAsia="Calibri"/>
              </w:rPr>
              <w:t>0,454</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Y</w:t>
            </w:r>
            <w:r w:rsidRPr="00D6374E">
              <w:rPr>
                <w:rFonts w:eastAsia="Calibri"/>
                <w:vertAlign w:val="subscript"/>
              </w:rPr>
              <w:t>2</w:t>
            </w:r>
          </w:p>
        </w:tc>
        <w:tc>
          <w:tcPr>
            <w:tcW w:w="2079" w:type="dxa"/>
            <w:vAlign w:val="bottom"/>
          </w:tcPr>
          <w:p w:rsidR="00D6374E" w:rsidRPr="00D6374E" w:rsidRDefault="00D6374E" w:rsidP="00D6374E">
            <w:pPr>
              <w:spacing w:before="40" w:after="40"/>
              <w:rPr>
                <w:rFonts w:eastAsia="Calibri"/>
              </w:rPr>
            </w:pPr>
            <w:r w:rsidRPr="00D6374E">
              <w:rPr>
                <w:rFonts w:eastAsia="Calibri"/>
              </w:rPr>
              <w:t>0,487</w:t>
            </w:r>
          </w:p>
        </w:tc>
        <w:tc>
          <w:tcPr>
            <w:tcW w:w="2080" w:type="dxa"/>
            <w:vAlign w:val="bottom"/>
          </w:tcPr>
          <w:p w:rsidR="00D6374E" w:rsidRPr="00D6374E" w:rsidRDefault="00D6374E" w:rsidP="00D6374E">
            <w:pPr>
              <w:spacing w:before="40" w:after="40"/>
              <w:rPr>
                <w:rFonts w:eastAsia="Calibri"/>
              </w:rPr>
            </w:pPr>
            <w:r w:rsidRPr="00D6374E">
              <w:rPr>
                <w:rFonts w:eastAsia="Calibri"/>
              </w:rPr>
              <w:t>0,423</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Y</w:t>
            </w:r>
            <w:r w:rsidRPr="00D6374E">
              <w:rPr>
                <w:rFonts w:eastAsia="Calibri"/>
                <w:vertAlign w:val="subscript"/>
              </w:rPr>
              <w:t>3</w:t>
            </w:r>
          </w:p>
        </w:tc>
        <w:tc>
          <w:tcPr>
            <w:tcW w:w="2079" w:type="dxa"/>
            <w:vAlign w:val="bottom"/>
          </w:tcPr>
          <w:p w:rsidR="00D6374E" w:rsidRPr="00D6374E" w:rsidRDefault="00D6374E" w:rsidP="00D6374E">
            <w:pPr>
              <w:spacing w:before="40" w:after="40"/>
              <w:rPr>
                <w:rFonts w:eastAsia="Calibri"/>
              </w:rPr>
            </w:pPr>
            <w:r w:rsidRPr="00D6374E">
              <w:rPr>
                <w:rFonts w:eastAsia="Calibri"/>
              </w:rPr>
              <w:t>0,427</w:t>
            </w:r>
          </w:p>
        </w:tc>
        <w:tc>
          <w:tcPr>
            <w:tcW w:w="2080" w:type="dxa"/>
            <w:vAlign w:val="bottom"/>
          </w:tcPr>
          <w:p w:rsidR="00D6374E" w:rsidRPr="00D6374E" w:rsidRDefault="00D6374E" w:rsidP="00D6374E">
            <w:pPr>
              <w:spacing w:before="40" w:after="40"/>
              <w:rPr>
                <w:rFonts w:eastAsia="Calibri"/>
              </w:rPr>
            </w:pPr>
            <w:r w:rsidRPr="00D6374E">
              <w:rPr>
                <w:rFonts w:eastAsia="Calibri"/>
              </w:rPr>
              <w:t>0,483</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Y</w:t>
            </w:r>
            <w:r w:rsidRPr="00D6374E">
              <w:rPr>
                <w:rFonts w:eastAsia="Calibri"/>
                <w:vertAlign w:val="subscript"/>
              </w:rPr>
              <w:t>4</w:t>
            </w:r>
          </w:p>
        </w:tc>
        <w:tc>
          <w:tcPr>
            <w:tcW w:w="2079" w:type="dxa"/>
            <w:vAlign w:val="bottom"/>
          </w:tcPr>
          <w:p w:rsidR="00D6374E" w:rsidRPr="00D6374E" w:rsidRDefault="00D6374E" w:rsidP="00D6374E">
            <w:pPr>
              <w:spacing w:before="40" w:after="40"/>
              <w:rPr>
                <w:rFonts w:eastAsia="Calibri"/>
              </w:rPr>
            </w:pPr>
            <w:r w:rsidRPr="00D6374E">
              <w:rPr>
                <w:rFonts w:eastAsia="Calibri"/>
              </w:rPr>
              <w:t>0,465</w:t>
            </w:r>
          </w:p>
        </w:tc>
        <w:tc>
          <w:tcPr>
            <w:tcW w:w="2080" w:type="dxa"/>
            <w:vAlign w:val="bottom"/>
          </w:tcPr>
          <w:p w:rsidR="00D6374E" w:rsidRPr="00D6374E" w:rsidRDefault="00D6374E" w:rsidP="00D6374E">
            <w:pPr>
              <w:spacing w:before="40" w:after="40"/>
              <w:rPr>
                <w:rFonts w:eastAsia="Calibri"/>
              </w:rPr>
            </w:pPr>
            <w:r w:rsidRPr="00D6374E">
              <w:rPr>
                <w:rFonts w:eastAsia="Calibri"/>
              </w:rPr>
              <w:t>0,534</w:t>
            </w:r>
          </w:p>
        </w:tc>
      </w:tr>
    </w:tbl>
    <w:p w:rsidR="00D6374E" w:rsidRPr="00D6374E" w:rsidRDefault="00D6374E" w:rsidP="00505AC3">
      <w:pPr>
        <w:pStyle w:val="SingleTxtG"/>
        <w:spacing w:before="120"/>
        <w:ind w:left="2268" w:hanging="1134"/>
        <w:rPr>
          <w:rFonts w:eastAsia="Calibri"/>
        </w:rPr>
      </w:pPr>
      <w:r w:rsidRPr="00D6374E">
        <w:rPr>
          <w:rFonts w:eastAsia="Calibri"/>
        </w:rPr>
        <w:t>2.</w:t>
      </w:r>
      <w:r w:rsidRPr="00D6374E">
        <w:rPr>
          <w:rFonts w:eastAsia="Calibri"/>
          <w:lang w:eastAsia="fr-FR"/>
        </w:rPr>
        <w:t>11</w:t>
      </w:r>
      <w:r w:rsidRPr="00D6374E">
        <w:rPr>
          <w:rFonts w:eastAsia="Calibri"/>
        </w:rPr>
        <w:t>.3.3</w:t>
      </w:r>
      <w:r w:rsidRPr="00D6374E">
        <w:rPr>
          <w:rFonts w:eastAsia="Calibri"/>
        </w:rPr>
        <w:tab/>
      </w:r>
      <w:r w:rsidRPr="00D6374E">
        <w:rPr>
          <w:rFonts w:eastAsia="Calibri"/>
          <w:lang w:eastAsia="fr-FR"/>
        </w:rPr>
        <w:t>Par “</w:t>
      </w:r>
      <w:r w:rsidRPr="00D6374E">
        <w:rPr>
          <w:rFonts w:eastAsia="Calibri"/>
          <w:i/>
          <w:lang w:eastAsia="fr-FR"/>
        </w:rPr>
        <w:t>rouge</w:t>
      </w:r>
      <w:r w:rsidRPr="00D6374E">
        <w:rPr>
          <w:rFonts w:eastAsia="Calibri"/>
          <w:lang w:eastAsia="fr-FR"/>
        </w:rPr>
        <w:t xml:space="preserve">”, on entend les coordonnées chromatiques </w:t>
      </w:r>
      <w:r w:rsidRPr="00D6374E">
        <w:rPr>
          <w:rFonts w:eastAsia="Calibri"/>
        </w:rPr>
        <w:t>(x, y)</w:t>
      </w:r>
      <w:r w:rsidRPr="00D6374E">
        <w:rPr>
          <w:rFonts w:eastAsia="Calibri"/>
          <w:sz w:val="18"/>
          <w:szCs w:val="18"/>
          <w:vertAlign w:val="superscript"/>
        </w:rPr>
        <w:t>4</w:t>
      </w:r>
      <w:r w:rsidRPr="00D6374E">
        <w:rPr>
          <w:rFonts w:eastAsia="Calibri"/>
        </w:rPr>
        <w:t xml:space="preserve"> </w:t>
      </w:r>
      <w:r w:rsidRPr="00D6374E">
        <w:rPr>
          <w:rFonts w:eastAsia="Calibri"/>
          <w:lang w:eastAsia="fr-FR"/>
        </w:rPr>
        <w:t>de la lumière réfléchie comprises dans les zones de chromaticité définies par les limites suivantes :</w:t>
      </w:r>
    </w:p>
    <w:tbl>
      <w:tblPr>
        <w:tblW w:w="6237" w:type="dxa"/>
        <w:tblInd w:w="2268" w:type="dxa"/>
        <w:tblLayout w:type="fixed"/>
        <w:tblCellMar>
          <w:left w:w="0" w:type="dxa"/>
          <w:right w:w="0" w:type="dxa"/>
        </w:tblCellMar>
        <w:tblLook w:val="0000" w:firstRow="0" w:lastRow="0" w:firstColumn="0" w:lastColumn="0" w:noHBand="0" w:noVBand="0"/>
      </w:tblPr>
      <w:tblGrid>
        <w:gridCol w:w="2079"/>
        <w:gridCol w:w="2079"/>
        <w:gridCol w:w="2079"/>
      </w:tblGrid>
      <w:tr w:rsidR="00D6374E" w:rsidRPr="00D6374E" w:rsidTr="00DB75DF">
        <w:trPr>
          <w:trHeight w:val="20"/>
        </w:trPr>
        <w:tc>
          <w:tcPr>
            <w:tcW w:w="2079" w:type="dxa"/>
            <w:noWrap/>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12</w:t>
            </w:r>
          </w:p>
        </w:tc>
        <w:tc>
          <w:tcPr>
            <w:tcW w:w="2079" w:type="dxa"/>
          </w:tcPr>
          <w:p w:rsidR="00D6374E" w:rsidRPr="00D6374E" w:rsidRDefault="00D6374E" w:rsidP="00D6374E">
            <w:pPr>
              <w:spacing w:before="40" w:after="40"/>
              <w:rPr>
                <w:rFonts w:eastAsia="Calibri"/>
              </w:rPr>
            </w:pPr>
            <w:r w:rsidRPr="00D6374E">
              <w:rPr>
                <w:rFonts w:eastAsia="Calibri"/>
              </w:rPr>
              <w:t>limite vers le rouge :</w:t>
            </w:r>
          </w:p>
        </w:tc>
        <w:tc>
          <w:tcPr>
            <w:tcW w:w="2079" w:type="dxa"/>
            <w:noWrap/>
          </w:tcPr>
          <w:p w:rsidR="00D6374E" w:rsidRPr="00D6374E" w:rsidRDefault="00D6374E" w:rsidP="00D6374E">
            <w:pPr>
              <w:spacing w:before="40" w:after="40"/>
              <w:rPr>
                <w:rFonts w:eastAsia="Calibri"/>
              </w:rPr>
            </w:pPr>
            <w:r w:rsidRPr="00D6374E">
              <w:rPr>
                <w:rFonts w:eastAsia="Calibri"/>
              </w:rPr>
              <w:t>y = 0,346 - 0,053 x</w:t>
            </w:r>
          </w:p>
        </w:tc>
      </w:tr>
      <w:tr w:rsidR="00D6374E" w:rsidRPr="00D6374E" w:rsidTr="00DB75DF">
        <w:trPr>
          <w:trHeight w:val="20"/>
        </w:trPr>
        <w:tc>
          <w:tcPr>
            <w:tcW w:w="2079" w:type="dxa"/>
            <w:noWrap/>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23</w:t>
            </w:r>
          </w:p>
        </w:tc>
        <w:tc>
          <w:tcPr>
            <w:tcW w:w="2079" w:type="dxa"/>
          </w:tcPr>
          <w:p w:rsidR="00D6374E" w:rsidRPr="00D6374E" w:rsidRDefault="00D6374E" w:rsidP="00D6374E">
            <w:pPr>
              <w:spacing w:before="40" w:after="40"/>
              <w:rPr>
                <w:rFonts w:eastAsia="Calibri"/>
              </w:rPr>
            </w:pPr>
            <w:r w:rsidRPr="00D6374E">
              <w:rPr>
                <w:rFonts w:eastAsia="Calibri"/>
              </w:rPr>
              <w:t>limite vers le violet :</w:t>
            </w:r>
          </w:p>
        </w:tc>
        <w:tc>
          <w:tcPr>
            <w:tcW w:w="2079" w:type="dxa"/>
            <w:noWrap/>
          </w:tcPr>
          <w:p w:rsidR="00D6374E" w:rsidRPr="00D6374E" w:rsidRDefault="00D6374E" w:rsidP="00D6374E">
            <w:pPr>
              <w:spacing w:before="40" w:after="40"/>
              <w:rPr>
                <w:rFonts w:eastAsia="Calibri"/>
              </w:rPr>
            </w:pPr>
            <w:r w:rsidRPr="00D6374E">
              <w:rPr>
                <w:rFonts w:eastAsia="Calibri"/>
              </w:rPr>
              <w:t>y = 0,910 - x</w:t>
            </w:r>
          </w:p>
        </w:tc>
      </w:tr>
      <w:tr w:rsidR="00D6374E" w:rsidRPr="00D6374E" w:rsidTr="00DB75DF">
        <w:trPr>
          <w:trHeight w:val="20"/>
        </w:trPr>
        <w:tc>
          <w:tcPr>
            <w:tcW w:w="2079" w:type="dxa"/>
            <w:noWrap/>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34</w:t>
            </w:r>
          </w:p>
        </w:tc>
        <w:tc>
          <w:tcPr>
            <w:tcW w:w="2079" w:type="dxa"/>
          </w:tcPr>
          <w:p w:rsidR="00D6374E" w:rsidRPr="00D6374E" w:rsidRDefault="00D6374E" w:rsidP="00D6374E">
            <w:pPr>
              <w:spacing w:before="40" w:after="40"/>
              <w:rPr>
                <w:rFonts w:eastAsia="Calibri"/>
              </w:rPr>
            </w:pPr>
            <w:r w:rsidRPr="00D6374E">
              <w:rPr>
                <w:rFonts w:eastAsia="Calibri"/>
              </w:rPr>
              <w:t>limite vers le jaune :</w:t>
            </w:r>
          </w:p>
        </w:tc>
        <w:tc>
          <w:tcPr>
            <w:tcW w:w="2079" w:type="dxa"/>
            <w:noWrap/>
          </w:tcPr>
          <w:p w:rsidR="00D6374E" w:rsidRPr="00D6374E" w:rsidRDefault="00D6374E" w:rsidP="00D6374E">
            <w:pPr>
              <w:spacing w:before="40" w:after="40"/>
              <w:rPr>
                <w:rFonts w:eastAsia="Calibri"/>
              </w:rPr>
            </w:pPr>
            <w:r w:rsidRPr="00D6374E">
              <w:rPr>
                <w:rFonts w:eastAsia="Calibri"/>
              </w:rPr>
              <w:t>y = 0,350</w:t>
            </w:r>
          </w:p>
        </w:tc>
      </w:tr>
      <w:tr w:rsidR="00D6374E" w:rsidRPr="00D6374E" w:rsidTr="00DB75DF">
        <w:trPr>
          <w:trHeight w:val="20"/>
        </w:trPr>
        <w:tc>
          <w:tcPr>
            <w:tcW w:w="2079" w:type="dxa"/>
            <w:noWrap/>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41</w:t>
            </w:r>
          </w:p>
        </w:tc>
        <w:tc>
          <w:tcPr>
            <w:tcW w:w="2079" w:type="dxa"/>
          </w:tcPr>
          <w:p w:rsidR="00D6374E" w:rsidRPr="00D6374E" w:rsidRDefault="00D6374E" w:rsidP="00D6374E">
            <w:pPr>
              <w:spacing w:before="40" w:after="40"/>
              <w:rPr>
                <w:rFonts w:eastAsia="Calibri"/>
              </w:rPr>
            </w:pPr>
            <w:r w:rsidRPr="00D6374E">
              <w:rPr>
                <w:rFonts w:eastAsia="Calibri"/>
              </w:rPr>
              <w:t>lieu spectral</w:t>
            </w:r>
          </w:p>
        </w:tc>
        <w:tc>
          <w:tcPr>
            <w:tcW w:w="2079" w:type="dxa"/>
            <w:noWrap/>
          </w:tcPr>
          <w:p w:rsidR="00D6374E" w:rsidRPr="00D6374E" w:rsidRDefault="00D6374E" w:rsidP="00D6374E">
            <w:pPr>
              <w:spacing w:before="40" w:after="40"/>
              <w:rPr>
                <w:rFonts w:eastAsia="Calibri"/>
              </w:rPr>
            </w:pPr>
          </w:p>
        </w:tc>
      </w:tr>
    </w:tbl>
    <w:p w:rsidR="00D6374E" w:rsidRPr="00D6374E" w:rsidRDefault="00D6374E" w:rsidP="00505AC3">
      <w:pPr>
        <w:pStyle w:val="SingleTxtG"/>
        <w:spacing w:before="120"/>
        <w:ind w:left="2268"/>
        <w:rPr>
          <w:rFonts w:eastAsia="Calibri"/>
        </w:rPr>
      </w:pPr>
      <w:r w:rsidRPr="00D6374E">
        <w:rPr>
          <w:rFonts w:eastAsia="Calibri"/>
          <w:lang w:eastAsia="fr-FR"/>
        </w:rPr>
        <w:t>Points</w:t>
      </w:r>
      <w:r w:rsidRPr="00D6374E">
        <w:rPr>
          <w:rFonts w:eastAsia="Calibri"/>
        </w:rPr>
        <w:t xml:space="preserve"> </w:t>
      </w:r>
      <w:r w:rsidRPr="00D6374E">
        <w:rPr>
          <w:rFonts w:eastAsia="Calibri"/>
          <w:lang w:eastAsia="fr-FR"/>
        </w:rPr>
        <w:t>d’intersection</w:t>
      </w:r>
      <w:r w:rsidRPr="00D6374E">
        <w:rPr>
          <w:rFonts w:eastAsia="Calibri"/>
        </w:rPr>
        <w:t>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D6374E" w:rsidRPr="00D6374E" w:rsidTr="00DB75DF">
        <w:tc>
          <w:tcPr>
            <w:tcW w:w="2079" w:type="dxa"/>
          </w:tcPr>
          <w:p w:rsidR="00D6374E" w:rsidRPr="00D6374E" w:rsidRDefault="00D6374E" w:rsidP="00D6374E">
            <w:pPr>
              <w:spacing w:before="40" w:after="40"/>
              <w:rPr>
                <w:rFonts w:eastAsia="Calibri"/>
              </w:rPr>
            </w:pPr>
          </w:p>
        </w:tc>
        <w:tc>
          <w:tcPr>
            <w:tcW w:w="2079" w:type="dxa"/>
            <w:vAlign w:val="bottom"/>
          </w:tcPr>
          <w:p w:rsidR="00D6374E" w:rsidRPr="00D6374E" w:rsidRDefault="00D6374E" w:rsidP="00D6374E">
            <w:pPr>
              <w:spacing w:before="40" w:after="40"/>
              <w:rPr>
                <w:rFonts w:eastAsia="Calibri"/>
              </w:rPr>
            </w:pPr>
            <w:r w:rsidRPr="00D6374E">
              <w:rPr>
                <w:rFonts w:eastAsia="Calibri"/>
              </w:rPr>
              <w:t>x</w:t>
            </w:r>
          </w:p>
        </w:tc>
        <w:tc>
          <w:tcPr>
            <w:tcW w:w="2080" w:type="dxa"/>
            <w:vAlign w:val="bottom"/>
          </w:tcPr>
          <w:p w:rsidR="00D6374E" w:rsidRPr="00D6374E" w:rsidRDefault="00D6374E" w:rsidP="00D6374E">
            <w:pPr>
              <w:spacing w:before="40" w:after="40"/>
              <w:rPr>
                <w:rFonts w:eastAsia="Calibri"/>
              </w:rPr>
            </w:pPr>
            <w:r w:rsidRPr="00D6374E">
              <w:rPr>
                <w:rFonts w:eastAsia="Calibri"/>
              </w:rPr>
              <w:t>y</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1</w:t>
            </w:r>
          </w:p>
        </w:tc>
        <w:tc>
          <w:tcPr>
            <w:tcW w:w="2079" w:type="dxa"/>
            <w:vAlign w:val="bottom"/>
          </w:tcPr>
          <w:p w:rsidR="00D6374E" w:rsidRPr="00D6374E" w:rsidRDefault="00D6374E" w:rsidP="00D6374E">
            <w:pPr>
              <w:spacing w:before="40" w:after="40"/>
              <w:rPr>
                <w:rFonts w:eastAsia="Calibri"/>
              </w:rPr>
            </w:pPr>
            <w:r w:rsidRPr="00D6374E">
              <w:rPr>
                <w:rFonts w:eastAsia="Calibri"/>
              </w:rPr>
              <w:t>0,690</w:t>
            </w:r>
          </w:p>
        </w:tc>
        <w:tc>
          <w:tcPr>
            <w:tcW w:w="2080" w:type="dxa"/>
            <w:vAlign w:val="bottom"/>
          </w:tcPr>
          <w:p w:rsidR="00D6374E" w:rsidRPr="00D6374E" w:rsidRDefault="00D6374E" w:rsidP="00D6374E">
            <w:pPr>
              <w:spacing w:before="40" w:after="40"/>
              <w:rPr>
                <w:rFonts w:eastAsia="Calibri"/>
              </w:rPr>
            </w:pPr>
            <w:r w:rsidRPr="00D6374E">
              <w:rPr>
                <w:rFonts w:eastAsia="Calibri"/>
              </w:rPr>
              <w:t>0,310</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2</w:t>
            </w:r>
          </w:p>
        </w:tc>
        <w:tc>
          <w:tcPr>
            <w:tcW w:w="2079" w:type="dxa"/>
            <w:vAlign w:val="bottom"/>
          </w:tcPr>
          <w:p w:rsidR="00D6374E" w:rsidRPr="00D6374E" w:rsidRDefault="00D6374E" w:rsidP="00D6374E">
            <w:pPr>
              <w:spacing w:before="40" w:after="40"/>
              <w:rPr>
                <w:rFonts w:eastAsia="Calibri"/>
              </w:rPr>
            </w:pPr>
            <w:r w:rsidRPr="00D6374E">
              <w:rPr>
                <w:rFonts w:eastAsia="Calibri"/>
              </w:rPr>
              <w:t>0,595</w:t>
            </w:r>
          </w:p>
        </w:tc>
        <w:tc>
          <w:tcPr>
            <w:tcW w:w="2080" w:type="dxa"/>
            <w:vAlign w:val="bottom"/>
          </w:tcPr>
          <w:p w:rsidR="00D6374E" w:rsidRPr="00D6374E" w:rsidRDefault="00D6374E" w:rsidP="00D6374E">
            <w:pPr>
              <w:spacing w:before="40" w:after="40"/>
              <w:rPr>
                <w:rFonts w:eastAsia="Calibri"/>
              </w:rPr>
            </w:pPr>
            <w:r w:rsidRPr="00D6374E">
              <w:rPr>
                <w:rFonts w:eastAsia="Calibri"/>
              </w:rPr>
              <w:t>0,315</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3</w:t>
            </w:r>
          </w:p>
        </w:tc>
        <w:tc>
          <w:tcPr>
            <w:tcW w:w="2079" w:type="dxa"/>
            <w:vAlign w:val="bottom"/>
          </w:tcPr>
          <w:p w:rsidR="00D6374E" w:rsidRPr="00D6374E" w:rsidRDefault="00D6374E" w:rsidP="00D6374E">
            <w:pPr>
              <w:spacing w:before="40" w:after="40"/>
              <w:rPr>
                <w:rFonts w:eastAsia="Calibri"/>
              </w:rPr>
            </w:pPr>
            <w:r w:rsidRPr="00D6374E">
              <w:rPr>
                <w:rFonts w:eastAsia="Calibri"/>
              </w:rPr>
              <w:t>0,560</w:t>
            </w:r>
          </w:p>
        </w:tc>
        <w:tc>
          <w:tcPr>
            <w:tcW w:w="2080" w:type="dxa"/>
            <w:vAlign w:val="bottom"/>
          </w:tcPr>
          <w:p w:rsidR="00D6374E" w:rsidRPr="00D6374E" w:rsidRDefault="00D6374E" w:rsidP="00D6374E">
            <w:pPr>
              <w:spacing w:before="40" w:after="40"/>
              <w:rPr>
                <w:rFonts w:eastAsia="Calibri"/>
              </w:rPr>
            </w:pPr>
            <w:r w:rsidRPr="00D6374E">
              <w:rPr>
                <w:rFonts w:eastAsia="Calibri"/>
              </w:rPr>
              <w:t>0,350</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R</w:t>
            </w:r>
            <w:r w:rsidRPr="00D6374E">
              <w:rPr>
                <w:rFonts w:eastAsia="Calibri"/>
                <w:vertAlign w:val="subscript"/>
              </w:rPr>
              <w:t>4</w:t>
            </w:r>
          </w:p>
        </w:tc>
        <w:tc>
          <w:tcPr>
            <w:tcW w:w="2079" w:type="dxa"/>
            <w:vAlign w:val="bottom"/>
          </w:tcPr>
          <w:p w:rsidR="00D6374E" w:rsidRPr="00D6374E" w:rsidRDefault="00D6374E" w:rsidP="00D6374E">
            <w:pPr>
              <w:spacing w:before="40" w:after="40"/>
              <w:rPr>
                <w:rFonts w:eastAsia="Calibri"/>
              </w:rPr>
            </w:pPr>
            <w:r w:rsidRPr="00D6374E">
              <w:rPr>
                <w:rFonts w:eastAsia="Calibri"/>
              </w:rPr>
              <w:t>0,650</w:t>
            </w:r>
          </w:p>
        </w:tc>
        <w:tc>
          <w:tcPr>
            <w:tcW w:w="2080" w:type="dxa"/>
            <w:vAlign w:val="bottom"/>
          </w:tcPr>
          <w:p w:rsidR="00D6374E" w:rsidRPr="00D6374E" w:rsidRDefault="00D6374E" w:rsidP="00D6374E">
            <w:pPr>
              <w:spacing w:before="40" w:after="40"/>
              <w:rPr>
                <w:rFonts w:eastAsia="Calibri"/>
              </w:rPr>
            </w:pPr>
            <w:r w:rsidRPr="00D6374E">
              <w:rPr>
                <w:rFonts w:eastAsia="Calibri"/>
              </w:rPr>
              <w:t>0,350</w:t>
            </w:r>
          </w:p>
        </w:tc>
      </w:tr>
    </w:tbl>
    <w:p w:rsidR="00D6374E" w:rsidRPr="00D6374E" w:rsidRDefault="00D6374E" w:rsidP="00FB5C51">
      <w:pPr>
        <w:pStyle w:val="SingleTxtG"/>
        <w:keepNext/>
        <w:keepLines/>
        <w:spacing w:before="120"/>
        <w:ind w:left="2268" w:hanging="1134"/>
        <w:rPr>
          <w:rFonts w:eastAsia="Calibri"/>
        </w:rPr>
      </w:pPr>
      <w:r w:rsidRPr="00D6374E">
        <w:rPr>
          <w:rFonts w:eastAsia="Calibri"/>
        </w:rPr>
        <w:lastRenderedPageBreak/>
        <w:t>2.11.4</w:t>
      </w:r>
      <w:r w:rsidRPr="00D6374E">
        <w:rPr>
          <w:rFonts w:eastAsia="Calibri"/>
        </w:rPr>
        <w:tab/>
      </w:r>
      <w:r w:rsidRPr="00D6374E">
        <w:rPr>
          <w:rFonts w:eastAsia="Calibri"/>
          <w:lang w:eastAsia="fr-FR"/>
        </w:rPr>
        <w:t>Couleur diurne de la lumière fluorescente émise par un dispositif</w:t>
      </w:r>
      <w:r w:rsidRPr="00D6374E">
        <w:rPr>
          <w:rFonts w:eastAsia="Calibri"/>
        </w:rPr>
        <w:t xml:space="preserve"> </w:t>
      </w:r>
    </w:p>
    <w:p w:rsidR="00D6374E" w:rsidRPr="00D6374E" w:rsidRDefault="00D6374E" w:rsidP="00FB5C51">
      <w:pPr>
        <w:pStyle w:val="SingleTxtG"/>
        <w:keepNext/>
        <w:keepLines/>
        <w:spacing w:before="120"/>
        <w:ind w:left="2268" w:hanging="1134"/>
        <w:rPr>
          <w:rFonts w:eastAsia="Calibri"/>
        </w:rPr>
      </w:pPr>
      <w:r w:rsidRPr="00D6374E">
        <w:rPr>
          <w:rFonts w:eastAsia="Calibri"/>
        </w:rPr>
        <w:t>2.11.4.1</w:t>
      </w:r>
      <w:r w:rsidRPr="00D6374E">
        <w:rPr>
          <w:rFonts w:eastAsia="Calibri"/>
        </w:rPr>
        <w:tab/>
      </w:r>
      <w:r w:rsidRPr="00D6374E">
        <w:rPr>
          <w:rFonts w:eastAsia="Calibri"/>
          <w:lang w:eastAsia="fr-FR"/>
        </w:rPr>
        <w:t>Par “</w:t>
      </w:r>
      <w:r w:rsidRPr="00D6374E">
        <w:rPr>
          <w:rFonts w:eastAsia="Calibri"/>
          <w:i/>
          <w:lang w:eastAsia="fr-FR"/>
        </w:rPr>
        <w:t>rouge</w:t>
      </w:r>
      <w:r w:rsidRPr="00D6374E">
        <w:rPr>
          <w:rFonts w:eastAsia="Calibri"/>
          <w:lang w:eastAsia="fr-FR"/>
        </w:rPr>
        <w:t xml:space="preserve">”, on entend les coordonnées chromatiques </w:t>
      </w:r>
      <w:r w:rsidRPr="00D6374E">
        <w:rPr>
          <w:rFonts w:eastAsia="Calibri"/>
        </w:rPr>
        <w:t>(x, y)</w:t>
      </w:r>
      <w:r w:rsidRPr="00D6374E">
        <w:rPr>
          <w:rFonts w:eastAsia="Calibri"/>
          <w:sz w:val="18"/>
          <w:szCs w:val="18"/>
          <w:vertAlign w:val="superscript"/>
        </w:rPr>
        <w:t>4</w:t>
      </w:r>
      <w:r w:rsidRPr="00D6374E">
        <w:rPr>
          <w:rFonts w:eastAsia="Calibri"/>
        </w:rPr>
        <w:t xml:space="preserve"> </w:t>
      </w:r>
      <w:r w:rsidRPr="00D6374E">
        <w:rPr>
          <w:rFonts w:eastAsia="Calibri"/>
          <w:lang w:eastAsia="fr-FR"/>
        </w:rPr>
        <w:t>de la lumière émise comprises dans les zones de chromaticité définies par les limites suivantes :</w:t>
      </w:r>
    </w:p>
    <w:tbl>
      <w:tblPr>
        <w:tblW w:w="6237" w:type="dxa"/>
        <w:tblInd w:w="2268" w:type="dxa"/>
        <w:tblLayout w:type="fixed"/>
        <w:tblCellMar>
          <w:left w:w="0" w:type="dxa"/>
          <w:right w:w="0" w:type="dxa"/>
        </w:tblCellMar>
        <w:tblLook w:val="0000" w:firstRow="0" w:lastRow="0" w:firstColumn="0" w:lastColumn="0" w:noHBand="0" w:noVBand="0"/>
      </w:tblPr>
      <w:tblGrid>
        <w:gridCol w:w="2079"/>
        <w:gridCol w:w="2079"/>
        <w:gridCol w:w="2079"/>
      </w:tblGrid>
      <w:tr w:rsidR="00D6374E" w:rsidRPr="00D6374E" w:rsidTr="00DB75DF">
        <w:trPr>
          <w:trHeight w:val="20"/>
        </w:trPr>
        <w:tc>
          <w:tcPr>
            <w:tcW w:w="2079" w:type="dxa"/>
            <w:noWrap/>
          </w:tcPr>
          <w:p w:rsidR="00D6374E" w:rsidRPr="00D6374E" w:rsidRDefault="00D6374E" w:rsidP="00D6374E">
            <w:pPr>
              <w:spacing w:before="40" w:after="40"/>
              <w:rPr>
                <w:rFonts w:eastAsia="Calibri"/>
              </w:rPr>
            </w:pPr>
            <w:r w:rsidRPr="00D6374E">
              <w:rPr>
                <w:rFonts w:eastAsia="Calibri"/>
              </w:rPr>
              <w:t>FR</w:t>
            </w:r>
            <w:r w:rsidRPr="00D6374E">
              <w:rPr>
                <w:rFonts w:eastAsia="Calibri"/>
                <w:vertAlign w:val="subscript"/>
              </w:rPr>
              <w:t>12</w:t>
            </w:r>
          </w:p>
        </w:tc>
        <w:tc>
          <w:tcPr>
            <w:tcW w:w="2079" w:type="dxa"/>
          </w:tcPr>
          <w:p w:rsidR="00D6374E" w:rsidRPr="00D6374E" w:rsidRDefault="00D6374E" w:rsidP="00D6374E">
            <w:pPr>
              <w:spacing w:before="40" w:after="40"/>
              <w:rPr>
                <w:rFonts w:eastAsia="Calibri"/>
              </w:rPr>
            </w:pPr>
            <w:r w:rsidRPr="00D6374E">
              <w:rPr>
                <w:rFonts w:eastAsia="Calibri"/>
              </w:rPr>
              <w:t>limite vers le rouge :</w:t>
            </w:r>
          </w:p>
        </w:tc>
        <w:tc>
          <w:tcPr>
            <w:tcW w:w="2079" w:type="dxa"/>
            <w:noWrap/>
          </w:tcPr>
          <w:p w:rsidR="00D6374E" w:rsidRPr="00D6374E" w:rsidRDefault="00D6374E" w:rsidP="00D6374E">
            <w:pPr>
              <w:spacing w:before="40" w:after="40"/>
              <w:rPr>
                <w:rFonts w:eastAsia="Calibri"/>
              </w:rPr>
            </w:pPr>
            <w:r w:rsidRPr="00D6374E">
              <w:rPr>
                <w:rFonts w:eastAsia="Calibri"/>
              </w:rPr>
              <w:t>y = 0,346 - 0,053 x</w:t>
            </w:r>
          </w:p>
        </w:tc>
      </w:tr>
      <w:tr w:rsidR="00D6374E" w:rsidRPr="00D6374E" w:rsidTr="00DB75DF">
        <w:trPr>
          <w:trHeight w:val="20"/>
        </w:trPr>
        <w:tc>
          <w:tcPr>
            <w:tcW w:w="2079" w:type="dxa"/>
            <w:noWrap/>
          </w:tcPr>
          <w:p w:rsidR="00D6374E" w:rsidRPr="00D6374E" w:rsidRDefault="00D6374E" w:rsidP="00D6374E">
            <w:pPr>
              <w:spacing w:before="40" w:after="40"/>
              <w:rPr>
                <w:rFonts w:eastAsia="Calibri"/>
              </w:rPr>
            </w:pPr>
            <w:r w:rsidRPr="00D6374E">
              <w:rPr>
                <w:rFonts w:eastAsia="Calibri"/>
              </w:rPr>
              <w:t>FR</w:t>
            </w:r>
            <w:r w:rsidRPr="00D6374E">
              <w:rPr>
                <w:rFonts w:eastAsia="Calibri"/>
                <w:vertAlign w:val="subscript"/>
              </w:rPr>
              <w:t>23</w:t>
            </w:r>
          </w:p>
        </w:tc>
        <w:tc>
          <w:tcPr>
            <w:tcW w:w="2079" w:type="dxa"/>
          </w:tcPr>
          <w:p w:rsidR="00D6374E" w:rsidRPr="00D6374E" w:rsidRDefault="00D6374E" w:rsidP="00D6374E">
            <w:pPr>
              <w:spacing w:before="40" w:after="40"/>
              <w:rPr>
                <w:rFonts w:eastAsia="Calibri"/>
              </w:rPr>
            </w:pPr>
            <w:r w:rsidRPr="00D6374E">
              <w:rPr>
                <w:rFonts w:eastAsia="Calibri"/>
              </w:rPr>
              <w:t>limite vers le violet :</w:t>
            </w:r>
          </w:p>
        </w:tc>
        <w:tc>
          <w:tcPr>
            <w:tcW w:w="2079" w:type="dxa"/>
            <w:noWrap/>
          </w:tcPr>
          <w:p w:rsidR="00D6374E" w:rsidRPr="00D6374E" w:rsidRDefault="00D6374E" w:rsidP="00D6374E">
            <w:pPr>
              <w:spacing w:before="40" w:after="40"/>
              <w:rPr>
                <w:rFonts w:eastAsia="Calibri"/>
              </w:rPr>
            </w:pPr>
            <w:r w:rsidRPr="00D6374E">
              <w:rPr>
                <w:rFonts w:eastAsia="Calibri"/>
              </w:rPr>
              <w:t>y = 0,910 - x</w:t>
            </w:r>
          </w:p>
        </w:tc>
      </w:tr>
      <w:tr w:rsidR="00D6374E" w:rsidRPr="00D6374E" w:rsidTr="00DB75DF">
        <w:trPr>
          <w:trHeight w:val="20"/>
        </w:trPr>
        <w:tc>
          <w:tcPr>
            <w:tcW w:w="2079" w:type="dxa"/>
            <w:noWrap/>
          </w:tcPr>
          <w:p w:rsidR="00D6374E" w:rsidRPr="00D6374E" w:rsidRDefault="00D6374E" w:rsidP="00D6374E">
            <w:pPr>
              <w:spacing w:before="40" w:after="40"/>
              <w:rPr>
                <w:rFonts w:eastAsia="Calibri"/>
              </w:rPr>
            </w:pPr>
            <w:r w:rsidRPr="00D6374E">
              <w:rPr>
                <w:rFonts w:eastAsia="Calibri"/>
              </w:rPr>
              <w:t>FR</w:t>
            </w:r>
            <w:r w:rsidRPr="00D6374E">
              <w:rPr>
                <w:rFonts w:eastAsia="Calibri"/>
                <w:vertAlign w:val="subscript"/>
              </w:rPr>
              <w:t>34</w:t>
            </w:r>
          </w:p>
        </w:tc>
        <w:tc>
          <w:tcPr>
            <w:tcW w:w="2079" w:type="dxa"/>
          </w:tcPr>
          <w:p w:rsidR="00D6374E" w:rsidRPr="00D6374E" w:rsidRDefault="00D6374E" w:rsidP="00D6374E">
            <w:pPr>
              <w:spacing w:before="40" w:after="40"/>
              <w:rPr>
                <w:rFonts w:eastAsia="Calibri"/>
              </w:rPr>
            </w:pPr>
            <w:r w:rsidRPr="00D6374E">
              <w:rPr>
                <w:rFonts w:eastAsia="Calibri"/>
              </w:rPr>
              <w:t>limite vers le jaune :</w:t>
            </w:r>
          </w:p>
        </w:tc>
        <w:tc>
          <w:tcPr>
            <w:tcW w:w="2079" w:type="dxa"/>
            <w:noWrap/>
          </w:tcPr>
          <w:p w:rsidR="00D6374E" w:rsidRPr="00D6374E" w:rsidRDefault="00D6374E" w:rsidP="00D6374E">
            <w:pPr>
              <w:spacing w:before="40" w:after="40"/>
              <w:rPr>
                <w:rFonts w:eastAsia="Calibri"/>
              </w:rPr>
            </w:pPr>
            <w:r w:rsidRPr="00D6374E">
              <w:rPr>
                <w:rFonts w:eastAsia="Calibri"/>
              </w:rPr>
              <w:t>y = 0,315 + 0,047 x</w:t>
            </w:r>
          </w:p>
        </w:tc>
      </w:tr>
      <w:tr w:rsidR="00D6374E" w:rsidRPr="00D6374E" w:rsidTr="00DB75DF">
        <w:trPr>
          <w:trHeight w:val="20"/>
        </w:trPr>
        <w:tc>
          <w:tcPr>
            <w:tcW w:w="2079" w:type="dxa"/>
            <w:noWrap/>
          </w:tcPr>
          <w:p w:rsidR="00D6374E" w:rsidRPr="00D6374E" w:rsidRDefault="00D6374E" w:rsidP="00D6374E">
            <w:pPr>
              <w:spacing w:before="40" w:after="40"/>
              <w:rPr>
                <w:rFonts w:eastAsia="Calibri"/>
              </w:rPr>
            </w:pPr>
            <w:r w:rsidRPr="00D6374E">
              <w:rPr>
                <w:rFonts w:eastAsia="Calibri"/>
              </w:rPr>
              <w:t>FR</w:t>
            </w:r>
            <w:r w:rsidRPr="00D6374E">
              <w:rPr>
                <w:rFonts w:eastAsia="Calibri"/>
                <w:vertAlign w:val="subscript"/>
              </w:rPr>
              <w:t>41</w:t>
            </w:r>
          </w:p>
        </w:tc>
        <w:tc>
          <w:tcPr>
            <w:tcW w:w="2079" w:type="dxa"/>
          </w:tcPr>
          <w:p w:rsidR="00D6374E" w:rsidRPr="00D6374E" w:rsidRDefault="00D6374E" w:rsidP="00D6374E">
            <w:pPr>
              <w:spacing w:before="40" w:after="40"/>
              <w:rPr>
                <w:rFonts w:eastAsia="Calibri"/>
              </w:rPr>
            </w:pPr>
            <w:r w:rsidRPr="00D6374E">
              <w:rPr>
                <w:rFonts w:eastAsia="Calibri"/>
              </w:rPr>
              <w:t>lieu spectral</w:t>
            </w:r>
          </w:p>
        </w:tc>
        <w:tc>
          <w:tcPr>
            <w:tcW w:w="2079" w:type="dxa"/>
            <w:noWrap/>
          </w:tcPr>
          <w:p w:rsidR="00D6374E" w:rsidRPr="00D6374E" w:rsidRDefault="00D6374E" w:rsidP="00D6374E">
            <w:pPr>
              <w:spacing w:before="40" w:after="40"/>
              <w:rPr>
                <w:rFonts w:eastAsia="Calibri"/>
              </w:rPr>
            </w:pPr>
          </w:p>
        </w:tc>
      </w:tr>
    </w:tbl>
    <w:p w:rsidR="00D6374E" w:rsidRPr="00D6374E" w:rsidRDefault="00D6374E" w:rsidP="00505AC3">
      <w:pPr>
        <w:pStyle w:val="SingleTxtG"/>
        <w:spacing w:before="120"/>
        <w:ind w:left="2268"/>
        <w:rPr>
          <w:rFonts w:eastAsia="Calibri"/>
        </w:rPr>
      </w:pPr>
      <w:r w:rsidRPr="00D6374E">
        <w:rPr>
          <w:rFonts w:eastAsia="Calibri"/>
        </w:rPr>
        <w:t xml:space="preserve">Points </w:t>
      </w:r>
      <w:r w:rsidRPr="00D6374E">
        <w:rPr>
          <w:rFonts w:eastAsia="Calibri"/>
          <w:lang w:eastAsia="fr-FR"/>
        </w:rPr>
        <w:t>d’intersection</w:t>
      </w:r>
      <w:r w:rsidRPr="00D6374E">
        <w:rPr>
          <w:rFonts w:eastAsia="Calibri"/>
        </w:rPr>
        <w:t>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D6374E" w:rsidRPr="00D6374E" w:rsidTr="00DB75DF">
        <w:tc>
          <w:tcPr>
            <w:tcW w:w="2079" w:type="dxa"/>
          </w:tcPr>
          <w:p w:rsidR="00D6374E" w:rsidRPr="00D6374E" w:rsidRDefault="00D6374E" w:rsidP="00D6374E">
            <w:pPr>
              <w:spacing w:before="40" w:after="40"/>
              <w:rPr>
                <w:rFonts w:eastAsia="Calibri"/>
              </w:rPr>
            </w:pPr>
          </w:p>
        </w:tc>
        <w:tc>
          <w:tcPr>
            <w:tcW w:w="2079" w:type="dxa"/>
            <w:vAlign w:val="bottom"/>
          </w:tcPr>
          <w:p w:rsidR="00D6374E" w:rsidRPr="00D6374E" w:rsidRDefault="00D6374E" w:rsidP="00D6374E">
            <w:pPr>
              <w:spacing w:before="40" w:after="40"/>
              <w:rPr>
                <w:rFonts w:eastAsia="Calibri"/>
              </w:rPr>
            </w:pPr>
            <w:r w:rsidRPr="00D6374E">
              <w:rPr>
                <w:rFonts w:eastAsia="Calibri"/>
              </w:rPr>
              <w:t>x</w:t>
            </w:r>
          </w:p>
        </w:tc>
        <w:tc>
          <w:tcPr>
            <w:tcW w:w="2080" w:type="dxa"/>
            <w:vAlign w:val="bottom"/>
          </w:tcPr>
          <w:p w:rsidR="00D6374E" w:rsidRPr="00D6374E" w:rsidRDefault="00D6374E" w:rsidP="00D6374E">
            <w:pPr>
              <w:spacing w:before="40" w:after="40"/>
              <w:rPr>
                <w:rFonts w:eastAsia="Calibri"/>
              </w:rPr>
            </w:pPr>
            <w:r w:rsidRPr="00D6374E">
              <w:rPr>
                <w:rFonts w:eastAsia="Calibri"/>
              </w:rPr>
              <w:t>y</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FR</w:t>
            </w:r>
            <w:r w:rsidRPr="00D6374E">
              <w:rPr>
                <w:rFonts w:eastAsia="Calibri"/>
                <w:vertAlign w:val="subscript"/>
              </w:rPr>
              <w:t>1</w:t>
            </w:r>
          </w:p>
        </w:tc>
        <w:tc>
          <w:tcPr>
            <w:tcW w:w="2079" w:type="dxa"/>
            <w:vAlign w:val="bottom"/>
          </w:tcPr>
          <w:p w:rsidR="00D6374E" w:rsidRPr="00D6374E" w:rsidRDefault="00D6374E" w:rsidP="00D6374E">
            <w:pPr>
              <w:spacing w:before="40" w:after="40"/>
              <w:rPr>
                <w:rFonts w:eastAsia="Calibri"/>
              </w:rPr>
            </w:pPr>
            <w:r w:rsidRPr="00D6374E">
              <w:rPr>
                <w:rFonts w:eastAsia="Calibri"/>
              </w:rPr>
              <w:t>0,690</w:t>
            </w:r>
          </w:p>
        </w:tc>
        <w:tc>
          <w:tcPr>
            <w:tcW w:w="2080" w:type="dxa"/>
            <w:vAlign w:val="bottom"/>
          </w:tcPr>
          <w:p w:rsidR="00D6374E" w:rsidRPr="00D6374E" w:rsidRDefault="00D6374E" w:rsidP="00D6374E">
            <w:pPr>
              <w:spacing w:before="40" w:after="40"/>
              <w:rPr>
                <w:rFonts w:eastAsia="Calibri"/>
              </w:rPr>
            </w:pPr>
            <w:r w:rsidRPr="00D6374E">
              <w:rPr>
                <w:rFonts w:eastAsia="Calibri"/>
              </w:rPr>
              <w:t>0,310</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FR</w:t>
            </w:r>
            <w:r w:rsidRPr="00D6374E">
              <w:rPr>
                <w:rFonts w:eastAsia="Calibri"/>
                <w:vertAlign w:val="subscript"/>
              </w:rPr>
              <w:t>2</w:t>
            </w:r>
          </w:p>
        </w:tc>
        <w:tc>
          <w:tcPr>
            <w:tcW w:w="2079" w:type="dxa"/>
            <w:vAlign w:val="bottom"/>
          </w:tcPr>
          <w:p w:rsidR="00D6374E" w:rsidRPr="00D6374E" w:rsidRDefault="00D6374E" w:rsidP="00D6374E">
            <w:pPr>
              <w:spacing w:before="40" w:after="40"/>
              <w:rPr>
                <w:rFonts w:eastAsia="Calibri"/>
              </w:rPr>
            </w:pPr>
            <w:r w:rsidRPr="00D6374E">
              <w:rPr>
                <w:rFonts w:eastAsia="Calibri"/>
              </w:rPr>
              <w:t>0,595</w:t>
            </w:r>
          </w:p>
        </w:tc>
        <w:tc>
          <w:tcPr>
            <w:tcW w:w="2080" w:type="dxa"/>
            <w:vAlign w:val="bottom"/>
          </w:tcPr>
          <w:p w:rsidR="00D6374E" w:rsidRPr="00D6374E" w:rsidRDefault="00D6374E" w:rsidP="00D6374E">
            <w:pPr>
              <w:spacing w:before="40" w:after="40"/>
              <w:rPr>
                <w:rFonts w:eastAsia="Calibri"/>
              </w:rPr>
            </w:pPr>
            <w:r w:rsidRPr="00D6374E">
              <w:rPr>
                <w:rFonts w:eastAsia="Calibri"/>
              </w:rPr>
              <w:t>0,315</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FR</w:t>
            </w:r>
            <w:r w:rsidRPr="00D6374E">
              <w:rPr>
                <w:rFonts w:eastAsia="Calibri"/>
                <w:vertAlign w:val="subscript"/>
              </w:rPr>
              <w:t>3</w:t>
            </w:r>
          </w:p>
        </w:tc>
        <w:tc>
          <w:tcPr>
            <w:tcW w:w="2079" w:type="dxa"/>
            <w:vAlign w:val="bottom"/>
          </w:tcPr>
          <w:p w:rsidR="00D6374E" w:rsidRPr="00D6374E" w:rsidRDefault="00D6374E" w:rsidP="00D6374E">
            <w:pPr>
              <w:spacing w:before="40" w:after="40"/>
              <w:rPr>
                <w:rFonts w:eastAsia="Calibri"/>
              </w:rPr>
            </w:pPr>
            <w:r w:rsidRPr="00D6374E">
              <w:rPr>
                <w:rFonts w:eastAsia="Calibri"/>
              </w:rPr>
              <w:t>0,569</w:t>
            </w:r>
          </w:p>
        </w:tc>
        <w:tc>
          <w:tcPr>
            <w:tcW w:w="2080" w:type="dxa"/>
            <w:vAlign w:val="bottom"/>
          </w:tcPr>
          <w:p w:rsidR="00D6374E" w:rsidRPr="00D6374E" w:rsidRDefault="00D6374E" w:rsidP="00D6374E">
            <w:pPr>
              <w:spacing w:before="40" w:after="40"/>
              <w:rPr>
                <w:rFonts w:eastAsia="Calibri"/>
              </w:rPr>
            </w:pPr>
            <w:r w:rsidRPr="00D6374E">
              <w:rPr>
                <w:rFonts w:eastAsia="Calibri"/>
              </w:rPr>
              <w:t>0,341</w:t>
            </w:r>
          </w:p>
        </w:tc>
      </w:tr>
      <w:tr w:rsidR="00D6374E" w:rsidRPr="00D6374E" w:rsidTr="00DB75DF">
        <w:tc>
          <w:tcPr>
            <w:tcW w:w="2079" w:type="dxa"/>
          </w:tcPr>
          <w:p w:rsidR="00D6374E" w:rsidRPr="00D6374E" w:rsidRDefault="00D6374E" w:rsidP="00D6374E">
            <w:pPr>
              <w:spacing w:before="40" w:after="40"/>
              <w:rPr>
                <w:rFonts w:eastAsia="Calibri"/>
              </w:rPr>
            </w:pPr>
            <w:r w:rsidRPr="00D6374E">
              <w:rPr>
                <w:rFonts w:eastAsia="Calibri"/>
              </w:rPr>
              <w:t>FR</w:t>
            </w:r>
            <w:r w:rsidRPr="00D6374E">
              <w:rPr>
                <w:rFonts w:eastAsia="Calibri"/>
                <w:vertAlign w:val="subscript"/>
              </w:rPr>
              <w:t>4</w:t>
            </w:r>
          </w:p>
        </w:tc>
        <w:tc>
          <w:tcPr>
            <w:tcW w:w="2079" w:type="dxa"/>
            <w:vAlign w:val="bottom"/>
          </w:tcPr>
          <w:p w:rsidR="00D6374E" w:rsidRPr="00D6374E" w:rsidRDefault="00D6374E" w:rsidP="00D6374E">
            <w:pPr>
              <w:spacing w:before="40" w:after="40"/>
              <w:rPr>
                <w:rFonts w:eastAsia="Calibri"/>
              </w:rPr>
            </w:pPr>
            <w:r w:rsidRPr="00D6374E">
              <w:rPr>
                <w:rFonts w:eastAsia="Calibri"/>
              </w:rPr>
              <w:t>0,655</w:t>
            </w:r>
          </w:p>
        </w:tc>
        <w:tc>
          <w:tcPr>
            <w:tcW w:w="2080" w:type="dxa"/>
            <w:vAlign w:val="bottom"/>
          </w:tcPr>
          <w:p w:rsidR="00D6374E" w:rsidRPr="00D6374E" w:rsidRDefault="00D6374E" w:rsidP="00D6374E">
            <w:pPr>
              <w:spacing w:before="40" w:after="40"/>
              <w:rPr>
                <w:rFonts w:eastAsia="Calibri"/>
              </w:rPr>
            </w:pPr>
            <w:r w:rsidRPr="00D6374E">
              <w:rPr>
                <w:rFonts w:eastAsia="Calibri"/>
              </w:rPr>
              <w:t>0,345</w:t>
            </w:r>
          </w:p>
        </w:tc>
      </w:tr>
    </w:tbl>
    <w:p w:rsidR="00D6374E" w:rsidRPr="00D6374E" w:rsidRDefault="00D6374E" w:rsidP="00D6374E">
      <w:pPr>
        <w:spacing w:after="120"/>
        <w:ind w:left="2268" w:right="1134" w:hanging="1134"/>
        <w:jc w:val="right"/>
        <w:rPr>
          <w:rFonts w:eastAsia="Calibri"/>
        </w:rPr>
      </w:pPr>
      <w:r w:rsidRPr="00D6374E">
        <w:rPr>
          <w:rFonts w:eastAsia="Calibri"/>
        </w:rPr>
        <w:t> ».</w:t>
      </w:r>
    </w:p>
    <w:p w:rsidR="00D6374E" w:rsidRPr="00D6374E" w:rsidRDefault="00D6374E" w:rsidP="00FB5C51">
      <w:pPr>
        <w:pStyle w:val="SingleTxtG"/>
      </w:pPr>
      <w:r w:rsidRPr="00FB5C51">
        <w:rPr>
          <w:i/>
          <w:iCs/>
        </w:rPr>
        <w:t>Paragraphe 3.2.1</w:t>
      </w:r>
      <w:r w:rsidRPr="00D6374E">
        <w:t>, lire :</w:t>
      </w:r>
    </w:p>
    <w:p w:rsidR="00D6374E" w:rsidRPr="00D6374E" w:rsidRDefault="00D6374E" w:rsidP="00D6374E">
      <w:pPr>
        <w:pStyle w:val="SingleTxtG"/>
        <w:ind w:left="2268" w:hanging="1134"/>
        <w:rPr>
          <w:rFonts w:eastAsia="Calibri"/>
        </w:rPr>
      </w:pPr>
      <w:r w:rsidRPr="00D6374E">
        <w:rPr>
          <w:rFonts w:eastAsia="Calibri"/>
        </w:rPr>
        <w:t>« 3.2.1</w:t>
      </w:r>
      <w:r w:rsidRPr="00D6374E">
        <w:rPr>
          <w:rFonts w:eastAsia="Calibri"/>
        </w:rPr>
        <w:tab/>
        <w:t>Description du type de véhicule en ce qui concerne les points mentionnés aux paragraphes 2.2.1.1 à 2.2.1.4 ci-dessus. Le type de véhicule doit être indiqué avec mention des restrictions relatives au chargement, notamment la charge maximale admissible dans le coffre à bagages ; ».</w:t>
      </w:r>
    </w:p>
    <w:p w:rsidR="00D6374E" w:rsidRPr="00D6374E" w:rsidRDefault="00D6374E" w:rsidP="00FB5C51">
      <w:pPr>
        <w:pStyle w:val="SingleTxtG"/>
        <w:rPr>
          <w:rFonts w:eastAsia="Calibri"/>
        </w:rPr>
      </w:pPr>
      <w:r w:rsidRPr="00D6374E">
        <w:rPr>
          <w:rFonts w:eastAsia="Calibri"/>
          <w:i/>
        </w:rPr>
        <w:t>Paragraphe 3.2.4</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3.2.4</w:t>
      </w:r>
      <w:r w:rsidRPr="00D6374E">
        <w:rPr>
          <w:rFonts w:eastAsia="Calibri"/>
        </w:rPr>
        <w:tab/>
        <w:t xml:space="preserve">Si besoin est, afin de vérifier la conformité des prescriptions du présent Règlement, schéma(s) indiquant pour chaque feu la plage éclairante telle que définie au paragraphe 2.10.3, la surface de sortie de la lumière telle que définie au paragraphe 2.10.2, l’axe de référence tel que défini au paragraphe 2.10.5, et le centre de référence tel que défini </w:t>
      </w:r>
      <w:r w:rsidRPr="00FD57CB">
        <w:rPr>
          <w:rFonts w:eastAsia="Calibri"/>
        </w:rPr>
        <w:t>au paragraphe 2.10.6. Ces</w:t>
      </w:r>
      <w:r w:rsidRPr="00D6374E">
        <w:rPr>
          <w:rFonts w:eastAsia="Calibri"/>
        </w:rPr>
        <w:t xml:space="preserve"> renseignements ne sont pas nécessaires pour le dispositif d’éclairage de la plaque d’immatriculation arrière (par. 2.5.5) ; ».</w:t>
      </w:r>
    </w:p>
    <w:p w:rsidR="00D6374E" w:rsidRPr="00D6374E" w:rsidRDefault="00D6374E" w:rsidP="00FB5C51">
      <w:pPr>
        <w:pStyle w:val="SingleTxtG"/>
        <w:rPr>
          <w:rFonts w:eastAsia="Calibri"/>
        </w:rPr>
      </w:pPr>
      <w:r w:rsidRPr="00D6374E">
        <w:rPr>
          <w:rFonts w:eastAsia="Calibri"/>
          <w:i/>
        </w:rPr>
        <w:t>Paragraphe 3.2.5</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3.2.5</w:t>
      </w:r>
      <w:r w:rsidRPr="00D6374E">
        <w:rPr>
          <w:rFonts w:eastAsia="Calibri"/>
        </w:rPr>
        <w:tab/>
        <w:t>La demande d’homologation doit préciser la méthode utilisée pour la définition de la surface apparente (voir par. 2.10.4). ».</w:t>
      </w:r>
    </w:p>
    <w:p w:rsidR="00D6374E" w:rsidRPr="00D6374E" w:rsidRDefault="00D6374E" w:rsidP="00FB5C51">
      <w:pPr>
        <w:pStyle w:val="SingleTxtG"/>
        <w:rPr>
          <w:rFonts w:eastAsia="Calibri"/>
        </w:rPr>
      </w:pPr>
      <w:r w:rsidRPr="00BB77EE">
        <w:rPr>
          <w:rFonts w:eastAsia="Calibri"/>
          <w:i/>
        </w:rPr>
        <w:t>Paragraphe 3.2.6.2</w:t>
      </w:r>
      <w:r w:rsidRPr="00BB77E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3.2.6.2</w:t>
      </w:r>
      <w:r w:rsidRPr="00D6374E">
        <w:rPr>
          <w:rFonts w:eastAsia="Calibri"/>
        </w:rPr>
        <w:tab/>
        <w:t xml:space="preserve">Les signaux de commande AFS correspondants et leurs caractéristiques techniques, définies conformément </w:t>
      </w:r>
      <w:bookmarkStart w:id="2" w:name="_Hlk491704411"/>
      <w:r w:rsidRPr="00D6374E">
        <w:rPr>
          <w:rFonts w:eastAsia="Calibri"/>
        </w:rPr>
        <w:t>à l’annexe 10 du Règlement ONU</w:t>
      </w:r>
      <w:bookmarkEnd w:id="2"/>
      <w:r w:rsidRPr="00D6374E">
        <w:rPr>
          <w:rFonts w:eastAsia="Calibri"/>
        </w:rPr>
        <w:t xml:space="preserve"> n</w:t>
      </w:r>
      <w:r w:rsidRPr="00D6374E">
        <w:rPr>
          <w:rFonts w:eastAsia="Calibri"/>
          <w:vertAlign w:val="superscript"/>
        </w:rPr>
        <w:t>o</w:t>
      </w:r>
      <w:r w:rsidRPr="00D6374E">
        <w:rPr>
          <w:rFonts w:eastAsia="Calibri"/>
        </w:rPr>
        <w:t> 123 ou à l’annexe 14 du Règlement ONU n</w:t>
      </w:r>
      <w:r w:rsidRPr="00D6374E">
        <w:rPr>
          <w:rFonts w:eastAsia="Calibri"/>
          <w:vertAlign w:val="superscript"/>
        </w:rPr>
        <w:t>o</w:t>
      </w:r>
      <w:r w:rsidRPr="00D6374E">
        <w:rPr>
          <w:rFonts w:eastAsia="Calibri"/>
        </w:rPr>
        <w:t> [RID]. ».</w:t>
      </w:r>
    </w:p>
    <w:p w:rsidR="00D6374E" w:rsidRPr="00D6374E" w:rsidRDefault="00D6374E" w:rsidP="00FB5C51">
      <w:pPr>
        <w:pStyle w:val="SingleTxtG"/>
        <w:rPr>
          <w:rFonts w:eastAsia="Calibri"/>
        </w:rPr>
      </w:pPr>
      <w:r w:rsidRPr="00D6374E">
        <w:rPr>
          <w:rFonts w:eastAsia="Calibri"/>
          <w:i/>
        </w:rPr>
        <w:t>Paragraphe 3.2.7</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3.2.7</w:t>
      </w:r>
      <w:r w:rsidRPr="00D6374E">
        <w:rPr>
          <w:rFonts w:eastAsia="Calibri"/>
        </w:rPr>
        <w:tab/>
        <w:t>Pour les véhicules des catégories M et N, une description des conditions d’alimentation électrique des dispositifs définis aux paragraphes 2.5.1, 2.5.2, 2.5.4, 2.5.6 et 2.5.7 ci-dessus, y compris, s’il y a lieu, des renseignements sur un module d’alimentation spécial/un module de commande de source lumineuse ou un module de variation d’intensité. ».</w:t>
      </w:r>
    </w:p>
    <w:p w:rsidR="00D6374E" w:rsidRPr="00D6374E" w:rsidRDefault="00D6374E" w:rsidP="00FB5C51">
      <w:pPr>
        <w:pStyle w:val="SingleTxtG"/>
        <w:rPr>
          <w:rFonts w:eastAsia="Calibri"/>
        </w:rPr>
      </w:pPr>
      <w:r w:rsidRPr="00D6374E">
        <w:rPr>
          <w:rFonts w:eastAsia="Calibri"/>
          <w:i/>
        </w:rPr>
        <w:t>Paragraphe 5.1</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5.1</w:t>
      </w:r>
      <w:r w:rsidRPr="00D6374E">
        <w:rPr>
          <w:rFonts w:eastAsia="Calibri"/>
        </w:rPr>
        <w:tab/>
        <w:t xml:space="preserve">Les dispositifs d’éclairage et de signalisation lumineuse doivent être montés de telle façon que, dans les conditions normales d’utilisation définies aux paragraphes 2.3.10, 2.3.10.1 et 2.3.10.2, et en dépit des vibrations auxquelles ils peuvent être soumis, ils gardent les caractéristiques imposées par le présent Règlement et que le véhicule demeure conforme aux prescriptions du présent </w:t>
      </w:r>
      <w:r w:rsidRPr="00D6374E">
        <w:rPr>
          <w:rFonts w:eastAsia="Calibri"/>
        </w:rPr>
        <w:lastRenderedPageBreak/>
        <w:t>Règlement. En particulier, les feux ne doivent pas pouvoir être déréglés par inadvertance. ».</w:t>
      </w:r>
    </w:p>
    <w:p w:rsidR="00D6374E" w:rsidRPr="00D6374E" w:rsidRDefault="00D6374E" w:rsidP="00FB5C51">
      <w:pPr>
        <w:pStyle w:val="SingleTxtG"/>
        <w:rPr>
          <w:rFonts w:eastAsia="Calibri"/>
        </w:rPr>
      </w:pPr>
      <w:r w:rsidRPr="00D6374E">
        <w:rPr>
          <w:rFonts w:eastAsia="Calibri"/>
          <w:i/>
        </w:rPr>
        <w:t>Paragraphe 5.2</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5.2</w:t>
      </w:r>
      <w:r w:rsidRPr="00D6374E">
        <w:rPr>
          <w:rFonts w:eastAsia="Calibri"/>
        </w:rPr>
        <w:tab/>
        <w:t>Les feux d’éclairage décrits aux paragraphes 2.5.1, 2.5.2 et 2.5.10 doivent être installés de telle sorte qu’un réglage correct de l’orientation soit aisément réalisable. ».</w:t>
      </w:r>
    </w:p>
    <w:p w:rsidR="00D6374E" w:rsidRPr="00D6374E" w:rsidRDefault="00D6374E" w:rsidP="00FB5C51">
      <w:pPr>
        <w:pStyle w:val="SingleTxtG"/>
        <w:rPr>
          <w:rFonts w:eastAsia="Calibri"/>
        </w:rPr>
      </w:pPr>
      <w:r w:rsidRPr="00D6374E">
        <w:rPr>
          <w:rFonts w:eastAsia="Calibri"/>
          <w:i/>
        </w:rPr>
        <w:t>Paragraphe 5.4</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5.4</w:t>
      </w:r>
      <w:r w:rsidRPr="00D6374E">
        <w:rPr>
          <w:rFonts w:eastAsia="Calibri"/>
        </w:rPr>
        <w:tab/>
        <w:t>À défaut de prescriptions particulières, la hauteur et l’orientation des feux doivent être vérifiées alors que le véhicule</w:t>
      </w:r>
      <w:r w:rsidRPr="00D6374E">
        <w:rPr>
          <w:rFonts w:eastAsia="Calibri"/>
          <w:lang w:eastAsia="fr-FR"/>
        </w:rPr>
        <w:t xml:space="preserve"> est à vide et placé sur une surface plane et horizontale, dans les conditions définies aux paragraphes 2.3.10, 2.3.10.1 et 2.3.10.2 et, dans le cas où le véhicule est équipé d’un AFS, alors </w:t>
      </w:r>
      <w:r w:rsidRPr="00D6374E">
        <w:rPr>
          <w:rFonts w:eastAsia="Calibri"/>
        </w:rPr>
        <w:t>que celui-ci est à l’état neutre. ».</w:t>
      </w:r>
    </w:p>
    <w:p w:rsidR="00D6374E" w:rsidRPr="00D6374E" w:rsidRDefault="00D6374E" w:rsidP="00FB5C51">
      <w:pPr>
        <w:pStyle w:val="SingleTxtG"/>
        <w:rPr>
          <w:rFonts w:eastAsia="Calibri"/>
        </w:rPr>
      </w:pPr>
      <w:r w:rsidRPr="00D6374E">
        <w:rPr>
          <w:rFonts w:eastAsia="Calibri"/>
          <w:i/>
        </w:rPr>
        <w:t>Paragraphe 5.5.1</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5.5.1</w:t>
      </w:r>
      <w:r w:rsidRPr="00D6374E">
        <w:rPr>
          <w:rFonts w:eastAsia="Calibri"/>
        </w:rPr>
        <w:tab/>
        <w:t>Être montés symétriquement par rapport au plan longitudinal médian (cette estimation étant faite d’après la forme géométrique extérieure du feu et non d’après le bord de sa plage éclairante définie au paragraphe 2.10.3) ; ».</w:t>
      </w:r>
    </w:p>
    <w:p w:rsidR="00D6374E" w:rsidRPr="00D6374E" w:rsidRDefault="00D6374E" w:rsidP="00FB5C51">
      <w:pPr>
        <w:pStyle w:val="SingleTxtG"/>
        <w:rPr>
          <w:rFonts w:eastAsia="Calibri"/>
        </w:rPr>
      </w:pPr>
      <w:r w:rsidRPr="00D6374E">
        <w:rPr>
          <w:rFonts w:eastAsia="Calibri"/>
          <w:i/>
        </w:rPr>
        <w:t>Paragraphe 5.7.2.1</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5.7.2.1</w:t>
      </w:r>
      <w:r w:rsidRPr="00D6374E">
        <w:rPr>
          <w:rFonts w:eastAsia="Calibri"/>
        </w:rPr>
        <w:tab/>
        <w:t>Les feux simples définis à l’alinéa a) du paragraphe 2.4.11.1, qui sont constitués de deux parties distinctes ou plus, doivent être installés de façon :</w:t>
      </w:r>
    </w:p>
    <w:p w:rsidR="00D6374E" w:rsidRPr="00D6374E" w:rsidRDefault="00D6374E" w:rsidP="00D6374E">
      <w:pPr>
        <w:spacing w:after="120"/>
        <w:ind w:left="3402" w:right="1134" w:hanging="1134"/>
        <w:jc w:val="both"/>
        <w:rPr>
          <w:rFonts w:eastAsia="Calibri"/>
        </w:rPr>
      </w:pPr>
      <w:r w:rsidRPr="00D6374E">
        <w:rPr>
          <w:rFonts w:eastAsia="Calibri"/>
        </w:rPr>
        <w:t>… ».</w:t>
      </w:r>
    </w:p>
    <w:p w:rsidR="00D6374E" w:rsidRPr="00D6374E" w:rsidRDefault="00D6374E" w:rsidP="00FB5C51">
      <w:pPr>
        <w:pStyle w:val="SingleTxtG"/>
        <w:rPr>
          <w:rFonts w:eastAsia="Calibri"/>
        </w:rPr>
      </w:pPr>
      <w:r w:rsidRPr="00D6374E">
        <w:rPr>
          <w:rFonts w:eastAsia="Calibri"/>
          <w:i/>
        </w:rPr>
        <w:t>Paragraphe 5.7.2.2</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5.7.2.2</w:t>
      </w:r>
      <w:r w:rsidRPr="00D6374E">
        <w:rPr>
          <w:rFonts w:eastAsia="Calibri"/>
        </w:rPr>
        <w:tab/>
        <w:t>Les feux simples définis à l’alinéa b) ou c) du paragraphe 2.4.11.1, qui sont constitués de deux feux marqués “D” ou de deux catadioptres indépendants, doivent être installés de façon :</w:t>
      </w:r>
    </w:p>
    <w:p w:rsidR="00D6374E" w:rsidRPr="00D6374E" w:rsidRDefault="00D6374E" w:rsidP="00D6374E">
      <w:pPr>
        <w:spacing w:after="120"/>
        <w:ind w:left="3402" w:right="1134" w:hanging="1134"/>
        <w:jc w:val="both"/>
        <w:rPr>
          <w:rFonts w:eastAsia="Calibri"/>
        </w:rPr>
      </w:pPr>
      <w:r w:rsidRPr="00D6374E">
        <w:rPr>
          <w:rFonts w:eastAsia="Calibri"/>
        </w:rPr>
        <w:t>… ».</w:t>
      </w:r>
    </w:p>
    <w:p w:rsidR="00D6374E" w:rsidRPr="00D6374E" w:rsidRDefault="00D6374E" w:rsidP="00FB5C51">
      <w:pPr>
        <w:pStyle w:val="SingleTxtG"/>
        <w:rPr>
          <w:rFonts w:eastAsia="Calibri"/>
        </w:rPr>
      </w:pPr>
      <w:r w:rsidRPr="00D6374E">
        <w:rPr>
          <w:rFonts w:eastAsia="Calibri"/>
          <w:i/>
        </w:rPr>
        <w:t>Paragraphe 5.7.2.3</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5.7.2.3</w:t>
      </w:r>
      <w:r w:rsidRPr="00D6374E">
        <w:rPr>
          <w:rFonts w:eastAsia="Calibri"/>
        </w:rPr>
        <w:tab/>
        <w:t>Les feux simples définis à l’alinéa d) du paragraphe 2.4.11.1 doivent satisfaire aux prescriptions du paragraphe 5.7.2.1.</w:t>
      </w:r>
    </w:p>
    <w:p w:rsidR="00D6374E" w:rsidRPr="00D6374E" w:rsidRDefault="00D6374E" w:rsidP="00DB75DF">
      <w:pPr>
        <w:pStyle w:val="SingleTxtG"/>
        <w:ind w:left="2268"/>
        <w:rPr>
          <w:rFonts w:eastAsia="Calibri"/>
        </w:rPr>
      </w:pPr>
      <w:r w:rsidRPr="00D6374E">
        <w:rPr>
          <w:rFonts w:eastAsia="Calibri"/>
        </w:rPr>
        <w:t>Deux feux ou plus et/ou deux surfaces apparentes distinctes ou plus montés dans le même boîtier et/ou ayant une glace extérieure commune ne sont pas considérés comme un système de feux interdépendants.</w:t>
      </w:r>
    </w:p>
    <w:p w:rsidR="00D6374E" w:rsidRPr="00D6374E" w:rsidRDefault="00D6374E" w:rsidP="00DB75DF">
      <w:pPr>
        <w:pStyle w:val="SingleTxtG"/>
        <w:ind w:left="2268"/>
        <w:rPr>
          <w:rFonts w:eastAsia="Calibri"/>
        </w:rPr>
      </w:pPr>
      <w:r w:rsidRPr="00D6374E">
        <w:rPr>
          <w:rFonts w:eastAsia="Calibri"/>
        </w:rPr>
        <w:t>Toutefois, un feu ayant la forme d’une bande peut faire partie d’un système de feux interdépendants. ».</w:t>
      </w:r>
    </w:p>
    <w:p w:rsidR="00D6374E" w:rsidRPr="00D6374E" w:rsidRDefault="00D6374E" w:rsidP="00FB5C51">
      <w:pPr>
        <w:pStyle w:val="SingleTxtG"/>
        <w:rPr>
          <w:rFonts w:eastAsia="Calibri"/>
        </w:rPr>
      </w:pPr>
      <w:r w:rsidRPr="00D6374E">
        <w:rPr>
          <w:rFonts w:eastAsia="Calibri"/>
          <w:i/>
        </w:rPr>
        <w:t>Paragraphe 5.9.3</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5.9.3</w:t>
      </w:r>
      <w:r w:rsidRPr="00D6374E">
        <w:rPr>
          <w:rFonts w:eastAsia="Calibri"/>
        </w:rPr>
        <w:tab/>
        <w:t xml:space="preserve">Les caractéristiques photométriques des feux indicateurs de direction des catégories 1, 1a, 1b, 2a ou 2b peuvent varier durant un clignotement par activation séquentielle conformément au paragraphe 5.6 du </w:t>
      </w:r>
      <w:bookmarkStart w:id="3" w:name="_Hlk491704607"/>
      <w:r w:rsidRPr="00D6374E">
        <w:rPr>
          <w:rFonts w:eastAsia="Calibri"/>
        </w:rPr>
        <w:t>Règlement ONU</w:t>
      </w:r>
      <w:r w:rsidR="008D6608">
        <w:rPr>
          <w:rFonts w:eastAsia="Calibri"/>
        </w:rPr>
        <w:t> </w:t>
      </w:r>
      <w:r w:rsidRPr="00D6374E">
        <w:rPr>
          <w:rFonts w:eastAsia="Calibri"/>
        </w:rPr>
        <w:t>n</w:t>
      </w:r>
      <w:r w:rsidRPr="00D6374E">
        <w:rPr>
          <w:rFonts w:eastAsia="Calibri"/>
          <w:vertAlign w:val="superscript"/>
        </w:rPr>
        <w:t>o</w:t>
      </w:r>
      <w:bookmarkEnd w:id="3"/>
      <w:r w:rsidRPr="00D6374E">
        <w:rPr>
          <w:rFonts w:eastAsia="Calibri"/>
        </w:rPr>
        <w:t> 6 ou au paragraphe 5.6.11 du Règlement ONU n</w:t>
      </w:r>
      <w:r w:rsidRPr="00D6374E">
        <w:rPr>
          <w:rFonts w:eastAsia="Calibri"/>
          <w:vertAlign w:val="superscript"/>
        </w:rPr>
        <w:t>o</w:t>
      </w:r>
      <w:r w:rsidRPr="00D6374E">
        <w:rPr>
          <w:rFonts w:eastAsia="Calibri"/>
        </w:rPr>
        <w:t> [LSD].</w:t>
      </w:r>
    </w:p>
    <w:p w:rsidR="00D6374E" w:rsidRPr="00D6374E" w:rsidRDefault="00D6374E" w:rsidP="00DB75DF">
      <w:pPr>
        <w:pStyle w:val="SingleTxtG"/>
        <w:ind w:left="2268"/>
        <w:rPr>
          <w:rFonts w:eastAsia="Calibri"/>
        </w:rPr>
      </w:pPr>
      <w:r w:rsidRPr="00D6374E">
        <w:rPr>
          <w:rFonts w:eastAsia="Calibri"/>
        </w:rPr>
        <w:t>Cette disposition ne doit pas s’appliquer lorsque les feux indicateurs de direction des catégories 2a et 2b sont utilisés comme signal de freinage d’urgence conformément au paragraphe 6.23.1 du présent Règlement. ».</w:t>
      </w:r>
    </w:p>
    <w:p w:rsidR="00D6374E" w:rsidRPr="00D6374E" w:rsidRDefault="00D6374E" w:rsidP="00FB5C51">
      <w:pPr>
        <w:pStyle w:val="SingleTxtG"/>
        <w:rPr>
          <w:rFonts w:eastAsia="Calibri"/>
          <w:lang w:val="fr-FR"/>
        </w:rPr>
      </w:pPr>
      <w:r w:rsidRPr="00D6374E">
        <w:rPr>
          <w:rFonts w:eastAsia="Calibri"/>
          <w:i/>
          <w:lang w:val="fr-FR"/>
        </w:rPr>
        <w:t>Paragraphe 5.10</w:t>
      </w:r>
      <w:r w:rsidRPr="00D6374E">
        <w:rPr>
          <w:rFonts w:eastAsia="Calibri"/>
          <w:lang w:val="fr-FR"/>
        </w:rPr>
        <w:t>, lire :</w:t>
      </w:r>
    </w:p>
    <w:p w:rsidR="00D6374E" w:rsidRPr="00D6374E" w:rsidRDefault="00D6374E" w:rsidP="00D6374E">
      <w:pPr>
        <w:pStyle w:val="SingleTxtG"/>
        <w:ind w:left="2268" w:hanging="1134"/>
        <w:rPr>
          <w:rFonts w:eastAsia="Calibri"/>
          <w:lang w:val="fr-FR"/>
        </w:rPr>
      </w:pPr>
      <w:r w:rsidRPr="00D6374E">
        <w:t>«</w:t>
      </w:r>
      <w:r w:rsidRPr="00D6374E">
        <w:rPr>
          <w:rFonts w:eastAsia="Calibri"/>
          <w:lang w:val="fr-FR"/>
        </w:rPr>
        <w:t> 5.10</w:t>
      </w:r>
      <w:r w:rsidRPr="00D6374E">
        <w:rPr>
          <w:rFonts w:eastAsia="Calibri"/>
          <w:lang w:val="fr-FR"/>
        </w:rPr>
        <w:tab/>
        <w:t>Aucune lumière rouge pouvant prêter à confusion ne doit être émise vers l’avant par un feu tel que défini au paragraphe 2.1.5 et aucune lumière blanche pouvant prêter à confusion ne doit être émise vers l’arrière par un feu tel que défini au paragraphe 2.1.5. Il n’est pas tenu compte des dispositifs d’éclairage installés à l’intérieur du véhicule. En cas de doute, la conformité est vérifiée comme suit : ».</w:t>
      </w:r>
    </w:p>
    <w:p w:rsidR="00D6374E" w:rsidRPr="00D6374E" w:rsidRDefault="00D6374E" w:rsidP="00FB5C51">
      <w:pPr>
        <w:pStyle w:val="SingleTxtG"/>
        <w:rPr>
          <w:rFonts w:eastAsia="Calibri"/>
          <w:lang w:val="fr-FR"/>
        </w:rPr>
      </w:pPr>
      <w:r w:rsidRPr="00D6374E">
        <w:rPr>
          <w:rFonts w:eastAsia="Calibri"/>
          <w:i/>
          <w:lang w:val="fr-FR"/>
        </w:rPr>
        <w:lastRenderedPageBreak/>
        <w:t>Paragraphe 5.18.2</w:t>
      </w:r>
      <w:r w:rsidRPr="00D6374E">
        <w:rPr>
          <w:rFonts w:eastAsia="Calibri"/>
          <w:lang w:val="fr-FR"/>
        </w:rPr>
        <w:t>, lire :</w:t>
      </w:r>
    </w:p>
    <w:p w:rsidR="00D6374E" w:rsidRPr="00D6374E" w:rsidRDefault="00D6374E" w:rsidP="00D6374E">
      <w:pPr>
        <w:pStyle w:val="SingleTxtG"/>
        <w:ind w:left="2268" w:hanging="1134"/>
        <w:rPr>
          <w:rFonts w:eastAsia="Calibri"/>
          <w:spacing w:val="-1"/>
          <w:lang w:val="fr-FR"/>
        </w:rPr>
      </w:pPr>
      <w:r w:rsidRPr="00D6374E">
        <w:rPr>
          <w:rFonts w:eastAsia="Calibri"/>
          <w:lang w:val="fr-FR"/>
        </w:rPr>
        <w:t>« 5.18.2</w:t>
      </w:r>
      <w:r w:rsidRPr="00D6374E">
        <w:rPr>
          <w:rFonts w:eastAsia="Calibri"/>
          <w:lang w:val="fr-FR"/>
        </w:rPr>
        <w:tab/>
      </w:r>
      <w:r w:rsidRPr="00D6374E">
        <w:rPr>
          <w:rFonts w:eastAsia="Calibri"/>
          <w:spacing w:val="-1"/>
          <w:lang w:val="fr-FR"/>
        </w:rPr>
        <w:t xml:space="preserve">Lorsque les fonctions visées au paragraphe 5.18 sont assurées par un assemblage de deux feux marqués </w:t>
      </w:r>
      <w:r w:rsidRPr="00D6374E">
        <w:rPr>
          <w:rFonts w:eastAsia="Calibri"/>
          <w:spacing w:val="-1"/>
        </w:rPr>
        <w:t>“</w:t>
      </w:r>
      <w:r w:rsidRPr="00D6374E">
        <w:rPr>
          <w:rFonts w:eastAsia="Calibri"/>
          <w:spacing w:val="-1"/>
          <w:lang w:val="fr-FR"/>
        </w:rPr>
        <w:t>D</w:t>
      </w:r>
      <w:r w:rsidRPr="00D6374E">
        <w:rPr>
          <w:rFonts w:eastAsia="Calibri"/>
          <w:spacing w:val="-1"/>
        </w:rPr>
        <w:t>”</w:t>
      </w:r>
      <w:r w:rsidRPr="00D6374E">
        <w:rPr>
          <w:rFonts w:eastAsia="Calibri"/>
          <w:spacing w:val="-1"/>
          <w:lang w:val="fr-FR"/>
        </w:rPr>
        <w:t xml:space="preserve"> (voir le paragraphe 2.4.11.1), un seul de ces feux doit être conforme aux prescriptions concernant la position, la visibilité géométrique et les caractéristiques photométriques applicables à ces feux, dans toutes les positions fixes des éléments mobiles. ».</w:t>
      </w:r>
    </w:p>
    <w:p w:rsidR="00D6374E" w:rsidRPr="00D6374E" w:rsidRDefault="00D6374E" w:rsidP="00FB5C51">
      <w:pPr>
        <w:pStyle w:val="SingleTxtG"/>
        <w:rPr>
          <w:rFonts w:eastAsia="Calibri"/>
          <w:lang w:val="fr-FR"/>
        </w:rPr>
      </w:pPr>
      <w:r w:rsidRPr="00D6374E">
        <w:rPr>
          <w:rFonts w:eastAsia="Calibri"/>
          <w:i/>
          <w:lang w:val="fr-FR"/>
        </w:rPr>
        <w:t>Paragraphe 5.23</w:t>
      </w:r>
      <w:r w:rsidRPr="00D6374E">
        <w:rPr>
          <w:rFonts w:eastAsia="Calibri"/>
          <w:lang w:val="fr-FR"/>
        </w:rPr>
        <w:t>, lire :</w:t>
      </w:r>
    </w:p>
    <w:p w:rsidR="00D6374E" w:rsidRPr="00D6374E" w:rsidRDefault="00D6374E" w:rsidP="00D6374E">
      <w:pPr>
        <w:pStyle w:val="SingleTxtG"/>
        <w:ind w:left="2268" w:hanging="1134"/>
        <w:rPr>
          <w:rFonts w:eastAsia="Calibri"/>
          <w:lang w:val="fr-FR"/>
        </w:rPr>
      </w:pPr>
      <w:r w:rsidRPr="00D6374E">
        <w:rPr>
          <w:rFonts w:eastAsia="Calibri"/>
          <w:lang w:val="fr-FR"/>
        </w:rPr>
        <w:t>« 5.23</w:t>
      </w:r>
      <w:r w:rsidRPr="00D6374E">
        <w:rPr>
          <w:rFonts w:eastAsia="Calibri"/>
          <w:lang w:val="fr-FR"/>
        </w:rPr>
        <w:tab/>
        <w:t>Les feux homologués avec des sources lumineuses conformes au Règlement ONU n</w:t>
      </w:r>
      <w:r w:rsidRPr="00D6374E">
        <w:rPr>
          <w:rFonts w:eastAsia="Calibri"/>
          <w:vertAlign w:val="superscript"/>
          <w:lang w:val="fr-FR"/>
        </w:rPr>
        <w:t>o</w:t>
      </w:r>
      <w:r w:rsidRPr="00D6374E">
        <w:rPr>
          <w:rFonts w:eastAsia="Calibri"/>
          <w:lang w:val="fr-FR"/>
        </w:rPr>
        <w:t> 37, sauf quand ces sources lumineuses sont utilisées comme sources non remplaçables telles que définies au paragraphe 2.9.1.2, doivent être montés sur le véhicule de telle sorte que la source lumineuse puisse être correctement remplacée sans l’assistance d’un technicien et sans l’aide d’outils spéciaux autres que ceux fournis avec le véhicule par le constructeur. Le constructeur doit fournir avec le véhicule une description détaillée de la procédure à suivre pour effectuer ce remplacement. ».</w:t>
      </w:r>
    </w:p>
    <w:p w:rsidR="00D6374E" w:rsidRPr="00D6374E" w:rsidRDefault="00D6374E" w:rsidP="00FB5C51">
      <w:pPr>
        <w:pStyle w:val="SingleTxtG"/>
        <w:rPr>
          <w:rFonts w:eastAsia="Calibri"/>
          <w:lang w:val="fr-FR"/>
        </w:rPr>
      </w:pPr>
      <w:r w:rsidRPr="00D6374E">
        <w:rPr>
          <w:rFonts w:eastAsia="Calibri"/>
          <w:i/>
          <w:lang w:val="fr-FR"/>
        </w:rPr>
        <w:t>Paragraphe 5.24</w:t>
      </w:r>
      <w:r w:rsidRPr="00D6374E">
        <w:rPr>
          <w:rFonts w:eastAsia="Calibri"/>
          <w:lang w:val="fr-FR"/>
        </w:rPr>
        <w:t>, lire :</w:t>
      </w:r>
    </w:p>
    <w:p w:rsidR="00D6374E" w:rsidRPr="00D6374E" w:rsidRDefault="00D6374E" w:rsidP="00D6374E">
      <w:pPr>
        <w:pStyle w:val="SingleTxtG"/>
        <w:ind w:left="2268" w:hanging="1134"/>
        <w:rPr>
          <w:rFonts w:eastAsia="Calibri"/>
          <w:lang w:val="fr-FR"/>
        </w:rPr>
      </w:pPr>
      <w:r w:rsidRPr="00D6374E">
        <w:rPr>
          <w:rFonts w:eastAsia="Calibri"/>
          <w:lang w:val="fr-FR"/>
        </w:rPr>
        <w:t>« 5.24</w:t>
      </w:r>
      <w:r w:rsidRPr="00D6374E">
        <w:rPr>
          <w:rFonts w:eastAsia="Calibri"/>
          <w:lang w:val="fr-FR"/>
        </w:rPr>
        <w:tab/>
        <w:t xml:space="preserve">Le remplacement temporaire, grâce à un système de sécurité en mode défaut, de la fonction d’éclairage d’un feu </w:t>
      </w:r>
      <w:r w:rsidRPr="00D6374E">
        <w:rPr>
          <w:rFonts w:eastAsia="Calibri"/>
        </w:rPr>
        <w:t>de</w:t>
      </w:r>
      <w:r w:rsidRPr="00D6374E">
        <w:rPr>
          <w:rFonts w:eastAsia="Calibri"/>
          <w:lang w:val="fr-FR"/>
        </w:rPr>
        <w:t xml:space="preserve"> position arrière est autorisé, à condition que la fonction de remplacement en cas de défaillance soit analogue tant pour la couleur, l’intensité principale et l’emplacement, à la fonction inopérante, et que le dispositif de remplacement continue à remplir sa fonction de sécurité initiale. Pendant le remplacement, un témoin de fonctionnement situé sur le tableau de bord (voir par. 2.3.5 du présent Règlement) doit indiquer le remplacement temporaire et la nécessité de procéder à une réparation. ».</w:t>
      </w:r>
    </w:p>
    <w:p w:rsidR="00D6374E" w:rsidRPr="00D6374E" w:rsidRDefault="00D6374E" w:rsidP="00FB5C51">
      <w:pPr>
        <w:pStyle w:val="SingleTxtG"/>
        <w:rPr>
          <w:rFonts w:eastAsia="Calibri"/>
          <w:lang w:val="fr-FR"/>
        </w:rPr>
      </w:pPr>
      <w:r w:rsidRPr="00D6374E">
        <w:rPr>
          <w:rFonts w:eastAsia="Calibri"/>
          <w:i/>
          <w:lang w:val="fr-FR"/>
        </w:rPr>
        <w:t>Paragraphe 5.27</w:t>
      </w:r>
      <w:r w:rsidRPr="00D6374E">
        <w:rPr>
          <w:rFonts w:eastAsia="Calibri"/>
          <w:lang w:val="fr-FR"/>
        </w:rPr>
        <w:t>, lire :</w:t>
      </w:r>
    </w:p>
    <w:p w:rsidR="00D6374E" w:rsidRPr="00D6374E" w:rsidRDefault="00D6374E" w:rsidP="00D6374E">
      <w:pPr>
        <w:pStyle w:val="SingleTxtG"/>
        <w:ind w:left="2268" w:hanging="1134"/>
        <w:rPr>
          <w:rFonts w:eastAsia="Calibri"/>
          <w:lang w:val="fr-FR"/>
        </w:rPr>
      </w:pPr>
      <w:r w:rsidRPr="00D6374E">
        <w:rPr>
          <w:rFonts w:eastAsia="Calibri"/>
          <w:lang w:val="fr-FR"/>
        </w:rPr>
        <w:t>« 5.27</w:t>
      </w:r>
      <w:r w:rsidRPr="00D6374E">
        <w:rPr>
          <w:rFonts w:eastAsia="Calibri"/>
          <w:lang w:val="fr-FR"/>
        </w:rPr>
        <w:tab/>
        <w:t xml:space="preserve">Pour les véhicules des catégories M et N, le demandeur doit apporter au service technique chargé des essais </w:t>
      </w:r>
      <w:r w:rsidRPr="00D6374E">
        <w:rPr>
          <w:rFonts w:eastAsia="Calibri"/>
        </w:rPr>
        <w:t>d’homologation</w:t>
      </w:r>
      <w:r w:rsidRPr="00D6374E">
        <w:rPr>
          <w:rFonts w:eastAsia="Calibri"/>
          <w:lang w:val="fr-FR"/>
        </w:rPr>
        <w:t xml:space="preserve"> la preuve que les conditions d’alimentation électrique des dispositifs définis aux paragraphes 2.5.1, 2.5.2, 2.5.4, 2.5.6 et 2.5.7 ci</w:t>
      </w:r>
      <w:r w:rsidRPr="00D6374E">
        <w:rPr>
          <w:rFonts w:eastAsia="Calibri"/>
          <w:lang w:val="fr-FR"/>
        </w:rPr>
        <w:noBreakHyphen/>
        <w:t>dessus sont, lorsque le système électrique du véhicule fonctionne à une tension constante représentative de la catégorie du véhicule à moteur spécifié par le demandeur, conformes aux dispositions suivantes :</w:t>
      </w:r>
    </w:p>
    <w:p w:rsidR="00D6374E" w:rsidRPr="00D6374E" w:rsidRDefault="00D6374E" w:rsidP="00DB75DF">
      <w:pPr>
        <w:pStyle w:val="SingleTxtG"/>
        <w:ind w:left="2268"/>
        <w:rPr>
          <w:rFonts w:eastAsia="Calibri"/>
          <w:lang w:val="fr-FR"/>
        </w:rPr>
      </w:pPr>
      <w:r w:rsidRPr="00D6374E">
        <w:rPr>
          <w:rFonts w:eastAsia="Calibri"/>
          <w:lang w:val="fr-FR"/>
        </w:rPr>
        <w:t>… ».</w:t>
      </w:r>
    </w:p>
    <w:p w:rsidR="00D6374E" w:rsidRPr="00D6374E" w:rsidRDefault="00D6374E" w:rsidP="00FB5C51">
      <w:pPr>
        <w:pStyle w:val="SingleTxtG"/>
        <w:rPr>
          <w:rFonts w:eastAsia="Calibri"/>
          <w:i/>
        </w:rPr>
      </w:pPr>
      <w:r w:rsidRPr="00D6374E">
        <w:rPr>
          <w:rFonts w:eastAsia="Calibri"/>
          <w:i/>
        </w:rPr>
        <w:t xml:space="preserve">Ajouter un nouveau paragraphe 5.32, </w:t>
      </w:r>
      <w:r w:rsidRPr="00D6374E">
        <w:rPr>
          <w:rFonts w:eastAsia="Calibri"/>
        </w:rPr>
        <w:t>libellé comme suit</w:t>
      </w:r>
      <w:r w:rsidRPr="00D6374E">
        <w:rPr>
          <w:rFonts w:eastAsia="Calibri"/>
          <w:i/>
        </w:rPr>
        <w:t> :</w:t>
      </w:r>
    </w:p>
    <w:p w:rsidR="00D6374E" w:rsidRPr="00D6374E" w:rsidRDefault="00D6374E" w:rsidP="00D6374E">
      <w:pPr>
        <w:pStyle w:val="SingleTxtG"/>
        <w:ind w:left="2268" w:hanging="1134"/>
        <w:rPr>
          <w:rFonts w:eastAsia="Calibri"/>
          <w:i/>
          <w:lang w:val="fr-FR"/>
        </w:rPr>
      </w:pPr>
      <w:r w:rsidRPr="00D6374E">
        <w:rPr>
          <w:rFonts w:eastAsia="Calibri"/>
          <w:lang w:val="fr-FR"/>
        </w:rPr>
        <w:t>« 5.32</w:t>
      </w:r>
      <w:r w:rsidRPr="00D6374E">
        <w:rPr>
          <w:rFonts w:eastAsia="Calibri"/>
          <w:lang w:val="fr-FR"/>
        </w:rPr>
        <w:tab/>
      </w:r>
      <w:r w:rsidRPr="00D6374E">
        <w:rPr>
          <w:rFonts w:eastAsia="Calibri"/>
          <w:lang w:val="fr-FR"/>
        </w:rPr>
        <w:tab/>
        <w:t xml:space="preserve">Un dispositif homologué au titre d’une série précédente d’amendements aux Règlements ONU </w:t>
      </w:r>
      <w:bookmarkStart w:id="4" w:name="_Hlk517075241"/>
      <w:r w:rsidRPr="00D6374E">
        <w:rPr>
          <w:rFonts w:eastAsia="Calibri"/>
          <w:lang w:val="fr-FR"/>
        </w:rPr>
        <w:t>n</w:t>
      </w:r>
      <w:r w:rsidRPr="00D6374E">
        <w:rPr>
          <w:rFonts w:eastAsia="Calibri"/>
          <w:vertAlign w:val="superscript"/>
          <w:lang w:val="fr-FR"/>
        </w:rPr>
        <w:t>os</w:t>
      </w:r>
      <w:r w:rsidRPr="00D6374E">
        <w:rPr>
          <w:rFonts w:eastAsia="Calibri"/>
          <w:lang w:val="fr-FR"/>
        </w:rPr>
        <w:t xml:space="preserve"> [LSD] </w:t>
      </w:r>
      <w:r w:rsidRPr="00D6374E">
        <w:rPr>
          <w:rFonts w:eastAsia="Calibri"/>
        </w:rPr>
        <w:t>et</w:t>
      </w:r>
      <w:r w:rsidRPr="00D6374E">
        <w:rPr>
          <w:rFonts w:eastAsia="Calibri"/>
          <w:lang w:val="fr-FR"/>
        </w:rPr>
        <w:t>/ou [RID] et/ou [RRD]</w:t>
      </w:r>
      <w:bookmarkEnd w:id="4"/>
      <w:r w:rsidRPr="00D6374E">
        <w:rPr>
          <w:rFonts w:eastAsia="Calibri"/>
          <w:lang w:val="fr-FR"/>
        </w:rPr>
        <w:t xml:space="preserve"> est réputé équivalent à un dispositif homologué au titre de la série d’amendements la plus récente au Règlement </w:t>
      </w:r>
      <w:bookmarkStart w:id="5" w:name="_Hlk517075879"/>
      <w:r w:rsidRPr="00D6374E">
        <w:rPr>
          <w:rFonts w:eastAsia="Calibri"/>
          <w:lang w:val="fr-FR"/>
        </w:rPr>
        <w:t xml:space="preserve">ONU </w:t>
      </w:r>
      <w:bookmarkEnd w:id="5"/>
      <w:r w:rsidRPr="00D6374E">
        <w:rPr>
          <w:rFonts w:eastAsia="Calibri"/>
          <w:lang w:val="fr-FR"/>
        </w:rPr>
        <w:t xml:space="preserve">concerné </w:t>
      </w:r>
      <w:bookmarkStart w:id="6" w:name="_Hlk517075903"/>
      <w:r w:rsidRPr="00D6374E">
        <w:rPr>
          <w:rFonts w:eastAsia="Calibri"/>
          <w:lang w:val="fr-FR"/>
        </w:rPr>
        <w:t>(n</w:t>
      </w:r>
      <w:r w:rsidRPr="00D6374E">
        <w:rPr>
          <w:rFonts w:eastAsia="Calibri"/>
          <w:vertAlign w:val="superscript"/>
          <w:lang w:val="fr-FR"/>
        </w:rPr>
        <w:t>os</w:t>
      </w:r>
      <w:r w:rsidRPr="00D6374E">
        <w:rPr>
          <w:rFonts w:eastAsia="Calibri"/>
          <w:lang w:val="fr-FR"/>
        </w:rPr>
        <w:t> [LSD] et/ou [RID] et/ou [RRD]</w:t>
      </w:r>
      <w:bookmarkEnd w:id="6"/>
      <w:r w:rsidRPr="00D6374E">
        <w:rPr>
          <w:rFonts w:eastAsia="Calibri"/>
          <w:lang w:val="fr-FR"/>
        </w:rPr>
        <w:t xml:space="preserve">), lorsque les indices des modifications (définis au paragraphe 2.1.6) de chacun des feux (fonctions) sont les mêmes. </w:t>
      </w:r>
      <w:bookmarkStart w:id="7" w:name="_Hlk517075975"/>
      <w:r w:rsidRPr="00D6374E">
        <w:rPr>
          <w:rFonts w:eastAsia="Calibri"/>
          <w:lang w:val="fr-FR"/>
        </w:rPr>
        <w:t>Dans ce cas, un tel dispositif peut être installé sur le véhicule dont l’homologation de type est demandée sans qu’il soit</w:t>
      </w:r>
      <w:r w:rsidRPr="00D6374E">
        <w:rPr>
          <w:rFonts w:eastAsia="Calibri"/>
          <w:strike/>
          <w:lang w:val="fr-FR"/>
        </w:rPr>
        <w:t xml:space="preserve"> </w:t>
      </w:r>
      <w:r w:rsidRPr="00D6374E">
        <w:rPr>
          <w:rFonts w:eastAsia="Calibri"/>
          <w:lang w:val="fr-FR"/>
        </w:rPr>
        <w:t>nécessaire de mettre à jour les documents d’homologation de type ni le marquage du dispositif</w:t>
      </w:r>
      <w:bookmarkEnd w:id="7"/>
      <w:r w:rsidRPr="00D6374E">
        <w:rPr>
          <w:rFonts w:eastAsia="Calibri"/>
          <w:lang w:val="fr-FR"/>
        </w:rPr>
        <w:t>. ».</w:t>
      </w:r>
    </w:p>
    <w:p w:rsidR="00D6374E" w:rsidRPr="00D6374E" w:rsidRDefault="00D6374E" w:rsidP="00FB5C51">
      <w:pPr>
        <w:pStyle w:val="SingleTxtG"/>
        <w:rPr>
          <w:rFonts w:eastAsia="Calibri"/>
        </w:rPr>
      </w:pPr>
      <w:r w:rsidRPr="00D6374E">
        <w:rPr>
          <w:rFonts w:eastAsia="Calibri"/>
          <w:i/>
        </w:rPr>
        <w:t>Paragraphe 6.1</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6.1</w:t>
      </w:r>
      <w:r w:rsidRPr="00D6374E">
        <w:rPr>
          <w:rFonts w:eastAsia="Calibri"/>
        </w:rPr>
        <w:tab/>
        <w:t>Feu de route (Règlements</w:t>
      </w:r>
      <w:r w:rsidRPr="00D6374E">
        <w:rPr>
          <w:rFonts w:eastAsia="Calibri"/>
          <w:lang w:eastAsia="fr-FR"/>
        </w:rPr>
        <w:t xml:space="preserve"> ONU</w:t>
      </w:r>
      <w:r w:rsidRPr="00D6374E">
        <w:rPr>
          <w:rFonts w:eastAsia="Calibri"/>
        </w:rPr>
        <w:t xml:space="preserve"> n</w:t>
      </w:r>
      <w:r w:rsidRPr="00D6374E">
        <w:rPr>
          <w:rFonts w:eastAsia="Calibri"/>
          <w:vertAlign w:val="superscript"/>
        </w:rPr>
        <w:t>os</w:t>
      </w:r>
      <w:r w:rsidRPr="00D6374E">
        <w:rPr>
          <w:rFonts w:eastAsia="Calibri"/>
        </w:rPr>
        <w:t> 98, 112 et [RID]) ».</w:t>
      </w:r>
    </w:p>
    <w:p w:rsidR="00D6374E" w:rsidRPr="00D6374E" w:rsidRDefault="00D6374E" w:rsidP="00FB5C51">
      <w:pPr>
        <w:pStyle w:val="SingleTxtG"/>
        <w:rPr>
          <w:rFonts w:eastAsia="Calibri"/>
        </w:rPr>
      </w:pPr>
      <w:r w:rsidRPr="00D6374E">
        <w:rPr>
          <w:rFonts w:eastAsia="Calibri"/>
          <w:i/>
        </w:rPr>
        <w:t>Paragraphe 6.1.2</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6.1.2</w:t>
      </w:r>
      <w:r w:rsidRPr="00D6374E">
        <w:rPr>
          <w:rFonts w:eastAsia="Calibri"/>
        </w:rPr>
        <w:tab/>
        <w:t>Nombre</w:t>
      </w:r>
    </w:p>
    <w:p w:rsidR="00D6374E" w:rsidRPr="00D6374E" w:rsidRDefault="00D6374E" w:rsidP="00DB75DF">
      <w:pPr>
        <w:pStyle w:val="SingleTxtG"/>
        <w:ind w:left="2268"/>
        <w:rPr>
          <w:rFonts w:eastAsia="Calibri"/>
          <w:lang w:eastAsia="fr-FR"/>
        </w:rPr>
      </w:pPr>
      <w:bookmarkStart w:id="8" w:name="_Hlk506383968"/>
      <w:r w:rsidRPr="00D6374E">
        <w:rPr>
          <w:rFonts w:eastAsia="Calibri"/>
          <w:lang w:eastAsia="fr-FR"/>
        </w:rPr>
        <w:t>Deux ou quatre, homologués conformément :</w:t>
      </w:r>
    </w:p>
    <w:p w:rsidR="00D6374E" w:rsidRPr="00D6374E" w:rsidRDefault="00D6374E" w:rsidP="00F82D7E">
      <w:pPr>
        <w:pStyle w:val="SingleTxtG"/>
        <w:ind w:left="2835" w:hanging="567"/>
        <w:rPr>
          <w:rFonts w:eastAsia="Calibri"/>
        </w:rPr>
      </w:pPr>
      <w:r w:rsidRPr="00D6374E">
        <w:rPr>
          <w:rFonts w:eastAsia="Calibri"/>
        </w:rPr>
        <w:t>a)</w:t>
      </w:r>
      <w:r w:rsidRPr="00D6374E">
        <w:rPr>
          <w:rFonts w:eastAsia="Calibri"/>
        </w:rPr>
        <w:tab/>
        <w:t>Au Règlement</w:t>
      </w:r>
      <w:r w:rsidRPr="00D6374E">
        <w:rPr>
          <w:rFonts w:eastAsia="Calibri"/>
          <w:lang w:eastAsia="fr-FR"/>
        </w:rPr>
        <w:t xml:space="preserve"> ONU</w:t>
      </w:r>
      <w:r w:rsidRPr="00D6374E">
        <w:rPr>
          <w:rFonts w:eastAsia="Calibri"/>
        </w:rPr>
        <w:t xml:space="preserve"> n</w:t>
      </w:r>
      <w:r w:rsidRPr="00D6374E">
        <w:rPr>
          <w:rFonts w:eastAsia="Calibri"/>
          <w:vertAlign w:val="superscript"/>
        </w:rPr>
        <w:t>o</w:t>
      </w:r>
      <w:r w:rsidRPr="00D6374E">
        <w:rPr>
          <w:rFonts w:eastAsia="Calibri"/>
        </w:rPr>
        <w:t> 98 ou 112, à l’exclusion des projecteurs de la classe A ; ou</w:t>
      </w:r>
    </w:p>
    <w:p w:rsidR="00D6374E" w:rsidRPr="00D6374E" w:rsidRDefault="00D6374E" w:rsidP="00F82D7E">
      <w:pPr>
        <w:pStyle w:val="SingleTxtG"/>
        <w:ind w:left="2835" w:hanging="567"/>
        <w:rPr>
          <w:rFonts w:eastAsia="Calibri"/>
        </w:rPr>
      </w:pPr>
      <w:r w:rsidRPr="00D6374E">
        <w:rPr>
          <w:rFonts w:eastAsia="Calibri"/>
        </w:rPr>
        <w:t>b)</w:t>
      </w:r>
      <w:r w:rsidRPr="00D6374E">
        <w:rPr>
          <w:rFonts w:eastAsia="Calibri"/>
        </w:rPr>
        <w:tab/>
        <w:t>Au Règlement ONU n</w:t>
      </w:r>
      <w:r w:rsidRPr="00D6374E">
        <w:rPr>
          <w:rFonts w:eastAsia="Calibri"/>
          <w:vertAlign w:val="superscript"/>
        </w:rPr>
        <w:t>o</w:t>
      </w:r>
      <w:r w:rsidRPr="00D6374E">
        <w:rPr>
          <w:rFonts w:eastAsia="Calibri"/>
        </w:rPr>
        <w:t> [RID], uniquement projecteurs des classes B et D.</w:t>
      </w:r>
    </w:p>
    <w:bookmarkEnd w:id="8"/>
    <w:p w:rsidR="00D6374E" w:rsidRPr="00D6374E" w:rsidRDefault="00D6374E" w:rsidP="00DB75DF">
      <w:pPr>
        <w:pStyle w:val="SingleTxtG"/>
        <w:ind w:left="2268"/>
        <w:rPr>
          <w:rFonts w:eastAsia="Calibri"/>
        </w:rPr>
      </w:pPr>
      <w:r w:rsidRPr="00D6374E">
        <w:rPr>
          <w:rFonts w:eastAsia="Calibri"/>
          <w:lang w:eastAsia="fr-FR"/>
        </w:rPr>
        <w:lastRenderedPageBreak/>
        <w:t xml:space="preserve">Pour </w:t>
      </w:r>
      <w:r w:rsidRPr="00D6374E">
        <w:rPr>
          <w:rFonts w:eastAsia="Calibri"/>
        </w:rPr>
        <w:t>les véhicules de la catégorie N</w:t>
      </w:r>
      <w:r w:rsidRPr="00D6374E">
        <w:rPr>
          <w:rFonts w:eastAsia="Calibri"/>
          <w:vertAlign w:val="subscript"/>
        </w:rPr>
        <w:t>3</w:t>
      </w:r>
      <w:r w:rsidRPr="00D6374E">
        <w:rPr>
          <w:rFonts w:eastAsia="Calibri"/>
        </w:rPr>
        <w:t> : deux feux de route supplémentaires peuvent être installés.</w:t>
      </w:r>
    </w:p>
    <w:p w:rsidR="00D6374E" w:rsidRPr="00D6374E" w:rsidRDefault="00D6374E" w:rsidP="00DB75DF">
      <w:pPr>
        <w:pStyle w:val="SingleTxtG"/>
        <w:ind w:left="2268"/>
        <w:rPr>
          <w:rFonts w:eastAsia="Calibri"/>
        </w:rPr>
      </w:pPr>
      <w:r w:rsidRPr="00D6374E">
        <w:rPr>
          <w:rFonts w:eastAsia="Calibri"/>
        </w:rPr>
        <w:t>Les vé</w:t>
      </w:r>
      <w:r w:rsidRPr="00D6374E">
        <w:rPr>
          <w:rFonts w:eastAsia="Calibri"/>
          <w:lang w:eastAsia="fr-FR"/>
        </w:rPr>
        <w:t>hicules déjà équipés de quatre projecteurs occultables ne peuvent être dotés de deux projecteurs supplémentaires que s’ils sont destinés à la signalisation lumineuse, par allumage à courts intervalles (voir le paragraphe 5.12 ci-dessus) en conduite de jour</w:t>
      </w:r>
      <w:r w:rsidRPr="00D6374E">
        <w:rPr>
          <w:rFonts w:eastAsia="Calibri"/>
        </w:rPr>
        <w:t>.</w:t>
      </w:r>
      <w:r w:rsidRPr="00D6374E">
        <w:rPr>
          <w:rFonts w:eastAsia="MS Mincho"/>
        </w:rPr>
        <w:t> ».</w:t>
      </w:r>
    </w:p>
    <w:p w:rsidR="00D6374E" w:rsidRPr="00D6374E" w:rsidRDefault="00D6374E" w:rsidP="00FB5C51">
      <w:pPr>
        <w:pStyle w:val="SingleTxtG"/>
        <w:rPr>
          <w:rFonts w:eastAsia="Calibri"/>
        </w:rPr>
      </w:pPr>
      <w:r w:rsidRPr="00D6374E">
        <w:rPr>
          <w:rFonts w:eastAsia="Calibri"/>
          <w:i/>
        </w:rPr>
        <w:t>Paragraphe 6.2</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6.2</w:t>
      </w:r>
      <w:r w:rsidRPr="00D6374E">
        <w:rPr>
          <w:rFonts w:eastAsia="Calibri"/>
        </w:rPr>
        <w:tab/>
        <w:t xml:space="preserve">Feu de croisement (Règlements </w:t>
      </w:r>
      <w:r w:rsidRPr="00D6374E">
        <w:rPr>
          <w:rFonts w:eastAsia="Calibri"/>
          <w:lang w:eastAsia="fr-FR"/>
        </w:rPr>
        <w:t xml:space="preserve">ONU </w:t>
      </w:r>
      <w:r w:rsidRPr="00D6374E">
        <w:rPr>
          <w:rFonts w:eastAsia="Calibri"/>
        </w:rPr>
        <w:t>n</w:t>
      </w:r>
      <w:r w:rsidRPr="00D6374E">
        <w:rPr>
          <w:rFonts w:eastAsia="Calibri"/>
          <w:vertAlign w:val="superscript"/>
        </w:rPr>
        <w:t>os</w:t>
      </w:r>
      <w:r w:rsidRPr="00D6374E">
        <w:rPr>
          <w:rFonts w:eastAsia="Calibri"/>
        </w:rPr>
        <w:t> 98, 112 et [RID]) ».</w:t>
      </w:r>
    </w:p>
    <w:p w:rsidR="00D6374E" w:rsidRPr="00D6374E" w:rsidRDefault="00D6374E" w:rsidP="00FB5C51">
      <w:pPr>
        <w:pStyle w:val="SingleTxtG"/>
        <w:rPr>
          <w:rFonts w:eastAsia="Calibri"/>
        </w:rPr>
      </w:pPr>
      <w:r w:rsidRPr="00D6374E">
        <w:rPr>
          <w:rFonts w:eastAsia="Calibri"/>
          <w:i/>
        </w:rPr>
        <w:t>Paragraphe 6.2.2</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6.2.2</w:t>
      </w:r>
      <w:r w:rsidRPr="00D6374E">
        <w:rPr>
          <w:rFonts w:eastAsia="Calibri"/>
        </w:rPr>
        <w:tab/>
        <w:t>Nombre</w:t>
      </w:r>
    </w:p>
    <w:p w:rsidR="00D6374E" w:rsidRPr="00D6374E" w:rsidRDefault="00D6374E" w:rsidP="00DB75DF">
      <w:pPr>
        <w:pStyle w:val="SingleTxtG"/>
        <w:ind w:left="2268"/>
        <w:rPr>
          <w:rFonts w:eastAsia="Calibri"/>
          <w:lang w:eastAsia="fr-FR"/>
        </w:rPr>
      </w:pPr>
      <w:r w:rsidRPr="00D6374E">
        <w:rPr>
          <w:rFonts w:eastAsia="Calibri"/>
        </w:rPr>
        <w:t>Deux</w:t>
      </w:r>
      <w:r w:rsidRPr="00D6374E">
        <w:rPr>
          <w:rFonts w:eastAsia="Calibri"/>
          <w:lang w:eastAsia="fr-FR"/>
        </w:rPr>
        <w:t xml:space="preserve">, </w:t>
      </w:r>
      <w:r w:rsidRPr="00D6374E">
        <w:rPr>
          <w:rFonts w:eastAsia="Calibri"/>
        </w:rPr>
        <w:t>homologués</w:t>
      </w:r>
      <w:r w:rsidRPr="00D6374E">
        <w:rPr>
          <w:rFonts w:eastAsia="Calibri"/>
          <w:lang w:eastAsia="fr-FR"/>
        </w:rPr>
        <w:t xml:space="preserve"> conformément :</w:t>
      </w:r>
    </w:p>
    <w:p w:rsidR="00D6374E" w:rsidRPr="00D6374E" w:rsidRDefault="00D6374E" w:rsidP="00F82D7E">
      <w:pPr>
        <w:pStyle w:val="SingleTxtG"/>
        <w:ind w:left="2835" w:hanging="567"/>
        <w:rPr>
          <w:rFonts w:eastAsia="Calibri"/>
        </w:rPr>
      </w:pPr>
      <w:r w:rsidRPr="00D6374E">
        <w:rPr>
          <w:rFonts w:eastAsia="Calibri"/>
          <w:spacing w:val="-2"/>
        </w:rPr>
        <w:t>a)</w:t>
      </w:r>
      <w:r w:rsidRPr="00D6374E">
        <w:rPr>
          <w:rFonts w:eastAsia="Calibri"/>
          <w:spacing w:val="-2"/>
        </w:rPr>
        <w:tab/>
        <w:t>Au</w:t>
      </w:r>
      <w:r w:rsidRPr="00D6374E">
        <w:rPr>
          <w:rFonts w:eastAsia="Calibri"/>
          <w:lang w:eastAsia="fr-FR"/>
        </w:rPr>
        <w:t xml:space="preserve"> Règlement ONU n</w:t>
      </w:r>
      <w:r w:rsidRPr="00D6374E">
        <w:rPr>
          <w:rFonts w:eastAsia="Calibri"/>
          <w:vertAlign w:val="superscript"/>
          <w:lang w:eastAsia="fr-FR"/>
        </w:rPr>
        <w:t>o</w:t>
      </w:r>
      <w:r w:rsidRPr="00D6374E">
        <w:rPr>
          <w:rFonts w:eastAsia="Calibri"/>
          <w:lang w:eastAsia="fr-FR"/>
        </w:rPr>
        <w:t> 98 ou 112, à l’exclusion des projecteurs de la classe A </w:t>
      </w:r>
      <w:r w:rsidRPr="00D6374E">
        <w:rPr>
          <w:rFonts w:eastAsia="Calibri"/>
        </w:rPr>
        <w:t>; ou</w:t>
      </w:r>
    </w:p>
    <w:p w:rsidR="00D6374E" w:rsidRPr="00D6374E" w:rsidRDefault="00D6374E" w:rsidP="00F82D7E">
      <w:pPr>
        <w:pStyle w:val="SingleTxtG"/>
        <w:ind w:left="2835" w:hanging="567"/>
        <w:rPr>
          <w:rFonts w:eastAsia="Calibri"/>
        </w:rPr>
      </w:pPr>
      <w:r w:rsidRPr="00D6374E">
        <w:rPr>
          <w:rFonts w:eastAsia="Calibri"/>
        </w:rPr>
        <w:t>b)</w:t>
      </w:r>
      <w:r w:rsidRPr="00D6374E">
        <w:rPr>
          <w:rFonts w:eastAsia="Calibri"/>
        </w:rPr>
        <w:tab/>
        <w:t>Au Règlement ONU n</w:t>
      </w:r>
      <w:r w:rsidRPr="00D6374E">
        <w:rPr>
          <w:rFonts w:eastAsia="Calibri"/>
          <w:vertAlign w:val="superscript"/>
        </w:rPr>
        <w:t>o</w:t>
      </w:r>
      <w:r w:rsidRPr="00D6374E">
        <w:rPr>
          <w:rFonts w:eastAsia="Calibri"/>
        </w:rPr>
        <w:t> [RID], uniquement projecteurs des classes B et D. ».</w:t>
      </w:r>
    </w:p>
    <w:p w:rsidR="00D6374E" w:rsidRPr="00D6374E" w:rsidRDefault="00D6374E" w:rsidP="00FB5C51">
      <w:pPr>
        <w:pStyle w:val="SingleTxtG"/>
        <w:rPr>
          <w:rFonts w:eastAsia="Calibri"/>
          <w:lang w:val="fr-FR"/>
        </w:rPr>
      </w:pPr>
      <w:r w:rsidRPr="00D6374E">
        <w:rPr>
          <w:rFonts w:eastAsia="Calibri"/>
          <w:i/>
          <w:lang w:val="fr-FR"/>
        </w:rPr>
        <w:t>Paragraphe 6.2.5</w:t>
      </w:r>
      <w:r w:rsidRPr="00D6374E">
        <w:rPr>
          <w:rFonts w:eastAsia="Calibri"/>
          <w:lang w:val="fr-FR"/>
        </w:rPr>
        <w:t>, lire :</w:t>
      </w:r>
    </w:p>
    <w:p w:rsidR="00D6374E" w:rsidRPr="00D6374E" w:rsidRDefault="00D6374E" w:rsidP="00D6374E">
      <w:pPr>
        <w:pStyle w:val="SingleTxtG"/>
        <w:ind w:left="2268" w:hanging="1134"/>
        <w:rPr>
          <w:rFonts w:eastAsia="Calibri"/>
        </w:rPr>
      </w:pPr>
      <w:r w:rsidRPr="00D6374E">
        <w:t>«</w:t>
      </w:r>
      <w:r w:rsidRPr="00D6374E">
        <w:rPr>
          <w:rFonts w:eastAsia="Calibri"/>
        </w:rPr>
        <w:t> 6.2.5</w:t>
      </w:r>
      <w:r w:rsidRPr="00D6374E">
        <w:rPr>
          <w:rFonts w:eastAsia="Calibri"/>
        </w:rPr>
        <w:tab/>
        <w:t>Visibilité géométrique</w:t>
      </w:r>
    </w:p>
    <w:p w:rsidR="00D6374E" w:rsidRPr="00D6374E" w:rsidRDefault="00D6374E" w:rsidP="00DB75DF">
      <w:pPr>
        <w:pStyle w:val="SingleTxtG"/>
        <w:ind w:left="2268"/>
        <w:rPr>
          <w:rFonts w:eastAsia="Calibri"/>
        </w:rPr>
      </w:pPr>
      <w:r w:rsidRPr="00D6374E">
        <w:rPr>
          <w:rFonts w:eastAsia="Calibri"/>
        </w:rPr>
        <w:tab/>
        <w:t>Elle est définie par les angles α et ß tels qu’ils sont indiqués au paragraphe 2.10.7 :</w:t>
      </w:r>
    </w:p>
    <w:p w:rsidR="00D6374E" w:rsidRPr="00D6374E" w:rsidRDefault="00D6374E" w:rsidP="00DB75DF">
      <w:pPr>
        <w:pStyle w:val="SingleTxtG"/>
        <w:ind w:left="2268"/>
        <w:rPr>
          <w:rFonts w:eastAsia="Calibri"/>
        </w:rPr>
      </w:pPr>
      <w:r w:rsidRPr="00D6374E">
        <w:rPr>
          <w:rFonts w:eastAsia="Calibri"/>
        </w:rPr>
        <w:tab/>
        <w:t>α = 15° vers le haut et 10° vers le bas,</w:t>
      </w:r>
    </w:p>
    <w:p w:rsidR="00D6374E" w:rsidRPr="00D6374E" w:rsidRDefault="00D6374E" w:rsidP="00DB75DF">
      <w:pPr>
        <w:pStyle w:val="SingleTxtG"/>
        <w:ind w:left="2268"/>
        <w:rPr>
          <w:rFonts w:eastAsia="Calibri"/>
        </w:rPr>
      </w:pPr>
      <w:r w:rsidRPr="00D6374E">
        <w:rPr>
          <w:rFonts w:eastAsia="Calibri"/>
        </w:rPr>
        <w:t>ß = 45° vers l’extérieur et 10° vers l’intérieur.</w:t>
      </w:r>
    </w:p>
    <w:p w:rsidR="00D6374E" w:rsidRPr="00D6374E" w:rsidRDefault="00D6374E" w:rsidP="00DB75DF">
      <w:pPr>
        <w:pStyle w:val="SingleTxtG"/>
        <w:ind w:left="2268"/>
        <w:rPr>
          <w:rFonts w:eastAsia="Calibri"/>
        </w:rPr>
      </w:pPr>
      <w:r w:rsidRPr="00D6374E">
        <w:rPr>
          <w:rFonts w:eastAsia="Calibri"/>
        </w:rPr>
        <w:t>La présence de parois ou d’autres équipements au voisinage du projecteur ne doit pas donner lieu à des effets secondaires gênants pour les autres usagers de la route. ».</w:t>
      </w:r>
    </w:p>
    <w:p w:rsidR="00D6374E" w:rsidRPr="00D6374E" w:rsidRDefault="00D6374E" w:rsidP="009A0612">
      <w:pPr>
        <w:pStyle w:val="SingleTxtG"/>
        <w:spacing w:line="230" w:lineRule="atLeast"/>
        <w:rPr>
          <w:rFonts w:eastAsia="Calibri"/>
        </w:rPr>
      </w:pPr>
      <w:r w:rsidRPr="00D6374E">
        <w:rPr>
          <w:rFonts w:eastAsia="Calibri"/>
          <w:i/>
        </w:rPr>
        <w:t>Paragraphe 6.2.7.3</w:t>
      </w:r>
      <w:r w:rsidRPr="00D6374E">
        <w:rPr>
          <w:rFonts w:eastAsia="Calibri"/>
        </w:rPr>
        <w:t>, lire :</w:t>
      </w:r>
    </w:p>
    <w:p w:rsidR="00D6374E" w:rsidRPr="00D6374E" w:rsidRDefault="00D6374E" w:rsidP="009A0612">
      <w:pPr>
        <w:pStyle w:val="SingleTxtG"/>
        <w:spacing w:line="230" w:lineRule="atLeast"/>
        <w:ind w:left="2268" w:hanging="1134"/>
        <w:rPr>
          <w:rFonts w:eastAsia="Calibri"/>
        </w:rPr>
      </w:pPr>
      <w:r w:rsidRPr="00D6374E">
        <w:rPr>
          <w:rFonts w:eastAsia="Calibri"/>
        </w:rPr>
        <w:t>« 6.2.7.3</w:t>
      </w:r>
      <w:r w:rsidRPr="00D6374E">
        <w:rPr>
          <w:rFonts w:eastAsia="Calibri"/>
        </w:rPr>
        <w:tab/>
        <w:t>Dans le cas de feux de croisement conformes au Règlement ONU n</w:t>
      </w:r>
      <w:r w:rsidRPr="00D6374E">
        <w:rPr>
          <w:rFonts w:eastAsia="Calibri"/>
          <w:vertAlign w:val="superscript"/>
        </w:rPr>
        <w:t>o</w:t>
      </w:r>
      <w:r w:rsidRPr="00D6374E">
        <w:rPr>
          <w:rFonts w:eastAsia="Calibri"/>
        </w:rPr>
        <w:t> 98 ou [RID], les sources lumineuses à décharge doivent rester allumées en même temps que les feux de route. ».</w:t>
      </w:r>
    </w:p>
    <w:p w:rsidR="00D6374E" w:rsidRPr="00D6374E" w:rsidRDefault="00D6374E" w:rsidP="009A0612">
      <w:pPr>
        <w:pStyle w:val="SingleTxtG"/>
        <w:spacing w:line="230" w:lineRule="atLeast"/>
        <w:rPr>
          <w:rFonts w:eastAsia="Calibri"/>
        </w:rPr>
      </w:pPr>
      <w:r w:rsidRPr="00D6374E">
        <w:rPr>
          <w:rFonts w:eastAsia="Calibri"/>
          <w:i/>
        </w:rPr>
        <w:t>Paragraphe 6.2.9</w:t>
      </w:r>
      <w:r w:rsidRPr="00D6374E">
        <w:rPr>
          <w:rFonts w:eastAsia="Calibri"/>
        </w:rPr>
        <w:t>, lire :</w:t>
      </w:r>
    </w:p>
    <w:p w:rsidR="00D6374E" w:rsidRPr="00D6374E" w:rsidRDefault="00D6374E" w:rsidP="009A0612">
      <w:pPr>
        <w:pStyle w:val="SingleTxtG"/>
        <w:spacing w:line="230" w:lineRule="atLeast"/>
        <w:ind w:left="2268" w:hanging="1134"/>
        <w:rPr>
          <w:rFonts w:eastAsia="Calibri"/>
        </w:rPr>
      </w:pPr>
      <w:r w:rsidRPr="00D6374E">
        <w:rPr>
          <w:rFonts w:eastAsia="Calibri"/>
        </w:rPr>
        <w:t>« 6.2.9</w:t>
      </w:r>
      <w:r w:rsidRPr="00D6374E">
        <w:rPr>
          <w:rFonts w:eastAsia="Calibri"/>
        </w:rPr>
        <w:tab/>
        <w:t>…</w:t>
      </w:r>
    </w:p>
    <w:p w:rsidR="00D6374E" w:rsidRPr="00D6374E" w:rsidRDefault="00D6374E" w:rsidP="009A0612">
      <w:pPr>
        <w:pStyle w:val="SingleTxtG"/>
        <w:spacing w:line="230" w:lineRule="atLeast"/>
        <w:ind w:left="2268"/>
        <w:rPr>
          <w:rFonts w:eastAsia="Calibri"/>
        </w:rPr>
      </w:pPr>
      <w:r w:rsidRPr="00D6374E">
        <w:rPr>
          <w:rFonts w:eastAsia="Calibri"/>
        </w:rPr>
        <w:t>L’éclairage de virage ne peut être obtenu qu’au moyen de feux de croisement conformes au Règlement ONU n</w:t>
      </w:r>
      <w:r w:rsidRPr="00D6374E">
        <w:rPr>
          <w:rFonts w:eastAsia="Calibri"/>
          <w:vertAlign w:val="superscript"/>
        </w:rPr>
        <w:t>o</w:t>
      </w:r>
      <w:r w:rsidRPr="00D6374E">
        <w:rPr>
          <w:rFonts w:eastAsia="Calibri"/>
        </w:rPr>
        <w:t> 98 ou 112 ou [RID].</w:t>
      </w:r>
    </w:p>
    <w:p w:rsidR="00D6374E" w:rsidRPr="00D6374E" w:rsidRDefault="00D6374E" w:rsidP="009A0612">
      <w:pPr>
        <w:pStyle w:val="SingleTxtG"/>
        <w:spacing w:line="230" w:lineRule="atLeast"/>
        <w:ind w:left="2268"/>
      </w:pPr>
      <w:r w:rsidRPr="00D6374E">
        <w:t>… ».</w:t>
      </w:r>
    </w:p>
    <w:p w:rsidR="00D6374E" w:rsidRPr="00D6374E" w:rsidRDefault="00D6374E" w:rsidP="009A0612">
      <w:pPr>
        <w:pStyle w:val="SingleTxtG"/>
        <w:spacing w:line="230" w:lineRule="atLeast"/>
        <w:rPr>
          <w:rFonts w:eastAsia="Calibri"/>
        </w:rPr>
      </w:pPr>
      <w:r w:rsidRPr="00D6374E">
        <w:rPr>
          <w:rFonts w:eastAsia="Calibri"/>
          <w:i/>
        </w:rPr>
        <w:t>Paragraphe 6.3</w:t>
      </w:r>
      <w:r w:rsidRPr="00D6374E">
        <w:rPr>
          <w:rFonts w:eastAsia="Calibri"/>
        </w:rPr>
        <w:t>, lire :</w:t>
      </w:r>
    </w:p>
    <w:p w:rsidR="00D6374E" w:rsidRPr="00D6374E" w:rsidRDefault="00D6374E" w:rsidP="009A0612">
      <w:pPr>
        <w:pStyle w:val="SingleTxtG"/>
        <w:spacing w:line="230" w:lineRule="atLeast"/>
        <w:ind w:left="2268" w:hanging="1134"/>
        <w:rPr>
          <w:rFonts w:eastAsia="Calibri"/>
        </w:rPr>
      </w:pPr>
      <w:r w:rsidRPr="00D6374E">
        <w:rPr>
          <w:rFonts w:eastAsia="Calibri"/>
        </w:rPr>
        <w:t>« 6.3</w:t>
      </w:r>
      <w:r w:rsidRPr="00D6374E">
        <w:rPr>
          <w:rFonts w:eastAsia="Calibri"/>
        </w:rPr>
        <w:tab/>
        <w:t>Feu de brouillard avant (Règlement ONU n</w:t>
      </w:r>
      <w:r w:rsidRPr="00D6374E">
        <w:rPr>
          <w:rFonts w:eastAsia="Calibri"/>
          <w:vertAlign w:val="superscript"/>
        </w:rPr>
        <w:t>o</w:t>
      </w:r>
      <w:r w:rsidRPr="00D6374E">
        <w:rPr>
          <w:rFonts w:eastAsia="Calibri"/>
        </w:rPr>
        <w:t> 19 ou [RID]) ».</w:t>
      </w:r>
    </w:p>
    <w:p w:rsidR="00D6374E" w:rsidRPr="00D6374E" w:rsidRDefault="00D6374E" w:rsidP="009A0612">
      <w:pPr>
        <w:pStyle w:val="SingleTxtG"/>
        <w:spacing w:line="230" w:lineRule="atLeast"/>
        <w:rPr>
          <w:rFonts w:eastAsia="Calibri"/>
        </w:rPr>
      </w:pPr>
      <w:r w:rsidRPr="00D6374E">
        <w:rPr>
          <w:rFonts w:eastAsia="Calibri"/>
          <w:i/>
        </w:rPr>
        <w:t>Paragraphe 6.3.2</w:t>
      </w:r>
      <w:r w:rsidRPr="00D6374E">
        <w:rPr>
          <w:rFonts w:eastAsia="Calibri"/>
        </w:rPr>
        <w:t>, lire :</w:t>
      </w:r>
    </w:p>
    <w:p w:rsidR="00D6374E" w:rsidRPr="00D6374E" w:rsidRDefault="00D6374E" w:rsidP="009A0612">
      <w:pPr>
        <w:pStyle w:val="SingleTxtG"/>
        <w:spacing w:line="230" w:lineRule="atLeast"/>
        <w:ind w:left="2268" w:hanging="1134"/>
        <w:rPr>
          <w:rFonts w:eastAsia="Calibri"/>
        </w:rPr>
      </w:pPr>
      <w:r w:rsidRPr="00D6374E">
        <w:rPr>
          <w:rFonts w:eastAsia="Calibri"/>
        </w:rPr>
        <w:t>« 6.3.2</w:t>
      </w:r>
      <w:r w:rsidRPr="00D6374E">
        <w:rPr>
          <w:rFonts w:eastAsia="Calibri"/>
        </w:rPr>
        <w:tab/>
        <w:t>Nombre</w:t>
      </w:r>
    </w:p>
    <w:p w:rsidR="00D6374E" w:rsidRPr="00681060" w:rsidRDefault="00D6374E" w:rsidP="009A0612">
      <w:pPr>
        <w:pStyle w:val="SingleTxtG"/>
        <w:spacing w:line="230" w:lineRule="atLeast"/>
        <w:ind w:left="2268"/>
        <w:rPr>
          <w:rFonts w:eastAsia="Calibri"/>
          <w:spacing w:val="-2"/>
        </w:rPr>
      </w:pPr>
      <w:r w:rsidRPr="00681060">
        <w:rPr>
          <w:rFonts w:eastAsia="Calibri"/>
          <w:spacing w:val="-2"/>
        </w:rPr>
        <w:t xml:space="preserve">Deux, conformes aux prescriptions soit de la série 03 et des séries ultérieures d’amendements au </w:t>
      </w:r>
      <w:bookmarkStart w:id="9" w:name="_Hlk491706007"/>
      <w:r w:rsidRPr="00681060">
        <w:rPr>
          <w:rFonts w:eastAsia="Calibri"/>
          <w:spacing w:val="-2"/>
        </w:rPr>
        <w:t xml:space="preserve">Règlement ONU </w:t>
      </w:r>
      <w:bookmarkEnd w:id="9"/>
      <w:r w:rsidRPr="00681060">
        <w:rPr>
          <w:rFonts w:eastAsia="Calibri"/>
          <w:spacing w:val="-2"/>
        </w:rPr>
        <w:t>n</w:t>
      </w:r>
      <w:r w:rsidRPr="00681060">
        <w:rPr>
          <w:rFonts w:eastAsia="Calibri"/>
          <w:spacing w:val="-2"/>
          <w:vertAlign w:val="superscript"/>
        </w:rPr>
        <w:t>o</w:t>
      </w:r>
      <w:r w:rsidRPr="00681060">
        <w:rPr>
          <w:rFonts w:eastAsia="Calibri"/>
          <w:spacing w:val="-2"/>
        </w:rPr>
        <w:t> 19, soit du Règlement ONU n</w:t>
      </w:r>
      <w:r w:rsidRPr="00681060">
        <w:rPr>
          <w:rFonts w:eastAsia="Calibri"/>
          <w:spacing w:val="-2"/>
          <w:vertAlign w:val="superscript"/>
        </w:rPr>
        <w:t>o</w:t>
      </w:r>
      <w:r w:rsidRPr="00681060">
        <w:rPr>
          <w:rFonts w:eastAsia="Calibri"/>
          <w:spacing w:val="-2"/>
        </w:rPr>
        <w:t> [RID]. ».</w:t>
      </w:r>
    </w:p>
    <w:p w:rsidR="00D6374E" w:rsidRPr="00D6374E" w:rsidRDefault="00D6374E" w:rsidP="00FB5C51">
      <w:pPr>
        <w:pStyle w:val="SingleTxtG"/>
        <w:rPr>
          <w:rFonts w:eastAsia="Calibri"/>
        </w:rPr>
      </w:pPr>
      <w:r w:rsidRPr="00D6374E">
        <w:rPr>
          <w:rFonts w:eastAsia="Calibri"/>
          <w:i/>
        </w:rPr>
        <w:t>Paragraphe 6.3.5</w:t>
      </w:r>
      <w:r w:rsidRPr="00D6374E">
        <w:rPr>
          <w:rFonts w:eastAsia="Calibri"/>
        </w:rPr>
        <w:t>, lire :</w:t>
      </w:r>
    </w:p>
    <w:p w:rsidR="00D6374E" w:rsidRPr="00D6374E" w:rsidRDefault="00D6374E" w:rsidP="009A0612">
      <w:pPr>
        <w:pStyle w:val="SingleTxtG"/>
        <w:spacing w:line="230" w:lineRule="atLeast"/>
        <w:ind w:left="2268" w:hanging="1134"/>
        <w:rPr>
          <w:rFonts w:eastAsia="Calibri"/>
        </w:rPr>
      </w:pPr>
      <w:r w:rsidRPr="00D6374E">
        <w:rPr>
          <w:rFonts w:eastAsia="Calibri"/>
        </w:rPr>
        <w:t>« 6.3.5</w:t>
      </w:r>
      <w:r w:rsidRPr="00D6374E">
        <w:rPr>
          <w:rFonts w:eastAsia="Calibri"/>
        </w:rPr>
        <w:tab/>
      </w:r>
      <w:r w:rsidRPr="00D6374E">
        <w:rPr>
          <w:rFonts w:eastAsia="Calibri"/>
        </w:rPr>
        <w:tab/>
        <w:t>Visibilité géométrique</w:t>
      </w:r>
    </w:p>
    <w:p w:rsidR="00D6374E" w:rsidRPr="00D6374E" w:rsidRDefault="00D6374E" w:rsidP="009A0612">
      <w:pPr>
        <w:pStyle w:val="SingleTxtG"/>
        <w:spacing w:line="230" w:lineRule="atLeast"/>
        <w:ind w:left="2268"/>
        <w:rPr>
          <w:rFonts w:eastAsia="Calibri"/>
        </w:rPr>
      </w:pPr>
      <w:r w:rsidRPr="00D6374E">
        <w:rPr>
          <w:rFonts w:eastAsia="Calibri"/>
        </w:rPr>
        <w:t>Elle est définie par les angles α et ß tels qu’ils sont indiqués au paragraphe 2.10.7 :</w:t>
      </w:r>
    </w:p>
    <w:p w:rsidR="00D6374E" w:rsidRPr="00D6374E" w:rsidRDefault="00D6374E" w:rsidP="009A0612">
      <w:pPr>
        <w:pStyle w:val="SingleTxtG"/>
        <w:spacing w:line="230" w:lineRule="atLeast"/>
        <w:ind w:left="2268"/>
        <w:rPr>
          <w:rFonts w:eastAsia="Calibri"/>
        </w:rPr>
      </w:pPr>
      <w:r w:rsidRPr="00D6374E">
        <w:rPr>
          <w:rFonts w:eastAsia="Calibri"/>
        </w:rPr>
        <w:t>α = 5° vers le haut et vers le bas,</w:t>
      </w:r>
    </w:p>
    <w:p w:rsidR="00D6374E" w:rsidRPr="00D6374E" w:rsidRDefault="00D6374E" w:rsidP="009A0612">
      <w:pPr>
        <w:pStyle w:val="SingleTxtG"/>
        <w:spacing w:line="230" w:lineRule="atLeast"/>
        <w:ind w:left="2268"/>
        <w:rPr>
          <w:rFonts w:eastAsia="Calibri"/>
        </w:rPr>
      </w:pPr>
      <w:r w:rsidRPr="00D6374E">
        <w:rPr>
          <w:rFonts w:eastAsia="Calibri"/>
        </w:rPr>
        <w:t>ß = 45° vers l’extérieur et 10° vers l’intérieur.</w:t>
      </w:r>
    </w:p>
    <w:p w:rsidR="00D6374E" w:rsidRPr="00D6374E" w:rsidRDefault="00D6374E" w:rsidP="00DB75DF">
      <w:pPr>
        <w:pStyle w:val="SingleTxtG"/>
        <w:ind w:left="2268"/>
        <w:rPr>
          <w:rFonts w:eastAsia="Calibri"/>
        </w:rPr>
      </w:pPr>
      <w:r w:rsidRPr="00D6374E">
        <w:rPr>
          <w:rFonts w:eastAsia="Calibri"/>
        </w:rPr>
        <w:lastRenderedPageBreak/>
        <w:t>La présence de parois ou d’autres équipements au voisinage du feu de brouillard avant ne doit pas donner lieu à des effets secondaires gênants pour les autres usagers de la route</w:t>
      </w:r>
      <w:r w:rsidRPr="00D6374E">
        <w:rPr>
          <w:rFonts w:eastAsia="Calibri"/>
          <w:sz w:val="18"/>
          <w:szCs w:val="18"/>
          <w:vertAlign w:val="superscript"/>
        </w:rPr>
        <w:t>13</w:t>
      </w:r>
      <w:r w:rsidRPr="00D6374E">
        <w:rPr>
          <w:rFonts w:eastAsia="Calibri"/>
        </w:rPr>
        <w:t>. ».</w:t>
      </w:r>
    </w:p>
    <w:p w:rsidR="00D6374E" w:rsidRPr="00D6374E" w:rsidRDefault="00D6374E" w:rsidP="00FB5C51">
      <w:pPr>
        <w:pStyle w:val="SingleTxtG"/>
        <w:rPr>
          <w:rFonts w:eastAsia="Calibri"/>
        </w:rPr>
      </w:pPr>
      <w:r w:rsidRPr="00D6374E">
        <w:rPr>
          <w:rFonts w:eastAsia="Calibri"/>
          <w:i/>
        </w:rPr>
        <w:t>Paragraphe 6.3.7</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6.3.7</w:t>
      </w:r>
      <w:r w:rsidRPr="00D6374E">
        <w:rPr>
          <w:rFonts w:eastAsia="Calibri"/>
        </w:rPr>
        <w:tab/>
        <w:t>…</w:t>
      </w:r>
    </w:p>
    <w:p w:rsidR="00D6374E" w:rsidRPr="00D6374E" w:rsidRDefault="00D6374E" w:rsidP="00F82D7E">
      <w:pPr>
        <w:pStyle w:val="SingleTxtG"/>
        <w:ind w:left="2835" w:hanging="567"/>
        <w:rPr>
          <w:rFonts w:eastAsia="Calibri"/>
        </w:rPr>
      </w:pPr>
      <w:r w:rsidRPr="00D6374E">
        <w:rPr>
          <w:rFonts w:eastAsia="Calibri"/>
        </w:rPr>
        <w:t>b)</w:t>
      </w:r>
      <w:r w:rsidRPr="00D6374E">
        <w:rPr>
          <w:rFonts w:eastAsia="Calibri"/>
        </w:rPr>
        <w:tab/>
        <w:t xml:space="preserve">Les feux de brouillard avant ne puissent pas être allumés en même temps que tout autre feu avec lequel ils sont mutuellement incorporés, comme indiqué par le symbole correspondant (“/”) conformément </w:t>
      </w:r>
      <w:bookmarkStart w:id="10" w:name="_Hlk491707882"/>
      <w:r w:rsidRPr="00D6374E">
        <w:rPr>
          <w:rFonts w:eastAsia="Calibri"/>
        </w:rPr>
        <w:t>au point 10.1 de l’annexe 1 du Règlement ONU n</w:t>
      </w:r>
      <w:r w:rsidRPr="00D6374E">
        <w:rPr>
          <w:rFonts w:eastAsia="Calibri"/>
          <w:vertAlign w:val="superscript"/>
        </w:rPr>
        <w:t>o</w:t>
      </w:r>
      <w:r w:rsidRPr="00D6374E">
        <w:rPr>
          <w:rFonts w:eastAsia="Calibri"/>
        </w:rPr>
        <w:t> 19</w:t>
      </w:r>
      <w:bookmarkEnd w:id="10"/>
      <w:r w:rsidRPr="00D6374E">
        <w:rPr>
          <w:rFonts w:eastAsia="Calibri"/>
        </w:rPr>
        <w:t xml:space="preserve"> </w:t>
      </w:r>
      <w:bookmarkStart w:id="11" w:name="_Hlk491708154"/>
      <w:r w:rsidRPr="00D6374E">
        <w:rPr>
          <w:rFonts w:eastAsia="Calibri"/>
        </w:rPr>
        <w:t>ou au point 9.5.1 de l’annexe 1 du Règlement ONU n</w:t>
      </w:r>
      <w:r w:rsidRPr="00D6374E">
        <w:rPr>
          <w:rFonts w:eastAsia="Calibri"/>
          <w:vertAlign w:val="superscript"/>
        </w:rPr>
        <w:t>o</w:t>
      </w:r>
      <w:r w:rsidRPr="00D6374E">
        <w:rPr>
          <w:rFonts w:eastAsia="Calibri"/>
        </w:rPr>
        <w:t> [RID]</w:t>
      </w:r>
      <w:bookmarkEnd w:id="11"/>
      <w:r w:rsidRPr="00D6374E">
        <w:rPr>
          <w:rFonts w:eastAsia="Calibri"/>
        </w:rPr>
        <w:t>. ».</w:t>
      </w:r>
    </w:p>
    <w:p w:rsidR="00D6374E" w:rsidRPr="00D6374E" w:rsidRDefault="00D6374E" w:rsidP="00FB5C51">
      <w:pPr>
        <w:pStyle w:val="SingleTxtG"/>
        <w:rPr>
          <w:rFonts w:eastAsia="Calibri"/>
        </w:rPr>
      </w:pPr>
      <w:r w:rsidRPr="00D6374E">
        <w:rPr>
          <w:rFonts w:eastAsia="Calibri"/>
          <w:i/>
        </w:rPr>
        <w:t>Paragraphe 6.3.9</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6.3.9</w:t>
      </w:r>
      <w:r w:rsidRPr="00D6374E">
        <w:rPr>
          <w:rFonts w:eastAsia="Calibri"/>
        </w:rPr>
        <w:tab/>
        <w:t>Autres prescriptions</w:t>
      </w:r>
    </w:p>
    <w:p w:rsidR="00D6374E" w:rsidRPr="00D6374E" w:rsidRDefault="00D6374E" w:rsidP="00DB75DF">
      <w:pPr>
        <w:pStyle w:val="SingleTxtG"/>
        <w:ind w:left="2268"/>
        <w:rPr>
          <w:rFonts w:eastAsia="Calibri"/>
        </w:rPr>
      </w:pPr>
      <w:r w:rsidRPr="00D6374E">
        <w:rPr>
          <w:rFonts w:eastAsia="Calibri"/>
        </w:rPr>
        <w:t>En cas de réponse affirmative à la question posée dans la fiche d’information figurant à l’annexe 1 du Règlement ONU n</w:t>
      </w:r>
      <w:r w:rsidRPr="00D6374E">
        <w:rPr>
          <w:rFonts w:eastAsia="Calibri"/>
          <w:vertAlign w:val="superscript"/>
        </w:rPr>
        <w:t>o</w:t>
      </w:r>
      <w:r w:rsidRPr="00D6374E">
        <w:rPr>
          <w:rFonts w:eastAsia="Calibri"/>
        </w:rPr>
        <w:t> 19 ou à l’annexe 1 du Règlement ONU n</w:t>
      </w:r>
      <w:r w:rsidRPr="00D6374E">
        <w:rPr>
          <w:rFonts w:eastAsia="Calibri"/>
          <w:vertAlign w:val="superscript"/>
        </w:rPr>
        <w:t>o</w:t>
      </w:r>
      <w:r w:rsidRPr="00D6374E">
        <w:rPr>
          <w:rFonts w:eastAsia="Calibri"/>
        </w:rPr>
        <w:t> [RID], l’alignement et les intensités lumineuses du faisceau de brouillard de la classe “F3” peuvent être ajustés automatiquement ... ».</w:t>
      </w:r>
    </w:p>
    <w:p w:rsidR="00D6374E" w:rsidRPr="00D6374E" w:rsidRDefault="00D6374E" w:rsidP="00FB5C51">
      <w:pPr>
        <w:pStyle w:val="SingleTxtG"/>
        <w:rPr>
          <w:rFonts w:eastAsia="Calibri"/>
        </w:rPr>
      </w:pPr>
      <w:r w:rsidRPr="00D6374E">
        <w:rPr>
          <w:rFonts w:eastAsia="Calibri"/>
          <w:i/>
        </w:rPr>
        <w:t>Paragraphe 6.4, lire</w:t>
      </w:r>
      <w:r w:rsidRPr="00D6374E">
        <w:rPr>
          <w:rFonts w:eastAsia="Calibri"/>
        </w:rPr>
        <w:t> :</w:t>
      </w:r>
    </w:p>
    <w:p w:rsidR="00D6374E" w:rsidRPr="00D6374E" w:rsidRDefault="00D6374E" w:rsidP="00D6374E">
      <w:pPr>
        <w:pStyle w:val="SingleTxtG"/>
        <w:ind w:left="2268" w:hanging="1134"/>
        <w:rPr>
          <w:rFonts w:eastAsia="Calibri"/>
        </w:rPr>
      </w:pPr>
      <w:r w:rsidRPr="00D6374E">
        <w:rPr>
          <w:rFonts w:eastAsia="Calibri"/>
        </w:rPr>
        <w:t>« 6.4</w:t>
      </w:r>
      <w:r w:rsidRPr="00D6374E">
        <w:rPr>
          <w:rFonts w:eastAsia="Calibri"/>
        </w:rPr>
        <w:tab/>
        <w:t>Feu de marche arrière (Règlement ONU n</w:t>
      </w:r>
      <w:r w:rsidRPr="00D6374E">
        <w:rPr>
          <w:rFonts w:eastAsia="Calibri"/>
          <w:vertAlign w:val="superscript"/>
        </w:rPr>
        <w:t>o</w:t>
      </w:r>
      <w:r w:rsidRPr="00D6374E">
        <w:rPr>
          <w:rFonts w:eastAsia="Calibri"/>
        </w:rPr>
        <w:t xml:space="preserve"> 23 </w:t>
      </w:r>
      <w:bookmarkStart w:id="12" w:name="_Hlk491708326"/>
      <w:r w:rsidRPr="00D6374E">
        <w:rPr>
          <w:rFonts w:eastAsia="Calibri"/>
        </w:rPr>
        <w:t>ou [LSD]</w:t>
      </w:r>
      <w:bookmarkEnd w:id="12"/>
      <w:r w:rsidRPr="00D6374E">
        <w:rPr>
          <w:rFonts w:eastAsia="Calibri"/>
        </w:rPr>
        <w:t>) ».</w:t>
      </w:r>
    </w:p>
    <w:p w:rsidR="00D6374E" w:rsidRPr="00D6374E" w:rsidRDefault="00D6374E" w:rsidP="00FB5C51">
      <w:pPr>
        <w:pStyle w:val="SingleTxtG"/>
        <w:rPr>
          <w:rFonts w:eastAsia="Calibri"/>
        </w:rPr>
      </w:pPr>
      <w:r w:rsidRPr="00D6374E">
        <w:rPr>
          <w:rFonts w:eastAsia="Calibri"/>
          <w:i/>
        </w:rPr>
        <w:t>Paragraphe 6.4.5.1</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6.4.5.1</w:t>
      </w:r>
      <w:r w:rsidRPr="00D6374E">
        <w:rPr>
          <w:rFonts w:eastAsia="Calibri"/>
        </w:rPr>
        <w:tab/>
        <w:t>Feux installés à l’arrière du véhicule :</w:t>
      </w:r>
    </w:p>
    <w:p w:rsidR="00D6374E" w:rsidRPr="00D6374E" w:rsidRDefault="00D6374E" w:rsidP="00DB75DF">
      <w:pPr>
        <w:pStyle w:val="SingleTxtG"/>
        <w:ind w:left="2268"/>
        <w:rPr>
          <w:rFonts w:eastAsia="Calibri"/>
        </w:rPr>
      </w:pPr>
      <w:r w:rsidRPr="00D6374E">
        <w:rPr>
          <w:rFonts w:eastAsia="Calibri"/>
        </w:rPr>
        <w:tab/>
        <w:t>Elle est définie par les angles α et β tels qu’ils sont indiqués au paragraphe 2.10.7 :</w:t>
      </w:r>
    </w:p>
    <w:p w:rsidR="00D6374E" w:rsidRPr="00D6374E" w:rsidRDefault="00D6374E" w:rsidP="00DB75DF">
      <w:pPr>
        <w:pStyle w:val="SingleTxtG"/>
        <w:ind w:left="2268"/>
        <w:rPr>
          <w:rFonts w:eastAsia="Calibri"/>
        </w:rPr>
      </w:pPr>
      <w:r w:rsidRPr="00D6374E">
        <w:rPr>
          <w:rFonts w:eastAsia="Calibri"/>
        </w:rPr>
        <w:tab/>
        <w:t>α = 15° vers le haut et 5° vers le bas,</w:t>
      </w:r>
    </w:p>
    <w:p w:rsidR="00D6374E" w:rsidRPr="00D6374E" w:rsidRDefault="00D6374E" w:rsidP="00DB75DF">
      <w:pPr>
        <w:pStyle w:val="SingleTxtG"/>
        <w:ind w:left="2268"/>
        <w:rPr>
          <w:rFonts w:eastAsia="Calibri"/>
        </w:rPr>
      </w:pPr>
      <w:r w:rsidRPr="00D6374E">
        <w:rPr>
          <w:rFonts w:eastAsia="Calibri"/>
        </w:rPr>
        <w:tab/>
        <w:t>β = 45° à droite et à gauche, s’il n’y a qu’un seul feu,</w:t>
      </w:r>
    </w:p>
    <w:p w:rsidR="00D6374E" w:rsidRPr="00D6374E" w:rsidRDefault="00D6374E" w:rsidP="00DB75DF">
      <w:pPr>
        <w:pStyle w:val="SingleTxtG"/>
        <w:ind w:left="2268"/>
        <w:rPr>
          <w:rFonts w:eastAsia="Calibri"/>
        </w:rPr>
      </w:pPr>
      <w:r w:rsidRPr="00D6374E">
        <w:rPr>
          <w:rFonts w:eastAsia="Calibri"/>
        </w:rPr>
        <w:tab/>
        <w:t>45° vers l’extérieur et 30° vers l’intérieur s’il y en a deux. ».</w:t>
      </w:r>
    </w:p>
    <w:p w:rsidR="00D6374E" w:rsidRPr="00D6374E" w:rsidRDefault="00D6374E" w:rsidP="00FB5C51">
      <w:pPr>
        <w:pStyle w:val="SingleTxtG"/>
        <w:rPr>
          <w:rFonts w:eastAsia="Calibri"/>
        </w:rPr>
      </w:pPr>
      <w:r w:rsidRPr="00D6374E">
        <w:rPr>
          <w:rFonts w:eastAsia="Calibri"/>
          <w:i/>
        </w:rPr>
        <w:t>Paragraphe 6.5</w:t>
      </w:r>
      <w:r w:rsidRPr="00D6374E">
        <w:rPr>
          <w:rFonts w:eastAsia="Calibri"/>
        </w:rPr>
        <w:t>, lire :</w:t>
      </w:r>
    </w:p>
    <w:p w:rsidR="00D6374E" w:rsidRPr="00D6374E" w:rsidRDefault="00D6374E" w:rsidP="00D6374E">
      <w:pPr>
        <w:pStyle w:val="SingleTxtG"/>
        <w:ind w:left="2268" w:hanging="1134"/>
        <w:rPr>
          <w:rFonts w:eastAsia="Calibri"/>
        </w:rPr>
      </w:pPr>
      <w:r w:rsidRPr="00D6374E">
        <w:t>«</w:t>
      </w:r>
      <w:r w:rsidRPr="00D6374E">
        <w:rPr>
          <w:rFonts w:eastAsia="Calibri"/>
        </w:rPr>
        <w:t> 6.5</w:t>
      </w:r>
      <w:r w:rsidRPr="00D6374E">
        <w:rPr>
          <w:rFonts w:eastAsia="Calibri"/>
        </w:rPr>
        <w:tab/>
        <w:t>Feu indicateur de direction (Règlement ONU n</w:t>
      </w:r>
      <w:r w:rsidRPr="00D6374E">
        <w:rPr>
          <w:rFonts w:eastAsia="Calibri"/>
          <w:vertAlign w:val="superscript"/>
        </w:rPr>
        <w:t>o</w:t>
      </w:r>
      <w:r w:rsidRPr="00D6374E">
        <w:rPr>
          <w:rFonts w:eastAsia="Calibri"/>
        </w:rPr>
        <w:t xml:space="preserve"> 6 </w:t>
      </w:r>
      <w:bookmarkStart w:id="13" w:name="_Hlk491708538"/>
      <w:r w:rsidRPr="00D6374E">
        <w:rPr>
          <w:rFonts w:eastAsia="Calibri"/>
        </w:rPr>
        <w:t>ou [LSD]</w:t>
      </w:r>
      <w:bookmarkEnd w:id="13"/>
      <w:r w:rsidRPr="00D6374E">
        <w:rPr>
          <w:rFonts w:eastAsia="Calibri"/>
        </w:rPr>
        <w:t>) ».</w:t>
      </w:r>
    </w:p>
    <w:p w:rsidR="00D6374E" w:rsidRPr="00D6374E" w:rsidRDefault="00D6374E" w:rsidP="00FB5C51">
      <w:pPr>
        <w:pStyle w:val="SingleTxtG"/>
        <w:rPr>
          <w:rFonts w:eastAsia="Calibri"/>
        </w:rPr>
      </w:pPr>
      <w:r w:rsidRPr="00D6374E">
        <w:rPr>
          <w:rFonts w:eastAsia="Calibri"/>
          <w:i/>
        </w:rPr>
        <w:t>Paragraphe 6.5.8</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6.5.8</w:t>
      </w:r>
      <w:r w:rsidRPr="00D6374E">
        <w:rPr>
          <w:rFonts w:eastAsia="Calibri"/>
        </w:rPr>
        <w:tab/>
        <w:t>…</w:t>
      </w:r>
    </w:p>
    <w:p w:rsidR="00D6374E" w:rsidRPr="00D6374E" w:rsidRDefault="00D6374E" w:rsidP="00DB75DF">
      <w:pPr>
        <w:pStyle w:val="SingleTxtG"/>
        <w:ind w:left="2268"/>
        <w:rPr>
          <w:rFonts w:eastAsia="Calibri"/>
        </w:rPr>
      </w:pPr>
      <w:r w:rsidRPr="00D6374E">
        <w:rPr>
          <w:rFonts w:eastAsia="Calibri"/>
        </w:rPr>
        <w:t>Il doit être activé par le signal produit conformément au paragraphe 6.2.2 du Règlement ONU n</w:t>
      </w:r>
      <w:r w:rsidRPr="00D6374E">
        <w:rPr>
          <w:rFonts w:eastAsia="Calibri"/>
          <w:vertAlign w:val="superscript"/>
        </w:rPr>
        <w:t>o</w:t>
      </w:r>
      <w:r w:rsidRPr="00D6374E">
        <w:rPr>
          <w:rFonts w:eastAsia="Calibri"/>
        </w:rPr>
        <w:t> 6 ou au paragraphe 5.6.3 du Règlement ONU n</w:t>
      </w:r>
      <w:r w:rsidRPr="00D6374E">
        <w:rPr>
          <w:rFonts w:eastAsia="Calibri"/>
          <w:vertAlign w:val="superscript"/>
        </w:rPr>
        <w:t>o</w:t>
      </w:r>
      <w:r w:rsidRPr="00D6374E">
        <w:rPr>
          <w:rFonts w:eastAsia="Calibri"/>
        </w:rPr>
        <w:t> [LSD] ou d’une autre manière qui convient</w:t>
      </w:r>
      <w:r w:rsidRPr="00D6374E">
        <w:rPr>
          <w:rFonts w:eastAsia="Calibri"/>
          <w:sz w:val="18"/>
          <w:szCs w:val="18"/>
          <w:vertAlign w:val="superscript"/>
        </w:rPr>
        <w:t>13</w:t>
      </w:r>
      <w:r w:rsidRPr="00D6374E">
        <w:rPr>
          <w:rFonts w:eastAsia="Calibri"/>
        </w:rPr>
        <w:t>.</w:t>
      </w:r>
    </w:p>
    <w:p w:rsidR="00D6374E" w:rsidRPr="00D6374E" w:rsidRDefault="00D6374E" w:rsidP="00FB5C51">
      <w:pPr>
        <w:pStyle w:val="SingleTxtG"/>
        <w:ind w:left="2268"/>
        <w:rPr>
          <w:rFonts w:eastAsia="Calibri"/>
        </w:rPr>
      </w:pPr>
      <w:r w:rsidRPr="00D6374E">
        <w:rPr>
          <w:rFonts w:eastAsia="Calibri"/>
        </w:rPr>
        <w:t>… ».</w:t>
      </w:r>
    </w:p>
    <w:p w:rsidR="00D6374E" w:rsidRPr="00D6374E" w:rsidRDefault="00D6374E" w:rsidP="00FB5C51">
      <w:pPr>
        <w:pStyle w:val="SingleTxtG"/>
        <w:rPr>
          <w:rFonts w:eastAsia="Calibri"/>
        </w:rPr>
      </w:pPr>
      <w:r w:rsidRPr="00D6374E">
        <w:rPr>
          <w:rFonts w:eastAsia="Calibri"/>
          <w:i/>
        </w:rPr>
        <w:t>Paragraphe 6.7</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6.7</w:t>
      </w:r>
      <w:r w:rsidRPr="00D6374E">
        <w:rPr>
          <w:rFonts w:eastAsia="Calibri"/>
        </w:rPr>
        <w:tab/>
        <w:t>Feu-stop (</w:t>
      </w:r>
      <w:bookmarkStart w:id="14" w:name="_Hlk491718689"/>
      <w:bookmarkStart w:id="15" w:name="_Hlk491708604"/>
      <w:r w:rsidRPr="00D6374E">
        <w:rPr>
          <w:rFonts w:eastAsia="Calibri"/>
        </w:rPr>
        <w:t>Règlement ONU n</w:t>
      </w:r>
      <w:r w:rsidRPr="00D6374E">
        <w:rPr>
          <w:rFonts w:eastAsia="Calibri"/>
          <w:vertAlign w:val="superscript"/>
        </w:rPr>
        <w:t>o</w:t>
      </w:r>
      <w:r w:rsidRPr="00D6374E">
        <w:rPr>
          <w:rFonts w:eastAsia="Calibri"/>
        </w:rPr>
        <w:t> 7 ou [LSD]</w:t>
      </w:r>
      <w:bookmarkEnd w:id="14"/>
      <w:r w:rsidRPr="00D6374E">
        <w:rPr>
          <w:rFonts w:eastAsia="Calibri"/>
        </w:rPr>
        <w:t>)</w:t>
      </w:r>
      <w:bookmarkEnd w:id="15"/>
      <w:r w:rsidRPr="00D6374E">
        <w:rPr>
          <w:rFonts w:eastAsia="Calibri"/>
        </w:rPr>
        <w:t> ».</w:t>
      </w:r>
    </w:p>
    <w:p w:rsidR="00D6374E" w:rsidRPr="00D6374E" w:rsidRDefault="00D6374E" w:rsidP="00FB5C51">
      <w:pPr>
        <w:pStyle w:val="SingleTxtG"/>
        <w:rPr>
          <w:rFonts w:eastAsia="Calibri"/>
        </w:rPr>
      </w:pPr>
      <w:r w:rsidRPr="00D6374E">
        <w:rPr>
          <w:rFonts w:eastAsia="Calibri"/>
          <w:i/>
        </w:rPr>
        <w:t>Paragraphe 6.8</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6.8</w:t>
      </w:r>
      <w:r w:rsidRPr="00D6374E">
        <w:rPr>
          <w:rFonts w:eastAsia="Calibri"/>
        </w:rPr>
        <w:tab/>
        <w:t>Dispositif d’éclairage de la plaque d’immatriculation arrière (Règlement ONU n</w:t>
      </w:r>
      <w:r w:rsidRPr="00D6374E">
        <w:rPr>
          <w:rFonts w:eastAsia="Calibri"/>
          <w:vertAlign w:val="superscript"/>
        </w:rPr>
        <w:t>o</w:t>
      </w:r>
      <w:r w:rsidRPr="00D6374E">
        <w:rPr>
          <w:rFonts w:eastAsia="Calibri"/>
        </w:rPr>
        <w:t> 4 ou [LSD]) ».</w:t>
      </w:r>
    </w:p>
    <w:p w:rsidR="00D6374E" w:rsidRPr="00D6374E" w:rsidRDefault="00D6374E" w:rsidP="00FB5C51">
      <w:pPr>
        <w:pStyle w:val="SingleTxtG"/>
        <w:rPr>
          <w:rFonts w:eastAsia="Calibri"/>
        </w:rPr>
      </w:pPr>
      <w:r w:rsidRPr="00D6374E">
        <w:rPr>
          <w:rFonts w:eastAsia="Calibri"/>
          <w:i/>
        </w:rPr>
        <w:t>Paragraphe 6.9</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6.9</w:t>
      </w:r>
      <w:r w:rsidRPr="00D6374E">
        <w:rPr>
          <w:rFonts w:eastAsia="Calibri"/>
        </w:rPr>
        <w:tab/>
        <w:t>Feu de position avant (Règlement ONU n</w:t>
      </w:r>
      <w:r w:rsidRPr="00D6374E">
        <w:rPr>
          <w:rFonts w:eastAsia="Calibri"/>
          <w:vertAlign w:val="superscript"/>
        </w:rPr>
        <w:t>o</w:t>
      </w:r>
      <w:r w:rsidRPr="00D6374E">
        <w:rPr>
          <w:rFonts w:eastAsia="Calibri"/>
        </w:rPr>
        <w:t> 7 ou [LSD]) ».</w:t>
      </w:r>
    </w:p>
    <w:p w:rsidR="00D6374E" w:rsidRPr="00D6374E" w:rsidRDefault="00D6374E" w:rsidP="00FB5C51">
      <w:pPr>
        <w:pStyle w:val="SingleTxtG"/>
        <w:rPr>
          <w:rFonts w:eastAsia="Calibri"/>
        </w:rPr>
      </w:pPr>
      <w:r w:rsidRPr="00D6374E">
        <w:rPr>
          <w:rFonts w:eastAsia="Calibri"/>
          <w:i/>
        </w:rPr>
        <w:t>Paragraphe 6.10</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6.10</w:t>
      </w:r>
      <w:r w:rsidRPr="00D6374E">
        <w:rPr>
          <w:rFonts w:eastAsia="Calibri"/>
        </w:rPr>
        <w:tab/>
        <w:t>Feu de position arrière (Règlement ONU n</w:t>
      </w:r>
      <w:r w:rsidRPr="00D6374E">
        <w:rPr>
          <w:rFonts w:eastAsia="Calibri"/>
          <w:vertAlign w:val="superscript"/>
        </w:rPr>
        <w:t>o</w:t>
      </w:r>
      <w:r w:rsidRPr="00D6374E">
        <w:rPr>
          <w:rFonts w:eastAsia="Calibri"/>
        </w:rPr>
        <w:t> 7 ou [LSD]) ».</w:t>
      </w:r>
    </w:p>
    <w:p w:rsidR="00D6374E" w:rsidRPr="00D6374E" w:rsidRDefault="00D6374E" w:rsidP="00FB5C51">
      <w:pPr>
        <w:pStyle w:val="SingleTxtG"/>
        <w:keepNext/>
        <w:keepLines/>
        <w:rPr>
          <w:rFonts w:eastAsia="Calibri"/>
        </w:rPr>
      </w:pPr>
      <w:r w:rsidRPr="00D6374E">
        <w:rPr>
          <w:rFonts w:eastAsia="Calibri"/>
          <w:i/>
        </w:rPr>
        <w:lastRenderedPageBreak/>
        <w:t>Paragraphe 6.11</w:t>
      </w:r>
      <w:r w:rsidRPr="00D6374E">
        <w:rPr>
          <w:rFonts w:eastAsia="Calibri"/>
        </w:rPr>
        <w:t>, lire :</w:t>
      </w:r>
    </w:p>
    <w:p w:rsidR="00D6374E" w:rsidRPr="00D6374E" w:rsidRDefault="00D6374E" w:rsidP="00FB5C51">
      <w:pPr>
        <w:pStyle w:val="SingleTxtG"/>
        <w:keepNext/>
        <w:keepLines/>
        <w:ind w:left="2268" w:hanging="1134"/>
        <w:rPr>
          <w:rFonts w:eastAsia="Calibri"/>
        </w:rPr>
      </w:pPr>
      <w:r w:rsidRPr="00D6374E">
        <w:t>«</w:t>
      </w:r>
      <w:r w:rsidRPr="00D6374E">
        <w:rPr>
          <w:rFonts w:eastAsia="Calibri"/>
        </w:rPr>
        <w:t> 6.11</w:t>
      </w:r>
      <w:r w:rsidRPr="00D6374E">
        <w:rPr>
          <w:rFonts w:eastAsia="Calibri"/>
        </w:rPr>
        <w:tab/>
        <w:t>Feu de brouillard arrière (Règlement ONU n</w:t>
      </w:r>
      <w:r w:rsidRPr="00D6374E">
        <w:rPr>
          <w:rFonts w:eastAsia="Calibri"/>
          <w:vertAlign w:val="superscript"/>
        </w:rPr>
        <w:t>o</w:t>
      </w:r>
      <w:r w:rsidRPr="00D6374E">
        <w:rPr>
          <w:rFonts w:eastAsia="Calibri"/>
        </w:rPr>
        <w:t> 38 ou [LSD]) ».</w:t>
      </w:r>
    </w:p>
    <w:p w:rsidR="00D6374E" w:rsidRPr="00D6374E" w:rsidRDefault="00D6374E" w:rsidP="00FB5C51">
      <w:pPr>
        <w:pStyle w:val="SingleTxtG"/>
        <w:rPr>
          <w:rFonts w:eastAsia="Calibri"/>
        </w:rPr>
      </w:pPr>
      <w:r w:rsidRPr="00D6374E">
        <w:rPr>
          <w:rFonts w:eastAsia="Calibri"/>
          <w:i/>
        </w:rPr>
        <w:t>Paragraphe 6.11.5</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6.11.5</w:t>
      </w:r>
      <w:r w:rsidRPr="00D6374E">
        <w:rPr>
          <w:rFonts w:eastAsia="Calibri"/>
        </w:rPr>
        <w:tab/>
        <w:t>Visibilité géométrique</w:t>
      </w:r>
    </w:p>
    <w:p w:rsidR="00D6374E" w:rsidRPr="00D6374E" w:rsidRDefault="00D6374E" w:rsidP="00F82D7E">
      <w:pPr>
        <w:pStyle w:val="SingleTxtG"/>
        <w:ind w:left="2268"/>
        <w:rPr>
          <w:rFonts w:eastAsia="Calibri"/>
        </w:rPr>
      </w:pPr>
      <w:r w:rsidRPr="00D6374E">
        <w:rPr>
          <w:rFonts w:eastAsia="Calibri"/>
        </w:rPr>
        <w:t>Elle est définie par les angles α et ß indiqués au paragraphe 2.10.7 :</w:t>
      </w:r>
    </w:p>
    <w:p w:rsidR="00D6374E" w:rsidRPr="00D6374E" w:rsidRDefault="00D6374E" w:rsidP="00F82D7E">
      <w:pPr>
        <w:pStyle w:val="SingleTxtG"/>
        <w:ind w:left="2268"/>
        <w:rPr>
          <w:rFonts w:eastAsia="Calibri"/>
        </w:rPr>
      </w:pPr>
      <w:r w:rsidRPr="00D6374E">
        <w:rPr>
          <w:rFonts w:eastAsia="Calibri"/>
        </w:rPr>
        <w:t>α = 5° vers le haut et 5° vers le bas,</w:t>
      </w:r>
    </w:p>
    <w:p w:rsidR="00D6374E" w:rsidRPr="00D6374E" w:rsidRDefault="00D6374E" w:rsidP="00F82D7E">
      <w:pPr>
        <w:pStyle w:val="SingleTxtG"/>
        <w:ind w:left="2268"/>
        <w:rPr>
          <w:rFonts w:eastAsia="Calibri"/>
        </w:rPr>
      </w:pPr>
      <w:r w:rsidRPr="00D6374E">
        <w:rPr>
          <w:rFonts w:eastAsia="Calibri"/>
        </w:rPr>
        <w:t>ß = 25° à droite et à gauche. ».</w:t>
      </w:r>
    </w:p>
    <w:p w:rsidR="00D6374E" w:rsidRPr="00D6374E" w:rsidRDefault="00D6374E" w:rsidP="00FB5C51">
      <w:pPr>
        <w:pStyle w:val="SingleTxtG"/>
        <w:rPr>
          <w:rFonts w:eastAsia="Calibri"/>
        </w:rPr>
      </w:pPr>
      <w:r w:rsidRPr="00D6374E">
        <w:rPr>
          <w:rFonts w:eastAsia="Calibri"/>
          <w:i/>
        </w:rPr>
        <w:t>Paragraphe 6.12</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6.12</w:t>
      </w:r>
      <w:r w:rsidRPr="00D6374E">
        <w:rPr>
          <w:rFonts w:eastAsia="Calibri"/>
        </w:rPr>
        <w:tab/>
        <w:t>Feu de stationnement (Règlement ONU n</w:t>
      </w:r>
      <w:r w:rsidRPr="00D6374E">
        <w:rPr>
          <w:rFonts w:eastAsia="Calibri"/>
          <w:vertAlign w:val="superscript"/>
        </w:rPr>
        <w:t>o</w:t>
      </w:r>
      <w:r w:rsidRPr="00D6374E">
        <w:rPr>
          <w:rFonts w:eastAsia="Calibri"/>
        </w:rPr>
        <w:t> 77 ou 7 ou [LSD]) ».</w:t>
      </w:r>
    </w:p>
    <w:p w:rsidR="00D6374E" w:rsidRPr="00D6374E" w:rsidRDefault="00D6374E" w:rsidP="00FB5C51">
      <w:pPr>
        <w:pStyle w:val="SingleTxtG"/>
        <w:rPr>
          <w:rFonts w:eastAsia="Calibri"/>
        </w:rPr>
      </w:pPr>
      <w:r w:rsidRPr="00D6374E">
        <w:rPr>
          <w:rFonts w:eastAsia="Calibri"/>
          <w:i/>
        </w:rPr>
        <w:t>Paragraphe 6.13</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6.13</w:t>
      </w:r>
      <w:r w:rsidRPr="00D6374E">
        <w:rPr>
          <w:rFonts w:eastAsia="Calibri"/>
        </w:rPr>
        <w:tab/>
        <w:t>Feu d’encombrement (feu de gabarit) (</w:t>
      </w:r>
      <w:bookmarkStart w:id="16" w:name="_Hlk491719230"/>
      <w:r w:rsidRPr="00D6374E">
        <w:rPr>
          <w:rFonts w:eastAsia="Calibri"/>
        </w:rPr>
        <w:t>Règlement ONU n</w:t>
      </w:r>
      <w:r w:rsidRPr="00D6374E">
        <w:rPr>
          <w:rFonts w:eastAsia="Calibri"/>
          <w:vertAlign w:val="superscript"/>
        </w:rPr>
        <w:t>o</w:t>
      </w:r>
      <w:r w:rsidRPr="00D6374E">
        <w:rPr>
          <w:rFonts w:eastAsia="Calibri"/>
        </w:rPr>
        <w:t> 7 ou [LSD]</w:t>
      </w:r>
      <w:bookmarkEnd w:id="16"/>
      <w:r w:rsidRPr="00D6374E">
        <w:rPr>
          <w:rFonts w:eastAsia="Calibri"/>
        </w:rPr>
        <w:t>) ».</w:t>
      </w:r>
    </w:p>
    <w:p w:rsidR="00D6374E" w:rsidRPr="00D6374E" w:rsidRDefault="00D6374E" w:rsidP="00FB5C51">
      <w:pPr>
        <w:pStyle w:val="SingleTxtG"/>
        <w:rPr>
          <w:rFonts w:eastAsia="Calibri"/>
        </w:rPr>
      </w:pPr>
      <w:r w:rsidRPr="00D6374E">
        <w:rPr>
          <w:rFonts w:eastAsia="Calibri"/>
          <w:i/>
        </w:rPr>
        <w:t>Paragraphe 6.14</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6.14</w:t>
      </w:r>
      <w:r w:rsidRPr="00D6374E">
        <w:rPr>
          <w:rFonts w:eastAsia="Calibri"/>
        </w:rPr>
        <w:tab/>
        <w:t>Catadioptre arrière, non triangulaire (</w:t>
      </w:r>
      <w:bookmarkStart w:id="17" w:name="_Hlk491719360"/>
      <w:r w:rsidRPr="00D6374E">
        <w:rPr>
          <w:rFonts w:eastAsia="Calibri"/>
        </w:rPr>
        <w:t>Règlement ONU n</w:t>
      </w:r>
      <w:r w:rsidRPr="00D6374E">
        <w:rPr>
          <w:rFonts w:eastAsia="Calibri"/>
          <w:vertAlign w:val="superscript"/>
        </w:rPr>
        <w:t>o</w:t>
      </w:r>
      <w:r w:rsidRPr="00D6374E">
        <w:rPr>
          <w:rFonts w:eastAsia="Calibri"/>
        </w:rPr>
        <w:t> 3 ou [RDD]</w:t>
      </w:r>
      <w:bookmarkEnd w:id="17"/>
      <w:r w:rsidRPr="00D6374E">
        <w:rPr>
          <w:rFonts w:eastAsia="Calibri"/>
        </w:rPr>
        <w:t>) ».</w:t>
      </w:r>
    </w:p>
    <w:p w:rsidR="00D6374E" w:rsidRPr="00D6374E" w:rsidRDefault="00D6374E" w:rsidP="00FB5C51">
      <w:pPr>
        <w:pStyle w:val="SingleTxtG"/>
        <w:rPr>
          <w:rFonts w:eastAsia="Calibri"/>
        </w:rPr>
      </w:pPr>
      <w:r w:rsidRPr="00D6374E">
        <w:rPr>
          <w:rFonts w:eastAsia="Calibri"/>
          <w:i/>
        </w:rPr>
        <w:t>Paragraphe 6.14.2</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6.14.2</w:t>
      </w:r>
      <w:r w:rsidRPr="00D6374E">
        <w:rPr>
          <w:rFonts w:eastAsia="Calibri"/>
        </w:rPr>
        <w:tab/>
        <w:t>Nombre</w:t>
      </w:r>
    </w:p>
    <w:p w:rsidR="00D6374E" w:rsidRPr="00D6374E" w:rsidRDefault="00D6374E" w:rsidP="00F82D7E">
      <w:pPr>
        <w:pStyle w:val="SingleTxtG"/>
        <w:ind w:left="2268"/>
        <w:rPr>
          <w:rFonts w:eastAsia="Calibri"/>
        </w:rPr>
      </w:pPr>
      <w:r w:rsidRPr="00D6374E">
        <w:rPr>
          <w:rFonts w:eastAsia="Calibri"/>
        </w:rPr>
        <w:t>Deux, dont les performances doivent être conformes aux prescriptions concernant les catadioptres de la classe IA ou IB, énoncées dans le Règlement ONU n</w:t>
      </w:r>
      <w:r w:rsidRPr="00D6374E">
        <w:rPr>
          <w:rFonts w:eastAsia="Calibri"/>
          <w:vertAlign w:val="superscript"/>
        </w:rPr>
        <w:t>o</w:t>
      </w:r>
      <w:r w:rsidRPr="00D6374E">
        <w:rPr>
          <w:rFonts w:eastAsia="Calibri"/>
        </w:rPr>
        <w:t> 3 ou [RDD]. Les dispositifs et matériaux réfléchissants supplémentaires (y compris deux catadioptres ne répondant pas au paragraphe 6.14.4 ci</w:t>
      </w:r>
      <w:r w:rsidRPr="00D6374E">
        <w:rPr>
          <w:rFonts w:eastAsia="Calibri"/>
        </w:rPr>
        <w:noBreakHyphen/>
        <w:t>dessous), sont autorisés à condition qu’ils ne nuisent pas à l’efficacité des dispositifs obligatoires d’éclairage et de signalisation lumineuse. ».</w:t>
      </w:r>
    </w:p>
    <w:p w:rsidR="00D6374E" w:rsidRPr="00D6374E" w:rsidRDefault="00D6374E" w:rsidP="00FB5C51">
      <w:pPr>
        <w:pStyle w:val="SingleTxtG"/>
        <w:rPr>
          <w:rFonts w:eastAsia="Calibri"/>
        </w:rPr>
      </w:pPr>
      <w:r w:rsidRPr="00D6374E">
        <w:rPr>
          <w:rFonts w:eastAsia="Calibri"/>
          <w:i/>
        </w:rPr>
        <w:t>Paragraphe 6.15</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6.15</w:t>
      </w:r>
      <w:r w:rsidRPr="00D6374E">
        <w:rPr>
          <w:rFonts w:eastAsia="Calibri"/>
        </w:rPr>
        <w:tab/>
        <w:t>Catadioptre arrière, triangulaire (</w:t>
      </w:r>
      <w:bookmarkStart w:id="18" w:name="_Hlk491719502"/>
      <w:r w:rsidRPr="00D6374E">
        <w:rPr>
          <w:rFonts w:eastAsia="Calibri"/>
        </w:rPr>
        <w:t>Règlement ONU n</w:t>
      </w:r>
      <w:r w:rsidRPr="00D6374E">
        <w:rPr>
          <w:rFonts w:eastAsia="Calibri"/>
          <w:vertAlign w:val="superscript"/>
        </w:rPr>
        <w:t>o</w:t>
      </w:r>
      <w:r w:rsidRPr="00D6374E">
        <w:rPr>
          <w:rFonts w:eastAsia="Calibri"/>
        </w:rPr>
        <w:t> 3 ou [RDD]</w:t>
      </w:r>
      <w:bookmarkEnd w:id="18"/>
      <w:r w:rsidRPr="00D6374E">
        <w:rPr>
          <w:rFonts w:eastAsia="Calibri"/>
        </w:rPr>
        <w:t>) ».</w:t>
      </w:r>
    </w:p>
    <w:p w:rsidR="00D6374E" w:rsidRPr="00D6374E" w:rsidRDefault="00D6374E" w:rsidP="00FB5C51">
      <w:pPr>
        <w:pStyle w:val="SingleTxtG"/>
        <w:rPr>
          <w:rFonts w:eastAsia="Calibri"/>
        </w:rPr>
      </w:pPr>
      <w:r w:rsidRPr="00D6374E">
        <w:rPr>
          <w:rFonts w:eastAsia="Calibri"/>
          <w:i/>
        </w:rPr>
        <w:t>Paragraphe 6.15.2</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6.15.2</w:t>
      </w:r>
      <w:r w:rsidRPr="00D6374E">
        <w:rPr>
          <w:rFonts w:eastAsia="Calibri"/>
        </w:rPr>
        <w:tab/>
        <w:t>Nombre</w:t>
      </w:r>
    </w:p>
    <w:p w:rsidR="00D6374E" w:rsidRPr="00D6374E" w:rsidRDefault="00D6374E" w:rsidP="00F82D7E">
      <w:pPr>
        <w:pStyle w:val="SingleTxtG"/>
        <w:ind w:left="2268"/>
        <w:rPr>
          <w:rFonts w:eastAsia="Calibri"/>
        </w:rPr>
      </w:pPr>
      <w:r w:rsidRPr="00D6374E">
        <w:rPr>
          <w:rFonts w:eastAsia="Calibri"/>
        </w:rPr>
        <w:t xml:space="preserve">Deux, dont les performances doivent être conformes aux prescriptions concernant les catadioptres de la classe IIIA ou IIIB, énoncées dans le </w:t>
      </w:r>
      <w:bookmarkStart w:id="19" w:name="_Hlk491719593"/>
      <w:r w:rsidRPr="00D6374E">
        <w:rPr>
          <w:rFonts w:eastAsia="Calibri"/>
        </w:rPr>
        <w:t>Règlement ONU n</w:t>
      </w:r>
      <w:r w:rsidRPr="00D6374E">
        <w:rPr>
          <w:rFonts w:eastAsia="Calibri"/>
          <w:vertAlign w:val="superscript"/>
        </w:rPr>
        <w:t>o</w:t>
      </w:r>
      <w:r w:rsidRPr="00D6374E">
        <w:rPr>
          <w:rFonts w:eastAsia="Calibri"/>
        </w:rPr>
        <w:t> 3 ou [RDD]</w:t>
      </w:r>
      <w:bookmarkEnd w:id="19"/>
      <w:r w:rsidRPr="00D6374E">
        <w:rPr>
          <w:rFonts w:eastAsia="Calibri"/>
        </w:rPr>
        <w:t>. Les dispositifs et matériaux réfléchissants supplémentaires (y compris deux catadioptres ne répondant pas au paragraphe 6.15.4 ci</w:t>
      </w:r>
      <w:r w:rsidRPr="00D6374E">
        <w:rPr>
          <w:rFonts w:eastAsia="Calibri"/>
        </w:rPr>
        <w:noBreakHyphen/>
        <w:t>dessous), sont autorisés à condition qu’ils ne nuisent pas à l’efficacité des dispositifs obligatoires d’éclairage et de signalisation lumineuse. ».</w:t>
      </w:r>
    </w:p>
    <w:p w:rsidR="00D6374E" w:rsidRPr="00D6374E" w:rsidRDefault="00D6374E" w:rsidP="00FB5C51">
      <w:pPr>
        <w:pStyle w:val="SingleTxtG"/>
        <w:rPr>
          <w:rFonts w:eastAsia="Calibri"/>
        </w:rPr>
      </w:pPr>
      <w:r w:rsidRPr="00D6374E">
        <w:rPr>
          <w:rFonts w:eastAsia="Calibri"/>
          <w:i/>
        </w:rPr>
        <w:t>Paragraphe 6.16</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6.16</w:t>
      </w:r>
      <w:r w:rsidRPr="00D6374E">
        <w:rPr>
          <w:rFonts w:eastAsia="Calibri"/>
        </w:rPr>
        <w:tab/>
      </w:r>
      <w:r w:rsidRPr="005E7DD4">
        <w:rPr>
          <w:rFonts w:eastAsia="Calibri"/>
        </w:rPr>
        <w:t>Catadioptre avant</w:t>
      </w:r>
      <w:r w:rsidRPr="00D6374E">
        <w:rPr>
          <w:rFonts w:eastAsia="Calibri"/>
        </w:rPr>
        <w:t>, non triangulaire (</w:t>
      </w:r>
      <w:bookmarkStart w:id="20" w:name="_Hlk491719671"/>
      <w:r w:rsidRPr="00D6374E">
        <w:rPr>
          <w:rFonts w:eastAsia="Calibri"/>
        </w:rPr>
        <w:t>Règlement ONU n</w:t>
      </w:r>
      <w:r w:rsidRPr="00D6374E">
        <w:rPr>
          <w:rFonts w:eastAsia="Calibri"/>
          <w:vertAlign w:val="superscript"/>
        </w:rPr>
        <w:t>o</w:t>
      </w:r>
      <w:r w:rsidRPr="00D6374E">
        <w:rPr>
          <w:rFonts w:eastAsia="Calibri"/>
        </w:rPr>
        <w:t> 3 ou [RDD]</w:t>
      </w:r>
      <w:bookmarkEnd w:id="20"/>
      <w:r w:rsidRPr="00D6374E">
        <w:rPr>
          <w:rFonts w:eastAsia="Calibri"/>
        </w:rPr>
        <w:t>) ».</w:t>
      </w:r>
    </w:p>
    <w:p w:rsidR="00D6374E" w:rsidRPr="00D6374E" w:rsidRDefault="00D6374E" w:rsidP="00FB5C51">
      <w:pPr>
        <w:pStyle w:val="SingleTxtG"/>
        <w:rPr>
          <w:rFonts w:eastAsia="Calibri"/>
        </w:rPr>
      </w:pPr>
      <w:r w:rsidRPr="00D6374E">
        <w:rPr>
          <w:rFonts w:eastAsia="Calibri"/>
          <w:i/>
        </w:rPr>
        <w:t>Paragraphe 6.16.2</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6.16.2</w:t>
      </w:r>
      <w:r w:rsidRPr="00D6374E">
        <w:rPr>
          <w:rFonts w:eastAsia="Calibri"/>
        </w:rPr>
        <w:tab/>
        <w:t>Nombre</w:t>
      </w:r>
    </w:p>
    <w:p w:rsidR="00D6374E" w:rsidRPr="00D6374E" w:rsidRDefault="00D6374E" w:rsidP="00F82D7E">
      <w:pPr>
        <w:pStyle w:val="SingleTxtG"/>
        <w:ind w:left="2268"/>
        <w:rPr>
          <w:rFonts w:eastAsia="Calibri"/>
        </w:rPr>
      </w:pPr>
      <w:r w:rsidRPr="00D6374E">
        <w:rPr>
          <w:rFonts w:eastAsia="Calibri"/>
        </w:rPr>
        <w:t xml:space="preserve">Deux, dont les performances doivent être conformes aux prescriptions concernant les catadioptres de la classe IA ou IB, énoncées dans </w:t>
      </w:r>
      <w:bookmarkStart w:id="21" w:name="_Hlk491719822"/>
      <w:r w:rsidRPr="00D6374E">
        <w:rPr>
          <w:rFonts w:eastAsia="Calibri"/>
        </w:rPr>
        <w:t>le Règlement ONU n</w:t>
      </w:r>
      <w:r w:rsidRPr="00D6374E">
        <w:rPr>
          <w:rFonts w:eastAsia="Calibri"/>
          <w:vertAlign w:val="superscript"/>
        </w:rPr>
        <w:t>o</w:t>
      </w:r>
      <w:r w:rsidRPr="00D6374E">
        <w:rPr>
          <w:rFonts w:eastAsia="Calibri"/>
        </w:rPr>
        <w:t> 3 ou [RDD]</w:t>
      </w:r>
      <w:bookmarkEnd w:id="21"/>
      <w:r w:rsidRPr="00D6374E">
        <w:rPr>
          <w:rFonts w:eastAsia="Calibri"/>
        </w:rPr>
        <w:t>. Les dispositifs et matériaux réfléchissants supplémentaires (y compris deux catadioptres ne répondant pas au paragraphe 6.16.4 ci</w:t>
      </w:r>
      <w:r w:rsidRPr="00D6374E">
        <w:rPr>
          <w:rFonts w:eastAsia="Calibri"/>
        </w:rPr>
        <w:noBreakHyphen/>
        <w:t>dessous), sont autorisés à condition qu’ils ne nuisent pas à l’efficacité des dispositifs obligatoires d’éclairage et de signalisation lumineuse. ».</w:t>
      </w:r>
    </w:p>
    <w:p w:rsidR="00D6374E" w:rsidRPr="00D6374E" w:rsidRDefault="00D6374E" w:rsidP="00FB5C51">
      <w:pPr>
        <w:pStyle w:val="SingleTxtG"/>
        <w:rPr>
          <w:rFonts w:eastAsia="Calibri"/>
        </w:rPr>
      </w:pPr>
      <w:r w:rsidRPr="00D6374E">
        <w:rPr>
          <w:rFonts w:eastAsia="Calibri"/>
          <w:i/>
        </w:rPr>
        <w:t>Paragraphe 6.17</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6.17</w:t>
      </w:r>
      <w:r w:rsidRPr="00D6374E">
        <w:rPr>
          <w:rFonts w:eastAsia="Calibri"/>
        </w:rPr>
        <w:tab/>
        <w:t>Catadioptre latéral, non triangulaire (</w:t>
      </w:r>
      <w:bookmarkStart w:id="22" w:name="_Hlk491719900"/>
      <w:r w:rsidRPr="00D6374E">
        <w:rPr>
          <w:rFonts w:eastAsia="Calibri"/>
        </w:rPr>
        <w:t>Règlement ONU n</w:t>
      </w:r>
      <w:r w:rsidRPr="00D6374E">
        <w:rPr>
          <w:rFonts w:eastAsia="Calibri"/>
          <w:vertAlign w:val="superscript"/>
        </w:rPr>
        <w:t>o</w:t>
      </w:r>
      <w:r w:rsidRPr="00D6374E">
        <w:rPr>
          <w:rFonts w:eastAsia="Calibri"/>
        </w:rPr>
        <w:t> 3 ou [RDD]</w:t>
      </w:r>
      <w:bookmarkEnd w:id="22"/>
      <w:r w:rsidRPr="00D6374E">
        <w:rPr>
          <w:rFonts w:eastAsia="Calibri"/>
        </w:rPr>
        <w:t>) ».</w:t>
      </w:r>
    </w:p>
    <w:p w:rsidR="00D6374E" w:rsidRPr="00D6374E" w:rsidRDefault="00D6374E" w:rsidP="00FB5C51">
      <w:pPr>
        <w:pStyle w:val="SingleTxtG"/>
        <w:rPr>
          <w:rFonts w:eastAsia="Calibri"/>
        </w:rPr>
      </w:pPr>
      <w:r w:rsidRPr="00D6374E">
        <w:rPr>
          <w:rFonts w:eastAsia="Calibri"/>
          <w:i/>
        </w:rPr>
        <w:lastRenderedPageBreak/>
        <w:t>Paragraphe 6.17.2</w:t>
      </w:r>
      <w:r w:rsidRPr="00D6374E">
        <w:rPr>
          <w:rFonts w:eastAsia="Calibri"/>
        </w:rPr>
        <w:t>, lire :</w:t>
      </w:r>
    </w:p>
    <w:p w:rsidR="00D6374E" w:rsidRPr="00D6374E" w:rsidRDefault="00D6374E" w:rsidP="00D6374E">
      <w:pPr>
        <w:pStyle w:val="SingleTxtG"/>
        <w:ind w:left="2268" w:hanging="1134"/>
        <w:rPr>
          <w:rFonts w:eastAsia="Calibri"/>
        </w:rPr>
      </w:pPr>
      <w:r w:rsidRPr="00D6374E">
        <w:t>«</w:t>
      </w:r>
      <w:r w:rsidRPr="00D6374E">
        <w:rPr>
          <w:rFonts w:eastAsia="Calibri"/>
        </w:rPr>
        <w:t> 6.17.2</w:t>
      </w:r>
      <w:r w:rsidRPr="00D6374E">
        <w:rPr>
          <w:rFonts w:eastAsia="Calibri"/>
        </w:rPr>
        <w:tab/>
        <w:t>Nombre</w:t>
      </w:r>
    </w:p>
    <w:p w:rsidR="00D6374E" w:rsidRPr="00D6374E" w:rsidRDefault="00D6374E" w:rsidP="00F82D7E">
      <w:pPr>
        <w:pStyle w:val="SingleTxtG"/>
        <w:ind w:left="2268"/>
        <w:rPr>
          <w:rFonts w:eastAsia="Calibri"/>
        </w:rPr>
      </w:pPr>
      <w:r w:rsidRPr="00D6374E">
        <w:rPr>
          <w:rFonts w:eastAsia="Calibri"/>
        </w:rPr>
        <w:t>Tel que les prescriptions relatives à l’emplacement en longueur soient respectées. Les performances de ces dispositifs doivent être conformes aux prescriptions concernant les catadioptres de la classe IA ou IB, énoncées dans le Règlement ONU n</w:t>
      </w:r>
      <w:r w:rsidRPr="00D6374E">
        <w:rPr>
          <w:rFonts w:eastAsia="Calibri"/>
          <w:vertAlign w:val="superscript"/>
        </w:rPr>
        <w:t>o</w:t>
      </w:r>
      <w:r w:rsidRPr="00D6374E">
        <w:rPr>
          <w:rFonts w:eastAsia="Calibri"/>
        </w:rPr>
        <w:t> 3 ou [RDD]. Les dispositifs et matériaux réfléchissants supplémentaires (y compris deux catadioptres ne répondant pas au paragraphe 6.17.4 ci</w:t>
      </w:r>
      <w:r w:rsidRPr="00D6374E">
        <w:rPr>
          <w:rFonts w:eastAsia="Calibri"/>
        </w:rPr>
        <w:noBreakHyphen/>
        <w:t>dessous), sont autorisés à condition qu’ils ne nuisent pas à l’efficacité des dispositifs obligatoires d’éclairage et de signalisation lumineuse. ».</w:t>
      </w:r>
    </w:p>
    <w:p w:rsidR="00D6374E" w:rsidRPr="00D6374E" w:rsidRDefault="00D6374E" w:rsidP="00FB5C51">
      <w:pPr>
        <w:pStyle w:val="SingleTxtG"/>
        <w:rPr>
          <w:rFonts w:eastAsia="Calibri"/>
        </w:rPr>
      </w:pPr>
      <w:r w:rsidRPr="00D6374E">
        <w:rPr>
          <w:rFonts w:eastAsia="Calibri"/>
          <w:i/>
        </w:rPr>
        <w:t>Paragraphe 6.18</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6.18</w:t>
      </w:r>
      <w:r w:rsidRPr="00D6374E">
        <w:rPr>
          <w:rFonts w:eastAsia="Calibri"/>
        </w:rPr>
        <w:tab/>
        <w:t>Feux de position latéraux (</w:t>
      </w:r>
      <w:bookmarkStart w:id="23" w:name="_Hlk491719938"/>
      <w:r w:rsidRPr="00D6374E">
        <w:rPr>
          <w:rFonts w:eastAsia="Calibri"/>
        </w:rPr>
        <w:t>Règlement ONU n</w:t>
      </w:r>
      <w:r w:rsidRPr="00D6374E">
        <w:rPr>
          <w:rFonts w:eastAsia="Calibri"/>
          <w:vertAlign w:val="superscript"/>
        </w:rPr>
        <w:t>o</w:t>
      </w:r>
      <w:r w:rsidRPr="00D6374E">
        <w:rPr>
          <w:rFonts w:eastAsia="Calibri"/>
        </w:rPr>
        <w:t> 91 ou [LSD]</w:t>
      </w:r>
      <w:bookmarkEnd w:id="23"/>
      <w:r w:rsidRPr="00D6374E">
        <w:rPr>
          <w:rFonts w:eastAsia="Calibri"/>
        </w:rPr>
        <w:t>) ».</w:t>
      </w:r>
    </w:p>
    <w:p w:rsidR="00D6374E" w:rsidRPr="00D6374E" w:rsidRDefault="00D6374E" w:rsidP="00FB5C51">
      <w:pPr>
        <w:pStyle w:val="SingleTxtG"/>
        <w:rPr>
          <w:rFonts w:eastAsia="Calibri"/>
        </w:rPr>
      </w:pPr>
      <w:r w:rsidRPr="00D6374E">
        <w:rPr>
          <w:rFonts w:eastAsia="Calibri"/>
          <w:i/>
        </w:rPr>
        <w:t>Paragraphe 6.19</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6.19</w:t>
      </w:r>
      <w:r w:rsidRPr="00D6374E">
        <w:rPr>
          <w:rFonts w:eastAsia="Calibri"/>
        </w:rPr>
        <w:tab/>
        <w:t>Feu de circulation diurne (</w:t>
      </w:r>
      <w:bookmarkStart w:id="24" w:name="_Hlk491720051"/>
      <w:r w:rsidRPr="00D6374E">
        <w:rPr>
          <w:rFonts w:eastAsia="Calibri"/>
        </w:rPr>
        <w:t>Règlement ONU n</w:t>
      </w:r>
      <w:r w:rsidRPr="00D6374E">
        <w:rPr>
          <w:rFonts w:eastAsia="Calibri"/>
          <w:vertAlign w:val="superscript"/>
        </w:rPr>
        <w:t>o</w:t>
      </w:r>
      <w:r w:rsidRPr="00D6374E">
        <w:rPr>
          <w:rFonts w:eastAsia="Calibri"/>
        </w:rPr>
        <w:t> 87 ou [LSD]</w:t>
      </w:r>
      <w:bookmarkEnd w:id="24"/>
      <w:r w:rsidRPr="00D6374E">
        <w:rPr>
          <w:rFonts w:eastAsia="Calibri"/>
        </w:rPr>
        <w:t>) ».</w:t>
      </w:r>
    </w:p>
    <w:p w:rsidR="00D6374E" w:rsidRPr="00D6374E" w:rsidRDefault="00D6374E" w:rsidP="00FB5C51">
      <w:pPr>
        <w:pStyle w:val="SingleTxtG"/>
        <w:rPr>
          <w:rFonts w:eastAsia="Calibri"/>
        </w:rPr>
      </w:pPr>
      <w:r w:rsidRPr="00D6374E">
        <w:rPr>
          <w:rFonts w:eastAsia="Calibri"/>
          <w:i/>
        </w:rPr>
        <w:t>Paragraphe 6.20</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6.20</w:t>
      </w:r>
      <w:r w:rsidRPr="00D6374E">
        <w:rPr>
          <w:rFonts w:eastAsia="Calibri"/>
        </w:rPr>
        <w:tab/>
        <w:t>Feu d’angle (Règlement ONU n</w:t>
      </w:r>
      <w:r w:rsidRPr="00D6374E">
        <w:rPr>
          <w:rFonts w:eastAsia="Calibri"/>
          <w:vertAlign w:val="superscript"/>
        </w:rPr>
        <w:t>o</w:t>
      </w:r>
      <w:r w:rsidRPr="00D6374E">
        <w:rPr>
          <w:rFonts w:eastAsia="Calibri"/>
        </w:rPr>
        <w:t> 119 ou [RID]) ».</w:t>
      </w:r>
    </w:p>
    <w:p w:rsidR="00D6374E" w:rsidRPr="00D6374E" w:rsidRDefault="00D6374E" w:rsidP="00FB5C51">
      <w:pPr>
        <w:pStyle w:val="SingleTxtG"/>
        <w:rPr>
          <w:rFonts w:eastAsia="Calibri"/>
        </w:rPr>
      </w:pPr>
      <w:r w:rsidRPr="00D6374E">
        <w:rPr>
          <w:rFonts w:eastAsia="Calibri"/>
          <w:i/>
        </w:rPr>
        <w:t>Paragraphe 6.20.5</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6.20.5</w:t>
      </w:r>
      <w:r w:rsidRPr="00D6374E">
        <w:rPr>
          <w:rFonts w:eastAsia="Calibri"/>
        </w:rPr>
        <w:tab/>
        <w:t>Visibilité géométrique</w:t>
      </w:r>
    </w:p>
    <w:p w:rsidR="00D6374E" w:rsidRPr="00D6374E" w:rsidRDefault="00D6374E" w:rsidP="00F82D7E">
      <w:pPr>
        <w:pStyle w:val="SingleTxtG"/>
        <w:ind w:left="2268"/>
        <w:rPr>
          <w:rFonts w:eastAsia="Calibri"/>
        </w:rPr>
      </w:pPr>
      <w:r w:rsidRPr="00D6374E">
        <w:rPr>
          <w:rFonts w:eastAsia="Calibri"/>
        </w:rPr>
        <w:tab/>
        <w:t>Elle est définie par les angles α et β définis au paragraphe 2.10.7 :</w:t>
      </w:r>
    </w:p>
    <w:p w:rsidR="00D6374E" w:rsidRPr="00D6374E" w:rsidRDefault="00D6374E" w:rsidP="00D6374E">
      <w:pPr>
        <w:spacing w:after="120"/>
        <w:ind w:left="2268" w:right="1134"/>
        <w:jc w:val="both"/>
        <w:rPr>
          <w:rFonts w:eastAsia="Calibri"/>
        </w:rPr>
      </w:pPr>
      <w:r w:rsidRPr="00D6374E">
        <w:rPr>
          <w:rFonts w:eastAsia="Calibri"/>
        </w:rPr>
        <w:sym w:font="Symbol" w:char="0061"/>
      </w:r>
      <w:r w:rsidRPr="00D6374E">
        <w:rPr>
          <w:rFonts w:eastAsia="Calibri"/>
        </w:rPr>
        <w:t xml:space="preserve"> = 10° vers le haut et vers le bas,</w:t>
      </w:r>
    </w:p>
    <w:p w:rsidR="00D6374E" w:rsidRPr="00D6374E" w:rsidRDefault="00D6374E" w:rsidP="00D6374E">
      <w:pPr>
        <w:spacing w:after="120"/>
        <w:ind w:left="2268" w:right="1134"/>
        <w:jc w:val="both"/>
        <w:rPr>
          <w:rFonts w:eastAsia="Calibri"/>
        </w:rPr>
      </w:pPr>
      <w:r w:rsidRPr="00D6374E">
        <w:rPr>
          <w:rFonts w:eastAsia="Calibri"/>
        </w:rPr>
        <w:sym w:font="Symbol" w:char="0062"/>
      </w:r>
      <w:r w:rsidRPr="00D6374E">
        <w:rPr>
          <w:rFonts w:eastAsia="Calibri"/>
        </w:rPr>
        <w:t xml:space="preserve"> = 30° à 60° vers l’extérieur. ».</w:t>
      </w:r>
    </w:p>
    <w:p w:rsidR="00D6374E" w:rsidRPr="00D6374E" w:rsidRDefault="00D6374E" w:rsidP="00FB5C51">
      <w:pPr>
        <w:pStyle w:val="SingleTxtG"/>
        <w:rPr>
          <w:rFonts w:eastAsia="Calibri"/>
        </w:rPr>
      </w:pPr>
      <w:r w:rsidRPr="00D6374E">
        <w:rPr>
          <w:rFonts w:eastAsia="Calibri"/>
          <w:i/>
        </w:rPr>
        <w:t>Paragraphe 6.21</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6.21</w:t>
      </w:r>
      <w:r w:rsidRPr="00D6374E">
        <w:rPr>
          <w:rFonts w:eastAsia="Calibri"/>
        </w:rPr>
        <w:tab/>
        <w:t>Marquages à grande visibilité (</w:t>
      </w:r>
      <w:bookmarkStart w:id="25" w:name="_Hlk491720227"/>
      <w:r w:rsidRPr="00D6374E">
        <w:rPr>
          <w:rFonts w:eastAsia="Calibri"/>
        </w:rPr>
        <w:t>Règlement ONU n</w:t>
      </w:r>
      <w:r w:rsidRPr="00D6374E">
        <w:rPr>
          <w:rFonts w:eastAsia="Calibri"/>
          <w:vertAlign w:val="superscript"/>
        </w:rPr>
        <w:t>o</w:t>
      </w:r>
      <w:r w:rsidRPr="00D6374E">
        <w:rPr>
          <w:rFonts w:eastAsia="Calibri"/>
        </w:rPr>
        <w:t> 104 ou [RDD]</w:t>
      </w:r>
      <w:bookmarkEnd w:id="25"/>
      <w:r w:rsidRPr="00D6374E">
        <w:rPr>
          <w:rFonts w:eastAsia="Calibri"/>
        </w:rPr>
        <w:t>) ».</w:t>
      </w:r>
    </w:p>
    <w:p w:rsidR="00D6374E" w:rsidRPr="00D6374E" w:rsidRDefault="00D6374E" w:rsidP="00FB5C51">
      <w:pPr>
        <w:pStyle w:val="SingleTxtG"/>
        <w:rPr>
          <w:rFonts w:eastAsia="Calibri"/>
        </w:rPr>
      </w:pPr>
      <w:r w:rsidRPr="00D6374E">
        <w:rPr>
          <w:rFonts w:eastAsia="Calibri"/>
          <w:i/>
        </w:rPr>
        <w:t>Paragraphe 6.21.1.2.5</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6.21.1.2.5</w:t>
      </w:r>
      <w:r w:rsidRPr="00D6374E">
        <w:rPr>
          <w:rFonts w:eastAsia="Calibri"/>
        </w:rPr>
        <w:tab/>
        <w:t>Lorsque le fabricant, après vérification par le service technique, peut prouver à l’autorité d’homologation de type qu’il est impossible de se conformer aux prescriptions énoncées aux paragraphes 6.21.2 à 6.21.7.5 ci</w:t>
      </w:r>
      <w:r w:rsidRPr="00D6374E">
        <w:rPr>
          <w:rFonts w:eastAsia="Calibri"/>
        </w:rPr>
        <w:noBreakHyphen/>
        <w:t xml:space="preserve">dessous, en raison d’exigences opérationnelles susceptibles d’imposer au véhicule une forme, une structure ou une conception spéciales, on peut se contenter du respect partiel de ces prescriptions. Cela dépend du nombre de prescriptions devant, si possible, être satisfaites et de l’application des marquages à grande visibilité qui satisfont en partie aux prescriptions les plus strictes concernant la structure du véhicule. On peut notamment mettre en place, lorsque la structure le permet, des plaques ou des supports supplémentaires constitués d’un matériau conforme au </w:t>
      </w:r>
      <w:bookmarkStart w:id="26" w:name="_Hlk491720293"/>
      <w:r w:rsidRPr="00D6374E">
        <w:rPr>
          <w:rFonts w:eastAsia="Calibri"/>
        </w:rPr>
        <w:t>Règlement ONU n</w:t>
      </w:r>
      <w:r w:rsidRPr="00D6374E">
        <w:rPr>
          <w:rFonts w:eastAsia="Calibri"/>
          <w:vertAlign w:val="superscript"/>
        </w:rPr>
        <w:t>o</w:t>
      </w:r>
      <w:r w:rsidRPr="00D6374E">
        <w:rPr>
          <w:rFonts w:eastAsia="Calibri"/>
        </w:rPr>
        <w:t> 104 ou [RDD]</w:t>
      </w:r>
      <w:bookmarkEnd w:id="26"/>
      <w:r w:rsidRPr="00D6374E">
        <w:rPr>
          <w:rFonts w:eastAsia="Calibri"/>
        </w:rPr>
        <w:t>, afin que la signalisation soit claire et uniforme et réponde à l’objectif de grande visibilité.</w:t>
      </w:r>
    </w:p>
    <w:p w:rsidR="00D6374E" w:rsidRPr="00D6374E" w:rsidRDefault="00D6374E" w:rsidP="00F82D7E">
      <w:pPr>
        <w:pStyle w:val="SingleTxtG"/>
        <w:ind w:left="2268"/>
        <w:rPr>
          <w:rFonts w:eastAsia="Calibri"/>
        </w:rPr>
      </w:pPr>
      <w:r w:rsidRPr="00D6374E">
        <w:rPr>
          <w:rFonts w:eastAsia="Calibri"/>
        </w:rPr>
        <w:t xml:space="preserve">Lorsque le respect partiel est jugé acceptable, les dispositifs </w:t>
      </w:r>
      <w:proofErr w:type="spellStart"/>
      <w:r w:rsidRPr="00D6374E">
        <w:rPr>
          <w:rFonts w:eastAsia="Calibri"/>
        </w:rPr>
        <w:t>rétroréfléchissants</w:t>
      </w:r>
      <w:proofErr w:type="spellEnd"/>
      <w:r w:rsidRPr="00D6374E">
        <w:rPr>
          <w:rFonts w:eastAsia="Calibri"/>
        </w:rPr>
        <w:t xml:space="preserve"> tels que les catadioptres de la classe IVA </w:t>
      </w:r>
      <w:bookmarkStart w:id="27" w:name="_Hlk491720344"/>
      <w:r w:rsidRPr="00D6374E">
        <w:rPr>
          <w:rFonts w:eastAsia="Calibri"/>
        </w:rPr>
        <w:t>du Règlement ONU n</w:t>
      </w:r>
      <w:r w:rsidRPr="00D6374E">
        <w:rPr>
          <w:rFonts w:eastAsia="Calibri"/>
          <w:vertAlign w:val="superscript"/>
        </w:rPr>
        <w:t>o</w:t>
      </w:r>
      <w:r w:rsidRPr="00D6374E">
        <w:rPr>
          <w:rFonts w:eastAsia="Calibri"/>
        </w:rPr>
        <w:t xml:space="preserve"> 3 ou [RDD] </w:t>
      </w:r>
      <w:bookmarkEnd w:id="27"/>
      <w:r w:rsidRPr="00D6374E">
        <w:rPr>
          <w:rFonts w:eastAsia="Calibri"/>
        </w:rPr>
        <w:t xml:space="preserve">ou les supports constitués d’un matériau </w:t>
      </w:r>
      <w:proofErr w:type="spellStart"/>
      <w:r w:rsidRPr="00D6374E">
        <w:rPr>
          <w:rFonts w:eastAsia="Calibri"/>
        </w:rPr>
        <w:t>rétroréfléchissant</w:t>
      </w:r>
      <w:proofErr w:type="spellEnd"/>
      <w:r w:rsidRPr="00D6374E">
        <w:rPr>
          <w:rFonts w:eastAsia="Calibri"/>
        </w:rPr>
        <w:t xml:space="preserve"> conforme aux prescriptions photométriques de la classe C </w:t>
      </w:r>
      <w:bookmarkStart w:id="28" w:name="_Hlk491720496"/>
      <w:r w:rsidRPr="00D6374E">
        <w:rPr>
          <w:rFonts w:eastAsia="Calibri"/>
        </w:rPr>
        <w:t>du Règlement ONU n</w:t>
      </w:r>
      <w:r w:rsidRPr="00D6374E">
        <w:rPr>
          <w:rFonts w:eastAsia="Calibri"/>
          <w:vertAlign w:val="superscript"/>
        </w:rPr>
        <w:t>o</w:t>
      </w:r>
      <w:r w:rsidRPr="00D6374E">
        <w:rPr>
          <w:rFonts w:eastAsia="Calibri"/>
        </w:rPr>
        <w:t xml:space="preserve"> 104 ou [RDD] </w:t>
      </w:r>
      <w:bookmarkEnd w:id="28"/>
      <w:r w:rsidRPr="00D6374E">
        <w:rPr>
          <w:rFonts w:eastAsia="Calibri"/>
        </w:rPr>
        <w:t xml:space="preserve">peuvent en partie remplacer les marquages à grande visibilité requis. Dans ce cas, il convient d’installer de tels dispositifs </w:t>
      </w:r>
      <w:proofErr w:type="spellStart"/>
      <w:r w:rsidRPr="00D6374E">
        <w:rPr>
          <w:rFonts w:eastAsia="Calibri"/>
        </w:rPr>
        <w:t>rétroréfléchissants</w:t>
      </w:r>
      <w:proofErr w:type="spellEnd"/>
      <w:r w:rsidRPr="00D6374E">
        <w:rPr>
          <w:rFonts w:eastAsia="Calibri"/>
        </w:rPr>
        <w:t xml:space="preserve"> tous les 1 500 </w:t>
      </w:r>
      <w:proofErr w:type="spellStart"/>
      <w:r w:rsidRPr="00D6374E">
        <w:rPr>
          <w:rFonts w:eastAsia="Calibri"/>
        </w:rPr>
        <w:t>mm.</w:t>
      </w:r>
      <w:proofErr w:type="spellEnd"/>
    </w:p>
    <w:p w:rsidR="00D6374E" w:rsidRPr="00D6374E" w:rsidRDefault="00D6374E" w:rsidP="00F82D7E">
      <w:pPr>
        <w:pStyle w:val="SingleTxtG"/>
        <w:ind w:left="2268"/>
        <w:rPr>
          <w:rFonts w:eastAsia="Calibri"/>
        </w:rPr>
      </w:pPr>
      <w:r w:rsidRPr="00D6374E">
        <w:rPr>
          <w:rFonts w:eastAsia="Calibri"/>
        </w:rPr>
        <w:t>Les renseignements nécessaires doivent être consignés sur la fiche de communication. ».</w:t>
      </w:r>
    </w:p>
    <w:p w:rsidR="00D6374E" w:rsidRPr="00D6374E" w:rsidRDefault="00D6374E" w:rsidP="00FB5C51">
      <w:pPr>
        <w:pStyle w:val="SingleTxtG"/>
        <w:rPr>
          <w:rFonts w:eastAsia="Calibri"/>
        </w:rPr>
      </w:pPr>
      <w:r w:rsidRPr="00D6374E">
        <w:rPr>
          <w:rFonts w:eastAsia="Calibri"/>
          <w:i/>
        </w:rPr>
        <w:t>Paragraphe 6.21.4.2.1.1</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spacing w:val="-3"/>
        </w:rPr>
        <w:t>« 6.21.4.2.1.1</w:t>
      </w:r>
      <w:r w:rsidRPr="00D6374E">
        <w:rPr>
          <w:rFonts w:eastAsia="Calibri"/>
        </w:rPr>
        <w:tab/>
        <w:t>Pour les véhicules à moteur, de la longueur du véhicule ou, dans le cas des tracteurs de semi-remorques, de la longueur de la cabine ;</w:t>
      </w:r>
    </w:p>
    <w:p w:rsidR="00D6374E" w:rsidRPr="00D6374E" w:rsidRDefault="00D6374E" w:rsidP="00F82D7E">
      <w:pPr>
        <w:pStyle w:val="SingleTxtG"/>
        <w:ind w:left="2268"/>
        <w:rPr>
          <w:rFonts w:eastAsia="Calibri"/>
        </w:rPr>
      </w:pPr>
      <w:r w:rsidRPr="00D6374E">
        <w:rPr>
          <w:rFonts w:eastAsia="Calibri"/>
        </w:rPr>
        <w:lastRenderedPageBreak/>
        <w:t>Il est cependant permis d’avoir recours à un autre mode de marquage à moins de 2 400 mm de l’extrémité avant du véhicule à moteur lorsqu’une série d</w:t>
      </w:r>
      <w:bookmarkStart w:id="29" w:name="_Hlk491720925"/>
      <w:r w:rsidRPr="00D6374E">
        <w:rPr>
          <w:rFonts w:eastAsia="Calibri"/>
        </w:rPr>
        <w:t>e catadioptres de la classe IVA du Règlement ONU n</w:t>
      </w:r>
      <w:r w:rsidRPr="00D6374E">
        <w:rPr>
          <w:rFonts w:eastAsia="Calibri"/>
          <w:vertAlign w:val="superscript"/>
        </w:rPr>
        <w:t>o</w:t>
      </w:r>
      <w:r w:rsidRPr="00D6374E">
        <w:rPr>
          <w:rFonts w:eastAsia="Calibri"/>
        </w:rPr>
        <w:t> 3 ou [RDD]</w:t>
      </w:r>
      <w:bookmarkEnd w:id="29"/>
      <w:r w:rsidRPr="00D6374E">
        <w:rPr>
          <w:rFonts w:eastAsia="Calibri"/>
        </w:rPr>
        <w:t xml:space="preserve"> ou de la classe C du Règlement ONU n</w:t>
      </w:r>
      <w:r w:rsidRPr="00D6374E">
        <w:rPr>
          <w:rFonts w:eastAsia="Calibri"/>
          <w:vertAlign w:val="superscript"/>
        </w:rPr>
        <w:t>o</w:t>
      </w:r>
      <w:r w:rsidRPr="00D6374E">
        <w:rPr>
          <w:rFonts w:eastAsia="Calibri"/>
        </w:rPr>
        <w:t> 104 ou [RDD] est installée en suivant les prescriptions en matière de marquage à grande visibilité de la manière suivante :</w:t>
      </w:r>
    </w:p>
    <w:p w:rsidR="00D6374E" w:rsidRPr="00D6374E" w:rsidRDefault="00D6374E" w:rsidP="00F82D7E">
      <w:pPr>
        <w:pStyle w:val="SingleTxtG"/>
        <w:ind w:left="2835" w:hanging="567"/>
        <w:rPr>
          <w:rFonts w:eastAsia="Calibri"/>
        </w:rPr>
      </w:pPr>
      <w:r w:rsidRPr="00D6374E">
        <w:rPr>
          <w:rFonts w:eastAsia="Calibri"/>
        </w:rPr>
        <w:t>a)</w:t>
      </w:r>
      <w:r w:rsidRPr="00D6374E">
        <w:rPr>
          <w:rFonts w:eastAsia="Calibri"/>
        </w:rPr>
        <w:tab/>
        <w:t>La taille du catadioptre est d’au moins 25 cm</w:t>
      </w:r>
      <w:r w:rsidRPr="00D6374E">
        <w:rPr>
          <w:rFonts w:eastAsia="Calibri"/>
          <w:vertAlign w:val="superscript"/>
        </w:rPr>
        <w:t>2</w:t>
      </w:r>
      <w:r w:rsidRPr="00D6374E">
        <w:rPr>
          <w:rFonts w:eastAsia="Calibri"/>
        </w:rPr>
        <w:t> ;</w:t>
      </w:r>
    </w:p>
    <w:p w:rsidR="00D6374E" w:rsidRPr="00D6374E" w:rsidRDefault="00D6374E" w:rsidP="00F82D7E">
      <w:pPr>
        <w:pStyle w:val="SingleTxtG"/>
        <w:ind w:left="2835" w:hanging="567"/>
        <w:rPr>
          <w:rFonts w:eastAsia="Calibri"/>
        </w:rPr>
      </w:pPr>
      <w:r w:rsidRPr="00D6374E">
        <w:rPr>
          <w:rFonts w:eastAsia="Calibri"/>
        </w:rPr>
        <w:t>b)</w:t>
      </w:r>
      <w:r w:rsidRPr="00D6374E">
        <w:rPr>
          <w:rFonts w:eastAsia="Calibri"/>
        </w:rPr>
        <w:tab/>
        <w:t>Un catadioptre est installé à une distance ne dépassant pas 600 mm de l’extrémité avant du véhicule ;</w:t>
      </w:r>
    </w:p>
    <w:p w:rsidR="00D6374E" w:rsidRPr="00D6374E" w:rsidRDefault="00D6374E" w:rsidP="00F82D7E">
      <w:pPr>
        <w:pStyle w:val="SingleTxtG"/>
        <w:ind w:left="2835" w:hanging="567"/>
        <w:rPr>
          <w:rFonts w:eastAsia="Calibri"/>
        </w:rPr>
      </w:pPr>
      <w:r w:rsidRPr="00D6374E">
        <w:rPr>
          <w:rFonts w:eastAsia="Calibri"/>
        </w:rPr>
        <w:t>c)</w:t>
      </w:r>
      <w:r w:rsidRPr="00D6374E">
        <w:rPr>
          <w:rFonts w:eastAsia="Calibri"/>
        </w:rPr>
        <w:tab/>
        <w:t>Les catadioptres supplémentaires ne sont pas distants de plus de 600 mm ;</w:t>
      </w:r>
    </w:p>
    <w:p w:rsidR="00D6374E" w:rsidRPr="00D6374E" w:rsidRDefault="00D6374E" w:rsidP="00F82D7E">
      <w:pPr>
        <w:pStyle w:val="SingleTxtG"/>
        <w:ind w:left="2835" w:hanging="567"/>
        <w:rPr>
          <w:rFonts w:eastAsia="Calibri"/>
        </w:rPr>
      </w:pPr>
      <w:r w:rsidRPr="00D6374E">
        <w:rPr>
          <w:rFonts w:eastAsia="Calibri"/>
        </w:rPr>
        <w:t>d)</w:t>
      </w:r>
      <w:r w:rsidRPr="00D6374E">
        <w:rPr>
          <w:rFonts w:eastAsia="Calibri"/>
        </w:rPr>
        <w:tab/>
        <w:t>La distance entre le dernier catadioptre et le début du marquage à grande visibilité ne dépasse pas 600 </w:t>
      </w:r>
      <w:proofErr w:type="spellStart"/>
      <w:r w:rsidRPr="00D6374E">
        <w:rPr>
          <w:rFonts w:eastAsia="Calibri"/>
        </w:rPr>
        <w:t>mm.</w:t>
      </w:r>
      <w:proofErr w:type="spellEnd"/>
      <w:r w:rsidRPr="00D6374E">
        <w:rPr>
          <w:rFonts w:eastAsia="Calibri"/>
        </w:rPr>
        <w:t> ».</w:t>
      </w:r>
    </w:p>
    <w:p w:rsidR="00D6374E" w:rsidRPr="00D6374E" w:rsidRDefault="00D6374E" w:rsidP="00FB5C51">
      <w:pPr>
        <w:pStyle w:val="SingleTxtG"/>
        <w:rPr>
          <w:rFonts w:eastAsia="Calibri"/>
        </w:rPr>
      </w:pPr>
      <w:r w:rsidRPr="00D6374E">
        <w:rPr>
          <w:rFonts w:eastAsia="Calibri"/>
          <w:i/>
        </w:rPr>
        <w:t>Paragraphe 6.21.7.4</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6.21.7.4</w:t>
      </w:r>
      <w:r w:rsidRPr="00D6374E">
        <w:rPr>
          <w:rFonts w:eastAsia="Calibri"/>
        </w:rPr>
        <w:tab/>
        <w:t xml:space="preserve">Lorsque des plaques d’identification arrière conformes à la série 01 d’amendements au </w:t>
      </w:r>
      <w:bookmarkStart w:id="30" w:name="_Hlk491720668"/>
      <w:r w:rsidRPr="00D6374E">
        <w:rPr>
          <w:rFonts w:eastAsia="Calibri"/>
        </w:rPr>
        <w:t xml:space="preserve">Règlement ONU </w:t>
      </w:r>
      <w:bookmarkEnd w:id="30"/>
      <w:r w:rsidRPr="00D6374E">
        <w:rPr>
          <w:rFonts w:eastAsia="Calibri"/>
        </w:rPr>
        <w:t>n</w:t>
      </w:r>
      <w:r w:rsidRPr="00D6374E">
        <w:rPr>
          <w:rFonts w:eastAsia="Calibri"/>
          <w:vertAlign w:val="superscript"/>
        </w:rPr>
        <w:t>o</w:t>
      </w:r>
      <w:r w:rsidRPr="00D6374E">
        <w:rPr>
          <w:rFonts w:eastAsia="Calibri"/>
        </w:rPr>
        <w:t> 70 ou au Règlement ONU n</w:t>
      </w:r>
      <w:r w:rsidRPr="00D6374E">
        <w:rPr>
          <w:rFonts w:eastAsia="Calibri"/>
          <w:vertAlign w:val="superscript"/>
        </w:rPr>
        <w:t>o</w:t>
      </w:r>
      <w:r w:rsidRPr="00D6374E">
        <w:rPr>
          <w:rFonts w:eastAsia="Calibri"/>
        </w:rPr>
        <w:t> [RDD] sont installées, elles peuvent être considérées, à la discrétion du constructeur, comme faisant partie du marquage à grande visibilité arrière, aux fins du calcul de la longueur du marquage à grande visibilité et de sa proximité avec le côté du véhicule. ».</w:t>
      </w:r>
    </w:p>
    <w:p w:rsidR="00D6374E" w:rsidRPr="00D6374E" w:rsidRDefault="00D6374E" w:rsidP="00FB5C51">
      <w:pPr>
        <w:pStyle w:val="SingleTxtG"/>
        <w:rPr>
          <w:rFonts w:eastAsia="Calibri"/>
        </w:rPr>
      </w:pPr>
      <w:r w:rsidRPr="00D6374E">
        <w:rPr>
          <w:rFonts w:eastAsia="Calibri"/>
          <w:i/>
        </w:rPr>
        <w:t>Paragraphe 6.22</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6.22</w:t>
      </w:r>
      <w:r w:rsidRPr="00D6374E">
        <w:rPr>
          <w:rFonts w:eastAsia="Calibri"/>
        </w:rPr>
        <w:tab/>
        <w:t>Système d’éclairage avant adaptatif (AFS) (</w:t>
      </w:r>
      <w:bookmarkStart w:id="31" w:name="_Hlk491722183"/>
      <w:r w:rsidRPr="00D6374E">
        <w:rPr>
          <w:rFonts w:eastAsia="Calibri"/>
        </w:rPr>
        <w:t>Règlement ONU n</w:t>
      </w:r>
      <w:r w:rsidRPr="00D6374E">
        <w:rPr>
          <w:rFonts w:eastAsia="Calibri"/>
          <w:vertAlign w:val="superscript"/>
        </w:rPr>
        <w:t>o</w:t>
      </w:r>
      <w:r w:rsidRPr="00D6374E">
        <w:rPr>
          <w:rFonts w:eastAsia="Calibri"/>
        </w:rPr>
        <w:t> 123 ou [RID]</w:t>
      </w:r>
      <w:bookmarkEnd w:id="31"/>
      <w:r w:rsidRPr="00D6374E">
        <w:rPr>
          <w:rFonts w:eastAsia="Calibri"/>
        </w:rPr>
        <w:t>)</w:t>
      </w:r>
    </w:p>
    <w:p w:rsidR="00D6374E" w:rsidRPr="00D6374E" w:rsidRDefault="00D6374E" w:rsidP="00F82D7E">
      <w:pPr>
        <w:pStyle w:val="SingleTxtG"/>
        <w:ind w:left="2268"/>
        <w:rPr>
          <w:rFonts w:eastAsia="Calibri"/>
        </w:rPr>
      </w:pPr>
      <w:r w:rsidRPr="00D6374E">
        <w:rPr>
          <w:rFonts w:eastAsia="Calibri"/>
        </w:rPr>
        <w:t>Sauf mention contraire ci-après, les prescriptions relatives aux feux de route (par. 6.1) et aux feux de croisement (par. 6.2) figurant dans le présent Règlement s’appliquent aux parties correspondantes de l’AFS. ».</w:t>
      </w:r>
    </w:p>
    <w:p w:rsidR="00D6374E" w:rsidRPr="00D6374E" w:rsidRDefault="00D6374E" w:rsidP="00FB5C51">
      <w:pPr>
        <w:pStyle w:val="SingleTxtG"/>
        <w:rPr>
          <w:rFonts w:eastAsia="Calibri"/>
        </w:rPr>
      </w:pPr>
      <w:r w:rsidRPr="00D6374E">
        <w:rPr>
          <w:rFonts w:eastAsia="Calibri"/>
          <w:i/>
        </w:rPr>
        <w:t>Paragraphe 6.22.6.1.2.1</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spacing w:val="-3"/>
        </w:rPr>
        <w:t>« 6.22.6.1.2.1</w:t>
      </w:r>
      <w:r w:rsidRPr="00D6374E">
        <w:rPr>
          <w:rFonts w:eastAsia="Calibri"/>
        </w:rPr>
        <w:tab/>
        <w:t>Lorsque le faisceau de croisement est constitué de plusieurs faisceaux provenant de plusieurs unités d’éclairage, les dispositions du paragraphe 6.22.6.1.2 ci-dessus s’appliquent à la coupure (si elle existe) de chacun des faisceaux, qui sont conçus pour être projetés dans la zone angulaire, comme indiqué au point 9.3 de la fiche de communication conforme au modèle décrit à l’annexe 1 du Règlement ONU n</w:t>
      </w:r>
      <w:r w:rsidRPr="00D6374E">
        <w:rPr>
          <w:rFonts w:eastAsia="Calibri"/>
          <w:vertAlign w:val="superscript"/>
        </w:rPr>
        <w:t>o</w:t>
      </w:r>
      <w:r w:rsidRPr="00D6374E">
        <w:rPr>
          <w:rFonts w:eastAsia="Calibri"/>
        </w:rPr>
        <w:t> 123 ou au point 9.3.3 de l’annexe 1 du Règlement ONU n</w:t>
      </w:r>
      <w:r w:rsidRPr="00D6374E">
        <w:rPr>
          <w:rFonts w:eastAsia="Calibri"/>
          <w:vertAlign w:val="superscript"/>
        </w:rPr>
        <w:t>o</w:t>
      </w:r>
      <w:r w:rsidRPr="00D6374E">
        <w:rPr>
          <w:rFonts w:eastAsia="Calibri"/>
        </w:rPr>
        <w:t> [RID]. ».</w:t>
      </w:r>
    </w:p>
    <w:p w:rsidR="00D6374E" w:rsidRPr="00D6374E" w:rsidRDefault="00D6374E" w:rsidP="00FB5C51">
      <w:pPr>
        <w:pStyle w:val="SingleTxtG"/>
        <w:rPr>
          <w:rFonts w:eastAsia="Calibri"/>
        </w:rPr>
      </w:pPr>
      <w:r w:rsidRPr="00D6374E">
        <w:rPr>
          <w:rFonts w:eastAsia="Calibri"/>
          <w:i/>
        </w:rPr>
        <w:t>Paragraphe 6.22.6.3</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6.22.6.3</w:t>
      </w:r>
      <w:r w:rsidRPr="00D6374E">
        <w:rPr>
          <w:rFonts w:eastAsia="Calibri"/>
        </w:rPr>
        <w:tab/>
        <w:t>Orientation horizontale :</w:t>
      </w:r>
    </w:p>
    <w:p w:rsidR="00D6374E" w:rsidRPr="00D6374E" w:rsidRDefault="00D6374E" w:rsidP="00F82D7E">
      <w:pPr>
        <w:pStyle w:val="SingleTxtG"/>
        <w:ind w:left="2268"/>
        <w:rPr>
          <w:rFonts w:eastAsia="Calibri"/>
        </w:rPr>
      </w:pPr>
      <w:r w:rsidRPr="00D6374E">
        <w:rPr>
          <w:rFonts w:eastAsia="Calibri"/>
        </w:rPr>
        <w:t xml:space="preserve">Pour chaque unité d’éclairage, le coude de la coupure, si elle existe, doit coïncider, lorsqu’il est projeté sur l’écran, avec la ligne verticale passant par l’axe de référence de ladite unité d’éclairage. Une tolérance de 0,5 degré vers le côté du sens de la circulation est admise. Les autres unités d’éclairage doivent être réglées conformément à l’indication du demandeur, comme indiqué </w:t>
      </w:r>
      <w:bookmarkStart w:id="32" w:name="_Hlk491721305"/>
      <w:r w:rsidRPr="00D6374E">
        <w:rPr>
          <w:rFonts w:eastAsia="Calibri"/>
        </w:rPr>
        <w:t xml:space="preserve">à l’annexe 10 du </w:t>
      </w:r>
      <w:bookmarkEnd w:id="32"/>
      <w:r w:rsidRPr="00D6374E">
        <w:rPr>
          <w:rFonts w:eastAsia="Calibri"/>
        </w:rPr>
        <w:t>Règlement ONU n</w:t>
      </w:r>
      <w:r w:rsidRPr="00D6374E">
        <w:rPr>
          <w:rFonts w:eastAsia="Calibri"/>
          <w:vertAlign w:val="superscript"/>
        </w:rPr>
        <w:t>o</w:t>
      </w:r>
      <w:r w:rsidRPr="00D6374E">
        <w:rPr>
          <w:rFonts w:eastAsia="Calibri"/>
        </w:rPr>
        <w:t> 123 ou à l’annexe 14 du Règlement ONU n</w:t>
      </w:r>
      <w:r w:rsidRPr="00D6374E">
        <w:rPr>
          <w:rFonts w:eastAsia="Calibri"/>
          <w:vertAlign w:val="superscript"/>
        </w:rPr>
        <w:t>o</w:t>
      </w:r>
      <w:r w:rsidRPr="00D6374E">
        <w:rPr>
          <w:rFonts w:eastAsia="Calibri"/>
        </w:rPr>
        <w:t> [RID]. ».</w:t>
      </w:r>
    </w:p>
    <w:p w:rsidR="00D6374E" w:rsidRPr="00D6374E" w:rsidRDefault="00D6374E" w:rsidP="00FB5C51">
      <w:pPr>
        <w:pStyle w:val="SingleTxtG"/>
        <w:rPr>
          <w:rFonts w:eastAsia="Calibri"/>
        </w:rPr>
      </w:pPr>
      <w:r w:rsidRPr="00D6374E">
        <w:rPr>
          <w:rFonts w:eastAsia="Calibri"/>
          <w:i/>
        </w:rPr>
        <w:t>Paragraphe 6.22.7.4.3</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6.22.7.4.3</w:t>
      </w:r>
      <w:r w:rsidRPr="00D6374E">
        <w:rPr>
          <w:rFonts w:eastAsia="Calibri"/>
        </w:rPr>
        <w:tab/>
        <w:t>…</w:t>
      </w:r>
    </w:p>
    <w:p w:rsidR="00D6374E" w:rsidRPr="00D6374E" w:rsidRDefault="00D6374E" w:rsidP="00F82D7E">
      <w:pPr>
        <w:pStyle w:val="SingleTxtG"/>
        <w:ind w:left="2835" w:hanging="567"/>
        <w:rPr>
          <w:rFonts w:eastAsia="Calibri"/>
        </w:rPr>
      </w:pPr>
      <w:r w:rsidRPr="00D6374E">
        <w:rPr>
          <w:rFonts w:eastAsia="Calibri"/>
        </w:rPr>
        <w:t>b)</w:t>
      </w:r>
      <w:r w:rsidRPr="00D6374E">
        <w:rPr>
          <w:rFonts w:eastAsia="Calibri"/>
        </w:rPr>
        <w:tab/>
        <w:t>Lorsqu’un mode de la classe E du faisceau de croisement est conforme, d’après les documents d’homologation ou la fiche de communication du système, à un ensemble de données du tableau 6 de l’annexe 3 du Règlement ONU n</w:t>
      </w:r>
      <w:r w:rsidRPr="00D6374E">
        <w:rPr>
          <w:rFonts w:eastAsia="Calibri"/>
          <w:vertAlign w:val="superscript"/>
        </w:rPr>
        <w:t>o</w:t>
      </w:r>
      <w:r w:rsidRPr="00D6374E">
        <w:rPr>
          <w:rFonts w:eastAsia="Calibri"/>
        </w:rPr>
        <w:t> 123 ou du tableau 14 du Règlement ONU n</w:t>
      </w:r>
      <w:r w:rsidRPr="00D6374E">
        <w:rPr>
          <w:rFonts w:eastAsia="Calibri"/>
          <w:vertAlign w:val="superscript"/>
        </w:rPr>
        <w:t>o</w:t>
      </w:r>
      <w:r w:rsidRPr="00D6374E">
        <w:rPr>
          <w:rFonts w:eastAsia="Calibri"/>
        </w:rPr>
        <w:t> [RID].</w:t>
      </w:r>
    </w:p>
    <w:p w:rsidR="00D6374E" w:rsidRPr="00D6374E" w:rsidRDefault="00D6374E" w:rsidP="00F82D7E">
      <w:pPr>
        <w:pStyle w:val="SingleTxtG"/>
        <w:ind w:left="2268"/>
        <w:rPr>
          <w:rFonts w:eastAsia="Calibri"/>
        </w:rPr>
      </w:pPr>
      <w:r w:rsidRPr="00D6374E">
        <w:rPr>
          <w:rFonts w:eastAsia="Calibri"/>
        </w:rPr>
        <w:t>Ensemble de données E1 : vitesse du véhicule supérieure à 100 km/h (application du signal E1) ;</w:t>
      </w:r>
    </w:p>
    <w:p w:rsidR="00D6374E" w:rsidRPr="00D6374E" w:rsidRDefault="00D6374E" w:rsidP="00F82D7E">
      <w:pPr>
        <w:pStyle w:val="SingleTxtG"/>
        <w:ind w:left="2268"/>
        <w:rPr>
          <w:rFonts w:eastAsia="Calibri"/>
        </w:rPr>
      </w:pPr>
      <w:r w:rsidRPr="00D6374E">
        <w:rPr>
          <w:rFonts w:eastAsia="Calibri"/>
        </w:rPr>
        <w:lastRenderedPageBreak/>
        <w:tab/>
        <w:t>Ensemble de données E2 : vitesse du véhicule supérieure à 90 km/h (application du signal E2) ;</w:t>
      </w:r>
    </w:p>
    <w:p w:rsidR="00D6374E" w:rsidRPr="00D6374E" w:rsidRDefault="00D6374E" w:rsidP="00F82D7E">
      <w:pPr>
        <w:pStyle w:val="SingleTxtG"/>
        <w:ind w:left="2268"/>
        <w:rPr>
          <w:rFonts w:eastAsia="Calibri"/>
        </w:rPr>
      </w:pPr>
      <w:r w:rsidRPr="00D6374E">
        <w:rPr>
          <w:rFonts w:eastAsia="Calibri"/>
        </w:rPr>
        <w:tab/>
        <w:t>Ensemble de données E3 : vitesse du véhicule supérieure à 80 km/h (application du signal E3). ».</w:t>
      </w:r>
    </w:p>
    <w:p w:rsidR="00D6374E" w:rsidRPr="00D6374E" w:rsidRDefault="00D6374E" w:rsidP="00FB5C51">
      <w:pPr>
        <w:pStyle w:val="SingleTxtG"/>
        <w:rPr>
          <w:rFonts w:eastAsia="Calibri"/>
        </w:rPr>
      </w:pPr>
      <w:r w:rsidRPr="00D6374E">
        <w:rPr>
          <w:rFonts w:eastAsia="Calibri"/>
          <w:i/>
        </w:rPr>
        <w:t>Paragraphe 6.22.8.2</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6.22.8.2</w:t>
      </w:r>
      <w:r w:rsidRPr="00D6374E">
        <w:rPr>
          <w:rFonts w:eastAsia="Calibri"/>
        </w:rPr>
        <w:tab/>
        <w:t>L’AFS doit obligatoirement être muni d’un témoin visuel de panne non clignotant. Ce témoin doit être activé chaque fois qu’une défaillance est détectée sur les signaux de commande de l’AFS ou lorsqu’un signal de</w:t>
      </w:r>
      <w:r w:rsidR="0055439C">
        <w:rPr>
          <w:rFonts w:eastAsia="Calibri"/>
        </w:rPr>
        <w:t> </w:t>
      </w:r>
      <w:r w:rsidRPr="00D6374E">
        <w:rPr>
          <w:rFonts w:eastAsia="Calibri"/>
        </w:rPr>
        <w:t xml:space="preserve">défaillance est reçu conformément </w:t>
      </w:r>
      <w:bookmarkStart w:id="33" w:name="_Hlk491721690"/>
      <w:r w:rsidRPr="00D6374E">
        <w:rPr>
          <w:rFonts w:eastAsia="Calibri"/>
        </w:rPr>
        <w:t>au paragraphe 5.9 du Règlement ONU</w:t>
      </w:r>
      <w:r w:rsidR="0055439C">
        <w:rPr>
          <w:rFonts w:eastAsia="Calibri"/>
        </w:rPr>
        <w:t> </w:t>
      </w:r>
      <w:r w:rsidRPr="00D6374E">
        <w:rPr>
          <w:rFonts w:eastAsia="Calibri"/>
        </w:rPr>
        <w:t>n</w:t>
      </w:r>
      <w:r w:rsidRPr="00D6374E">
        <w:rPr>
          <w:rFonts w:eastAsia="Calibri"/>
          <w:vertAlign w:val="superscript"/>
        </w:rPr>
        <w:t>o</w:t>
      </w:r>
      <w:r w:rsidRPr="00D6374E">
        <w:rPr>
          <w:rFonts w:eastAsia="Calibri"/>
        </w:rPr>
        <w:t> 123</w:t>
      </w:r>
      <w:bookmarkEnd w:id="33"/>
      <w:r w:rsidRPr="00D6374E">
        <w:rPr>
          <w:rFonts w:eastAsia="Calibri"/>
        </w:rPr>
        <w:t xml:space="preserve"> </w:t>
      </w:r>
      <w:bookmarkStart w:id="34" w:name="_Hlk491721801"/>
      <w:r w:rsidRPr="00D6374E">
        <w:rPr>
          <w:rFonts w:eastAsia="Calibri"/>
        </w:rPr>
        <w:t>ou au paragraphe 4.13 du Règlement ONU n</w:t>
      </w:r>
      <w:r w:rsidRPr="00D6374E">
        <w:rPr>
          <w:rFonts w:eastAsia="Calibri"/>
          <w:vertAlign w:val="superscript"/>
        </w:rPr>
        <w:t>o</w:t>
      </w:r>
      <w:r w:rsidRPr="00D6374E">
        <w:rPr>
          <w:rFonts w:eastAsia="Calibri"/>
        </w:rPr>
        <w:t> [RID]</w:t>
      </w:r>
      <w:bookmarkEnd w:id="34"/>
      <w:r w:rsidRPr="00D6374E">
        <w:rPr>
          <w:rFonts w:eastAsia="Calibri"/>
        </w:rPr>
        <w:t>. Le témoin doit rester activé aussi longtemps que dure la défaillance. Il peut être désactivé temporairement mais être remis en fonction chaque fois que le dispositif qui met le moteur en marche ou le coupe est activé ou désactivé. ».</w:t>
      </w:r>
    </w:p>
    <w:p w:rsidR="00D6374E" w:rsidRPr="00D6374E" w:rsidRDefault="00D6374E" w:rsidP="00FB5C51">
      <w:pPr>
        <w:pStyle w:val="SingleTxtG"/>
        <w:rPr>
          <w:rFonts w:eastAsia="Calibri"/>
        </w:rPr>
      </w:pPr>
      <w:r w:rsidRPr="00D6374E">
        <w:rPr>
          <w:rFonts w:eastAsia="Calibri"/>
          <w:i/>
        </w:rPr>
        <w:t>Paragraphe 6.22.8.4</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6.22.8.4</w:t>
      </w:r>
      <w:r w:rsidRPr="00D6374E">
        <w:rPr>
          <w:rFonts w:eastAsia="Calibri"/>
        </w:rPr>
        <w:tab/>
        <w:t>Un témoin servant à indiquer que le conducteur a placé le système dans l’état prescrit au paragraphe 5.8 du Règlement ONU n</w:t>
      </w:r>
      <w:r w:rsidRPr="00D6374E">
        <w:rPr>
          <w:rFonts w:eastAsia="Calibri"/>
          <w:vertAlign w:val="superscript"/>
        </w:rPr>
        <w:t>o</w:t>
      </w:r>
      <w:r w:rsidRPr="00D6374E">
        <w:rPr>
          <w:rFonts w:eastAsia="Calibri"/>
        </w:rPr>
        <w:t> 123 ou au paragraphe 4.12 du Règlement ONU n</w:t>
      </w:r>
      <w:r w:rsidRPr="00D6374E">
        <w:rPr>
          <w:rFonts w:eastAsia="Calibri"/>
          <w:vertAlign w:val="superscript"/>
        </w:rPr>
        <w:t>o</w:t>
      </w:r>
      <w:r w:rsidRPr="00D6374E">
        <w:rPr>
          <w:rFonts w:eastAsia="Calibri"/>
        </w:rPr>
        <w:t> [RID] est facultatif. ».</w:t>
      </w:r>
    </w:p>
    <w:p w:rsidR="00D6374E" w:rsidRPr="00D6374E" w:rsidRDefault="00D6374E" w:rsidP="00FB5C51">
      <w:pPr>
        <w:pStyle w:val="SingleTxtG"/>
        <w:rPr>
          <w:rFonts w:eastAsia="Calibri"/>
        </w:rPr>
      </w:pPr>
      <w:r w:rsidRPr="00D6374E">
        <w:rPr>
          <w:rFonts w:eastAsia="Calibri"/>
          <w:i/>
        </w:rPr>
        <w:t>Paragraphe 6.22.9.1</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6.22.9.1</w:t>
      </w:r>
      <w:r w:rsidRPr="00D6374E">
        <w:rPr>
          <w:rFonts w:eastAsia="Calibri"/>
        </w:rPr>
        <w:tab/>
        <w:t>Le montage d’un AFS n’est autorisé que si le véhicule est aussi équipé de dispositifs de nettoyage des projecteurs conformes au Règlement ONU n</w:t>
      </w:r>
      <w:r w:rsidRPr="00D6374E">
        <w:rPr>
          <w:rFonts w:eastAsia="Calibri"/>
          <w:vertAlign w:val="superscript"/>
        </w:rPr>
        <w:t>o</w:t>
      </w:r>
      <w:r w:rsidRPr="00D6374E">
        <w:rPr>
          <w:rFonts w:eastAsia="Calibri"/>
        </w:rPr>
        <w:t> 45</w:t>
      </w:r>
      <w:r w:rsidRPr="00D6374E">
        <w:rPr>
          <w:rFonts w:eastAsia="Calibri"/>
          <w:sz w:val="18"/>
          <w:szCs w:val="18"/>
          <w:vertAlign w:val="superscript"/>
        </w:rPr>
        <w:t>18</w:t>
      </w:r>
      <w:r w:rsidRPr="00D6374E">
        <w:rPr>
          <w:rFonts w:eastAsia="Calibri"/>
        </w:rPr>
        <w:t xml:space="preserve">, au moins sur les unités d’éclairage énumérées </w:t>
      </w:r>
      <w:bookmarkStart w:id="35" w:name="_Hlk491721912"/>
      <w:r w:rsidRPr="00D6374E">
        <w:rPr>
          <w:rFonts w:eastAsia="Calibri"/>
        </w:rPr>
        <w:t>au point 9.2.3 de la fiche de communication conforme au modèle de l’annexe 1 du Règlement ONU n</w:t>
      </w:r>
      <w:r w:rsidRPr="00D6374E">
        <w:rPr>
          <w:rFonts w:eastAsia="Calibri"/>
          <w:vertAlign w:val="superscript"/>
        </w:rPr>
        <w:t>o</w:t>
      </w:r>
      <w:r w:rsidRPr="00D6374E">
        <w:rPr>
          <w:rFonts w:eastAsia="Calibri"/>
        </w:rPr>
        <w:t> 123</w:t>
      </w:r>
      <w:bookmarkEnd w:id="35"/>
      <w:r w:rsidRPr="00D6374E">
        <w:rPr>
          <w:rFonts w:eastAsia="Calibri"/>
        </w:rPr>
        <w:t xml:space="preserve"> ou au point 9.3.2.3 de l’annexe 1 du Règlement ONU n</w:t>
      </w:r>
      <w:r w:rsidRPr="00D6374E">
        <w:rPr>
          <w:rFonts w:eastAsia="Calibri"/>
          <w:vertAlign w:val="superscript"/>
        </w:rPr>
        <w:t>o</w:t>
      </w:r>
      <w:r w:rsidRPr="00D6374E">
        <w:rPr>
          <w:rFonts w:eastAsia="Calibri"/>
        </w:rPr>
        <w:t> [RID], si le flux lumineux normal total des sources lumineuses de ces unités d’éclairage dépasse 2 000 lm par côté, et si ces unités contribuent au faisceau de croisement (élémentaire) de classe C. ».</w:t>
      </w:r>
    </w:p>
    <w:p w:rsidR="00D6374E" w:rsidRPr="00D6374E" w:rsidRDefault="00D6374E" w:rsidP="00FB5C51">
      <w:pPr>
        <w:pStyle w:val="SingleTxtG"/>
        <w:rPr>
          <w:rFonts w:eastAsia="Calibri"/>
        </w:rPr>
      </w:pPr>
      <w:r w:rsidRPr="00D6374E">
        <w:rPr>
          <w:rFonts w:eastAsia="Calibri"/>
          <w:i/>
        </w:rPr>
        <w:t>Paragraphe 6.22.9.5</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6.22.9.5</w:t>
      </w:r>
      <w:r w:rsidRPr="00D6374E">
        <w:rPr>
          <w:rFonts w:eastAsia="Calibri"/>
        </w:rPr>
        <w:tab/>
        <w:t>Les moyens permettant, conformément aux dispositions du paragraphe 5.8 du Règlement ONU n</w:t>
      </w:r>
      <w:r w:rsidRPr="00D6374E">
        <w:rPr>
          <w:rFonts w:eastAsia="Calibri"/>
          <w:vertAlign w:val="superscript"/>
        </w:rPr>
        <w:t>o</w:t>
      </w:r>
      <w:r w:rsidRPr="00D6374E">
        <w:rPr>
          <w:rFonts w:eastAsia="Calibri"/>
        </w:rPr>
        <w:t> 123 ou au paragraphe 4.12 du Règlement ONU n</w:t>
      </w:r>
      <w:r w:rsidRPr="00D6374E">
        <w:rPr>
          <w:rFonts w:eastAsia="Calibri"/>
          <w:vertAlign w:val="superscript"/>
        </w:rPr>
        <w:t>o</w:t>
      </w:r>
      <w:r w:rsidRPr="00D6374E">
        <w:rPr>
          <w:rFonts w:eastAsia="Calibri"/>
        </w:rPr>
        <w:t> [RID], à un véhicule d’être temporairement conduit dans un pays où la circulation se fait du côté opposé à celui pour lequel l’homologation est demandée, doivent être expliqués en détail dans le manuel d’utilisation du véhicule. ».</w:t>
      </w:r>
    </w:p>
    <w:p w:rsidR="00D6374E" w:rsidRPr="00D6374E" w:rsidRDefault="00D6374E" w:rsidP="00FB5C51">
      <w:pPr>
        <w:pStyle w:val="SingleTxtG"/>
        <w:rPr>
          <w:rFonts w:eastAsia="Calibri"/>
        </w:rPr>
      </w:pPr>
      <w:r w:rsidRPr="00D6374E">
        <w:rPr>
          <w:rFonts w:eastAsia="Calibri"/>
          <w:i/>
        </w:rPr>
        <w:t>Paragraphe 6.26</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6.26</w:t>
      </w:r>
      <w:r w:rsidRPr="00D6374E">
        <w:rPr>
          <w:rFonts w:eastAsia="Calibri"/>
        </w:rPr>
        <w:tab/>
        <w:t>Feu de manœuvre (Règlement ONU n</w:t>
      </w:r>
      <w:r w:rsidRPr="00D6374E">
        <w:rPr>
          <w:rFonts w:eastAsia="Calibri"/>
          <w:vertAlign w:val="superscript"/>
        </w:rPr>
        <w:t>o</w:t>
      </w:r>
      <w:r w:rsidRPr="00D6374E">
        <w:rPr>
          <w:rFonts w:eastAsia="Calibri"/>
        </w:rPr>
        <w:t> 23 ou [LSD]) ».</w:t>
      </w:r>
    </w:p>
    <w:p w:rsidR="00D6374E" w:rsidRPr="00D6374E" w:rsidRDefault="00D6374E" w:rsidP="00FB5C51">
      <w:pPr>
        <w:pStyle w:val="SingleTxtG"/>
        <w:rPr>
          <w:rFonts w:eastAsia="Calibri"/>
        </w:rPr>
      </w:pPr>
      <w:r w:rsidRPr="00D6374E">
        <w:rPr>
          <w:rFonts w:eastAsia="Calibri"/>
          <w:i/>
        </w:rPr>
        <w:t>Paragraphe 6.26.9.2</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6.26.9.2</w:t>
      </w:r>
      <w:r w:rsidRPr="00D6374E">
        <w:rPr>
          <w:rFonts w:eastAsia="Calibri"/>
        </w:rPr>
        <w:tab/>
        <w:t xml:space="preserve">À la demande du demandeur de l’homologation et avec l’accord du service technique, le respect des prescriptions du paragraphe 6.26.9.1 peut être vérifié sur schéma ou par simulation ou jugé réalisé si les conditions d’installation satisfont aux prescriptions </w:t>
      </w:r>
      <w:bookmarkStart w:id="36" w:name="_Hlk491722288"/>
      <w:r w:rsidRPr="00D6374E">
        <w:rPr>
          <w:rFonts w:eastAsia="Calibri"/>
        </w:rPr>
        <w:t>du paragraphe 6.2.2 du Règlement ONU n</w:t>
      </w:r>
      <w:r w:rsidRPr="00D6374E">
        <w:rPr>
          <w:rFonts w:eastAsia="Calibri"/>
          <w:vertAlign w:val="superscript"/>
        </w:rPr>
        <w:t>o</w:t>
      </w:r>
      <w:r w:rsidRPr="00D6374E">
        <w:rPr>
          <w:rFonts w:eastAsia="Calibri"/>
        </w:rPr>
        <w:t> 23</w:t>
      </w:r>
      <w:bookmarkEnd w:id="36"/>
      <w:r w:rsidRPr="00D6374E">
        <w:rPr>
          <w:rFonts w:eastAsia="Calibri"/>
        </w:rPr>
        <w:t xml:space="preserve"> ou du paragraphe 5.10.2 du Règlement ONU n</w:t>
      </w:r>
      <w:r w:rsidRPr="00D6374E">
        <w:rPr>
          <w:rFonts w:eastAsia="Calibri"/>
          <w:vertAlign w:val="superscript"/>
        </w:rPr>
        <w:t>o</w:t>
      </w:r>
      <w:r w:rsidRPr="00D6374E">
        <w:rPr>
          <w:rFonts w:eastAsia="Calibri"/>
        </w:rPr>
        <w:t> [LSD], comme noté dans le document d’homologation de l’annexe 1, au paragraphe 9. ».</w:t>
      </w:r>
    </w:p>
    <w:p w:rsidR="00D6374E" w:rsidRPr="00D6374E" w:rsidRDefault="00D6374E" w:rsidP="00FB5C51">
      <w:pPr>
        <w:pStyle w:val="SingleTxtG"/>
        <w:rPr>
          <w:rFonts w:eastAsia="Calibri"/>
        </w:rPr>
      </w:pPr>
      <w:r w:rsidRPr="00D6374E">
        <w:rPr>
          <w:rFonts w:eastAsia="Calibri"/>
          <w:i/>
        </w:rPr>
        <w:t>Annexe 3</w:t>
      </w:r>
      <w:r w:rsidRPr="00D6374E">
        <w:rPr>
          <w:rFonts w:eastAsia="Calibri"/>
        </w:rPr>
        <w:t>,</w:t>
      </w:r>
    </w:p>
    <w:p w:rsidR="00D6374E" w:rsidRPr="00D6374E" w:rsidRDefault="00D6374E" w:rsidP="00FB5C51">
      <w:pPr>
        <w:pStyle w:val="SingleTxtG"/>
        <w:rPr>
          <w:rFonts w:eastAsia="Calibri"/>
        </w:rPr>
      </w:pPr>
      <w:r w:rsidRPr="00D6374E">
        <w:rPr>
          <w:rFonts w:eastAsia="Calibri"/>
          <w:i/>
        </w:rPr>
        <w:t>Partie introductive</w:t>
      </w:r>
      <w:r w:rsidRPr="00D6374E">
        <w:rPr>
          <w:rFonts w:eastAsia="Calibri"/>
        </w:rPr>
        <w:t>, lire :</w:t>
      </w:r>
    </w:p>
    <w:p w:rsidR="00D6374E" w:rsidRPr="00D6374E" w:rsidRDefault="00D6374E" w:rsidP="00D6374E">
      <w:pPr>
        <w:keepNext/>
        <w:keepLines/>
        <w:tabs>
          <w:tab w:val="right" w:pos="851"/>
        </w:tabs>
        <w:spacing w:before="360" w:after="240" w:line="300" w:lineRule="exact"/>
        <w:ind w:left="1134" w:right="1134" w:hanging="1134"/>
        <w:outlineLvl w:val="1"/>
        <w:rPr>
          <w:rFonts w:eastAsia="Calibri"/>
          <w:b/>
          <w:sz w:val="28"/>
        </w:rPr>
      </w:pPr>
      <w:r w:rsidRPr="00D6374E">
        <w:rPr>
          <w:rFonts w:eastAsia="Calibri"/>
          <w:b/>
          <w:sz w:val="28"/>
        </w:rPr>
        <w:lastRenderedPageBreak/>
        <w:t>« Annexe 3</w:t>
      </w:r>
    </w:p>
    <w:p w:rsidR="00D6374E" w:rsidRPr="00D6374E" w:rsidRDefault="00D6374E" w:rsidP="00D6374E">
      <w:pPr>
        <w:keepNext/>
        <w:keepLines/>
        <w:tabs>
          <w:tab w:val="right" w:pos="851"/>
        </w:tabs>
        <w:spacing w:before="360" w:after="240" w:line="300" w:lineRule="exact"/>
        <w:ind w:left="1134" w:right="1134" w:hanging="1134"/>
        <w:outlineLvl w:val="1"/>
        <w:rPr>
          <w:rFonts w:eastAsia="Calibri"/>
          <w:b/>
          <w:sz w:val="28"/>
        </w:rPr>
      </w:pPr>
      <w:r w:rsidRPr="00D6374E">
        <w:rPr>
          <w:rFonts w:eastAsia="Calibri"/>
          <w:b/>
          <w:sz w:val="28"/>
        </w:rPr>
        <w:tab/>
      </w:r>
      <w:r w:rsidRPr="00D6374E">
        <w:rPr>
          <w:rFonts w:eastAsia="Calibri"/>
          <w:b/>
          <w:sz w:val="28"/>
        </w:rPr>
        <w:tab/>
        <w:t>Exemples de surfaces, d’axes et de centres de référence des feux, et d’angles de visibilité géométrique</w:t>
      </w:r>
    </w:p>
    <w:p w:rsidR="00D6374E" w:rsidRPr="00D6374E" w:rsidRDefault="00D6374E" w:rsidP="00FB5C51">
      <w:pPr>
        <w:pStyle w:val="SingleTxtG"/>
      </w:pPr>
      <w:r w:rsidRPr="00D6374E">
        <w:t>Les exemples donnés ci-dessous visent simplement à illustrer les dispositions et peuvent fort bien différer de la réalité.</w:t>
      </w:r>
    </w:p>
    <w:p w:rsidR="00D6374E" w:rsidRPr="00D6374E" w:rsidRDefault="00D6374E" w:rsidP="00FB5C51">
      <w:pPr>
        <w:pStyle w:val="SingleTxtG"/>
      </w:pPr>
      <w:r w:rsidRPr="00D6374E">
        <w:t>Codes applicables à tous les exemples</w:t>
      </w:r>
      <w:r w:rsidRPr="00D6374E">
        <w:rPr>
          <w:lang w:eastAsia="fr-FR"/>
        </w:rPr>
        <w:t xml:space="preserve"> de la présente annexe :</w:t>
      </w:r>
    </w:p>
    <w:tbl>
      <w:tblPr>
        <w:tblW w:w="7370" w:type="dxa"/>
        <w:tblInd w:w="113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92"/>
        <w:gridCol w:w="3278"/>
      </w:tblGrid>
      <w:tr w:rsidR="00D6374E" w:rsidRPr="00D6374E" w:rsidTr="00DB75DF">
        <w:tc>
          <w:tcPr>
            <w:tcW w:w="4092" w:type="dxa"/>
            <w:shd w:val="clear" w:color="auto" w:fill="auto"/>
          </w:tcPr>
          <w:p w:rsidR="00D6374E" w:rsidRPr="00D6374E" w:rsidRDefault="00D6374E" w:rsidP="00D6374E">
            <w:pPr>
              <w:spacing w:before="60" w:after="60"/>
              <w:ind w:left="170" w:right="170"/>
              <w:rPr>
                <w:rFonts w:eastAsia="Calibri"/>
                <w:bCs/>
              </w:rPr>
            </w:pPr>
            <w:r w:rsidRPr="00D6374E">
              <w:rPr>
                <w:rFonts w:eastAsia="Calibri"/>
                <w:bCs/>
              </w:rPr>
              <w:t>1.</w:t>
            </w:r>
            <w:r w:rsidRPr="00D6374E">
              <w:rPr>
                <w:rFonts w:eastAsia="Calibri"/>
                <w:bCs/>
              </w:rPr>
              <w:tab/>
              <w:t>Plage éclairante</w:t>
            </w:r>
          </w:p>
        </w:tc>
        <w:tc>
          <w:tcPr>
            <w:tcW w:w="3278" w:type="dxa"/>
            <w:shd w:val="clear" w:color="auto" w:fill="auto"/>
          </w:tcPr>
          <w:p w:rsidR="00D6374E" w:rsidRPr="00D6374E" w:rsidRDefault="00D6374E" w:rsidP="00D6374E">
            <w:pPr>
              <w:spacing w:before="60" w:after="60"/>
              <w:ind w:left="170" w:right="170"/>
              <w:rPr>
                <w:rFonts w:eastAsia="Calibri"/>
                <w:bCs/>
              </w:rPr>
            </w:pPr>
            <w:r w:rsidRPr="00D6374E">
              <w:rPr>
                <w:rFonts w:eastAsia="Calibri"/>
                <w:bCs/>
              </w:rPr>
              <w:t>IO</w:t>
            </w:r>
            <w:r w:rsidRPr="00D6374E">
              <w:rPr>
                <w:rFonts w:eastAsia="Calibri"/>
                <w:bCs/>
              </w:rPr>
              <w:tab/>
              <w:t>Partie optique intérieure</w:t>
            </w:r>
          </w:p>
        </w:tc>
      </w:tr>
      <w:tr w:rsidR="00D6374E" w:rsidRPr="00D6374E" w:rsidTr="00DB75DF">
        <w:tc>
          <w:tcPr>
            <w:tcW w:w="4092" w:type="dxa"/>
            <w:shd w:val="clear" w:color="auto" w:fill="auto"/>
          </w:tcPr>
          <w:p w:rsidR="00D6374E" w:rsidRPr="00D6374E" w:rsidRDefault="00D6374E" w:rsidP="00D6374E">
            <w:pPr>
              <w:spacing w:before="60" w:after="60"/>
              <w:ind w:left="170" w:right="170"/>
              <w:rPr>
                <w:rFonts w:eastAsia="Calibri"/>
                <w:bCs/>
              </w:rPr>
            </w:pPr>
            <w:r w:rsidRPr="00D6374E">
              <w:rPr>
                <w:rFonts w:eastAsia="Calibri"/>
                <w:bCs/>
              </w:rPr>
              <w:t>2.</w:t>
            </w:r>
            <w:r w:rsidRPr="00D6374E">
              <w:rPr>
                <w:rFonts w:eastAsia="Calibri"/>
                <w:bCs/>
              </w:rPr>
              <w:tab/>
            </w:r>
            <w:r w:rsidRPr="00D6374E">
              <w:rPr>
                <w:rFonts w:eastAsia="Calibri"/>
                <w:lang w:eastAsia="fr-FR"/>
              </w:rPr>
              <w:t>Axe de référence</w:t>
            </w:r>
          </w:p>
        </w:tc>
        <w:tc>
          <w:tcPr>
            <w:tcW w:w="3278" w:type="dxa"/>
            <w:shd w:val="clear" w:color="auto" w:fill="auto"/>
          </w:tcPr>
          <w:p w:rsidR="00D6374E" w:rsidRPr="00D6374E" w:rsidRDefault="00D6374E" w:rsidP="00D6374E">
            <w:pPr>
              <w:spacing w:before="60" w:after="60"/>
              <w:ind w:left="170" w:right="170"/>
              <w:rPr>
                <w:rFonts w:eastAsia="Calibri"/>
                <w:bCs/>
              </w:rPr>
            </w:pPr>
            <w:r w:rsidRPr="00D6374E">
              <w:rPr>
                <w:rFonts w:eastAsia="Calibri"/>
                <w:bCs/>
              </w:rPr>
              <w:t>LG</w:t>
            </w:r>
            <w:r w:rsidRPr="00D6374E">
              <w:rPr>
                <w:rFonts w:eastAsia="Calibri"/>
                <w:bCs/>
              </w:rPr>
              <w:tab/>
            </w:r>
            <w:r w:rsidRPr="00D6374E">
              <w:rPr>
                <w:rFonts w:eastAsia="Calibri"/>
                <w:lang w:eastAsia="fr-FR"/>
              </w:rPr>
              <w:t>Guide de lumière</w:t>
            </w:r>
          </w:p>
        </w:tc>
      </w:tr>
      <w:tr w:rsidR="00D6374E" w:rsidRPr="00D6374E" w:rsidTr="00DB75DF">
        <w:tc>
          <w:tcPr>
            <w:tcW w:w="4092" w:type="dxa"/>
            <w:shd w:val="clear" w:color="auto" w:fill="auto"/>
          </w:tcPr>
          <w:p w:rsidR="00D6374E" w:rsidRPr="00D6374E" w:rsidRDefault="00D6374E" w:rsidP="00D6374E">
            <w:pPr>
              <w:spacing w:before="60" w:after="60"/>
              <w:ind w:left="170" w:right="170"/>
              <w:rPr>
                <w:rFonts w:eastAsia="Calibri"/>
                <w:bCs/>
              </w:rPr>
            </w:pPr>
            <w:r w:rsidRPr="00D6374E">
              <w:rPr>
                <w:rFonts w:eastAsia="Calibri"/>
                <w:bCs/>
              </w:rPr>
              <w:t>3.</w:t>
            </w:r>
            <w:r w:rsidRPr="00D6374E">
              <w:rPr>
                <w:rFonts w:eastAsia="Calibri"/>
                <w:bCs/>
              </w:rPr>
              <w:tab/>
            </w:r>
            <w:r w:rsidRPr="00D6374E">
              <w:rPr>
                <w:rFonts w:eastAsia="Calibri"/>
                <w:lang w:eastAsia="fr-FR"/>
              </w:rPr>
              <w:t>Centre de référence</w:t>
            </w:r>
          </w:p>
        </w:tc>
        <w:tc>
          <w:tcPr>
            <w:tcW w:w="3278" w:type="dxa"/>
            <w:shd w:val="clear" w:color="auto" w:fill="auto"/>
          </w:tcPr>
          <w:p w:rsidR="00D6374E" w:rsidRPr="00D6374E" w:rsidRDefault="00D6374E" w:rsidP="00D6374E">
            <w:pPr>
              <w:spacing w:before="60" w:after="60"/>
              <w:ind w:left="170" w:right="170"/>
              <w:rPr>
                <w:rFonts w:eastAsia="Calibri"/>
                <w:bCs/>
              </w:rPr>
            </w:pPr>
            <w:proofErr w:type="spellStart"/>
            <w:r w:rsidRPr="00D6374E">
              <w:rPr>
                <w:rFonts w:eastAsia="Calibri"/>
                <w:bCs/>
              </w:rPr>
              <w:t>L</w:t>
            </w:r>
            <w:proofErr w:type="spellEnd"/>
            <w:r w:rsidRPr="00D6374E">
              <w:rPr>
                <w:rFonts w:eastAsia="Calibri"/>
                <w:bCs/>
              </w:rPr>
              <w:tab/>
            </w:r>
            <w:r w:rsidRPr="00D6374E">
              <w:rPr>
                <w:rFonts w:eastAsia="Calibri"/>
                <w:lang w:eastAsia="fr-FR"/>
              </w:rPr>
              <w:t>Glace extérieure</w:t>
            </w:r>
          </w:p>
        </w:tc>
      </w:tr>
      <w:tr w:rsidR="00D6374E" w:rsidRPr="00D6374E" w:rsidTr="00DB75DF">
        <w:tc>
          <w:tcPr>
            <w:tcW w:w="4092" w:type="dxa"/>
            <w:shd w:val="clear" w:color="auto" w:fill="auto"/>
          </w:tcPr>
          <w:p w:rsidR="00D6374E" w:rsidRPr="00D6374E" w:rsidRDefault="00D6374E" w:rsidP="00D6374E">
            <w:pPr>
              <w:spacing w:before="60" w:after="60"/>
              <w:ind w:left="170" w:right="170"/>
              <w:rPr>
                <w:rFonts w:eastAsia="Calibri"/>
                <w:bCs/>
              </w:rPr>
            </w:pPr>
            <w:r w:rsidRPr="00D6374E">
              <w:rPr>
                <w:rFonts w:eastAsia="Calibri"/>
                <w:bCs/>
              </w:rPr>
              <w:t>4.</w:t>
            </w:r>
            <w:r w:rsidRPr="00D6374E">
              <w:rPr>
                <w:rFonts w:eastAsia="Calibri"/>
                <w:bCs/>
              </w:rPr>
              <w:tab/>
            </w:r>
            <w:r w:rsidRPr="00D6374E">
              <w:rPr>
                <w:rFonts w:eastAsia="Calibri"/>
                <w:lang w:eastAsia="fr-FR"/>
              </w:rPr>
              <w:t>Angle de visibilité géométrique</w:t>
            </w:r>
          </w:p>
        </w:tc>
        <w:tc>
          <w:tcPr>
            <w:tcW w:w="3278" w:type="dxa"/>
            <w:shd w:val="clear" w:color="auto" w:fill="auto"/>
          </w:tcPr>
          <w:p w:rsidR="00D6374E" w:rsidRPr="00D6374E" w:rsidRDefault="00D6374E" w:rsidP="00D6374E">
            <w:pPr>
              <w:spacing w:before="60" w:after="60"/>
              <w:ind w:left="170" w:right="170"/>
              <w:rPr>
                <w:rFonts w:eastAsia="Calibri"/>
                <w:bCs/>
              </w:rPr>
            </w:pPr>
            <w:r w:rsidRPr="00D6374E">
              <w:rPr>
                <w:rFonts w:eastAsia="Calibri"/>
                <w:bCs/>
              </w:rPr>
              <w:t>R</w:t>
            </w:r>
            <w:r w:rsidRPr="00D6374E">
              <w:rPr>
                <w:rFonts w:eastAsia="Calibri"/>
                <w:bCs/>
              </w:rPr>
              <w:tab/>
            </w:r>
            <w:r w:rsidRPr="00D6374E">
              <w:rPr>
                <w:rFonts w:eastAsia="Calibri"/>
                <w:lang w:eastAsia="fr-FR"/>
              </w:rPr>
              <w:t>Réflecteur</w:t>
            </w:r>
          </w:p>
        </w:tc>
      </w:tr>
      <w:tr w:rsidR="00D6374E" w:rsidRPr="00D6374E" w:rsidTr="00DB75DF">
        <w:tc>
          <w:tcPr>
            <w:tcW w:w="4092" w:type="dxa"/>
            <w:shd w:val="clear" w:color="auto" w:fill="auto"/>
          </w:tcPr>
          <w:p w:rsidR="00D6374E" w:rsidRPr="00D6374E" w:rsidRDefault="00D6374E" w:rsidP="00D6374E">
            <w:pPr>
              <w:spacing w:before="60" w:after="60"/>
              <w:ind w:left="170" w:right="170"/>
              <w:rPr>
                <w:rFonts w:eastAsia="Calibri"/>
                <w:bCs/>
              </w:rPr>
            </w:pPr>
            <w:r w:rsidRPr="00D6374E">
              <w:rPr>
                <w:rFonts w:eastAsia="Calibri"/>
                <w:bCs/>
              </w:rPr>
              <w:t>5.</w:t>
            </w:r>
            <w:r w:rsidRPr="00D6374E">
              <w:rPr>
                <w:rFonts w:eastAsia="Calibri"/>
                <w:bCs/>
              </w:rPr>
              <w:tab/>
            </w:r>
            <w:r w:rsidRPr="00D6374E">
              <w:rPr>
                <w:rFonts w:eastAsia="Calibri"/>
                <w:lang w:eastAsia="fr-FR"/>
              </w:rPr>
              <w:t>Surface de sortie de la lumière</w:t>
            </w:r>
          </w:p>
        </w:tc>
        <w:tc>
          <w:tcPr>
            <w:tcW w:w="3278" w:type="dxa"/>
            <w:shd w:val="clear" w:color="auto" w:fill="auto"/>
          </w:tcPr>
          <w:p w:rsidR="00D6374E" w:rsidRPr="00D6374E" w:rsidRDefault="00D6374E" w:rsidP="00D6374E">
            <w:pPr>
              <w:spacing w:before="60" w:after="60"/>
              <w:ind w:left="170" w:right="170"/>
              <w:rPr>
                <w:rFonts w:eastAsia="Calibri"/>
                <w:bCs/>
              </w:rPr>
            </w:pPr>
            <w:r w:rsidRPr="00D6374E">
              <w:rPr>
                <w:rFonts w:eastAsia="Calibri"/>
                <w:bCs/>
              </w:rPr>
              <w:t>S</w:t>
            </w:r>
            <w:r w:rsidRPr="00D6374E">
              <w:rPr>
                <w:rFonts w:eastAsia="Calibri"/>
                <w:bCs/>
              </w:rPr>
              <w:tab/>
            </w:r>
            <w:r w:rsidRPr="00D6374E">
              <w:rPr>
                <w:rFonts w:eastAsia="Calibri"/>
                <w:lang w:eastAsia="fr-FR"/>
              </w:rPr>
              <w:t>Source lumineuse</w:t>
            </w:r>
          </w:p>
        </w:tc>
      </w:tr>
      <w:tr w:rsidR="00D6374E" w:rsidRPr="00D6374E" w:rsidTr="00DB75DF">
        <w:tc>
          <w:tcPr>
            <w:tcW w:w="4092" w:type="dxa"/>
            <w:shd w:val="clear" w:color="auto" w:fill="auto"/>
          </w:tcPr>
          <w:p w:rsidR="00D6374E" w:rsidRPr="00D6374E" w:rsidRDefault="00D6374E" w:rsidP="00D6374E">
            <w:pPr>
              <w:spacing w:before="60" w:after="60"/>
              <w:ind w:left="567" w:right="170" w:hanging="397"/>
              <w:rPr>
                <w:rFonts w:eastAsia="Calibri"/>
                <w:bCs/>
              </w:rPr>
            </w:pPr>
            <w:r w:rsidRPr="00D6374E">
              <w:rPr>
                <w:rFonts w:eastAsia="Calibri"/>
                <w:bCs/>
              </w:rPr>
              <w:t>6.</w:t>
            </w:r>
            <w:r w:rsidRPr="00D6374E">
              <w:rPr>
                <w:rFonts w:eastAsia="Calibri"/>
                <w:bCs/>
              </w:rPr>
              <w:tab/>
            </w:r>
            <w:r w:rsidRPr="00D6374E">
              <w:rPr>
                <w:rFonts w:eastAsia="Calibri"/>
                <w:lang w:eastAsia="fr-FR"/>
              </w:rPr>
              <w:t xml:space="preserve">Surface apparente obtenue à partir </w:t>
            </w:r>
            <w:r w:rsidRPr="00D6374E">
              <w:rPr>
                <w:rFonts w:eastAsia="Calibri"/>
                <w:lang w:eastAsia="fr-FR"/>
              </w:rPr>
              <w:br/>
              <w:t>de la plage éclairante</w:t>
            </w:r>
          </w:p>
        </w:tc>
        <w:tc>
          <w:tcPr>
            <w:tcW w:w="3278" w:type="dxa"/>
            <w:shd w:val="clear" w:color="auto" w:fill="auto"/>
          </w:tcPr>
          <w:p w:rsidR="00D6374E" w:rsidRPr="00D6374E" w:rsidRDefault="00D6374E" w:rsidP="00D6374E">
            <w:pPr>
              <w:spacing w:before="60" w:after="60"/>
              <w:ind w:left="567" w:right="170" w:hanging="397"/>
              <w:rPr>
                <w:rFonts w:eastAsia="Calibri"/>
                <w:bCs/>
              </w:rPr>
            </w:pPr>
            <w:r w:rsidRPr="00D6374E">
              <w:rPr>
                <w:rFonts w:eastAsia="Calibri"/>
                <w:bCs/>
              </w:rPr>
              <w:t>X</w:t>
            </w:r>
            <w:r w:rsidRPr="00D6374E">
              <w:rPr>
                <w:rFonts w:eastAsia="Calibri"/>
                <w:bCs/>
              </w:rPr>
              <w:tab/>
            </w:r>
            <w:r w:rsidRPr="00D6374E">
              <w:rPr>
                <w:rFonts w:eastAsia="Calibri"/>
                <w:lang w:eastAsia="fr-FR"/>
              </w:rPr>
              <w:t xml:space="preserve">Ne faisant pas partie de </w:t>
            </w:r>
            <w:r w:rsidRPr="00D6374E">
              <w:rPr>
                <w:rFonts w:eastAsia="Calibri"/>
                <w:lang w:eastAsia="fr-FR"/>
              </w:rPr>
              <w:br/>
              <w:t>cette fonction</w:t>
            </w:r>
          </w:p>
        </w:tc>
      </w:tr>
      <w:tr w:rsidR="00D6374E" w:rsidRPr="00D6374E" w:rsidTr="00DB75DF">
        <w:tc>
          <w:tcPr>
            <w:tcW w:w="4092" w:type="dxa"/>
            <w:shd w:val="clear" w:color="auto" w:fill="auto"/>
          </w:tcPr>
          <w:p w:rsidR="00D6374E" w:rsidRPr="00D6374E" w:rsidRDefault="00D6374E" w:rsidP="00D6374E">
            <w:pPr>
              <w:spacing w:before="60" w:after="60"/>
              <w:ind w:left="567" w:right="170" w:hanging="397"/>
              <w:rPr>
                <w:rFonts w:eastAsia="Calibri"/>
                <w:bCs/>
              </w:rPr>
            </w:pPr>
            <w:r w:rsidRPr="00D6374E">
              <w:rPr>
                <w:rFonts w:eastAsia="Calibri"/>
                <w:bCs/>
              </w:rPr>
              <w:t>7a.</w:t>
            </w:r>
            <w:r w:rsidRPr="00D6374E">
              <w:rPr>
                <w:rFonts w:eastAsia="Calibri"/>
                <w:bCs/>
              </w:rPr>
              <w:tab/>
            </w:r>
            <w:r w:rsidRPr="00D6374E">
              <w:rPr>
                <w:rFonts w:eastAsia="Calibri"/>
                <w:lang w:eastAsia="fr-FR"/>
              </w:rPr>
              <w:t xml:space="preserve">Surface apparente obtenue à partir </w:t>
            </w:r>
            <w:r w:rsidRPr="00D6374E">
              <w:rPr>
                <w:rFonts w:eastAsia="Calibri"/>
                <w:lang w:eastAsia="fr-FR"/>
              </w:rPr>
              <w:br/>
              <w:t xml:space="preserve">de la surface de sortie de la lumière, </w:t>
            </w:r>
            <w:r w:rsidRPr="00D6374E">
              <w:rPr>
                <w:rFonts w:eastAsia="Calibri"/>
                <w:lang w:eastAsia="fr-FR"/>
              </w:rPr>
              <w:br/>
              <w:t xml:space="preserve">selon le paragraphe 2.10.2 a) </w:t>
            </w:r>
            <w:r w:rsidRPr="00D6374E">
              <w:rPr>
                <w:rFonts w:eastAsia="Calibri"/>
                <w:lang w:eastAsia="fr-FR"/>
              </w:rPr>
              <w:br/>
              <w:t>(avec glace extérieure)</w:t>
            </w:r>
          </w:p>
        </w:tc>
        <w:tc>
          <w:tcPr>
            <w:tcW w:w="3278" w:type="dxa"/>
            <w:shd w:val="clear" w:color="auto" w:fill="auto"/>
          </w:tcPr>
          <w:p w:rsidR="00D6374E" w:rsidRPr="00D6374E" w:rsidRDefault="00D6374E" w:rsidP="00D6374E">
            <w:pPr>
              <w:spacing w:before="60" w:after="60"/>
              <w:ind w:left="170" w:right="170"/>
              <w:rPr>
                <w:rFonts w:eastAsia="Calibri"/>
                <w:lang w:eastAsia="fr-FR"/>
              </w:rPr>
            </w:pPr>
            <w:r w:rsidRPr="00D6374E">
              <w:rPr>
                <w:rFonts w:eastAsia="Calibri"/>
                <w:bCs/>
              </w:rPr>
              <w:t>F1</w:t>
            </w:r>
            <w:r w:rsidRPr="00D6374E">
              <w:rPr>
                <w:rFonts w:eastAsia="Calibri"/>
                <w:bCs/>
              </w:rPr>
              <w:tab/>
            </w:r>
            <w:r w:rsidRPr="00D6374E">
              <w:rPr>
                <w:rFonts w:eastAsia="Calibri"/>
                <w:lang w:eastAsia="fr-FR"/>
              </w:rPr>
              <w:t>Fonction un</w:t>
            </w:r>
          </w:p>
          <w:p w:rsidR="00D6374E" w:rsidRPr="00D6374E" w:rsidRDefault="00D6374E" w:rsidP="00D6374E">
            <w:pPr>
              <w:spacing w:before="60" w:after="60"/>
              <w:ind w:left="170" w:right="170"/>
              <w:rPr>
                <w:rFonts w:eastAsia="Calibri"/>
                <w:bCs/>
              </w:rPr>
            </w:pPr>
            <w:r w:rsidRPr="00D6374E">
              <w:rPr>
                <w:rFonts w:eastAsia="Calibri"/>
                <w:bCs/>
              </w:rPr>
              <w:t>F2</w:t>
            </w:r>
            <w:r w:rsidRPr="00D6374E">
              <w:rPr>
                <w:rFonts w:eastAsia="Calibri"/>
                <w:bCs/>
              </w:rPr>
              <w:tab/>
            </w:r>
            <w:r w:rsidRPr="00D6374E">
              <w:rPr>
                <w:rFonts w:eastAsia="Calibri"/>
                <w:lang w:eastAsia="fr-FR"/>
              </w:rPr>
              <w:t>Fonction deux</w:t>
            </w:r>
          </w:p>
        </w:tc>
      </w:tr>
      <w:tr w:rsidR="00D6374E" w:rsidRPr="00D6374E" w:rsidTr="00DB75DF">
        <w:tc>
          <w:tcPr>
            <w:tcW w:w="4092" w:type="dxa"/>
            <w:shd w:val="clear" w:color="auto" w:fill="auto"/>
          </w:tcPr>
          <w:p w:rsidR="00D6374E" w:rsidRPr="00D6374E" w:rsidRDefault="00D6374E" w:rsidP="00D6374E">
            <w:pPr>
              <w:spacing w:before="60" w:after="60"/>
              <w:ind w:left="567" w:right="170" w:hanging="397"/>
              <w:rPr>
                <w:rFonts w:eastAsia="Calibri"/>
                <w:bCs/>
              </w:rPr>
            </w:pPr>
            <w:r w:rsidRPr="00D6374E">
              <w:rPr>
                <w:rFonts w:eastAsia="Calibri"/>
                <w:bCs/>
              </w:rPr>
              <w:t>7b.</w:t>
            </w:r>
            <w:r w:rsidRPr="00D6374E">
              <w:rPr>
                <w:rFonts w:eastAsia="Calibri"/>
                <w:bCs/>
              </w:rPr>
              <w:tab/>
            </w:r>
            <w:r w:rsidRPr="00D6374E">
              <w:rPr>
                <w:rFonts w:eastAsia="Calibri"/>
                <w:lang w:eastAsia="fr-FR"/>
              </w:rPr>
              <w:t xml:space="preserve">Surface apparente obtenue à partir </w:t>
            </w:r>
            <w:r w:rsidRPr="00D6374E">
              <w:rPr>
                <w:rFonts w:eastAsia="Calibri"/>
                <w:lang w:eastAsia="fr-FR"/>
              </w:rPr>
              <w:br/>
              <w:t xml:space="preserve">de la surface de sortie de la lumière, </w:t>
            </w:r>
            <w:r w:rsidRPr="00D6374E">
              <w:rPr>
                <w:rFonts w:eastAsia="Calibri"/>
                <w:lang w:eastAsia="fr-FR"/>
              </w:rPr>
              <w:br/>
              <w:t xml:space="preserve">selon le paragraphe 2.10.2 b) </w:t>
            </w:r>
            <w:r w:rsidRPr="00D6374E">
              <w:rPr>
                <w:rFonts w:eastAsia="Calibri"/>
                <w:lang w:eastAsia="fr-FR"/>
              </w:rPr>
              <w:br/>
              <w:t>(sans glace extérieure)</w:t>
            </w:r>
          </w:p>
        </w:tc>
        <w:tc>
          <w:tcPr>
            <w:tcW w:w="3278" w:type="dxa"/>
            <w:shd w:val="clear" w:color="auto" w:fill="auto"/>
          </w:tcPr>
          <w:p w:rsidR="00D6374E" w:rsidRPr="00D6374E" w:rsidRDefault="00D6374E" w:rsidP="00D6374E">
            <w:pPr>
              <w:spacing w:before="60" w:after="60"/>
              <w:ind w:left="170" w:right="170"/>
              <w:rPr>
                <w:rFonts w:eastAsia="Calibri"/>
                <w:bCs/>
              </w:rPr>
            </w:pPr>
          </w:p>
        </w:tc>
      </w:tr>
      <w:tr w:rsidR="00D6374E" w:rsidRPr="00D6374E" w:rsidTr="00DB75DF">
        <w:tc>
          <w:tcPr>
            <w:tcW w:w="4092" w:type="dxa"/>
            <w:shd w:val="clear" w:color="auto" w:fill="auto"/>
          </w:tcPr>
          <w:p w:rsidR="00D6374E" w:rsidRPr="00D6374E" w:rsidRDefault="00D6374E" w:rsidP="00D6374E">
            <w:pPr>
              <w:spacing w:before="60" w:after="60"/>
              <w:ind w:left="170" w:right="170"/>
              <w:rPr>
                <w:rFonts w:eastAsia="Calibri"/>
                <w:bCs/>
              </w:rPr>
            </w:pPr>
            <w:r w:rsidRPr="00D6374E">
              <w:rPr>
                <w:rFonts w:eastAsia="Calibri"/>
                <w:bCs/>
              </w:rPr>
              <w:t>8.</w:t>
            </w:r>
            <w:r w:rsidRPr="00D6374E">
              <w:rPr>
                <w:rFonts w:eastAsia="Calibri"/>
                <w:bCs/>
              </w:rPr>
              <w:tab/>
            </w:r>
            <w:r w:rsidRPr="00D6374E">
              <w:rPr>
                <w:rFonts w:eastAsia="Calibri"/>
                <w:lang w:eastAsia="fr-FR"/>
              </w:rPr>
              <w:t>Direction d’observation</w:t>
            </w:r>
          </w:p>
        </w:tc>
        <w:tc>
          <w:tcPr>
            <w:tcW w:w="3278" w:type="dxa"/>
            <w:shd w:val="clear" w:color="auto" w:fill="auto"/>
          </w:tcPr>
          <w:p w:rsidR="00D6374E" w:rsidRPr="00D6374E" w:rsidRDefault="00D6374E" w:rsidP="00D6374E">
            <w:pPr>
              <w:spacing w:before="60" w:after="60"/>
              <w:ind w:left="170" w:right="170"/>
              <w:rPr>
                <w:rFonts w:eastAsia="Calibri"/>
                <w:bCs/>
              </w:rPr>
            </w:pPr>
          </w:p>
        </w:tc>
      </w:tr>
    </w:tbl>
    <w:p w:rsidR="00D6374E" w:rsidRPr="00D6374E" w:rsidRDefault="00D6374E" w:rsidP="00D6374E">
      <w:pPr>
        <w:spacing w:before="120" w:after="240"/>
        <w:ind w:left="2268" w:right="1134" w:hanging="1134"/>
        <w:jc w:val="right"/>
        <w:rPr>
          <w:rFonts w:eastAsia="Calibri"/>
          <w:lang w:val="fr-FR"/>
        </w:rPr>
      </w:pPr>
      <w:r w:rsidRPr="00D6374E">
        <w:rPr>
          <w:rFonts w:eastAsia="Calibri"/>
          <w:lang w:val="fr-FR"/>
        </w:rPr>
        <w:t>… ».</w:t>
      </w:r>
    </w:p>
    <w:p w:rsidR="00D6374E" w:rsidRPr="00D6374E" w:rsidRDefault="00D6374E" w:rsidP="00FB5C51">
      <w:pPr>
        <w:pStyle w:val="SingleTxtG"/>
        <w:rPr>
          <w:rFonts w:eastAsia="Calibri"/>
          <w:lang w:val="fr-FR"/>
        </w:rPr>
      </w:pPr>
      <w:r w:rsidRPr="00D6374E">
        <w:rPr>
          <w:rFonts w:eastAsia="Calibri"/>
          <w:i/>
          <w:lang w:val="fr-FR"/>
        </w:rPr>
        <w:t>Partie 5</w:t>
      </w:r>
      <w:r w:rsidRPr="00D6374E">
        <w:rPr>
          <w:rFonts w:eastAsia="Calibri"/>
          <w:lang w:val="fr-FR"/>
        </w:rPr>
        <w:t>, lire :</w:t>
      </w:r>
    </w:p>
    <w:p w:rsidR="00D6374E" w:rsidRPr="00D6374E" w:rsidRDefault="00D6374E" w:rsidP="00FB5C51">
      <w:pPr>
        <w:pStyle w:val="SingleTxtG"/>
        <w:rPr>
          <w:lang w:val="fr-FR"/>
        </w:rPr>
      </w:pPr>
      <w:r w:rsidRPr="00D6374E">
        <w:rPr>
          <w:lang w:val="fr-FR"/>
        </w:rPr>
        <w:t xml:space="preserve">« Partie 5 − Exemple de plage éclairante comparée à la surface de sortie de la lumière dans le cas d’un </w:t>
      </w:r>
      <w:r w:rsidRPr="00D6374E">
        <w:t>“</w:t>
      </w:r>
      <w:r w:rsidRPr="00D6374E">
        <w:rPr>
          <w:lang w:val="fr-FR"/>
        </w:rPr>
        <w:t>feu simple</w:t>
      </w:r>
      <w:r w:rsidRPr="00D6374E">
        <w:t>”</w:t>
      </w:r>
      <w:r w:rsidRPr="00D6374E">
        <w:rPr>
          <w:lang w:val="fr-FR"/>
        </w:rPr>
        <w:t xml:space="preserve"> (voir les paragraphes 2.10.2 et 2.10.3 du présent Règlement)</w:t>
      </w:r>
    </w:p>
    <w:p w:rsidR="00D6374E" w:rsidRPr="00D6374E" w:rsidRDefault="00D6374E" w:rsidP="000147B2">
      <w:pPr>
        <w:spacing w:after="120"/>
        <w:ind w:left="2268" w:right="1134" w:hanging="1134"/>
        <w:rPr>
          <w:rFonts w:eastAsia="Calibri"/>
          <w:lang w:val="fr-FR"/>
        </w:rPr>
      </w:pPr>
      <w:r w:rsidRPr="00D6374E">
        <w:rPr>
          <w:rFonts w:eastAsia="Calibri"/>
          <w:lang w:val="fr-FR"/>
        </w:rPr>
        <w:t>… ».</w:t>
      </w:r>
    </w:p>
    <w:p w:rsidR="00D6374E" w:rsidRPr="00D6374E" w:rsidRDefault="00D6374E" w:rsidP="000147B2">
      <w:pPr>
        <w:pStyle w:val="SingleTxtG"/>
        <w:rPr>
          <w:rFonts w:eastAsia="Calibri"/>
        </w:rPr>
      </w:pPr>
      <w:r w:rsidRPr="00D6374E">
        <w:rPr>
          <w:rFonts w:eastAsia="Calibri"/>
          <w:i/>
        </w:rPr>
        <w:t>Partie 5, exemples 7 à 9</w:t>
      </w:r>
      <w:r w:rsidRPr="00D6374E">
        <w:rPr>
          <w:rFonts w:eastAsia="Calibri"/>
        </w:rPr>
        <w:t>, lire :</w:t>
      </w:r>
    </w:p>
    <w:p w:rsidR="00D6374E" w:rsidRPr="00D6374E" w:rsidRDefault="00D6374E" w:rsidP="000147B2">
      <w:pPr>
        <w:pStyle w:val="SingleTxtG"/>
        <w:rPr>
          <w:rFonts w:eastAsia="Calibri"/>
          <w:lang w:val="fr-FR"/>
        </w:rPr>
      </w:pPr>
      <w:r w:rsidRPr="00D6374E">
        <w:rPr>
          <w:rFonts w:eastAsia="Calibri"/>
          <w:lang w:val="fr-FR"/>
        </w:rPr>
        <w:t>« Exemple 7</w:t>
      </w:r>
    </w:p>
    <w:p w:rsidR="00D6374E" w:rsidRPr="00D6374E" w:rsidRDefault="00EC5A40" w:rsidP="00D6374E">
      <w:pPr>
        <w:ind w:left="1134" w:right="1134"/>
        <w:rPr>
          <w:rFonts w:eastAsia="Calibri"/>
        </w:rPr>
      </w:pPr>
      <w:r w:rsidRPr="00D6374E">
        <w:rPr>
          <w:rFonts w:eastAsia="Calibri"/>
          <w:noProof/>
          <w:lang w:val="fr-FR" w:eastAsia="fr-FR"/>
        </w:rPr>
        <mc:AlternateContent>
          <mc:Choice Requires="wps">
            <w:drawing>
              <wp:anchor distT="0" distB="0" distL="114300" distR="114300" simplePos="0" relativeHeight="251660288" behindDoc="0" locked="0" layoutInCell="1" allowOverlap="1" wp14:anchorId="3BA1404A" wp14:editId="342C20FD">
                <wp:simplePos x="0" y="0"/>
                <wp:positionH relativeFrom="column">
                  <wp:posOffset>2555401</wp:posOffset>
                </wp:positionH>
                <wp:positionV relativeFrom="paragraph">
                  <wp:posOffset>1583690</wp:posOffset>
                </wp:positionV>
                <wp:extent cx="917575" cy="32385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608" w:rsidRDefault="008D6608" w:rsidP="00D6374E">
                            <w:pPr>
                              <w:rPr>
                                <w:sz w:val="40"/>
                                <w:szCs w:val="40"/>
                              </w:rPr>
                            </w:pPr>
                            <w:r>
                              <w:rPr>
                                <w:sz w:val="40"/>
                                <w:szCs w:val="40"/>
                              </w:rPr>
                              <w:t>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1404A" id="Zone de texte 6" o:spid="_x0000_s1027" type="#_x0000_t202" style="position:absolute;left:0;text-align:left;margin-left:201.2pt;margin-top:124.7pt;width:72.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" stroked="f">
                <v:textbox inset="0,0,0,0">
                  <w:txbxContent>
                    <w:p w:rsidR="008D6608" w:rsidRDefault="008D6608" w:rsidP="00D6374E">
                      <w:pPr>
                        <w:rPr>
                          <w:sz w:val="40"/>
                          <w:szCs w:val="40"/>
                        </w:rPr>
                      </w:pPr>
                      <w:r>
                        <w:rPr>
                          <w:sz w:val="40"/>
                          <w:szCs w:val="40"/>
                        </w:rPr>
                        <w:t>Section</w:t>
                      </w:r>
                    </w:p>
                  </w:txbxContent>
                </v:textbox>
              </v:shape>
            </w:pict>
          </mc:Fallback>
        </mc:AlternateContent>
      </w:r>
      <w:r w:rsidR="00D6374E" w:rsidRPr="00D6374E">
        <w:rPr>
          <w:rFonts w:eastAsia="Calibri"/>
          <w:noProof/>
          <w:lang w:val="fr-FR" w:eastAsia="fr-FR"/>
        </w:rPr>
        <mc:AlternateContent>
          <mc:Choice Requires="wps">
            <w:drawing>
              <wp:anchor distT="0" distB="0" distL="114300" distR="114300" simplePos="0" relativeHeight="251661312" behindDoc="0" locked="0" layoutInCell="1" allowOverlap="1" wp14:anchorId="348720B3" wp14:editId="3EFE44C6">
                <wp:simplePos x="0" y="0"/>
                <wp:positionH relativeFrom="column">
                  <wp:posOffset>2092121</wp:posOffset>
                </wp:positionH>
                <wp:positionV relativeFrom="paragraph">
                  <wp:posOffset>1952913</wp:posOffset>
                </wp:positionV>
                <wp:extent cx="3789274" cy="422694"/>
                <wp:effectExtent l="0" t="0" r="1905"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274" cy="4226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608" w:rsidRPr="00DA3B2F" w:rsidRDefault="008D6608" w:rsidP="00D6374E">
                            <w:pPr>
                              <w:suppressAutoHyphens w:val="0"/>
                              <w:spacing w:before="120" w:after="240" w:line="240" w:lineRule="exact"/>
                              <w:rPr>
                                <w:szCs w:val="22"/>
                              </w:rPr>
                            </w:pPr>
                            <w:r w:rsidRPr="00DA3B2F">
                              <w:rPr>
                                <w:szCs w:val="22"/>
                                <w:lang w:val="fr-FR" w:eastAsia="fr-FR"/>
                              </w:rPr>
                              <w:t xml:space="preserve">Dans le cas où la glace extérieure non texturée est exclue, l’élément </w:t>
                            </w:r>
                            <w:r w:rsidRPr="00BB3E7A">
                              <w:rPr>
                                <w:szCs w:val="22"/>
                                <w:lang w:eastAsia="fr-FR"/>
                              </w:rPr>
                              <w:t>“</w:t>
                            </w:r>
                            <w:r w:rsidRPr="00DA3B2F">
                              <w:rPr>
                                <w:szCs w:val="22"/>
                                <w:lang w:val="fr-FR" w:eastAsia="fr-FR"/>
                              </w:rPr>
                              <w:t>7b</w:t>
                            </w:r>
                            <w:r w:rsidRPr="00BB3E7A">
                              <w:rPr>
                                <w:szCs w:val="22"/>
                                <w:lang w:eastAsia="fr-FR"/>
                              </w:rPr>
                              <w:t>”</w:t>
                            </w:r>
                            <w:r w:rsidRPr="00DA3B2F">
                              <w:rPr>
                                <w:szCs w:val="22"/>
                                <w:lang w:val="fr-FR" w:eastAsia="fr-FR"/>
                              </w:rPr>
                              <w:t xml:space="preserve"> est la surface apparente</w:t>
                            </w:r>
                            <w:r>
                              <w:rPr>
                                <w:szCs w:val="22"/>
                                <w:lang w:val="fr-FR" w:eastAsia="fr-FR"/>
                              </w:rPr>
                              <w:t xml:space="preserve"> conformément au paragraphe </w:t>
                            </w:r>
                            <w:r w:rsidRPr="002F6CFD">
                              <w:rPr>
                                <w:szCs w:val="22"/>
                                <w:lang w:val="fr-FR" w:eastAsia="fr-FR"/>
                              </w:rPr>
                              <w:t>2.10.2</w:t>
                            </w:r>
                            <w:r>
                              <w:rPr>
                                <w:szCs w:val="22"/>
                                <w:lang w:val="fr-FR" w:eastAsia="fr-FR"/>
                              </w:rPr>
                              <w:t> </w:t>
                            </w:r>
                            <w:r w:rsidRPr="00DA3B2F">
                              <w:rPr>
                                <w:szCs w:val="22"/>
                                <w:lang w:val="fr-FR" w:eastAsia="fr-FR"/>
                              </w:rPr>
                              <w:t>b</w:t>
                            </w:r>
                            <w:r>
                              <w:rPr>
                                <w:szCs w:val="22"/>
                                <w:lang w:val="fr-FR" w:eastAsia="fr-FR"/>
                              </w:rPr>
                              <w:t>)</w:t>
                            </w:r>
                            <w:r w:rsidRPr="00DA3B2F">
                              <w:rPr>
                                <w:szCs w:val="22"/>
                                <w:lang w:val="fr-FR" w:eastAsia="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720B3" id="Zone de texte 5" o:spid="_x0000_s1028" type="#_x0000_t202" style="position:absolute;left:0;text-align:left;margin-left:164.75pt;margin-top:153.75pt;width:298.3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" stroked="f">
                <v:textbox inset="0,0,0,0">
                  <w:txbxContent>
                    <w:p w:rsidR="008D6608" w:rsidRPr="00DA3B2F" w:rsidRDefault="008D6608" w:rsidP="00D6374E">
                      <w:pPr>
                        <w:suppressAutoHyphens w:val="0"/>
                        <w:spacing w:before="120" w:after="240" w:line="240" w:lineRule="exact"/>
                        <w:rPr>
                          <w:szCs w:val="22"/>
                        </w:rPr>
                      </w:pPr>
                      <w:r w:rsidRPr="00DA3B2F">
                        <w:rPr>
                          <w:szCs w:val="22"/>
                          <w:lang w:val="fr-FR" w:eastAsia="fr-FR"/>
                        </w:rPr>
                        <w:t xml:space="preserve">Dans le cas où la glace extérieure non texturée est exclue, l’élément </w:t>
                      </w:r>
                      <w:r w:rsidRPr="00BB3E7A">
                        <w:rPr>
                          <w:szCs w:val="22"/>
                          <w:lang w:eastAsia="fr-FR"/>
                        </w:rPr>
                        <w:t>“</w:t>
                      </w:r>
                      <w:r w:rsidRPr="00DA3B2F">
                        <w:rPr>
                          <w:szCs w:val="22"/>
                          <w:lang w:val="fr-FR" w:eastAsia="fr-FR"/>
                        </w:rPr>
                        <w:t>7b</w:t>
                      </w:r>
                      <w:r w:rsidRPr="00BB3E7A">
                        <w:rPr>
                          <w:szCs w:val="22"/>
                          <w:lang w:eastAsia="fr-FR"/>
                        </w:rPr>
                        <w:t>”</w:t>
                      </w:r>
                      <w:r w:rsidRPr="00DA3B2F">
                        <w:rPr>
                          <w:szCs w:val="22"/>
                          <w:lang w:val="fr-FR" w:eastAsia="fr-FR"/>
                        </w:rPr>
                        <w:t xml:space="preserve"> est la surface apparente</w:t>
                      </w:r>
                      <w:r>
                        <w:rPr>
                          <w:szCs w:val="22"/>
                          <w:lang w:val="fr-FR" w:eastAsia="fr-FR"/>
                        </w:rPr>
                        <w:t xml:space="preserve"> conformément au paragraphe </w:t>
                      </w:r>
                      <w:r w:rsidRPr="002F6CFD">
                        <w:rPr>
                          <w:szCs w:val="22"/>
                          <w:lang w:val="fr-FR" w:eastAsia="fr-FR"/>
                        </w:rPr>
                        <w:t>2.10.2</w:t>
                      </w:r>
                      <w:r>
                        <w:rPr>
                          <w:szCs w:val="22"/>
                          <w:lang w:val="fr-FR" w:eastAsia="fr-FR"/>
                        </w:rPr>
                        <w:t> </w:t>
                      </w:r>
                      <w:r w:rsidRPr="00DA3B2F">
                        <w:rPr>
                          <w:szCs w:val="22"/>
                          <w:lang w:val="fr-FR" w:eastAsia="fr-FR"/>
                        </w:rPr>
                        <w:t>b</w:t>
                      </w:r>
                      <w:r>
                        <w:rPr>
                          <w:szCs w:val="22"/>
                          <w:lang w:val="fr-FR" w:eastAsia="fr-FR"/>
                        </w:rPr>
                        <w:t>)</w:t>
                      </w:r>
                      <w:r w:rsidRPr="00DA3B2F">
                        <w:rPr>
                          <w:szCs w:val="22"/>
                          <w:lang w:val="fr-FR" w:eastAsia="fr-FR"/>
                        </w:rPr>
                        <w:t>.</w:t>
                      </w:r>
                    </w:p>
                  </w:txbxContent>
                </v:textbox>
              </v:shape>
            </w:pict>
          </mc:Fallback>
        </mc:AlternateContent>
      </w:r>
      <w:r w:rsidR="00D6374E" w:rsidRPr="00D6374E">
        <w:rPr>
          <w:rFonts w:eastAsia="Calibri"/>
          <w:noProof/>
          <w:lang w:val="fr-FR" w:eastAsia="fr-FR"/>
        </w:rPr>
        <w:drawing>
          <wp:inline distT="0" distB="0" distL="0" distR="0" wp14:anchorId="1BFA560A" wp14:editId="6DC38616">
            <wp:extent cx="3362400" cy="2296800"/>
            <wp:effectExtent l="0" t="0" r="9525" b="8255"/>
            <wp:docPr id="311" name="Image 311" descr="Description: Description: R48-A3-Graphik-03-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R48-A3-Graphik-03-cc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2400" cy="2296800"/>
                    </a:xfrm>
                    <a:prstGeom prst="rect">
                      <a:avLst/>
                    </a:prstGeom>
                    <a:noFill/>
                    <a:ln>
                      <a:noFill/>
                    </a:ln>
                  </pic:spPr>
                </pic:pic>
              </a:graphicData>
            </a:graphic>
          </wp:inline>
        </w:drawing>
      </w:r>
    </w:p>
    <w:p w:rsidR="00D6374E" w:rsidRPr="00D6374E" w:rsidRDefault="00D6374E" w:rsidP="000147B2">
      <w:pPr>
        <w:pStyle w:val="SingleTxtG"/>
        <w:keepNext/>
        <w:keepLines/>
        <w:spacing w:before="120"/>
        <w:rPr>
          <w:lang w:eastAsia="fr-FR"/>
        </w:rPr>
      </w:pPr>
      <w:bookmarkStart w:id="37" w:name="_MON_1436083788"/>
      <w:bookmarkStart w:id="38" w:name="_MON_1435654215"/>
      <w:bookmarkEnd w:id="37"/>
      <w:bookmarkEnd w:id="38"/>
      <w:r w:rsidRPr="00D6374E">
        <w:rPr>
          <w:lang w:val="fr-FR"/>
        </w:rPr>
        <w:lastRenderedPageBreak/>
        <w:t>Exemple</w:t>
      </w:r>
      <w:r w:rsidRPr="00D6374E">
        <w:rPr>
          <w:lang w:eastAsia="fr-FR"/>
        </w:rPr>
        <w:t xml:space="preserve"> d’un système optique à guide de lumière ou d’un réflecteur derrière une glace extérieure :</w:t>
      </w:r>
    </w:p>
    <w:p w:rsidR="00D6374E" w:rsidRPr="00D6374E" w:rsidRDefault="00EC5A40" w:rsidP="000147B2">
      <w:pPr>
        <w:keepNext/>
        <w:keepLines/>
        <w:spacing w:before="240" w:after="240"/>
        <w:ind w:left="2268" w:right="1134" w:hanging="1134"/>
        <w:jc w:val="both"/>
        <w:rPr>
          <w:rFonts w:eastAsia="Calibri"/>
          <w:lang w:eastAsia="fr-FR"/>
        </w:rPr>
      </w:pPr>
      <w:r w:rsidRPr="00D6374E">
        <w:rPr>
          <w:rFonts w:eastAsia="Calibri"/>
          <w:noProof/>
          <w:lang w:val="fr-FR"/>
        </w:rPr>
        <mc:AlternateContent>
          <mc:Choice Requires="wps">
            <w:drawing>
              <wp:anchor distT="0" distB="0" distL="114300" distR="114300" simplePos="0" relativeHeight="251669504" behindDoc="0" locked="0" layoutInCell="1" allowOverlap="1" wp14:anchorId="00FBECA3" wp14:editId="5BB1D964">
                <wp:simplePos x="0" y="0"/>
                <wp:positionH relativeFrom="column">
                  <wp:posOffset>4059555</wp:posOffset>
                </wp:positionH>
                <wp:positionV relativeFrom="paragraph">
                  <wp:posOffset>372480</wp:posOffset>
                </wp:positionV>
                <wp:extent cx="321310" cy="285115"/>
                <wp:effectExtent l="0" t="0" r="2540" b="63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608" w:rsidRPr="00D71022" w:rsidRDefault="008D6608" w:rsidP="00D6374E">
                            <w:pPr>
                              <w:jc w:val="center"/>
                              <w:rPr>
                                <w:sz w:val="32"/>
                                <w:szCs w:val="32"/>
                              </w:rPr>
                            </w:pPr>
                            <w:r w:rsidRPr="00D71022">
                              <w:rPr>
                                <w:sz w:val="32"/>
                                <w:szCs w:val="32"/>
                              </w:rPr>
                              <w: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BECA3" id="Zone de texte 10" o:spid="_x0000_s1029" type="#_x0000_t202" style="position:absolute;left:0;text-align:left;margin-left:319.65pt;margin-top:29.35pt;width:25.3pt;height:2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" stroked="f">
                <v:textbox inset="0,0,0,0">
                  <w:txbxContent>
                    <w:p w:rsidR="008D6608" w:rsidRPr="00D71022" w:rsidRDefault="008D6608" w:rsidP="00D6374E">
                      <w:pPr>
                        <w:jc w:val="center"/>
                        <w:rPr>
                          <w:sz w:val="32"/>
                          <w:szCs w:val="32"/>
                        </w:rPr>
                      </w:pPr>
                      <w:r w:rsidRPr="00D71022">
                        <w:rPr>
                          <w:sz w:val="32"/>
                          <w:szCs w:val="32"/>
                        </w:rPr>
                        <w:t>et</w:t>
                      </w:r>
                    </w:p>
                  </w:txbxContent>
                </v:textbox>
              </v:shape>
            </w:pict>
          </mc:Fallback>
        </mc:AlternateContent>
      </w:r>
      <w:r w:rsidR="00D6374E" w:rsidRPr="00D6374E">
        <w:rPr>
          <w:rFonts w:eastAsia="Calibri"/>
        </w:rPr>
        <w:t>Exemple</w:t>
      </w:r>
      <w:r w:rsidR="00D6374E" w:rsidRPr="00D6374E">
        <w:rPr>
          <w:rFonts w:eastAsia="Calibri"/>
          <w:lang w:eastAsia="fr-FR"/>
        </w:rPr>
        <w:t> 8</w:t>
      </w:r>
    </w:p>
    <w:p w:rsidR="00D6374E" w:rsidRPr="00D6374E" w:rsidRDefault="00EC5A40" w:rsidP="000147B2">
      <w:pPr>
        <w:spacing w:after="240"/>
        <w:ind w:left="1134" w:right="1134"/>
        <w:rPr>
          <w:rFonts w:eastAsia="Calibri"/>
        </w:rPr>
      </w:pPr>
      <w:r w:rsidRPr="00D6374E">
        <w:rPr>
          <w:rFonts w:eastAsia="Calibri"/>
          <w:noProof/>
          <w:lang w:val="fr-FR" w:eastAsia="fr-FR"/>
        </w:rPr>
        <mc:AlternateContent>
          <mc:Choice Requires="wps">
            <w:drawing>
              <wp:anchor distT="0" distB="0" distL="114300" distR="114300" simplePos="0" relativeHeight="251663360" behindDoc="0" locked="0" layoutInCell="1" allowOverlap="1" wp14:anchorId="50EDC9AA" wp14:editId="4D5E591F">
                <wp:simplePos x="0" y="0"/>
                <wp:positionH relativeFrom="column">
                  <wp:posOffset>2782731</wp:posOffset>
                </wp:positionH>
                <wp:positionV relativeFrom="paragraph">
                  <wp:posOffset>1571625</wp:posOffset>
                </wp:positionV>
                <wp:extent cx="828040" cy="28829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608" w:rsidRPr="00A35A3A" w:rsidRDefault="008D6608" w:rsidP="00D6374E">
                            <w:pPr>
                              <w:ind w:right="-132"/>
                              <w:rPr>
                                <w:sz w:val="36"/>
                                <w:szCs w:val="36"/>
                              </w:rPr>
                            </w:pPr>
                            <w:r w:rsidRPr="00A35A3A">
                              <w:rPr>
                                <w:sz w:val="36"/>
                                <w:szCs w:val="36"/>
                              </w:rPr>
                              <w:t>Sectio</w:t>
                            </w:r>
                            <w:r>
                              <w:rPr>
                                <w:sz w:val="36"/>
                                <w:szCs w:val="3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C9AA" id="Zone de texte 9" o:spid="_x0000_s1030" type="#_x0000_t202" style="position:absolute;left:0;text-align:left;margin-left:219.1pt;margin-top:123.75pt;width:65.2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" stroked="f">
                <v:textbox inset="0,0,0,0">
                  <w:txbxContent>
                    <w:p w:rsidR="008D6608" w:rsidRPr="00A35A3A" w:rsidRDefault="008D6608" w:rsidP="00D6374E">
                      <w:pPr>
                        <w:ind w:right="-132"/>
                        <w:rPr>
                          <w:sz w:val="36"/>
                          <w:szCs w:val="36"/>
                        </w:rPr>
                      </w:pPr>
                      <w:r w:rsidRPr="00A35A3A">
                        <w:rPr>
                          <w:sz w:val="36"/>
                          <w:szCs w:val="36"/>
                        </w:rPr>
                        <w:t>Sectio</w:t>
                      </w:r>
                      <w:r>
                        <w:rPr>
                          <w:sz w:val="36"/>
                          <w:szCs w:val="36"/>
                        </w:rPr>
                        <w:t>n</w:t>
                      </w:r>
                    </w:p>
                  </w:txbxContent>
                </v:textbox>
              </v:shape>
            </w:pict>
          </mc:Fallback>
        </mc:AlternateContent>
      </w:r>
      <w:r w:rsidR="000147B2" w:rsidRPr="00D6374E">
        <w:rPr>
          <w:rFonts w:eastAsia="Calibri"/>
          <w:noProof/>
          <w:lang w:val="fr-FR" w:eastAsia="fr-FR"/>
        </w:rPr>
        <mc:AlternateContent>
          <mc:Choice Requires="wps">
            <w:drawing>
              <wp:anchor distT="0" distB="0" distL="114300" distR="114300" simplePos="0" relativeHeight="251662336" behindDoc="0" locked="0" layoutInCell="1" allowOverlap="1" wp14:anchorId="378DD659" wp14:editId="5764F73C">
                <wp:simplePos x="0" y="0"/>
                <wp:positionH relativeFrom="column">
                  <wp:posOffset>2048510</wp:posOffset>
                </wp:positionH>
                <wp:positionV relativeFrom="paragraph">
                  <wp:posOffset>1820241</wp:posOffset>
                </wp:positionV>
                <wp:extent cx="3759200" cy="551815"/>
                <wp:effectExtent l="0" t="0" r="0" b="63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608" w:rsidRPr="00DA3B2F" w:rsidRDefault="008D6608" w:rsidP="00D6374E">
                            <w:pPr>
                              <w:suppressAutoHyphens w:val="0"/>
                              <w:spacing w:before="120" w:after="240" w:line="240" w:lineRule="exact"/>
                              <w:rPr>
                                <w:szCs w:val="22"/>
                              </w:rPr>
                            </w:pPr>
                            <w:r w:rsidRPr="00DA3B2F">
                              <w:rPr>
                                <w:szCs w:val="22"/>
                                <w:lang w:val="fr-FR" w:eastAsia="fr-FR"/>
                              </w:rPr>
                              <w:t xml:space="preserve">Dans le cas où la glace extérieure non texturée est exclue, l’élément </w:t>
                            </w:r>
                            <w:r w:rsidRPr="00BB3E7A">
                              <w:rPr>
                                <w:szCs w:val="22"/>
                                <w:lang w:eastAsia="fr-FR"/>
                              </w:rPr>
                              <w:t>“</w:t>
                            </w:r>
                            <w:r w:rsidRPr="00DA3B2F">
                              <w:rPr>
                                <w:szCs w:val="22"/>
                                <w:lang w:val="fr-FR" w:eastAsia="fr-FR"/>
                              </w:rPr>
                              <w:t>7b</w:t>
                            </w:r>
                            <w:r w:rsidRPr="00BB3E7A">
                              <w:rPr>
                                <w:szCs w:val="22"/>
                                <w:lang w:eastAsia="fr-FR"/>
                              </w:rPr>
                              <w:t>”</w:t>
                            </w:r>
                            <w:r>
                              <w:rPr>
                                <w:szCs w:val="22"/>
                                <w:lang w:eastAsia="fr-FR"/>
                              </w:rPr>
                              <w:t xml:space="preserve"> </w:t>
                            </w:r>
                            <w:r w:rsidRPr="00DA3B2F">
                              <w:rPr>
                                <w:szCs w:val="22"/>
                                <w:lang w:val="fr-FR" w:eastAsia="fr-FR"/>
                              </w:rPr>
                              <w:t>est</w:t>
                            </w:r>
                            <w:r>
                              <w:rPr>
                                <w:szCs w:val="22"/>
                                <w:lang w:val="fr-FR" w:eastAsia="fr-FR"/>
                              </w:rPr>
                              <w:t xml:space="preserve"> </w:t>
                            </w:r>
                            <w:r w:rsidRPr="00DA3B2F">
                              <w:rPr>
                                <w:szCs w:val="22"/>
                                <w:lang w:val="fr-FR" w:eastAsia="fr-FR"/>
                              </w:rPr>
                              <w:t xml:space="preserve">la surface apparente conformément au paragraphe </w:t>
                            </w:r>
                            <w:r w:rsidRPr="002F6CFD">
                              <w:rPr>
                                <w:szCs w:val="22"/>
                                <w:lang w:val="fr-FR" w:eastAsia="fr-FR"/>
                              </w:rPr>
                              <w:t>2.10.2</w:t>
                            </w:r>
                            <w:r>
                              <w:rPr>
                                <w:szCs w:val="22"/>
                                <w:lang w:val="fr-FR" w:eastAsia="fr-FR"/>
                              </w:rPr>
                              <w:t xml:space="preserve"> </w:t>
                            </w:r>
                            <w:r w:rsidRPr="00DA3B2F">
                              <w:rPr>
                                <w:szCs w:val="22"/>
                                <w:lang w:val="fr-FR" w:eastAsia="fr-FR"/>
                              </w:rPr>
                              <w:t>b</w:t>
                            </w:r>
                            <w:r>
                              <w:rPr>
                                <w:szCs w:val="22"/>
                                <w:lang w:val="fr-FR" w:eastAsia="fr-FR"/>
                              </w:rPr>
                              <w:t xml:space="preserve">), et </w:t>
                            </w:r>
                            <w:r w:rsidRPr="00DA3B2F">
                              <w:rPr>
                                <w:szCs w:val="22"/>
                                <w:lang w:val="fr-FR" w:eastAsia="fr-FR"/>
                              </w:rPr>
                              <w:t>F1 n’est pas transparent pour F2.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DD659" id="Zone de texte 8" o:spid="_x0000_s1031" type="#_x0000_t202" style="position:absolute;left:0;text-align:left;margin-left:161.3pt;margin-top:143.35pt;width:296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" stroked="f">
                <v:textbox inset="0,0,0,0">
                  <w:txbxContent>
                    <w:p w:rsidR="008D6608" w:rsidRPr="00DA3B2F" w:rsidRDefault="008D6608" w:rsidP="00D6374E">
                      <w:pPr>
                        <w:suppressAutoHyphens w:val="0"/>
                        <w:spacing w:before="120" w:after="240" w:line="240" w:lineRule="exact"/>
                        <w:rPr>
                          <w:szCs w:val="22"/>
                        </w:rPr>
                      </w:pPr>
                      <w:r w:rsidRPr="00DA3B2F">
                        <w:rPr>
                          <w:szCs w:val="22"/>
                          <w:lang w:val="fr-FR" w:eastAsia="fr-FR"/>
                        </w:rPr>
                        <w:t xml:space="preserve">Dans le cas où la glace extérieure non texturée est exclue, l’élément </w:t>
                      </w:r>
                      <w:r w:rsidRPr="00BB3E7A">
                        <w:rPr>
                          <w:szCs w:val="22"/>
                          <w:lang w:eastAsia="fr-FR"/>
                        </w:rPr>
                        <w:t>“</w:t>
                      </w:r>
                      <w:r w:rsidRPr="00DA3B2F">
                        <w:rPr>
                          <w:szCs w:val="22"/>
                          <w:lang w:val="fr-FR" w:eastAsia="fr-FR"/>
                        </w:rPr>
                        <w:t>7b</w:t>
                      </w:r>
                      <w:r w:rsidRPr="00BB3E7A">
                        <w:rPr>
                          <w:szCs w:val="22"/>
                          <w:lang w:eastAsia="fr-FR"/>
                        </w:rPr>
                        <w:t>”</w:t>
                      </w:r>
                      <w:r>
                        <w:rPr>
                          <w:szCs w:val="22"/>
                          <w:lang w:eastAsia="fr-FR"/>
                        </w:rPr>
                        <w:t xml:space="preserve"> </w:t>
                      </w:r>
                      <w:r w:rsidRPr="00DA3B2F">
                        <w:rPr>
                          <w:szCs w:val="22"/>
                          <w:lang w:val="fr-FR" w:eastAsia="fr-FR"/>
                        </w:rPr>
                        <w:t>est</w:t>
                      </w:r>
                      <w:r>
                        <w:rPr>
                          <w:szCs w:val="22"/>
                          <w:lang w:val="fr-FR" w:eastAsia="fr-FR"/>
                        </w:rPr>
                        <w:t xml:space="preserve"> </w:t>
                      </w:r>
                      <w:r w:rsidRPr="00DA3B2F">
                        <w:rPr>
                          <w:szCs w:val="22"/>
                          <w:lang w:val="fr-FR" w:eastAsia="fr-FR"/>
                        </w:rPr>
                        <w:t xml:space="preserve">la surface apparente conformément au paragraphe </w:t>
                      </w:r>
                      <w:r w:rsidRPr="002F6CFD">
                        <w:rPr>
                          <w:szCs w:val="22"/>
                          <w:lang w:val="fr-FR" w:eastAsia="fr-FR"/>
                        </w:rPr>
                        <w:t>2.10.2</w:t>
                      </w:r>
                      <w:r>
                        <w:rPr>
                          <w:szCs w:val="22"/>
                          <w:lang w:val="fr-FR" w:eastAsia="fr-FR"/>
                        </w:rPr>
                        <w:t xml:space="preserve"> </w:t>
                      </w:r>
                      <w:r w:rsidRPr="00DA3B2F">
                        <w:rPr>
                          <w:szCs w:val="22"/>
                          <w:lang w:val="fr-FR" w:eastAsia="fr-FR"/>
                        </w:rPr>
                        <w:t>b</w:t>
                      </w:r>
                      <w:r>
                        <w:rPr>
                          <w:szCs w:val="22"/>
                          <w:lang w:val="fr-FR" w:eastAsia="fr-FR"/>
                        </w:rPr>
                        <w:t xml:space="preserve">), et </w:t>
                      </w:r>
                      <w:r w:rsidRPr="00DA3B2F">
                        <w:rPr>
                          <w:szCs w:val="22"/>
                          <w:lang w:val="fr-FR" w:eastAsia="fr-FR"/>
                        </w:rPr>
                        <w:t>F1 n’est pas transparent pour F2.</w:t>
                      </w:r>
                    </w:p>
                  </w:txbxContent>
                </v:textbox>
              </v:shape>
            </w:pict>
          </mc:Fallback>
        </mc:AlternateContent>
      </w:r>
      <w:r w:rsidR="00D6374E" w:rsidRPr="00D6374E">
        <w:rPr>
          <w:rFonts w:eastAsia="Calibri"/>
          <w:noProof/>
          <w:lang w:val="fr-FR" w:eastAsia="fr-FR"/>
        </w:rPr>
        <w:drawing>
          <wp:inline distT="0" distB="0" distL="0" distR="0" wp14:anchorId="576DB002" wp14:editId="26061631">
            <wp:extent cx="4505214" cy="2160000"/>
            <wp:effectExtent l="0" t="0" r="0" b="0"/>
            <wp:docPr id="7" name="Image 7"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R48-A3-Graphik-08-ccf-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5214" cy="2160000"/>
                    </a:xfrm>
                    <a:prstGeom prst="rect">
                      <a:avLst/>
                    </a:prstGeom>
                    <a:noFill/>
                    <a:ln>
                      <a:noFill/>
                    </a:ln>
                  </pic:spPr>
                </pic:pic>
              </a:graphicData>
            </a:graphic>
          </wp:inline>
        </w:drawing>
      </w:r>
    </w:p>
    <w:p w:rsidR="00D6374E" w:rsidRPr="00D6374E" w:rsidRDefault="00D6374E" w:rsidP="000147B2">
      <w:pPr>
        <w:pStyle w:val="SingleTxtG"/>
        <w:keepNext/>
        <w:keepLines/>
        <w:spacing w:before="480"/>
        <w:rPr>
          <w:bCs/>
        </w:rPr>
      </w:pPr>
      <w:r w:rsidRPr="00D6374E">
        <w:rPr>
          <w:lang w:val="fr-FR"/>
        </w:rPr>
        <w:t>Exemple</w:t>
      </w:r>
      <w:r w:rsidRPr="00D6374E">
        <w:rPr>
          <w:lang w:eastAsia="fr-FR"/>
        </w:rPr>
        <w:t xml:space="preserve"> d’une source lumineuse avec un réflecteur et un élément ne faisant pas partie de cette fonction, derrière une glace extérieure :</w:t>
      </w:r>
    </w:p>
    <w:p w:rsidR="00D6374E" w:rsidRPr="00D6374E" w:rsidRDefault="00D6374E" w:rsidP="000147B2">
      <w:pPr>
        <w:keepNext/>
        <w:keepLines/>
        <w:spacing w:before="240" w:after="120"/>
        <w:ind w:left="2268" w:right="1134" w:hanging="1134"/>
        <w:jc w:val="both"/>
        <w:rPr>
          <w:rFonts w:eastAsia="Calibri"/>
        </w:rPr>
      </w:pPr>
      <w:r w:rsidRPr="00D6374E">
        <w:rPr>
          <w:rFonts w:eastAsia="Calibri"/>
          <w:lang w:val="fr-FR"/>
        </w:rPr>
        <w:t>Exemple</w:t>
      </w:r>
      <w:r w:rsidRPr="00D6374E">
        <w:rPr>
          <w:rFonts w:eastAsia="Calibri"/>
        </w:rPr>
        <w:t> 9</w:t>
      </w:r>
    </w:p>
    <w:p w:rsidR="00D6374E" w:rsidRPr="00D6374E" w:rsidRDefault="00E84A13" w:rsidP="00D6374E">
      <w:pPr>
        <w:ind w:left="1134" w:right="1134"/>
        <w:rPr>
          <w:rFonts w:eastAsia="Calibri"/>
        </w:rPr>
      </w:pPr>
      <w:r w:rsidRPr="00D6374E">
        <w:rPr>
          <w:rFonts w:eastAsia="Calibri"/>
          <w:bCs/>
          <w:noProof/>
          <w:lang w:val="fr-FR" w:eastAsia="fr-FR"/>
        </w:rPr>
        <mc:AlternateContent>
          <mc:Choice Requires="wps">
            <w:drawing>
              <wp:anchor distT="0" distB="0" distL="114300" distR="114300" simplePos="0" relativeHeight="251666432" behindDoc="0" locked="0" layoutInCell="1" allowOverlap="1" wp14:anchorId="528E2AFE" wp14:editId="33144045">
                <wp:simplePos x="0" y="0"/>
                <wp:positionH relativeFrom="column">
                  <wp:posOffset>1583496</wp:posOffset>
                </wp:positionH>
                <wp:positionV relativeFrom="paragraph">
                  <wp:posOffset>2824783</wp:posOffset>
                </wp:positionV>
                <wp:extent cx="3821723" cy="433454"/>
                <wp:effectExtent l="0" t="0" r="7620" b="508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723" cy="43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608" w:rsidRPr="00DA3B2F" w:rsidRDefault="008D6608" w:rsidP="00D6374E">
                            <w:pPr>
                              <w:suppressAutoHyphens w:val="0"/>
                              <w:spacing w:before="120" w:after="240" w:line="240" w:lineRule="exact"/>
                              <w:rPr>
                                <w:szCs w:val="22"/>
                              </w:rPr>
                            </w:pPr>
                            <w:r w:rsidRPr="00DA3B2F">
                              <w:rPr>
                                <w:szCs w:val="22"/>
                                <w:lang w:val="fr-FR" w:eastAsia="fr-FR"/>
                              </w:rPr>
                              <w:t xml:space="preserve">Dans le cas où la glace extérieure non </w:t>
                            </w:r>
                            <w:r>
                              <w:rPr>
                                <w:szCs w:val="22"/>
                                <w:lang w:val="fr-FR" w:eastAsia="fr-FR"/>
                              </w:rPr>
                              <w:t xml:space="preserve">texturée est exclue, l’élément </w:t>
                            </w:r>
                            <w:r w:rsidRPr="00BB3E7A">
                              <w:rPr>
                                <w:szCs w:val="22"/>
                                <w:lang w:eastAsia="fr-FR"/>
                              </w:rPr>
                              <w:t>“</w:t>
                            </w:r>
                            <w:r w:rsidRPr="00DA3B2F">
                              <w:rPr>
                                <w:szCs w:val="22"/>
                                <w:lang w:val="fr-FR" w:eastAsia="fr-FR"/>
                              </w:rPr>
                              <w:t>7b</w:t>
                            </w:r>
                            <w:r w:rsidRPr="00BB3E7A">
                              <w:rPr>
                                <w:szCs w:val="22"/>
                                <w:lang w:eastAsia="fr-FR"/>
                              </w:rPr>
                              <w:t>”</w:t>
                            </w:r>
                            <w:r w:rsidRPr="00DA3B2F">
                              <w:rPr>
                                <w:szCs w:val="22"/>
                                <w:lang w:val="fr-FR" w:eastAsia="fr-FR"/>
                              </w:rPr>
                              <w:t xml:space="preserve"> est la surface apparente conformément au paragraphe </w:t>
                            </w:r>
                            <w:r w:rsidRPr="002F6CFD">
                              <w:rPr>
                                <w:szCs w:val="22"/>
                                <w:lang w:val="fr-FR" w:eastAsia="fr-FR"/>
                              </w:rPr>
                              <w:t>2.10.2</w:t>
                            </w:r>
                            <w:r>
                              <w:rPr>
                                <w:b/>
                                <w:szCs w:val="22"/>
                                <w:lang w:val="fr-FR" w:eastAsia="fr-FR"/>
                              </w:rPr>
                              <w:t xml:space="preserve"> </w:t>
                            </w:r>
                            <w:r w:rsidRPr="00DA3B2F">
                              <w:rPr>
                                <w:szCs w:val="22"/>
                                <w:lang w:val="fr-FR" w:eastAsia="fr-FR"/>
                              </w:rPr>
                              <w:t>b</w:t>
                            </w:r>
                            <w:r>
                              <w:rPr>
                                <w:szCs w:val="22"/>
                                <w:lang w:val="fr-FR" w:eastAsia="fr-FR"/>
                              </w:rPr>
                              <w:t>)</w:t>
                            </w:r>
                            <w:r w:rsidRPr="00DA3B2F">
                              <w:rPr>
                                <w:szCs w:val="22"/>
                                <w:lang w:val="fr-FR" w:eastAsia="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E2AFE" id="Zone de texte 15" o:spid="_x0000_s1032" type="#_x0000_t202" style="position:absolute;left:0;text-align:left;margin-left:124.7pt;margin-top:222.4pt;width:300.9pt;height:3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" filled="f" stroked="f">
                <v:textbox inset="0,0,0,0">
                  <w:txbxContent>
                    <w:p w:rsidR="008D6608" w:rsidRPr="00DA3B2F" w:rsidRDefault="008D6608" w:rsidP="00D6374E">
                      <w:pPr>
                        <w:suppressAutoHyphens w:val="0"/>
                        <w:spacing w:before="120" w:after="240" w:line="240" w:lineRule="exact"/>
                        <w:rPr>
                          <w:szCs w:val="22"/>
                        </w:rPr>
                      </w:pPr>
                      <w:r w:rsidRPr="00DA3B2F">
                        <w:rPr>
                          <w:szCs w:val="22"/>
                          <w:lang w:val="fr-FR" w:eastAsia="fr-FR"/>
                        </w:rPr>
                        <w:t xml:space="preserve">Dans le cas où la glace extérieure non </w:t>
                      </w:r>
                      <w:r>
                        <w:rPr>
                          <w:szCs w:val="22"/>
                          <w:lang w:val="fr-FR" w:eastAsia="fr-FR"/>
                        </w:rPr>
                        <w:t xml:space="preserve">texturée est exclue, l’élément </w:t>
                      </w:r>
                      <w:r w:rsidRPr="00BB3E7A">
                        <w:rPr>
                          <w:szCs w:val="22"/>
                          <w:lang w:eastAsia="fr-FR"/>
                        </w:rPr>
                        <w:t>“</w:t>
                      </w:r>
                      <w:r w:rsidRPr="00DA3B2F">
                        <w:rPr>
                          <w:szCs w:val="22"/>
                          <w:lang w:val="fr-FR" w:eastAsia="fr-FR"/>
                        </w:rPr>
                        <w:t>7b</w:t>
                      </w:r>
                      <w:r w:rsidRPr="00BB3E7A">
                        <w:rPr>
                          <w:szCs w:val="22"/>
                          <w:lang w:eastAsia="fr-FR"/>
                        </w:rPr>
                        <w:t>”</w:t>
                      </w:r>
                      <w:r w:rsidRPr="00DA3B2F">
                        <w:rPr>
                          <w:szCs w:val="22"/>
                          <w:lang w:val="fr-FR" w:eastAsia="fr-FR"/>
                        </w:rPr>
                        <w:t xml:space="preserve"> est la surface apparente conformément au paragraphe </w:t>
                      </w:r>
                      <w:r w:rsidRPr="002F6CFD">
                        <w:rPr>
                          <w:szCs w:val="22"/>
                          <w:lang w:val="fr-FR" w:eastAsia="fr-FR"/>
                        </w:rPr>
                        <w:t>2.10.2</w:t>
                      </w:r>
                      <w:r>
                        <w:rPr>
                          <w:b/>
                          <w:szCs w:val="22"/>
                          <w:lang w:val="fr-FR" w:eastAsia="fr-FR"/>
                        </w:rPr>
                        <w:t xml:space="preserve"> </w:t>
                      </w:r>
                      <w:r w:rsidRPr="00DA3B2F">
                        <w:rPr>
                          <w:szCs w:val="22"/>
                          <w:lang w:val="fr-FR" w:eastAsia="fr-FR"/>
                        </w:rPr>
                        <w:t>b</w:t>
                      </w:r>
                      <w:r>
                        <w:rPr>
                          <w:szCs w:val="22"/>
                          <w:lang w:val="fr-FR" w:eastAsia="fr-FR"/>
                        </w:rPr>
                        <w:t>)</w:t>
                      </w:r>
                      <w:r w:rsidRPr="00DA3B2F">
                        <w:rPr>
                          <w:szCs w:val="22"/>
                          <w:lang w:val="fr-FR" w:eastAsia="fr-FR"/>
                        </w:rPr>
                        <w:t>.</w:t>
                      </w:r>
                    </w:p>
                  </w:txbxContent>
                </v:textbox>
              </v:shape>
            </w:pict>
          </mc:Fallback>
        </mc:AlternateContent>
      </w:r>
      <w:r w:rsidR="00D6374E" w:rsidRPr="00D6374E">
        <w:rPr>
          <w:rFonts w:eastAsia="Calibri"/>
          <w:bCs/>
          <w:noProof/>
          <w:lang w:val="fr-FR" w:eastAsia="fr-FR"/>
        </w:rPr>
        <w:drawing>
          <wp:inline distT="0" distB="0" distL="0" distR="0" wp14:anchorId="2AF2636C" wp14:editId="2FDCDD3C">
            <wp:extent cx="4017600" cy="3279600"/>
            <wp:effectExtent l="0" t="0" r="254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7600" cy="3279600"/>
                    </a:xfrm>
                    <a:prstGeom prst="rect">
                      <a:avLst/>
                    </a:prstGeom>
                    <a:noFill/>
                    <a:ln>
                      <a:noFill/>
                    </a:ln>
                  </pic:spPr>
                </pic:pic>
              </a:graphicData>
            </a:graphic>
          </wp:inline>
        </w:drawing>
      </w:r>
    </w:p>
    <w:p w:rsidR="00D6374E" w:rsidRPr="00D6374E" w:rsidRDefault="00D6374E" w:rsidP="00EC5A40">
      <w:pPr>
        <w:spacing w:after="120"/>
        <w:ind w:left="2268" w:right="1134" w:hanging="1134"/>
        <w:rPr>
          <w:rFonts w:eastAsia="Calibri"/>
          <w:lang w:val="fr-FR"/>
        </w:rPr>
      </w:pPr>
      <w:bookmarkStart w:id="39" w:name="_MON_1436083985"/>
      <w:bookmarkStart w:id="40" w:name="_MON_1462771727"/>
      <w:bookmarkStart w:id="41" w:name="_MON_1435664113"/>
      <w:bookmarkStart w:id="42" w:name="_MON_1436008978"/>
      <w:bookmarkEnd w:id="39"/>
      <w:bookmarkEnd w:id="40"/>
      <w:bookmarkEnd w:id="41"/>
      <w:bookmarkEnd w:id="42"/>
      <w:r w:rsidRPr="00D6374E">
        <w:rPr>
          <w:rFonts w:eastAsia="Calibri"/>
          <w:lang w:val="fr-FR"/>
        </w:rPr>
        <w:t>… ».</w:t>
      </w:r>
    </w:p>
    <w:p w:rsidR="00D6374E" w:rsidRPr="00D6374E" w:rsidRDefault="00D6374E" w:rsidP="00D6374E">
      <w:pPr>
        <w:spacing w:after="120"/>
        <w:ind w:left="2268" w:right="1134" w:hanging="1134"/>
        <w:jc w:val="both"/>
        <w:rPr>
          <w:rFonts w:eastAsia="Calibri"/>
          <w:lang w:val="fr-FR"/>
        </w:rPr>
      </w:pPr>
      <w:r w:rsidRPr="00D6374E">
        <w:rPr>
          <w:rFonts w:eastAsia="Calibri"/>
          <w:i/>
          <w:lang w:val="fr-FR"/>
        </w:rPr>
        <w:t>Partie 6</w:t>
      </w:r>
      <w:r w:rsidRPr="00D6374E">
        <w:rPr>
          <w:rFonts w:eastAsia="Calibri"/>
          <w:lang w:val="fr-FR"/>
        </w:rPr>
        <w:t>, lire :</w:t>
      </w:r>
    </w:p>
    <w:p w:rsidR="00D6374E" w:rsidRPr="00D6374E" w:rsidRDefault="00D6374E" w:rsidP="00D6374E">
      <w:pPr>
        <w:spacing w:after="120"/>
        <w:ind w:left="1134" w:right="1134"/>
        <w:jc w:val="both"/>
        <w:rPr>
          <w:rFonts w:eastAsia="Calibri"/>
          <w:lang w:val="fr-FR"/>
        </w:rPr>
      </w:pPr>
      <w:r w:rsidRPr="00D6374E">
        <w:rPr>
          <w:rFonts w:eastAsia="Calibri"/>
          <w:lang w:val="fr-FR"/>
        </w:rPr>
        <w:t>« </w:t>
      </w:r>
      <w:r w:rsidRPr="00D6374E">
        <w:rPr>
          <w:rFonts w:eastAsia="Calibri"/>
          <w:bCs/>
          <w:lang w:eastAsia="fr-FR"/>
        </w:rPr>
        <w:t xml:space="preserve">Partie 6 − Exemples de détermination de la surface de sortie de la lumière </w:t>
      </w:r>
      <w:r w:rsidRPr="00D6374E">
        <w:rPr>
          <w:rFonts w:eastAsia="Calibri"/>
        </w:rPr>
        <w:t>(voir les paragraphes 2.10.2 et 2.10.3 du présent Règlement)</w:t>
      </w:r>
    </w:p>
    <w:p w:rsidR="00D6374E" w:rsidRPr="00D6374E" w:rsidRDefault="00D6374E" w:rsidP="00D6374E">
      <w:pPr>
        <w:spacing w:after="120"/>
        <w:ind w:left="1134" w:right="1134"/>
        <w:jc w:val="both"/>
        <w:rPr>
          <w:rFonts w:eastAsia="Calibri"/>
          <w:lang w:val="fr-FR"/>
        </w:rPr>
      </w:pPr>
      <w:r w:rsidRPr="00D6374E">
        <w:rPr>
          <w:rFonts w:eastAsia="Calibri"/>
          <w:i/>
          <w:lang w:val="fr-FR"/>
        </w:rPr>
        <w:t>Note</w:t>
      </w:r>
      <w:r w:rsidRPr="00D6374E">
        <w:rPr>
          <w:rFonts w:eastAsia="Calibri"/>
          <w:i/>
          <w:iCs/>
          <w:lang w:eastAsia="fr-FR"/>
        </w:rPr>
        <w:t> </w:t>
      </w:r>
      <w:r w:rsidRPr="00D6374E">
        <w:rPr>
          <w:rFonts w:eastAsia="Calibri"/>
          <w:iCs/>
          <w:lang w:eastAsia="fr-FR"/>
        </w:rPr>
        <w:t>:</w:t>
      </w:r>
      <w:r w:rsidRPr="00D6374E">
        <w:rPr>
          <w:rFonts w:eastAsia="Calibri"/>
          <w:i/>
          <w:iCs/>
          <w:lang w:eastAsia="fr-FR"/>
        </w:rPr>
        <w:t xml:space="preserve"> </w:t>
      </w:r>
      <w:r w:rsidRPr="00D6374E">
        <w:rPr>
          <w:rFonts w:eastAsia="Calibri"/>
          <w:lang w:eastAsia="fr-FR"/>
        </w:rPr>
        <w:t>La lumière réfléchie pourrait ou peut contribuer à la détermination de la surface de sortie de la lumière.</w:t>
      </w:r>
    </w:p>
    <w:p w:rsidR="00D6374E" w:rsidRPr="00D6374E" w:rsidRDefault="00D6374E" w:rsidP="00D6374E">
      <w:pPr>
        <w:keepNext/>
        <w:keepLines/>
        <w:spacing w:after="120"/>
        <w:ind w:left="2268" w:right="1134" w:hanging="1134"/>
        <w:jc w:val="both"/>
        <w:rPr>
          <w:rFonts w:eastAsia="Calibri"/>
        </w:rPr>
      </w:pPr>
      <w:r w:rsidRPr="00D6374E">
        <w:rPr>
          <w:rFonts w:eastAsia="Calibri"/>
        </w:rPr>
        <w:lastRenderedPageBreak/>
        <w:t>Exemple A</w:t>
      </w:r>
    </w:p>
    <w:p w:rsidR="00D6374E" w:rsidRDefault="008F639B" w:rsidP="00E84A13">
      <w:pPr>
        <w:ind w:left="1134"/>
        <w:rPr>
          <w:rFonts w:eastAsia="Calibri"/>
        </w:rPr>
      </w:pPr>
      <w:r w:rsidRPr="00D6374E">
        <w:rPr>
          <w:rFonts w:eastAsia="Calibri"/>
          <w:noProof/>
          <w:lang w:val="fr-FR" w:eastAsia="fr-FR"/>
        </w:rPr>
        <mc:AlternateContent>
          <mc:Choice Requires="wps">
            <w:drawing>
              <wp:anchor distT="0" distB="0" distL="114300" distR="114300" simplePos="0" relativeHeight="251671552" behindDoc="0" locked="0" layoutInCell="1" allowOverlap="1" wp14:anchorId="572D7319" wp14:editId="05A57248">
                <wp:simplePos x="0" y="0"/>
                <wp:positionH relativeFrom="column">
                  <wp:posOffset>4403725</wp:posOffset>
                </wp:positionH>
                <wp:positionV relativeFrom="paragraph">
                  <wp:posOffset>278291</wp:posOffset>
                </wp:positionV>
                <wp:extent cx="1369695" cy="600075"/>
                <wp:effectExtent l="0" t="0" r="1905" b="952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608" w:rsidRPr="006972CF" w:rsidRDefault="008D6608" w:rsidP="00D6374E">
                            <w:pPr>
                              <w:suppressAutoHyphens w:val="0"/>
                              <w:spacing w:line="240" w:lineRule="auto"/>
                            </w:pPr>
                            <w:r>
                              <w:rPr>
                                <w:sz w:val="18"/>
                                <w:szCs w:val="18"/>
                                <w:lang w:val="fr-FR" w:eastAsia="fr-FR"/>
                              </w:rPr>
                              <w:t xml:space="preserve">Pour raisons de commodité, la surface de la glace est représentée comme </w:t>
                            </w:r>
                            <w:r>
                              <w:rPr>
                                <w:sz w:val="18"/>
                                <w:szCs w:val="18"/>
                                <w:lang w:val="fr-FR" w:eastAsia="fr-FR"/>
                              </w:rPr>
                              <w:br/>
                              <w:t>étant plane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D7319" id="Zone de texte 39" o:spid="_x0000_s1033" type="#_x0000_t202" style="position:absolute;left:0;text-align:left;margin-left:346.75pt;margin-top:21.9pt;width:107.8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" stroked="f">
                <v:textbox inset="0,0,0,0">
                  <w:txbxContent>
                    <w:p w:rsidR="008D6608" w:rsidRPr="006972CF" w:rsidRDefault="008D6608" w:rsidP="00D6374E">
                      <w:pPr>
                        <w:suppressAutoHyphens w:val="0"/>
                        <w:spacing w:line="240" w:lineRule="auto"/>
                      </w:pPr>
                      <w:r>
                        <w:rPr>
                          <w:sz w:val="18"/>
                          <w:szCs w:val="18"/>
                          <w:lang w:val="fr-FR" w:eastAsia="fr-FR"/>
                        </w:rPr>
                        <w:t xml:space="preserve">Pour raisons de commodité, la surface de la glace est représentée comme </w:t>
                      </w:r>
                      <w:r>
                        <w:rPr>
                          <w:sz w:val="18"/>
                          <w:szCs w:val="18"/>
                          <w:lang w:val="fr-FR" w:eastAsia="fr-FR"/>
                        </w:rPr>
                        <w:br/>
                        <w:t>étant plane</w:t>
                      </w:r>
                    </w:p>
                  </w:txbxContent>
                </v:textbox>
              </v:shape>
            </w:pict>
          </mc:Fallback>
        </mc:AlternateContent>
      </w:r>
      <w:r w:rsidRPr="00D6374E">
        <w:rPr>
          <w:rFonts w:eastAsia="Calibri"/>
          <w:noProof/>
          <w:lang w:val="fr-FR" w:eastAsia="fr-FR"/>
        </w:rPr>
        <mc:AlternateContent>
          <mc:Choice Requires="wps">
            <w:drawing>
              <wp:anchor distT="0" distB="0" distL="114300" distR="114300" simplePos="0" relativeHeight="251672576" behindDoc="0" locked="0" layoutInCell="1" allowOverlap="1" wp14:anchorId="639865AF" wp14:editId="6881D0A0">
                <wp:simplePos x="0" y="0"/>
                <wp:positionH relativeFrom="column">
                  <wp:posOffset>5052913</wp:posOffset>
                </wp:positionH>
                <wp:positionV relativeFrom="paragraph">
                  <wp:posOffset>1826345</wp:posOffset>
                </wp:positionV>
                <wp:extent cx="952500" cy="279779"/>
                <wp:effectExtent l="0" t="0" r="0" b="635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797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608" w:rsidRPr="006972CF" w:rsidRDefault="008D6608" w:rsidP="00D6374E">
                            <w:r>
                              <w:rPr>
                                <w:sz w:val="18"/>
                                <w:szCs w:val="18"/>
                                <w:lang w:val="fr-FR" w:eastAsia="fr-FR"/>
                              </w:rPr>
                              <w:t>PROJECTION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865AF" id="Zone de texte 46" o:spid="_x0000_s1034" type="#_x0000_t202" style="position:absolute;left:0;text-align:left;margin-left:397.85pt;margin-top:143.8pt;width:75pt;height:2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" stroked="f">
                <v:textbox>
                  <w:txbxContent>
                    <w:p w:rsidR="008D6608" w:rsidRPr="006972CF" w:rsidRDefault="008D6608" w:rsidP="00D6374E">
                      <w:r>
                        <w:rPr>
                          <w:sz w:val="18"/>
                          <w:szCs w:val="18"/>
                          <w:lang w:val="fr-FR" w:eastAsia="fr-FR"/>
                        </w:rPr>
                        <w:t>PROJECTION</w:t>
                      </w:r>
                    </w:p>
                  </w:txbxContent>
                </v:textbox>
              </v:shape>
            </w:pict>
          </mc:Fallback>
        </mc:AlternateContent>
      </w:r>
      <w:r w:rsidR="00D6374E" w:rsidRPr="00D6374E">
        <w:rPr>
          <w:rFonts w:eastAsia="Calibri"/>
          <w:noProof/>
          <w:lang w:val="fr-FR" w:eastAsia="fr-FR"/>
        </w:rPr>
        <mc:AlternateContent>
          <mc:Choice Requires="wps">
            <w:drawing>
              <wp:anchor distT="0" distB="0" distL="114300" distR="114300" simplePos="0" relativeHeight="251670528" behindDoc="0" locked="0" layoutInCell="1" allowOverlap="1" wp14:anchorId="472006B6" wp14:editId="32AE4BA2">
                <wp:simplePos x="0" y="0"/>
                <wp:positionH relativeFrom="column">
                  <wp:posOffset>626441</wp:posOffset>
                </wp:positionH>
                <wp:positionV relativeFrom="paragraph">
                  <wp:posOffset>251460</wp:posOffset>
                </wp:positionV>
                <wp:extent cx="1003300" cy="496521"/>
                <wp:effectExtent l="0" t="0" r="6350" b="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496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608" w:rsidRPr="00C737B4" w:rsidRDefault="008D6608" w:rsidP="00E84A13">
                            <w:pPr>
                              <w:suppressAutoHyphens w:val="0"/>
                              <w:spacing w:line="240" w:lineRule="auto"/>
                              <w:rPr>
                                <w:sz w:val="18"/>
                                <w:szCs w:val="18"/>
                                <w:lang w:val="fr-FR" w:eastAsia="fr-FR"/>
                              </w:rPr>
                            </w:pPr>
                            <w:r>
                              <w:rPr>
                                <w:sz w:val="18"/>
                                <w:szCs w:val="18"/>
                                <w:lang w:val="fr-FR" w:eastAsia="fr-FR"/>
                              </w:rPr>
                              <w:t xml:space="preserve">AXE DE </w:t>
                            </w:r>
                            <w:r>
                              <w:rPr>
                                <w:sz w:val="18"/>
                                <w:szCs w:val="18"/>
                                <w:lang w:val="fr-FR" w:eastAsia="fr-FR"/>
                              </w:rPr>
                              <w:br/>
                              <w:t xml:space="preserve">RÉFÉRENCE </w:t>
                            </w:r>
                            <w:r>
                              <w:rPr>
                                <w:sz w:val="18"/>
                                <w:szCs w:val="18"/>
                                <w:lang w:val="fr-FR" w:eastAsia="fr-FR"/>
                              </w:rPr>
                              <w:br/>
                              <w:t>DÉCLARÉ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006B6" id="Zone de texte 45" o:spid="_x0000_s1035" type="#_x0000_t202" style="position:absolute;left:0;text-align:left;margin-left:49.35pt;margin-top:19.8pt;width:79pt;height:3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" stroked="f">
                <v:textbox>
                  <w:txbxContent>
                    <w:p w:rsidR="008D6608" w:rsidRPr="00C737B4" w:rsidRDefault="008D6608" w:rsidP="00E84A13">
                      <w:pPr>
                        <w:suppressAutoHyphens w:val="0"/>
                        <w:spacing w:line="240" w:lineRule="auto"/>
                        <w:rPr>
                          <w:sz w:val="18"/>
                          <w:szCs w:val="18"/>
                          <w:lang w:val="fr-FR" w:eastAsia="fr-FR"/>
                        </w:rPr>
                      </w:pPr>
                      <w:r>
                        <w:rPr>
                          <w:sz w:val="18"/>
                          <w:szCs w:val="18"/>
                          <w:lang w:val="fr-FR" w:eastAsia="fr-FR"/>
                        </w:rPr>
                        <w:t xml:space="preserve">AXE DE </w:t>
                      </w:r>
                      <w:r>
                        <w:rPr>
                          <w:sz w:val="18"/>
                          <w:szCs w:val="18"/>
                          <w:lang w:val="fr-FR" w:eastAsia="fr-FR"/>
                        </w:rPr>
                        <w:br/>
                        <w:t xml:space="preserve">RÉFÉRENCE </w:t>
                      </w:r>
                      <w:r>
                        <w:rPr>
                          <w:sz w:val="18"/>
                          <w:szCs w:val="18"/>
                          <w:lang w:val="fr-FR" w:eastAsia="fr-FR"/>
                        </w:rPr>
                        <w:br/>
                        <w:t>DÉCLARÉ</w:t>
                      </w:r>
                    </w:p>
                  </w:txbxContent>
                </v:textbox>
              </v:shape>
            </w:pict>
          </mc:Fallback>
        </mc:AlternateContent>
      </w:r>
      <w:r w:rsidR="00D6374E" w:rsidRPr="00D6374E">
        <w:rPr>
          <w:rFonts w:eastAsia="Calibri"/>
          <w:noProof/>
          <w:lang w:val="fr-FR" w:eastAsia="fr-FR"/>
        </w:rPr>
        <w:drawing>
          <wp:inline distT="0" distB="0" distL="0" distR="0" wp14:anchorId="371DF2B9" wp14:editId="12F57063">
            <wp:extent cx="4809600" cy="2073600"/>
            <wp:effectExtent l="0" t="0" r="0" b="3175"/>
            <wp:docPr id="38" name="Image 38" descr="Description: Description: W-Graphik-r48-1-2-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W-Graphik-r48-1-2-ne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9600" cy="2073600"/>
                    </a:xfrm>
                    <a:prstGeom prst="rect">
                      <a:avLst/>
                    </a:prstGeom>
                    <a:noFill/>
                    <a:ln>
                      <a:noFill/>
                    </a:ln>
                  </pic:spPr>
                </pic:pic>
              </a:graphicData>
            </a:graphic>
          </wp:inline>
        </w:drawing>
      </w:r>
    </w:p>
    <w:p w:rsidR="00E84A13" w:rsidRDefault="00E84A13" w:rsidP="00E84A13">
      <w:pPr>
        <w:ind w:left="1134"/>
        <w:rPr>
          <w:rFonts w:eastAsia="Calibri"/>
        </w:rPr>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6"/>
        <w:gridCol w:w="2457"/>
        <w:gridCol w:w="2947"/>
      </w:tblGrid>
      <w:tr w:rsidR="00D6374E" w:rsidRPr="00D6374E" w:rsidTr="00DB75DF">
        <w:tc>
          <w:tcPr>
            <w:tcW w:w="1966" w:type="dxa"/>
            <w:shd w:val="clear" w:color="auto" w:fill="auto"/>
            <w:vAlign w:val="bottom"/>
          </w:tcPr>
          <w:p w:rsidR="00D6374E" w:rsidRPr="00D6374E" w:rsidRDefault="00D6374E" w:rsidP="00D6374E">
            <w:pPr>
              <w:spacing w:before="60" w:after="60"/>
              <w:ind w:left="170" w:right="170"/>
              <w:rPr>
                <w:rFonts w:eastAsia="Calibri"/>
                <w:i/>
                <w:lang w:eastAsia="fr-FR"/>
              </w:rPr>
            </w:pPr>
            <w:bookmarkStart w:id="43" w:name="_MON_1436007275"/>
            <w:bookmarkStart w:id="44" w:name="_MON_1436011705"/>
            <w:bookmarkStart w:id="45" w:name="_MON_1462771966"/>
            <w:bookmarkStart w:id="46" w:name="_MON_1462772045"/>
            <w:bookmarkStart w:id="47" w:name="_MON_1435664193"/>
            <w:bookmarkEnd w:id="43"/>
            <w:bookmarkEnd w:id="44"/>
            <w:bookmarkEnd w:id="45"/>
            <w:bookmarkEnd w:id="46"/>
            <w:bookmarkEnd w:id="47"/>
          </w:p>
        </w:tc>
        <w:tc>
          <w:tcPr>
            <w:tcW w:w="2457" w:type="dxa"/>
            <w:shd w:val="clear" w:color="auto" w:fill="auto"/>
            <w:vAlign w:val="bottom"/>
          </w:tcPr>
          <w:p w:rsidR="00D6374E" w:rsidRPr="00D6374E" w:rsidRDefault="00D6374E" w:rsidP="00D6374E">
            <w:pPr>
              <w:spacing w:before="60" w:after="60"/>
              <w:ind w:left="170" w:right="170"/>
              <w:rPr>
                <w:rFonts w:eastAsia="Calibri"/>
                <w:i/>
              </w:rPr>
            </w:pPr>
            <w:r w:rsidRPr="00D6374E">
              <w:rPr>
                <w:rFonts w:eastAsia="Calibri"/>
                <w:i/>
              </w:rPr>
              <w:t>Plage éclairante</w:t>
            </w:r>
          </w:p>
        </w:tc>
        <w:tc>
          <w:tcPr>
            <w:tcW w:w="2947" w:type="dxa"/>
            <w:shd w:val="clear" w:color="auto" w:fill="auto"/>
            <w:vAlign w:val="bottom"/>
          </w:tcPr>
          <w:p w:rsidR="00D6374E" w:rsidRPr="00D6374E" w:rsidRDefault="00D6374E" w:rsidP="00D6374E">
            <w:pPr>
              <w:spacing w:before="60" w:after="60"/>
              <w:ind w:left="170" w:right="170"/>
              <w:rPr>
                <w:rFonts w:eastAsia="Calibri"/>
                <w:i/>
              </w:rPr>
            </w:pPr>
            <w:r w:rsidRPr="00D6374E">
              <w:rPr>
                <w:rFonts w:eastAsia="Calibri"/>
                <w:i/>
              </w:rPr>
              <w:t>Surface de sortie de la lumière déclarée, conformément au point 2.10.2 a)</w:t>
            </w:r>
          </w:p>
        </w:tc>
      </w:tr>
      <w:tr w:rsidR="00D6374E" w:rsidRPr="00D6374E" w:rsidTr="00DB75DF">
        <w:tc>
          <w:tcPr>
            <w:tcW w:w="1966" w:type="dxa"/>
            <w:shd w:val="clear" w:color="auto" w:fill="auto"/>
          </w:tcPr>
          <w:p w:rsidR="00D6374E" w:rsidRPr="00D6374E" w:rsidRDefault="00D6374E" w:rsidP="00D6374E">
            <w:pPr>
              <w:spacing w:before="60" w:after="60"/>
              <w:ind w:left="170" w:right="170"/>
              <w:rPr>
                <w:rFonts w:eastAsia="Calibri"/>
              </w:rPr>
            </w:pPr>
            <w:r w:rsidRPr="00D6374E">
              <w:rPr>
                <w:rFonts w:eastAsia="Calibri"/>
                <w:lang w:eastAsia="fr-FR"/>
              </w:rPr>
              <w:t>Les bords sont</w:t>
            </w:r>
          </w:p>
        </w:tc>
        <w:tc>
          <w:tcPr>
            <w:tcW w:w="2457" w:type="dxa"/>
            <w:shd w:val="clear" w:color="auto" w:fill="auto"/>
          </w:tcPr>
          <w:p w:rsidR="00D6374E" w:rsidRPr="00D6374E" w:rsidRDefault="00D6374E" w:rsidP="00D6374E">
            <w:pPr>
              <w:spacing w:before="60" w:after="60"/>
              <w:ind w:left="170" w:right="170"/>
              <w:rPr>
                <w:rFonts w:eastAsia="Calibri"/>
              </w:rPr>
            </w:pPr>
            <w:r w:rsidRPr="00D6374E">
              <w:rPr>
                <w:rFonts w:eastAsia="Calibri"/>
              </w:rPr>
              <w:t>a et b</w:t>
            </w:r>
          </w:p>
        </w:tc>
        <w:tc>
          <w:tcPr>
            <w:tcW w:w="2947" w:type="dxa"/>
            <w:shd w:val="clear" w:color="auto" w:fill="auto"/>
          </w:tcPr>
          <w:p w:rsidR="00D6374E" w:rsidRPr="00D6374E" w:rsidRDefault="00D6374E" w:rsidP="00D6374E">
            <w:pPr>
              <w:spacing w:before="60" w:after="60"/>
              <w:ind w:left="170" w:right="170"/>
              <w:rPr>
                <w:rFonts w:eastAsia="Calibri"/>
              </w:rPr>
            </w:pPr>
            <w:r w:rsidRPr="00D6374E">
              <w:rPr>
                <w:rFonts w:eastAsia="Calibri"/>
              </w:rPr>
              <w:t>c et d</w:t>
            </w:r>
          </w:p>
        </w:tc>
      </w:tr>
    </w:tbl>
    <w:p w:rsidR="00D6374E" w:rsidRPr="00D6374E" w:rsidRDefault="00D6374E" w:rsidP="00D6374E">
      <w:pPr>
        <w:spacing w:before="1200" w:after="120"/>
        <w:ind w:left="2268" w:right="1134" w:hanging="1134"/>
        <w:jc w:val="both"/>
        <w:rPr>
          <w:rFonts w:eastAsia="Calibri"/>
        </w:rPr>
      </w:pPr>
      <w:r w:rsidRPr="00D6374E">
        <w:rPr>
          <w:rFonts w:eastAsia="Calibri"/>
          <w:lang w:val="fr-FR"/>
        </w:rPr>
        <w:t>Exemple</w:t>
      </w:r>
      <w:r w:rsidRPr="00D6374E">
        <w:rPr>
          <w:rFonts w:eastAsia="Calibri"/>
        </w:rPr>
        <w:t> B</w:t>
      </w:r>
    </w:p>
    <w:p w:rsidR="00D6374E" w:rsidRPr="00D6374E" w:rsidRDefault="008F639B" w:rsidP="00E84A13">
      <w:pPr>
        <w:ind w:left="1134"/>
        <w:rPr>
          <w:rFonts w:eastAsia="Calibri"/>
        </w:rPr>
      </w:pPr>
      <w:r w:rsidRPr="00D6374E">
        <w:rPr>
          <w:rFonts w:eastAsia="Calibri"/>
          <w:noProof/>
          <w:lang w:val="fr-FR" w:eastAsia="fr-FR"/>
        </w:rPr>
        <mc:AlternateContent>
          <mc:Choice Requires="wps">
            <w:drawing>
              <wp:anchor distT="0" distB="0" distL="114300" distR="114300" simplePos="0" relativeHeight="251664384" behindDoc="0" locked="0" layoutInCell="1" allowOverlap="1" wp14:anchorId="711B5E13" wp14:editId="41F4E40E">
                <wp:simplePos x="0" y="0"/>
                <wp:positionH relativeFrom="column">
                  <wp:posOffset>4658834</wp:posOffset>
                </wp:positionH>
                <wp:positionV relativeFrom="paragraph">
                  <wp:posOffset>742315</wp:posOffset>
                </wp:positionV>
                <wp:extent cx="1019810" cy="691515"/>
                <wp:effectExtent l="0" t="0" r="8890" b="13335"/>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608" w:rsidRPr="006972CF" w:rsidRDefault="008D6608" w:rsidP="00D6374E">
                            <w:pPr>
                              <w:suppressAutoHyphens w:val="0"/>
                              <w:spacing w:line="240" w:lineRule="auto"/>
                            </w:pPr>
                            <w:r>
                              <w:rPr>
                                <w:sz w:val="18"/>
                                <w:szCs w:val="18"/>
                                <w:lang w:val="fr-FR" w:eastAsia="fr-FR"/>
                              </w:rPr>
                              <w:t xml:space="preserve">Pour raisons </w:t>
                            </w:r>
                            <w:r>
                              <w:rPr>
                                <w:sz w:val="18"/>
                                <w:szCs w:val="18"/>
                                <w:lang w:val="fr-FR" w:eastAsia="fr-FR"/>
                              </w:rPr>
                              <w:br/>
                              <w:t xml:space="preserve">de commodité, </w:t>
                            </w:r>
                            <w:r>
                              <w:rPr>
                                <w:sz w:val="18"/>
                                <w:szCs w:val="18"/>
                                <w:lang w:val="fr-FR" w:eastAsia="fr-FR"/>
                              </w:rPr>
                              <w:br/>
                              <w:t xml:space="preserve">la surface de la glace est représentée </w:t>
                            </w:r>
                            <w:r>
                              <w:rPr>
                                <w:sz w:val="18"/>
                                <w:szCs w:val="18"/>
                                <w:lang w:val="fr-FR" w:eastAsia="fr-FR"/>
                              </w:rPr>
                              <w:br/>
                              <w:t>comme étant plane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B5E13" id="Zone de texte 41" o:spid="_x0000_s1036" type="#_x0000_t202" style="position:absolute;left:0;text-align:left;margin-left:366.85pt;margin-top:58.45pt;width:80.3pt;height: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" filled="f" stroked="f">
                <v:textbox inset="0,0,0,0">
                  <w:txbxContent>
                    <w:p w:rsidR="008D6608" w:rsidRPr="006972CF" w:rsidRDefault="008D6608" w:rsidP="00D6374E">
                      <w:pPr>
                        <w:suppressAutoHyphens w:val="0"/>
                        <w:spacing w:line="240" w:lineRule="auto"/>
                      </w:pPr>
                      <w:r>
                        <w:rPr>
                          <w:sz w:val="18"/>
                          <w:szCs w:val="18"/>
                          <w:lang w:val="fr-FR" w:eastAsia="fr-FR"/>
                        </w:rPr>
                        <w:t xml:space="preserve">Pour raisons </w:t>
                      </w:r>
                      <w:r>
                        <w:rPr>
                          <w:sz w:val="18"/>
                          <w:szCs w:val="18"/>
                          <w:lang w:val="fr-FR" w:eastAsia="fr-FR"/>
                        </w:rPr>
                        <w:br/>
                        <w:t xml:space="preserve">de commodité, </w:t>
                      </w:r>
                      <w:r>
                        <w:rPr>
                          <w:sz w:val="18"/>
                          <w:szCs w:val="18"/>
                          <w:lang w:val="fr-FR" w:eastAsia="fr-FR"/>
                        </w:rPr>
                        <w:br/>
                        <w:t xml:space="preserve">la surface de la glace est représentée </w:t>
                      </w:r>
                      <w:r>
                        <w:rPr>
                          <w:sz w:val="18"/>
                          <w:szCs w:val="18"/>
                          <w:lang w:val="fr-FR" w:eastAsia="fr-FR"/>
                        </w:rPr>
                        <w:br/>
                        <w:t>comme étant plane</w:t>
                      </w:r>
                    </w:p>
                  </w:txbxContent>
                </v:textbox>
              </v:shape>
            </w:pict>
          </mc:Fallback>
        </mc:AlternateContent>
      </w:r>
      <w:r w:rsidR="00D6374E" w:rsidRPr="00D6374E">
        <w:rPr>
          <w:rFonts w:eastAsia="Calibri"/>
          <w:noProof/>
          <w:lang w:val="fr-FR" w:eastAsia="fr-FR"/>
        </w:rPr>
        <mc:AlternateContent>
          <mc:Choice Requires="wps">
            <w:drawing>
              <wp:anchor distT="0" distB="0" distL="114300" distR="114300" simplePos="0" relativeHeight="251665408" behindDoc="0" locked="0" layoutInCell="1" allowOverlap="1" wp14:anchorId="6CE53CE3" wp14:editId="315DAFC6">
                <wp:simplePos x="0" y="0"/>
                <wp:positionH relativeFrom="column">
                  <wp:posOffset>638479</wp:posOffset>
                </wp:positionH>
                <wp:positionV relativeFrom="paragraph">
                  <wp:posOffset>211455</wp:posOffset>
                </wp:positionV>
                <wp:extent cx="1066800" cy="463826"/>
                <wp:effectExtent l="0" t="0" r="0" b="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63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608" w:rsidRPr="000A48E5" w:rsidRDefault="008D6608" w:rsidP="00E84A13">
                            <w:pPr>
                              <w:suppressAutoHyphens w:val="0"/>
                              <w:spacing w:line="240" w:lineRule="auto"/>
                              <w:rPr>
                                <w:sz w:val="18"/>
                                <w:szCs w:val="18"/>
                                <w:lang w:val="fr-FR" w:eastAsia="fr-FR"/>
                              </w:rPr>
                            </w:pPr>
                            <w:r>
                              <w:rPr>
                                <w:sz w:val="18"/>
                                <w:szCs w:val="18"/>
                                <w:lang w:val="fr-FR" w:eastAsia="fr-FR"/>
                              </w:rPr>
                              <w:t xml:space="preserve">AXE DE </w:t>
                            </w:r>
                            <w:r>
                              <w:rPr>
                                <w:sz w:val="18"/>
                                <w:szCs w:val="18"/>
                                <w:lang w:val="fr-FR" w:eastAsia="fr-FR"/>
                              </w:rPr>
                              <w:br/>
                              <w:t xml:space="preserve">RÉFÉRENCE </w:t>
                            </w:r>
                            <w:r>
                              <w:rPr>
                                <w:sz w:val="18"/>
                                <w:szCs w:val="18"/>
                                <w:lang w:val="fr-FR" w:eastAsia="fr-FR"/>
                              </w:rPr>
                              <w:br/>
                              <w:t>DÉCLARÉ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53CE3" id="Zone de texte 40" o:spid="_x0000_s1037" type="#_x0000_t202" style="position:absolute;left:0;text-align:left;margin-left:50.25pt;margin-top:16.65pt;width:84pt;height: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" stroked="f">
                <v:textbox>
                  <w:txbxContent>
                    <w:p w:rsidR="008D6608" w:rsidRPr="000A48E5" w:rsidRDefault="008D6608" w:rsidP="00E84A13">
                      <w:pPr>
                        <w:suppressAutoHyphens w:val="0"/>
                        <w:spacing w:line="240" w:lineRule="auto"/>
                        <w:rPr>
                          <w:sz w:val="18"/>
                          <w:szCs w:val="18"/>
                          <w:lang w:val="fr-FR" w:eastAsia="fr-FR"/>
                        </w:rPr>
                      </w:pPr>
                      <w:r>
                        <w:rPr>
                          <w:sz w:val="18"/>
                          <w:szCs w:val="18"/>
                          <w:lang w:val="fr-FR" w:eastAsia="fr-FR"/>
                        </w:rPr>
                        <w:t xml:space="preserve">AXE DE </w:t>
                      </w:r>
                      <w:r>
                        <w:rPr>
                          <w:sz w:val="18"/>
                          <w:szCs w:val="18"/>
                          <w:lang w:val="fr-FR" w:eastAsia="fr-FR"/>
                        </w:rPr>
                        <w:br/>
                        <w:t xml:space="preserve">RÉFÉRENCE </w:t>
                      </w:r>
                      <w:r>
                        <w:rPr>
                          <w:sz w:val="18"/>
                          <w:szCs w:val="18"/>
                          <w:lang w:val="fr-FR" w:eastAsia="fr-FR"/>
                        </w:rPr>
                        <w:br/>
                        <w:t>DÉCLARÉ</w:t>
                      </w:r>
                    </w:p>
                  </w:txbxContent>
                </v:textbox>
              </v:shape>
            </w:pict>
          </mc:Fallback>
        </mc:AlternateContent>
      </w:r>
      <w:r w:rsidR="00D6374E" w:rsidRPr="00D6374E">
        <w:rPr>
          <w:rFonts w:eastAsia="Calibri"/>
          <w:noProof/>
          <w:lang w:val="fr-FR" w:eastAsia="fr-FR"/>
        </w:rPr>
        <mc:AlternateContent>
          <mc:Choice Requires="wps">
            <w:drawing>
              <wp:anchor distT="0" distB="0" distL="114300" distR="114300" simplePos="0" relativeHeight="251667456" behindDoc="0" locked="0" layoutInCell="1" allowOverlap="1" wp14:anchorId="722D1A90" wp14:editId="47610C22">
                <wp:simplePos x="0" y="0"/>
                <wp:positionH relativeFrom="column">
                  <wp:posOffset>4645384</wp:posOffset>
                </wp:positionH>
                <wp:positionV relativeFrom="paragraph">
                  <wp:posOffset>1793240</wp:posOffset>
                </wp:positionV>
                <wp:extent cx="887896" cy="241300"/>
                <wp:effectExtent l="0" t="0" r="7620" b="635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896"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608" w:rsidRPr="00DB4691" w:rsidRDefault="008D6608" w:rsidP="00D6374E">
                            <w:pPr>
                              <w:rPr>
                                <w:sz w:val="18"/>
                                <w:szCs w:val="18"/>
                                <w:lang w:val="de-DE"/>
                              </w:rPr>
                            </w:pPr>
                            <w:r w:rsidRPr="00DB4691">
                              <w:rPr>
                                <w:sz w:val="18"/>
                                <w:szCs w:val="18"/>
                                <w:lang w:val="de-DE"/>
                              </w:rPr>
                              <w:t>PROJECTION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D1A90" id="Zone de texte 61" o:spid="_x0000_s1038" type="#_x0000_t202" style="position:absolute;left:0;text-align:left;margin-left:365.8pt;margin-top:141.2pt;width:69.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" stroked="f">
                <v:textbox>
                  <w:txbxContent>
                    <w:p w:rsidR="008D6608" w:rsidRPr="00DB4691" w:rsidRDefault="008D6608" w:rsidP="00D6374E">
                      <w:pPr>
                        <w:rPr>
                          <w:sz w:val="18"/>
                          <w:szCs w:val="18"/>
                          <w:lang w:val="de-DE"/>
                        </w:rPr>
                      </w:pPr>
                      <w:r w:rsidRPr="00DB4691">
                        <w:rPr>
                          <w:sz w:val="18"/>
                          <w:szCs w:val="18"/>
                          <w:lang w:val="de-DE"/>
                        </w:rPr>
                        <w:t>PROJECTION</w:t>
                      </w:r>
                    </w:p>
                  </w:txbxContent>
                </v:textbox>
              </v:shape>
            </w:pict>
          </mc:Fallback>
        </mc:AlternateContent>
      </w:r>
      <w:r w:rsidR="00D6374E" w:rsidRPr="00D6374E">
        <w:rPr>
          <w:rFonts w:eastAsia="Calibri"/>
          <w:noProof/>
          <w:lang w:val="fr-FR" w:eastAsia="fr-FR"/>
        </w:rPr>
        <mc:AlternateContent>
          <mc:Choice Requires="wps">
            <w:drawing>
              <wp:anchor distT="0" distB="0" distL="114300" distR="114300" simplePos="0" relativeHeight="251674624" behindDoc="0" locked="0" layoutInCell="1" allowOverlap="1" wp14:anchorId="6ADDCF51" wp14:editId="5A673549">
                <wp:simplePos x="0" y="0"/>
                <wp:positionH relativeFrom="column">
                  <wp:posOffset>-2605405</wp:posOffset>
                </wp:positionH>
                <wp:positionV relativeFrom="paragraph">
                  <wp:posOffset>-3579495</wp:posOffset>
                </wp:positionV>
                <wp:extent cx="1066800" cy="685800"/>
                <wp:effectExtent l="0" t="0" r="0" b="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608" w:rsidRDefault="008D6608" w:rsidP="00D6374E">
                            <w:pPr>
                              <w:suppressAutoHyphens w:val="0"/>
                              <w:spacing w:line="240" w:lineRule="auto"/>
                              <w:jc w:val="center"/>
                              <w:rPr>
                                <w:sz w:val="18"/>
                                <w:szCs w:val="18"/>
                                <w:lang w:val="fr-FR" w:eastAsia="fr-FR"/>
                              </w:rPr>
                            </w:pPr>
                            <w:r>
                              <w:rPr>
                                <w:sz w:val="18"/>
                                <w:szCs w:val="18"/>
                                <w:lang w:val="fr-FR" w:eastAsia="fr-FR"/>
                              </w:rPr>
                              <w:t>AXE DE</w:t>
                            </w:r>
                          </w:p>
                          <w:p w:rsidR="008D6608" w:rsidRDefault="008D6608" w:rsidP="00D6374E">
                            <w:pPr>
                              <w:suppressAutoHyphens w:val="0"/>
                              <w:spacing w:line="240" w:lineRule="auto"/>
                              <w:jc w:val="center"/>
                              <w:rPr>
                                <w:sz w:val="18"/>
                                <w:szCs w:val="18"/>
                                <w:lang w:val="fr-FR" w:eastAsia="fr-FR"/>
                              </w:rPr>
                            </w:pPr>
                            <w:r>
                              <w:rPr>
                                <w:sz w:val="18"/>
                                <w:szCs w:val="18"/>
                                <w:lang w:val="fr-FR" w:eastAsia="fr-FR"/>
                              </w:rPr>
                              <w:t>RÉFÉRENCE</w:t>
                            </w:r>
                          </w:p>
                          <w:p w:rsidR="008D6608" w:rsidRPr="006972CF" w:rsidRDefault="008D6608" w:rsidP="00D6374E">
                            <w:pPr>
                              <w:jc w:val="center"/>
                            </w:pPr>
                            <w:r>
                              <w:rPr>
                                <w:sz w:val="18"/>
                                <w:szCs w:val="18"/>
                                <w:lang w:val="fr-FR" w:eastAsia="fr-FR"/>
                              </w:rPr>
                              <w:t>DÉCLARÉ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DCF51" id="Zone de texte 59" o:spid="_x0000_s1039" type="#_x0000_t202" style="position:absolute;left:0;text-align:left;margin-left:-205.15pt;margin-top:-281.85pt;width:84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" stroked="f">
                <v:textbox>
                  <w:txbxContent>
                    <w:p w:rsidR="008D6608" w:rsidRDefault="008D6608" w:rsidP="00D6374E">
                      <w:pPr>
                        <w:suppressAutoHyphens w:val="0"/>
                        <w:spacing w:line="240" w:lineRule="auto"/>
                        <w:jc w:val="center"/>
                        <w:rPr>
                          <w:sz w:val="18"/>
                          <w:szCs w:val="18"/>
                          <w:lang w:val="fr-FR" w:eastAsia="fr-FR"/>
                        </w:rPr>
                      </w:pPr>
                      <w:r>
                        <w:rPr>
                          <w:sz w:val="18"/>
                          <w:szCs w:val="18"/>
                          <w:lang w:val="fr-FR" w:eastAsia="fr-FR"/>
                        </w:rPr>
                        <w:t>AXE DE</w:t>
                      </w:r>
                    </w:p>
                    <w:p w:rsidR="008D6608" w:rsidRDefault="008D6608" w:rsidP="00D6374E">
                      <w:pPr>
                        <w:suppressAutoHyphens w:val="0"/>
                        <w:spacing w:line="240" w:lineRule="auto"/>
                        <w:jc w:val="center"/>
                        <w:rPr>
                          <w:sz w:val="18"/>
                          <w:szCs w:val="18"/>
                          <w:lang w:val="fr-FR" w:eastAsia="fr-FR"/>
                        </w:rPr>
                      </w:pPr>
                      <w:r>
                        <w:rPr>
                          <w:sz w:val="18"/>
                          <w:szCs w:val="18"/>
                          <w:lang w:val="fr-FR" w:eastAsia="fr-FR"/>
                        </w:rPr>
                        <w:t>RÉFÉRENCE</w:t>
                      </w:r>
                    </w:p>
                    <w:p w:rsidR="008D6608" w:rsidRPr="006972CF" w:rsidRDefault="008D6608" w:rsidP="00D6374E">
                      <w:pPr>
                        <w:jc w:val="center"/>
                      </w:pPr>
                      <w:r>
                        <w:rPr>
                          <w:sz w:val="18"/>
                          <w:szCs w:val="18"/>
                          <w:lang w:val="fr-FR" w:eastAsia="fr-FR"/>
                        </w:rPr>
                        <w:t>DÉCLARÉ</w:t>
                      </w:r>
                    </w:p>
                  </w:txbxContent>
                </v:textbox>
              </v:shape>
            </w:pict>
          </mc:Fallback>
        </mc:AlternateContent>
      </w:r>
      <w:r w:rsidR="00D6374E" w:rsidRPr="00D6374E">
        <w:rPr>
          <w:rFonts w:eastAsia="Calibri"/>
        </w:rPr>
        <w:object w:dxaOrig="7531" w:dyaOrig="3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15pt;height:184.3pt" o:ole="">
            <v:imagedata r:id="rId12" o:title=""/>
          </v:shape>
          <o:OLEObject Type="Embed" ProgID="Word.Picture.8" ShapeID="_x0000_i1025" DrawAspect="Content" ObjectID="_1668598630" r:id="rId13"/>
        </w:objec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6"/>
        <w:gridCol w:w="2450"/>
        <w:gridCol w:w="2954"/>
      </w:tblGrid>
      <w:tr w:rsidR="00D6374E" w:rsidRPr="00D6374E" w:rsidTr="00DB75DF">
        <w:tc>
          <w:tcPr>
            <w:tcW w:w="1966" w:type="dxa"/>
            <w:shd w:val="clear" w:color="auto" w:fill="auto"/>
            <w:vAlign w:val="bottom"/>
          </w:tcPr>
          <w:p w:rsidR="00D6374E" w:rsidRPr="00D6374E" w:rsidRDefault="00D6374E" w:rsidP="00D6374E">
            <w:pPr>
              <w:spacing w:before="60" w:after="60"/>
              <w:ind w:left="170" w:right="170"/>
              <w:rPr>
                <w:rFonts w:eastAsia="Calibri"/>
                <w:i/>
              </w:rPr>
            </w:pPr>
            <w:bookmarkStart w:id="48" w:name="_MON_1462772075"/>
            <w:bookmarkStart w:id="49" w:name="_MON_1435664303"/>
            <w:bookmarkStart w:id="50" w:name="_MON_1435664347"/>
            <w:bookmarkStart w:id="51" w:name="_MON_1435664365"/>
            <w:bookmarkStart w:id="52" w:name="_MON_1436005052"/>
            <w:bookmarkStart w:id="53" w:name="_MON_1436005093"/>
            <w:bookmarkStart w:id="54" w:name="_MON_1436012356"/>
            <w:bookmarkStart w:id="55" w:name="_MON_1436012448"/>
            <w:bookmarkStart w:id="56" w:name="_MON_1436013167"/>
            <w:bookmarkEnd w:id="48"/>
            <w:bookmarkEnd w:id="49"/>
            <w:bookmarkEnd w:id="50"/>
            <w:bookmarkEnd w:id="51"/>
            <w:bookmarkEnd w:id="52"/>
            <w:bookmarkEnd w:id="53"/>
            <w:bookmarkEnd w:id="54"/>
            <w:bookmarkEnd w:id="55"/>
            <w:bookmarkEnd w:id="56"/>
          </w:p>
        </w:tc>
        <w:tc>
          <w:tcPr>
            <w:tcW w:w="2450" w:type="dxa"/>
            <w:shd w:val="clear" w:color="auto" w:fill="auto"/>
            <w:vAlign w:val="bottom"/>
          </w:tcPr>
          <w:p w:rsidR="00D6374E" w:rsidRPr="00D6374E" w:rsidRDefault="00D6374E" w:rsidP="00D6374E">
            <w:pPr>
              <w:spacing w:before="60" w:after="60"/>
              <w:ind w:left="170" w:right="170"/>
              <w:rPr>
                <w:rFonts w:eastAsia="Calibri"/>
                <w:i/>
              </w:rPr>
            </w:pPr>
            <w:r w:rsidRPr="00D6374E">
              <w:rPr>
                <w:rFonts w:eastAsia="Calibri"/>
                <w:i/>
              </w:rPr>
              <w:t>Plage éclairante</w:t>
            </w:r>
          </w:p>
        </w:tc>
        <w:tc>
          <w:tcPr>
            <w:tcW w:w="2954" w:type="dxa"/>
            <w:shd w:val="clear" w:color="auto" w:fill="auto"/>
            <w:vAlign w:val="bottom"/>
          </w:tcPr>
          <w:p w:rsidR="00D6374E" w:rsidRPr="00D6374E" w:rsidRDefault="00D6374E" w:rsidP="00D6374E">
            <w:pPr>
              <w:spacing w:before="60" w:after="60"/>
              <w:ind w:left="170" w:right="170"/>
              <w:rPr>
                <w:rFonts w:eastAsia="Calibri"/>
                <w:i/>
              </w:rPr>
            </w:pPr>
            <w:r w:rsidRPr="00D6374E">
              <w:rPr>
                <w:rFonts w:eastAsia="Calibri"/>
                <w:i/>
              </w:rPr>
              <w:t>Surface de sortie de la lumière déclarée, conformément au point 2.10.2 a)</w:t>
            </w:r>
          </w:p>
        </w:tc>
      </w:tr>
      <w:tr w:rsidR="00D6374E" w:rsidRPr="00D6374E" w:rsidTr="00DB75DF">
        <w:tc>
          <w:tcPr>
            <w:tcW w:w="1966" w:type="dxa"/>
            <w:shd w:val="clear" w:color="auto" w:fill="auto"/>
          </w:tcPr>
          <w:p w:rsidR="00D6374E" w:rsidRPr="00D6374E" w:rsidRDefault="00D6374E" w:rsidP="00D6374E">
            <w:pPr>
              <w:spacing w:before="60" w:after="60"/>
              <w:ind w:left="170" w:right="170"/>
              <w:rPr>
                <w:rFonts w:eastAsia="Calibri"/>
                <w:lang w:eastAsia="fr-FR"/>
              </w:rPr>
            </w:pPr>
            <w:r w:rsidRPr="00D6374E">
              <w:rPr>
                <w:rFonts w:eastAsia="Calibri"/>
                <w:lang w:eastAsia="fr-FR"/>
              </w:rPr>
              <w:t>Les bords sont</w:t>
            </w:r>
          </w:p>
        </w:tc>
        <w:tc>
          <w:tcPr>
            <w:tcW w:w="2450" w:type="dxa"/>
            <w:shd w:val="clear" w:color="auto" w:fill="auto"/>
          </w:tcPr>
          <w:p w:rsidR="00D6374E" w:rsidRPr="00D6374E" w:rsidRDefault="00D6374E" w:rsidP="00D6374E">
            <w:pPr>
              <w:spacing w:before="60" w:after="60"/>
              <w:ind w:left="170" w:right="170"/>
              <w:rPr>
                <w:rFonts w:eastAsia="Calibri"/>
                <w:lang w:eastAsia="fr-FR"/>
              </w:rPr>
            </w:pPr>
            <w:r w:rsidRPr="00D6374E">
              <w:rPr>
                <w:rFonts w:eastAsia="Calibri"/>
                <w:lang w:eastAsia="fr-FR"/>
              </w:rPr>
              <w:t>a et b</w:t>
            </w:r>
          </w:p>
        </w:tc>
        <w:tc>
          <w:tcPr>
            <w:tcW w:w="2954" w:type="dxa"/>
            <w:shd w:val="clear" w:color="auto" w:fill="auto"/>
          </w:tcPr>
          <w:p w:rsidR="00D6374E" w:rsidRPr="00D6374E" w:rsidRDefault="00D6374E" w:rsidP="00D6374E">
            <w:pPr>
              <w:spacing w:before="60" w:after="60"/>
              <w:ind w:left="170" w:right="170"/>
              <w:rPr>
                <w:rFonts w:eastAsia="Calibri"/>
                <w:lang w:eastAsia="fr-FR"/>
              </w:rPr>
            </w:pPr>
            <w:r w:rsidRPr="00D6374E">
              <w:rPr>
                <w:rFonts w:eastAsia="Calibri"/>
                <w:lang w:eastAsia="fr-FR"/>
              </w:rPr>
              <w:t>c et d</w:t>
            </w:r>
          </w:p>
        </w:tc>
      </w:tr>
    </w:tbl>
    <w:p w:rsidR="00D6374E" w:rsidRPr="00D6374E" w:rsidRDefault="00D6374E" w:rsidP="00E84A13">
      <w:pPr>
        <w:keepNext/>
        <w:keepLines/>
        <w:spacing w:before="1200" w:after="120"/>
        <w:ind w:left="2268" w:right="1134" w:hanging="1134"/>
        <w:jc w:val="both"/>
        <w:rPr>
          <w:rFonts w:eastAsia="Calibri"/>
        </w:rPr>
      </w:pPr>
      <w:r w:rsidRPr="00D6374E">
        <w:rPr>
          <w:rFonts w:eastAsia="Calibri"/>
        </w:rPr>
        <w:lastRenderedPageBreak/>
        <w:t>Exemple D</w:t>
      </w:r>
    </w:p>
    <w:p w:rsidR="00D6374E" w:rsidRPr="00D6374E" w:rsidRDefault="00D6374E" w:rsidP="00E84A13">
      <w:pPr>
        <w:keepNext/>
        <w:keepLines/>
        <w:spacing w:after="120"/>
        <w:ind w:left="1134" w:right="1134"/>
        <w:jc w:val="both"/>
        <w:rPr>
          <w:rFonts w:eastAsia="Calibri"/>
          <w:lang w:eastAsia="fr-FR"/>
        </w:rPr>
      </w:pPr>
      <w:r w:rsidRPr="00D6374E">
        <w:rPr>
          <w:rFonts w:eastAsia="Calibri"/>
          <w:lang w:val="fr-FR"/>
        </w:rPr>
        <w:t>Exemple</w:t>
      </w:r>
      <w:r w:rsidRPr="00D6374E">
        <w:rPr>
          <w:rFonts w:eastAsia="Calibri"/>
        </w:rPr>
        <w:t xml:space="preserve"> </w:t>
      </w:r>
      <w:r w:rsidRPr="00D6374E">
        <w:rPr>
          <w:rFonts w:eastAsia="Calibri"/>
          <w:lang w:eastAsia="fr-FR"/>
        </w:rPr>
        <w:t>permettant de déterminer la surface de sortie de la lumière, conformément au point 2.10.2 a), un élément ne faisant pas partie de cette fonction étant présent :</w:t>
      </w:r>
    </w:p>
    <w:p w:rsidR="00D6374E" w:rsidRPr="00D6374E" w:rsidRDefault="0055439C" w:rsidP="00E84A13">
      <w:pPr>
        <w:keepNext/>
        <w:keepLines/>
        <w:ind w:left="1134"/>
        <w:rPr>
          <w:rFonts w:eastAsia="Calibri"/>
        </w:rPr>
      </w:pPr>
      <w:r w:rsidRPr="00D6374E">
        <w:rPr>
          <w:rFonts w:eastAsia="Calibri"/>
          <w:noProof/>
          <w:lang w:val="fr-FR" w:eastAsia="fr-FR"/>
        </w:rPr>
        <mc:AlternateContent>
          <mc:Choice Requires="wps">
            <w:drawing>
              <wp:anchor distT="0" distB="0" distL="114300" distR="114300" simplePos="0" relativeHeight="251673600" behindDoc="0" locked="0" layoutInCell="1" allowOverlap="1" wp14:anchorId="69781E4B" wp14:editId="402F1058">
                <wp:simplePos x="0" y="0"/>
                <wp:positionH relativeFrom="column">
                  <wp:posOffset>3453130</wp:posOffset>
                </wp:positionH>
                <wp:positionV relativeFrom="paragraph">
                  <wp:posOffset>598170</wp:posOffset>
                </wp:positionV>
                <wp:extent cx="948055" cy="299720"/>
                <wp:effectExtent l="0" t="0" r="4445" b="5080"/>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608" w:rsidRPr="005E1D13" w:rsidRDefault="008D6608" w:rsidP="00D6374E">
                            <w:pPr>
                              <w:spacing w:line="240" w:lineRule="auto"/>
                              <w:rPr>
                                <w:bCs/>
                                <w:color w:val="000000"/>
                                <w:sz w:val="18"/>
                                <w:szCs w:val="18"/>
                                <w:lang w:val="fr-FR"/>
                              </w:rPr>
                            </w:pPr>
                            <w:r w:rsidRPr="005E1D13">
                              <w:rPr>
                                <w:bCs/>
                                <w:color w:val="000000"/>
                                <w:sz w:val="18"/>
                                <w:szCs w:val="18"/>
                                <w:lang w:val="fr-FR"/>
                              </w:rPr>
                              <w:t xml:space="preserve">X </w:t>
                            </w:r>
                            <w:r w:rsidRPr="005E1D13">
                              <w:rPr>
                                <w:sz w:val="18"/>
                                <w:szCs w:val="18"/>
                                <w:lang w:val="fr-FR" w:eastAsia="fr-FR"/>
                              </w:rPr>
                              <w:t>ne fait pas partie de cette fonction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81E4B" id="Zone de texte 49" o:spid="_x0000_s1040" type="#_x0000_t202" style="position:absolute;left:0;text-align:left;margin-left:271.9pt;margin-top:47.1pt;width:74.65pt;height:2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" filled="f" stroked="f">
                <v:textbox inset="0,0,0,0">
                  <w:txbxContent>
                    <w:p w:rsidR="008D6608" w:rsidRPr="005E1D13" w:rsidRDefault="008D6608" w:rsidP="00D6374E">
                      <w:pPr>
                        <w:spacing w:line="240" w:lineRule="auto"/>
                        <w:rPr>
                          <w:bCs/>
                          <w:color w:val="000000"/>
                          <w:sz w:val="18"/>
                          <w:szCs w:val="18"/>
                          <w:lang w:val="fr-FR"/>
                        </w:rPr>
                      </w:pPr>
                      <w:r w:rsidRPr="005E1D13">
                        <w:rPr>
                          <w:bCs/>
                          <w:color w:val="000000"/>
                          <w:sz w:val="18"/>
                          <w:szCs w:val="18"/>
                          <w:lang w:val="fr-FR"/>
                        </w:rPr>
                        <w:t xml:space="preserve">X </w:t>
                      </w:r>
                      <w:r w:rsidRPr="005E1D13">
                        <w:rPr>
                          <w:sz w:val="18"/>
                          <w:szCs w:val="18"/>
                          <w:lang w:val="fr-FR" w:eastAsia="fr-FR"/>
                        </w:rPr>
                        <w:t>ne fait pas partie de cette fonction</w:t>
                      </w:r>
                    </w:p>
                  </w:txbxContent>
                </v:textbox>
              </v:shape>
            </w:pict>
          </mc:Fallback>
        </mc:AlternateContent>
      </w:r>
      <w:r w:rsidR="008F639B" w:rsidRPr="00D6374E">
        <w:rPr>
          <w:rFonts w:eastAsia="Calibri"/>
          <w:noProof/>
          <w:lang w:val="fr-FR" w:eastAsia="fr-FR"/>
        </w:rPr>
        <mc:AlternateContent>
          <mc:Choice Requires="wps">
            <w:drawing>
              <wp:anchor distT="0" distB="0" distL="114300" distR="114300" simplePos="0" relativeHeight="251676672" behindDoc="0" locked="0" layoutInCell="1" allowOverlap="1" wp14:anchorId="6892C56D" wp14:editId="61ACCF0C">
                <wp:simplePos x="0" y="0"/>
                <wp:positionH relativeFrom="column">
                  <wp:posOffset>4534535</wp:posOffset>
                </wp:positionH>
                <wp:positionV relativeFrom="paragraph">
                  <wp:posOffset>667546</wp:posOffset>
                </wp:positionV>
                <wp:extent cx="1352550" cy="539750"/>
                <wp:effectExtent l="0" t="0" r="0" b="1270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608" w:rsidRPr="006972CF" w:rsidRDefault="008D6608" w:rsidP="00D6374E">
                            <w:pPr>
                              <w:suppressAutoHyphens w:val="0"/>
                              <w:spacing w:line="240" w:lineRule="auto"/>
                            </w:pPr>
                            <w:r>
                              <w:rPr>
                                <w:sz w:val="18"/>
                                <w:szCs w:val="18"/>
                                <w:lang w:val="fr-FR" w:eastAsia="fr-FR"/>
                              </w:rPr>
                              <w:t>Pour raisons de commodité, la surface de la glace est représentée comme étant plane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2C56D" id="Zone de texte 50" o:spid="_x0000_s1041" type="#_x0000_t202" style="position:absolute;left:0;text-align:left;margin-left:357.05pt;margin-top:52.55pt;width:106.5pt;height: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" filled="f" stroked="f">
                <v:textbox inset="0,0,0,0">
                  <w:txbxContent>
                    <w:p w:rsidR="008D6608" w:rsidRPr="006972CF" w:rsidRDefault="008D6608" w:rsidP="00D6374E">
                      <w:pPr>
                        <w:suppressAutoHyphens w:val="0"/>
                        <w:spacing w:line="240" w:lineRule="auto"/>
                      </w:pPr>
                      <w:r>
                        <w:rPr>
                          <w:sz w:val="18"/>
                          <w:szCs w:val="18"/>
                          <w:lang w:val="fr-FR" w:eastAsia="fr-FR"/>
                        </w:rPr>
                        <w:t>Pour raisons de commodité, la surface de la glace est représentée comme étant plane</w:t>
                      </w:r>
                    </w:p>
                  </w:txbxContent>
                </v:textbox>
              </v:shape>
            </w:pict>
          </mc:Fallback>
        </mc:AlternateContent>
      </w:r>
      <w:r w:rsidR="00E94091" w:rsidRPr="00D6374E">
        <w:rPr>
          <w:rFonts w:eastAsia="Calibri"/>
          <w:noProof/>
          <w:lang w:val="fr-FR" w:eastAsia="fr-FR"/>
        </w:rPr>
        <mc:AlternateContent>
          <mc:Choice Requires="wps">
            <w:drawing>
              <wp:anchor distT="0" distB="0" distL="114300" distR="114300" simplePos="0" relativeHeight="251675648" behindDoc="0" locked="0" layoutInCell="1" allowOverlap="1" wp14:anchorId="447409DC" wp14:editId="32AB1CAE">
                <wp:simplePos x="0" y="0"/>
                <wp:positionH relativeFrom="column">
                  <wp:posOffset>4723434</wp:posOffset>
                </wp:positionH>
                <wp:positionV relativeFrom="paragraph">
                  <wp:posOffset>1666240</wp:posOffset>
                </wp:positionV>
                <wp:extent cx="1028700" cy="342900"/>
                <wp:effectExtent l="0" t="0" r="0" b="0"/>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608" w:rsidRPr="006004F4" w:rsidRDefault="008D6608" w:rsidP="00D6374E">
                            <w:pPr>
                              <w:rPr>
                                <w:lang w:val="de-DE"/>
                              </w:rPr>
                            </w:pPr>
                            <w:r w:rsidRPr="006004F4">
                              <w:rPr>
                                <w:lang w:val="de-DE"/>
                              </w:rPr>
                              <w:t>PROJECT</w:t>
                            </w:r>
                            <w:r>
                              <w:rPr>
                                <w:lang w:val="de-DE"/>
                              </w:rPr>
                              <w: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409DC" id="Zone de texte 48" o:spid="_x0000_s1042" type="#_x0000_t202" style="position:absolute;left:0;text-align:left;margin-left:371.9pt;margin-top:131.2pt;width:8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" filled="f" stroked="f">
                <v:textbox>
                  <w:txbxContent>
                    <w:p w:rsidR="008D6608" w:rsidRPr="006004F4" w:rsidRDefault="008D6608" w:rsidP="00D6374E">
                      <w:pPr>
                        <w:rPr>
                          <w:lang w:val="de-DE"/>
                        </w:rPr>
                      </w:pPr>
                      <w:r w:rsidRPr="006004F4">
                        <w:rPr>
                          <w:lang w:val="de-DE"/>
                        </w:rPr>
                        <w:t>PROJECT</w:t>
                      </w:r>
                      <w:r>
                        <w:rPr>
                          <w:lang w:val="de-DE"/>
                        </w:rPr>
                        <w:t>ION</w:t>
                      </w:r>
                    </w:p>
                  </w:txbxContent>
                </v:textbox>
              </v:shape>
            </w:pict>
          </mc:Fallback>
        </mc:AlternateContent>
      </w:r>
      <w:r w:rsidR="00E94091" w:rsidRPr="00D6374E">
        <w:rPr>
          <w:rFonts w:eastAsia="Calibri"/>
          <w:noProof/>
          <w:lang w:val="fr-FR" w:eastAsia="fr-FR"/>
        </w:rPr>
        <mc:AlternateContent>
          <mc:Choice Requires="wps">
            <w:drawing>
              <wp:anchor distT="0" distB="0" distL="114300" distR="114300" simplePos="0" relativeHeight="251668480" behindDoc="0" locked="0" layoutInCell="1" allowOverlap="1" wp14:anchorId="3D8FE124" wp14:editId="53BCFD7D">
                <wp:simplePos x="0" y="0"/>
                <wp:positionH relativeFrom="column">
                  <wp:posOffset>663244</wp:posOffset>
                </wp:positionH>
                <wp:positionV relativeFrom="paragraph">
                  <wp:posOffset>302260</wp:posOffset>
                </wp:positionV>
                <wp:extent cx="1129030" cy="572770"/>
                <wp:effectExtent l="0" t="0" r="0"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608" w:rsidRPr="00C6787C" w:rsidRDefault="008D6608" w:rsidP="00E94091">
                            <w:pPr>
                              <w:suppressAutoHyphens w:val="0"/>
                              <w:spacing w:line="240" w:lineRule="auto"/>
                              <w:rPr>
                                <w:szCs w:val="22"/>
                                <w:lang w:val="fr-FR" w:eastAsia="fr-FR"/>
                              </w:rPr>
                            </w:pPr>
                            <w:r>
                              <w:rPr>
                                <w:szCs w:val="22"/>
                                <w:lang w:val="fr-FR" w:eastAsia="fr-FR"/>
                              </w:rPr>
                              <w:t xml:space="preserve">AXE DE RÉFÉRENCE </w:t>
                            </w:r>
                            <w:r>
                              <w:rPr>
                                <w:szCs w:val="22"/>
                                <w:lang w:val="fr-FR" w:eastAsia="fr-FR"/>
                              </w:rPr>
                              <w:br/>
                            </w:r>
                            <w:r w:rsidRPr="00DA3B2F">
                              <w:rPr>
                                <w:szCs w:val="22"/>
                                <w:lang w:val="fr-FR" w:eastAsia="fr-FR"/>
                              </w:rPr>
                              <w:t>DÉCLARÉ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FE124" id="Zone de texte 47" o:spid="_x0000_s1043" type="#_x0000_t202" style="position:absolute;left:0;text-align:left;margin-left:52.2pt;margin-top:23.8pt;width:88.9pt;height:4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" filled="f" stroked="f">
                <v:textbox>
                  <w:txbxContent>
                    <w:p w:rsidR="008D6608" w:rsidRPr="00C6787C" w:rsidRDefault="008D6608" w:rsidP="00E94091">
                      <w:pPr>
                        <w:suppressAutoHyphens w:val="0"/>
                        <w:spacing w:line="240" w:lineRule="auto"/>
                        <w:rPr>
                          <w:szCs w:val="22"/>
                          <w:lang w:val="fr-FR" w:eastAsia="fr-FR"/>
                        </w:rPr>
                      </w:pPr>
                      <w:r>
                        <w:rPr>
                          <w:szCs w:val="22"/>
                          <w:lang w:val="fr-FR" w:eastAsia="fr-FR"/>
                        </w:rPr>
                        <w:t xml:space="preserve">AXE DE RÉFÉRENCE </w:t>
                      </w:r>
                      <w:r>
                        <w:rPr>
                          <w:szCs w:val="22"/>
                          <w:lang w:val="fr-FR" w:eastAsia="fr-FR"/>
                        </w:rPr>
                        <w:br/>
                      </w:r>
                      <w:r w:rsidRPr="00DA3B2F">
                        <w:rPr>
                          <w:szCs w:val="22"/>
                          <w:lang w:val="fr-FR" w:eastAsia="fr-FR"/>
                        </w:rPr>
                        <w:t>DÉCLARÉ</w:t>
                      </w:r>
                    </w:p>
                  </w:txbxContent>
                </v:textbox>
              </v:shape>
            </w:pict>
          </mc:Fallback>
        </mc:AlternateContent>
      </w:r>
      <w:r w:rsidR="00D6374E" w:rsidRPr="00D6374E">
        <w:rPr>
          <w:rFonts w:eastAsia="Calibri"/>
          <w:noProof/>
          <w:lang w:val="fr-FR" w:eastAsia="fr-FR"/>
        </w:rPr>
        <w:drawing>
          <wp:inline distT="0" distB="0" distL="0" distR="0" wp14:anchorId="14559555" wp14:editId="324E8717">
            <wp:extent cx="5022000" cy="2163600"/>
            <wp:effectExtent l="0" t="0" r="7620" b="825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2000" cy="2163600"/>
                    </a:xfrm>
                    <a:prstGeom prst="rect">
                      <a:avLst/>
                    </a:prstGeom>
                    <a:noFill/>
                    <a:ln>
                      <a:noFill/>
                    </a:ln>
                  </pic:spPr>
                </pic:pic>
              </a:graphicData>
            </a:graphic>
          </wp:inline>
        </w:drawing>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8"/>
        <w:gridCol w:w="4912"/>
      </w:tblGrid>
      <w:tr w:rsidR="00D6374E" w:rsidRPr="00D6374E" w:rsidTr="00DB75DF">
        <w:tc>
          <w:tcPr>
            <w:tcW w:w="2458" w:type="dxa"/>
            <w:shd w:val="clear" w:color="auto" w:fill="auto"/>
          </w:tcPr>
          <w:p w:rsidR="00D6374E" w:rsidRPr="00D6374E" w:rsidRDefault="00D6374E" w:rsidP="00E84A13">
            <w:pPr>
              <w:keepNext/>
              <w:keepLines/>
              <w:spacing w:before="60" w:after="60"/>
              <w:ind w:left="170" w:right="170"/>
              <w:rPr>
                <w:rFonts w:eastAsia="Calibri"/>
                <w:i/>
              </w:rPr>
            </w:pPr>
            <w:bookmarkStart w:id="57" w:name="_MON_1435665033"/>
            <w:bookmarkStart w:id="58" w:name="_MON_1436013076"/>
            <w:bookmarkStart w:id="59" w:name="_MON_1436013228"/>
            <w:bookmarkStart w:id="60" w:name="_MON_1436013253"/>
            <w:bookmarkStart w:id="61" w:name="_MON_1436013314"/>
            <w:bookmarkStart w:id="62" w:name="_MON_1436013520"/>
            <w:bookmarkStart w:id="63" w:name="_MON_1436014242"/>
            <w:bookmarkStart w:id="64" w:name="_MON_1436084275"/>
            <w:bookmarkEnd w:id="57"/>
            <w:bookmarkEnd w:id="58"/>
            <w:bookmarkEnd w:id="59"/>
            <w:bookmarkEnd w:id="60"/>
            <w:bookmarkEnd w:id="61"/>
            <w:bookmarkEnd w:id="62"/>
            <w:bookmarkEnd w:id="63"/>
            <w:bookmarkEnd w:id="64"/>
          </w:p>
        </w:tc>
        <w:tc>
          <w:tcPr>
            <w:tcW w:w="4912" w:type="dxa"/>
            <w:shd w:val="clear" w:color="auto" w:fill="auto"/>
          </w:tcPr>
          <w:p w:rsidR="00D6374E" w:rsidRPr="00D6374E" w:rsidRDefault="00D6374E" w:rsidP="00E84A13">
            <w:pPr>
              <w:keepNext/>
              <w:keepLines/>
              <w:spacing w:before="60" w:after="60"/>
              <w:ind w:left="170" w:right="170"/>
              <w:rPr>
                <w:rFonts w:eastAsia="Calibri"/>
                <w:i/>
              </w:rPr>
            </w:pPr>
            <w:r w:rsidRPr="00D6374E">
              <w:rPr>
                <w:rFonts w:eastAsia="Calibri"/>
                <w:i/>
              </w:rPr>
              <w:t xml:space="preserve">Surface de sortie de la lumière déclarée conformément </w:t>
            </w:r>
            <w:r w:rsidRPr="00D6374E">
              <w:rPr>
                <w:rFonts w:eastAsia="Calibri"/>
                <w:i/>
              </w:rPr>
              <w:br/>
              <w:t>au point 2.10.2 a)</w:t>
            </w:r>
          </w:p>
        </w:tc>
      </w:tr>
      <w:tr w:rsidR="00D6374E" w:rsidRPr="00D6374E" w:rsidTr="00DB75DF">
        <w:tc>
          <w:tcPr>
            <w:tcW w:w="2458" w:type="dxa"/>
            <w:shd w:val="clear" w:color="auto" w:fill="auto"/>
          </w:tcPr>
          <w:p w:rsidR="00D6374E" w:rsidRPr="00D6374E" w:rsidRDefault="00D6374E" w:rsidP="00D6374E">
            <w:pPr>
              <w:spacing w:before="60" w:after="60"/>
              <w:ind w:left="170" w:right="170"/>
              <w:rPr>
                <w:rFonts w:eastAsia="Calibri"/>
                <w:lang w:eastAsia="fr-FR"/>
              </w:rPr>
            </w:pPr>
            <w:r w:rsidRPr="00D6374E">
              <w:rPr>
                <w:rFonts w:eastAsia="Calibri"/>
                <w:lang w:eastAsia="fr-FR"/>
              </w:rPr>
              <w:t>Les bords sont</w:t>
            </w:r>
          </w:p>
        </w:tc>
        <w:tc>
          <w:tcPr>
            <w:tcW w:w="4912" w:type="dxa"/>
            <w:shd w:val="clear" w:color="auto" w:fill="auto"/>
          </w:tcPr>
          <w:p w:rsidR="00D6374E" w:rsidRPr="00D6374E" w:rsidRDefault="00D6374E" w:rsidP="00D6374E">
            <w:pPr>
              <w:spacing w:before="60" w:after="60"/>
              <w:ind w:left="170" w:right="170"/>
              <w:rPr>
                <w:rFonts w:eastAsia="Calibri"/>
                <w:lang w:eastAsia="fr-FR"/>
              </w:rPr>
            </w:pPr>
            <w:r w:rsidRPr="00D6374E">
              <w:rPr>
                <w:rFonts w:eastAsia="Calibri"/>
                <w:lang w:eastAsia="fr-FR"/>
              </w:rPr>
              <w:t>c-d et e-f</w:t>
            </w:r>
          </w:p>
        </w:tc>
      </w:tr>
    </w:tbl>
    <w:p w:rsidR="00D6374E" w:rsidRPr="00D6374E" w:rsidRDefault="00D6374E" w:rsidP="00E94091">
      <w:pPr>
        <w:keepNext/>
        <w:keepLines/>
        <w:spacing w:before="360" w:after="120"/>
        <w:ind w:left="1134" w:right="1134"/>
        <w:jc w:val="both"/>
        <w:rPr>
          <w:rFonts w:eastAsia="Calibri"/>
        </w:rPr>
      </w:pPr>
      <w:r w:rsidRPr="00D6374E">
        <w:rPr>
          <w:rFonts w:eastAsia="Calibri"/>
          <w:lang w:val="fr-FR"/>
        </w:rPr>
        <w:t>Exemple</w:t>
      </w:r>
      <w:r w:rsidRPr="00D6374E">
        <w:rPr>
          <w:rFonts w:eastAsia="Calibri"/>
        </w:rPr>
        <w:t> E</w:t>
      </w:r>
    </w:p>
    <w:p w:rsidR="00D6374E" w:rsidRPr="00D6374E" w:rsidRDefault="00D6374E" w:rsidP="00D6374E">
      <w:pPr>
        <w:keepNext/>
        <w:keepLines/>
        <w:spacing w:after="120"/>
        <w:ind w:left="1134" w:right="1134"/>
        <w:jc w:val="both"/>
        <w:rPr>
          <w:rFonts w:eastAsia="Calibri"/>
          <w:lang w:eastAsia="fr-FR"/>
        </w:rPr>
      </w:pPr>
      <w:r w:rsidRPr="00D6374E">
        <w:rPr>
          <w:rFonts w:eastAsia="Calibri"/>
          <w:lang w:val="fr-FR"/>
        </w:rPr>
        <w:t>Exemple</w:t>
      </w:r>
      <w:r w:rsidRPr="00D6374E">
        <w:rPr>
          <w:rFonts w:eastAsia="Calibri"/>
        </w:rPr>
        <w:t xml:space="preserve"> permettant de déterminer la surface apparente, un élément ne faisant pas partie de cette</w:t>
      </w:r>
      <w:r w:rsidRPr="00D6374E">
        <w:rPr>
          <w:rFonts w:eastAsia="Calibri"/>
          <w:lang w:eastAsia="fr-FR"/>
        </w:rPr>
        <w:t xml:space="preserve"> fonction et une glace extérieure non texturée étant présents (conformément au point 2.10.2 b)) :</w:t>
      </w:r>
    </w:p>
    <w:p w:rsidR="00D6374E" w:rsidRPr="00D6374E" w:rsidRDefault="00964968" w:rsidP="00D6374E">
      <w:pPr>
        <w:ind w:left="1134"/>
        <w:rPr>
          <w:rFonts w:eastAsia="Calibri"/>
        </w:rPr>
      </w:pPr>
      <w:r w:rsidRPr="00D6374E">
        <w:rPr>
          <w:rFonts w:eastAsia="Calibri"/>
          <w:noProof/>
          <w:lang w:val="fr-FR" w:eastAsia="fr-FR"/>
        </w:rPr>
        <mc:AlternateContent>
          <mc:Choice Requires="wps">
            <w:drawing>
              <wp:anchor distT="0" distB="0" distL="114300" distR="114300" simplePos="0" relativeHeight="251678720" behindDoc="0" locked="0" layoutInCell="1" allowOverlap="1" wp14:anchorId="016F3E9A" wp14:editId="23C15571">
                <wp:simplePos x="0" y="0"/>
                <wp:positionH relativeFrom="column">
                  <wp:posOffset>3380105</wp:posOffset>
                </wp:positionH>
                <wp:positionV relativeFrom="paragraph">
                  <wp:posOffset>872490</wp:posOffset>
                </wp:positionV>
                <wp:extent cx="975995" cy="271780"/>
                <wp:effectExtent l="0" t="0" r="14605" b="1397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717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608" w:rsidRPr="00651954" w:rsidRDefault="008D6608" w:rsidP="00D6374E">
                            <w:pPr>
                              <w:suppressAutoHyphens w:val="0"/>
                              <w:spacing w:line="240" w:lineRule="auto"/>
                              <w:rPr>
                                <w:bCs/>
                                <w:color w:val="000000"/>
                                <w:sz w:val="18"/>
                                <w:szCs w:val="18"/>
                                <w:lang w:val="fr-FR"/>
                              </w:rPr>
                            </w:pPr>
                            <w:r w:rsidRPr="00651954">
                              <w:rPr>
                                <w:sz w:val="18"/>
                                <w:szCs w:val="18"/>
                                <w:lang w:val="fr-FR" w:eastAsia="fr-FR"/>
                              </w:rPr>
                              <w:t xml:space="preserve">X ne fait pas partie </w:t>
                            </w:r>
                            <w:r>
                              <w:rPr>
                                <w:sz w:val="18"/>
                                <w:szCs w:val="18"/>
                                <w:lang w:val="fr-FR" w:eastAsia="fr-FR"/>
                              </w:rPr>
                              <w:br/>
                            </w:r>
                            <w:r w:rsidRPr="00651954">
                              <w:rPr>
                                <w:sz w:val="18"/>
                                <w:szCs w:val="18"/>
                                <w:lang w:val="fr-FR" w:eastAsia="fr-FR"/>
                              </w:rPr>
                              <w:t>de cette fonction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F3E9A" id="Zone de texte 60" o:spid="_x0000_s1044" type="#_x0000_t202" style="position:absolute;left:0;text-align:left;margin-left:266.15pt;margin-top:68.7pt;width:76.85pt;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" filled="f" fillcolor="#bbe0e3" stroked="f">
                <v:textbox inset="0,0,0,0">
                  <w:txbxContent>
                    <w:p w:rsidR="008D6608" w:rsidRPr="00651954" w:rsidRDefault="008D6608" w:rsidP="00D6374E">
                      <w:pPr>
                        <w:suppressAutoHyphens w:val="0"/>
                        <w:spacing w:line="240" w:lineRule="auto"/>
                        <w:rPr>
                          <w:bCs/>
                          <w:color w:val="000000"/>
                          <w:sz w:val="18"/>
                          <w:szCs w:val="18"/>
                          <w:lang w:val="fr-FR"/>
                        </w:rPr>
                      </w:pPr>
                      <w:r w:rsidRPr="00651954">
                        <w:rPr>
                          <w:sz w:val="18"/>
                          <w:szCs w:val="18"/>
                          <w:lang w:val="fr-FR" w:eastAsia="fr-FR"/>
                        </w:rPr>
                        <w:t xml:space="preserve">X ne fait pas partie </w:t>
                      </w:r>
                      <w:r>
                        <w:rPr>
                          <w:sz w:val="18"/>
                          <w:szCs w:val="18"/>
                          <w:lang w:val="fr-FR" w:eastAsia="fr-FR"/>
                        </w:rPr>
                        <w:br/>
                      </w:r>
                      <w:r w:rsidRPr="00651954">
                        <w:rPr>
                          <w:sz w:val="18"/>
                          <w:szCs w:val="18"/>
                          <w:lang w:val="fr-FR" w:eastAsia="fr-FR"/>
                        </w:rPr>
                        <w:t>de cette fonction</w:t>
                      </w:r>
                    </w:p>
                  </w:txbxContent>
                </v:textbox>
              </v:shape>
            </w:pict>
          </mc:Fallback>
        </mc:AlternateContent>
      </w:r>
      <w:r w:rsidR="008F639B" w:rsidRPr="00D6374E">
        <w:rPr>
          <w:rFonts w:eastAsia="Calibri"/>
          <w:noProof/>
          <w:lang w:val="fr-FR" w:eastAsia="fr-FR"/>
        </w:rPr>
        <mc:AlternateContent>
          <mc:Choice Requires="wps">
            <w:drawing>
              <wp:anchor distT="0" distB="0" distL="114300" distR="114300" simplePos="0" relativeHeight="251679744" behindDoc="0" locked="0" layoutInCell="1" allowOverlap="1" wp14:anchorId="09A15374" wp14:editId="0D0B314E">
                <wp:simplePos x="0" y="0"/>
                <wp:positionH relativeFrom="column">
                  <wp:posOffset>4661535</wp:posOffset>
                </wp:positionH>
                <wp:positionV relativeFrom="paragraph">
                  <wp:posOffset>890431</wp:posOffset>
                </wp:positionV>
                <wp:extent cx="1384300" cy="539750"/>
                <wp:effectExtent l="0" t="0" r="6350" b="12700"/>
                <wp:wrapNone/>
                <wp:docPr id="305" name="Zone de text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608" w:rsidRPr="00657A46" w:rsidRDefault="008D6608" w:rsidP="00D6374E">
                            <w:pPr>
                              <w:suppressAutoHyphens w:val="0"/>
                              <w:spacing w:line="240" w:lineRule="auto"/>
                              <w:rPr>
                                <w:sz w:val="17"/>
                                <w:szCs w:val="17"/>
                              </w:rPr>
                            </w:pPr>
                            <w:r>
                              <w:rPr>
                                <w:sz w:val="17"/>
                                <w:szCs w:val="17"/>
                                <w:lang w:val="fr-FR" w:eastAsia="fr-FR"/>
                              </w:rPr>
                              <w:t>Pour raisons de commodité, la </w:t>
                            </w:r>
                            <w:r w:rsidRPr="00657A46">
                              <w:rPr>
                                <w:sz w:val="17"/>
                                <w:szCs w:val="17"/>
                                <w:lang w:val="fr-FR" w:eastAsia="fr-FR"/>
                              </w:rPr>
                              <w:t>surface de la glace est</w:t>
                            </w:r>
                            <w:r>
                              <w:rPr>
                                <w:sz w:val="17"/>
                                <w:szCs w:val="17"/>
                                <w:lang w:val="fr-FR" w:eastAsia="fr-FR"/>
                              </w:rPr>
                              <w:t> représentée comme étant </w:t>
                            </w:r>
                            <w:r w:rsidRPr="00657A46">
                              <w:rPr>
                                <w:sz w:val="17"/>
                                <w:szCs w:val="17"/>
                                <w:lang w:val="fr-FR" w:eastAsia="fr-FR"/>
                              </w:rPr>
                              <w:t>plane</w:t>
                            </w:r>
                          </w:p>
                          <w:p w:rsidR="008D6608" w:rsidRPr="00651954" w:rsidRDefault="008D6608" w:rsidP="00D6374E">
                            <w:pPr>
                              <w:ind w:left="-100" w:right="-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15374" id="Zone de texte 305" o:spid="_x0000_s1045" type="#_x0000_t202" style="position:absolute;left:0;text-align:left;margin-left:367.05pt;margin-top:70.1pt;width:109pt;height: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" filled="f" stroked="f">
                <v:textbox inset="0,0,0,0">
                  <w:txbxContent>
                    <w:p w:rsidR="008D6608" w:rsidRPr="00657A46" w:rsidRDefault="008D6608" w:rsidP="00D6374E">
                      <w:pPr>
                        <w:suppressAutoHyphens w:val="0"/>
                        <w:spacing w:line="240" w:lineRule="auto"/>
                        <w:rPr>
                          <w:sz w:val="17"/>
                          <w:szCs w:val="17"/>
                        </w:rPr>
                      </w:pPr>
                      <w:r>
                        <w:rPr>
                          <w:sz w:val="17"/>
                          <w:szCs w:val="17"/>
                          <w:lang w:val="fr-FR" w:eastAsia="fr-FR"/>
                        </w:rPr>
                        <w:t>Pour raisons de commodité, la </w:t>
                      </w:r>
                      <w:r w:rsidRPr="00657A46">
                        <w:rPr>
                          <w:sz w:val="17"/>
                          <w:szCs w:val="17"/>
                          <w:lang w:val="fr-FR" w:eastAsia="fr-FR"/>
                        </w:rPr>
                        <w:t>surface de la glace est</w:t>
                      </w:r>
                      <w:r>
                        <w:rPr>
                          <w:sz w:val="17"/>
                          <w:szCs w:val="17"/>
                          <w:lang w:val="fr-FR" w:eastAsia="fr-FR"/>
                        </w:rPr>
                        <w:t> représentée comme étant </w:t>
                      </w:r>
                      <w:r w:rsidRPr="00657A46">
                        <w:rPr>
                          <w:sz w:val="17"/>
                          <w:szCs w:val="17"/>
                          <w:lang w:val="fr-FR" w:eastAsia="fr-FR"/>
                        </w:rPr>
                        <w:t>plane</w:t>
                      </w:r>
                    </w:p>
                    <w:p w:rsidR="008D6608" w:rsidRPr="00651954" w:rsidRDefault="008D6608" w:rsidP="00D6374E">
                      <w:pPr>
                        <w:ind w:left="-100" w:right="-120"/>
                      </w:pPr>
                    </w:p>
                  </w:txbxContent>
                </v:textbox>
              </v:shape>
            </w:pict>
          </mc:Fallback>
        </mc:AlternateContent>
      </w:r>
      <w:r w:rsidR="00E94091" w:rsidRPr="00D6374E">
        <w:rPr>
          <w:rFonts w:eastAsia="Calibri"/>
          <w:noProof/>
          <w:lang w:val="fr-FR" w:eastAsia="fr-FR"/>
        </w:rPr>
        <mc:AlternateContent>
          <mc:Choice Requires="wps">
            <w:drawing>
              <wp:anchor distT="0" distB="0" distL="114300" distR="114300" simplePos="0" relativeHeight="251680768" behindDoc="0" locked="0" layoutInCell="1" allowOverlap="1" wp14:anchorId="4AF78C12" wp14:editId="15C5607A">
                <wp:simplePos x="0" y="0"/>
                <wp:positionH relativeFrom="column">
                  <wp:posOffset>4925999</wp:posOffset>
                </wp:positionH>
                <wp:positionV relativeFrom="paragraph">
                  <wp:posOffset>1828800</wp:posOffset>
                </wp:positionV>
                <wp:extent cx="1143000" cy="180975"/>
                <wp:effectExtent l="0" t="0" r="0" b="9525"/>
                <wp:wrapNone/>
                <wp:docPr id="306" name="Zone de texte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608" w:rsidRPr="006004F4" w:rsidRDefault="008D6608" w:rsidP="00D6374E">
                            <w:pPr>
                              <w:rPr>
                                <w:lang w:val="de-DE"/>
                              </w:rPr>
                            </w:pPr>
                            <w:r w:rsidRPr="00651954">
                              <w:rPr>
                                <w:lang w:val="de-DE"/>
                              </w:rPr>
                              <w:t>PROJECTION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78C12" id="Zone de texte 306" o:spid="_x0000_s1046" type="#_x0000_t202" style="position:absolute;left:0;text-align:left;margin-left:387.85pt;margin-top:2in;width:90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" filled="f" stroked="f">
                <v:textbox inset="0,0,0,0">
                  <w:txbxContent>
                    <w:p w:rsidR="008D6608" w:rsidRPr="006004F4" w:rsidRDefault="008D6608" w:rsidP="00D6374E">
                      <w:pPr>
                        <w:rPr>
                          <w:lang w:val="de-DE"/>
                        </w:rPr>
                      </w:pPr>
                      <w:r w:rsidRPr="00651954">
                        <w:rPr>
                          <w:lang w:val="de-DE"/>
                        </w:rPr>
                        <w:t>PROJECTION</w:t>
                      </w:r>
                    </w:p>
                  </w:txbxContent>
                </v:textbox>
              </v:shape>
            </w:pict>
          </mc:Fallback>
        </mc:AlternateContent>
      </w:r>
      <w:r w:rsidR="00E94091" w:rsidRPr="00D6374E">
        <w:rPr>
          <w:rFonts w:eastAsia="Calibri"/>
          <w:noProof/>
          <w:lang w:val="fr-FR" w:eastAsia="fr-FR"/>
        </w:rPr>
        <mc:AlternateContent>
          <mc:Choice Requires="wps">
            <w:drawing>
              <wp:anchor distT="0" distB="0" distL="114300" distR="114300" simplePos="0" relativeHeight="251677696" behindDoc="0" locked="0" layoutInCell="1" allowOverlap="1" wp14:anchorId="5012E084" wp14:editId="7F3C0AA1">
                <wp:simplePos x="0" y="0"/>
                <wp:positionH relativeFrom="column">
                  <wp:posOffset>781989</wp:posOffset>
                </wp:positionH>
                <wp:positionV relativeFrom="paragraph">
                  <wp:posOffset>281305</wp:posOffset>
                </wp:positionV>
                <wp:extent cx="995680" cy="457200"/>
                <wp:effectExtent l="0" t="0" r="0" b="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608" w:rsidRPr="006863AA" w:rsidRDefault="008D6608" w:rsidP="00E94091">
                            <w:pPr>
                              <w:suppressAutoHyphens w:val="0"/>
                              <w:spacing w:line="240" w:lineRule="auto"/>
                              <w:rPr>
                                <w:szCs w:val="22"/>
                                <w:lang w:val="fr-FR" w:eastAsia="fr-FR"/>
                              </w:rPr>
                            </w:pPr>
                            <w:r w:rsidRPr="00DA3B2F">
                              <w:rPr>
                                <w:szCs w:val="22"/>
                                <w:lang w:val="fr-FR" w:eastAsia="fr-FR"/>
                              </w:rPr>
                              <w:t>AXE</w:t>
                            </w:r>
                            <w:r>
                              <w:rPr>
                                <w:szCs w:val="22"/>
                                <w:lang w:val="fr-FR" w:eastAsia="fr-FR"/>
                              </w:rPr>
                              <w:t xml:space="preserve"> DE RÉFÉRENCE </w:t>
                            </w:r>
                            <w:r>
                              <w:rPr>
                                <w:szCs w:val="22"/>
                                <w:lang w:val="fr-FR" w:eastAsia="fr-FR"/>
                              </w:rPr>
                              <w:br/>
                            </w:r>
                            <w:r w:rsidRPr="00DA3B2F">
                              <w:rPr>
                                <w:szCs w:val="22"/>
                                <w:lang w:val="fr-FR" w:eastAsia="fr-FR"/>
                              </w:rPr>
                              <w:t>DÉCLARÉ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2E084" id="Zone de texte 52" o:spid="_x0000_s1047" type="#_x0000_t202" style="position:absolute;left:0;text-align:left;margin-left:61.55pt;margin-top:22.15pt;width:78.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" stroked="f">
                <v:textbox inset="0,0,0,0">
                  <w:txbxContent>
                    <w:p w:rsidR="008D6608" w:rsidRPr="006863AA" w:rsidRDefault="008D6608" w:rsidP="00E94091">
                      <w:pPr>
                        <w:suppressAutoHyphens w:val="0"/>
                        <w:spacing w:line="240" w:lineRule="auto"/>
                        <w:rPr>
                          <w:szCs w:val="22"/>
                          <w:lang w:val="fr-FR" w:eastAsia="fr-FR"/>
                        </w:rPr>
                      </w:pPr>
                      <w:r w:rsidRPr="00DA3B2F">
                        <w:rPr>
                          <w:szCs w:val="22"/>
                          <w:lang w:val="fr-FR" w:eastAsia="fr-FR"/>
                        </w:rPr>
                        <w:t>AXE</w:t>
                      </w:r>
                      <w:r>
                        <w:rPr>
                          <w:szCs w:val="22"/>
                          <w:lang w:val="fr-FR" w:eastAsia="fr-FR"/>
                        </w:rPr>
                        <w:t xml:space="preserve"> DE RÉFÉRENCE </w:t>
                      </w:r>
                      <w:r>
                        <w:rPr>
                          <w:szCs w:val="22"/>
                          <w:lang w:val="fr-FR" w:eastAsia="fr-FR"/>
                        </w:rPr>
                        <w:br/>
                      </w:r>
                      <w:r w:rsidRPr="00DA3B2F">
                        <w:rPr>
                          <w:szCs w:val="22"/>
                          <w:lang w:val="fr-FR" w:eastAsia="fr-FR"/>
                        </w:rPr>
                        <w:t>DÉCLARÉ</w:t>
                      </w:r>
                    </w:p>
                  </w:txbxContent>
                </v:textbox>
              </v:shape>
            </w:pict>
          </mc:Fallback>
        </mc:AlternateContent>
      </w:r>
      <w:r w:rsidR="00D6374E" w:rsidRPr="00D6374E">
        <w:rPr>
          <w:rFonts w:eastAsia="Calibri"/>
          <w:noProof/>
          <w:lang w:val="fr-FR" w:eastAsia="fr-FR"/>
        </w:rPr>
        <w:drawing>
          <wp:inline distT="0" distB="0" distL="0" distR="0" wp14:anchorId="3D70CB28" wp14:editId="2B2EA35C">
            <wp:extent cx="5104800" cy="2282400"/>
            <wp:effectExtent l="0" t="0" r="0" b="0"/>
            <wp:docPr id="51" name="Image 51" descr="Description: Description: R48-A3-Graphik-06-1-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Description: R48-A3-Graphik-06-1-ccf"/>
                    <pic:cNvPicPr>
                      <a:picLocks noChangeAspect="1" noChangeArrowheads="1"/>
                    </pic:cNvPicPr>
                  </pic:nvPicPr>
                  <pic:blipFill>
                    <a:blip r:embed="rId15" cstate="print">
                      <a:extLst>
                        <a:ext uri="{28A0092B-C50C-407E-A947-70E740481C1C}">
                          <a14:useLocalDpi xmlns:a14="http://schemas.microsoft.com/office/drawing/2010/main" val="0"/>
                        </a:ext>
                      </a:extLst>
                    </a:blip>
                    <a:srcRect l="-1202" t="-2740" r="-1202" b="-2740"/>
                    <a:stretch>
                      <a:fillRect/>
                    </a:stretch>
                  </pic:blipFill>
                  <pic:spPr bwMode="auto">
                    <a:xfrm>
                      <a:off x="0" y="0"/>
                      <a:ext cx="5104800" cy="2282400"/>
                    </a:xfrm>
                    <a:prstGeom prst="rect">
                      <a:avLst/>
                    </a:prstGeom>
                    <a:noFill/>
                    <a:ln>
                      <a:noFill/>
                    </a:ln>
                  </pic:spPr>
                </pic:pic>
              </a:graphicData>
            </a:graphic>
          </wp:inline>
        </w:drawing>
      </w:r>
    </w:p>
    <w:p w:rsidR="00D6374E" w:rsidRPr="00D6374E" w:rsidRDefault="00D6374E" w:rsidP="00D6374E">
      <w:pPr>
        <w:ind w:left="1134"/>
        <w:rPr>
          <w:rFonts w:eastAsia="Calibri"/>
        </w:rPr>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8"/>
        <w:gridCol w:w="4912"/>
      </w:tblGrid>
      <w:tr w:rsidR="00D6374E" w:rsidRPr="00D6374E" w:rsidTr="00DB75DF">
        <w:tc>
          <w:tcPr>
            <w:tcW w:w="2458" w:type="dxa"/>
            <w:shd w:val="clear" w:color="auto" w:fill="auto"/>
          </w:tcPr>
          <w:p w:rsidR="00D6374E" w:rsidRPr="00D6374E" w:rsidRDefault="00D6374E" w:rsidP="00D6374E">
            <w:pPr>
              <w:spacing w:before="60" w:after="60"/>
              <w:ind w:left="170" w:right="170"/>
              <w:rPr>
                <w:rFonts w:eastAsia="Calibri"/>
                <w:i/>
              </w:rPr>
            </w:pPr>
            <w:bookmarkStart w:id="65" w:name="_MON_1462772394"/>
            <w:bookmarkStart w:id="66" w:name="_MON_1462772429"/>
            <w:bookmarkEnd w:id="65"/>
            <w:bookmarkEnd w:id="66"/>
          </w:p>
        </w:tc>
        <w:tc>
          <w:tcPr>
            <w:tcW w:w="4912" w:type="dxa"/>
            <w:shd w:val="clear" w:color="auto" w:fill="auto"/>
          </w:tcPr>
          <w:p w:rsidR="00D6374E" w:rsidRPr="00D6374E" w:rsidRDefault="00D6374E" w:rsidP="00D6374E">
            <w:pPr>
              <w:spacing w:before="60" w:after="60"/>
              <w:ind w:left="170" w:right="170"/>
              <w:rPr>
                <w:rFonts w:eastAsia="Calibri"/>
                <w:i/>
              </w:rPr>
            </w:pPr>
            <w:r w:rsidRPr="00D6374E">
              <w:rPr>
                <w:rFonts w:eastAsia="Calibri"/>
                <w:i/>
              </w:rPr>
              <w:t xml:space="preserve">Surface de sortie de la lumière déclarée conformément </w:t>
            </w:r>
            <w:r w:rsidRPr="00D6374E">
              <w:rPr>
                <w:rFonts w:eastAsia="Calibri"/>
                <w:i/>
              </w:rPr>
              <w:br/>
              <w:t>au point 2.10.2 b) par exemple</w:t>
            </w:r>
          </w:p>
        </w:tc>
      </w:tr>
      <w:tr w:rsidR="00D6374E" w:rsidRPr="00D6374E" w:rsidTr="00DB75DF">
        <w:tc>
          <w:tcPr>
            <w:tcW w:w="2458" w:type="dxa"/>
            <w:shd w:val="clear" w:color="auto" w:fill="auto"/>
          </w:tcPr>
          <w:p w:rsidR="00D6374E" w:rsidRPr="00D6374E" w:rsidRDefault="00D6374E" w:rsidP="00D6374E">
            <w:pPr>
              <w:spacing w:before="60" w:after="60"/>
              <w:ind w:left="170" w:right="170"/>
              <w:rPr>
                <w:rFonts w:eastAsia="Calibri"/>
                <w:lang w:eastAsia="fr-FR"/>
              </w:rPr>
            </w:pPr>
            <w:r w:rsidRPr="00D6374E">
              <w:rPr>
                <w:rFonts w:eastAsia="Calibri"/>
                <w:lang w:eastAsia="fr-FR"/>
              </w:rPr>
              <w:t>Les bords sont</w:t>
            </w:r>
          </w:p>
        </w:tc>
        <w:tc>
          <w:tcPr>
            <w:tcW w:w="4912" w:type="dxa"/>
            <w:shd w:val="clear" w:color="auto" w:fill="auto"/>
          </w:tcPr>
          <w:p w:rsidR="00D6374E" w:rsidRPr="00D6374E" w:rsidRDefault="00D6374E" w:rsidP="00D6374E">
            <w:pPr>
              <w:spacing w:before="60" w:after="60"/>
              <w:ind w:left="170" w:right="170"/>
              <w:rPr>
                <w:rFonts w:eastAsia="Calibri"/>
                <w:lang w:eastAsia="fr-FR"/>
              </w:rPr>
            </w:pPr>
            <w:r w:rsidRPr="00D6374E">
              <w:rPr>
                <w:rFonts w:eastAsia="Calibri"/>
                <w:lang w:eastAsia="fr-FR"/>
              </w:rPr>
              <w:t>c’-d’ et e’-f’</w:t>
            </w:r>
          </w:p>
        </w:tc>
      </w:tr>
    </w:tbl>
    <w:p w:rsidR="00D6374E" w:rsidRPr="00D6374E" w:rsidRDefault="00D6374E" w:rsidP="00D6374E">
      <w:pPr>
        <w:spacing w:before="120" w:after="240"/>
        <w:ind w:left="2268" w:right="1134" w:hanging="1134"/>
        <w:jc w:val="right"/>
        <w:rPr>
          <w:rFonts w:eastAsia="Calibri"/>
        </w:rPr>
      </w:pPr>
      <w:r w:rsidRPr="00D6374E">
        <w:rPr>
          <w:rFonts w:eastAsia="Calibri"/>
        </w:rPr>
        <w:t>».</w:t>
      </w:r>
    </w:p>
    <w:p w:rsidR="00D6374E" w:rsidRPr="00D6374E" w:rsidRDefault="00D6374E" w:rsidP="00D6374E">
      <w:pPr>
        <w:keepNext/>
        <w:keepLines/>
        <w:spacing w:after="120"/>
        <w:ind w:left="2268" w:right="1134" w:hanging="1134"/>
        <w:jc w:val="both"/>
        <w:rPr>
          <w:rFonts w:eastAsia="Calibri"/>
        </w:rPr>
      </w:pPr>
      <w:r w:rsidRPr="00D6374E">
        <w:rPr>
          <w:rFonts w:eastAsia="Calibri"/>
          <w:i/>
        </w:rPr>
        <w:lastRenderedPageBreak/>
        <w:t>Partie 7</w:t>
      </w:r>
      <w:r w:rsidRPr="00D6374E">
        <w:rPr>
          <w:rFonts w:eastAsia="Calibri"/>
        </w:rPr>
        <w:t>, lire :</w:t>
      </w:r>
    </w:p>
    <w:p w:rsidR="00D6374E" w:rsidRPr="00D6374E" w:rsidRDefault="00D6374E" w:rsidP="00D6374E">
      <w:pPr>
        <w:keepNext/>
        <w:keepLines/>
        <w:spacing w:after="120"/>
        <w:ind w:left="2268" w:right="1134" w:hanging="1134"/>
        <w:jc w:val="both"/>
        <w:rPr>
          <w:rFonts w:eastAsia="Calibri"/>
        </w:rPr>
      </w:pPr>
      <w:r w:rsidRPr="00D6374E">
        <w:rPr>
          <w:rFonts w:eastAsia="Calibri"/>
        </w:rPr>
        <w:t>« …</w:t>
      </w:r>
    </w:p>
    <w:p w:rsidR="00D6374E" w:rsidRPr="00D6374E" w:rsidRDefault="00D6374E" w:rsidP="00D6374E">
      <w:pPr>
        <w:keepNext/>
        <w:keepLines/>
        <w:spacing w:after="120"/>
        <w:ind w:left="1134" w:right="1134"/>
        <w:jc w:val="both"/>
        <w:rPr>
          <w:rFonts w:eastAsia="Calibri"/>
        </w:rPr>
      </w:pPr>
      <w:r w:rsidRPr="00D6374E">
        <w:rPr>
          <w:rFonts w:eastAsia="Calibri"/>
          <w:lang w:val="fr-FR"/>
        </w:rPr>
        <w:t>Cas</w:t>
      </w:r>
      <w:r w:rsidRPr="00D6374E">
        <w:rPr>
          <w:rFonts w:eastAsia="Calibri"/>
          <w:lang w:eastAsia="fr-FR"/>
        </w:rPr>
        <w:t xml:space="preserve"> où la glace extérieure non texturée est exclue, l’élément “7b” étant la surface apparente conformément au paragraphe 2.10.2 et F1 n’étant pas transparent pour F2 :</w:t>
      </w:r>
    </w:p>
    <w:p w:rsidR="00D6374E" w:rsidRPr="00D6374E" w:rsidRDefault="008F639B" w:rsidP="00D6374E">
      <w:pPr>
        <w:ind w:left="1134"/>
        <w:rPr>
          <w:rFonts w:eastAsia="Calibri"/>
        </w:rPr>
      </w:pPr>
      <w:r w:rsidRPr="00D6374E">
        <w:rPr>
          <w:rFonts w:eastAsia="Calibri"/>
          <w:noProof/>
          <w:lang w:val="fr-FR" w:eastAsia="fr-FR"/>
        </w:rPr>
        <mc:AlternateContent>
          <mc:Choice Requires="wps">
            <w:drawing>
              <wp:anchor distT="0" distB="0" distL="114300" distR="114300" simplePos="0" relativeHeight="251682816" behindDoc="0" locked="0" layoutInCell="1" allowOverlap="1" wp14:anchorId="373DD47E" wp14:editId="5A0DB7F8">
                <wp:simplePos x="0" y="0"/>
                <wp:positionH relativeFrom="column">
                  <wp:posOffset>4592955</wp:posOffset>
                </wp:positionH>
                <wp:positionV relativeFrom="paragraph">
                  <wp:posOffset>577215</wp:posOffset>
                </wp:positionV>
                <wp:extent cx="758190" cy="678788"/>
                <wp:effectExtent l="0" t="0" r="3810" b="7620"/>
                <wp:wrapNone/>
                <wp:docPr id="308" name="Zone de texte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678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608" w:rsidRPr="003A32C4" w:rsidRDefault="008D6608" w:rsidP="00D6374E">
                            <w:pPr>
                              <w:suppressAutoHyphens w:val="0"/>
                              <w:spacing w:line="240" w:lineRule="auto"/>
                              <w:ind w:left="57"/>
                              <w:rPr>
                                <w:sz w:val="18"/>
                                <w:szCs w:val="18"/>
                              </w:rPr>
                            </w:pPr>
                            <w:r w:rsidRPr="003A32C4">
                              <w:rPr>
                                <w:sz w:val="18"/>
                                <w:szCs w:val="18"/>
                                <w:lang w:val="fr-FR" w:eastAsia="fr-FR"/>
                              </w:rPr>
                              <w:t>F1 n’est pas mutuellement incorporée</w:t>
                            </w:r>
                            <w:r>
                              <w:rPr>
                                <w:sz w:val="18"/>
                                <w:szCs w:val="18"/>
                                <w:lang w:val="fr-FR" w:eastAsia="fr-FR"/>
                              </w:rPr>
                              <w:t xml:space="preserve"> </w:t>
                            </w:r>
                            <w:r w:rsidRPr="003A32C4">
                              <w:rPr>
                                <w:sz w:val="18"/>
                                <w:szCs w:val="18"/>
                                <w:lang w:val="fr-FR" w:eastAsia="fr-FR"/>
                              </w:rPr>
                              <w:t>avec F2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DD47E" id="Zone de texte 308" o:spid="_x0000_s1048" type="#_x0000_t202" style="position:absolute;left:0;text-align:left;margin-left:361.65pt;margin-top:45.45pt;width:59.7pt;height:5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" stroked="f">
                <v:textbox inset="0,0,0,0">
                  <w:txbxContent>
                    <w:p w:rsidR="008D6608" w:rsidRPr="003A32C4" w:rsidRDefault="008D6608" w:rsidP="00D6374E">
                      <w:pPr>
                        <w:suppressAutoHyphens w:val="0"/>
                        <w:spacing w:line="240" w:lineRule="auto"/>
                        <w:ind w:left="57"/>
                        <w:rPr>
                          <w:sz w:val="18"/>
                          <w:szCs w:val="18"/>
                        </w:rPr>
                      </w:pPr>
                      <w:r w:rsidRPr="003A32C4">
                        <w:rPr>
                          <w:sz w:val="18"/>
                          <w:szCs w:val="18"/>
                          <w:lang w:val="fr-FR" w:eastAsia="fr-FR"/>
                        </w:rPr>
                        <w:t>F1 n’est pas mutuellement incorporée</w:t>
                      </w:r>
                      <w:r>
                        <w:rPr>
                          <w:sz w:val="18"/>
                          <w:szCs w:val="18"/>
                          <w:lang w:val="fr-FR" w:eastAsia="fr-FR"/>
                        </w:rPr>
                        <w:t xml:space="preserve"> </w:t>
                      </w:r>
                      <w:r w:rsidRPr="003A32C4">
                        <w:rPr>
                          <w:sz w:val="18"/>
                          <w:szCs w:val="18"/>
                          <w:lang w:val="fr-FR" w:eastAsia="fr-FR"/>
                        </w:rPr>
                        <w:t>avec F2</w:t>
                      </w:r>
                    </w:p>
                  </w:txbxContent>
                </v:textbox>
              </v:shape>
            </w:pict>
          </mc:Fallback>
        </mc:AlternateContent>
      </w:r>
      <w:r w:rsidR="00E94091" w:rsidRPr="00D6374E">
        <w:rPr>
          <w:rFonts w:eastAsia="Calibri"/>
          <w:noProof/>
          <w:lang w:val="fr-FR" w:eastAsia="fr-FR"/>
        </w:rPr>
        <mc:AlternateContent>
          <mc:Choice Requires="wps">
            <w:drawing>
              <wp:anchor distT="0" distB="0" distL="114300" distR="114300" simplePos="0" relativeHeight="251681792" behindDoc="0" locked="0" layoutInCell="1" allowOverlap="1" wp14:anchorId="5B5788E6" wp14:editId="482BB74C">
                <wp:simplePos x="0" y="0"/>
                <wp:positionH relativeFrom="column">
                  <wp:posOffset>3444571</wp:posOffset>
                </wp:positionH>
                <wp:positionV relativeFrom="paragraph">
                  <wp:posOffset>42545</wp:posOffset>
                </wp:positionV>
                <wp:extent cx="262393" cy="206734"/>
                <wp:effectExtent l="0" t="0" r="4445" b="3175"/>
                <wp:wrapNone/>
                <wp:docPr id="309" name="Zone de text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93" cy="2067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608" w:rsidRPr="00E94091" w:rsidRDefault="008D6608" w:rsidP="00E94091">
                            <w:pPr>
                              <w:jc w:val="center"/>
                              <w:rPr>
                                <w:sz w:val="28"/>
                                <w:szCs w:val="28"/>
                              </w:rPr>
                            </w:pPr>
                            <w:r w:rsidRPr="00E94091">
                              <w:rPr>
                                <w:sz w:val="28"/>
                                <w:szCs w:val="28"/>
                              </w:rPr>
                              <w: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788E6" id="Zone de texte 309" o:spid="_x0000_s1049" type="#_x0000_t202" style="position:absolute;left:0;text-align:left;margin-left:271.25pt;margin-top:3.35pt;width:20.6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" stroked="f">
                <v:textbox inset="0,0,0,0">
                  <w:txbxContent>
                    <w:p w:rsidR="008D6608" w:rsidRPr="00E94091" w:rsidRDefault="008D6608" w:rsidP="00E94091">
                      <w:pPr>
                        <w:jc w:val="center"/>
                        <w:rPr>
                          <w:sz w:val="28"/>
                          <w:szCs w:val="28"/>
                        </w:rPr>
                      </w:pPr>
                      <w:r w:rsidRPr="00E94091">
                        <w:rPr>
                          <w:sz w:val="28"/>
                          <w:szCs w:val="28"/>
                        </w:rPr>
                        <w:t>et</w:t>
                      </w:r>
                    </w:p>
                  </w:txbxContent>
                </v:textbox>
              </v:shape>
            </w:pict>
          </mc:Fallback>
        </mc:AlternateContent>
      </w:r>
      <w:r w:rsidR="00D6374E" w:rsidRPr="00D6374E">
        <w:rPr>
          <w:rFonts w:eastAsia="Calibri"/>
          <w:noProof/>
          <w:lang w:val="fr-FR" w:eastAsia="fr-FR"/>
        </w:rPr>
        <w:drawing>
          <wp:inline distT="0" distB="0" distL="0" distR="0" wp14:anchorId="5023ACFC" wp14:editId="03B0193D">
            <wp:extent cx="4449600" cy="1666800"/>
            <wp:effectExtent l="0" t="0" r="0" b="0"/>
            <wp:docPr id="307" name="Image 307"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Description: Description: R48-A3-Graphik-08-ccf-n"/>
                    <pic:cNvPicPr>
                      <a:picLocks noChangeAspect="1" noChangeArrowheads="1"/>
                    </pic:cNvPicPr>
                  </pic:nvPicPr>
                  <pic:blipFill>
                    <a:blip r:embed="rId16" cstate="print">
                      <a:extLst>
                        <a:ext uri="{28A0092B-C50C-407E-A947-70E740481C1C}">
                          <a14:useLocalDpi xmlns:a14="http://schemas.microsoft.com/office/drawing/2010/main" val="0"/>
                        </a:ext>
                      </a:extLst>
                    </a:blip>
                    <a:srcRect l="-1511" t="-3040" r="-21214" b="10678"/>
                    <a:stretch>
                      <a:fillRect/>
                    </a:stretch>
                  </pic:blipFill>
                  <pic:spPr bwMode="auto">
                    <a:xfrm>
                      <a:off x="0" y="0"/>
                      <a:ext cx="4449600" cy="1666800"/>
                    </a:xfrm>
                    <a:prstGeom prst="rect">
                      <a:avLst/>
                    </a:prstGeom>
                    <a:noFill/>
                    <a:ln>
                      <a:noFill/>
                    </a:ln>
                  </pic:spPr>
                </pic:pic>
              </a:graphicData>
            </a:graphic>
          </wp:inline>
        </w:drawing>
      </w:r>
    </w:p>
    <w:p w:rsidR="00D6374E" w:rsidRPr="00D6374E" w:rsidRDefault="00D6374E" w:rsidP="008F639B">
      <w:pPr>
        <w:spacing w:before="120" w:after="120"/>
        <w:ind w:left="2268" w:right="1134" w:hanging="1134"/>
        <w:rPr>
          <w:rFonts w:eastAsia="Calibri"/>
        </w:rPr>
      </w:pPr>
      <w:bookmarkStart w:id="67" w:name="_MON_1435666455"/>
      <w:bookmarkStart w:id="68" w:name="_MON_1436075816"/>
      <w:bookmarkStart w:id="69" w:name="_MON_1436076969"/>
      <w:bookmarkStart w:id="70" w:name="_MON_1436084410"/>
      <w:bookmarkEnd w:id="67"/>
      <w:bookmarkEnd w:id="68"/>
      <w:bookmarkEnd w:id="69"/>
      <w:bookmarkEnd w:id="70"/>
      <w:r w:rsidRPr="00D6374E">
        <w:rPr>
          <w:rFonts w:eastAsia="Calibri"/>
        </w:rPr>
        <w:t>… ».</w:t>
      </w:r>
    </w:p>
    <w:p w:rsidR="00D6374E" w:rsidRPr="00D6374E" w:rsidRDefault="00D6374E" w:rsidP="00D6374E">
      <w:pPr>
        <w:spacing w:before="240" w:after="120"/>
        <w:ind w:left="2268" w:right="1134" w:hanging="1134"/>
        <w:jc w:val="both"/>
        <w:rPr>
          <w:rFonts w:eastAsia="Calibri"/>
          <w:i/>
        </w:rPr>
      </w:pPr>
      <w:r w:rsidRPr="00D6374E">
        <w:rPr>
          <w:rFonts w:eastAsia="Calibri"/>
          <w:i/>
        </w:rPr>
        <w:t>Annexe 9,</w:t>
      </w:r>
    </w:p>
    <w:p w:rsidR="00D6374E" w:rsidRPr="00D6374E" w:rsidRDefault="00D6374E" w:rsidP="00D6374E">
      <w:pPr>
        <w:spacing w:after="120"/>
        <w:ind w:left="2268" w:right="1134" w:hanging="1134"/>
        <w:jc w:val="both"/>
        <w:rPr>
          <w:rFonts w:eastAsia="Calibri"/>
        </w:rPr>
      </w:pPr>
      <w:r w:rsidRPr="00D6374E">
        <w:rPr>
          <w:rFonts w:eastAsia="Calibri"/>
          <w:i/>
        </w:rPr>
        <w:t>Paragraphe 1.1</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lang w:val="fr-FR"/>
        </w:rPr>
        <w:t>«</w:t>
      </w:r>
      <w:r w:rsidRPr="00D6374E">
        <w:rPr>
          <w:rFonts w:eastAsia="Calibri"/>
        </w:rPr>
        <w:t> 1.1</w:t>
      </w:r>
      <w:r w:rsidRPr="00D6374E">
        <w:rPr>
          <w:rFonts w:eastAsia="Calibri"/>
        </w:rPr>
        <w:tab/>
        <w:t>Emplacement des feux</w:t>
      </w:r>
    </w:p>
    <w:p w:rsidR="00D6374E" w:rsidRPr="00D6374E" w:rsidRDefault="00D6374E" w:rsidP="00F82D7E">
      <w:pPr>
        <w:pStyle w:val="SingleTxtG"/>
        <w:ind w:left="2268"/>
        <w:rPr>
          <w:rFonts w:eastAsia="Calibri"/>
        </w:rPr>
      </w:pPr>
      <w:r w:rsidRPr="00D6374E">
        <w:rPr>
          <w:rFonts w:eastAsia="Calibri"/>
        </w:rPr>
        <w:t xml:space="preserve">L’emplacement des feux tels qu’ils sont définis au paragraphe 2.1.6 du présent Règlement, en largeur, en hauteur et en </w:t>
      </w:r>
      <w:r w:rsidRPr="00D6374E">
        <w:rPr>
          <w:rFonts w:eastAsia="Calibri"/>
          <w:lang w:val="fr-FR"/>
        </w:rPr>
        <w:t>longueur</w:t>
      </w:r>
      <w:r w:rsidRPr="00D6374E">
        <w:rPr>
          <w:rFonts w:eastAsia="Calibri"/>
        </w:rPr>
        <w:t>, doit être vérifié conformément aux dispositions générales des paragraphes 2.10.2, 2.10.3, 2.10.4, 2.3.3 et 5.4 du présent Règlement.</w:t>
      </w:r>
    </w:p>
    <w:p w:rsidR="00D6374E" w:rsidRPr="00D6374E" w:rsidRDefault="00D6374E" w:rsidP="00F82D7E">
      <w:pPr>
        <w:pStyle w:val="SingleTxtG"/>
        <w:ind w:left="2268"/>
        <w:rPr>
          <w:rFonts w:eastAsia="Calibri"/>
        </w:rPr>
      </w:pPr>
      <w:r w:rsidRPr="00D6374E">
        <w:rPr>
          <w:rFonts w:eastAsia="Calibri"/>
          <w:lang w:val="fr-FR"/>
        </w:rPr>
        <w:t>Les</w:t>
      </w:r>
      <w:r w:rsidRPr="00D6374E">
        <w:rPr>
          <w:rFonts w:eastAsia="Calibri"/>
        </w:rPr>
        <w:t xml:space="preserve"> valeurs mesurées pour les distances doivent être telles que les diverses spécifications applicables à chaque feu soient respectées. ».</w:t>
      </w:r>
    </w:p>
    <w:p w:rsidR="00D6374E" w:rsidRPr="00D6374E" w:rsidRDefault="00D6374E" w:rsidP="00D6374E">
      <w:pPr>
        <w:spacing w:after="120"/>
        <w:ind w:left="2268" w:right="1134" w:hanging="1134"/>
        <w:jc w:val="both"/>
        <w:rPr>
          <w:rFonts w:eastAsia="Calibri"/>
        </w:rPr>
      </w:pPr>
      <w:r w:rsidRPr="00D6374E">
        <w:rPr>
          <w:rFonts w:eastAsia="Calibri"/>
          <w:i/>
        </w:rPr>
        <w:t>Paragraphe 1.2.1</w:t>
      </w:r>
      <w:r w:rsidRPr="00D6374E">
        <w:rPr>
          <w:rFonts w:eastAsia="Calibri"/>
        </w:rPr>
        <w:t>, lire :</w:t>
      </w:r>
    </w:p>
    <w:p w:rsidR="00D6374E" w:rsidRPr="00D6374E" w:rsidRDefault="00D6374E" w:rsidP="00D6374E">
      <w:pPr>
        <w:pStyle w:val="SingleTxtG"/>
        <w:ind w:left="2268" w:hanging="1134"/>
        <w:rPr>
          <w:rFonts w:eastAsia="Calibri"/>
        </w:rPr>
      </w:pPr>
      <w:r w:rsidRPr="00D6374E">
        <w:rPr>
          <w:rFonts w:eastAsia="Calibri"/>
        </w:rPr>
        <w:t>« 1.2.1</w:t>
      </w:r>
      <w:r w:rsidRPr="00D6374E">
        <w:rPr>
          <w:rFonts w:eastAsia="Calibri"/>
        </w:rPr>
        <w:tab/>
        <w:t>Les angles de visibilité géométrique doivent être vérifiés conformément au paragraphe 2.10.7 du présent Règlement.</w:t>
      </w:r>
    </w:p>
    <w:p w:rsidR="00D6374E" w:rsidRPr="00D6374E" w:rsidRDefault="00D6374E" w:rsidP="00D6374E">
      <w:pPr>
        <w:spacing w:after="120"/>
        <w:ind w:left="2268" w:right="1134"/>
        <w:jc w:val="both"/>
        <w:rPr>
          <w:rFonts w:eastAsia="Calibri"/>
        </w:rPr>
      </w:pPr>
      <w:r w:rsidRPr="00D6374E">
        <w:rPr>
          <w:rFonts w:eastAsia="Calibri"/>
        </w:rPr>
        <w:t>… ».</w:t>
      </w:r>
    </w:p>
    <w:p w:rsidR="00D6374E" w:rsidRPr="00D6374E" w:rsidRDefault="00D6374E" w:rsidP="00D6374E">
      <w:pPr>
        <w:spacing w:after="120"/>
        <w:ind w:left="2268" w:right="1134" w:hanging="1134"/>
        <w:jc w:val="both"/>
        <w:rPr>
          <w:rFonts w:eastAsia="Calibri"/>
        </w:rPr>
      </w:pPr>
      <w:r w:rsidRPr="00D6374E">
        <w:rPr>
          <w:rFonts w:eastAsia="Calibri"/>
          <w:i/>
          <w:lang w:val="fr-FR"/>
        </w:rPr>
        <w:t>Annexe</w:t>
      </w:r>
      <w:r w:rsidRPr="00D6374E">
        <w:rPr>
          <w:rFonts w:eastAsia="Calibri"/>
          <w:i/>
        </w:rPr>
        <w:t xml:space="preserve"> 15</w:t>
      </w:r>
      <w:r w:rsidRPr="00D6374E">
        <w:rPr>
          <w:rFonts w:eastAsia="Calibri"/>
        </w:rPr>
        <w:t>, lire :</w:t>
      </w:r>
    </w:p>
    <w:p w:rsidR="00D6374E" w:rsidRPr="00D6374E" w:rsidRDefault="00D6374E" w:rsidP="00D6374E">
      <w:pPr>
        <w:keepNext/>
        <w:keepLines/>
        <w:tabs>
          <w:tab w:val="right" w:pos="851"/>
        </w:tabs>
        <w:spacing w:before="360" w:after="240" w:line="300" w:lineRule="exact"/>
        <w:ind w:left="1134" w:right="1134" w:hanging="1134"/>
        <w:outlineLvl w:val="1"/>
        <w:rPr>
          <w:rFonts w:eastAsia="Calibri"/>
          <w:b/>
          <w:sz w:val="28"/>
        </w:rPr>
      </w:pPr>
      <w:r w:rsidRPr="00D6374E">
        <w:rPr>
          <w:rFonts w:eastAsia="Calibri"/>
          <w:b/>
          <w:sz w:val="28"/>
        </w:rPr>
        <w:lastRenderedPageBreak/>
        <w:t>« Annexe 15</w:t>
      </w:r>
    </w:p>
    <w:p w:rsidR="00D6374E" w:rsidRPr="00D6374E" w:rsidRDefault="00D6374E" w:rsidP="00000C79">
      <w:pPr>
        <w:pStyle w:val="HChG"/>
      </w:pPr>
      <w:r w:rsidRPr="00D6374E">
        <w:rPr>
          <w:spacing w:val="3"/>
        </w:rPr>
        <w:tab/>
      </w:r>
      <w:r w:rsidRPr="00D6374E">
        <w:rPr>
          <w:spacing w:val="3"/>
        </w:rPr>
        <w:tab/>
      </w:r>
      <w:proofErr w:type="spellStart"/>
      <w:r w:rsidRPr="00D6374E">
        <w:rPr>
          <w:spacing w:val="3"/>
        </w:rPr>
        <w:t>Gonio</w:t>
      </w:r>
      <w:proofErr w:type="spellEnd"/>
      <w:r w:rsidRPr="00D6374E">
        <w:rPr>
          <w:spacing w:val="3"/>
        </w:rPr>
        <w:t>(photo)mètre utilisé pour effectuer des mesures</w:t>
      </w:r>
      <w:r w:rsidRPr="00D6374E">
        <w:t xml:space="preserve"> photométriques, tel qu’il est défini au paragraphe 2.10.9 </w:t>
      </w:r>
      <w:r w:rsidRPr="00D6374E">
        <w:br/>
        <w:t>du présent Règlement</w:t>
      </w:r>
    </w:p>
    <w:p w:rsidR="00D6374E" w:rsidRDefault="00D6374E" w:rsidP="00D6374E">
      <w:pPr>
        <w:spacing w:after="120"/>
        <w:ind w:left="1134" w:right="1134"/>
        <w:jc w:val="right"/>
        <w:rPr>
          <w:rFonts w:eastAsia="Calibri"/>
        </w:rPr>
      </w:pPr>
      <w:r w:rsidRPr="00D6374E">
        <w:rPr>
          <w:rFonts w:eastAsia="Calibri"/>
          <w:noProof/>
          <w:lang w:val="fr-FR" w:eastAsia="fr-FR"/>
        </w:rPr>
        <mc:AlternateContent>
          <mc:Choice Requires="wpc">
            <w:drawing>
              <wp:inline distT="0" distB="0" distL="0" distR="0" wp14:anchorId="15C4FCE6" wp14:editId="4126BED3">
                <wp:extent cx="4633200" cy="2408400"/>
                <wp:effectExtent l="0" t="0" r="0" b="0"/>
                <wp:docPr id="304" name="Zone de dessin 3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1" name="Group 28"/>
                        <wpg:cNvGrpSpPr>
                          <a:grpSpLocks/>
                        </wpg:cNvGrpSpPr>
                        <wpg:grpSpPr bwMode="auto">
                          <a:xfrm>
                            <a:off x="1734476" y="343814"/>
                            <a:ext cx="346381" cy="695322"/>
                            <a:chOff x="2996" y="3125"/>
                            <a:chExt cx="270" cy="542"/>
                          </a:xfrm>
                        </wpg:grpSpPr>
                        <wps:wsp>
                          <wps:cNvPr id="12" name="Oval 29"/>
                          <wps:cNvSpPr>
                            <a:spLocks noChangeArrowheads="1"/>
                          </wps:cNvSpPr>
                          <wps:spPr bwMode="auto">
                            <a:xfrm rot="968537">
                              <a:off x="2996" y="3125"/>
                              <a:ext cx="270" cy="542"/>
                            </a:xfrm>
                            <a:prstGeom prst="ellipse">
                              <a:avLst/>
                            </a:prstGeom>
                            <a:solidFill>
                              <a:srgbClr val="000000"/>
                            </a:solidFill>
                            <a:ln>
                              <a:noFill/>
                            </a:ln>
                            <a:effectLst>
                              <a:prstShdw prst="shdw17" dist="17961" dir="2700000">
                                <a:srgbClr val="000000">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s:wsp>
                          <wps:cNvPr id="13" name="Oval 30"/>
                          <wps:cNvSpPr>
                            <a:spLocks noChangeArrowheads="1"/>
                          </wps:cNvSpPr>
                          <wps:spPr bwMode="auto">
                            <a:xfrm rot="-3374736">
                              <a:off x="3073" y="3351"/>
                              <a:ext cx="128" cy="79"/>
                            </a:xfrm>
                            <a:prstGeom prst="ellipse">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g:wgp>
                      <wpg:wgp>
                        <wpg:cNvPr id="16" name="Group 31"/>
                        <wpg:cNvGrpSpPr>
                          <a:grpSpLocks/>
                        </wpg:cNvGrpSpPr>
                        <wpg:grpSpPr bwMode="auto">
                          <a:xfrm>
                            <a:off x="944210" y="1064793"/>
                            <a:ext cx="912138" cy="1204625"/>
                            <a:chOff x="1562" y="2351"/>
                            <a:chExt cx="711" cy="939"/>
                          </a:xfrm>
                        </wpg:grpSpPr>
                        <wps:wsp>
                          <wps:cNvPr id="17" name="Line 32"/>
                          <wps:cNvCnPr>
                            <a:cxnSpLocks noChangeShapeType="1"/>
                          </wps:cNvCnPr>
                          <wps:spPr bwMode="auto">
                            <a:xfrm flipV="1">
                              <a:off x="1568" y="2380"/>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8" name="Line 33"/>
                          <wps:cNvCnPr>
                            <a:cxnSpLocks noChangeShapeType="1"/>
                          </wps:cNvCnPr>
                          <wps:spPr bwMode="auto">
                            <a:xfrm flipV="1">
                              <a:off x="1773" y="2984"/>
                              <a:ext cx="500" cy="3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9" name="Line 34"/>
                          <wps:cNvCnPr>
                            <a:cxnSpLocks noChangeShapeType="1"/>
                          </wps:cNvCnPr>
                          <wps:spPr bwMode="auto">
                            <a:xfrm flipV="1">
                              <a:off x="1565" y="248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0" name="Line 35"/>
                          <wps:cNvCnPr>
                            <a:cxnSpLocks noChangeShapeType="1"/>
                          </wps:cNvCnPr>
                          <wps:spPr bwMode="auto">
                            <a:xfrm flipV="1">
                              <a:off x="1562" y="241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1" name="Line 36"/>
                          <wps:cNvCnPr>
                            <a:cxnSpLocks noChangeShapeType="1"/>
                          </wps:cNvCnPr>
                          <wps:spPr bwMode="auto">
                            <a:xfrm flipH="1" flipV="1">
                              <a:off x="1565" y="2351"/>
                              <a:ext cx="0" cy="30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2" name="Line 37"/>
                          <wps:cNvCnPr>
                            <a:cxnSpLocks noChangeShapeType="1"/>
                          </wps:cNvCnPr>
                          <wps:spPr bwMode="auto">
                            <a:xfrm flipH="1" flipV="1">
                              <a:off x="1777" y="2378"/>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23" name="Group 38"/>
                        <wpg:cNvGrpSpPr>
                          <a:grpSpLocks/>
                        </wpg:cNvGrpSpPr>
                        <wpg:grpSpPr bwMode="auto">
                          <a:xfrm>
                            <a:off x="1956414" y="2"/>
                            <a:ext cx="830674" cy="1799882"/>
                            <a:chOff x="2351" y="1521"/>
                            <a:chExt cx="647" cy="1403"/>
                          </a:xfrm>
                        </wpg:grpSpPr>
                        <wps:wsp>
                          <wps:cNvPr id="24" name="Line 39"/>
                          <wps:cNvCnPr>
                            <a:cxnSpLocks noChangeShapeType="1"/>
                          </wps:cNvCnPr>
                          <wps:spPr bwMode="auto">
                            <a:xfrm flipV="1">
                              <a:off x="2790" y="1623"/>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5" name="Line 40"/>
                          <wps:cNvCnPr>
                            <a:cxnSpLocks noChangeShapeType="1"/>
                          </wps:cNvCnPr>
                          <wps:spPr bwMode="auto">
                            <a:xfrm flipV="1">
                              <a:off x="2351" y="2650"/>
                              <a:ext cx="448" cy="27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6" name="Line 41"/>
                          <wps:cNvCnPr>
                            <a:cxnSpLocks noChangeShapeType="1"/>
                          </wps:cNvCnPr>
                          <wps:spPr bwMode="auto">
                            <a:xfrm flipV="1">
                              <a:off x="2894" y="1659"/>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7" name="Line 42"/>
                          <wps:cNvCnPr>
                            <a:cxnSpLocks noChangeShapeType="1"/>
                          </wps:cNvCnPr>
                          <wps:spPr bwMode="auto">
                            <a:xfrm flipV="1">
                              <a:off x="2892" y="159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8" name="Line 43"/>
                          <wps:cNvCnPr>
                            <a:cxnSpLocks noChangeShapeType="1"/>
                          </wps:cNvCnPr>
                          <wps:spPr bwMode="auto">
                            <a:xfrm flipH="1" flipV="1">
                              <a:off x="2994" y="1521"/>
                              <a:ext cx="4" cy="23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 name="Line 44"/>
                          <wps:cNvCnPr>
                            <a:cxnSpLocks noChangeShapeType="1"/>
                          </wps:cNvCnPr>
                          <wps:spPr bwMode="auto">
                            <a:xfrm flipH="1" flipV="1">
                              <a:off x="2796" y="1752"/>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30" name="Group 45"/>
                        <wpg:cNvGrpSpPr>
                          <a:grpSpLocks/>
                        </wpg:cNvGrpSpPr>
                        <wpg:grpSpPr bwMode="auto">
                          <a:xfrm>
                            <a:off x="496481" y="1266203"/>
                            <a:ext cx="447730" cy="343813"/>
                            <a:chOff x="1213" y="2508"/>
                            <a:chExt cx="349" cy="268"/>
                          </a:xfrm>
                        </wpg:grpSpPr>
                        <wps:wsp>
                          <wps:cNvPr id="31" name="Line 46"/>
                          <wps:cNvCnPr>
                            <a:cxnSpLocks noChangeShapeType="1"/>
                          </wps:cNvCnPr>
                          <wps:spPr bwMode="auto">
                            <a:xfrm flipV="1">
                              <a:off x="1230" y="2508"/>
                              <a:ext cx="332" cy="204"/>
                            </a:xfrm>
                            <a:prstGeom prst="line">
                              <a:avLst/>
                            </a:prstGeom>
                            <a:noFill/>
                            <a:ln w="254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32" name="Group 47"/>
                          <wpg:cNvGrpSpPr>
                            <a:grpSpLocks/>
                          </wpg:cNvGrpSpPr>
                          <wpg:grpSpPr bwMode="auto">
                            <a:xfrm>
                              <a:off x="1213" y="2544"/>
                              <a:ext cx="164" cy="232"/>
                              <a:chOff x="1213" y="2544"/>
                              <a:chExt cx="164" cy="232"/>
                            </a:xfrm>
                          </wpg:grpSpPr>
                          <wps:wsp>
                            <wps:cNvPr id="33" name="Arc 48"/>
                            <wps:cNvSpPr>
                              <a:spLocks/>
                            </wps:cNvSpPr>
                            <wps:spPr bwMode="auto">
                              <a:xfrm rot="10800000" flipV="1">
                                <a:off x="1213" y="2546"/>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4" name="Arc 49"/>
                            <wps:cNvSpPr>
                              <a:spLocks/>
                            </wps:cNvSpPr>
                            <wps:spPr bwMode="auto">
                              <a:xfrm rot="15600000" flipH="1" flipV="1">
                                <a:off x="1313" y="2679"/>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5" name="Arc 50"/>
                            <wps:cNvSpPr>
                              <a:spLocks/>
                            </wps:cNvSpPr>
                            <wps:spPr bwMode="auto">
                              <a:xfrm rot="16200000" flipV="1">
                                <a:off x="1263" y="2543"/>
                                <a:ext cx="102"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6" name="Arc 51"/>
                            <wps:cNvSpPr>
                              <a:spLocks/>
                            </wps:cNvSpPr>
                            <wps:spPr bwMode="auto">
                              <a:xfrm rot="17100000" flipH="1" flipV="1">
                                <a:off x="1286" y="2701"/>
                                <a:ext cx="51" cy="99"/>
                              </a:xfrm>
                              <a:custGeom>
                                <a:avLst/>
                                <a:gdLst>
                                  <a:gd name="G0" fmla="+- 0 0 0"/>
                                  <a:gd name="G1" fmla="+- 21600 0 0"/>
                                  <a:gd name="G2" fmla="+- 21600 0 0"/>
                                  <a:gd name="T0" fmla="*/ 0 w 21600"/>
                                  <a:gd name="T1" fmla="*/ 0 h 32525"/>
                                  <a:gd name="T2" fmla="*/ 18634 w 21600"/>
                                  <a:gd name="T3" fmla="*/ 32525 h 32525"/>
                                  <a:gd name="T4" fmla="*/ 0 w 21600"/>
                                  <a:gd name="T5" fmla="*/ 21600 h 32525"/>
                                </a:gdLst>
                                <a:ahLst/>
                                <a:cxnLst>
                                  <a:cxn ang="0">
                                    <a:pos x="T0" y="T1"/>
                                  </a:cxn>
                                  <a:cxn ang="0">
                                    <a:pos x="T2" y="T3"/>
                                  </a:cxn>
                                  <a:cxn ang="0">
                                    <a:pos x="T4" y="T5"/>
                                  </a:cxn>
                                </a:cxnLst>
                                <a:rect l="0" t="0" r="r" b="b"/>
                                <a:pathLst>
                                  <a:path w="21600" h="32525" fill="none" extrusionOk="0">
                                    <a:moveTo>
                                      <a:pt x="-1" y="0"/>
                                    </a:moveTo>
                                    <a:cubicBezTo>
                                      <a:pt x="11929" y="0"/>
                                      <a:pt x="21600" y="9670"/>
                                      <a:pt x="21600" y="21600"/>
                                    </a:cubicBezTo>
                                    <a:cubicBezTo>
                                      <a:pt x="21600" y="25440"/>
                                      <a:pt x="20576" y="29211"/>
                                      <a:pt x="18633" y="32524"/>
                                    </a:cubicBezTo>
                                  </a:path>
                                  <a:path w="21600" h="32525" stroke="0" extrusionOk="0">
                                    <a:moveTo>
                                      <a:pt x="-1" y="0"/>
                                    </a:moveTo>
                                    <a:cubicBezTo>
                                      <a:pt x="11929" y="0"/>
                                      <a:pt x="21600" y="9670"/>
                                      <a:pt x="21600" y="21600"/>
                                    </a:cubicBezTo>
                                    <a:cubicBezTo>
                                      <a:pt x="21600" y="25440"/>
                                      <a:pt x="20576" y="29211"/>
                                      <a:pt x="18633" y="3252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37" name="Group 52"/>
                        <wpg:cNvGrpSpPr>
                          <a:grpSpLocks/>
                        </wpg:cNvGrpSpPr>
                        <wpg:grpSpPr bwMode="auto">
                          <a:xfrm>
                            <a:off x="1725495" y="797952"/>
                            <a:ext cx="314309" cy="1193079"/>
                            <a:chOff x="2171" y="2143"/>
                            <a:chExt cx="245" cy="930"/>
                          </a:xfrm>
                        </wpg:grpSpPr>
                        <wps:wsp>
                          <wps:cNvPr id="43" name="Line 53"/>
                          <wps:cNvCnPr>
                            <a:cxnSpLocks noChangeShapeType="1"/>
                          </wps:cNvCnPr>
                          <wps:spPr bwMode="auto">
                            <a:xfrm flipH="1" flipV="1">
                              <a:off x="2309" y="2143"/>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44" name="Line 54"/>
                          <wps:cNvCnPr>
                            <a:cxnSpLocks noChangeShapeType="1"/>
                          </wps:cNvCnPr>
                          <wps:spPr bwMode="auto">
                            <a:xfrm flipH="1" flipV="1">
                              <a:off x="2276" y="2900"/>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3" name="Line 55"/>
                          <wps:cNvCnPr>
                            <a:cxnSpLocks noChangeShapeType="1"/>
                          </wps:cNvCnPr>
                          <wps:spPr bwMode="auto">
                            <a:xfrm flipH="1" flipV="1">
                              <a:off x="2348" y="2858"/>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4" name="Line 56"/>
                          <wps:cNvCnPr>
                            <a:cxnSpLocks noChangeShapeType="1"/>
                          </wps:cNvCnPr>
                          <wps:spPr bwMode="auto">
                            <a:xfrm flipV="1">
                              <a:off x="2277" y="3026"/>
                              <a:ext cx="75" cy="4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55" name="Group 57"/>
                          <wpg:cNvGrpSpPr>
                            <a:grpSpLocks/>
                          </wpg:cNvGrpSpPr>
                          <wpg:grpSpPr bwMode="auto">
                            <a:xfrm>
                              <a:off x="2171" y="2533"/>
                              <a:ext cx="245" cy="141"/>
                              <a:chOff x="2171" y="2533"/>
                              <a:chExt cx="245" cy="141"/>
                            </a:xfrm>
                          </wpg:grpSpPr>
                          <wps:wsp>
                            <wps:cNvPr id="56" name="Arc 58"/>
                            <wps:cNvSpPr>
                              <a:spLocks/>
                            </wps:cNvSpPr>
                            <wps:spPr bwMode="auto">
                              <a:xfrm rot="16200000" flipV="1">
                                <a:off x="2357" y="2539"/>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7" name="Arc 59"/>
                            <wps:cNvSpPr>
                              <a:spLocks/>
                            </wps:cNvSpPr>
                            <wps:spPr bwMode="auto">
                              <a:xfrm flipH="1" flipV="1">
                                <a:off x="2204" y="2647"/>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8" name="Arc 60"/>
                            <wps:cNvSpPr>
                              <a:spLocks/>
                            </wps:cNvSpPr>
                            <wps:spPr bwMode="auto">
                              <a:xfrm flipV="1">
                                <a:off x="2314" y="2595"/>
                                <a:ext cx="102" cy="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62" name="Arc 61"/>
                            <wps:cNvSpPr>
                              <a:spLocks/>
                            </wps:cNvSpPr>
                            <wps:spPr bwMode="auto">
                              <a:xfrm rot="900000" flipH="1" flipV="1">
                                <a:off x="2171" y="2533"/>
                                <a:ext cx="51" cy="116"/>
                              </a:xfrm>
                              <a:custGeom>
                                <a:avLst/>
                                <a:gdLst>
                                  <a:gd name="G0" fmla="+- 0 0 0"/>
                                  <a:gd name="G1" fmla="+- 21600 0 0"/>
                                  <a:gd name="G2" fmla="+- 21600 0 0"/>
                                  <a:gd name="T0" fmla="*/ 0 w 21600"/>
                                  <a:gd name="T1" fmla="*/ 0 h 37995"/>
                                  <a:gd name="T2" fmla="*/ 14063 w 21600"/>
                                  <a:gd name="T3" fmla="*/ 37995 h 37995"/>
                                  <a:gd name="T4" fmla="*/ 0 w 21600"/>
                                  <a:gd name="T5" fmla="*/ 21600 h 37995"/>
                                </a:gdLst>
                                <a:ahLst/>
                                <a:cxnLst>
                                  <a:cxn ang="0">
                                    <a:pos x="T0" y="T1"/>
                                  </a:cxn>
                                  <a:cxn ang="0">
                                    <a:pos x="T2" y="T3"/>
                                  </a:cxn>
                                  <a:cxn ang="0">
                                    <a:pos x="T4" y="T5"/>
                                  </a:cxn>
                                </a:cxnLst>
                                <a:rect l="0" t="0" r="r" b="b"/>
                                <a:pathLst>
                                  <a:path w="21600" h="37995" fill="none" extrusionOk="0">
                                    <a:moveTo>
                                      <a:pt x="-1" y="0"/>
                                    </a:moveTo>
                                    <a:cubicBezTo>
                                      <a:pt x="11929" y="0"/>
                                      <a:pt x="21600" y="9670"/>
                                      <a:pt x="21600" y="21600"/>
                                    </a:cubicBezTo>
                                    <a:cubicBezTo>
                                      <a:pt x="21600" y="27902"/>
                                      <a:pt x="18846" y="33891"/>
                                      <a:pt x="14062" y="37994"/>
                                    </a:cubicBezTo>
                                  </a:path>
                                  <a:path w="21600" h="37995" stroke="0" extrusionOk="0">
                                    <a:moveTo>
                                      <a:pt x="-1" y="0"/>
                                    </a:moveTo>
                                    <a:cubicBezTo>
                                      <a:pt x="11929" y="0"/>
                                      <a:pt x="21600" y="9670"/>
                                      <a:pt x="21600" y="21600"/>
                                    </a:cubicBezTo>
                                    <a:cubicBezTo>
                                      <a:pt x="21600" y="27902"/>
                                      <a:pt x="18846" y="33891"/>
                                      <a:pt x="14062" y="3799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63" name="Group 62"/>
                        <wpg:cNvGrpSpPr>
                          <a:grpSpLocks/>
                        </wpg:cNvGrpSpPr>
                        <wpg:grpSpPr bwMode="auto">
                          <a:xfrm>
                            <a:off x="1902534" y="681210"/>
                            <a:ext cx="2381694" cy="465686"/>
                            <a:chOff x="2309" y="2052"/>
                            <a:chExt cx="1856" cy="363"/>
                          </a:xfrm>
                        </wpg:grpSpPr>
                        <wps:wsp>
                          <wps:cNvPr id="288" name="Line 63"/>
                          <wps:cNvCnPr>
                            <a:cxnSpLocks noChangeShapeType="1"/>
                          </wps:cNvCnPr>
                          <wps:spPr bwMode="auto">
                            <a:xfrm>
                              <a:off x="2309" y="2052"/>
                              <a:ext cx="1615" cy="242"/>
                            </a:xfrm>
                            <a:prstGeom prst="line">
                              <a:avLst/>
                            </a:prstGeom>
                            <a:noFill/>
                            <a:ln w="25400">
                              <a:solidFill>
                                <a:srgbClr val="000000"/>
                              </a:solidFill>
                              <a:prstDash val="dash"/>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289" name="Group 64"/>
                          <wpg:cNvGrpSpPr>
                            <a:grpSpLocks/>
                          </wpg:cNvGrpSpPr>
                          <wpg:grpSpPr bwMode="auto">
                            <a:xfrm>
                              <a:off x="3955" y="2218"/>
                              <a:ext cx="210" cy="197"/>
                              <a:chOff x="4011" y="2262"/>
                              <a:chExt cx="210" cy="197"/>
                            </a:xfrm>
                          </wpg:grpSpPr>
                          <wps:wsp>
                            <wps:cNvPr id="290" name="Oval 65"/>
                            <wps:cNvSpPr>
                              <a:spLocks noChangeArrowheads="1"/>
                            </wps:cNvSpPr>
                            <wps:spPr bwMode="auto">
                              <a:xfrm>
                                <a:off x="4011" y="2262"/>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1" name="Oval 66"/>
                            <wps:cNvSpPr>
                              <a:spLocks noChangeArrowheads="1"/>
                            </wps:cNvSpPr>
                            <wps:spPr bwMode="auto">
                              <a:xfrm>
                                <a:off x="4165" y="2289"/>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2" name="Line 67"/>
                            <wps:cNvCnPr>
                              <a:cxnSpLocks noChangeShapeType="1"/>
                            </wps:cNvCnPr>
                            <wps:spPr bwMode="auto">
                              <a:xfrm>
                                <a:off x="4034" y="2262"/>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3" name="Line 68"/>
                            <wps:cNvCnPr>
                              <a:cxnSpLocks noChangeShapeType="1"/>
                            </wps:cNvCnPr>
                            <wps:spPr bwMode="auto">
                              <a:xfrm>
                                <a:off x="4038" y="2431"/>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4" name="Oval 69"/>
                            <wps:cNvSpPr>
                              <a:spLocks noChangeArrowheads="1"/>
                            </wps:cNvSpPr>
                            <wps:spPr bwMode="auto">
                              <a:xfrm>
                                <a:off x="4036" y="2281"/>
                                <a:ext cx="34" cy="136"/>
                              </a:xfrm>
                              <a:prstGeom prst="ellipse">
                                <a:avLst/>
                              </a:prstGeom>
                              <a:solidFill>
                                <a:srgbClr val="FFFFFF"/>
                              </a:solidFill>
                              <a:ln w="254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s:wsp>
                        <wps:cNvPr id="295" name="Text Box 70"/>
                        <wps:cNvSpPr txBox="1">
                          <a:spLocks noChangeArrowheads="1"/>
                        </wps:cNvSpPr>
                        <wps:spPr bwMode="auto">
                          <a:xfrm>
                            <a:off x="3466732" y="1151498"/>
                            <a:ext cx="816055" cy="327446"/>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rsidR="008D6608" w:rsidRDefault="008D6608" w:rsidP="00D6374E">
                              <w:pPr>
                                <w:rPr>
                                  <w:color w:val="000000"/>
                                  <w:sz w:val="19"/>
                                </w:rPr>
                              </w:pPr>
                              <w:r>
                                <w:rPr>
                                  <w:color w:val="000000"/>
                                  <w:sz w:val="19"/>
                                </w:rPr>
                                <w:t>Photomètre</w:t>
                              </w:r>
                            </w:p>
                          </w:txbxContent>
                        </wps:txbx>
                        <wps:bodyPr rot="0" vert="horz" wrap="square" lIns="72707" tIns="37808" rIns="72707" bIns="37808" upright="1">
                          <a:noAutofit/>
                        </wps:bodyPr>
                      </wps:wsp>
                      <wpg:wgp>
                        <wpg:cNvPr id="296" name="Group 71"/>
                        <wpg:cNvGrpSpPr>
                          <a:grpSpLocks/>
                        </wpg:cNvGrpSpPr>
                        <wpg:grpSpPr bwMode="auto">
                          <a:xfrm>
                            <a:off x="1908949" y="681213"/>
                            <a:ext cx="2066102" cy="250161"/>
                            <a:chOff x="2314" y="2052"/>
                            <a:chExt cx="1610" cy="195"/>
                          </a:xfrm>
                        </wpg:grpSpPr>
                        <wps:wsp>
                          <wps:cNvPr id="297" name="Line 72"/>
                          <wps:cNvCnPr>
                            <a:cxnSpLocks noChangeShapeType="1"/>
                          </wps:cNvCnPr>
                          <wps:spPr bwMode="auto">
                            <a:xfrm>
                              <a:off x="2314" y="2052"/>
                              <a:ext cx="1610" cy="67"/>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8" name="Arc 73"/>
                          <wps:cNvSpPr>
                            <a:spLocks/>
                          </wps:cNvSpPr>
                          <wps:spPr bwMode="auto">
                            <a:xfrm rot="1200000">
                              <a:off x="3636" y="2115"/>
                              <a:ext cx="56" cy="126"/>
                            </a:xfrm>
                            <a:custGeom>
                              <a:avLst/>
                              <a:gdLst>
                                <a:gd name="G0" fmla="+- 0 0 0"/>
                                <a:gd name="G1" fmla="+- 20711 0 0"/>
                                <a:gd name="G2" fmla="+- 21600 0 0"/>
                                <a:gd name="T0" fmla="*/ 6135 w 21600"/>
                                <a:gd name="T1" fmla="*/ 0 h 22703"/>
                                <a:gd name="T2" fmla="*/ 21508 w 21600"/>
                                <a:gd name="T3" fmla="*/ 22703 h 22703"/>
                                <a:gd name="T4" fmla="*/ 0 w 21600"/>
                                <a:gd name="T5" fmla="*/ 20711 h 22703"/>
                              </a:gdLst>
                              <a:ahLst/>
                              <a:cxnLst>
                                <a:cxn ang="0">
                                  <a:pos x="T0" y="T1"/>
                                </a:cxn>
                                <a:cxn ang="0">
                                  <a:pos x="T2" y="T3"/>
                                </a:cxn>
                                <a:cxn ang="0">
                                  <a:pos x="T4" y="T5"/>
                                </a:cxn>
                              </a:cxnLst>
                              <a:rect l="0" t="0" r="r" b="b"/>
                              <a:pathLst>
                                <a:path w="21600" h="22703" fill="none" extrusionOk="0">
                                  <a:moveTo>
                                    <a:pt x="6134" y="0"/>
                                  </a:moveTo>
                                  <a:cubicBezTo>
                                    <a:pt x="15307" y="2717"/>
                                    <a:pt x="21600" y="11144"/>
                                    <a:pt x="21600" y="20711"/>
                                  </a:cubicBezTo>
                                  <a:cubicBezTo>
                                    <a:pt x="21600" y="21376"/>
                                    <a:pt x="21569" y="22040"/>
                                    <a:pt x="21507" y="22702"/>
                                  </a:cubicBezTo>
                                </a:path>
                                <a:path w="21600" h="22703" stroke="0" extrusionOk="0">
                                  <a:moveTo>
                                    <a:pt x="6134" y="0"/>
                                  </a:moveTo>
                                  <a:cubicBezTo>
                                    <a:pt x="15307" y="2717"/>
                                    <a:pt x="21600" y="11144"/>
                                    <a:pt x="21600" y="20711"/>
                                  </a:cubicBezTo>
                                  <a:cubicBezTo>
                                    <a:pt x="21600" y="21376"/>
                                    <a:pt x="21569" y="22040"/>
                                    <a:pt x="21507" y="22702"/>
                                  </a:cubicBezTo>
                                  <a:lnTo>
                                    <a:pt x="0" y="20711"/>
                                  </a:lnTo>
                                  <a:close/>
                                </a:path>
                              </a:pathLst>
                            </a:custGeom>
                            <a:noFill/>
                            <a:ln w="12700">
                              <a:solidFill>
                                <a:srgbClr val="000000"/>
                              </a:solidFill>
                              <a:round/>
                              <a:headEnd type="triangle" w="sm" len="sm"/>
                              <a:tailEnd type="triangle" w="sm" len="sm"/>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9" name="Text Box 74"/>
                          <wps:cNvSpPr txBox="1">
                            <a:spLocks noChangeArrowheads="1"/>
                          </wps:cNvSpPr>
                          <wps:spPr bwMode="auto">
                            <a:xfrm>
                              <a:off x="3733" y="2132"/>
                              <a:ext cx="61"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rsidR="008D6608" w:rsidRPr="00AD1A6F" w:rsidRDefault="008D6608" w:rsidP="00D6374E">
                                <w:pPr>
                                  <w:jc w:val="center"/>
                                  <w:rPr>
                                    <w:b/>
                                    <w:bCs/>
                                    <w:color w:val="000000"/>
                                    <w:sz w:val="19"/>
                                    <w:lang w:val="de-DE"/>
                                  </w:rPr>
                                </w:pPr>
                                <w:r w:rsidRPr="00AD1A6F">
                                  <w:rPr>
                                    <w:rFonts w:cs="Symbol"/>
                                    <w:b/>
                                    <w:bCs/>
                                    <w:color w:val="000000"/>
                                    <w:sz w:val="19"/>
                                    <w:lang w:val="de-DE"/>
                                  </w:rPr>
                                  <w:t>v</w:t>
                                </w:r>
                              </w:p>
                            </w:txbxContent>
                          </wps:txbx>
                          <wps:bodyPr rot="0" vert="horz" wrap="square" lIns="0" tIns="0" rIns="0" bIns="0" upright="1">
                            <a:noAutofit/>
                          </wps:bodyPr>
                        </wps:wsp>
                      </wpg:wgp>
                      <wpg:wgp>
                        <wpg:cNvPr id="300" name="Group 75"/>
                        <wpg:cNvGrpSpPr>
                          <a:grpSpLocks/>
                        </wpg:cNvGrpSpPr>
                        <wpg:grpSpPr bwMode="auto">
                          <a:xfrm>
                            <a:off x="1898686" y="681211"/>
                            <a:ext cx="1014128" cy="584994"/>
                            <a:chOff x="2306" y="2052"/>
                            <a:chExt cx="790" cy="456"/>
                          </a:xfrm>
                        </wpg:grpSpPr>
                        <wps:wsp>
                          <wps:cNvPr id="301" name="Line 76"/>
                          <wps:cNvCnPr>
                            <a:cxnSpLocks noChangeShapeType="1"/>
                          </wps:cNvCnPr>
                          <wps:spPr bwMode="auto">
                            <a:xfrm>
                              <a:off x="2306" y="2052"/>
                              <a:ext cx="738" cy="456"/>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302" name="Arc 77"/>
                          <wps:cNvSpPr>
                            <a:spLocks/>
                          </wps:cNvSpPr>
                          <wps:spPr bwMode="auto">
                            <a:xfrm flipV="1">
                              <a:off x="2841" y="2179"/>
                              <a:ext cx="237" cy="1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type="triangle" w="sm"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03" name="Text Box 78"/>
                          <wps:cNvSpPr txBox="1">
                            <a:spLocks noChangeArrowheads="1"/>
                          </wps:cNvSpPr>
                          <wps:spPr bwMode="auto">
                            <a:xfrm>
                              <a:off x="3043" y="2283"/>
                              <a:ext cx="53"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rsidR="008D6608" w:rsidRPr="00AD1A6F" w:rsidRDefault="008D6608" w:rsidP="00D6374E">
                                <w:pPr>
                                  <w:jc w:val="center"/>
                                  <w:rPr>
                                    <w:b/>
                                    <w:bCs/>
                                    <w:color w:val="000000"/>
                                    <w:sz w:val="19"/>
                                    <w:lang w:val="de-DE"/>
                                  </w:rPr>
                                </w:pPr>
                                <w:r w:rsidRPr="00AD1A6F">
                                  <w:rPr>
                                    <w:rFonts w:cs="Symbol"/>
                                    <w:b/>
                                    <w:bCs/>
                                    <w:color w:val="000000"/>
                                    <w:sz w:val="19"/>
                                    <w:lang w:val="de-DE"/>
                                  </w:rPr>
                                  <w:t>h</w:t>
                                </w:r>
                              </w:p>
                            </w:txbxContent>
                          </wps:txbx>
                          <wps:bodyPr rot="0" vert="horz" wrap="square" lIns="0" tIns="0" rIns="0" bIns="0" upright="1">
                            <a:noAutofit/>
                          </wps:bodyPr>
                        </wps:wsp>
                      </wpg:wgp>
                    </wpc:wpc>
                  </a:graphicData>
                </a:graphic>
              </wp:inline>
            </w:drawing>
          </mc:Choice>
          <mc:Fallback>
            <w:pict>
              <v:group w14:anchorId="15C4FCE6" id="Zone de dessin 304" o:spid="_x0000_s1050" editas="canvas" style="width:364.8pt;height:189.65pt;mso-position-horizontal-relative:char;mso-position-vertical-relative:line" coordsize="46329,24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">
                <v:shape id="_x0000_s1051" type="#_x0000_t75" style="position:absolute;width:46329;height:24079;visibility:visible;mso-wrap-style:square">
                  <v:fill o:detectmouseclick="t"/>
                  <v:path o:connecttype="none"/>
                </v:shape>
                <v:group id="Group 28" o:spid="_x0000_s1052" style="position:absolute;left:17344;top:3438;width:3464;height:6953" coordorigin="2996,3125" coordsize="27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29" o:spid="_x0000_s1053" style="position:absolute;left:2996;top:3125;width:270;height:542;rotation:10579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" fillcolor="black" stroked="f" strokecolor="#003466">
                    <v:imagedata embosscolor="shadow add(51)"/>
                    <v:shadow on="t" type="emboss" color="black" color2="shadow add(102)" offset="1pt,1pt" offset2="-1pt,-1pt"/>
                    <v:textbox inset="2.5mm,1.3mm,2.5mm,1.3mm"/>
                  </v:oval>
                  <v:oval id="Oval 30" o:spid="_x0000_s1054" style="position:absolute;left:3073;top:3351;width:128;height:79;rotation:-36861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" stroked="f" strokecolor="#003466">
                    <v:imagedata embosscolor="shadow add(51)"/>
                    <v:shadow on="t" type="emboss" color="#999" color2="shadow add(102)" offset="1pt,1pt" offset2="-1pt,-1pt"/>
                    <v:textbox inset="2.5mm,1.3mm,2.5mm,1.3mm"/>
                  </v:oval>
                </v:group>
                <v:group id="Group 31" o:spid="_x0000_s1055" style="position:absolute;left:9442;top:10647;width:9121;height:12047" coordorigin="1562,2351" coordsize="71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32" o:spid="_x0000_s1056" style="position:absolute;flip:y;visibility:visible;mso-wrap-style:square" from="1568,2380" to="1768,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" strokeweight="2pt">
                    <v:shadow color="#858aac"/>
                  </v:line>
                  <v:line id="Line 33" o:spid="_x0000_s1057" style="position:absolute;flip:y;visibility:visible;mso-wrap-style:square" from="1773,2984" to="2273,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" strokeweight="2pt">
                    <v:shadow color="#858aac"/>
                  </v:line>
                  <v:line id="Line 34" o:spid="_x0000_s1058" style="position:absolute;flip:y;visibility:visible;mso-wrap-style:square" from="1565,2480" to="1663,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" strokeweight="2pt">
                    <v:shadow color="#858aac"/>
                  </v:line>
                  <v:line id="Line 35" o:spid="_x0000_s1059" style="position:absolute;flip:y;visibility:visible;mso-wrap-style:square" from="1562,2410" to="1660,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" strokeweight="2pt">
                    <v:shadow color="#858aac"/>
                  </v:line>
                  <v:line id="Line 36" o:spid="_x0000_s1060" style="position:absolute;flip:x y;visibility:visible;mso-wrap-style:square" from="1565,2351" to="1565,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" strokeweight="2pt">
                    <v:shadow color="#858aac"/>
                  </v:line>
                  <v:line id="Line 37" o:spid="_x0000_s1061" style="position:absolute;flip:x y;visibility:visible;mso-wrap-style:square" from="1777,2378" to="1777,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" strokeweight="2pt">
                    <v:shadow color="#858aac"/>
                  </v:line>
                </v:group>
                <v:group id="Group 38" o:spid="_x0000_s1062" style="position:absolute;left:19564;width:8306;height:17998" coordorigin="2351,1521" coordsize="647,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39" o:spid="_x0000_s1063" style="position:absolute;flip:y;visibility:visible;mso-wrap-style:square" from="2790,1623" to="2990,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oeexgAAANsAAAAPAAAAZHJzL2Rvd25yZXYueG1sRI9BawIx&#10;FITvBf9DeEIvRbOuUu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F4KHnsYAAADbAAAA&#10;DwAAAAAAAAAAAAAAAAAHAgAAZHJzL2Rvd25yZXYueG1sUEsFBgAAAAADAAMAtwAAAPoCAAAAAA==&#10;" strokeweight="2pt">
                    <v:shadow color="#858aac"/>
                  </v:line>
                  <v:line id="Line 40" o:spid="_x0000_s1064" style="position:absolute;flip:y;visibility:visible;mso-wrap-style:square" from="2351,2650" to="2799,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iIFxgAAANsAAAAPAAAAZHJzL2Rvd25yZXYueG1sRI9BawIx&#10;FITvBf9DeEIvRbOuWO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eM4iBcYAAADbAAAA&#10;DwAAAAAAAAAAAAAAAAAHAgAAZHJzL2Rvd25yZXYueG1sUEsFBgAAAAADAAMAtwAAAPoCAAAAAA==&#10;" strokeweight="2pt">
                    <v:shadow color="#858aac"/>
                  </v:line>
                  <v:line id="Line 41" o:spid="_x0000_s1065" style="position:absolute;flip:y;visibility:visible;mso-wrap-style:square" from="2894,1659" to="2992,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" strokeweight="2pt">
                    <v:shadow color="#858aac"/>
                  </v:line>
                  <v:line id="Line 42" o:spid="_x0000_s1066" style="position:absolute;flip:y;visibility:visible;mso-wrap-style:square" from="2892,1590" to="2990,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" strokeweight="2pt">
                    <v:shadow color="#858aac"/>
                  </v:line>
                  <v:line id="Line 43" o:spid="_x0000_s1067" style="position:absolute;flip:x y;visibility:visible;mso-wrap-style:square" from="2994,1521" to="2998,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" strokeweight="2pt">
                    <v:shadow color="#858aac"/>
                  </v:line>
                  <v:line id="Line 44" o:spid="_x0000_s1068" style="position:absolute;flip:x y;visibility:visible;mso-wrap-style:square" from="2796,1752" to="2796,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" strokeweight="2pt">
                    <v:shadow color="#858aac"/>
                  </v:line>
                </v:group>
                <v:group id="Group 45" o:spid="_x0000_s1069" style="position:absolute;left:4964;top:12662;width:4478;height:3438" coordorigin="1213,2508" coordsize="34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46" o:spid="_x0000_s1070" style="position:absolute;flip:y;visibility:visible;mso-wrap-style:square" from="1230,2508" to="1562,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" strokeweight="2pt">
                    <v:stroke dashstyle="dash"/>
                    <v:shadow color="#858aac"/>
                  </v:line>
                  <v:group id="Group 47" o:spid="_x0000_s1071" style="position:absolute;left:1213;top:2544;width:164;height:232" coordorigin="1213,2544" coordsize="16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rc 48" o:spid="_x0000_s1072" style="position:absolute;left:1213;top:2546;width:51;height:66;rotation:18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49" o:spid="_x0000_s1073" style="position:absolute;left:1313;top:2679;width:102;height:27;rotation:-100;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50" o:spid="_x0000_s1074" style="position:absolute;left:1263;top:2543;width:102;height:104;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102,104;0,104" o:connectangles="0,0,0"/>
                    </v:shape>
                    <v:shape id="Arc 51" o:spid="_x0000_s1075" style="position:absolute;left:1286;top:2701;width:51;height:99;rotation:-75;flip:x y;visibility:visible;mso-wrap-style:square;v-text-anchor:middle" coordsize="21600,3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" path="m-1,nfc11929,,21600,9670,21600,21600v,3840,-1024,7611,-2967,10924em-1,nsc11929,,21600,9670,21600,21600v,3840,-1024,7611,-2967,10924l,21600,-1,xe" filled="f" fillcolor="#bfbfbf" strokeweight="2pt">
                      <v:stroke startarrowlength="long" endarrow="block" endarrowwidth="narrow" endarrowlength="long"/>
                      <v:shadow color="#858aac"/>
                      <v:path arrowok="t" o:extrusionok="f" o:connecttype="custom" o:connectlocs="0,0;44,99;0,66" o:connectangles="0,0,0"/>
                    </v:shape>
                  </v:group>
                </v:group>
                <v:group id="Group 52" o:spid="_x0000_s1076" style="position:absolute;left:17254;top:7979;width:3144;height:11931" coordorigin="2171,2143" coordsize="24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53" o:spid="_x0000_s1077" style="position:absolute;flip:x y;visibility:visible;mso-wrap-style:square" from="2309,2143" to="2309,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" strokeweight="2pt">
                    <v:shadow color="#858aac"/>
                  </v:line>
                  <v:line id="Line 54" o:spid="_x0000_s1078" style="position:absolute;flip:x y;visibility:visible;mso-wrap-style:square" from="2276,2900" to="2276,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" strokeweight="2pt">
                    <v:shadow color="#858aac"/>
                  </v:line>
                  <v:line id="Line 55" o:spid="_x0000_s1079" style="position:absolute;flip:x y;visibility:visible;mso-wrap-style:square" from="2348,2858" to="2348,3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" strokeweight="2pt">
                    <v:shadow color="#858aac"/>
                  </v:line>
                  <v:line id="Line 56" o:spid="_x0000_s1080" style="position:absolute;flip:y;visibility:visible;mso-wrap-style:square" from="2277,3026" to="2352,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" strokeweight="2pt">
                    <v:shadow color="#858aac"/>
                  </v:line>
                  <v:group id="Group 57" o:spid="_x0000_s1081" style="position:absolute;left:2171;top:2533;width:245;height:141" coordorigin="2171,2533" coordsize="24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rc 58" o:spid="_x0000_s1082" style="position:absolute;left:2357;top:2539;width:51;height:66;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59" o:spid="_x0000_s1083" style="position:absolute;left:2204;top:2647;width:102;height:27;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60" o:spid="_x0000_s1084" style="position:absolute;left:2314;top:2595;width:102;height:77;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" path="m-1,nfc11929,,21600,9670,21600,21600em-1,nsc11929,,21600,9670,21600,21600l,21600,-1,xe" filled="f" fillcolor="#bfbfbf" strokeweight="2pt">
                      <v:shadow color="#858aac"/>
                      <v:path arrowok="t" o:extrusionok="f" o:connecttype="custom" o:connectlocs="0,0;102,77;0,77" o:connectangles="0,0,0"/>
                    </v:shape>
                    <v:shape id="Arc 61" o:spid="_x0000_s1085" style="position:absolute;left:2171;top:2533;width:51;height:116;rotation:15;flip:x y;visibility:visible;mso-wrap-style:square;v-text-anchor:middle" coordsize="21600,3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" path="m-1,nfc11929,,21600,9670,21600,21600v,6302,-2754,12291,-7538,16394em-1,nsc11929,,21600,9670,21600,21600v,6302,-2754,12291,-7538,16394l,21600,-1,xe" filled="f" fillcolor="#bfbfbf" strokeweight="2pt">
                      <v:stroke startarrowlength="long" endarrow="block" endarrowwidth="narrow" endarrowlength="long"/>
                      <v:shadow color="#858aac"/>
                      <v:path arrowok="t" o:extrusionok="f" o:connecttype="custom" o:connectlocs="0,0;33,116;0,66" o:connectangles="0,0,0"/>
                    </v:shape>
                  </v:group>
                </v:group>
                <v:group id="Group 62" o:spid="_x0000_s1086" style="position:absolute;left:19025;top:6812;width:23817;height:4656" coordorigin="2309,2052" coordsize="18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Line 63" o:spid="_x0000_s1087" style="position:absolute;visibility:visible;mso-wrap-style:square" from="2309,2052" to="3924,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" strokeweight="2pt">
                    <v:stroke dashstyle="dash" endarrow="block" endarrowlength="long"/>
                    <v:shadow color="#858aac"/>
                  </v:line>
                  <v:group id="Group 64" o:spid="_x0000_s1088" style="position:absolute;left:3955;top:2218;width:210;height:197" coordorigin="4011,2262" coordsize="21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oval id="Oval 65" o:spid="_x0000_s1089" style="position:absolute;left:4011;top:2262;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" strokeweight="2pt">
                      <v:shadow color="#858aac"/>
                      <v:textbox inset="2.5mm,1.3mm,2.5mm,1.3mm"/>
                    </v:oval>
                    <v:oval id="Oval 66" o:spid="_x0000_s1090" style="position:absolute;left:4165;top:2289;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" strokeweight="2pt">
                      <v:shadow color="#858aac"/>
                      <v:textbox inset="2.5mm,1.3mm,2.5mm,1.3mm"/>
                    </v:oval>
                    <v:line id="Line 67" o:spid="_x0000_s1091" style="position:absolute;visibility:visible;mso-wrap-style:square" from="4034,2262" to="4189,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" strokeweight="2pt">
                      <v:shadow color="#858aac"/>
                    </v:line>
                    <v:line id="Line 68" o:spid="_x0000_s1092" style="position:absolute;visibility:visible;mso-wrap-style:square" from="4038,2431" to="4193,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" strokeweight="2pt">
                      <v:shadow color="#858aac"/>
                    </v:line>
                    <v:oval id="Oval 69" o:spid="_x0000_s1093" style="position:absolute;left:4036;top:2281;width:34;height: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" strokecolor="white" strokeweight="2pt">
                      <v:shadow color="#858aac"/>
                      <v:textbox inset="2.5mm,1.3mm,2.5mm,1.3mm"/>
                    </v:oval>
                  </v:group>
                </v:group>
                <v:shape id="Text Box 70" o:spid="_x0000_s1094" type="#_x0000_t202" style="position:absolute;left:34667;top:11514;width:8160;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" filled="f" fillcolor="#bfbfbf" stroked="f" strokecolor="#003466">
                  <v:textbox inset="2.01964mm,1.0502mm,2.01964mm,1.0502mm">
                    <w:txbxContent>
                      <w:p w:rsidR="008D6608" w:rsidRDefault="008D6608" w:rsidP="00D6374E">
                        <w:pPr>
                          <w:rPr>
                            <w:color w:val="000000"/>
                            <w:sz w:val="19"/>
                          </w:rPr>
                        </w:pPr>
                        <w:r>
                          <w:rPr>
                            <w:color w:val="000000"/>
                            <w:sz w:val="19"/>
                          </w:rPr>
                          <w:t>Photomètre</w:t>
                        </w:r>
                      </w:p>
                    </w:txbxContent>
                  </v:textbox>
                </v:shape>
                <v:group id="Group 71" o:spid="_x0000_s1095" style="position:absolute;left:19089;top:6812;width:20661;height:2501" coordorigin="2314,2052" coordsize="161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line id="Line 72" o:spid="_x0000_s1096" style="position:absolute;visibility:visible;mso-wrap-style:square" from="2314,2052" to="3924,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" strokeweight="1pt">
                    <v:stroke endarrow="block" endarrowlength="long"/>
                    <v:shadow color="#858aac"/>
                  </v:line>
                  <v:shape id="Arc 73" o:spid="_x0000_s1097" style="position:absolute;left:3636;top:2115;width:56;height:126;rotation:20;visibility:visible;mso-wrap-style:square;v-text-anchor:middle" coordsize="21600,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" path="m6134,nfc15307,2717,21600,11144,21600,20711v,665,-31,1329,-93,1991em6134,nsc15307,2717,21600,11144,21600,20711v,665,-31,1329,-93,1991l,20711,6134,xe" filled="f" fillcolor="#bfbfbf" strokeweight="1pt">
                    <v:stroke startarrow="block" startarrowwidth="narrow" startarrowlength="short" endarrow="block" endarrowwidth="narrow" endarrowlength="short"/>
                    <v:shadow color="#858aac"/>
                    <v:path arrowok="t" o:extrusionok="f" o:connecttype="custom" o:connectlocs="16,0;56,126;0,115" o:connectangles="0,0,0"/>
                  </v:shape>
                  <v:shape id="Text Box 74" o:spid="_x0000_s1098" type="#_x0000_t202" style="position:absolute;left:3733;top:2132;width:61;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" filled="f" fillcolor="#bfbfbf" stroked="f" strokecolor="#003466">
                    <v:textbox inset="0,0,0,0">
                      <w:txbxContent>
                        <w:p w:rsidR="008D6608" w:rsidRPr="00AD1A6F" w:rsidRDefault="008D6608" w:rsidP="00D6374E">
                          <w:pPr>
                            <w:jc w:val="center"/>
                            <w:rPr>
                              <w:b/>
                              <w:bCs/>
                              <w:color w:val="000000"/>
                              <w:sz w:val="19"/>
                              <w:lang w:val="de-DE"/>
                            </w:rPr>
                          </w:pPr>
                          <w:r w:rsidRPr="00AD1A6F">
                            <w:rPr>
                              <w:rFonts w:cs="Symbol"/>
                              <w:b/>
                              <w:bCs/>
                              <w:color w:val="000000"/>
                              <w:sz w:val="19"/>
                              <w:lang w:val="de-DE"/>
                            </w:rPr>
                            <w:t>v</w:t>
                          </w:r>
                        </w:p>
                      </w:txbxContent>
                    </v:textbox>
                  </v:shape>
                </v:group>
                <v:group id="Group 75" o:spid="_x0000_s1099" style="position:absolute;left:18986;top:6812;width:10142;height:5850" coordorigin="2306,2052" coordsize="79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line id="Line 76" o:spid="_x0000_s1100" style="position:absolute;visibility:visible;mso-wrap-style:square" from="2306,2052" to="3044,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" strokeweight="1pt">
                    <v:stroke endarrow="block" endarrowlength="long"/>
                    <v:shadow color="#858aac"/>
                  </v:line>
                  <v:shape id="Arc 77" o:spid="_x0000_s1101" style="position:absolute;left:2841;top:2179;width:237;height:192;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" path="m-1,nfc11929,,21600,9670,21600,21600em-1,nsc11929,,21600,9670,21600,21600l,21600,-1,xe" filled="f" fillcolor="#bfbfbf" strokeweight="1pt">
                    <v:stroke startarrow="block" startarrowwidth="narrow" startarrowlength="long" endarrow="block" endarrowwidth="narrow" endarrowlength="long"/>
                    <v:shadow color="#858aac"/>
                    <v:path arrowok="t" o:extrusionok="f" o:connecttype="custom" o:connectlocs="0,0;237,192;0,192" o:connectangles="0,0,0"/>
                  </v:shape>
                  <v:shape id="Text Box 78" o:spid="_x0000_s1102" type="#_x0000_t202" style="position:absolute;left:3043;top:2283;width:53;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" filled="f" fillcolor="#bfbfbf" stroked="f" strokecolor="#003466">
                    <v:textbox inset="0,0,0,0">
                      <w:txbxContent>
                        <w:p w:rsidR="008D6608" w:rsidRPr="00AD1A6F" w:rsidRDefault="008D6608" w:rsidP="00D6374E">
                          <w:pPr>
                            <w:jc w:val="center"/>
                            <w:rPr>
                              <w:b/>
                              <w:bCs/>
                              <w:color w:val="000000"/>
                              <w:sz w:val="19"/>
                              <w:lang w:val="de-DE"/>
                            </w:rPr>
                          </w:pPr>
                          <w:r w:rsidRPr="00AD1A6F">
                            <w:rPr>
                              <w:rFonts w:cs="Symbol"/>
                              <w:b/>
                              <w:bCs/>
                              <w:color w:val="000000"/>
                              <w:sz w:val="19"/>
                              <w:lang w:val="de-DE"/>
                            </w:rPr>
                            <w:t>h</w:t>
                          </w:r>
                        </w:p>
                      </w:txbxContent>
                    </v:textbox>
                  </v:shape>
                </v:group>
                <w10:anchorlock/>
              </v:group>
            </w:pict>
          </mc:Fallback>
        </mc:AlternateContent>
      </w:r>
      <w:r w:rsidRPr="00D6374E">
        <w:rPr>
          <w:rFonts w:eastAsia="Calibri"/>
        </w:rPr>
        <w:t>».</w:t>
      </w:r>
    </w:p>
    <w:p w:rsidR="005F0207" w:rsidRPr="00DB75DF" w:rsidRDefault="00DB75DF" w:rsidP="00DB75DF">
      <w:pPr>
        <w:pStyle w:val="SingleTxtG"/>
        <w:spacing w:before="240" w:after="0"/>
        <w:jc w:val="center"/>
        <w:rPr>
          <w:u w:val="single"/>
        </w:rPr>
      </w:pPr>
      <w:r>
        <w:rPr>
          <w:u w:val="single"/>
        </w:rPr>
        <w:tab/>
      </w:r>
      <w:r>
        <w:rPr>
          <w:u w:val="single"/>
        </w:rPr>
        <w:tab/>
      </w:r>
      <w:r>
        <w:rPr>
          <w:u w:val="single"/>
        </w:rPr>
        <w:tab/>
      </w:r>
    </w:p>
    <w:sectPr w:rsidR="005F0207" w:rsidRPr="00DB75DF" w:rsidSect="00D6374E">
      <w:headerReference w:type="even" r:id="rId17"/>
      <w:headerReference w:type="default" r:id="rId18"/>
      <w:footerReference w:type="even" r:id="rId19"/>
      <w:footerReference w:type="default" r:id="rId20"/>
      <w:footerReference w:type="first" r:id="rId21"/>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608" w:rsidRDefault="008D6608"/>
  </w:endnote>
  <w:endnote w:type="continuationSeparator" w:id="0">
    <w:p w:rsidR="008D6608" w:rsidRDefault="008D6608">
      <w:pPr>
        <w:pStyle w:val="Pieddepage"/>
      </w:pPr>
    </w:p>
  </w:endnote>
  <w:endnote w:type="continuationNotice" w:id="1">
    <w:p w:rsidR="008D6608" w:rsidRPr="00C451B9" w:rsidRDefault="008D6608"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608" w:rsidRPr="00D6374E" w:rsidRDefault="008D6608" w:rsidP="00D6374E">
    <w:pPr>
      <w:pStyle w:val="Pieddepage"/>
      <w:tabs>
        <w:tab w:val="right" w:pos="9638"/>
      </w:tabs>
    </w:pPr>
    <w:r w:rsidRPr="00D6374E">
      <w:rPr>
        <w:b/>
        <w:sz w:val="18"/>
      </w:rPr>
      <w:fldChar w:fldCharType="begin"/>
    </w:r>
    <w:r w:rsidRPr="00D6374E">
      <w:rPr>
        <w:b/>
        <w:sz w:val="18"/>
      </w:rPr>
      <w:instrText xml:space="preserve"> PAGE  \* MERGEFORMAT </w:instrText>
    </w:r>
    <w:r w:rsidRPr="00D6374E">
      <w:rPr>
        <w:b/>
        <w:sz w:val="18"/>
      </w:rPr>
      <w:fldChar w:fldCharType="separate"/>
    </w:r>
    <w:r w:rsidRPr="00D6374E">
      <w:rPr>
        <w:b/>
        <w:noProof/>
        <w:sz w:val="18"/>
      </w:rPr>
      <w:t>2</w:t>
    </w:r>
    <w:r w:rsidRPr="00D6374E">
      <w:rPr>
        <w:b/>
        <w:sz w:val="18"/>
      </w:rPr>
      <w:fldChar w:fldCharType="end"/>
    </w:r>
    <w:r>
      <w:rPr>
        <w:b/>
        <w:sz w:val="18"/>
      </w:rPr>
      <w:tab/>
    </w:r>
    <w:r>
      <w:t>GE.19-19324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608" w:rsidRPr="00D6374E" w:rsidRDefault="008D6608" w:rsidP="00D6374E">
    <w:pPr>
      <w:pStyle w:val="Pieddepage"/>
      <w:tabs>
        <w:tab w:val="right" w:pos="9638"/>
      </w:tabs>
      <w:rPr>
        <w:b/>
        <w:sz w:val="18"/>
      </w:rPr>
    </w:pPr>
    <w:r>
      <w:t>GE.19-19324</w:t>
    </w:r>
    <w:r>
      <w:tab/>
    </w:r>
    <w:r w:rsidRPr="00D6374E">
      <w:rPr>
        <w:b/>
        <w:sz w:val="18"/>
      </w:rPr>
      <w:fldChar w:fldCharType="begin"/>
    </w:r>
    <w:r w:rsidRPr="00D6374E">
      <w:rPr>
        <w:b/>
        <w:sz w:val="18"/>
      </w:rPr>
      <w:instrText xml:space="preserve"> PAGE  \* MERGEFORMAT </w:instrText>
    </w:r>
    <w:r w:rsidRPr="00D6374E">
      <w:rPr>
        <w:b/>
        <w:sz w:val="18"/>
      </w:rPr>
      <w:fldChar w:fldCharType="separate"/>
    </w:r>
    <w:r w:rsidRPr="00D6374E">
      <w:rPr>
        <w:b/>
        <w:noProof/>
        <w:sz w:val="18"/>
      </w:rPr>
      <w:t>3</w:t>
    </w:r>
    <w:r w:rsidRPr="00D637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608" w:rsidRPr="00D6374E" w:rsidRDefault="008D6608" w:rsidP="00D6374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19-19324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011220    0</w:t>
    </w:r>
    <w:r w:rsidR="004A1BE4">
      <w:rPr>
        <w:sz w:val="20"/>
      </w:rPr>
      <w:t>4</w:t>
    </w:r>
    <w:r>
      <w:rPr>
        <w:sz w:val="20"/>
      </w:rP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608" w:rsidRPr="00D27D5E" w:rsidRDefault="008D6608" w:rsidP="00D27D5E">
      <w:pPr>
        <w:tabs>
          <w:tab w:val="right" w:pos="2155"/>
        </w:tabs>
        <w:spacing w:after="80"/>
        <w:ind w:left="680"/>
        <w:rPr>
          <w:u w:val="single"/>
        </w:rPr>
      </w:pPr>
      <w:r>
        <w:rPr>
          <w:u w:val="single"/>
        </w:rPr>
        <w:tab/>
      </w:r>
    </w:p>
  </w:footnote>
  <w:footnote w:type="continuationSeparator" w:id="0">
    <w:p w:rsidR="008D6608" w:rsidRPr="00D171D4" w:rsidRDefault="008D6608" w:rsidP="00D171D4">
      <w:pPr>
        <w:tabs>
          <w:tab w:val="right" w:pos="2155"/>
        </w:tabs>
        <w:spacing w:after="80"/>
        <w:ind w:left="680"/>
        <w:rPr>
          <w:u w:val="single"/>
        </w:rPr>
      </w:pPr>
      <w:r w:rsidRPr="00D171D4">
        <w:rPr>
          <w:u w:val="single"/>
        </w:rPr>
        <w:tab/>
      </w:r>
    </w:p>
  </w:footnote>
  <w:footnote w:type="continuationNotice" w:id="1">
    <w:p w:rsidR="008D6608" w:rsidRPr="00C451B9" w:rsidRDefault="008D6608" w:rsidP="00C451B9">
      <w:pPr>
        <w:spacing w:line="240" w:lineRule="auto"/>
        <w:rPr>
          <w:sz w:val="2"/>
          <w:szCs w:val="2"/>
        </w:rPr>
      </w:pPr>
    </w:p>
  </w:footnote>
  <w:footnote w:id="2">
    <w:p w:rsidR="008D6608" w:rsidRPr="00591072" w:rsidRDefault="008D6608"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Pr="00591072">
        <w:t>Anciens titres de l’Accord :</w:t>
      </w:r>
    </w:p>
    <w:p w:rsidR="008D6608" w:rsidRPr="00591072" w:rsidRDefault="008D6608" w:rsidP="00591072">
      <w:pPr>
        <w:pStyle w:val="Notedebasdepage"/>
      </w:pPr>
      <w:r w:rsidRPr="00D6374E">
        <w:tab/>
      </w:r>
      <w:r w:rsidRPr="00D6374E">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8D6608" w:rsidRPr="00591072" w:rsidRDefault="008D6608"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8D6608" w:rsidRPr="00442E31" w:rsidRDefault="008D6608">
      <w:pPr>
        <w:pStyle w:val="Notedebasdepage"/>
      </w:pPr>
    </w:p>
  </w:footnote>
  <w:footnote w:id="3">
    <w:p w:rsidR="008D6608" w:rsidRDefault="008D6608" w:rsidP="00D6374E">
      <w:pPr>
        <w:pStyle w:val="Notedebasdepage"/>
      </w:pPr>
      <w:r>
        <w:tab/>
      </w:r>
      <w:r w:rsidRPr="00701B67">
        <w:rPr>
          <w:rStyle w:val="Appelnotedebasdep"/>
        </w:rPr>
        <w:footnoteRef/>
      </w:r>
      <w:r>
        <w:tab/>
      </w:r>
      <w:r w:rsidRPr="00F57F6A">
        <w:t xml:space="preserve">Dans le cas de dispositifs d’éclairage de la plaque d’immatriculation arrière et d’indicateurs de direction des catégories 5 et 6, c’est la </w:t>
      </w:r>
      <w:r>
        <w:t>“</w:t>
      </w:r>
      <w:r w:rsidRPr="00F57F6A">
        <w:t>surface de sortie de la lumière</w:t>
      </w:r>
      <w:r>
        <w:t>”</w:t>
      </w:r>
      <w:r w:rsidRPr="00F57F6A">
        <w:t xml:space="preserve"> qui doit être utilisée.</w:t>
      </w:r>
    </w:p>
  </w:footnote>
  <w:footnote w:id="4">
    <w:p w:rsidR="008D6608" w:rsidRDefault="008D6608" w:rsidP="00D6374E">
      <w:pPr>
        <w:pStyle w:val="Notedebasdepage"/>
      </w:pPr>
      <w:r>
        <w:tab/>
      </w:r>
      <w:r w:rsidRPr="00701B67">
        <w:rPr>
          <w:rStyle w:val="Appelnotedebasdep"/>
        </w:rPr>
        <w:footnoteRef/>
      </w:r>
      <w:r>
        <w:tab/>
      </w:r>
      <w:r w:rsidRPr="007973EF">
        <w:rPr>
          <w:lang w:val="fr-FR" w:eastAsia="fr-FR"/>
        </w:rPr>
        <w:t>On trouvera des exemples permettant de décider l’incorporation réciproque de feux, à l’annexe 3, partie 7.</w:t>
      </w:r>
    </w:p>
  </w:footnote>
  <w:footnote w:id="5">
    <w:p w:rsidR="008D6608" w:rsidRDefault="008D6608" w:rsidP="00D6374E">
      <w:pPr>
        <w:pStyle w:val="Notedebasdepage"/>
      </w:pPr>
      <w:r>
        <w:tab/>
      </w:r>
      <w:r w:rsidRPr="00701B67">
        <w:rPr>
          <w:rStyle w:val="Appelnotedebasdep"/>
        </w:rPr>
        <w:footnoteRef/>
      </w:r>
      <w:r>
        <w:tab/>
      </w:r>
      <w:r>
        <w:rPr>
          <w:lang w:eastAsia="fr-FR"/>
        </w:rPr>
        <w:t>Publication </w:t>
      </w:r>
      <w:r w:rsidRPr="001E6147">
        <w:rPr>
          <w:lang w:eastAsia="fr-FR"/>
        </w:rPr>
        <w:t xml:space="preserve">15.2 de la </w:t>
      </w:r>
      <w:r w:rsidRPr="008D1A0C">
        <w:t>CIE</w:t>
      </w:r>
      <w:r w:rsidRPr="001E6147">
        <w:rPr>
          <w:lang w:eastAsia="fr-FR"/>
        </w:rPr>
        <w:t>, 1986, colorimétrie, observateur de référence colorimétrique CIE</w:t>
      </w:r>
      <w:r>
        <w:rPr>
          <w:lang w:eastAsia="fr-FR"/>
        </w:rPr>
        <w:t> </w:t>
      </w:r>
      <w:r w:rsidRPr="001E6147">
        <w:rPr>
          <w:lang w:eastAsia="fr-FR"/>
        </w:rPr>
        <w:t>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608" w:rsidRPr="00D6374E" w:rsidRDefault="008D6608">
    <w:pPr>
      <w:pStyle w:val="En-tte"/>
      <w:rPr>
        <w:lang w:val="en-US"/>
      </w:rPr>
    </w:pPr>
    <w:r>
      <w:fldChar w:fldCharType="begin"/>
    </w:r>
    <w:r w:rsidRPr="00D6374E">
      <w:rPr>
        <w:lang w:val="en-US"/>
      </w:rPr>
      <w:instrText xml:space="preserve"> TITLE  \* MERGEFORMAT </w:instrText>
    </w:r>
    <w:r>
      <w:fldChar w:fldCharType="separate"/>
    </w:r>
    <w:r w:rsidRPr="00D6374E">
      <w:rPr>
        <w:lang w:val="en-US"/>
      </w:rPr>
      <w:t>E/ECE/324/Rev.1/Add.47/Rev.12/Amend.8</w:t>
    </w:r>
    <w:r>
      <w:fldChar w:fldCharType="end"/>
    </w:r>
    <w:r w:rsidRPr="00D6374E">
      <w:rPr>
        <w:lang w:val="en-US"/>
      </w:rPr>
      <w:br/>
    </w:r>
    <w:r>
      <w:fldChar w:fldCharType="begin"/>
    </w:r>
    <w:r w:rsidRPr="00D6374E">
      <w:rPr>
        <w:lang w:val="en-US"/>
      </w:rPr>
      <w:instrText xml:space="preserve"> KEYWORDS  \* MERGEFORMAT </w:instrText>
    </w:r>
    <w:r>
      <w:fldChar w:fldCharType="separate"/>
    </w:r>
    <w:r w:rsidRPr="00D6374E">
      <w:rPr>
        <w:lang w:val="en-US"/>
      </w:rPr>
      <w:t>E/ECE/TRANS/505/Rev.1/Add.47/Rev.12/Amend.8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608" w:rsidRPr="00D6374E" w:rsidRDefault="008D6608" w:rsidP="00D6374E">
    <w:pPr>
      <w:pStyle w:val="En-tte"/>
      <w:jc w:val="right"/>
      <w:rPr>
        <w:lang w:val="en-US"/>
      </w:rPr>
    </w:pPr>
    <w:r>
      <w:fldChar w:fldCharType="begin"/>
    </w:r>
    <w:r w:rsidRPr="00D6374E">
      <w:rPr>
        <w:lang w:val="en-US"/>
      </w:rPr>
      <w:instrText xml:space="preserve"> TITLE  \* MERGEFORMAT </w:instrText>
    </w:r>
    <w:r>
      <w:fldChar w:fldCharType="separate"/>
    </w:r>
    <w:r w:rsidRPr="00D6374E">
      <w:rPr>
        <w:lang w:val="en-US"/>
      </w:rPr>
      <w:t>E/ECE/324/Rev.1/Add.47/Rev.12/Amend.8</w:t>
    </w:r>
    <w:r>
      <w:fldChar w:fldCharType="end"/>
    </w:r>
    <w:r w:rsidRPr="00D6374E">
      <w:rPr>
        <w:lang w:val="en-US"/>
      </w:rPr>
      <w:br/>
    </w:r>
    <w:r>
      <w:fldChar w:fldCharType="begin"/>
    </w:r>
    <w:r w:rsidRPr="00D6374E">
      <w:rPr>
        <w:lang w:val="en-US"/>
      </w:rPr>
      <w:instrText xml:space="preserve"> KEYWORDS  \* MERGEFORMAT </w:instrText>
    </w:r>
    <w:r>
      <w:fldChar w:fldCharType="separate"/>
    </w:r>
    <w:r w:rsidRPr="00D6374E">
      <w:rPr>
        <w:lang w:val="en-US"/>
      </w:rPr>
      <w:t>E/ECE/TRANS/505/Rev.1/Add.47/Rev.12/Amend.8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1"/>
  </w:num>
  <w:num w:numId="4">
    <w:abstractNumId w:val="16"/>
  </w:num>
  <w:num w:numId="5">
    <w:abstractNumId w:val="14"/>
  </w:num>
  <w:num w:numId="6">
    <w:abstractNumId w:val="1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5"/>
  </w:num>
  <w:num w:numId="18">
    <w:abstractNumId w:val="13"/>
  </w:num>
  <w:num w:numId="19">
    <w:abstractNumId w:val="12"/>
  </w:num>
  <w:num w:numId="20">
    <w:abstractNumId w:val="17"/>
  </w:num>
  <w:num w:numId="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4E"/>
    <w:rsid w:val="00000C79"/>
    <w:rsid w:val="0001470D"/>
    <w:rsid w:val="000147B2"/>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2E4E"/>
    <w:rsid w:val="000C6CDB"/>
    <w:rsid w:val="000D5C25"/>
    <w:rsid w:val="000E4F06"/>
    <w:rsid w:val="000E5601"/>
    <w:rsid w:val="000E5602"/>
    <w:rsid w:val="000F0D70"/>
    <w:rsid w:val="000F41F2"/>
    <w:rsid w:val="0010373B"/>
    <w:rsid w:val="0011415F"/>
    <w:rsid w:val="0012120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6559"/>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1BE4"/>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05AC3"/>
    <w:rsid w:val="005111B1"/>
    <w:rsid w:val="0051457E"/>
    <w:rsid w:val="0051714B"/>
    <w:rsid w:val="00520F80"/>
    <w:rsid w:val="005239FF"/>
    <w:rsid w:val="00523DB8"/>
    <w:rsid w:val="00533150"/>
    <w:rsid w:val="00543B57"/>
    <w:rsid w:val="00543C47"/>
    <w:rsid w:val="00543D5E"/>
    <w:rsid w:val="00552260"/>
    <w:rsid w:val="00552777"/>
    <w:rsid w:val="0055439C"/>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E7DD4"/>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1060"/>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4827"/>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D6608"/>
    <w:rsid w:val="008E0319"/>
    <w:rsid w:val="008E4DE2"/>
    <w:rsid w:val="008E6252"/>
    <w:rsid w:val="008E7CE2"/>
    <w:rsid w:val="008E7FAE"/>
    <w:rsid w:val="008F639B"/>
    <w:rsid w:val="00911BF7"/>
    <w:rsid w:val="0091594A"/>
    <w:rsid w:val="009230F1"/>
    <w:rsid w:val="00926925"/>
    <w:rsid w:val="00935490"/>
    <w:rsid w:val="009418DE"/>
    <w:rsid w:val="009516B7"/>
    <w:rsid w:val="009545F1"/>
    <w:rsid w:val="00957CE5"/>
    <w:rsid w:val="009624E2"/>
    <w:rsid w:val="00964968"/>
    <w:rsid w:val="009707E4"/>
    <w:rsid w:val="00973B8F"/>
    <w:rsid w:val="00974DD2"/>
    <w:rsid w:val="00977EC8"/>
    <w:rsid w:val="00996562"/>
    <w:rsid w:val="009A061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91B1D"/>
    <w:rsid w:val="00BB77EE"/>
    <w:rsid w:val="00BC3F20"/>
    <w:rsid w:val="00BC76F0"/>
    <w:rsid w:val="00BD13E6"/>
    <w:rsid w:val="00BD28B2"/>
    <w:rsid w:val="00BD5A8D"/>
    <w:rsid w:val="00BD7343"/>
    <w:rsid w:val="00BF0556"/>
    <w:rsid w:val="00BF1C7D"/>
    <w:rsid w:val="00BF37EE"/>
    <w:rsid w:val="00BF3FEB"/>
    <w:rsid w:val="00C024A1"/>
    <w:rsid w:val="00C02C42"/>
    <w:rsid w:val="00C104A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74E"/>
    <w:rsid w:val="00D639BD"/>
    <w:rsid w:val="00D65777"/>
    <w:rsid w:val="00D66E0D"/>
    <w:rsid w:val="00D7425A"/>
    <w:rsid w:val="00D74F7E"/>
    <w:rsid w:val="00D7695F"/>
    <w:rsid w:val="00D9039B"/>
    <w:rsid w:val="00D93582"/>
    <w:rsid w:val="00DA2BD3"/>
    <w:rsid w:val="00DA41A2"/>
    <w:rsid w:val="00DA43A1"/>
    <w:rsid w:val="00DA5E1D"/>
    <w:rsid w:val="00DB01CD"/>
    <w:rsid w:val="00DB75DF"/>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13"/>
    <w:rsid w:val="00E84A82"/>
    <w:rsid w:val="00E85025"/>
    <w:rsid w:val="00E94091"/>
    <w:rsid w:val="00E9483E"/>
    <w:rsid w:val="00E96710"/>
    <w:rsid w:val="00E97E2C"/>
    <w:rsid w:val="00EA3B1D"/>
    <w:rsid w:val="00EB77B9"/>
    <w:rsid w:val="00EB7D07"/>
    <w:rsid w:val="00EC5A40"/>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2D7E"/>
    <w:rsid w:val="00F85A4E"/>
    <w:rsid w:val="00F9353A"/>
    <w:rsid w:val="00F965C2"/>
    <w:rsid w:val="00FA27D4"/>
    <w:rsid w:val="00FA5A79"/>
    <w:rsid w:val="00FB0BFE"/>
    <w:rsid w:val="00FB4300"/>
    <w:rsid w:val="00FB4C51"/>
    <w:rsid w:val="00FB5C51"/>
    <w:rsid w:val="00FB734D"/>
    <w:rsid w:val="00FD02A2"/>
    <w:rsid w:val="00FD57CB"/>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69CE4AD"/>
  <w15:docId w15:val="{E33DF88A-5AB7-422A-9193-5E8893BD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qFormat/>
    <w:rsid w:val="0048687D"/>
    <w:pPr>
      <w:outlineLvl w:val="1"/>
    </w:pPr>
  </w:style>
  <w:style w:type="paragraph" w:styleId="Titre3">
    <w:name w:val="heading 3"/>
    <w:basedOn w:val="Normal"/>
    <w:next w:val="Normal"/>
    <w:link w:val="Titre3Car"/>
    <w:qFormat/>
    <w:rsid w:val="0048687D"/>
    <w:pPr>
      <w:outlineLvl w:val="2"/>
    </w:pPr>
  </w:style>
  <w:style w:type="paragraph" w:styleId="Titre4">
    <w:name w:val="heading 4"/>
    <w:basedOn w:val="Normal"/>
    <w:next w:val="Normal"/>
    <w:link w:val="Titre4Car"/>
    <w:qFormat/>
    <w:rsid w:val="0048687D"/>
    <w:pPr>
      <w:outlineLvl w:val="3"/>
    </w:pPr>
  </w:style>
  <w:style w:type="paragraph" w:styleId="Titre5">
    <w:name w:val="heading 5"/>
    <w:basedOn w:val="Normal"/>
    <w:next w:val="Normal"/>
    <w:link w:val="Titre5Car"/>
    <w:qFormat/>
    <w:rsid w:val="0048687D"/>
    <w:pPr>
      <w:outlineLvl w:val="4"/>
    </w:pPr>
  </w:style>
  <w:style w:type="paragraph" w:styleId="Titre6">
    <w:name w:val="heading 6"/>
    <w:basedOn w:val="Normal"/>
    <w:next w:val="Normal"/>
    <w:link w:val="Titre6Car"/>
    <w:qFormat/>
    <w:rsid w:val="0048687D"/>
    <w:pPr>
      <w:outlineLvl w:val="5"/>
    </w:pPr>
  </w:style>
  <w:style w:type="paragraph" w:styleId="Titre7">
    <w:name w:val="heading 7"/>
    <w:basedOn w:val="Normal"/>
    <w:next w:val="Normal"/>
    <w:link w:val="Titre7Car"/>
    <w:qFormat/>
    <w:rsid w:val="0048687D"/>
    <w:pPr>
      <w:outlineLvl w:val="6"/>
    </w:pPr>
  </w:style>
  <w:style w:type="paragraph" w:styleId="Titre8">
    <w:name w:val="heading 8"/>
    <w:basedOn w:val="Normal"/>
    <w:next w:val="Normal"/>
    <w:link w:val="Titre8Car"/>
    <w:qFormat/>
    <w:rsid w:val="0048687D"/>
    <w:pPr>
      <w:outlineLvl w:val="7"/>
    </w:pPr>
  </w:style>
  <w:style w:type="paragraph" w:styleId="Titre9">
    <w:name w:val="heading 9"/>
    <w:basedOn w:val="Normal"/>
    <w:next w:val="Normal"/>
    <w:link w:val="Titre9Car"/>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Fußnotenzeichen"/>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rsid w:val="00755D4F"/>
    <w:rPr>
      <w:rFonts w:eastAsiaTheme="minorHAnsi"/>
      <w:lang w:val="fr-CH"/>
    </w:rPr>
  </w:style>
  <w:style w:type="character" w:customStyle="1" w:styleId="Titre3Car">
    <w:name w:val="Titre 3 Car"/>
    <w:link w:val="Titre3"/>
    <w:rsid w:val="00755D4F"/>
    <w:rPr>
      <w:rFonts w:eastAsiaTheme="minorHAnsi"/>
      <w:lang w:val="fr-CH"/>
    </w:rPr>
  </w:style>
  <w:style w:type="character" w:customStyle="1" w:styleId="Titre4Car">
    <w:name w:val="Titre 4 Car"/>
    <w:link w:val="Titre4"/>
    <w:rsid w:val="00755D4F"/>
    <w:rPr>
      <w:rFonts w:eastAsiaTheme="minorHAnsi"/>
      <w:lang w:val="fr-CH"/>
    </w:rPr>
  </w:style>
  <w:style w:type="character" w:customStyle="1" w:styleId="Titre5Car">
    <w:name w:val="Titre 5 Car"/>
    <w:link w:val="Titre5"/>
    <w:rsid w:val="00755D4F"/>
    <w:rPr>
      <w:rFonts w:eastAsiaTheme="minorHAnsi"/>
      <w:lang w:val="fr-CH"/>
    </w:rPr>
  </w:style>
  <w:style w:type="character" w:customStyle="1" w:styleId="Titre6Car">
    <w:name w:val="Titre 6 Car"/>
    <w:link w:val="Titre6"/>
    <w:rsid w:val="00755D4F"/>
    <w:rPr>
      <w:rFonts w:eastAsiaTheme="minorHAnsi"/>
      <w:lang w:val="fr-CH"/>
    </w:rPr>
  </w:style>
  <w:style w:type="character" w:customStyle="1" w:styleId="Titre7Car">
    <w:name w:val="Titre 7 Car"/>
    <w:link w:val="Titre7"/>
    <w:rsid w:val="00755D4F"/>
    <w:rPr>
      <w:rFonts w:eastAsiaTheme="minorHAnsi"/>
      <w:lang w:val="fr-CH"/>
    </w:rPr>
  </w:style>
  <w:style w:type="character" w:customStyle="1" w:styleId="Titre8Car">
    <w:name w:val="Titre 8 Car"/>
    <w:link w:val="Titre8"/>
    <w:rsid w:val="00755D4F"/>
    <w:rPr>
      <w:rFonts w:eastAsiaTheme="minorHAnsi"/>
      <w:lang w:val="fr-CH"/>
    </w:rPr>
  </w:style>
  <w:style w:type="character" w:customStyle="1" w:styleId="Titre9Car">
    <w:name w:val="Titre 9 Car"/>
    <w:link w:val="Titre9"/>
    <w:rsid w:val="00755D4F"/>
    <w:rPr>
      <w:rFonts w:eastAsiaTheme="minorHAnsi"/>
      <w:lang w:val="fr-CH"/>
    </w:rPr>
  </w:style>
  <w:style w:type="paragraph" w:styleId="Textedebulles">
    <w:name w:val="Balloon Text"/>
    <w:basedOn w:val="Normal"/>
    <w:link w:val="TextedebullesCar"/>
    <w:uiPriority w:val="99"/>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D4F"/>
    <w:rPr>
      <w:rFonts w:ascii="Tahoma" w:eastAsiaTheme="minorHAnsi" w:hAnsi="Tahoma" w:cs="Tahoma"/>
      <w:sz w:val="16"/>
      <w:szCs w:val="16"/>
      <w:lang w:val="fr-CH"/>
    </w:rPr>
  </w:style>
  <w:style w:type="character" w:customStyle="1" w:styleId="HChGChar">
    <w:name w:val="_ H _Ch_G Char"/>
    <w:link w:val="HChG"/>
    <w:rsid w:val="00D6374E"/>
    <w:rPr>
      <w:rFonts w:eastAsiaTheme="minorHAnsi"/>
      <w:b/>
      <w:sz w:val="28"/>
      <w:lang w:val="fr-CH"/>
    </w:rPr>
  </w:style>
  <w:style w:type="numbering" w:customStyle="1" w:styleId="Aucuneliste1">
    <w:name w:val="Aucune liste1"/>
    <w:next w:val="Aucuneliste"/>
    <w:uiPriority w:val="99"/>
    <w:semiHidden/>
    <w:unhideWhenUsed/>
    <w:rsid w:val="00D6374E"/>
  </w:style>
  <w:style w:type="table" w:customStyle="1" w:styleId="Grilledutableau1">
    <w:name w:val="Grille du tableau1"/>
    <w:basedOn w:val="TableauNormal"/>
    <w:next w:val="Grilledutableau"/>
    <w:rsid w:val="00D6374E"/>
    <w:pPr>
      <w:suppressAutoHyphens/>
      <w:spacing w:line="240" w:lineRule="atLeast"/>
    </w:pPr>
    <w:rPr>
      <w:rFonts w:eastAsia="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D6374E"/>
    <w:rPr>
      <w:rFonts w:eastAsiaTheme="minorHAnsi"/>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A391FF-4311-4651-BF6C-57C6BFAEA92B}"/>
</file>

<file path=customXml/itemProps2.xml><?xml version="1.0" encoding="utf-8"?>
<ds:datastoreItem xmlns:ds="http://schemas.openxmlformats.org/officeDocument/2006/customXml" ds:itemID="{00EAE002-4B5E-4D4C-A9A2-09488DC892AE}"/>
</file>

<file path=customXml/itemProps3.xml><?xml version="1.0" encoding="utf-8"?>
<ds:datastoreItem xmlns:ds="http://schemas.openxmlformats.org/officeDocument/2006/customXml" ds:itemID="{6CB0D285-F4B1-4C7F-BB6D-7777EDA81496}"/>
</file>

<file path=docProps/app.xml><?xml version="1.0" encoding="utf-8"?>
<Properties xmlns="http://schemas.openxmlformats.org/officeDocument/2006/extended-properties" xmlns:vt="http://schemas.openxmlformats.org/officeDocument/2006/docPropsVTypes">
  <Template>E_ECE_324.dotm</Template>
  <TotalTime>2</TotalTime>
  <Pages>32</Pages>
  <Words>10325</Words>
  <Characters>61951</Characters>
  <Application>Microsoft Office Word</Application>
  <DocSecurity>0</DocSecurity>
  <Lines>8850</Lines>
  <Paragraphs>3803</Paragraphs>
  <ScaleCrop>false</ScaleCrop>
  <HeadingPairs>
    <vt:vector size="2" baseType="variant">
      <vt:variant>
        <vt:lpstr>Titre</vt:lpstr>
      </vt:variant>
      <vt:variant>
        <vt:i4>1</vt:i4>
      </vt:variant>
    </vt:vector>
  </HeadingPairs>
  <TitlesOfParts>
    <vt:vector size="1" baseType="lpstr">
      <vt:lpstr>E/ECE/324/Rev.1/Add.47/Rev.12/Amend.8</vt:lpstr>
    </vt:vector>
  </TitlesOfParts>
  <Company>CSD</Company>
  <LinksUpToDate>false</LinksUpToDate>
  <CharactersWithSpaces>68473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E/ECE/324/Rev.1/Add.47/Rev.12/Amend.8</dc:title>
  <dc:creator>Valerie BERTIN</dc:creator>
  <cp:keywords>E/ECE/TRANS/505/Rev.1/Add.47/Rev.12/Amend.8</cp:keywords>
  <cp:lastModifiedBy>Valerie BERTIN</cp:lastModifiedBy>
  <cp:revision>2</cp:revision>
  <cp:lastPrinted>2008-11-04T15:54:00Z</cp:lastPrinted>
  <dcterms:created xsi:type="dcterms:W3CDTF">2020-12-04T13:51:00Z</dcterms:created>
  <dcterms:modified xsi:type="dcterms:W3CDTF">2020-12-04T13:51:00Z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