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C1BB" w14:textId="33934402" w:rsidR="00C70542" w:rsidRPr="009E62D6" w:rsidRDefault="0040534F" w:rsidP="009E62D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62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Proposal for amendments to </w:t>
      </w:r>
      <w:r w:rsidR="0069526C" w:rsidRPr="009E62D6">
        <w:rPr>
          <w:rFonts w:ascii="Times New Roman" w:hAnsi="Times New Roman" w:cs="Times New Roman"/>
          <w:b/>
          <w:sz w:val="24"/>
          <w:szCs w:val="24"/>
          <w:lang w:val="en-GB"/>
        </w:rPr>
        <w:t>UN</w:t>
      </w:r>
      <w:r w:rsidR="009E62D6" w:rsidRPr="009E62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526C" w:rsidRPr="009E62D6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9E62D6" w:rsidRPr="009E62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egulation No. </w:t>
      </w:r>
      <w:r w:rsidR="0069526C" w:rsidRPr="009E62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152 (AEBS </w:t>
      </w:r>
      <w:r w:rsidR="009E62D6" w:rsidRPr="009E62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69526C" w:rsidRPr="009E62D6">
        <w:rPr>
          <w:rFonts w:ascii="Times New Roman" w:hAnsi="Times New Roman" w:cs="Times New Roman"/>
          <w:b/>
          <w:sz w:val="24"/>
          <w:szCs w:val="24"/>
          <w:lang w:val="en-GB"/>
        </w:rPr>
        <w:t>M1/N1)</w:t>
      </w:r>
    </w:p>
    <w:p w14:paraId="2F5E8E70" w14:textId="04321AFD" w:rsidR="0007763C" w:rsidRPr="0040534F" w:rsidRDefault="0040534F" w:rsidP="009E62D6">
      <w:pPr>
        <w:spacing w:after="0"/>
        <w:ind w:left="1276" w:right="1132"/>
        <w:jc w:val="center"/>
        <w:rPr>
          <w:rFonts w:ascii="Times New Roman" w:hAnsi="Times New Roman" w:cs="Times New Roman"/>
          <w:b/>
          <w:lang w:val="en-GB"/>
        </w:rPr>
      </w:pP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This 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document </w:t>
      </w: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propose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s</w:t>
      </w: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amendment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s </w:t>
      </w:r>
      <w:r w:rsidR="0069526C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to the 00, 01 and 02 series of amendments to </w:t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UN</w:t>
      </w:r>
      <w:r w:rsidR="009E62D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R</w:t>
      </w:r>
      <w:r w:rsidR="009E62D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egulation No. </w:t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152 (AEBS for M1/N1)</w:t>
      </w:r>
      <w:r w:rsidR="0069526C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.</w:t>
      </w:r>
    </w:p>
    <w:p w14:paraId="598B1C47" w14:textId="5E9E17C0" w:rsidR="00C70542" w:rsidRPr="00B765AD" w:rsidRDefault="00B765AD" w:rsidP="00B765AD">
      <w:pPr>
        <w:pStyle w:val="H1G"/>
      </w:pPr>
      <w:bookmarkStart w:id="0" w:name="_Hlk534364985"/>
      <w:r>
        <w:tab/>
        <w:t>I.</w:t>
      </w:r>
      <w:r>
        <w:tab/>
      </w:r>
      <w:r w:rsidR="0040534F" w:rsidRPr="00B765AD">
        <w:t>Proposal</w:t>
      </w:r>
    </w:p>
    <w:bookmarkEnd w:id="0"/>
    <w:p w14:paraId="589FE546" w14:textId="72EC400B" w:rsidR="008D2160" w:rsidRPr="00B765AD" w:rsidRDefault="003F6E11" w:rsidP="00B765AD">
      <w:pPr>
        <w:keepNext/>
        <w:keepLines/>
        <w:autoSpaceDE w:val="0"/>
        <w:autoSpaceDN w:val="0"/>
        <w:adjustRightInd w:val="0"/>
        <w:spacing w:after="120" w:line="240" w:lineRule="auto"/>
        <w:ind w:left="2268" w:right="1134" w:hanging="1134"/>
        <w:contextualSpacing/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</w:pPr>
      <w:r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Paragraph 5.</w:t>
      </w:r>
      <w:r w:rsidR="005C53F9"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4</w:t>
      </w:r>
      <w:r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.</w:t>
      </w:r>
      <w:r w:rsidR="005C53F9"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1.1</w:t>
      </w:r>
      <w:r w:rsidR="00340F57"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,</w:t>
      </w:r>
      <w:r w:rsidR="007E62BF"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 xml:space="preserve"> </w:t>
      </w:r>
      <w:r w:rsidR="00340F57" w:rsidRPr="00B765AD"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  <w:t xml:space="preserve">amend </w:t>
      </w:r>
      <w:r w:rsidR="0069526C" w:rsidRPr="00B765AD"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  <w:t>to read</w:t>
      </w:r>
      <w:r w:rsidR="008D2160" w:rsidRPr="00B765AD"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  <w:t>:</w:t>
      </w:r>
    </w:p>
    <w:p w14:paraId="258ECD06" w14:textId="3D5351FD" w:rsidR="003F6E11" w:rsidRPr="00B765AD" w:rsidRDefault="003F6E11" w:rsidP="00B765AD">
      <w:pPr>
        <w:pStyle w:val="SingleTxtG"/>
        <w:tabs>
          <w:tab w:val="clear" w:pos="1701"/>
        </w:tabs>
        <w:adjustRightInd w:val="0"/>
        <w:spacing w:line="240" w:lineRule="auto"/>
        <w:ind w:left="2268" w:hanging="1134"/>
        <w:contextualSpacing/>
        <w:jc w:val="both"/>
        <w:rPr>
          <w:szCs w:val="20"/>
        </w:rPr>
      </w:pPr>
      <w:r w:rsidRPr="00B765AD">
        <w:rPr>
          <w:szCs w:val="20"/>
        </w:rPr>
        <w:t>“</w:t>
      </w:r>
      <w:r w:rsidR="005C53F9" w:rsidRPr="00B765AD">
        <w:rPr>
          <w:szCs w:val="20"/>
        </w:rPr>
        <w:t xml:space="preserve">5.4.1.1 </w:t>
      </w:r>
      <w:r w:rsidR="005C53F9" w:rsidRPr="00B765AD">
        <w:rPr>
          <w:szCs w:val="20"/>
        </w:rPr>
        <w:tab/>
        <w:t xml:space="preserve">The AEBS function shall be automatically reinstated at the initiation of each new </w:t>
      </w:r>
      <w:r w:rsidR="005C53F9" w:rsidRPr="00B765AD">
        <w:rPr>
          <w:strike/>
          <w:szCs w:val="20"/>
        </w:rPr>
        <w:t>ignition</w:t>
      </w:r>
      <w:r w:rsidR="00CD7C34" w:rsidRPr="00B765AD">
        <w:rPr>
          <w:szCs w:val="20"/>
          <w:lang w:val="en-US"/>
        </w:rPr>
        <w:t xml:space="preserve"> </w:t>
      </w:r>
      <w:r w:rsidR="00CD7C34" w:rsidRPr="00B765AD">
        <w:rPr>
          <w:b/>
          <w:bCs/>
          <w:szCs w:val="20"/>
          <w:lang w:val="en-US"/>
        </w:rPr>
        <w:t>engine start/run</w:t>
      </w:r>
      <w:r w:rsidR="00CD7C34" w:rsidRPr="00B765AD">
        <w:rPr>
          <w:szCs w:val="20"/>
          <w:lang w:val="en-US"/>
        </w:rPr>
        <w:t xml:space="preserve"> </w:t>
      </w:r>
      <w:r w:rsidR="005C53F9" w:rsidRPr="00B765AD">
        <w:rPr>
          <w:szCs w:val="20"/>
        </w:rPr>
        <w:t xml:space="preserve">cycle. </w:t>
      </w:r>
    </w:p>
    <w:p w14:paraId="03C74EAB" w14:textId="06795BDE" w:rsidR="00B765AD" w:rsidRPr="00B765AD" w:rsidRDefault="00CD7C34" w:rsidP="00B765AD">
      <w:pPr>
        <w:pStyle w:val="SingleTxtG"/>
        <w:tabs>
          <w:tab w:val="clear" w:pos="1701"/>
        </w:tabs>
        <w:adjustRightInd w:val="0"/>
        <w:spacing w:line="240" w:lineRule="auto"/>
        <w:ind w:left="2268" w:hanging="1134"/>
        <w:contextualSpacing/>
        <w:jc w:val="both"/>
        <w:rPr>
          <w:b/>
          <w:bCs/>
          <w:szCs w:val="20"/>
          <w:lang w:val="en-US"/>
        </w:rPr>
      </w:pPr>
      <w:r w:rsidRPr="00B765AD">
        <w:rPr>
          <w:szCs w:val="20"/>
        </w:rPr>
        <w:tab/>
      </w:r>
      <w:r w:rsidRPr="00B765AD">
        <w:rPr>
          <w:b/>
          <w:bCs/>
          <w:szCs w:val="20"/>
        </w:rPr>
        <w:t>This requirement does not apply when a new engine start/run cycle is performed automatically, e.g. the operation of a stop/start system.”</w:t>
      </w:r>
    </w:p>
    <w:p w14:paraId="3F6EBC48" w14:textId="203EEA66" w:rsidR="005C53F9" w:rsidRPr="00B765AD" w:rsidRDefault="005C53F9" w:rsidP="00B765AD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</w:pPr>
      <w:r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Paragraph 5.1.2</w:t>
      </w:r>
      <w:r w:rsidR="00340F57"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>,</w:t>
      </w:r>
      <w:r w:rsidRPr="00B765AD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nl-NL"/>
        </w:rPr>
        <w:t xml:space="preserve"> </w:t>
      </w:r>
      <w:r w:rsidR="00340F57" w:rsidRPr="00B765AD"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  <w:t xml:space="preserve">amend </w:t>
      </w:r>
      <w:r w:rsidRPr="00B765AD">
        <w:rPr>
          <w:rFonts w:ascii="Times New Roman" w:eastAsia="Times New Roman" w:hAnsi="Times New Roman" w:cs="Times New Roman"/>
          <w:iCs/>
          <w:sz w:val="20"/>
          <w:szCs w:val="20"/>
          <w:lang w:val="en-GB" w:eastAsia="nl-NL"/>
        </w:rPr>
        <w:t>to read:</w:t>
      </w:r>
    </w:p>
    <w:p w14:paraId="294C245E" w14:textId="0C3DBC8A" w:rsidR="00340F57" w:rsidRPr="00B765AD" w:rsidRDefault="005C53F9" w:rsidP="00B765AD">
      <w:pPr>
        <w:adjustRightInd w:val="0"/>
        <w:snapToGrid w:val="0"/>
        <w:spacing w:after="120" w:line="240" w:lineRule="auto"/>
        <w:ind w:left="2268" w:right="1134" w:hanging="1134"/>
        <w:rPr>
          <w:rFonts w:ascii="Times New Roman" w:hAnsi="Times New Roman" w:cs="Times New Roman"/>
          <w:sz w:val="20"/>
          <w:szCs w:val="20"/>
          <w:lang w:val="en-US"/>
        </w:rPr>
      </w:pPr>
      <w:r w:rsidRPr="00B765AD">
        <w:rPr>
          <w:rFonts w:ascii="Times New Roman" w:hAnsi="Times New Roman" w:cs="Times New Roman"/>
          <w:sz w:val="20"/>
          <w:szCs w:val="20"/>
          <w:lang w:val="en-US"/>
        </w:rPr>
        <w:t xml:space="preserve">“5.1.2. </w:t>
      </w:r>
      <w:r w:rsidRPr="00B765AD">
        <w:rPr>
          <w:rFonts w:ascii="Times New Roman" w:hAnsi="Times New Roman" w:cs="Times New Roman"/>
          <w:sz w:val="20"/>
          <w:szCs w:val="20"/>
          <w:lang w:val="en-US"/>
        </w:rPr>
        <w:tab/>
        <w:t>The effectiveness of AEBS shall not be adversely affected by magnetic or electrical fields. This shall be demonstrated by fulfilling the technical requirements and respecting the transitional provisions of the 0</w:t>
      </w:r>
      <w:r w:rsidRPr="00B765AD">
        <w:rPr>
          <w:rFonts w:ascii="Times New Roman" w:hAnsi="Times New Roman" w:cs="Times New Roman"/>
          <w:strike/>
          <w:sz w:val="20"/>
          <w:szCs w:val="20"/>
          <w:lang w:val="en-US"/>
        </w:rPr>
        <w:t>5</w:t>
      </w:r>
      <w:r w:rsidR="004D572D" w:rsidRPr="00B765AD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B765AD">
        <w:rPr>
          <w:rFonts w:ascii="Times New Roman" w:hAnsi="Times New Roman" w:cs="Times New Roman"/>
          <w:sz w:val="20"/>
          <w:szCs w:val="20"/>
          <w:lang w:val="en-US"/>
        </w:rPr>
        <w:t xml:space="preserve"> series of amendments to UN Regulation No. 10.”</w:t>
      </w:r>
    </w:p>
    <w:p w14:paraId="18888694" w14:textId="63A46121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i/>
          <w:sz w:val="20"/>
          <w:szCs w:val="20"/>
          <w:lang w:val="en-GB"/>
        </w:rPr>
        <w:t xml:space="preserve">Paragraph 5.1.4.1.2 and 5.1.4.1.3., 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amend to read</w:t>
      </w:r>
      <w:r w:rsidR="00D478D7"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(transfer of paragraph 5.1.4.1.2. to a new paragraph 5.1.4.2.)</w:t>
      </w:r>
    </w:p>
    <w:p w14:paraId="489F9649" w14:textId="77777777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“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5.1.4.1.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ab/>
        <w:t>A failure warning when there is a failure in the AEBS that prevents the requirements of this Regulation of being met. The warning shall be as specified in paragraph 5.5.4.</w:t>
      </w:r>
    </w:p>
    <w:p w14:paraId="2D555A0B" w14:textId="77777777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z w:val="20"/>
          <w:szCs w:val="20"/>
          <w:lang w:val="en-GB" w:eastAsia="fr-FR"/>
        </w:rPr>
      </w:pP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5.1.4.1.1.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ab/>
      </w:r>
      <w:bookmarkStart w:id="1" w:name="_Hlk526237213"/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There shall not be an appreciable time interval between</w:t>
      </w:r>
      <w:bookmarkEnd w:id="1"/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each AEBS self-check, and subsequently there shall not be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 xml:space="preserve"> 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a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 xml:space="preserve"> 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delay in illuminating the warning signal, in the case of an electrically detectable failure. </w:t>
      </w:r>
    </w:p>
    <w:p w14:paraId="3E6C2493" w14:textId="77777777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trike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>5.1.4.1.2.</w:t>
      </w:r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ab/>
        <w:t xml:space="preserve">If the system has not been </w:t>
      </w:r>
      <w:bookmarkStart w:id="2" w:name="_Hlk8787326"/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>initialised</w:t>
      </w:r>
      <w:bookmarkEnd w:id="2"/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 xml:space="preserve"> after a cumulative driving time of 15 seconds above a speed of 10km/h, information of this status shall be indicated to the driver. This information shall exist until the system has been successfully initialised.</w:t>
      </w:r>
    </w:p>
    <w:p w14:paraId="55C3E74E" w14:textId="77777777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5.1.4.1.</w:t>
      </w:r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>3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>2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ab/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Upon detection of any non-electrical failure condition (e.g. sensor blindness or sensor misalignment), the warning signal as defined in paragraph 5.1.4.1. shall be illuminated.</w:t>
      </w:r>
    </w:p>
    <w:p w14:paraId="578D7540" w14:textId="77777777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b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>5.1.4.2.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ab/>
        <w:t>If the system has not been initialised after a cumulative driving time of 15 seconds above a speed of 10km/h, information of this status shall be indicated to the driver. This information shall exist until the system has been successfully initialised.</w:t>
      </w:r>
    </w:p>
    <w:p w14:paraId="7133E534" w14:textId="7AF1155A" w:rsidR="00340F57" w:rsidRPr="00B765AD" w:rsidRDefault="00340F57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5.1.4.</w:t>
      </w:r>
      <w:r w:rsidRPr="00B765AD">
        <w:rPr>
          <w:rFonts w:ascii="Times New Roman" w:eastAsia="MS Mincho" w:hAnsi="Times New Roman" w:cs="Times New Roman"/>
          <w:strike/>
          <w:sz w:val="20"/>
          <w:szCs w:val="20"/>
          <w:lang w:val="en-GB"/>
        </w:rPr>
        <w:t>2</w:t>
      </w:r>
      <w:r w:rsidRPr="00B765AD">
        <w:rPr>
          <w:rFonts w:ascii="Times New Roman" w:eastAsia="MS Mincho" w:hAnsi="Times New Roman" w:cs="Times New Roman"/>
          <w:b/>
          <w:sz w:val="20"/>
          <w:szCs w:val="20"/>
          <w:lang w:val="en-GB"/>
        </w:rPr>
        <w:t>3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ab/>
        <w:t>A deactivation warning, if the vehicle is equipped with a means to deactivate the AEBS, shall be given when the system is deactivated. This shall be as specified in paragraph 5.4.3.”</w:t>
      </w:r>
    </w:p>
    <w:p w14:paraId="335B75AE" w14:textId="1CAFD922" w:rsidR="005E51D8" w:rsidRPr="00B765AD" w:rsidRDefault="005E51D8" w:rsidP="00B765AD">
      <w:pPr>
        <w:suppressAutoHyphens/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65AD">
        <w:rPr>
          <w:rFonts w:ascii="Times New Roman" w:hAnsi="Times New Roman" w:cs="Times New Roman"/>
          <w:i/>
          <w:iCs/>
          <w:sz w:val="20"/>
          <w:szCs w:val="20"/>
          <w:lang w:val="en-GB"/>
        </w:rPr>
        <w:t>Paragraph 5.2.1.4.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, amend </w:t>
      </w:r>
      <w:r w:rsidRPr="00B765AD">
        <w:rPr>
          <w:rFonts w:ascii="Times New Roman" w:eastAsia="MS Mincho" w:hAnsi="Times New Roman" w:cs="Times New Roman"/>
          <w:sz w:val="20"/>
          <w:szCs w:val="20"/>
          <w:lang w:val="en-GB"/>
        </w:rPr>
        <w:t>to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 read (addition of “and” at the end of item (f) in the list of conditions):</w:t>
      </w:r>
    </w:p>
    <w:p w14:paraId="7D9A28BE" w14:textId="0BBDB869" w:rsidR="005E51D8" w:rsidRPr="00B765AD" w:rsidRDefault="005E51D8" w:rsidP="00B765A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65AD">
        <w:rPr>
          <w:rFonts w:ascii="Times New Roman" w:hAnsi="Times New Roman" w:cs="Times New Roman"/>
          <w:sz w:val="20"/>
          <w:szCs w:val="20"/>
          <w:lang w:val="en-GB"/>
        </w:rPr>
        <w:t>5.2.1.4.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ab/>
        <w:t xml:space="preserve">Speed reduction by braking demand </w:t>
      </w:r>
    </w:p>
    <w:p w14:paraId="1E19ED26" w14:textId="77777777" w:rsidR="005E51D8" w:rsidRPr="00B765AD" w:rsidRDefault="005E51D8" w:rsidP="009E62D6">
      <w:pPr>
        <w:adjustRightInd w:val="0"/>
        <w:snapToGrid w:val="0"/>
        <w:spacing w:after="120" w:line="240" w:lineRule="auto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3" w:name="_Hlk526493385"/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In absence of driver’s input which would lead to interruption according to paragraph 5.3.2., </w:t>
      </w:r>
      <w:bookmarkEnd w:id="3"/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the AEBS shall be able to achieve a relative impact speed that is less or equal to the maximum relative impact speed as shown in the following table: </w:t>
      </w:r>
    </w:p>
    <w:p w14:paraId="1F547C25" w14:textId="2C58DE71" w:rsidR="005E51D8" w:rsidRPr="00B765AD" w:rsidRDefault="005E51D8" w:rsidP="009E62D6">
      <w:pPr>
        <w:pStyle w:val="ListParagraph"/>
        <w:numPr>
          <w:ilvl w:val="0"/>
          <w:numId w:val="15"/>
        </w:numPr>
        <w:adjustRightInd w:val="0"/>
        <w:snapToGrid w:val="0"/>
        <w:spacing w:after="120" w:line="240" w:lineRule="auto"/>
        <w:ind w:left="2268" w:right="1134" w:firstLine="0"/>
        <w:contextualSpacing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4" w:name="_Hlk529922239"/>
      <w:r w:rsidRPr="00B765AD">
        <w:rPr>
          <w:rFonts w:ascii="Times New Roman" w:hAnsi="Times New Roman" w:cs="Times New Roman"/>
          <w:sz w:val="20"/>
          <w:szCs w:val="20"/>
          <w:lang w:val="en-GB"/>
        </w:rPr>
        <w:t>For collisions</w:t>
      </w:r>
      <w:r w:rsidRPr="00B765AD"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 xml:space="preserve"> 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with </w:t>
      </w:r>
      <w:bookmarkStart w:id="5" w:name="_Hlk8905932"/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unobstructed </w:t>
      </w:r>
      <w:bookmarkEnd w:id="5"/>
      <w:r w:rsidRPr="00B765AD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1E3E8769" w14:textId="08149974" w:rsidR="005E51D8" w:rsidRPr="00B765AD" w:rsidRDefault="005E51D8" w:rsidP="009E62D6">
      <w:pPr>
        <w:adjustRightInd w:val="0"/>
        <w:snapToGrid w:val="0"/>
        <w:spacing w:after="120" w:line="240" w:lineRule="auto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65AD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072B6080" w14:textId="11913B3B" w:rsidR="005E51D8" w:rsidRPr="00B765AD" w:rsidRDefault="005E51D8" w:rsidP="009E62D6">
      <w:pPr>
        <w:adjustRightInd w:val="0"/>
        <w:snapToGrid w:val="0"/>
        <w:spacing w:after="120" w:line="240" w:lineRule="auto"/>
        <w:ind w:left="2268" w:right="1134"/>
        <w:jc w:val="both"/>
        <w:rPr>
          <w:rFonts w:ascii="Times New Roman" w:hAnsi="Times New Roman" w:cs="Times New Roman"/>
          <w:strike/>
          <w:sz w:val="20"/>
          <w:szCs w:val="20"/>
          <w:lang w:val="en-GB"/>
        </w:rPr>
      </w:pPr>
      <w:bookmarkStart w:id="6" w:name="_Hlk526242872"/>
      <w:bookmarkStart w:id="7" w:name="_Hlk529922355"/>
      <w:bookmarkEnd w:id="4"/>
      <w:r w:rsidRPr="00B765AD">
        <w:rPr>
          <w:rFonts w:ascii="Times New Roman" w:hAnsi="Times New Roman" w:cs="Times New Roman"/>
          <w:sz w:val="20"/>
          <w:szCs w:val="20"/>
          <w:lang w:val="en-GB"/>
        </w:rPr>
        <w:t>(f)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ab/>
        <w:t xml:space="preserve">In absence of weather conditions affecting the dynamic performance of the vehicle (e.g. no storm, not below 0°C); </w:t>
      </w:r>
      <w:r w:rsidRPr="00B765AD">
        <w:rPr>
          <w:rFonts w:ascii="Times New Roman" w:hAnsi="Times New Roman" w:cs="Times New Roman"/>
          <w:b/>
          <w:bCs/>
          <w:sz w:val="20"/>
          <w:szCs w:val="20"/>
          <w:lang w:val="en-GB"/>
        </w:rPr>
        <w:t>and</w:t>
      </w:r>
    </w:p>
    <w:p w14:paraId="2621C5CD" w14:textId="2835138E" w:rsidR="005E51D8" w:rsidRPr="00B765AD" w:rsidRDefault="005E51D8" w:rsidP="009E62D6">
      <w:pPr>
        <w:adjustRightInd w:val="0"/>
        <w:snapToGrid w:val="0"/>
        <w:spacing w:after="120" w:line="240" w:lineRule="auto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65AD">
        <w:rPr>
          <w:rFonts w:ascii="Times New Roman" w:hAnsi="Times New Roman" w:cs="Times New Roman"/>
          <w:sz w:val="20"/>
          <w:szCs w:val="20"/>
          <w:lang w:val="en-GB"/>
        </w:rPr>
        <w:lastRenderedPageBreak/>
        <w:t>(g)</w:t>
      </w:r>
      <w:r w:rsidRPr="00B765AD">
        <w:rPr>
          <w:rFonts w:ascii="Times New Roman" w:hAnsi="Times New Roman" w:cs="Times New Roman"/>
          <w:sz w:val="20"/>
          <w:szCs w:val="20"/>
          <w:lang w:val="en-GB"/>
        </w:rPr>
        <w:tab/>
        <w:t xml:space="preserve">When driving straight with no curve, and not turning at </w:t>
      </w:r>
      <w:proofErr w:type="gramStart"/>
      <w:r w:rsidRPr="00B765AD">
        <w:rPr>
          <w:rFonts w:ascii="Times New Roman" w:hAnsi="Times New Roman" w:cs="Times New Roman"/>
          <w:sz w:val="20"/>
          <w:szCs w:val="20"/>
          <w:lang w:val="en-GB"/>
        </w:rPr>
        <w:t>an  intersection</w:t>
      </w:r>
      <w:proofErr w:type="gramEnd"/>
      <w:r w:rsidRPr="00B765A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79B2BB8" w14:textId="7ABA80BA" w:rsidR="00387883" w:rsidRPr="00B765AD" w:rsidRDefault="005E51D8" w:rsidP="009E62D6">
      <w:pPr>
        <w:adjustRightInd w:val="0"/>
        <w:snapToGrid w:val="0"/>
        <w:spacing w:after="120" w:line="240" w:lineRule="auto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65AD">
        <w:rPr>
          <w:rFonts w:ascii="Times New Roman" w:hAnsi="Times New Roman" w:cs="Times New Roman"/>
          <w:sz w:val="20"/>
          <w:szCs w:val="20"/>
          <w:lang w:val="en-GB"/>
        </w:rPr>
        <w:t xml:space="preserve">It is recognised </w:t>
      </w:r>
      <w:bookmarkEnd w:id="6"/>
      <w:bookmarkEnd w:id="7"/>
      <w:r w:rsidRPr="00B765AD">
        <w:rPr>
          <w:rFonts w:ascii="Times New Roman" w:hAnsi="Times New Roman" w:cs="Times New Roman"/>
          <w:sz w:val="20"/>
          <w:szCs w:val="20"/>
          <w:lang w:val="en-GB"/>
        </w:rPr>
        <w:t>…”</w:t>
      </w:r>
    </w:p>
    <w:p w14:paraId="36E8DD01" w14:textId="4DCF94FE" w:rsidR="00F91937" w:rsidRPr="002A3932" w:rsidRDefault="009E62D6" w:rsidP="009E62D6">
      <w:pPr>
        <w:pStyle w:val="H1G"/>
      </w:pPr>
      <w:r>
        <w:tab/>
        <w:t>II.</w:t>
      </w:r>
      <w:r>
        <w:tab/>
      </w:r>
      <w:r w:rsidR="00F91937" w:rsidRPr="00C17DF5">
        <w:t xml:space="preserve">Justifications </w:t>
      </w:r>
    </w:p>
    <w:p w14:paraId="607EBC1B" w14:textId="032396A3" w:rsidR="00753BB7" w:rsidRPr="00515437" w:rsidRDefault="0043080E" w:rsidP="0043080E">
      <w:pPr>
        <w:pStyle w:val="H1G"/>
        <w:tabs>
          <w:tab w:val="clear" w:pos="851"/>
          <w:tab w:val="left" w:pos="567"/>
        </w:tabs>
        <w:ind w:right="423"/>
        <w:rPr>
          <w:sz w:val="20"/>
          <w:szCs w:val="18"/>
        </w:rPr>
      </w:pPr>
      <w:r>
        <w:rPr>
          <w:sz w:val="20"/>
          <w:szCs w:val="18"/>
        </w:rPr>
        <w:tab/>
      </w:r>
      <w:r w:rsidR="00D711FA">
        <w:rPr>
          <w:sz w:val="20"/>
          <w:szCs w:val="18"/>
        </w:rPr>
        <w:t>A.</w:t>
      </w:r>
      <w:r w:rsidR="00D711FA">
        <w:rPr>
          <w:sz w:val="20"/>
          <w:szCs w:val="18"/>
        </w:rPr>
        <w:tab/>
      </w:r>
      <w:r w:rsidR="00340F57" w:rsidRPr="00515437">
        <w:rPr>
          <w:sz w:val="20"/>
          <w:szCs w:val="18"/>
        </w:rPr>
        <w:t xml:space="preserve">Par. </w:t>
      </w:r>
      <w:r w:rsidR="00CD7C34" w:rsidRPr="00515437">
        <w:rPr>
          <w:sz w:val="20"/>
          <w:szCs w:val="18"/>
        </w:rPr>
        <w:t xml:space="preserve">5.4.1.1 </w:t>
      </w:r>
      <w:r w:rsidR="008C332F" w:rsidRPr="00515437">
        <w:rPr>
          <w:sz w:val="20"/>
          <w:szCs w:val="18"/>
        </w:rPr>
        <w:t xml:space="preserve">AEBS shall be reinstated at the initiation of each </w:t>
      </w:r>
      <w:r w:rsidR="00340F57" w:rsidRPr="00515437">
        <w:rPr>
          <w:sz w:val="20"/>
          <w:szCs w:val="18"/>
        </w:rPr>
        <w:t>“</w:t>
      </w:r>
      <w:r w:rsidR="008C332F" w:rsidRPr="00515437">
        <w:rPr>
          <w:sz w:val="20"/>
          <w:szCs w:val="18"/>
        </w:rPr>
        <w:t>new ignition cycle</w:t>
      </w:r>
      <w:r w:rsidR="00340F57" w:rsidRPr="00515437">
        <w:rPr>
          <w:sz w:val="20"/>
          <w:szCs w:val="18"/>
        </w:rPr>
        <w:t xml:space="preserve">”: </w:t>
      </w:r>
    </w:p>
    <w:p w14:paraId="445C3E51" w14:textId="629B0D8E" w:rsidR="00283B1D" w:rsidRPr="00340F57" w:rsidRDefault="008C332F" w:rsidP="0043080E">
      <w:pPr>
        <w:pStyle w:val="SingleTxtG"/>
        <w:spacing w:line="240" w:lineRule="auto"/>
        <w:rPr>
          <w:b/>
        </w:rPr>
      </w:pPr>
      <w:r w:rsidRPr="00340F57">
        <w:t>Electric vehicles no longer have an “ignition” cycle</w:t>
      </w:r>
      <w:r w:rsidR="00283B1D" w:rsidRPr="00340F57">
        <w:t>.</w:t>
      </w:r>
      <w:r w:rsidRPr="00340F57">
        <w:t xml:space="preserve"> </w:t>
      </w:r>
      <w:r w:rsidR="00283B1D" w:rsidRPr="00340F57">
        <w:t>Additionally, many vehicles have an integrated stop/start system to increase fuel efficiency. It should be clarified that the automatic engine restart does not require a reactivation of the AEBS.</w:t>
      </w:r>
    </w:p>
    <w:p w14:paraId="24CADE46" w14:textId="0F9879FE" w:rsidR="008C332F" w:rsidRPr="00340F57" w:rsidRDefault="00283B1D" w:rsidP="0043080E">
      <w:pPr>
        <w:pStyle w:val="SingleTxtG"/>
        <w:spacing w:line="240" w:lineRule="auto"/>
        <w:rPr>
          <w:b/>
        </w:rPr>
      </w:pPr>
      <w:r w:rsidRPr="00340F57">
        <w:t>T</w:t>
      </w:r>
      <w:r w:rsidR="008C332F" w:rsidRPr="00340F57">
        <w:t>herefore</w:t>
      </w:r>
      <w:r w:rsidRPr="00340F57">
        <w:t>,</w:t>
      </w:r>
      <w:r w:rsidR="00340F57">
        <w:t xml:space="preserve"> the proposal aims to align the</w:t>
      </w:r>
      <w:r w:rsidR="008C332F" w:rsidRPr="00340F57">
        <w:t xml:space="preserve"> wording </w:t>
      </w:r>
      <w:r w:rsidR="00340F57">
        <w:t>with that used in the 0</w:t>
      </w:r>
      <w:r w:rsidR="008C332F" w:rsidRPr="00340F57">
        <w:t>3 series of amendments of UN R</w:t>
      </w:r>
      <w:r w:rsidR="00515437">
        <w:t xml:space="preserve">egulation No. </w:t>
      </w:r>
      <w:r w:rsidR="008C332F" w:rsidRPr="00340F57">
        <w:t>79</w:t>
      </w:r>
      <w:r w:rsidR="00340F57">
        <w:t>:</w:t>
      </w:r>
    </w:p>
    <w:p w14:paraId="1943FA72" w14:textId="0EF9C12B" w:rsidR="00283B1D" w:rsidRPr="00340F57" w:rsidRDefault="00283B1D" w:rsidP="0043080E">
      <w:pPr>
        <w:pStyle w:val="H1G"/>
        <w:tabs>
          <w:tab w:val="clear" w:pos="851"/>
        </w:tabs>
        <w:spacing w:before="0" w:after="120" w:line="240" w:lineRule="auto"/>
        <w:ind w:left="2268"/>
        <w:rPr>
          <w:b w:val="0"/>
          <w:bCs/>
          <w:sz w:val="20"/>
        </w:rPr>
      </w:pPr>
      <w:r w:rsidRPr="00340F57">
        <w:rPr>
          <w:b w:val="0"/>
          <w:bCs/>
          <w:sz w:val="20"/>
        </w:rPr>
        <w:t xml:space="preserve">5.6.4.2.1. </w:t>
      </w:r>
      <w:r w:rsidRPr="00340F57">
        <w:rPr>
          <w:b w:val="0"/>
          <w:bCs/>
          <w:sz w:val="20"/>
        </w:rPr>
        <w:tab/>
        <w:t>The default status of the system shall be off at the initiation of each new engine start/run cycle.</w:t>
      </w:r>
    </w:p>
    <w:p w14:paraId="7156A66D" w14:textId="38BE3CB1" w:rsidR="00CD7C34" w:rsidRPr="00340F57" w:rsidRDefault="00283B1D" w:rsidP="0043080E">
      <w:pPr>
        <w:pStyle w:val="H1G"/>
        <w:spacing w:before="0" w:after="120" w:line="240" w:lineRule="auto"/>
        <w:ind w:left="2126" w:right="567" w:firstLine="0"/>
        <w:rPr>
          <w:sz w:val="20"/>
        </w:rPr>
      </w:pPr>
      <w:r w:rsidRPr="00340F57">
        <w:rPr>
          <w:b w:val="0"/>
          <w:bCs/>
          <w:sz w:val="20"/>
        </w:rPr>
        <w:t>This requirement does not apply when a new engine start/run cycle is performed automatically, e.g. the operation of a stop/start system</w:t>
      </w:r>
      <w:r w:rsidRPr="00340F57">
        <w:rPr>
          <w:sz w:val="20"/>
        </w:rPr>
        <w:t>.</w:t>
      </w:r>
    </w:p>
    <w:p w14:paraId="4D425144" w14:textId="236A5284" w:rsidR="005C53F9" w:rsidRPr="00D711FA" w:rsidRDefault="0043080E" w:rsidP="0043080E">
      <w:pPr>
        <w:pStyle w:val="H1G"/>
        <w:tabs>
          <w:tab w:val="clear" w:pos="851"/>
          <w:tab w:val="left" w:pos="567"/>
        </w:tabs>
        <w:ind w:right="423"/>
        <w:rPr>
          <w:sz w:val="20"/>
          <w:szCs w:val="18"/>
        </w:rPr>
      </w:pPr>
      <w:r>
        <w:rPr>
          <w:sz w:val="20"/>
          <w:szCs w:val="18"/>
        </w:rPr>
        <w:tab/>
      </w:r>
      <w:r w:rsidR="00D711FA" w:rsidRPr="00D711FA">
        <w:rPr>
          <w:sz w:val="20"/>
          <w:szCs w:val="18"/>
        </w:rPr>
        <w:t>B.</w:t>
      </w:r>
      <w:r w:rsidR="00D711FA" w:rsidRPr="00D711FA">
        <w:rPr>
          <w:sz w:val="20"/>
          <w:szCs w:val="18"/>
        </w:rPr>
        <w:tab/>
      </w:r>
      <w:r w:rsidR="00340F57" w:rsidRPr="00D711FA">
        <w:rPr>
          <w:sz w:val="20"/>
          <w:szCs w:val="18"/>
        </w:rPr>
        <w:t xml:space="preserve">Par. </w:t>
      </w:r>
      <w:r w:rsidR="005C53F9" w:rsidRPr="00D711FA">
        <w:rPr>
          <w:sz w:val="20"/>
          <w:szCs w:val="18"/>
        </w:rPr>
        <w:t>5.1.2</w:t>
      </w:r>
      <w:r w:rsidR="00340F57" w:rsidRPr="00D711FA">
        <w:rPr>
          <w:sz w:val="20"/>
          <w:szCs w:val="18"/>
        </w:rPr>
        <w:t xml:space="preserve">, </w:t>
      </w:r>
      <w:r w:rsidR="00E1265C" w:rsidRPr="00D711FA">
        <w:rPr>
          <w:sz w:val="20"/>
          <w:szCs w:val="18"/>
        </w:rPr>
        <w:t>electromagnetic compatibility</w:t>
      </w:r>
      <w:r w:rsidR="00340F57" w:rsidRPr="00D711FA">
        <w:rPr>
          <w:sz w:val="20"/>
          <w:szCs w:val="18"/>
        </w:rPr>
        <w:t>:</w:t>
      </w:r>
    </w:p>
    <w:p w14:paraId="69975F9D" w14:textId="1E953104" w:rsidR="00340F57" w:rsidRPr="0043080E" w:rsidRDefault="005C53F9" w:rsidP="0043080E">
      <w:pPr>
        <w:pStyle w:val="SingleTxtG"/>
        <w:rPr>
          <w:b/>
        </w:rPr>
      </w:pPr>
      <w:r w:rsidRPr="00340F57">
        <w:t>According to the transitional provisions of the 06 series of amendments to UN Regulation No. 10</w:t>
      </w:r>
      <w:r w:rsidR="008C332F" w:rsidRPr="00340F57">
        <w:t xml:space="preserve"> all electric and hybrid vehicles (“vehicle type which are equipped with a coupling system to charge the REESS”) have to be type approved according to the 06 series of amendments as from 1 September 2022. Therefore</w:t>
      </w:r>
      <w:r w:rsidR="004D572D">
        <w:t>,</w:t>
      </w:r>
      <w:r w:rsidR="008C332F" w:rsidRPr="00340F57">
        <w:t xml:space="preserve"> the manufacturer should be allowed the choice to demonstrate the electromagnetic compatibility of the AEBS using the 06 series of amendments to UN Regulation No. 10.</w:t>
      </w:r>
    </w:p>
    <w:p w14:paraId="6C36A548" w14:textId="6AC81D09" w:rsidR="00340F57" w:rsidRPr="0043080E" w:rsidRDefault="0043080E" w:rsidP="0043080E">
      <w:pPr>
        <w:pStyle w:val="H1G"/>
        <w:tabs>
          <w:tab w:val="clear" w:pos="851"/>
          <w:tab w:val="left" w:pos="567"/>
        </w:tabs>
        <w:ind w:right="423"/>
        <w:rPr>
          <w:sz w:val="20"/>
          <w:szCs w:val="18"/>
        </w:rPr>
      </w:pPr>
      <w:r>
        <w:rPr>
          <w:sz w:val="20"/>
          <w:szCs w:val="18"/>
        </w:rPr>
        <w:tab/>
        <w:t>C.</w:t>
      </w:r>
      <w:r>
        <w:rPr>
          <w:sz w:val="20"/>
          <w:szCs w:val="18"/>
        </w:rPr>
        <w:tab/>
      </w:r>
      <w:r w:rsidR="00340F57" w:rsidRPr="0043080E">
        <w:rPr>
          <w:sz w:val="20"/>
          <w:szCs w:val="18"/>
        </w:rPr>
        <w:t>Par. 5.1.4.1.2 and 5.1.4.1.3. “when the system is not initialized”:</w:t>
      </w:r>
    </w:p>
    <w:p w14:paraId="2FD4CB16" w14:textId="5BAAC4BC" w:rsidR="00427862" w:rsidRPr="00340F57" w:rsidRDefault="00340F57" w:rsidP="0043080E">
      <w:pPr>
        <w:ind w:left="1134" w:right="565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40F5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Par. 5.1.4.1.2. was introduced to ensure the d</w:t>
      </w:r>
      <w:r w:rsidR="0042786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river is informed if upon start-</w:t>
      </w:r>
      <w:r w:rsidRPr="00340F5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up of the vehicle the AEBS is not ready to operate within a certain </w:t>
      </w:r>
      <w:proofErr w:type="gramStart"/>
      <w:r w:rsidRPr="00340F5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period of time</w:t>
      </w:r>
      <w:proofErr w:type="gramEnd"/>
      <w:r w:rsidRPr="00340F5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e.g. due to ongoing sensor re-calibration. </w:t>
      </w:r>
      <w:r w:rsidR="0042786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This is not yet considered a failure. It would turn into a failure, if this initialisation was unsuccessful and prevent the AEBS from becoming ready to intervene. The aim of this proposal is to reflect this by transferring the provisions for </w:t>
      </w:r>
      <w:r w:rsidR="00427862" w:rsidRPr="00427862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Indication in case of ongoing initialisation</w:t>
      </w:r>
      <w:r w:rsidR="0042786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from a subparagraph of </w:t>
      </w:r>
      <w:r w:rsidR="00427862" w:rsidRPr="00427862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provisions for failure indication</w:t>
      </w:r>
      <w:r w:rsidR="0042786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to a new separate paragraph. </w:t>
      </w:r>
    </w:p>
    <w:p w14:paraId="790350AA" w14:textId="43AC1F93" w:rsidR="00753BB7" w:rsidRPr="0043080E" w:rsidRDefault="0043080E" w:rsidP="0043080E">
      <w:pPr>
        <w:pStyle w:val="H1G"/>
        <w:tabs>
          <w:tab w:val="clear" w:pos="851"/>
          <w:tab w:val="left" w:pos="567"/>
        </w:tabs>
        <w:ind w:right="423"/>
        <w:rPr>
          <w:sz w:val="20"/>
          <w:szCs w:val="18"/>
        </w:rPr>
      </w:pPr>
      <w:r>
        <w:rPr>
          <w:sz w:val="20"/>
          <w:szCs w:val="18"/>
        </w:rPr>
        <w:tab/>
        <w:t>D.</w:t>
      </w:r>
      <w:r>
        <w:rPr>
          <w:sz w:val="20"/>
          <w:szCs w:val="18"/>
        </w:rPr>
        <w:tab/>
      </w:r>
      <w:r w:rsidR="005E51D8" w:rsidRPr="0043080E">
        <w:rPr>
          <w:sz w:val="20"/>
          <w:szCs w:val="18"/>
        </w:rPr>
        <w:t>Par. 5.2.1.4.(f) “and”:</w:t>
      </w:r>
    </w:p>
    <w:p w14:paraId="126A2371" w14:textId="773993CF" w:rsidR="005E51D8" w:rsidRPr="005E51D8" w:rsidRDefault="005E51D8" w:rsidP="00E76322">
      <w:pPr>
        <w:ind w:left="1134" w:right="565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5E51D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word</w:t>
      </w:r>
      <w:r w:rsidRPr="005E51D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“and” was eliminated (most probably by mistake) when producing </w:t>
      </w:r>
      <w:r w:rsidR="00E7632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informal document </w:t>
      </w:r>
      <w:r w:rsidRPr="005E51D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GRVA-08-16-Rev.1.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which is the document at the basis of document </w:t>
      </w:r>
      <w:r w:rsidR="00E7632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ECE/TRANS/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WP.29/2021/16, adopted in March 2021 at the 183</w:t>
      </w:r>
      <w:r w:rsidRPr="005E51D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session of WP.29. It is important that this “and” be re-inserted since it makes a link between all the conditions </w:t>
      </w:r>
      <w:r w:rsidR="0070362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(a) to (g)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listed in paragraph </w:t>
      </w:r>
      <w:r w:rsidR="0070362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5.2.1.4.  It hence means that the AEBS is required to fulfil the performance requirements only when all the listed conditions are combined. </w:t>
      </w:r>
    </w:p>
    <w:p w14:paraId="477114FC" w14:textId="09EEFEBF" w:rsidR="005E51D8" w:rsidRPr="005E51D8" w:rsidRDefault="00751D4D" w:rsidP="00751D4D">
      <w:pPr>
        <w:jc w:val="center"/>
        <w:rPr>
          <w:lang w:val="en-US"/>
        </w:rPr>
      </w:pPr>
      <w:r>
        <w:rPr>
          <w:lang w:val="en-US"/>
        </w:rPr>
        <w:t>___________</w:t>
      </w:r>
    </w:p>
    <w:sectPr w:rsidR="005E51D8" w:rsidRPr="005E51D8" w:rsidSect="00B45E09">
      <w:headerReference w:type="firs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F88E" w14:textId="77777777" w:rsidR="00517419" w:rsidRDefault="00517419" w:rsidP="00C70542">
      <w:pPr>
        <w:spacing w:after="0" w:line="240" w:lineRule="auto"/>
      </w:pPr>
      <w:r>
        <w:separator/>
      </w:r>
    </w:p>
  </w:endnote>
  <w:endnote w:type="continuationSeparator" w:id="0">
    <w:p w14:paraId="5D2E0CE5" w14:textId="77777777" w:rsidR="00517419" w:rsidRDefault="0051741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1121" w14:textId="77777777" w:rsidR="00517419" w:rsidRDefault="00517419" w:rsidP="00C70542">
      <w:pPr>
        <w:spacing w:after="0" w:line="240" w:lineRule="auto"/>
      </w:pPr>
      <w:r>
        <w:separator/>
      </w:r>
    </w:p>
  </w:footnote>
  <w:footnote w:type="continuationSeparator" w:id="0">
    <w:p w14:paraId="19B12E2C" w14:textId="77777777" w:rsidR="00517419" w:rsidRDefault="0051741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1870" w14:textId="4A6B2C8B" w:rsidR="00E6544C" w:rsidRPr="00B765AD" w:rsidRDefault="00E6544C" w:rsidP="0070362C">
    <w:pPr>
      <w:pStyle w:val="Header"/>
      <w:jc w:val="right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IN"/>
      </w:rPr>
      <w:t>Submitted</w:t>
    </w:r>
    <w:r w:rsidRPr="0040534F">
      <w:rPr>
        <w:rFonts w:ascii="Times New Roman" w:hAnsi="Times New Roman" w:cs="Times New Roman"/>
        <w:lang w:val="en-IN"/>
      </w:rPr>
      <w:t xml:space="preserve"> by the experts of OICA and CLEPA</w:t>
    </w:r>
    <w:r w:rsidRPr="0040534F">
      <w:rPr>
        <w:rFonts w:ascii="Times New Roman" w:hAnsi="Times New Roman" w:cs="Times New Roman"/>
        <w:lang w:val="en-IN"/>
      </w:rPr>
      <w:tab/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 w:rsidR="0070362C">
      <w:rPr>
        <w:rFonts w:ascii="Times New Roman" w:hAnsi="Times New Roman" w:cs="Times New Roman"/>
        <w:b/>
        <w:bCs/>
        <w:lang w:val="en-IN"/>
      </w:rPr>
      <w:t>GRVA-10</w:t>
    </w:r>
    <w:r w:rsidRPr="00A96F38">
      <w:rPr>
        <w:rFonts w:ascii="Times New Roman" w:hAnsi="Times New Roman" w:cs="Times New Roman"/>
        <w:b/>
        <w:bCs/>
        <w:lang w:val="en-IN"/>
      </w:rPr>
      <w:t>-</w:t>
    </w:r>
    <w:r w:rsidR="00E76322">
      <w:rPr>
        <w:rFonts w:ascii="Times New Roman" w:hAnsi="Times New Roman" w:cs="Times New Roman"/>
        <w:b/>
        <w:bCs/>
        <w:lang w:val="en-IN"/>
      </w:rPr>
      <w:t>03</w:t>
    </w:r>
    <w:r w:rsidRPr="0040534F">
      <w:rPr>
        <w:rFonts w:ascii="Times New Roman" w:hAnsi="Times New Roman" w:cs="Times New Roman"/>
        <w:lang w:val="en-IN"/>
      </w:rPr>
      <w:br/>
    </w:r>
    <w:r w:rsidR="0070362C">
      <w:rPr>
        <w:rFonts w:ascii="Times New Roman" w:hAnsi="Times New Roman" w:cs="Times New Roman"/>
        <w:lang w:val="en-GB"/>
      </w:rPr>
      <w:t>10</w:t>
    </w:r>
    <w:r w:rsidR="0070362C" w:rsidRPr="0070362C">
      <w:rPr>
        <w:rFonts w:ascii="Times New Roman" w:hAnsi="Times New Roman" w:cs="Times New Roman"/>
        <w:vertAlign w:val="superscript"/>
        <w:lang w:val="en-GB"/>
      </w:rPr>
      <w:t>th</w:t>
    </w:r>
    <w:r w:rsidR="0070362C">
      <w:rPr>
        <w:rFonts w:ascii="Times New Roman" w:hAnsi="Times New Roman" w:cs="Times New Roman"/>
        <w:lang w:val="en-GB"/>
      </w:rPr>
      <w:t xml:space="preserve"> </w:t>
    </w:r>
    <w:r w:rsidR="0070362C" w:rsidRPr="0070362C">
      <w:rPr>
        <w:rFonts w:ascii="Times New Roman" w:hAnsi="Times New Roman" w:cs="Times New Roman"/>
        <w:lang w:val="en-GB"/>
      </w:rPr>
      <w:t xml:space="preserve">GRVA, </w:t>
    </w:r>
    <w:r w:rsidR="0070362C">
      <w:rPr>
        <w:rFonts w:ascii="Times New Roman" w:hAnsi="Times New Roman" w:cs="Times New Roman"/>
        <w:lang w:val="en-GB"/>
      </w:rPr>
      <w:t>25-28 May</w:t>
    </w:r>
    <w:r w:rsidR="0070362C" w:rsidRPr="0070362C">
      <w:rPr>
        <w:rFonts w:ascii="Times New Roman" w:hAnsi="Times New Roman" w:cs="Times New Roman"/>
        <w:lang w:val="en-GB"/>
      </w:rPr>
      <w:t xml:space="preserve"> 2021, </w:t>
    </w:r>
    <w:r w:rsidR="0070362C" w:rsidRPr="0070362C">
      <w:rPr>
        <w:rFonts w:ascii="Times New Roman" w:hAnsi="Times New Roman" w:cs="Times New Roman"/>
        <w:lang w:val="en-GB"/>
      </w:rPr>
      <w:br/>
      <w:t>Agenda item 7</w:t>
    </w:r>
    <w:r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405B"/>
    <w:multiLevelType w:val="hybridMultilevel"/>
    <w:tmpl w:val="4B383664"/>
    <w:lvl w:ilvl="0" w:tplc="D1F42C1A">
      <w:start w:val="1"/>
      <w:numFmt w:val="lowerRoman"/>
      <w:lvlText w:val="(%1)"/>
      <w:lvlJc w:val="left"/>
      <w:pPr>
        <w:ind w:left="3186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673" w:hanging="360"/>
      </w:pPr>
    </w:lvl>
    <w:lvl w:ilvl="2" w:tplc="0407001B" w:tentative="1">
      <w:start w:val="1"/>
      <w:numFmt w:val="lowerRoman"/>
      <w:lvlText w:val="%3."/>
      <w:lvlJc w:val="right"/>
      <w:pPr>
        <w:ind w:left="3393" w:hanging="180"/>
      </w:pPr>
    </w:lvl>
    <w:lvl w:ilvl="3" w:tplc="0407000F" w:tentative="1">
      <w:start w:val="1"/>
      <w:numFmt w:val="decimal"/>
      <w:lvlText w:val="%4."/>
      <w:lvlJc w:val="left"/>
      <w:pPr>
        <w:ind w:left="4113" w:hanging="360"/>
      </w:pPr>
    </w:lvl>
    <w:lvl w:ilvl="4" w:tplc="04070019" w:tentative="1">
      <w:start w:val="1"/>
      <w:numFmt w:val="lowerLetter"/>
      <w:lvlText w:val="%5."/>
      <w:lvlJc w:val="left"/>
      <w:pPr>
        <w:ind w:left="4833" w:hanging="360"/>
      </w:pPr>
    </w:lvl>
    <w:lvl w:ilvl="5" w:tplc="0407001B" w:tentative="1">
      <w:start w:val="1"/>
      <w:numFmt w:val="lowerRoman"/>
      <w:lvlText w:val="%6."/>
      <w:lvlJc w:val="right"/>
      <w:pPr>
        <w:ind w:left="5553" w:hanging="180"/>
      </w:pPr>
    </w:lvl>
    <w:lvl w:ilvl="6" w:tplc="0407000F" w:tentative="1">
      <w:start w:val="1"/>
      <w:numFmt w:val="decimal"/>
      <w:lvlText w:val="%7."/>
      <w:lvlJc w:val="left"/>
      <w:pPr>
        <w:ind w:left="6273" w:hanging="360"/>
      </w:pPr>
    </w:lvl>
    <w:lvl w:ilvl="7" w:tplc="04070019" w:tentative="1">
      <w:start w:val="1"/>
      <w:numFmt w:val="lowerLetter"/>
      <w:lvlText w:val="%8."/>
      <w:lvlJc w:val="left"/>
      <w:pPr>
        <w:ind w:left="6993" w:hanging="360"/>
      </w:pPr>
    </w:lvl>
    <w:lvl w:ilvl="8" w:tplc="04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7CC"/>
    <w:multiLevelType w:val="hybridMultilevel"/>
    <w:tmpl w:val="49083C4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3DEB"/>
    <w:multiLevelType w:val="hybridMultilevel"/>
    <w:tmpl w:val="AF06FAE4"/>
    <w:lvl w:ilvl="0" w:tplc="B2108E6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571844"/>
    <w:multiLevelType w:val="hybridMultilevel"/>
    <w:tmpl w:val="FC7A8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36B"/>
    <w:multiLevelType w:val="hybridMultilevel"/>
    <w:tmpl w:val="683E9E0E"/>
    <w:lvl w:ilvl="0" w:tplc="D1F42C1A">
      <w:start w:val="1"/>
      <w:numFmt w:val="lowerRoman"/>
      <w:lvlText w:val="(%1)"/>
      <w:lvlJc w:val="left"/>
      <w:pPr>
        <w:ind w:left="19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13" w:hanging="360"/>
      </w:pPr>
    </w:lvl>
    <w:lvl w:ilvl="2" w:tplc="0407001B" w:tentative="1">
      <w:start w:val="1"/>
      <w:numFmt w:val="lowerRoman"/>
      <w:lvlText w:val="%3."/>
      <w:lvlJc w:val="right"/>
      <w:pPr>
        <w:ind w:left="3033" w:hanging="180"/>
      </w:pPr>
    </w:lvl>
    <w:lvl w:ilvl="3" w:tplc="0407000F" w:tentative="1">
      <w:start w:val="1"/>
      <w:numFmt w:val="decimal"/>
      <w:lvlText w:val="%4."/>
      <w:lvlJc w:val="left"/>
      <w:pPr>
        <w:ind w:left="3753" w:hanging="360"/>
      </w:pPr>
    </w:lvl>
    <w:lvl w:ilvl="4" w:tplc="04070019" w:tentative="1">
      <w:start w:val="1"/>
      <w:numFmt w:val="lowerLetter"/>
      <w:lvlText w:val="%5."/>
      <w:lvlJc w:val="left"/>
      <w:pPr>
        <w:ind w:left="4473" w:hanging="360"/>
      </w:pPr>
    </w:lvl>
    <w:lvl w:ilvl="5" w:tplc="0407001B" w:tentative="1">
      <w:start w:val="1"/>
      <w:numFmt w:val="lowerRoman"/>
      <w:lvlText w:val="%6."/>
      <w:lvlJc w:val="right"/>
      <w:pPr>
        <w:ind w:left="5193" w:hanging="180"/>
      </w:pPr>
    </w:lvl>
    <w:lvl w:ilvl="6" w:tplc="0407000F" w:tentative="1">
      <w:start w:val="1"/>
      <w:numFmt w:val="decimal"/>
      <w:lvlText w:val="%7."/>
      <w:lvlJc w:val="left"/>
      <w:pPr>
        <w:ind w:left="5913" w:hanging="360"/>
      </w:pPr>
    </w:lvl>
    <w:lvl w:ilvl="7" w:tplc="04070019" w:tentative="1">
      <w:start w:val="1"/>
      <w:numFmt w:val="lowerLetter"/>
      <w:lvlText w:val="%8."/>
      <w:lvlJc w:val="left"/>
      <w:pPr>
        <w:ind w:left="6633" w:hanging="360"/>
      </w:pPr>
    </w:lvl>
    <w:lvl w:ilvl="8" w:tplc="0407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6C5F"/>
    <w:multiLevelType w:val="hybridMultilevel"/>
    <w:tmpl w:val="F80C7C30"/>
    <w:lvl w:ilvl="0" w:tplc="64823872">
      <w:start w:val="1"/>
      <w:numFmt w:val="lowerLetter"/>
      <w:lvlText w:val="(%1)"/>
      <w:lvlJc w:val="left"/>
      <w:pPr>
        <w:ind w:left="2793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E1588E"/>
    <w:multiLevelType w:val="hybridMultilevel"/>
    <w:tmpl w:val="A0EC272A"/>
    <w:lvl w:ilvl="0" w:tplc="D1F42C1A">
      <w:start w:val="1"/>
      <w:numFmt w:val="lowerRoman"/>
      <w:lvlText w:val="(%1)"/>
      <w:lvlJc w:val="left"/>
      <w:pPr>
        <w:ind w:left="3186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393" w:hanging="180"/>
      </w:pPr>
    </w:lvl>
    <w:lvl w:ilvl="3" w:tplc="0407000F" w:tentative="1">
      <w:start w:val="1"/>
      <w:numFmt w:val="decimal"/>
      <w:lvlText w:val="%4."/>
      <w:lvlJc w:val="left"/>
      <w:pPr>
        <w:ind w:left="4113" w:hanging="360"/>
      </w:pPr>
    </w:lvl>
    <w:lvl w:ilvl="4" w:tplc="04070019" w:tentative="1">
      <w:start w:val="1"/>
      <w:numFmt w:val="lowerLetter"/>
      <w:lvlText w:val="%5."/>
      <w:lvlJc w:val="left"/>
      <w:pPr>
        <w:ind w:left="4833" w:hanging="360"/>
      </w:pPr>
    </w:lvl>
    <w:lvl w:ilvl="5" w:tplc="0407001B" w:tentative="1">
      <w:start w:val="1"/>
      <w:numFmt w:val="lowerRoman"/>
      <w:lvlText w:val="%6."/>
      <w:lvlJc w:val="right"/>
      <w:pPr>
        <w:ind w:left="5553" w:hanging="180"/>
      </w:pPr>
    </w:lvl>
    <w:lvl w:ilvl="6" w:tplc="0407000F" w:tentative="1">
      <w:start w:val="1"/>
      <w:numFmt w:val="decimal"/>
      <w:lvlText w:val="%7."/>
      <w:lvlJc w:val="left"/>
      <w:pPr>
        <w:ind w:left="6273" w:hanging="360"/>
      </w:pPr>
    </w:lvl>
    <w:lvl w:ilvl="7" w:tplc="04070019" w:tentative="1">
      <w:start w:val="1"/>
      <w:numFmt w:val="lowerLetter"/>
      <w:lvlText w:val="%8."/>
      <w:lvlJc w:val="left"/>
      <w:pPr>
        <w:ind w:left="6993" w:hanging="360"/>
      </w:pPr>
    </w:lvl>
    <w:lvl w:ilvl="8" w:tplc="04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4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70BC5"/>
    <w:rsid w:val="0007763C"/>
    <w:rsid w:val="000C1720"/>
    <w:rsid w:val="000D2001"/>
    <w:rsid w:val="001075F5"/>
    <w:rsid w:val="00143BE4"/>
    <w:rsid w:val="0016617F"/>
    <w:rsid w:val="001A3CFE"/>
    <w:rsid w:val="001D5167"/>
    <w:rsid w:val="001F4199"/>
    <w:rsid w:val="0024075C"/>
    <w:rsid w:val="002478EF"/>
    <w:rsid w:val="00283B1D"/>
    <w:rsid w:val="002A276C"/>
    <w:rsid w:val="002A3932"/>
    <w:rsid w:val="002B6165"/>
    <w:rsid w:val="002E5D09"/>
    <w:rsid w:val="002E7F55"/>
    <w:rsid w:val="002F0ABF"/>
    <w:rsid w:val="00300767"/>
    <w:rsid w:val="00340F57"/>
    <w:rsid w:val="003536CD"/>
    <w:rsid w:val="00387883"/>
    <w:rsid w:val="0039592E"/>
    <w:rsid w:val="003D7370"/>
    <w:rsid w:val="003F6E11"/>
    <w:rsid w:val="0040534F"/>
    <w:rsid w:val="00427862"/>
    <w:rsid w:val="0043080E"/>
    <w:rsid w:val="004424C6"/>
    <w:rsid w:val="004C2C32"/>
    <w:rsid w:val="004D572D"/>
    <w:rsid w:val="00511401"/>
    <w:rsid w:val="00515437"/>
    <w:rsid w:val="00517419"/>
    <w:rsid w:val="00522A3F"/>
    <w:rsid w:val="005405FE"/>
    <w:rsid w:val="0058422F"/>
    <w:rsid w:val="005C53F9"/>
    <w:rsid w:val="005D04DD"/>
    <w:rsid w:val="005E51D8"/>
    <w:rsid w:val="005F0914"/>
    <w:rsid w:val="006001AC"/>
    <w:rsid w:val="00604550"/>
    <w:rsid w:val="00630A13"/>
    <w:rsid w:val="00643650"/>
    <w:rsid w:val="0069526C"/>
    <w:rsid w:val="006C7FCB"/>
    <w:rsid w:val="0070362C"/>
    <w:rsid w:val="00751D4D"/>
    <w:rsid w:val="00753BB7"/>
    <w:rsid w:val="007625FF"/>
    <w:rsid w:val="00767DEB"/>
    <w:rsid w:val="007B28E1"/>
    <w:rsid w:val="007E62BF"/>
    <w:rsid w:val="008277DE"/>
    <w:rsid w:val="008407DA"/>
    <w:rsid w:val="0084550C"/>
    <w:rsid w:val="0087094F"/>
    <w:rsid w:val="00885CEA"/>
    <w:rsid w:val="008863A3"/>
    <w:rsid w:val="008C332F"/>
    <w:rsid w:val="008D2160"/>
    <w:rsid w:val="00911324"/>
    <w:rsid w:val="0097056D"/>
    <w:rsid w:val="009C0E3E"/>
    <w:rsid w:val="009E62D6"/>
    <w:rsid w:val="00A26452"/>
    <w:rsid w:val="00A40257"/>
    <w:rsid w:val="00A45334"/>
    <w:rsid w:val="00A717B0"/>
    <w:rsid w:val="00A8132D"/>
    <w:rsid w:val="00A96F38"/>
    <w:rsid w:val="00AA2871"/>
    <w:rsid w:val="00B21D07"/>
    <w:rsid w:val="00B45E09"/>
    <w:rsid w:val="00B765AD"/>
    <w:rsid w:val="00BA42A0"/>
    <w:rsid w:val="00BD63FD"/>
    <w:rsid w:val="00C01A1F"/>
    <w:rsid w:val="00C17DF5"/>
    <w:rsid w:val="00C22A88"/>
    <w:rsid w:val="00C450FF"/>
    <w:rsid w:val="00C47460"/>
    <w:rsid w:val="00C62CE6"/>
    <w:rsid w:val="00C70542"/>
    <w:rsid w:val="00CA0D17"/>
    <w:rsid w:val="00CC78F8"/>
    <w:rsid w:val="00CD7C34"/>
    <w:rsid w:val="00CF6A99"/>
    <w:rsid w:val="00D478D7"/>
    <w:rsid w:val="00D605C2"/>
    <w:rsid w:val="00D711FA"/>
    <w:rsid w:val="00DF0A3E"/>
    <w:rsid w:val="00E1265C"/>
    <w:rsid w:val="00E301A8"/>
    <w:rsid w:val="00E6544C"/>
    <w:rsid w:val="00E76322"/>
    <w:rsid w:val="00E76605"/>
    <w:rsid w:val="00E77DC5"/>
    <w:rsid w:val="00E91B3D"/>
    <w:rsid w:val="00EA6769"/>
    <w:rsid w:val="00EC067A"/>
    <w:rsid w:val="00EC26F7"/>
    <w:rsid w:val="00EC37D8"/>
    <w:rsid w:val="00ED551A"/>
    <w:rsid w:val="00EE3BE0"/>
    <w:rsid w:val="00EE7F21"/>
    <w:rsid w:val="00F16052"/>
    <w:rsid w:val="00F444F1"/>
    <w:rsid w:val="00F75B90"/>
    <w:rsid w:val="00F91937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0858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264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452"/>
    <w:rPr>
      <w:sz w:val="20"/>
      <w:szCs w:val="20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unhideWhenUsed/>
    <w:rsid w:val="00A26452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C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C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EE655-109D-4A05-9CEE-0C8E082C8F1E}"/>
</file>

<file path=customXml/itemProps2.xml><?xml version="1.0" encoding="utf-8"?>
<ds:datastoreItem xmlns:ds="http://schemas.openxmlformats.org/officeDocument/2006/customXml" ds:itemID="{C71E66A6-6CAB-4F6A-AC22-62E85ADC0382}"/>
</file>

<file path=customXml/itemProps3.xml><?xml version="1.0" encoding="utf-8"?>
<ds:datastoreItem xmlns:ds="http://schemas.openxmlformats.org/officeDocument/2006/customXml" ds:itemID="{F7CE092A-00A2-4AE7-BDE1-0ABE2F5FD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Francois Guichard</cp:lastModifiedBy>
  <cp:revision>9</cp:revision>
  <dcterms:created xsi:type="dcterms:W3CDTF">2021-05-03T16:08:00Z</dcterms:created>
  <dcterms:modified xsi:type="dcterms:W3CDTF">2021-05-04T09:45:00Z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