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5831" w14:textId="77777777" w:rsidR="00951AE1" w:rsidRDefault="00951AE1" w:rsidP="00951AE1">
      <w:pPr>
        <w:pStyle w:val="Default"/>
      </w:pPr>
    </w:p>
    <w:p w14:paraId="4927D72E" w14:textId="77777777" w:rsidR="0035613B" w:rsidRDefault="00951AE1" w:rsidP="00951AE1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0C67C7">
        <w:rPr>
          <w:b/>
          <w:bCs/>
          <w:sz w:val="28"/>
          <w:szCs w:val="28"/>
          <w:lang w:val="en-GB"/>
        </w:rPr>
        <w:t xml:space="preserve">Proposal </w:t>
      </w:r>
      <w:r w:rsidR="000C67C7" w:rsidRPr="000C67C7">
        <w:rPr>
          <w:b/>
          <w:bCs/>
          <w:sz w:val="28"/>
          <w:szCs w:val="28"/>
          <w:lang w:val="en-GB"/>
        </w:rPr>
        <w:t xml:space="preserve">to amend </w:t>
      </w:r>
      <w:r w:rsidR="0035613B">
        <w:rPr>
          <w:b/>
          <w:bCs/>
          <w:sz w:val="28"/>
          <w:szCs w:val="28"/>
          <w:lang w:val="en-GB"/>
        </w:rPr>
        <w:t xml:space="preserve">the Original and 01 series of </w:t>
      </w:r>
    </w:p>
    <w:p w14:paraId="316C2512" w14:textId="77BDD881" w:rsidR="00951AE1" w:rsidRPr="000C67C7" w:rsidRDefault="0035613B" w:rsidP="00951AE1">
      <w:pPr>
        <w:pStyle w:val="Default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Amendments to UN Regulation No.154</w:t>
      </w:r>
    </w:p>
    <w:p w14:paraId="1BF9ADCA" w14:textId="06653DAC" w:rsidR="00951AE1" w:rsidRDefault="00951AE1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02A9ABC7" w14:textId="77777777" w:rsidR="00911A23" w:rsidRPr="00D7097E" w:rsidRDefault="00911A23" w:rsidP="00951AE1">
      <w:pPr>
        <w:pStyle w:val="Default"/>
        <w:rPr>
          <w:sz w:val="20"/>
          <w:szCs w:val="20"/>
          <w:lang w:val="en-US"/>
        </w:rPr>
      </w:pPr>
    </w:p>
    <w:p w14:paraId="74FBB17E" w14:textId="2450B334" w:rsidR="0081205A" w:rsidRPr="00D7097E" w:rsidRDefault="00911A23" w:rsidP="00951AE1">
      <w:pPr>
        <w:pStyle w:val="Default"/>
        <w:rPr>
          <w:b/>
          <w:bCs/>
          <w:sz w:val="18"/>
          <w:szCs w:val="18"/>
          <w:lang w:val="en-US"/>
        </w:rPr>
      </w:pPr>
      <w:r w:rsidRPr="00D7097E">
        <w:rPr>
          <w:sz w:val="20"/>
          <w:szCs w:val="20"/>
          <w:lang w:val="en-US"/>
        </w:rPr>
        <w:t>The modifications to the current text of the Regulation are marked in bold for new or strikethrough for deleted characters.</w:t>
      </w:r>
      <w:r w:rsidR="00AF473D">
        <w:rPr>
          <w:sz w:val="20"/>
          <w:szCs w:val="20"/>
          <w:lang w:val="en-US"/>
        </w:rPr>
        <w:t xml:space="preserve"> </w:t>
      </w:r>
    </w:p>
    <w:p w14:paraId="3BB75B70" w14:textId="77777777" w:rsidR="00951AE1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1CD6F224" w14:textId="548CE198" w:rsidR="00951AE1" w:rsidRPr="00951AE1" w:rsidRDefault="00951AE1" w:rsidP="00951AE1">
      <w:pPr>
        <w:pStyle w:val="Default"/>
        <w:rPr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I. Proposal </w:t>
      </w:r>
    </w:p>
    <w:p w14:paraId="15CDDBEA" w14:textId="3F3580D6" w:rsidR="0035613B" w:rsidRPr="0035613B" w:rsidRDefault="0035613B" w:rsidP="0035613B">
      <w:pPr>
        <w:spacing w:after="120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35613B">
        <w:rPr>
          <w:rFonts w:ascii="Times New Roman" w:hAnsi="Times New Roman" w:cs="Times New Roman"/>
          <w:i/>
          <w:sz w:val="20"/>
          <w:szCs w:val="20"/>
        </w:rPr>
        <w:t>Annex B1, Paragraph 8.</w:t>
      </w:r>
      <w:r w:rsidRPr="0035613B">
        <w:rPr>
          <w:rFonts w:ascii="Times New Roman" w:hAnsi="Times New Roman" w:cs="Times New Roman"/>
          <w:i/>
          <w:sz w:val="20"/>
          <w:szCs w:val="20"/>
          <w:lang w:eastAsia="ja-JP"/>
        </w:rPr>
        <w:t>,</w:t>
      </w:r>
      <w:r w:rsidRPr="0035613B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ja-JP"/>
        </w:rPr>
        <w:t>ame</w:t>
      </w:r>
      <w:r w:rsidR="00DA21AA">
        <w:rPr>
          <w:rFonts w:ascii="Times New Roman" w:hAnsi="Times New Roman" w:cs="Times New Roman"/>
          <w:sz w:val="20"/>
          <w:szCs w:val="20"/>
          <w:lang w:eastAsia="ja-JP"/>
        </w:rPr>
        <w:t>n</w:t>
      </w:r>
      <w:r>
        <w:rPr>
          <w:rFonts w:ascii="Times New Roman" w:hAnsi="Times New Roman" w:cs="Times New Roman"/>
          <w:sz w:val="20"/>
          <w:szCs w:val="20"/>
          <w:lang w:eastAsia="ja-JP"/>
        </w:rPr>
        <w:t>d</w:t>
      </w:r>
      <w:r w:rsidRPr="0035613B">
        <w:rPr>
          <w:rFonts w:ascii="Times New Roman" w:hAnsi="Times New Roman" w:cs="Times New Roman"/>
          <w:sz w:val="20"/>
          <w:szCs w:val="20"/>
          <w:lang w:eastAsia="ja-JP"/>
        </w:rPr>
        <w:t xml:space="preserve"> to read:</w:t>
      </w:r>
    </w:p>
    <w:p w14:paraId="157A6851" w14:textId="09C8124E" w:rsidR="0035613B" w:rsidRPr="0035613B" w:rsidRDefault="00DA21AA" w:rsidP="0035613B">
      <w:pPr>
        <w:pStyle w:val="SingleTxtG"/>
        <w:spacing w:before="240"/>
        <w:ind w:left="2257" w:hanging="1123"/>
      </w:pPr>
      <w:r>
        <w:t>"</w:t>
      </w:r>
      <w:r w:rsidR="0035613B" w:rsidRPr="0035613B">
        <w:t>8.</w:t>
      </w:r>
      <w:r w:rsidR="0035613B" w:rsidRPr="0035613B">
        <w:tab/>
        <w:t>Cycle modification</w:t>
      </w:r>
    </w:p>
    <w:p w14:paraId="1400A9C5" w14:textId="3A4DCBF0" w:rsidR="0035613B" w:rsidRPr="0035613B" w:rsidRDefault="0035613B" w:rsidP="0035613B">
      <w:pPr>
        <w:pStyle w:val="SingleTxtG"/>
        <w:ind w:left="2259" w:hanging="1125"/>
      </w:pPr>
      <w:r w:rsidRPr="0035613B">
        <w:tab/>
        <w:t xml:space="preserve">This paragraph shall not apply to OVC-HEVs, NOVC-HEVs and NOVC-FCHVs. </w:t>
      </w:r>
      <w:r w:rsidR="009E502F" w:rsidRPr="0040134D">
        <w:rPr>
          <w:rFonts w:cs="Arial"/>
          <w:b/>
          <w:bCs/>
        </w:rPr>
        <w:t xml:space="preserve">At the request of the manufacturer and with approval of the responsible authority, an NOVC-HEV where the maximum rated engine power represents the maximum vehicle power rating, may apply the downscaling procedure described in paragraph </w:t>
      </w:r>
      <w:proofErr w:type="gramStart"/>
      <w:r w:rsidR="009E502F" w:rsidRPr="0040134D">
        <w:rPr>
          <w:rFonts w:cs="Arial"/>
          <w:b/>
          <w:bCs/>
        </w:rPr>
        <w:t>8.2..</w:t>
      </w:r>
      <w:proofErr w:type="gramEnd"/>
      <w:r w:rsidR="009E502F" w:rsidRPr="0040134D">
        <w:rPr>
          <w:rFonts w:cs="Arial"/>
          <w:b/>
          <w:bCs/>
        </w:rPr>
        <w:t xml:space="preserve"> The manufacturer shall demonstrate to the responsible authority that the electric machine does not impact the maximum vehicle power.</w:t>
      </w:r>
      <w:r w:rsidR="00DA21AA">
        <w:t>"</w:t>
      </w:r>
    </w:p>
    <w:p w14:paraId="2D8C6A43" w14:textId="77777777" w:rsidR="000C67C7" w:rsidRDefault="000C67C7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</w:p>
    <w:p w14:paraId="4EBA93BC" w14:textId="3EB1CF5B" w:rsidR="00951AE1" w:rsidRDefault="00951AE1" w:rsidP="00951AE1">
      <w:pPr>
        <w:pStyle w:val="Default"/>
        <w:ind w:right="805"/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>II. Justification</w:t>
      </w:r>
    </w:p>
    <w:p w14:paraId="466C9B24" w14:textId="77777777" w:rsidR="000C67C7" w:rsidRPr="00951AE1" w:rsidRDefault="000C67C7" w:rsidP="0035613B">
      <w:pPr>
        <w:pStyle w:val="Default"/>
        <w:ind w:left="1134" w:right="1110"/>
        <w:rPr>
          <w:sz w:val="28"/>
          <w:szCs w:val="28"/>
          <w:lang w:val="en-US"/>
        </w:rPr>
      </w:pPr>
    </w:p>
    <w:p w14:paraId="1D3C9037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 w:rsidRPr="00BA7AEC">
        <w:rPr>
          <w:rFonts w:cs="Arial"/>
        </w:rPr>
        <w:t>NOVC-HEVs are not permitted to be downscaled within WLTP due to presumed unknown peak power values.</w:t>
      </w:r>
    </w:p>
    <w:p w14:paraId="37753F6F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>
        <w:rPr>
          <w:rFonts w:cs="Arial"/>
        </w:rPr>
        <w:t>Within s</w:t>
      </w:r>
      <w:r w:rsidRPr="00BA7AEC">
        <w:rPr>
          <w:rFonts w:cs="Arial"/>
        </w:rPr>
        <w:t>ome mild HEV systems, the electric propulsion system does not impact peak vehicle power, therefore peak vehicle power is known and identical to peak engine power.</w:t>
      </w:r>
    </w:p>
    <w:p w14:paraId="280F5AAB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  <w:u w:val="single"/>
        </w:rPr>
      </w:pPr>
      <w:r w:rsidRPr="00BA7AEC">
        <w:rPr>
          <w:rFonts w:cs="Arial"/>
          <w:u w:val="single"/>
        </w:rPr>
        <w:t xml:space="preserve">Example: High </w:t>
      </w:r>
      <w:proofErr w:type="spellStart"/>
      <w:r w:rsidRPr="00BA7AEC">
        <w:rPr>
          <w:rFonts w:cs="Arial"/>
          <w:u w:val="single"/>
        </w:rPr>
        <w:t>roadload</w:t>
      </w:r>
      <w:proofErr w:type="spellEnd"/>
      <w:r w:rsidRPr="00BA7AEC">
        <w:rPr>
          <w:rFonts w:cs="Arial"/>
          <w:u w:val="single"/>
        </w:rPr>
        <w:t xml:space="preserve"> vehicles without power capability to drive WLTC </w:t>
      </w:r>
    </w:p>
    <w:p w14:paraId="701627B0" w14:textId="77777777" w:rsidR="0035613B" w:rsidRPr="00BA7AEC" w:rsidRDefault="0035613B" w:rsidP="00DA21AA">
      <w:pPr>
        <w:pStyle w:val="SingleTxtG"/>
        <w:numPr>
          <w:ilvl w:val="1"/>
          <w:numId w:val="2"/>
        </w:numPr>
        <w:suppressAutoHyphens/>
        <w:spacing w:line="240" w:lineRule="atLeast"/>
        <w:ind w:left="1843" w:right="1110" w:hanging="425"/>
        <w:rPr>
          <w:rFonts w:cs="Arial"/>
        </w:rPr>
      </w:pPr>
      <w:r w:rsidRPr="00BA7AEC">
        <w:rPr>
          <w:rFonts w:cs="Arial"/>
        </w:rPr>
        <w:t xml:space="preserve">ICE and </w:t>
      </w:r>
      <w:proofErr w:type="spellStart"/>
      <w:r w:rsidRPr="00BA7AEC">
        <w:rPr>
          <w:rFonts w:cs="Arial"/>
        </w:rPr>
        <w:t>mHEV</w:t>
      </w:r>
      <w:proofErr w:type="spellEnd"/>
      <w:r w:rsidRPr="00BA7AEC">
        <w:rPr>
          <w:rFonts w:cs="Arial"/>
        </w:rPr>
        <w:t xml:space="preserve"> vehicles that are identical except for difference between ICE and mild hybrid systems will be driven differently on WLTC</w:t>
      </w:r>
      <w:r>
        <w:rPr>
          <w:rFonts w:cs="Arial"/>
        </w:rPr>
        <w:t>.</w:t>
      </w:r>
    </w:p>
    <w:p w14:paraId="1CFD756A" w14:textId="77777777" w:rsidR="0035613B" w:rsidRPr="00BA7AEC" w:rsidRDefault="0035613B" w:rsidP="00DA21AA">
      <w:pPr>
        <w:pStyle w:val="SingleTxtG"/>
        <w:numPr>
          <w:ilvl w:val="1"/>
          <w:numId w:val="2"/>
        </w:numPr>
        <w:suppressAutoHyphens/>
        <w:spacing w:line="240" w:lineRule="atLeast"/>
        <w:ind w:left="1843" w:right="1110" w:hanging="425"/>
        <w:rPr>
          <w:rFonts w:cs="Arial"/>
        </w:rPr>
      </w:pPr>
      <w:r w:rsidRPr="00BA7AEC">
        <w:rPr>
          <w:rFonts w:cs="Arial"/>
        </w:rPr>
        <w:t xml:space="preserve">ICE variant will drive the downscaled cycle, and </w:t>
      </w:r>
      <w:proofErr w:type="spellStart"/>
      <w:r w:rsidRPr="00BA7AEC">
        <w:rPr>
          <w:rFonts w:cs="Arial"/>
        </w:rPr>
        <w:t>mHEV</w:t>
      </w:r>
      <w:proofErr w:type="spellEnd"/>
      <w:r w:rsidRPr="00BA7AEC">
        <w:rPr>
          <w:rFonts w:cs="Arial"/>
        </w:rPr>
        <w:t xml:space="preserve"> variant will drive the full </w:t>
      </w:r>
      <w:r>
        <w:rPr>
          <w:rFonts w:cs="Arial"/>
        </w:rPr>
        <w:t>WLTC</w:t>
      </w:r>
      <w:r w:rsidRPr="00BA7AEC">
        <w:rPr>
          <w:rFonts w:cs="Arial"/>
        </w:rPr>
        <w:t>, leading to longer periods of full throttle</w:t>
      </w:r>
      <w:r>
        <w:rPr>
          <w:rFonts w:cs="Arial"/>
        </w:rPr>
        <w:t xml:space="preserve"> / full power drive</w:t>
      </w:r>
      <w:r w:rsidRPr="00BA7AEC">
        <w:rPr>
          <w:rFonts w:cs="Arial"/>
        </w:rPr>
        <w:t xml:space="preserve"> due to inability to reach high speed sections</w:t>
      </w:r>
      <w:r>
        <w:rPr>
          <w:rFonts w:cs="Arial"/>
        </w:rPr>
        <w:t>.</w:t>
      </w:r>
    </w:p>
    <w:p w14:paraId="428E1B54" w14:textId="77777777" w:rsidR="0035613B" w:rsidRPr="00BA7AEC" w:rsidRDefault="0035613B" w:rsidP="00DA21AA">
      <w:pPr>
        <w:pStyle w:val="SingleTxtG"/>
        <w:numPr>
          <w:ilvl w:val="1"/>
          <w:numId w:val="2"/>
        </w:numPr>
        <w:suppressAutoHyphens/>
        <w:spacing w:line="240" w:lineRule="atLeast"/>
        <w:ind w:left="1843" w:right="1110" w:hanging="425"/>
        <w:rPr>
          <w:rFonts w:cs="Arial"/>
        </w:rPr>
      </w:pPr>
      <w:r w:rsidRPr="00BA7AEC">
        <w:rPr>
          <w:rFonts w:cs="Arial"/>
        </w:rPr>
        <w:t xml:space="preserve">The full drive cycle is not representative for the </w:t>
      </w:r>
      <w:proofErr w:type="spellStart"/>
      <w:r w:rsidRPr="00BA7AEC">
        <w:rPr>
          <w:rFonts w:cs="Arial"/>
        </w:rPr>
        <w:t>mHEV</w:t>
      </w:r>
      <w:proofErr w:type="spellEnd"/>
      <w:r w:rsidRPr="00BA7AEC">
        <w:rPr>
          <w:rFonts w:cs="Arial"/>
        </w:rPr>
        <w:t xml:space="preserve"> NOVC-HEV variant leading to non-comparative results</w:t>
      </w:r>
      <w:r>
        <w:rPr>
          <w:rFonts w:cs="Arial"/>
        </w:rPr>
        <w:t xml:space="preserve"> between </w:t>
      </w:r>
      <w:proofErr w:type="spellStart"/>
      <w:r>
        <w:rPr>
          <w:rFonts w:cs="Arial"/>
        </w:rPr>
        <w:t>mHEV</w:t>
      </w:r>
      <w:proofErr w:type="spellEnd"/>
      <w:r>
        <w:rPr>
          <w:rFonts w:cs="Arial"/>
        </w:rPr>
        <w:t xml:space="preserve"> and ICE and is unrepresentative of the true </w:t>
      </w:r>
      <w:proofErr w:type="spellStart"/>
      <w:r>
        <w:rPr>
          <w:rFonts w:cs="Arial"/>
        </w:rPr>
        <w:t>mHEV</w:t>
      </w:r>
      <w:proofErr w:type="spellEnd"/>
      <w:r>
        <w:rPr>
          <w:rFonts w:cs="Arial"/>
        </w:rPr>
        <w:t xml:space="preserve"> emissions capability.</w:t>
      </w:r>
    </w:p>
    <w:p w14:paraId="60BB4BB7" w14:textId="77777777" w:rsidR="0035613B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 w:rsidRPr="00BA7AEC">
        <w:rPr>
          <w:rFonts w:cs="Arial"/>
        </w:rPr>
        <w:t>To resolve</w:t>
      </w:r>
      <w:r>
        <w:rPr>
          <w:rFonts w:cs="Arial"/>
        </w:rPr>
        <w:t xml:space="preserve"> the issue outlined in point 3</w:t>
      </w:r>
      <w:r w:rsidRPr="00BA7AEC">
        <w:rPr>
          <w:rFonts w:cs="Arial"/>
        </w:rPr>
        <w:t>, the method of downscaling can and should be applied for NOVC-HEV vehicles</w:t>
      </w:r>
      <w:r>
        <w:rPr>
          <w:rFonts w:cs="Arial"/>
        </w:rPr>
        <w:t xml:space="preserve"> where peak engine power is equal to peak vehicle power.</w:t>
      </w:r>
    </w:p>
    <w:p w14:paraId="0C54A265" w14:textId="77777777" w:rsidR="0035613B" w:rsidRPr="00BA7AEC" w:rsidRDefault="0035613B" w:rsidP="0035613B">
      <w:pPr>
        <w:pStyle w:val="SingleTxtG"/>
        <w:numPr>
          <w:ilvl w:val="0"/>
          <w:numId w:val="2"/>
        </w:numPr>
        <w:suppressAutoHyphens/>
        <w:spacing w:line="240" w:lineRule="atLeast"/>
        <w:ind w:left="1134" w:right="1110" w:firstLine="0"/>
        <w:rPr>
          <w:rFonts w:cs="Arial"/>
        </w:rPr>
      </w:pPr>
      <w:r>
        <w:rPr>
          <w:rFonts w:cs="Arial"/>
        </w:rPr>
        <w:t>Justification of power equivalence must be provided to the responsible authority for approval.</w:t>
      </w:r>
    </w:p>
    <w:p w14:paraId="3F53579C" w14:textId="010095C4" w:rsidR="00951AE1" w:rsidRPr="000C67C7" w:rsidRDefault="00951AE1" w:rsidP="0035613B">
      <w:pPr>
        <w:spacing w:line="259" w:lineRule="auto"/>
        <w:ind w:left="1134" w:right="805"/>
        <w:rPr>
          <w:sz w:val="28"/>
          <w:lang w:val="en-GB"/>
        </w:rPr>
      </w:pPr>
    </w:p>
    <w:p w14:paraId="64BF5EB7" w14:textId="77777777" w:rsidR="00DA21AA" w:rsidRDefault="00DA21AA" w:rsidP="00DA21AA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7E3854" w14:textId="0DF89AE3" w:rsidR="0081205A" w:rsidRDefault="0081205A" w:rsidP="00DA21AA">
      <w:pPr>
        <w:tabs>
          <w:tab w:val="left" w:pos="1959"/>
        </w:tabs>
        <w:spacing w:line="259" w:lineRule="auto"/>
        <w:ind w:left="1985" w:right="805" w:hanging="851"/>
        <w:jc w:val="center"/>
        <w:rPr>
          <w:sz w:val="28"/>
        </w:rPr>
      </w:pPr>
    </w:p>
    <w:p w14:paraId="0CF24738" w14:textId="77777777" w:rsidR="0081205A" w:rsidRDefault="0081205A" w:rsidP="00951AE1">
      <w:pPr>
        <w:tabs>
          <w:tab w:val="left" w:pos="1959"/>
        </w:tabs>
        <w:spacing w:line="259" w:lineRule="auto"/>
        <w:ind w:left="1985" w:right="805" w:hanging="1870"/>
        <w:rPr>
          <w:sz w:val="28"/>
        </w:rPr>
      </w:pPr>
    </w:p>
    <w:p w14:paraId="7D459A27" w14:textId="77777777" w:rsidR="00951AE1" w:rsidRPr="00951AE1" w:rsidRDefault="00951AE1" w:rsidP="000C67C7">
      <w:pPr>
        <w:tabs>
          <w:tab w:val="left" w:pos="1959"/>
        </w:tabs>
        <w:spacing w:line="259" w:lineRule="auto"/>
        <w:ind w:left="1985" w:right="-24" w:hanging="1870"/>
        <w:rPr>
          <w:sz w:val="28"/>
          <w:lang w:val="en-GB"/>
        </w:rPr>
      </w:pPr>
    </w:p>
    <w:sectPr w:rsidR="00951AE1" w:rsidRPr="00951AE1" w:rsidSect="009A0930">
      <w:headerReference w:type="default" r:id="rId10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E137" w14:textId="77777777" w:rsidR="008F13F0" w:rsidRDefault="008F13F0" w:rsidP="00F06571">
      <w:r>
        <w:separator/>
      </w:r>
    </w:p>
  </w:endnote>
  <w:endnote w:type="continuationSeparator" w:id="0">
    <w:p w14:paraId="724B3110" w14:textId="77777777" w:rsidR="008F13F0" w:rsidRDefault="008F13F0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F5A0" w14:textId="77777777" w:rsidR="008F13F0" w:rsidRDefault="008F13F0" w:rsidP="00F06571">
      <w:r>
        <w:separator/>
      </w:r>
    </w:p>
  </w:footnote>
  <w:footnote w:type="continuationSeparator" w:id="0">
    <w:p w14:paraId="0D867F2B" w14:textId="77777777" w:rsidR="008F13F0" w:rsidRDefault="008F13F0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838"/>
    </w:tblGrid>
    <w:tr w:rsidR="001212DD" w:rsidRPr="001212DD" w14:paraId="0B3C20F3" w14:textId="77777777" w:rsidTr="00B555BE">
      <w:tc>
        <w:tcPr>
          <w:tcW w:w="4927" w:type="dxa"/>
        </w:tcPr>
        <w:p w14:paraId="5DF9D308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4928" w:type="dxa"/>
        </w:tcPr>
        <w:p w14:paraId="5421CF05" w14:textId="77CA1E62" w:rsidR="001212DD" w:rsidRPr="0035613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fr-FR"/>
            </w:rPr>
          </w:pPr>
          <w:r w:rsidRPr="0035613B">
            <w:rPr>
              <w:rFonts w:ascii="Times New Roman" w:eastAsia="Times New Roman" w:hAnsi="Times New Roman" w:cs="Times New Roman"/>
              <w:u w:val="single"/>
              <w:lang w:val="fr-FR"/>
            </w:rPr>
            <w:t>Informal document</w:t>
          </w:r>
          <w:r w:rsidRPr="0035613B">
            <w:rPr>
              <w:rFonts w:ascii="Times New Roman" w:eastAsia="Times New Roman" w:hAnsi="Times New Roman" w:cs="Times New Roman"/>
              <w:lang w:val="fr-FR"/>
            </w:rPr>
            <w:t xml:space="preserve"> </w:t>
          </w:r>
          <w:r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GRPE-</w:t>
          </w:r>
          <w:r w:rsidR="00951AE1"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8</w:t>
          </w:r>
          <w:r w:rsidR="0035613B" w:rsidRPr="0035613B">
            <w:rPr>
              <w:rFonts w:ascii="Times New Roman" w:eastAsia="Times New Roman" w:hAnsi="Times New Roman" w:cs="Times New Roman"/>
              <w:b/>
              <w:bCs/>
              <w:lang w:val="fr-FR"/>
            </w:rPr>
            <w:t>3-</w:t>
          </w:r>
          <w:r w:rsidR="00DB3623">
            <w:rPr>
              <w:rFonts w:ascii="Times New Roman" w:eastAsia="Times New Roman" w:hAnsi="Times New Roman" w:cs="Times New Roman"/>
              <w:b/>
              <w:bCs/>
              <w:lang w:val="fr-FR"/>
            </w:rPr>
            <w:t>18</w:t>
          </w:r>
        </w:p>
        <w:p w14:paraId="300FC8FC" w14:textId="545EB23E" w:rsidR="001212DD" w:rsidRPr="0035613B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Cs/>
              <w:lang w:val="fr-FR"/>
            </w:rPr>
          </w:pP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>8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>3</w:t>
          </w:r>
          <w:r w:rsidR="0035613B" w:rsidRPr="0035613B">
            <w:rPr>
              <w:rFonts w:ascii="Times New Roman" w:eastAsia="Times New Roman" w:hAnsi="Times New Roman" w:cs="Times New Roman"/>
              <w:bCs/>
              <w:vertAlign w:val="superscript"/>
              <w:lang w:val="fr-FR"/>
            </w:rPr>
            <w:t>rd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 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G</w:t>
          </w: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RPE, 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1-</w:t>
          </w:r>
          <w:r w:rsidR="0035613B" w:rsidRPr="0035613B">
            <w:rPr>
              <w:rFonts w:ascii="Times New Roman" w:eastAsia="Times New Roman" w:hAnsi="Times New Roman" w:cs="Times New Roman"/>
              <w:bCs/>
              <w:lang w:val="fr-FR"/>
            </w:rPr>
            <w:t>4 June</w:t>
          </w:r>
          <w:r w:rsidRPr="0035613B">
            <w:rPr>
              <w:rFonts w:ascii="Times New Roman" w:eastAsia="Times New Roman" w:hAnsi="Times New Roman" w:cs="Times New Roman"/>
              <w:bCs/>
              <w:lang w:val="fr-FR"/>
            </w:rPr>
            <w:t xml:space="preserve"> 202</w:t>
          </w:r>
          <w:r w:rsidR="00951AE1" w:rsidRPr="0035613B">
            <w:rPr>
              <w:rFonts w:ascii="Times New Roman" w:eastAsia="Times New Roman" w:hAnsi="Times New Roman" w:cs="Times New Roman"/>
              <w:bCs/>
              <w:lang w:val="fr-FR"/>
            </w:rPr>
            <w:t>1</w:t>
          </w:r>
        </w:p>
        <w:p w14:paraId="689E410A" w14:textId="2685BEE2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</w:rPr>
          </w:pPr>
          <w:r w:rsidRPr="001212DD">
            <w:rPr>
              <w:rFonts w:ascii="Times New Roman" w:eastAsia="Times New Roman" w:hAnsi="Times New Roman" w:cs="Times New Roman"/>
            </w:rPr>
            <w:t xml:space="preserve">Agenda item </w:t>
          </w:r>
          <w:proofErr w:type="gramStart"/>
          <w:r w:rsidR="0035613B">
            <w:rPr>
              <w:rFonts w:ascii="Times New Roman" w:eastAsia="Times New Roman" w:hAnsi="Times New Roman" w:cs="Times New Roman"/>
            </w:rPr>
            <w:t>3.(</w:t>
          </w:r>
          <w:proofErr w:type="gramEnd"/>
          <w:r w:rsidR="0035613B">
            <w:rPr>
              <w:rFonts w:ascii="Times New Roman" w:eastAsia="Times New Roman" w:hAnsi="Times New Roman" w:cs="Times New Roman"/>
            </w:rPr>
            <w:t>a)</w:t>
          </w:r>
          <w:r w:rsidR="000C67C7">
            <w:rPr>
              <w:rFonts w:ascii="Times New Roman" w:eastAsia="Times New Roman" w:hAnsi="Times New Roman" w:cs="Times New Roman"/>
            </w:rPr>
            <w:t>.</w:t>
          </w:r>
        </w:p>
        <w:p w14:paraId="1A320024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7814163E" w14:textId="77777777" w:rsidR="001212DD" w:rsidRDefault="0012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C1F13"/>
    <w:multiLevelType w:val="hybridMultilevel"/>
    <w:tmpl w:val="9B02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28"/>
    <w:rsid w:val="000C67C7"/>
    <w:rsid w:val="001212DD"/>
    <w:rsid w:val="002070DF"/>
    <w:rsid w:val="00280053"/>
    <w:rsid w:val="0035613B"/>
    <w:rsid w:val="003A4E24"/>
    <w:rsid w:val="003B3089"/>
    <w:rsid w:val="00475B7E"/>
    <w:rsid w:val="004921D2"/>
    <w:rsid w:val="00543F57"/>
    <w:rsid w:val="005C4DA1"/>
    <w:rsid w:val="00723C98"/>
    <w:rsid w:val="00751B28"/>
    <w:rsid w:val="0075489F"/>
    <w:rsid w:val="007A33DD"/>
    <w:rsid w:val="0081205A"/>
    <w:rsid w:val="00840544"/>
    <w:rsid w:val="008F13F0"/>
    <w:rsid w:val="00911A23"/>
    <w:rsid w:val="00951AE1"/>
    <w:rsid w:val="009A0930"/>
    <w:rsid w:val="009E502F"/>
    <w:rsid w:val="00AF473D"/>
    <w:rsid w:val="00B1593C"/>
    <w:rsid w:val="00BD50BF"/>
    <w:rsid w:val="00C15920"/>
    <w:rsid w:val="00D7097E"/>
    <w:rsid w:val="00DA21AA"/>
    <w:rsid w:val="00DB3623"/>
    <w:rsid w:val="00F06571"/>
    <w:rsid w:val="00F4362E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A256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C67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argeG">
    <w:name w:val="__XLarge_G"/>
    <w:basedOn w:val="Normal"/>
    <w:next w:val="Normal"/>
    <w:rsid w:val="0035613B"/>
    <w:pPr>
      <w:keepNext/>
      <w:keepLines/>
      <w:widowControl/>
      <w:suppressAutoHyphens/>
      <w:autoSpaceDE/>
      <w:autoSpaceDN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71B78-7105-4B23-8B87-C39DC979B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CE66D-FED6-4DCD-B903-F3D16BA23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B07C8-354B-45CE-93DF-81F5022E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Francois Cuenot</cp:lastModifiedBy>
  <cp:revision>3</cp:revision>
  <dcterms:created xsi:type="dcterms:W3CDTF">2021-05-31T16:22:00Z</dcterms:created>
  <dcterms:modified xsi:type="dcterms:W3CDTF">2021-05-31T16:22:00Z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</Properties>
</file>