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85831" w14:textId="4AA99F70" w:rsidR="00951AE1" w:rsidRDefault="00951AE1" w:rsidP="00951AE1">
      <w:pPr>
        <w:pStyle w:val="Default"/>
      </w:pPr>
    </w:p>
    <w:p w14:paraId="68565D22" w14:textId="77777777" w:rsidR="00CE0DD3" w:rsidRDefault="00CE0DD3" w:rsidP="00951AE1">
      <w:pPr>
        <w:pStyle w:val="Default"/>
      </w:pPr>
    </w:p>
    <w:p w14:paraId="316C2512" w14:textId="6302C37F" w:rsidR="00951AE1" w:rsidRPr="00CE0DD3" w:rsidRDefault="00CE0DD3" w:rsidP="00CE0DD3">
      <w:pPr>
        <w:pStyle w:val="Default"/>
        <w:ind w:left="851" w:right="826"/>
        <w:jc w:val="center"/>
        <w:rPr>
          <w:b/>
          <w:bCs/>
          <w:sz w:val="36"/>
          <w:szCs w:val="36"/>
          <w:lang w:val="en-GB"/>
        </w:rPr>
      </w:pPr>
      <w:r w:rsidRPr="00CE0DD3">
        <w:rPr>
          <w:b/>
          <w:bCs/>
          <w:sz w:val="32"/>
          <w:szCs w:val="32"/>
          <w:lang w:val="en-US"/>
        </w:rPr>
        <w:t xml:space="preserve">Proposal </w:t>
      </w:r>
      <w:r w:rsidR="009243B5">
        <w:rPr>
          <w:b/>
          <w:bCs/>
          <w:sz w:val="32"/>
          <w:szCs w:val="32"/>
          <w:lang w:val="en-US"/>
        </w:rPr>
        <w:t>for amendments</w:t>
      </w:r>
      <w:r w:rsidRPr="00CE0DD3">
        <w:rPr>
          <w:b/>
          <w:bCs/>
          <w:sz w:val="32"/>
          <w:szCs w:val="32"/>
          <w:lang w:val="en-US"/>
        </w:rPr>
        <w:t xml:space="preserve"> to the </w:t>
      </w:r>
      <w:r w:rsidR="009243B5">
        <w:rPr>
          <w:b/>
          <w:bCs/>
          <w:sz w:val="32"/>
          <w:szCs w:val="32"/>
          <w:lang w:val="en-US"/>
        </w:rPr>
        <w:t>O</w:t>
      </w:r>
      <w:r w:rsidRPr="00CE0DD3">
        <w:rPr>
          <w:b/>
          <w:bCs/>
          <w:sz w:val="32"/>
          <w:szCs w:val="32"/>
          <w:lang w:val="en-US"/>
        </w:rPr>
        <w:t xml:space="preserve">riginal </w:t>
      </w:r>
      <w:r w:rsidRPr="00CE0DD3">
        <w:rPr>
          <w:b/>
          <w:bCs/>
          <w:color w:val="000000" w:themeColor="text1"/>
          <w:sz w:val="32"/>
          <w:szCs w:val="32"/>
          <w:lang w:val="en-US"/>
        </w:rPr>
        <w:t>series of amendments to UN Regulation No. 154</w:t>
      </w:r>
    </w:p>
    <w:p w14:paraId="1BF9ADCA" w14:textId="543FCC33" w:rsidR="00951AE1" w:rsidRDefault="00951AE1" w:rsidP="00951AE1">
      <w:pPr>
        <w:pStyle w:val="Default"/>
        <w:rPr>
          <w:b/>
          <w:bCs/>
          <w:sz w:val="22"/>
          <w:szCs w:val="22"/>
          <w:lang w:val="en-US"/>
        </w:rPr>
      </w:pPr>
    </w:p>
    <w:p w14:paraId="2E899B1E" w14:textId="77777777" w:rsidR="00CE0DD3" w:rsidRDefault="00CE0DD3" w:rsidP="00951AE1">
      <w:pPr>
        <w:pStyle w:val="Default"/>
        <w:rPr>
          <w:b/>
          <w:bCs/>
          <w:sz w:val="22"/>
          <w:szCs w:val="22"/>
          <w:lang w:val="en-US"/>
        </w:rPr>
      </w:pPr>
    </w:p>
    <w:p w14:paraId="02A9ABC7" w14:textId="77777777" w:rsidR="00911A23" w:rsidRPr="00D7097E" w:rsidRDefault="00911A23" w:rsidP="00951AE1">
      <w:pPr>
        <w:pStyle w:val="Default"/>
        <w:rPr>
          <w:sz w:val="20"/>
          <w:szCs w:val="20"/>
          <w:lang w:val="en-US"/>
        </w:rPr>
      </w:pPr>
    </w:p>
    <w:p w14:paraId="74FBB17E" w14:textId="2FE46411" w:rsidR="0081205A" w:rsidRPr="00CE0DD3" w:rsidRDefault="00CE0DD3" w:rsidP="00951AE1">
      <w:pPr>
        <w:pStyle w:val="Default"/>
        <w:rPr>
          <w:b/>
          <w:bCs/>
          <w:sz w:val="20"/>
          <w:szCs w:val="20"/>
          <w:lang w:val="en-US"/>
        </w:rPr>
      </w:pPr>
      <w:r w:rsidRPr="00CE0DD3">
        <w:rPr>
          <w:sz w:val="20"/>
          <w:szCs w:val="20"/>
          <w:lang w:val="en-US"/>
        </w:rPr>
        <w:t xml:space="preserve">This document </w:t>
      </w:r>
      <w:r w:rsidRPr="00CE0DD3">
        <w:rPr>
          <w:bCs/>
          <w:sz w:val="20"/>
          <w:szCs w:val="20"/>
          <w:lang w:val="en-US"/>
        </w:rPr>
        <w:t xml:space="preserve">aims </w:t>
      </w:r>
      <w:r w:rsidR="009243B5" w:rsidRPr="009243B5">
        <w:rPr>
          <w:bCs/>
          <w:sz w:val="20"/>
          <w:szCs w:val="20"/>
          <w:lang w:val="en-US"/>
        </w:rPr>
        <w:t xml:space="preserve">to </w:t>
      </w:r>
      <w:r w:rsidR="009243B5" w:rsidRPr="009243B5">
        <w:rPr>
          <w:sz w:val="20"/>
          <w:szCs w:val="20"/>
          <w:lang w:val="en-US"/>
        </w:rPr>
        <w:t xml:space="preserve">clarify OBD monitoring requirements for combustion-ignition engines </w:t>
      </w:r>
      <w:proofErr w:type="gramStart"/>
      <w:r w:rsidR="009243B5" w:rsidRPr="009243B5">
        <w:rPr>
          <w:sz w:val="20"/>
          <w:szCs w:val="20"/>
          <w:lang w:val="en-US"/>
        </w:rPr>
        <w:t>with regard to</w:t>
      </w:r>
      <w:proofErr w:type="gramEnd"/>
      <w:r w:rsidR="009243B5" w:rsidRPr="009243B5">
        <w:rPr>
          <w:sz w:val="20"/>
          <w:szCs w:val="20"/>
          <w:lang w:val="en-US"/>
        </w:rPr>
        <w:t xml:space="preserve"> Level 1A and Level 1B</w:t>
      </w:r>
      <w:r w:rsidRPr="00CE0DD3">
        <w:rPr>
          <w:bCs/>
          <w:sz w:val="20"/>
          <w:szCs w:val="20"/>
          <w:lang w:val="en-US"/>
        </w:rPr>
        <w:t xml:space="preserve">. </w:t>
      </w:r>
      <w:r w:rsidR="00911A23" w:rsidRPr="00CE0DD3">
        <w:rPr>
          <w:sz w:val="20"/>
          <w:szCs w:val="20"/>
          <w:lang w:val="en-US"/>
        </w:rPr>
        <w:t>The modifications to the current text of the Regulation are marked in bold for new or strikethrough for deleted characters.</w:t>
      </w:r>
      <w:r w:rsidR="00AF473D" w:rsidRPr="00CE0DD3">
        <w:rPr>
          <w:sz w:val="20"/>
          <w:szCs w:val="20"/>
          <w:lang w:val="en-US"/>
        </w:rPr>
        <w:t xml:space="preserve"> </w:t>
      </w:r>
    </w:p>
    <w:p w14:paraId="3BB75B70" w14:textId="70109886" w:rsidR="00951AE1" w:rsidRDefault="00951AE1" w:rsidP="00951AE1">
      <w:pPr>
        <w:pStyle w:val="Default"/>
        <w:rPr>
          <w:b/>
          <w:bCs/>
          <w:sz w:val="28"/>
          <w:szCs w:val="28"/>
          <w:lang w:val="en-US"/>
        </w:rPr>
      </w:pPr>
    </w:p>
    <w:p w14:paraId="47B84996" w14:textId="77777777" w:rsidR="00CE0DD3" w:rsidRDefault="00CE0DD3" w:rsidP="00951AE1">
      <w:pPr>
        <w:pStyle w:val="Default"/>
        <w:rPr>
          <w:b/>
          <w:bCs/>
          <w:sz w:val="28"/>
          <w:szCs w:val="28"/>
          <w:lang w:val="en-US"/>
        </w:rPr>
      </w:pPr>
    </w:p>
    <w:p w14:paraId="1CD6F224" w14:textId="548CE198" w:rsidR="00951AE1" w:rsidRPr="00951AE1" w:rsidRDefault="00951AE1" w:rsidP="00951AE1">
      <w:pPr>
        <w:pStyle w:val="Default"/>
        <w:rPr>
          <w:sz w:val="28"/>
          <w:szCs w:val="28"/>
          <w:lang w:val="en-US"/>
        </w:rPr>
      </w:pPr>
      <w:r w:rsidRPr="00951AE1">
        <w:rPr>
          <w:b/>
          <w:bCs/>
          <w:sz w:val="28"/>
          <w:szCs w:val="28"/>
          <w:lang w:val="en-US"/>
        </w:rPr>
        <w:t xml:space="preserve">I. Proposal </w:t>
      </w:r>
    </w:p>
    <w:p w14:paraId="25579CEF" w14:textId="4DD1E8B3" w:rsidR="009243B5" w:rsidRDefault="009243B5" w:rsidP="009243B5">
      <w:pPr>
        <w:pStyle w:val="SingleTxtG"/>
        <w:rPr>
          <w:i/>
          <w:iCs/>
          <w:lang w:val="en-US"/>
        </w:rPr>
      </w:pPr>
      <w:r>
        <w:rPr>
          <w:i/>
          <w:iCs/>
          <w:lang w:val="en-US"/>
        </w:rPr>
        <w:t>Annex C5, paragraph 3.3.4.,</w:t>
      </w:r>
      <w:r w:rsidRPr="00AE3C95">
        <w:rPr>
          <w:lang w:val="en-US"/>
        </w:rPr>
        <w:t xml:space="preserve"> </w:t>
      </w:r>
      <w:r>
        <w:rPr>
          <w:lang w:val="en-US"/>
        </w:rPr>
        <w:t xml:space="preserve">amend </w:t>
      </w:r>
      <w:r w:rsidRPr="00AE3C95">
        <w:rPr>
          <w:lang w:val="en-US"/>
        </w:rPr>
        <w:t>to read:</w:t>
      </w:r>
    </w:p>
    <w:p w14:paraId="2D2C4894" w14:textId="232F2201" w:rsidR="009243B5" w:rsidRDefault="009243B5" w:rsidP="009243B5">
      <w:pPr>
        <w:pStyle w:val="para"/>
        <w:spacing w:before="120"/>
        <w:rPr>
          <w:lang w:val="en-US"/>
        </w:rPr>
      </w:pPr>
      <w:r w:rsidRPr="00CE0DD3">
        <w:t>"</w:t>
      </w:r>
      <w:r w:rsidRPr="00351F4C">
        <w:rPr>
          <w:lang w:val="en-US"/>
        </w:rPr>
        <w:t xml:space="preserve">3.3.4.    </w:t>
      </w:r>
      <w:r>
        <w:rPr>
          <w:lang w:val="en-US"/>
        </w:rPr>
        <w:tab/>
      </w:r>
      <w:r w:rsidRPr="00351F4C">
        <w:rPr>
          <w:lang w:val="en-US"/>
        </w:rPr>
        <w:t xml:space="preserve">Monitoring requirements for vehicles equipped with compression-ignition engines </w:t>
      </w:r>
      <w:r w:rsidRPr="00351F4C">
        <w:rPr>
          <w:lang w:val="en-US"/>
        </w:rPr>
        <w:br/>
        <w:t xml:space="preserve">In satisfying the requirements of paragraph 3.3.2. of this annex the OBD system shall monitor: </w:t>
      </w:r>
    </w:p>
    <w:p w14:paraId="16E921BF" w14:textId="28C1E7E1" w:rsidR="009243B5" w:rsidRPr="006E40F5" w:rsidRDefault="009243B5" w:rsidP="009243B5">
      <w:pPr>
        <w:pStyle w:val="para"/>
        <w:spacing w:before="120"/>
        <w:ind w:firstLine="0"/>
        <w:rPr>
          <w:strike/>
          <w:lang w:val="en-US"/>
        </w:rPr>
      </w:pPr>
      <w:r w:rsidRPr="006E40F5">
        <w:rPr>
          <w:strike/>
          <w:lang w:val="en-US"/>
        </w:rPr>
        <w:t>For Level 1A:</w:t>
      </w:r>
    </w:p>
    <w:p w14:paraId="08C056E9" w14:textId="16D5B721" w:rsidR="009243B5" w:rsidRPr="00966C56" w:rsidRDefault="009243B5" w:rsidP="009243B5">
      <w:pPr>
        <w:pStyle w:val="para"/>
        <w:spacing w:before="120"/>
        <w:rPr>
          <w:b/>
          <w:lang w:val="en-US"/>
        </w:rPr>
      </w:pPr>
      <w:r w:rsidRPr="00966C56">
        <w:rPr>
          <w:b/>
          <w:lang w:val="en-US"/>
        </w:rPr>
        <w:t xml:space="preserve">3.3.4.1. </w:t>
      </w:r>
      <w:r>
        <w:rPr>
          <w:b/>
          <w:lang w:val="en-US"/>
        </w:rPr>
        <w:tab/>
      </w:r>
      <w:r w:rsidRPr="00D63046">
        <w:rPr>
          <w:b/>
          <w:lang w:val="en-US"/>
        </w:rPr>
        <w:t>This paragraph is only applicable for Level 1A</w:t>
      </w:r>
      <w:r w:rsidRPr="00966C56">
        <w:rPr>
          <w:b/>
          <w:lang w:val="en-US"/>
        </w:rPr>
        <w:t xml:space="preserve"> </w:t>
      </w:r>
    </w:p>
    <w:p w14:paraId="55D2D6CD" w14:textId="77777777" w:rsidR="009243B5" w:rsidRPr="00351F4C" w:rsidRDefault="009243B5" w:rsidP="009243B5">
      <w:pPr>
        <w:pStyle w:val="para"/>
        <w:spacing w:before="120"/>
        <w:rPr>
          <w:lang w:val="en-US"/>
        </w:rPr>
      </w:pPr>
      <w:r w:rsidRPr="00351F4C">
        <w:rPr>
          <w:strike/>
          <w:lang w:val="en-US"/>
        </w:rPr>
        <w:t>3.3.4.1.</w:t>
      </w:r>
      <w:r w:rsidRPr="002231EE">
        <w:rPr>
          <w:lang w:val="en-US"/>
        </w:rPr>
        <w:t xml:space="preserve"> </w:t>
      </w:r>
      <w:r w:rsidRPr="00966C56">
        <w:rPr>
          <w:b/>
          <w:lang w:val="en-US"/>
        </w:rPr>
        <w:t>3.3.4.1.1.</w:t>
      </w:r>
      <w:r w:rsidRPr="00966C56">
        <w:rPr>
          <w:lang w:val="en-US"/>
        </w:rPr>
        <w:t xml:space="preserve"> </w:t>
      </w:r>
      <w:r w:rsidRPr="00351F4C">
        <w:rPr>
          <w:lang w:val="en-US"/>
        </w:rPr>
        <w:t xml:space="preserve">Where fitted, reduction in the efficiency of the catalytic converter. </w:t>
      </w:r>
    </w:p>
    <w:p w14:paraId="14874C1E" w14:textId="77777777" w:rsidR="009243B5" w:rsidRPr="00351F4C" w:rsidRDefault="009243B5" w:rsidP="009243B5">
      <w:pPr>
        <w:pStyle w:val="para"/>
        <w:spacing w:before="120"/>
        <w:rPr>
          <w:lang w:val="en-US"/>
        </w:rPr>
      </w:pPr>
      <w:r w:rsidRPr="00351F4C">
        <w:rPr>
          <w:strike/>
          <w:lang w:val="en-US"/>
        </w:rPr>
        <w:t>3.3.4.2.</w:t>
      </w:r>
      <w:r w:rsidRPr="00351F4C">
        <w:rPr>
          <w:lang w:val="en-US"/>
        </w:rPr>
        <w:t xml:space="preserve"> </w:t>
      </w:r>
      <w:r w:rsidRPr="00966C56">
        <w:rPr>
          <w:b/>
          <w:lang w:val="en-US"/>
        </w:rPr>
        <w:t>3.3.4.1.2.</w:t>
      </w:r>
      <w:r>
        <w:rPr>
          <w:color w:val="00B050"/>
          <w:lang w:val="en-US"/>
        </w:rPr>
        <w:t xml:space="preserve"> </w:t>
      </w:r>
      <w:r w:rsidRPr="00351F4C">
        <w:rPr>
          <w:lang w:val="en-US"/>
        </w:rPr>
        <w:t xml:space="preserve">Where fitted, the functionality and integrity of the particulate trap. </w:t>
      </w:r>
    </w:p>
    <w:p w14:paraId="257FE5FB" w14:textId="77777777" w:rsidR="009243B5" w:rsidRPr="00351F4C" w:rsidRDefault="009243B5" w:rsidP="009243B5">
      <w:pPr>
        <w:pStyle w:val="para"/>
        <w:spacing w:before="120"/>
        <w:rPr>
          <w:lang w:val="en-US"/>
        </w:rPr>
      </w:pPr>
      <w:r w:rsidRPr="00351F4C">
        <w:rPr>
          <w:strike/>
          <w:lang w:val="en-US"/>
        </w:rPr>
        <w:t>3.3.4.3.</w:t>
      </w:r>
      <w:r w:rsidRPr="000C22E5">
        <w:rPr>
          <w:lang w:val="en-US"/>
        </w:rPr>
        <w:t xml:space="preserve"> </w:t>
      </w:r>
      <w:r w:rsidRPr="00966C56">
        <w:rPr>
          <w:b/>
          <w:lang w:val="en-US"/>
        </w:rPr>
        <w:t>3.3.4.1.3.</w:t>
      </w:r>
      <w:r w:rsidRPr="00351F4C">
        <w:rPr>
          <w:lang w:val="en-US"/>
        </w:rPr>
        <w:t xml:space="preserve"> The fuel-injection system electronic fuel quantity and timing actuator(s) is/are monitored for circuit continuity and total functional failure. </w:t>
      </w:r>
    </w:p>
    <w:p w14:paraId="36A681CF" w14:textId="77777777" w:rsidR="009243B5" w:rsidRPr="00351F4C" w:rsidRDefault="009243B5" w:rsidP="009243B5">
      <w:pPr>
        <w:pStyle w:val="para"/>
        <w:spacing w:before="120"/>
        <w:rPr>
          <w:lang w:val="en-US"/>
        </w:rPr>
      </w:pPr>
      <w:r w:rsidRPr="00351F4C">
        <w:rPr>
          <w:strike/>
          <w:lang w:val="en-US"/>
        </w:rPr>
        <w:t>3.3.4.4.</w:t>
      </w:r>
      <w:r w:rsidRPr="000C22E5">
        <w:rPr>
          <w:lang w:val="en-US"/>
        </w:rPr>
        <w:t xml:space="preserve"> </w:t>
      </w:r>
      <w:r w:rsidRPr="00966C56">
        <w:rPr>
          <w:b/>
          <w:lang w:val="en-US"/>
        </w:rPr>
        <w:t>3.3.4.1.4.</w:t>
      </w:r>
      <w:r w:rsidRPr="00351F4C">
        <w:rPr>
          <w:lang w:val="en-US"/>
        </w:rPr>
        <w:t xml:space="preserve"> </w:t>
      </w:r>
      <w:r w:rsidRPr="00D63046">
        <w:rPr>
          <w:lang w:val="en-US"/>
        </w:rPr>
        <w:t>Other emission control system components or systems, or emission-related power-train components or systems, which are connected to a computer, the failure of which may result in exhaust emissions exceeding any of the OBD thresholds set out in paragraph 6.8.2. of this Regulation. Examples of such systems or components are those for monitoring and control of air mass-flow, air volumetric flow (and temperature), boost pressure and inlet manifold pressure (and relevant sensors to enable these functions to be carried out).</w:t>
      </w:r>
    </w:p>
    <w:p w14:paraId="2CCEC1CF" w14:textId="77777777" w:rsidR="009243B5" w:rsidRPr="00351F4C" w:rsidRDefault="009243B5" w:rsidP="009243B5">
      <w:pPr>
        <w:pStyle w:val="para"/>
        <w:spacing w:before="120"/>
        <w:rPr>
          <w:lang w:val="en-US"/>
        </w:rPr>
      </w:pPr>
      <w:r w:rsidRPr="00351F4C">
        <w:rPr>
          <w:strike/>
          <w:lang w:val="en-US"/>
        </w:rPr>
        <w:t>3.3.4.5.</w:t>
      </w:r>
      <w:r w:rsidRPr="00351F4C">
        <w:rPr>
          <w:lang w:val="en-US"/>
        </w:rPr>
        <w:t xml:space="preserve"> </w:t>
      </w:r>
      <w:r w:rsidRPr="00966C56">
        <w:rPr>
          <w:b/>
          <w:lang w:val="en-US"/>
        </w:rPr>
        <w:t>3.3.4.1.5.</w:t>
      </w:r>
      <w:r>
        <w:rPr>
          <w:color w:val="00B050"/>
          <w:lang w:val="en-US"/>
        </w:rPr>
        <w:t xml:space="preserve"> </w:t>
      </w:r>
      <w:r w:rsidRPr="00351F4C">
        <w:rPr>
          <w:lang w:val="en-US"/>
        </w:rPr>
        <w:t xml:space="preserve">Unless otherwise monitored, any other emission-related power-train component connected to a computer shall be monitored for circuit continuity. </w:t>
      </w:r>
    </w:p>
    <w:p w14:paraId="12EDF35A" w14:textId="77777777" w:rsidR="009243B5" w:rsidRPr="00351F4C" w:rsidRDefault="009243B5" w:rsidP="009243B5">
      <w:pPr>
        <w:pStyle w:val="para"/>
        <w:spacing w:before="120"/>
        <w:rPr>
          <w:color w:val="00B050"/>
          <w:lang w:val="en-US"/>
        </w:rPr>
      </w:pPr>
      <w:r w:rsidRPr="00351F4C">
        <w:rPr>
          <w:strike/>
          <w:lang w:val="en-US"/>
        </w:rPr>
        <w:t>3.3.4.6.</w:t>
      </w:r>
      <w:r w:rsidRPr="00351F4C">
        <w:rPr>
          <w:lang w:val="en-US"/>
        </w:rPr>
        <w:t xml:space="preserve"> </w:t>
      </w:r>
      <w:r w:rsidRPr="00966C56">
        <w:rPr>
          <w:b/>
          <w:lang w:val="en-US"/>
        </w:rPr>
        <w:t>3.3.4.1.6.</w:t>
      </w:r>
      <w:r>
        <w:rPr>
          <w:color w:val="00B050"/>
          <w:lang w:val="en-US"/>
        </w:rPr>
        <w:t xml:space="preserve"> </w:t>
      </w:r>
      <w:r w:rsidRPr="00351F4C">
        <w:rPr>
          <w:lang w:val="en-US"/>
        </w:rPr>
        <w:t xml:space="preserve">Malfunctions and the reduction in efficiency of the EGR system shall be monitored. </w:t>
      </w:r>
    </w:p>
    <w:p w14:paraId="4D9D6C4E" w14:textId="77777777" w:rsidR="009243B5" w:rsidRPr="00351F4C" w:rsidRDefault="009243B5" w:rsidP="009243B5">
      <w:pPr>
        <w:pStyle w:val="para"/>
        <w:spacing w:before="120"/>
        <w:rPr>
          <w:lang w:val="en-US"/>
        </w:rPr>
      </w:pPr>
      <w:r w:rsidRPr="00351F4C">
        <w:rPr>
          <w:strike/>
          <w:lang w:val="en-US"/>
        </w:rPr>
        <w:t>3.3.4.7.</w:t>
      </w:r>
      <w:r w:rsidRPr="00351F4C">
        <w:rPr>
          <w:lang w:val="en-US"/>
        </w:rPr>
        <w:t xml:space="preserve"> </w:t>
      </w:r>
      <w:r w:rsidRPr="00966C56">
        <w:rPr>
          <w:b/>
          <w:lang w:val="en-US"/>
        </w:rPr>
        <w:t>3.3.4.1.7.</w:t>
      </w:r>
      <w:r>
        <w:rPr>
          <w:color w:val="00B050"/>
          <w:lang w:val="en-US"/>
        </w:rPr>
        <w:t xml:space="preserve"> </w:t>
      </w:r>
      <w:r w:rsidRPr="00351F4C">
        <w:rPr>
          <w:lang w:val="en-US"/>
        </w:rPr>
        <w:t xml:space="preserve">Malfunctions and the reduction in efficiency of a NOx after-treatment system using a reagent and the reagent dosing sub-system shall be monitored. </w:t>
      </w:r>
    </w:p>
    <w:p w14:paraId="2B50D769" w14:textId="77777777" w:rsidR="009243B5" w:rsidRDefault="009243B5" w:rsidP="009243B5">
      <w:pPr>
        <w:pStyle w:val="para"/>
        <w:spacing w:before="120"/>
        <w:rPr>
          <w:lang w:val="en-US"/>
        </w:rPr>
      </w:pPr>
      <w:r w:rsidRPr="00351F4C">
        <w:rPr>
          <w:strike/>
          <w:lang w:val="en-US"/>
        </w:rPr>
        <w:t>3.3.4.8.</w:t>
      </w:r>
      <w:r w:rsidRPr="00351F4C">
        <w:rPr>
          <w:lang w:val="en-US"/>
        </w:rPr>
        <w:t xml:space="preserve"> </w:t>
      </w:r>
      <w:r w:rsidRPr="00966C56">
        <w:rPr>
          <w:b/>
          <w:lang w:val="en-US"/>
        </w:rPr>
        <w:t>3.3.4.1.8.</w:t>
      </w:r>
      <w:r>
        <w:rPr>
          <w:color w:val="00B050"/>
          <w:lang w:val="en-US"/>
        </w:rPr>
        <w:t xml:space="preserve"> </w:t>
      </w:r>
      <w:r w:rsidRPr="00351F4C">
        <w:rPr>
          <w:lang w:val="en-US"/>
        </w:rPr>
        <w:t xml:space="preserve">Malfunctions and the reduction in efficiency of NOx after-treatment not using a reagent shall be monitored. </w:t>
      </w:r>
    </w:p>
    <w:p w14:paraId="5764A046" w14:textId="725B0453" w:rsidR="009243B5" w:rsidRPr="00351F4C" w:rsidRDefault="009243B5" w:rsidP="009243B5">
      <w:pPr>
        <w:pStyle w:val="para"/>
        <w:spacing w:before="120"/>
        <w:rPr>
          <w:strike/>
          <w:color w:val="00B050"/>
          <w:lang w:val="en-US"/>
        </w:rPr>
      </w:pPr>
      <w:r>
        <w:rPr>
          <w:color w:val="00B050"/>
          <w:lang w:val="en-US"/>
        </w:rPr>
        <w:tab/>
      </w:r>
      <w:r w:rsidRPr="006E40F5">
        <w:rPr>
          <w:strike/>
          <w:lang w:val="en-US"/>
        </w:rPr>
        <w:t>For Level 1B:</w:t>
      </w:r>
    </w:p>
    <w:p w14:paraId="4A65820F" w14:textId="5BE78196" w:rsidR="009243B5" w:rsidRPr="00966C56" w:rsidRDefault="009243B5" w:rsidP="009243B5">
      <w:pPr>
        <w:pStyle w:val="para"/>
        <w:spacing w:before="120"/>
        <w:jc w:val="left"/>
        <w:rPr>
          <w:b/>
          <w:lang w:val="en-US"/>
        </w:rPr>
      </w:pPr>
      <w:r w:rsidRPr="00966C56">
        <w:rPr>
          <w:b/>
          <w:lang w:val="en-US"/>
        </w:rPr>
        <w:t xml:space="preserve">3.3.4.2. </w:t>
      </w:r>
      <w:r>
        <w:rPr>
          <w:b/>
          <w:lang w:val="en-US"/>
        </w:rPr>
        <w:tab/>
      </w:r>
      <w:r w:rsidRPr="00D63046">
        <w:rPr>
          <w:b/>
          <w:lang w:val="en-US"/>
        </w:rPr>
        <w:t>This paragraph is only applicable for Level 1</w:t>
      </w:r>
      <w:r w:rsidRPr="00966C56">
        <w:rPr>
          <w:b/>
          <w:lang w:val="en-US"/>
        </w:rPr>
        <w:t xml:space="preserve">B </w:t>
      </w:r>
    </w:p>
    <w:p w14:paraId="333B511E" w14:textId="54E86441" w:rsidR="009243B5" w:rsidRDefault="009243B5" w:rsidP="009243B5">
      <w:pPr>
        <w:pStyle w:val="para"/>
        <w:spacing w:before="120"/>
        <w:jc w:val="left"/>
        <w:rPr>
          <w:lang w:val="en-US"/>
        </w:rPr>
      </w:pPr>
      <w:r w:rsidRPr="00966C56">
        <w:rPr>
          <w:b/>
          <w:lang w:val="en-US"/>
        </w:rPr>
        <w:t>3.3.4.2.1.</w:t>
      </w:r>
      <w:r>
        <w:rPr>
          <w:color w:val="00B050"/>
          <w:lang w:val="en-US"/>
        </w:rPr>
        <w:t xml:space="preserve"> </w:t>
      </w:r>
      <w:r>
        <w:rPr>
          <w:color w:val="00B050"/>
          <w:lang w:val="en-US"/>
        </w:rPr>
        <w:tab/>
      </w:r>
      <w:r w:rsidRPr="00351F4C">
        <w:rPr>
          <w:lang w:val="en-US"/>
        </w:rPr>
        <w:t>Any emission-related power-train component connected to a computer shall be monitored for circuit continuity</w:t>
      </w:r>
      <w:r>
        <w:rPr>
          <w:lang w:val="en-US"/>
        </w:rPr>
        <w:t>.</w:t>
      </w:r>
      <w:r w:rsidRPr="00351F4C">
        <w:rPr>
          <w:lang w:val="en-US"/>
        </w:rPr>
        <w:t xml:space="preserve"> </w:t>
      </w:r>
    </w:p>
    <w:p w14:paraId="315307AB" w14:textId="25712898" w:rsidR="009243B5" w:rsidRDefault="009243B5" w:rsidP="009243B5">
      <w:pPr>
        <w:pStyle w:val="para"/>
        <w:spacing w:before="120"/>
        <w:jc w:val="left"/>
      </w:pPr>
      <w:r w:rsidRPr="00966C56">
        <w:rPr>
          <w:b/>
          <w:lang w:val="en-US"/>
        </w:rPr>
        <w:t>3.3.4.2.2.</w:t>
      </w:r>
      <w:r>
        <w:rPr>
          <w:color w:val="00B050"/>
          <w:lang w:val="en-US"/>
        </w:rPr>
        <w:t xml:space="preserve"> </w:t>
      </w:r>
      <w:r>
        <w:rPr>
          <w:color w:val="00B050"/>
          <w:lang w:val="en-US"/>
        </w:rPr>
        <w:tab/>
      </w:r>
      <w:r w:rsidRPr="00351F4C">
        <w:rPr>
          <w:lang w:val="en-US"/>
        </w:rPr>
        <w:t xml:space="preserve">Circuit monitor list </w:t>
      </w:r>
      <w:r w:rsidRPr="00351F4C">
        <w:rPr>
          <w:lang w:val="en-US"/>
        </w:rPr>
        <w:br/>
        <w:t xml:space="preserve">(a) Atmosphere pressure sensor </w:t>
      </w:r>
      <w:r w:rsidRPr="00351F4C">
        <w:rPr>
          <w:lang w:val="en-US"/>
        </w:rPr>
        <w:br/>
        <w:t>[…]</w:t>
      </w:r>
      <w:r w:rsidRPr="00CE0DD3">
        <w:t>"</w:t>
      </w:r>
    </w:p>
    <w:p w14:paraId="012F1235" w14:textId="77777777" w:rsidR="009243B5" w:rsidRDefault="009243B5" w:rsidP="009243B5">
      <w:pPr>
        <w:pStyle w:val="para"/>
        <w:spacing w:before="120"/>
        <w:jc w:val="left"/>
        <w:rPr>
          <w:i/>
          <w:iCs/>
          <w:lang w:val="en-US"/>
        </w:rPr>
      </w:pPr>
    </w:p>
    <w:p w14:paraId="6919359A" w14:textId="77777777" w:rsidR="009243B5" w:rsidRDefault="009243B5" w:rsidP="009243B5">
      <w:pPr>
        <w:pStyle w:val="SingleTxtG"/>
        <w:rPr>
          <w:i/>
          <w:iCs/>
          <w:lang w:val="en-US"/>
        </w:rPr>
      </w:pPr>
    </w:p>
    <w:p w14:paraId="7E03051F" w14:textId="77777777" w:rsidR="009243B5" w:rsidRDefault="009243B5" w:rsidP="009243B5">
      <w:pPr>
        <w:pStyle w:val="SingleTxtG"/>
        <w:rPr>
          <w:i/>
          <w:iCs/>
          <w:lang w:val="en-US"/>
        </w:rPr>
      </w:pPr>
    </w:p>
    <w:p w14:paraId="74229525" w14:textId="072A54C7" w:rsidR="009243B5" w:rsidRDefault="009243B5" w:rsidP="009243B5">
      <w:pPr>
        <w:pStyle w:val="SingleTxtG"/>
        <w:rPr>
          <w:i/>
          <w:iCs/>
          <w:lang w:val="en-US"/>
        </w:rPr>
      </w:pPr>
      <w:r>
        <w:rPr>
          <w:i/>
          <w:iCs/>
          <w:lang w:val="en-US"/>
        </w:rPr>
        <w:t>Annex C5, paragraph 4.3.;</w:t>
      </w:r>
      <w:r w:rsidRPr="00AE3C95">
        <w:rPr>
          <w:lang w:val="en-US"/>
        </w:rPr>
        <w:t xml:space="preserve"> </w:t>
      </w:r>
      <w:r>
        <w:rPr>
          <w:lang w:val="en-US"/>
        </w:rPr>
        <w:t xml:space="preserve">amend </w:t>
      </w:r>
      <w:r w:rsidRPr="00AE3C95">
        <w:rPr>
          <w:lang w:val="en-US"/>
        </w:rPr>
        <w:t>to read:</w:t>
      </w:r>
    </w:p>
    <w:p w14:paraId="6DC0962A" w14:textId="3ED2538B" w:rsidR="009243B5" w:rsidRPr="00D63046" w:rsidRDefault="009243B5" w:rsidP="009243B5">
      <w:pPr>
        <w:pStyle w:val="para"/>
        <w:spacing w:before="120"/>
        <w:jc w:val="left"/>
        <w:rPr>
          <w:lang w:val="en-US"/>
        </w:rPr>
      </w:pPr>
      <w:r w:rsidRPr="00CE0DD3">
        <w:t>"</w:t>
      </w:r>
      <w:r w:rsidRPr="00D63046">
        <w:rPr>
          <w:lang w:val="en-US"/>
        </w:rPr>
        <w:t xml:space="preserve">4.3. </w:t>
      </w:r>
      <w:r w:rsidRPr="00D63046">
        <w:rPr>
          <w:lang w:val="en-US"/>
        </w:rPr>
        <w:tab/>
        <w:t xml:space="preserve">In determining the identified order of deficiencies, deficiencies relating to paragraphs 3.3.3.1., 3.3.3.2. and 3.3.3.3. of this annex for positive ignition engines and paragraphs </w:t>
      </w:r>
      <w:r w:rsidRPr="00D63046">
        <w:rPr>
          <w:strike/>
          <w:lang w:val="en-US"/>
        </w:rPr>
        <w:t>3.3.4.1.</w:t>
      </w:r>
      <w:r w:rsidRPr="00D63046">
        <w:rPr>
          <w:lang w:val="en-US"/>
        </w:rPr>
        <w:t xml:space="preserve"> </w:t>
      </w:r>
      <w:r w:rsidRPr="00966C56">
        <w:rPr>
          <w:b/>
          <w:lang w:val="en-US"/>
        </w:rPr>
        <w:t>3.3.4.1.1.</w:t>
      </w:r>
      <w:r w:rsidRPr="00D63046">
        <w:rPr>
          <w:lang w:val="en-US"/>
        </w:rPr>
        <w:t xml:space="preserve">, </w:t>
      </w:r>
      <w:r w:rsidRPr="00D63046">
        <w:rPr>
          <w:strike/>
          <w:lang w:val="en-US"/>
        </w:rPr>
        <w:t>3.3.4.2.</w:t>
      </w:r>
      <w:r w:rsidRPr="0057557F">
        <w:rPr>
          <w:color w:val="00B050"/>
          <w:lang w:val="en-US"/>
        </w:rPr>
        <w:t xml:space="preserve"> </w:t>
      </w:r>
      <w:r w:rsidRPr="00966C56">
        <w:rPr>
          <w:b/>
          <w:lang w:val="en-US"/>
        </w:rPr>
        <w:t>3.3.4.1.2.</w:t>
      </w:r>
      <w:r w:rsidRPr="00D63046">
        <w:rPr>
          <w:lang w:val="en-US"/>
        </w:rPr>
        <w:t xml:space="preserve"> and </w:t>
      </w:r>
      <w:r w:rsidRPr="00D63046">
        <w:rPr>
          <w:strike/>
          <w:lang w:val="en-US"/>
        </w:rPr>
        <w:t>3.3.4.3.</w:t>
      </w:r>
      <w:r w:rsidRPr="00D63046">
        <w:rPr>
          <w:lang w:val="en-US"/>
        </w:rPr>
        <w:t xml:space="preserve"> </w:t>
      </w:r>
      <w:r w:rsidRPr="00966C56">
        <w:rPr>
          <w:b/>
          <w:lang w:val="en-US"/>
        </w:rPr>
        <w:t>3.3.4.1.3.</w:t>
      </w:r>
      <w:r w:rsidRPr="00D63046">
        <w:rPr>
          <w:lang w:val="en-US"/>
        </w:rPr>
        <w:t xml:space="preserve"> of this annex for compression-ignition engines shall be identified first.</w:t>
      </w:r>
      <w:r w:rsidRPr="009243B5">
        <w:rPr>
          <w:lang w:val="en-US"/>
        </w:rPr>
        <w:t>"</w:t>
      </w:r>
    </w:p>
    <w:p w14:paraId="104DAE7D" w14:textId="3518E77D" w:rsidR="009243B5" w:rsidRDefault="009243B5" w:rsidP="009243B5">
      <w:pPr>
        <w:pStyle w:val="SingleTxtG"/>
        <w:rPr>
          <w:i/>
          <w:iCs/>
          <w:lang w:val="en-US"/>
        </w:rPr>
      </w:pPr>
      <w:r>
        <w:rPr>
          <w:i/>
          <w:iCs/>
          <w:lang w:val="en-US"/>
        </w:rPr>
        <w:t>Annex C5, paragraph 3.6.1.;</w:t>
      </w:r>
      <w:r w:rsidRPr="00AE3C95">
        <w:rPr>
          <w:lang w:val="en-US"/>
        </w:rPr>
        <w:t xml:space="preserve"> </w:t>
      </w:r>
      <w:r>
        <w:rPr>
          <w:lang w:val="en-US"/>
        </w:rPr>
        <w:t xml:space="preserve">amend </w:t>
      </w:r>
      <w:r w:rsidRPr="00AE3C95">
        <w:rPr>
          <w:lang w:val="en-US"/>
        </w:rPr>
        <w:t>to read:</w:t>
      </w:r>
    </w:p>
    <w:p w14:paraId="0F2BB42D" w14:textId="0A1CC38A" w:rsidR="009243B5" w:rsidRPr="00602955" w:rsidRDefault="009243B5" w:rsidP="009243B5">
      <w:pPr>
        <w:pStyle w:val="para"/>
        <w:spacing w:before="120"/>
        <w:jc w:val="left"/>
        <w:rPr>
          <w:lang w:val="en-US"/>
        </w:rPr>
      </w:pPr>
      <w:r w:rsidRPr="00CE0DD3">
        <w:t>"</w:t>
      </w:r>
      <w:r w:rsidRPr="00D63046">
        <w:rPr>
          <w:lang w:val="en-US"/>
        </w:rPr>
        <w:t xml:space="preserve">3.6.1. </w:t>
      </w:r>
      <w:r w:rsidRPr="00D63046">
        <w:rPr>
          <w:lang w:val="en-US"/>
        </w:rPr>
        <w:tab/>
        <w:t xml:space="preserve">The OBD system shall record pending and confirmed fault code(s) indicating the status of the emission control system. Separate status codes (readiness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ECE/TRANS/WP.29/2020/77 573 that identifies the type of malfunction. A fault code shall also be stored in the cases referred to in paragraphs 3.3.3.5. and </w:t>
      </w:r>
      <w:r w:rsidRPr="00D63046">
        <w:rPr>
          <w:strike/>
          <w:lang w:val="en-US"/>
        </w:rPr>
        <w:t>3.3.4.5.</w:t>
      </w:r>
      <w:r w:rsidRPr="00D63046">
        <w:rPr>
          <w:lang w:val="en-US"/>
        </w:rPr>
        <w:t xml:space="preserve"> </w:t>
      </w:r>
      <w:r w:rsidRPr="00966C56">
        <w:rPr>
          <w:b/>
          <w:lang w:val="en-US"/>
        </w:rPr>
        <w:t>3.3.4.1.5.</w:t>
      </w:r>
      <w:r>
        <w:rPr>
          <w:color w:val="00B050"/>
          <w:lang w:val="en-US"/>
        </w:rPr>
        <w:t xml:space="preserve"> </w:t>
      </w:r>
      <w:r w:rsidRPr="00D63046">
        <w:rPr>
          <w:lang w:val="en-US"/>
        </w:rPr>
        <w:t>of this annex.</w:t>
      </w:r>
      <w:r w:rsidRPr="00CE0DD3">
        <w:t>"</w:t>
      </w:r>
    </w:p>
    <w:p w14:paraId="4C4DFBCD" w14:textId="07948691" w:rsidR="009243B5" w:rsidRDefault="009243B5" w:rsidP="009243B5">
      <w:pPr>
        <w:pStyle w:val="SingleTxtG"/>
        <w:rPr>
          <w:i/>
          <w:iCs/>
          <w:lang w:val="en-US"/>
        </w:rPr>
      </w:pPr>
      <w:r>
        <w:rPr>
          <w:i/>
          <w:iCs/>
          <w:lang w:val="en-US"/>
        </w:rPr>
        <w:t xml:space="preserve">Annex </w:t>
      </w:r>
      <w:r w:rsidRPr="005E3602">
        <w:rPr>
          <w:i/>
          <w:iCs/>
          <w:lang w:val="en-US"/>
        </w:rPr>
        <w:t xml:space="preserve">C5 - </w:t>
      </w:r>
      <w:r w:rsidRPr="005E3602">
        <w:rPr>
          <w:i/>
          <w:iCs/>
        </w:rPr>
        <w:t>Appendix 1</w:t>
      </w:r>
      <w:r w:rsidRPr="005E3602">
        <w:rPr>
          <w:i/>
          <w:iCs/>
          <w:lang w:val="en-US"/>
        </w:rPr>
        <w:t>,</w:t>
      </w:r>
      <w:r>
        <w:rPr>
          <w:i/>
          <w:iCs/>
          <w:lang w:val="en-US"/>
        </w:rPr>
        <w:t xml:space="preserve"> </w:t>
      </w:r>
      <w:r w:rsidRPr="005E3602">
        <w:rPr>
          <w:i/>
          <w:iCs/>
          <w:lang w:val="en-US"/>
        </w:rPr>
        <w:t xml:space="preserve">paragraph </w:t>
      </w:r>
      <w:r w:rsidRPr="005E3602">
        <w:rPr>
          <w:i/>
          <w:iCs/>
        </w:rPr>
        <w:t>6.4.2.1.;</w:t>
      </w:r>
      <w:r w:rsidRPr="00AE3C95">
        <w:rPr>
          <w:lang w:val="en-US"/>
        </w:rPr>
        <w:t xml:space="preserve"> </w:t>
      </w:r>
      <w:r>
        <w:rPr>
          <w:lang w:val="en-US"/>
        </w:rPr>
        <w:t xml:space="preserve">amend </w:t>
      </w:r>
      <w:r w:rsidRPr="00AE3C95">
        <w:rPr>
          <w:lang w:val="en-US"/>
        </w:rPr>
        <w:t>to read:</w:t>
      </w:r>
    </w:p>
    <w:p w14:paraId="24E6CAEC" w14:textId="47DFBA91" w:rsidR="00CE0DD3" w:rsidRPr="009243B5" w:rsidRDefault="006E1F16" w:rsidP="009243B5">
      <w:pPr>
        <w:spacing w:after="120"/>
        <w:ind w:left="2268" w:right="1134" w:hanging="1134"/>
        <w:jc w:val="both"/>
        <w:rPr>
          <w:rFonts w:ascii="Times New Roman" w:hAnsi="Times New Roman" w:cs="Times New Roman"/>
          <w:i/>
          <w:sz w:val="20"/>
          <w:szCs w:val="20"/>
        </w:rPr>
      </w:pPr>
      <w:r w:rsidRPr="009243B5">
        <w:rPr>
          <w:rFonts w:ascii="Times New Roman" w:hAnsi="Times New Roman" w:cs="Times New Roman"/>
          <w:sz w:val="20"/>
          <w:szCs w:val="20"/>
        </w:rPr>
        <w:t>"</w:t>
      </w:r>
      <w:r w:rsidR="009243B5" w:rsidRPr="009243B5">
        <w:rPr>
          <w:rFonts w:ascii="Times New Roman" w:hAnsi="Times New Roman" w:cs="Times New Roman"/>
          <w:sz w:val="20"/>
          <w:szCs w:val="20"/>
        </w:rPr>
        <w:t xml:space="preserve">6.4.2.1.  </w:t>
      </w:r>
      <w:r w:rsidR="009243B5" w:rsidRPr="009243B5">
        <w:rPr>
          <w:rFonts w:ascii="Times New Roman" w:hAnsi="Times New Roman" w:cs="Times New Roman"/>
          <w:sz w:val="20"/>
          <w:szCs w:val="20"/>
        </w:rPr>
        <w:tab/>
        <w:t xml:space="preserve">After vehicle preconditioning according to paragraph 6.2. of this appendix, the test vehicle is driven over a Type 1 test. The MI shall be activated at the latest before the end of this test under any of the conditions given in paragraphs 6.4.2.2. to 6.4.2.5 of this </w:t>
      </w:r>
      <w:proofErr w:type="gramStart"/>
      <w:r w:rsidR="009243B5" w:rsidRPr="009243B5">
        <w:rPr>
          <w:rFonts w:ascii="Times New Roman" w:hAnsi="Times New Roman" w:cs="Times New Roman"/>
          <w:sz w:val="20"/>
          <w:szCs w:val="20"/>
        </w:rPr>
        <w:t>appendix</w:t>
      </w:r>
      <w:proofErr w:type="gramEnd"/>
      <w:r w:rsidR="009243B5" w:rsidRPr="009243B5">
        <w:rPr>
          <w:rFonts w:ascii="Times New Roman" w:hAnsi="Times New Roman" w:cs="Times New Roman"/>
          <w:sz w:val="20"/>
          <w:szCs w:val="20"/>
        </w:rPr>
        <w:t xml:space="preserve">. The MI may also be activated during preconditioning. The technical service may substitute those failure modes by others in accordance with paragraph </w:t>
      </w:r>
      <w:r w:rsidR="009243B5" w:rsidRPr="009243B5">
        <w:rPr>
          <w:rFonts w:ascii="Times New Roman" w:hAnsi="Times New Roman" w:cs="Times New Roman"/>
          <w:strike/>
          <w:sz w:val="20"/>
          <w:szCs w:val="20"/>
        </w:rPr>
        <w:t>3.3.4.4.</w:t>
      </w:r>
      <w:r w:rsidR="009243B5" w:rsidRPr="009243B5">
        <w:rPr>
          <w:rFonts w:ascii="Times New Roman" w:hAnsi="Times New Roman" w:cs="Times New Roman"/>
          <w:sz w:val="20"/>
          <w:szCs w:val="20"/>
        </w:rPr>
        <w:t xml:space="preserve"> </w:t>
      </w:r>
      <w:r w:rsidR="009243B5" w:rsidRPr="009243B5">
        <w:rPr>
          <w:rFonts w:ascii="Times New Roman" w:hAnsi="Times New Roman" w:cs="Times New Roman"/>
          <w:b/>
          <w:sz w:val="20"/>
          <w:szCs w:val="20"/>
        </w:rPr>
        <w:t>3.3.4.1.4.</w:t>
      </w:r>
      <w:r w:rsidR="009243B5" w:rsidRPr="009243B5">
        <w:rPr>
          <w:rFonts w:ascii="Times New Roman" w:hAnsi="Times New Roman" w:cs="Times New Roman"/>
          <w:color w:val="00B050"/>
          <w:sz w:val="20"/>
          <w:szCs w:val="20"/>
        </w:rPr>
        <w:t xml:space="preserve"> </w:t>
      </w:r>
      <w:r w:rsidR="009243B5" w:rsidRPr="009243B5">
        <w:rPr>
          <w:rFonts w:ascii="Times New Roman" w:hAnsi="Times New Roman" w:cs="Times New Roman"/>
          <w:sz w:val="20"/>
          <w:szCs w:val="20"/>
        </w:rPr>
        <w:t>of this annex. However, the total number of failures simulated shall not exceed four (4) for the purposes of type approval.</w:t>
      </w:r>
      <w:r w:rsidR="00CE0DD3" w:rsidRPr="009243B5">
        <w:rPr>
          <w:rFonts w:ascii="Times New Roman" w:hAnsi="Times New Roman" w:cs="Times New Roman"/>
          <w:sz w:val="20"/>
          <w:szCs w:val="20"/>
        </w:rPr>
        <w:t>"</w:t>
      </w:r>
    </w:p>
    <w:p w14:paraId="08D27101" w14:textId="77777777" w:rsidR="00CE0DD3" w:rsidRDefault="00CE0DD3" w:rsidP="00951AE1">
      <w:pPr>
        <w:pStyle w:val="Default"/>
        <w:ind w:right="805"/>
        <w:rPr>
          <w:b/>
          <w:bCs/>
          <w:sz w:val="28"/>
          <w:szCs w:val="28"/>
          <w:lang w:val="en-US"/>
        </w:rPr>
      </w:pPr>
    </w:p>
    <w:p w14:paraId="4EBA93BC" w14:textId="03EBD18B" w:rsidR="00951AE1" w:rsidRDefault="00951AE1" w:rsidP="00951AE1">
      <w:pPr>
        <w:pStyle w:val="Default"/>
        <w:ind w:right="805"/>
        <w:rPr>
          <w:b/>
          <w:bCs/>
          <w:sz w:val="28"/>
          <w:szCs w:val="28"/>
          <w:lang w:val="en-US"/>
        </w:rPr>
      </w:pPr>
      <w:r w:rsidRPr="00951AE1">
        <w:rPr>
          <w:b/>
          <w:bCs/>
          <w:sz w:val="28"/>
          <w:szCs w:val="28"/>
          <w:lang w:val="en-US"/>
        </w:rPr>
        <w:t>II. Justification</w:t>
      </w:r>
    </w:p>
    <w:p w14:paraId="466C9B24" w14:textId="5E3696D5" w:rsidR="000C67C7" w:rsidRDefault="000C67C7" w:rsidP="0035613B">
      <w:pPr>
        <w:pStyle w:val="Default"/>
        <w:ind w:left="1134" w:right="1110"/>
        <w:rPr>
          <w:sz w:val="28"/>
          <w:szCs w:val="28"/>
          <w:lang w:val="en-US"/>
        </w:rPr>
      </w:pPr>
    </w:p>
    <w:p w14:paraId="073CA19E" w14:textId="77777777" w:rsidR="006E1F16" w:rsidRDefault="006E1F16" w:rsidP="006E1F16">
      <w:pPr>
        <w:pStyle w:val="SingleTxtG"/>
        <w:numPr>
          <w:ilvl w:val="0"/>
          <w:numId w:val="4"/>
        </w:numPr>
        <w:suppressAutoHyphens/>
        <w:spacing w:line="240" w:lineRule="atLeast"/>
        <w:ind w:left="1134" w:firstLine="0"/>
      </w:pPr>
      <w:r w:rsidRPr="00A5789E">
        <w:t>Contrary to the annotation in the rest of the document under Chapter 3.3.4 a reference to Level 1A can be found which has no related requirement.</w:t>
      </w:r>
    </w:p>
    <w:p w14:paraId="3C10E18C" w14:textId="77777777" w:rsidR="006E1F16" w:rsidRDefault="006E1F16" w:rsidP="006E1F16">
      <w:pPr>
        <w:pStyle w:val="SingleTxtG"/>
        <w:numPr>
          <w:ilvl w:val="0"/>
          <w:numId w:val="4"/>
        </w:numPr>
        <w:suppressAutoHyphens/>
        <w:spacing w:line="240" w:lineRule="atLeast"/>
        <w:ind w:left="1134" w:firstLine="0"/>
      </w:pPr>
      <w:r w:rsidRPr="00A5789E">
        <w:t>Under 3.3.4.8 there is a monitoring requirement for NOx after-treatment as well as a completely unrelated requirement for Level 1B circuit continuity monitoring.</w:t>
      </w:r>
    </w:p>
    <w:p w14:paraId="6EA985B5" w14:textId="77777777" w:rsidR="006E1F16" w:rsidRDefault="006E1F16" w:rsidP="006E1F16">
      <w:pPr>
        <w:pStyle w:val="SingleTxtG"/>
        <w:numPr>
          <w:ilvl w:val="0"/>
          <w:numId w:val="4"/>
        </w:numPr>
        <w:suppressAutoHyphens/>
        <w:spacing w:line="240" w:lineRule="atLeast"/>
        <w:ind w:left="1134" w:firstLine="0"/>
      </w:pPr>
      <w:r w:rsidRPr="00A5789E">
        <w:t>The requirement for Level 1B under 3.3.4.8 is somewhat redundant to the requirement given under 3.3.4.5.</w:t>
      </w:r>
    </w:p>
    <w:p w14:paraId="787B6663" w14:textId="77777777" w:rsidR="006E1F16" w:rsidRDefault="006E1F16" w:rsidP="006E1F16">
      <w:pPr>
        <w:pStyle w:val="SingleTxtG"/>
        <w:numPr>
          <w:ilvl w:val="0"/>
          <w:numId w:val="4"/>
        </w:numPr>
        <w:suppressAutoHyphens/>
        <w:spacing w:line="240" w:lineRule="atLeast"/>
        <w:ind w:left="1134" w:firstLine="0"/>
      </w:pPr>
      <w:r w:rsidRPr="00A5789E">
        <w:t>Given the fact that there are no OBD-thresholds specified for Level 1B certification of compression ignition engines. The requirements under 3.3.4.1 to 3.3.4.8 are not rationally applicable for Level 1B certification.</w:t>
      </w:r>
    </w:p>
    <w:p w14:paraId="3113EB10" w14:textId="77777777" w:rsidR="006E1F16" w:rsidRPr="006865CB" w:rsidRDefault="006E1F16" w:rsidP="006E1F16">
      <w:pPr>
        <w:pStyle w:val="SingleTxtG"/>
        <w:numPr>
          <w:ilvl w:val="0"/>
          <w:numId w:val="4"/>
        </w:numPr>
        <w:suppressAutoHyphens/>
        <w:spacing w:line="240" w:lineRule="atLeast"/>
        <w:ind w:left="1134" w:firstLine="0"/>
      </w:pPr>
      <w:r>
        <w:t>Conclusion: T</w:t>
      </w:r>
      <w:r w:rsidRPr="00A5789E">
        <w:t xml:space="preserve">he requirements given under 3.3.4.1 to 3.3.4.8 are related solely </w:t>
      </w:r>
      <w:r>
        <w:t>to</w:t>
      </w:r>
      <w:r w:rsidRPr="00A5789E">
        <w:t xml:space="preserve"> Level 1A certification, and only the requirements under 3.3.4.8 referring to Level 1B </w:t>
      </w:r>
      <w:proofErr w:type="gramStart"/>
      <w:r w:rsidRPr="00A5789E">
        <w:t>have to</w:t>
      </w:r>
      <w:proofErr w:type="gramEnd"/>
      <w:r w:rsidRPr="00A5789E">
        <w:t xml:space="preserve"> be fulfilled for Level 1B certification.</w:t>
      </w:r>
    </w:p>
    <w:p w14:paraId="6F455293" w14:textId="77777777" w:rsidR="00CE0DD3" w:rsidRPr="006E1F16" w:rsidRDefault="00CE0DD3" w:rsidP="0035613B">
      <w:pPr>
        <w:pStyle w:val="Default"/>
        <w:ind w:left="1134" w:right="1110"/>
        <w:rPr>
          <w:sz w:val="28"/>
          <w:szCs w:val="28"/>
          <w:lang w:val="en-GB"/>
        </w:rPr>
      </w:pPr>
    </w:p>
    <w:p w14:paraId="0E7E3854" w14:textId="75663DBE" w:rsidR="0081205A" w:rsidRDefault="00D42C29" w:rsidP="00D42C29">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0CF24738" w14:textId="77777777" w:rsidR="0081205A" w:rsidRDefault="0081205A" w:rsidP="00951AE1">
      <w:pPr>
        <w:tabs>
          <w:tab w:val="left" w:pos="1959"/>
        </w:tabs>
        <w:spacing w:line="259" w:lineRule="auto"/>
        <w:ind w:left="1985" w:right="805" w:hanging="1870"/>
        <w:rPr>
          <w:sz w:val="28"/>
        </w:rPr>
      </w:pPr>
    </w:p>
    <w:p w14:paraId="7D459A27" w14:textId="77777777" w:rsidR="00951AE1" w:rsidRPr="00951AE1" w:rsidRDefault="00951AE1" w:rsidP="000C67C7">
      <w:pPr>
        <w:tabs>
          <w:tab w:val="left" w:pos="1959"/>
        </w:tabs>
        <w:spacing w:line="259" w:lineRule="auto"/>
        <w:ind w:left="1985" w:right="-24" w:hanging="1870"/>
        <w:rPr>
          <w:sz w:val="28"/>
          <w:lang w:val="en-GB"/>
        </w:rPr>
      </w:pPr>
    </w:p>
    <w:sectPr w:rsidR="00951AE1" w:rsidRPr="00951AE1" w:rsidSect="009A0930">
      <w:headerReference w:type="even" r:id="rId10"/>
      <w:headerReference w:type="default" r:id="rId11"/>
      <w:footerReference w:type="even" r:id="rId12"/>
      <w:footerReference w:type="default" r:id="rId13"/>
      <w:headerReference w:type="first" r:id="rId14"/>
      <w:footerReference w:type="first" r:id="rId15"/>
      <w:pgSz w:w="11910" w:h="16840"/>
      <w:pgMar w:top="1580" w:right="995"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C85E" w14:textId="77777777" w:rsidR="00C34AE6" w:rsidRDefault="00C34AE6" w:rsidP="00F06571">
      <w:r>
        <w:separator/>
      </w:r>
    </w:p>
  </w:endnote>
  <w:endnote w:type="continuationSeparator" w:id="0">
    <w:p w14:paraId="52B0F7F2" w14:textId="77777777" w:rsidR="00C34AE6" w:rsidRDefault="00C34AE6"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3424" w14:textId="77777777" w:rsidR="007E705B" w:rsidRDefault="007E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981C" w14:textId="77777777" w:rsidR="007E705B" w:rsidRDefault="007E7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49AB" w14:textId="77777777" w:rsidR="007E705B" w:rsidRDefault="007E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350BB" w14:textId="77777777" w:rsidR="00C34AE6" w:rsidRDefault="00C34AE6" w:rsidP="00F06571">
      <w:r>
        <w:separator/>
      </w:r>
    </w:p>
  </w:footnote>
  <w:footnote w:type="continuationSeparator" w:id="0">
    <w:p w14:paraId="2D9A5BFC" w14:textId="77777777" w:rsidR="00C34AE6" w:rsidRDefault="00C34AE6"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E59C" w14:textId="77777777" w:rsidR="007E705B" w:rsidRDefault="007E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38"/>
    </w:tblGrid>
    <w:tr w:rsidR="001212DD" w:rsidRPr="001212DD" w14:paraId="0B3C20F3" w14:textId="77777777" w:rsidTr="00B555BE">
      <w:tc>
        <w:tcPr>
          <w:tcW w:w="4927" w:type="dxa"/>
        </w:tcPr>
        <w:p w14:paraId="5DF9D308" w14:textId="77777777" w:rsidR="001212DD" w:rsidRPr="001212DD" w:rsidRDefault="001212DD"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14:paraId="5421CF05" w14:textId="2F8B6C19" w:rsidR="001212DD" w:rsidRPr="0035613B" w:rsidRDefault="001212DD" w:rsidP="001212DD">
          <w:pPr>
            <w:tabs>
              <w:tab w:val="center" w:pos="4513"/>
              <w:tab w:val="right" w:pos="9026"/>
            </w:tabs>
            <w:ind w:left="1691"/>
            <w:rPr>
              <w:rFonts w:ascii="Times New Roman" w:eastAsia="Times New Roman" w:hAnsi="Times New Roman" w:cs="Times New Roman"/>
              <w:lang w:val="fr-FR"/>
            </w:rPr>
          </w:pPr>
          <w:r w:rsidRPr="0035613B">
            <w:rPr>
              <w:rFonts w:ascii="Times New Roman" w:eastAsia="Times New Roman" w:hAnsi="Times New Roman" w:cs="Times New Roman"/>
              <w:u w:val="single"/>
              <w:lang w:val="fr-FR"/>
            </w:rPr>
            <w:t>Informal document</w:t>
          </w:r>
          <w:r w:rsidRPr="0035613B">
            <w:rPr>
              <w:rFonts w:ascii="Times New Roman" w:eastAsia="Times New Roman" w:hAnsi="Times New Roman" w:cs="Times New Roman"/>
              <w:lang w:val="fr-FR"/>
            </w:rPr>
            <w:t xml:space="preserve"> </w:t>
          </w:r>
          <w:r w:rsidRPr="0035613B">
            <w:rPr>
              <w:rFonts w:ascii="Times New Roman" w:eastAsia="Times New Roman" w:hAnsi="Times New Roman" w:cs="Times New Roman"/>
              <w:b/>
              <w:bCs/>
              <w:lang w:val="fr-FR"/>
            </w:rPr>
            <w:t>GRPE-</w:t>
          </w:r>
          <w:r w:rsidR="00951AE1" w:rsidRPr="0035613B">
            <w:rPr>
              <w:rFonts w:ascii="Times New Roman" w:eastAsia="Times New Roman" w:hAnsi="Times New Roman" w:cs="Times New Roman"/>
              <w:b/>
              <w:bCs/>
              <w:lang w:val="fr-FR"/>
            </w:rPr>
            <w:t>8</w:t>
          </w:r>
          <w:r w:rsidR="0035613B" w:rsidRPr="0035613B">
            <w:rPr>
              <w:rFonts w:ascii="Times New Roman" w:eastAsia="Times New Roman" w:hAnsi="Times New Roman" w:cs="Times New Roman"/>
              <w:b/>
              <w:bCs/>
              <w:lang w:val="fr-FR"/>
            </w:rPr>
            <w:t>3-</w:t>
          </w:r>
          <w:r w:rsidR="007E705B">
            <w:rPr>
              <w:rFonts w:ascii="Times New Roman" w:eastAsia="Times New Roman" w:hAnsi="Times New Roman" w:cs="Times New Roman"/>
              <w:b/>
              <w:bCs/>
              <w:lang w:val="fr-FR"/>
            </w:rPr>
            <w:t>13</w:t>
          </w:r>
        </w:p>
        <w:p w14:paraId="300FC8FC" w14:textId="545EB23E" w:rsidR="001212DD" w:rsidRPr="0035613B" w:rsidRDefault="001212DD" w:rsidP="001212DD">
          <w:pPr>
            <w:tabs>
              <w:tab w:val="center" w:pos="4513"/>
              <w:tab w:val="right" w:pos="9026"/>
            </w:tabs>
            <w:ind w:left="1691"/>
            <w:rPr>
              <w:rFonts w:ascii="Times New Roman" w:eastAsia="Times New Roman" w:hAnsi="Times New Roman" w:cs="Times New Roman"/>
              <w:bCs/>
              <w:lang w:val="fr-FR"/>
            </w:rPr>
          </w:pPr>
          <w:r w:rsidRPr="0035613B">
            <w:rPr>
              <w:rFonts w:ascii="Times New Roman" w:eastAsia="Times New Roman" w:hAnsi="Times New Roman" w:cs="Times New Roman"/>
              <w:bCs/>
              <w:lang w:val="fr-FR"/>
            </w:rPr>
            <w:t>8</w:t>
          </w:r>
          <w:r w:rsidR="0035613B" w:rsidRPr="0035613B">
            <w:rPr>
              <w:rFonts w:ascii="Times New Roman" w:eastAsia="Times New Roman" w:hAnsi="Times New Roman" w:cs="Times New Roman"/>
              <w:bCs/>
              <w:lang w:val="fr-FR"/>
            </w:rPr>
            <w:t>3</w:t>
          </w:r>
          <w:r w:rsidR="0035613B" w:rsidRPr="0035613B">
            <w:rPr>
              <w:rFonts w:ascii="Times New Roman" w:eastAsia="Times New Roman" w:hAnsi="Times New Roman" w:cs="Times New Roman"/>
              <w:bCs/>
              <w:vertAlign w:val="superscript"/>
              <w:lang w:val="fr-FR"/>
            </w:rPr>
            <w:t>rd</w:t>
          </w:r>
          <w:r w:rsidR="0035613B" w:rsidRPr="0035613B">
            <w:rPr>
              <w:rFonts w:ascii="Times New Roman" w:eastAsia="Times New Roman" w:hAnsi="Times New Roman" w:cs="Times New Roman"/>
              <w:bCs/>
              <w:lang w:val="fr-FR"/>
            </w:rPr>
            <w:t xml:space="preserve"> </w:t>
          </w:r>
          <w:r w:rsidR="00951AE1" w:rsidRPr="0035613B">
            <w:rPr>
              <w:rFonts w:ascii="Times New Roman" w:eastAsia="Times New Roman" w:hAnsi="Times New Roman" w:cs="Times New Roman"/>
              <w:bCs/>
              <w:lang w:val="fr-FR"/>
            </w:rPr>
            <w:t>G</w:t>
          </w:r>
          <w:r w:rsidRPr="0035613B">
            <w:rPr>
              <w:rFonts w:ascii="Times New Roman" w:eastAsia="Times New Roman" w:hAnsi="Times New Roman" w:cs="Times New Roman"/>
              <w:bCs/>
              <w:lang w:val="fr-FR"/>
            </w:rPr>
            <w:t xml:space="preserve">RPE, </w:t>
          </w:r>
          <w:r w:rsidR="00951AE1" w:rsidRPr="0035613B">
            <w:rPr>
              <w:rFonts w:ascii="Times New Roman" w:eastAsia="Times New Roman" w:hAnsi="Times New Roman" w:cs="Times New Roman"/>
              <w:bCs/>
              <w:lang w:val="fr-FR"/>
            </w:rPr>
            <w:t>1-</w:t>
          </w:r>
          <w:r w:rsidR="0035613B" w:rsidRPr="0035613B">
            <w:rPr>
              <w:rFonts w:ascii="Times New Roman" w:eastAsia="Times New Roman" w:hAnsi="Times New Roman" w:cs="Times New Roman"/>
              <w:bCs/>
              <w:lang w:val="fr-FR"/>
            </w:rPr>
            <w:t>4 June</w:t>
          </w:r>
          <w:r w:rsidRPr="0035613B">
            <w:rPr>
              <w:rFonts w:ascii="Times New Roman" w:eastAsia="Times New Roman" w:hAnsi="Times New Roman" w:cs="Times New Roman"/>
              <w:bCs/>
              <w:lang w:val="fr-FR"/>
            </w:rPr>
            <w:t xml:space="preserve"> 202</w:t>
          </w:r>
          <w:r w:rsidR="00951AE1" w:rsidRPr="0035613B">
            <w:rPr>
              <w:rFonts w:ascii="Times New Roman" w:eastAsia="Times New Roman" w:hAnsi="Times New Roman" w:cs="Times New Roman"/>
              <w:bCs/>
              <w:lang w:val="fr-FR"/>
            </w:rPr>
            <w:t>1</w:t>
          </w:r>
        </w:p>
        <w:p w14:paraId="689E410A" w14:textId="08955A44" w:rsidR="001212DD" w:rsidRPr="001212DD" w:rsidRDefault="001212DD" w:rsidP="001212DD">
          <w:pPr>
            <w:tabs>
              <w:tab w:val="center" w:pos="4513"/>
              <w:tab w:val="right" w:pos="9026"/>
            </w:tabs>
            <w:ind w:left="1691"/>
            <w:rPr>
              <w:rFonts w:ascii="Times New Roman" w:eastAsia="Times New Roman" w:hAnsi="Times New Roman" w:cs="Times New Roman"/>
            </w:rPr>
          </w:pPr>
          <w:r w:rsidRPr="001212DD">
            <w:rPr>
              <w:rFonts w:ascii="Times New Roman" w:eastAsia="Times New Roman" w:hAnsi="Times New Roman" w:cs="Times New Roman"/>
            </w:rPr>
            <w:t xml:space="preserve">Agenda item </w:t>
          </w:r>
          <w:r w:rsidR="0035613B">
            <w:rPr>
              <w:rFonts w:ascii="Times New Roman" w:eastAsia="Times New Roman" w:hAnsi="Times New Roman" w:cs="Times New Roman"/>
            </w:rPr>
            <w:t>3(</w:t>
          </w:r>
          <w:r w:rsidR="00CE0DD3">
            <w:rPr>
              <w:rFonts w:ascii="Times New Roman" w:eastAsia="Times New Roman" w:hAnsi="Times New Roman" w:cs="Times New Roman"/>
            </w:rPr>
            <w:t>a</w:t>
          </w:r>
          <w:r w:rsidR="0035613B">
            <w:rPr>
              <w:rFonts w:ascii="Times New Roman" w:eastAsia="Times New Roman" w:hAnsi="Times New Roman" w:cs="Times New Roman"/>
            </w:rPr>
            <w:t>)</w:t>
          </w:r>
          <w:r w:rsidR="000C67C7">
            <w:rPr>
              <w:rFonts w:ascii="Times New Roman" w:eastAsia="Times New Roman" w:hAnsi="Times New Roman" w:cs="Times New Roman"/>
            </w:rPr>
            <w:t>.</w:t>
          </w:r>
        </w:p>
        <w:p w14:paraId="1A320024" w14:textId="77777777" w:rsidR="001212DD" w:rsidRPr="001212DD" w:rsidRDefault="001212DD" w:rsidP="001212DD">
          <w:pPr>
            <w:tabs>
              <w:tab w:val="center" w:pos="4513"/>
              <w:tab w:val="right" w:pos="9026"/>
            </w:tabs>
            <w:ind w:left="1691"/>
            <w:rPr>
              <w:rFonts w:ascii="Times New Roman" w:eastAsia="Times New Roman" w:hAnsi="Times New Roman" w:cs="Times New Roman"/>
              <w:b/>
            </w:rPr>
          </w:pPr>
        </w:p>
      </w:tc>
    </w:tr>
  </w:tbl>
  <w:p w14:paraId="7814163E" w14:textId="77777777" w:rsidR="001212DD" w:rsidRDefault="00121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A1B0" w14:textId="77777777" w:rsidR="007E705B" w:rsidRDefault="007E7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C1F13"/>
    <w:multiLevelType w:val="hybridMultilevel"/>
    <w:tmpl w:val="9B022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7F1808B3"/>
    <w:multiLevelType w:val="hybridMultilevel"/>
    <w:tmpl w:val="F2984F6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8"/>
    <w:rsid w:val="000C67C7"/>
    <w:rsid w:val="001212DD"/>
    <w:rsid w:val="002070DF"/>
    <w:rsid w:val="0035613B"/>
    <w:rsid w:val="00373C5B"/>
    <w:rsid w:val="003A4E24"/>
    <w:rsid w:val="003B3089"/>
    <w:rsid w:val="00475B7E"/>
    <w:rsid w:val="004921D2"/>
    <w:rsid w:val="00543F57"/>
    <w:rsid w:val="005C4DA1"/>
    <w:rsid w:val="005E3602"/>
    <w:rsid w:val="006E1F16"/>
    <w:rsid w:val="00723C98"/>
    <w:rsid w:val="00751B28"/>
    <w:rsid w:val="0075489F"/>
    <w:rsid w:val="007A33DD"/>
    <w:rsid w:val="007E705B"/>
    <w:rsid w:val="0081205A"/>
    <w:rsid w:val="00840544"/>
    <w:rsid w:val="00911A23"/>
    <w:rsid w:val="009243B5"/>
    <w:rsid w:val="00951AE1"/>
    <w:rsid w:val="009A0930"/>
    <w:rsid w:val="00A42322"/>
    <w:rsid w:val="00AF473D"/>
    <w:rsid w:val="00B1593C"/>
    <w:rsid w:val="00BD50BF"/>
    <w:rsid w:val="00C34AE6"/>
    <w:rsid w:val="00C56287"/>
    <w:rsid w:val="00CE0DD3"/>
    <w:rsid w:val="00D42C29"/>
    <w:rsid w:val="00D7097E"/>
    <w:rsid w:val="00DD75E2"/>
    <w:rsid w:val="00F06571"/>
    <w:rsid w:val="00F4362E"/>
    <w:rsid w:val="00FA15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iPriority w:val="99"/>
    <w:semiHidden/>
    <w:unhideWhenUsed/>
    <w:rsid w:val="00B1593C"/>
    <w:rPr>
      <w:sz w:val="16"/>
      <w:szCs w:val="16"/>
    </w:rPr>
  </w:style>
  <w:style w:type="paragraph" w:styleId="CommentText">
    <w:name w:val="annotation text"/>
    <w:basedOn w:val="Normal"/>
    <w:link w:val="CommentTextChar"/>
    <w:uiPriority w:val="99"/>
    <w:semiHidden/>
    <w:unhideWhenUsed/>
    <w:rsid w:val="00B1593C"/>
    <w:rPr>
      <w:sz w:val="20"/>
      <w:szCs w:val="20"/>
    </w:rPr>
  </w:style>
  <w:style w:type="character" w:customStyle="1" w:styleId="CommentTextChar">
    <w:name w:val="Comment Text Char"/>
    <w:basedOn w:val="DefaultParagraphFont"/>
    <w:link w:val="CommentText"/>
    <w:uiPriority w:val="99"/>
    <w:semiHidden/>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0C67C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XLargeG">
    <w:name w:val="__XLarge_G"/>
    <w:basedOn w:val="Normal"/>
    <w:next w:val="Normal"/>
    <w:rsid w:val="0035613B"/>
    <w:pPr>
      <w:keepNext/>
      <w:keepLines/>
      <w:widowControl/>
      <w:suppressAutoHyphens/>
      <w:autoSpaceDE/>
      <w:autoSpaceDN/>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para">
    <w:name w:val="para"/>
    <w:basedOn w:val="SingleTxtG"/>
    <w:link w:val="paraChar"/>
    <w:qFormat/>
    <w:rsid w:val="009243B5"/>
    <w:pPr>
      <w:suppressAutoHyphens/>
      <w:spacing w:line="240" w:lineRule="atLeast"/>
      <w:ind w:left="2268" w:hanging="1134"/>
    </w:pPr>
    <w:rPr>
      <w:lang w:val="fr-CH"/>
    </w:rPr>
  </w:style>
  <w:style w:type="character" w:customStyle="1" w:styleId="paraChar">
    <w:name w:val="para Char"/>
    <w:link w:val="para"/>
    <w:rsid w:val="009243B5"/>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82653">
      <w:bodyDiv w:val="1"/>
      <w:marLeft w:val="0"/>
      <w:marRight w:val="0"/>
      <w:marTop w:val="0"/>
      <w:marBottom w:val="0"/>
      <w:divBdr>
        <w:top w:val="none" w:sz="0" w:space="0" w:color="auto"/>
        <w:left w:val="none" w:sz="0" w:space="0" w:color="auto"/>
        <w:bottom w:val="none" w:sz="0" w:space="0" w:color="auto"/>
        <w:right w:val="none" w:sz="0" w:space="0" w:color="auto"/>
      </w:divBdr>
    </w:div>
    <w:div w:id="177636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B07C8-354B-45CE-93DF-81F5022E5C98}">
  <ds:schemaRefs>
    <ds:schemaRef ds:uri="http://schemas.microsoft.com/sharepoint/v3/contenttype/forms"/>
  </ds:schemaRefs>
</ds:datastoreItem>
</file>

<file path=customXml/itemProps2.xml><?xml version="1.0" encoding="utf-8"?>
<ds:datastoreItem xmlns:ds="http://schemas.openxmlformats.org/officeDocument/2006/customXml" ds:itemID="{403CE66D-FED6-4DCD-B903-F3D16BA23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767BED-D992-410E-8C34-A06A2EF0C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4240</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Francois Cuenot</cp:lastModifiedBy>
  <cp:revision>3</cp:revision>
  <dcterms:created xsi:type="dcterms:W3CDTF">2021-05-31T13:56:00Z</dcterms:created>
  <dcterms:modified xsi:type="dcterms:W3CDTF">2021-05-31T13:57:00Z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0x0101003B8422D08C252547BB1CFA7F78E2CB83</vt:lpwstr>
  </property>
</Properties>
</file>