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85831" w14:textId="4AA99F70" w:rsidR="00951AE1" w:rsidRDefault="00951AE1" w:rsidP="00951AE1">
      <w:pPr>
        <w:pStyle w:val="Default"/>
      </w:pPr>
    </w:p>
    <w:p w14:paraId="68565D22" w14:textId="77777777" w:rsidR="00CE0DD3" w:rsidRDefault="00CE0DD3" w:rsidP="00951AE1">
      <w:pPr>
        <w:pStyle w:val="Default"/>
      </w:pPr>
    </w:p>
    <w:p w14:paraId="316C2512" w14:textId="4AA34FF0" w:rsidR="00951AE1" w:rsidRPr="00CE0DD3" w:rsidRDefault="00CE0DD3" w:rsidP="00CE0DD3">
      <w:pPr>
        <w:pStyle w:val="Default"/>
        <w:ind w:left="851" w:right="826"/>
        <w:jc w:val="center"/>
        <w:rPr>
          <w:b/>
          <w:bCs/>
          <w:sz w:val="36"/>
          <w:szCs w:val="36"/>
          <w:lang w:val="en-GB"/>
        </w:rPr>
      </w:pPr>
      <w:r w:rsidRPr="00CE0DD3">
        <w:rPr>
          <w:b/>
          <w:bCs/>
          <w:sz w:val="32"/>
          <w:szCs w:val="32"/>
          <w:lang w:val="en-US"/>
        </w:rPr>
        <w:t>Proposal for a new supplement to the original version and the 01</w:t>
      </w:r>
      <w:r w:rsidRPr="00CE0DD3">
        <w:rPr>
          <w:b/>
          <w:bCs/>
          <w:color w:val="000000" w:themeColor="text1"/>
          <w:sz w:val="32"/>
          <w:szCs w:val="32"/>
          <w:lang w:val="en-US"/>
        </w:rPr>
        <w:t xml:space="preserve"> series of amendments to UN Regulation No. 154</w:t>
      </w:r>
    </w:p>
    <w:p w14:paraId="1BF9ADCA" w14:textId="543FCC33" w:rsidR="00951AE1" w:rsidRDefault="00951AE1" w:rsidP="00951AE1">
      <w:pPr>
        <w:pStyle w:val="Default"/>
        <w:rPr>
          <w:b/>
          <w:bCs/>
          <w:sz w:val="22"/>
          <w:szCs w:val="22"/>
          <w:lang w:val="en-US"/>
        </w:rPr>
      </w:pPr>
    </w:p>
    <w:p w14:paraId="2E899B1E" w14:textId="77777777" w:rsidR="00CE0DD3" w:rsidRDefault="00CE0DD3" w:rsidP="00951AE1">
      <w:pPr>
        <w:pStyle w:val="Default"/>
        <w:rPr>
          <w:b/>
          <w:bCs/>
          <w:sz w:val="22"/>
          <w:szCs w:val="22"/>
          <w:lang w:val="en-US"/>
        </w:rPr>
      </w:pPr>
    </w:p>
    <w:p w14:paraId="02A9ABC7" w14:textId="77777777" w:rsidR="00911A23" w:rsidRPr="00D7097E" w:rsidRDefault="00911A23" w:rsidP="00951AE1">
      <w:pPr>
        <w:pStyle w:val="Default"/>
        <w:rPr>
          <w:sz w:val="20"/>
          <w:szCs w:val="20"/>
          <w:lang w:val="en-US"/>
        </w:rPr>
      </w:pPr>
    </w:p>
    <w:p w14:paraId="2C41D49E" w14:textId="6013E0CF" w:rsidR="00CA1F03" w:rsidRPr="00CA1F03" w:rsidRDefault="00CE0DD3" w:rsidP="00951AE1">
      <w:pPr>
        <w:pStyle w:val="Default"/>
        <w:rPr>
          <w:bCs/>
          <w:sz w:val="20"/>
          <w:szCs w:val="20"/>
          <w:lang w:val="en-US"/>
        </w:rPr>
      </w:pPr>
      <w:r w:rsidRPr="00CA1F03">
        <w:rPr>
          <w:sz w:val="20"/>
          <w:szCs w:val="20"/>
          <w:lang w:val="en-US"/>
        </w:rPr>
        <w:t xml:space="preserve">This document </w:t>
      </w:r>
      <w:r w:rsidRPr="00CA1F03">
        <w:rPr>
          <w:bCs/>
          <w:sz w:val="20"/>
          <w:szCs w:val="20"/>
          <w:lang w:val="en-US"/>
        </w:rPr>
        <w:t xml:space="preserve">aims </w:t>
      </w:r>
      <w:r w:rsidR="00CA1F03" w:rsidRPr="00CA1F03">
        <w:rPr>
          <w:bCs/>
          <w:sz w:val="20"/>
          <w:szCs w:val="20"/>
          <w:lang w:val="en-US"/>
        </w:rPr>
        <w:t>to:</w:t>
      </w:r>
    </w:p>
    <w:p w14:paraId="1029BA0A" w14:textId="0EB437BC" w:rsidR="00CA1F03" w:rsidRPr="00CA1F03" w:rsidRDefault="00CA1F03" w:rsidP="00CA1F03">
      <w:pPr>
        <w:pStyle w:val="Default"/>
        <w:numPr>
          <w:ilvl w:val="0"/>
          <w:numId w:val="4"/>
        </w:numPr>
        <w:rPr>
          <w:b/>
          <w:bCs/>
          <w:sz w:val="20"/>
          <w:szCs w:val="20"/>
          <w:lang w:val="en-US"/>
        </w:rPr>
      </w:pPr>
      <w:r w:rsidRPr="00CA1F03">
        <w:rPr>
          <w:sz w:val="20"/>
          <w:szCs w:val="20"/>
          <w:lang w:val="en-US"/>
        </w:rPr>
        <w:t>harmonize the KCO2 family concept from UN GTR15 Amendment 6 with this Regulation.</w:t>
      </w:r>
    </w:p>
    <w:p w14:paraId="32CAEBC8" w14:textId="70F8AE88" w:rsidR="00CA1F03" w:rsidRPr="00CA1F03" w:rsidRDefault="00CA1F03" w:rsidP="00CA1F03">
      <w:pPr>
        <w:pStyle w:val="Default"/>
        <w:numPr>
          <w:ilvl w:val="0"/>
          <w:numId w:val="4"/>
        </w:numPr>
        <w:rPr>
          <w:b/>
          <w:bCs/>
          <w:sz w:val="16"/>
          <w:szCs w:val="16"/>
          <w:lang w:val="en-US"/>
        </w:rPr>
      </w:pPr>
      <w:r w:rsidRPr="00CA1F03">
        <w:rPr>
          <w:sz w:val="20"/>
          <w:szCs w:val="20"/>
          <w:lang w:val="en-US"/>
        </w:rPr>
        <w:t>harmonize the correction of CO</w:t>
      </w:r>
      <w:r w:rsidRPr="00CA1F03">
        <w:rPr>
          <w:sz w:val="20"/>
          <w:szCs w:val="20"/>
          <w:vertAlign w:val="subscript"/>
          <w:lang w:val="en-US"/>
        </w:rPr>
        <w:t>2</w:t>
      </w:r>
      <w:r w:rsidRPr="00CA1F03">
        <w:rPr>
          <w:sz w:val="20"/>
          <w:szCs w:val="20"/>
          <w:lang w:val="en-US"/>
        </w:rPr>
        <w:t xml:space="preserve"> results against target speed in Level 1A with Level 1B and the most stringent Level 2.</w:t>
      </w:r>
    </w:p>
    <w:p w14:paraId="0F4C9E21" w14:textId="007F05D3" w:rsidR="00CA1F03" w:rsidRPr="00CA1F03" w:rsidRDefault="00CA1F03" w:rsidP="00CA1F03">
      <w:pPr>
        <w:pStyle w:val="Default"/>
        <w:numPr>
          <w:ilvl w:val="0"/>
          <w:numId w:val="4"/>
        </w:numPr>
        <w:rPr>
          <w:b/>
          <w:bCs/>
          <w:sz w:val="16"/>
          <w:szCs w:val="16"/>
          <w:lang w:val="en-US"/>
        </w:rPr>
      </w:pPr>
      <w:r w:rsidRPr="00CA1F03">
        <w:rPr>
          <w:sz w:val="20"/>
          <w:szCs w:val="20"/>
          <w:lang w:val="en-US"/>
        </w:rPr>
        <w:t>delete correction criterion c as it is no longer needed.</w:t>
      </w:r>
    </w:p>
    <w:p w14:paraId="240F2FCB" w14:textId="41D33272" w:rsidR="00CA1F03" w:rsidRPr="00CA1F03" w:rsidRDefault="00CA1F03" w:rsidP="00CA1F03">
      <w:pPr>
        <w:pStyle w:val="Default"/>
        <w:numPr>
          <w:ilvl w:val="0"/>
          <w:numId w:val="4"/>
        </w:numPr>
        <w:rPr>
          <w:b/>
          <w:bCs/>
          <w:sz w:val="12"/>
          <w:szCs w:val="12"/>
          <w:lang w:val="en-US"/>
        </w:rPr>
      </w:pPr>
      <w:r w:rsidRPr="00CA1F03">
        <w:rPr>
          <w:sz w:val="20"/>
          <w:szCs w:val="20"/>
          <w:lang w:val="en-US"/>
        </w:rPr>
        <w:t>propose a clarification and specification in the ATCT family criteria.</w:t>
      </w:r>
    </w:p>
    <w:p w14:paraId="7555DF50" w14:textId="77777777" w:rsidR="00CA1F03" w:rsidRPr="00CA1F03" w:rsidRDefault="00CA1F03" w:rsidP="00CA1F03">
      <w:pPr>
        <w:pStyle w:val="Default"/>
        <w:rPr>
          <w:sz w:val="20"/>
          <w:szCs w:val="20"/>
          <w:lang w:val="en-US"/>
        </w:rPr>
      </w:pPr>
    </w:p>
    <w:p w14:paraId="74FBB17E" w14:textId="3514ADA2" w:rsidR="0081205A" w:rsidRPr="00CA1F03" w:rsidRDefault="00911A23" w:rsidP="00CA1F03">
      <w:pPr>
        <w:pStyle w:val="Default"/>
        <w:rPr>
          <w:b/>
          <w:bCs/>
          <w:sz w:val="20"/>
          <w:szCs w:val="20"/>
          <w:lang w:val="en-US"/>
        </w:rPr>
      </w:pPr>
      <w:r w:rsidRPr="00CA1F03">
        <w:rPr>
          <w:sz w:val="20"/>
          <w:szCs w:val="20"/>
          <w:lang w:val="en-US"/>
        </w:rPr>
        <w:t>The modifications to the current text of the Regulation are marked in bold for new or strikethrough for deleted characters.</w:t>
      </w:r>
      <w:r w:rsidR="00AF473D" w:rsidRPr="00CA1F03">
        <w:rPr>
          <w:sz w:val="20"/>
          <w:szCs w:val="20"/>
          <w:lang w:val="en-US"/>
        </w:rPr>
        <w:t xml:space="preserve"> </w:t>
      </w:r>
    </w:p>
    <w:p w14:paraId="3BB75B70" w14:textId="70109886" w:rsidR="00951AE1" w:rsidRDefault="00951AE1" w:rsidP="00951AE1">
      <w:pPr>
        <w:pStyle w:val="Default"/>
        <w:rPr>
          <w:b/>
          <w:bCs/>
          <w:sz w:val="28"/>
          <w:szCs w:val="28"/>
          <w:lang w:val="en-US"/>
        </w:rPr>
      </w:pPr>
    </w:p>
    <w:p w14:paraId="47B84996" w14:textId="77777777" w:rsidR="00CE0DD3" w:rsidRDefault="00CE0DD3" w:rsidP="00951AE1">
      <w:pPr>
        <w:pStyle w:val="Default"/>
        <w:rPr>
          <w:b/>
          <w:bCs/>
          <w:sz w:val="28"/>
          <w:szCs w:val="28"/>
          <w:lang w:val="en-US"/>
        </w:rPr>
      </w:pPr>
    </w:p>
    <w:p w14:paraId="1CD6F224" w14:textId="548CE198" w:rsidR="00951AE1" w:rsidRPr="00951AE1" w:rsidRDefault="00951AE1" w:rsidP="00951AE1">
      <w:pPr>
        <w:pStyle w:val="Default"/>
        <w:rPr>
          <w:sz w:val="28"/>
          <w:szCs w:val="28"/>
          <w:lang w:val="en-US"/>
        </w:rPr>
      </w:pPr>
      <w:r w:rsidRPr="00951AE1">
        <w:rPr>
          <w:b/>
          <w:bCs/>
          <w:sz w:val="28"/>
          <w:szCs w:val="28"/>
          <w:lang w:val="en-US"/>
        </w:rPr>
        <w:t xml:space="preserve">I. Proposal </w:t>
      </w:r>
    </w:p>
    <w:p w14:paraId="104F5A10" w14:textId="39667C49" w:rsidR="00CA1F03" w:rsidRDefault="00CA1F03" w:rsidP="00CA1F03">
      <w:pPr>
        <w:pStyle w:val="SingleTxtG"/>
        <w:rPr>
          <w:i/>
          <w:iCs/>
          <w:lang w:val="en-US"/>
        </w:rPr>
      </w:pPr>
      <w:r>
        <w:rPr>
          <w:i/>
          <w:iCs/>
          <w:lang w:val="en-US"/>
        </w:rPr>
        <w:t>Paragraph 6.2.6</w:t>
      </w:r>
      <w:r w:rsidR="00B86189">
        <w:rPr>
          <w:i/>
          <w:iCs/>
          <w:lang w:val="en-US"/>
        </w:rPr>
        <w:t>. of Original and 01 series</w:t>
      </w:r>
      <w:r>
        <w:rPr>
          <w:i/>
          <w:iCs/>
          <w:lang w:val="en-US"/>
        </w:rPr>
        <w:t xml:space="preserve">; </w:t>
      </w:r>
      <w:r w:rsidR="00F4130C">
        <w:rPr>
          <w:lang w:val="en-US"/>
        </w:rPr>
        <w:t xml:space="preserve">amend </w:t>
      </w:r>
      <w:r w:rsidRPr="00AE3C95">
        <w:rPr>
          <w:lang w:val="en-US"/>
        </w:rPr>
        <w:t>to read:</w:t>
      </w:r>
    </w:p>
    <w:p w14:paraId="4F3EDCD2" w14:textId="49620826" w:rsidR="00CA1F03" w:rsidRPr="00D90B1E" w:rsidRDefault="00CA1F03" w:rsidP="00592535">
      <w:pPr>
        <w:pStyle w:val="SingleTxtG"/>
        <w:ind w:left="2268" w:hanging="1134"/>
        <w:rPr>
          <w:lang w:val="en-US"/>
        </w:rPr>
      </w:pPr>
      <w:r w:rsidRPr="004F58B3">
        <w:rPr>
          <w:rFonts w:eastAsia="MS Mincho"/>
        </w:rPr>
        <w:t>"</w:t>
      </w:r>
      <w:r w:rsidRPr="00D90B1E">
        <w:rPr>
          <w:lang w:val="en-US"/>
        </w:rPr>
        <w:t xml:space="preserve">6.2.6. </w:t>
      </w:r>
      <w:r>
        <w:rPr>
          <w:lang w:val="en-US"/>
        </w:rPr>
        <w:t xml:space="preserve"> </w:t>
      </w:r>
      <w:r w:rsidR="00592535">
        <w:rPr>
          <w:lang w:val="en-US"/>
        </w:rPr>
        <w:tab/>
      </w:r>
      <w:r w:rsidRPr="00D90B1E">
        <w:rPr>
          <w:lang w:val="en-US"/>
        </w:rPr>
        <w:t>Each of the vehicle families specified below shall be attributed a unique identifier of the following format:</w:t>
      </w:r>
    </w:p>
    <w:p w14:paraId="39AA494B" w14:textId="77777777" w:rsidR="00CA1F03" w:rsidRPr="00D90B1E" w:rsidRDefault="00CA1F03" w:rsidP="00592535">
      <w:pPr>
        <w:pStyle w:val="SingleTxtG"/>
        <w:ind w:left="2268"/>
        <w:rPr>
          <w:lang w:val="en-US"/>
        </w:rPr>
      </w:pPr>
      <w:r w:rsidRPr="00D90B1E">
        <w:rPr>
          <w:lang w:val="en-US"/>
        </w:rPr>
        <w:t>FT-nnnnnnnnnnnnnnn-WMI</w:t>
      </w:r>
    </w:p>
    <w:p w14:paraId="54CA9664" w14:textId="77777777" w:rsidR="00CA1F03" w:rsidRPr="00D90B1E" w:rsidRDefault="00CA1F03" w:rsidP="00592535">
      <w:pPr>
        <w:pStyle w:val="SingleTxtG"/>
        <w:ind w:left="2268"/>
        <w:rPr>
          <w:lang w:val="en-US"/>
        </w:rPr>
      </w:pPr>
      <w:r w:rsidRPr="00D90B1E">
        <w:rPr>
          <w:lang w:val="en-US"/>
        </w:rPr>
        <w:t>Where:</w:t>
      </w:r>
    </w:p>
    <w:p w14:paraId="7AF8537D" w14:textId="77777777" w:rsidR="00CA1F03" w:rsidRPr="00D90B1E" w:rsidRDefault="00CA1F03" w:rsidP="00592535">
      <w:pPr>
        <w:pStyle w:val="SingleTxtG"/>
        <w:ind w:left="2268"/>
        <w:rPr>
          <w:lang w:val="en-US"/>
        </w:rPr>
      </w:pPr>
      <w:r w:rsidRPr="00D90B1E">
        <w:rPr>
          <w:lang w:val="en-US"/>
        </w:rPr>
        <w:t>FT is an identifier of the family type:</w:t>
      </w:r>
    </w:p>
    <w:p w14:paraId="23A7E875" w14:textId="77777777" w:rsidR="00CA1F03" w:rsidRPr="00D90B1E" w:rsidRDefault="00CA1F03" w:rsidP="00592535">
      <w:pPr>
        <w:pStyle w:val="SingleTxtG"/>
        <w:ind w:left="2268"/>
        <w:rPr>
          <w:lang w:val="en-US"/>
        </w:rPr>
      </w:pPr>
      <w:r w:rsidRPr="00D90B1E">
        <w:rPr>
          <w:lang w:val="en-US"/>
        </w:rPr>
        <w:t>(a) IP = Interpolation family as defined in paragraph 6.3.2. with or without using the interpolation method</w:t>
      </w:r>
    </w:p>
    <w:p w14:paraId="7B8DA8B1" w14:textId="77777777" w:rsidR="00CA1F03" w:rsidRPr="00D90B1E" w:rsidRDefault="00CA1F03" w:rsidP="00592535">
      <w:pPr>
        <w:pStyle w:val="SingleTxtG"/>
        <w:ind w:left="2268"/>
        <w:rPr>
          <w:lang w:val="en-US"/>
        </w:rPr>
      </w:pPr>
      <w:r w:rsidRPr="00D90B1E">
        <w:rPr>
          <w:lang w:val="en-US"/>
        </w:rPr>
        <w:t>(b) RL = Road load family as defined in paragraph 6.3.3.</w:t>
      </w:r>
    </w:p>
    <w:p w14:paraId="048D867D" w14:textId="77777777" w:rsidR="00CA1F03" w:rsidRPr="00D90B1E" w:rsidRDefault="00CA1F03" w:rsidP="00592535">
      <w:pPr>
        <w:pStyle w:val="SingleTxtG"/>
        <w:ind w:left="2268"/>
        <w:rPr>
          <w:lang w:val="en-US"/>
        </w:rPr>
      </w:pPr>
      <w:r w:rsidRPr="00D90B1E">
        <w:rPr>
          <w:lang w:val="en-US"/>
        </w:rPr>
        <w:t>(c) RM = Road load matrix family as defined in paragraph 6.3.4.</w:t>
      </w:r>
    </w:p>
    <w:p w14:paraId="446D2A5F" w14:textId="77777777" w:rsidR="00CA1F03" w:rsidRPr="00D90B1E" w:rsidRDefault="00CA1F03" w:rsidP="00592535">
      <w:pPr>
        <w:pStyle w:val="SingleTxtG"/>
        <w:ind w:left="2268"/>
        <w:rPr>
          <w:lang w:val="en-US"/>
        </w:rPr>
      </w:pPr>
      <w:r w:rsidRPr="00D90B1E">
        <w:rPr>
          <w:lang w:val="en-US"/>
        </w:rPr>
        <w:t>(d) PR = Periodically regenerating systems (Ki) family as defined in paragraph 6.3.5.</w:t>
      </w:r>
    </w:p>
    <w:p w14:paraId="2AFF6ADC" w14:textId="77777777" w:rsidR="00CA1F03" w:rsidRPr="00D90B1E" w:rsidRDefault="00CA1F03" w:rsidP="00592535">
      <w:pPr>
        <w:pStyle w:val="SingleTxtG"/>
        <w:ind w:left="2268"/>
        <w:rPr>
          <w:lang w:val="en-US"/>
        </w:rPr>
      </w:pPr>
      <w:r w:rsidRPr="00D90B1E">
        <w:rPr>
          <w:lang w:val="en-US"/>
        </w:rPr>
        <w:t>(e) AT = ATCT family as defined in paragraph 2. of Annex B6a.</w:t>
      </w:r>
    </w:p>
    <w:p w14:paraId="23B3466D" w14:textId="77777777" w:rsidR="00CA1F03" w:rsidRPr="00D90B1E" w:rsidRDefault="00CA1F03" w:rsidP="00592535">
      <w:pPr>
        <w:pStyle w:val="SingleTxtG"/>
        <w:ind w:left="2268"/>
        <w:rPr>
          <w:lang w:val="en-US"/>
        </w:rPr>
      </w:pPr>
      <w:r w:rsidRPr="00D90B1E">
        <w:rPr>
          <w:lang w:val="en-US"/>
        </w:rPr>
        <w:t>(f) EV = Evaporative emissions family, as defined in paragraph 6.6.3.</w:t>
      </w:r>
    </w:p>
    <w:p w14:paraId="2FA18888" w14:textId="77777777" w:rsidR="00CA1F03" w:rsidRPr="00D90B1E" w:rsidRDefault="00CA1F03" w:rsidP="00592535">
      <w:pPr>
        <w:pStyle w:val="SingleTxtG"/>
        <w:ind w:left="2268"/>
        <w:rPr>
          <w:lang w:val="en-US"/>
        </w:rPr>
      </w:pPr>
      <w:r w:rsidRPr="00D90B1E">
        <w:rPr>
          <w:lang w:val="en-US"/>
        </w:rPr>
        <w:t>(g) DF = Durability family, as defined in paragraph 6.7.5.</w:t>
      </w:r>
    </w:p>
    <w:p w14:paraId="62FFA770" w14:textId="77777777" w:rsidR="00CA1F03" w:rsidRPr="00D90B1E" w:rsidRDefault="00CA1F03" w:rsidP="00592535">
      <w:pPr>
        <w:pStyle w:val="SingleTxtG"/>
        <w:ind w:left="2268"/>
        <w:rPr>
          <w:lang w:val="en-US"/>
        </w:rPr>
      </w:pPr>
      <w:r w:rsidRPr="00D90B1E">
        <w:rPr>
          <w:lang w:val="en-US"/>
        </w:rPr>
        <w:t>(h) OB = OBD family identifier, as defined paragraph 6.8.1.</w:t>
      </w:r>
    </w:p>
    <w:p w14:paraId="04C77252" w14:textId="77777777" w:rsidR="00CA1F03" w:rsidRPr="00D90B1E" w:rsidRDefault="00CA1F03" w:rsidP="00592535">
      <w:pPr>
        <w:pStyle w:val="SingleTxtG"/>
        <w:ind w:left="2268"/>
        <w:rPr>
          <w:lang w:val="en-US"/>
        </w:rPr>
      </w:pPr>
      <w:r w:rsidRPr="00D90B1E">
        <w:rPr>
          <w:lang w:val="en-US"/>
        </w:rPr>
        <w:t>(i) ER = Exhaust after-treatment system using reagent (ER) family identifier, as defined in paragraph 6.9.2.</w:t>
      </w:r>
    </w:p>
    <w:p w14:paraId="72796637" w14:textId="77777777" w:rsidR="00CA1F03" w:rsidRDefault="00CA1F03" w:rsidP="00592535">
      <w:pPr>
        <w:pStyle w:val="SingleTxtG"/>
        <w:ind w:left="2268"/>
        <w:rPr>
          <w:lang w:val="en-US"/>
        </w:rPr>
      </w:pPr>
      <w:r w:rsidRPr="00D90B1E">
        <w:rPr>
          <w:lang w:val="en-US"/>
        </w:rPr>
        <w:t>(j) GV = GFV family identifier, as defined in paragraph 6.3.6.3.</w:t>
      </w:r>
    </w:p>
    <w:p w14:paraId="36532F30" w14:textId="77777777" w:rsidR="00CA1F03" w:rsidRPr="00D90B1E" w:rsidRDefault="00CA1F03" w:rsidP="00592535">
      <w:pPr>
        <w:pStyle w:val="SingleTxtG"/>
        <w:ind w:left="2268"/>
        <w:rPr>
          <w:b/>
          <w:bCs/>
          <w:lang w:val="en-US"/>
        </w:rPr>
      </w:pPr>
      <w:r w:rsidRPr="00D90B1E">
        <w:rPr>
          <w:b/>
          <w:bCs/>
          <w:lang w:val="en-US"/>
        </w:rPr>
        <w:t>(k) KC = KCO2 family identifier, as defined in paragraph 6.3.</w:t>
      </w:r>
      <w:r>
        <w:rPr>
          <w:b/>
          <w:bCs/>
          <w:lang w:val="en-US"/>
        </w:rPr>
        <w:t>11</w:t>
      </w:r>
    </w:p>
    <w:p w14:paraId="30460ACC" w14:textId="77777777" w:rsidR="00CA1F03" w:rsidRPr="00D90B1E" w:rsidRDefault="00CA1F03" w:rsidP="00592535">
      <w:pPr>
        <w:pStyle w:val="SingleTxtG"/>
        <w:ind w:left="2268"/>
        <w:rPr>
          <w:lang w:val="en-US"/>
        </w:rPr>
      </w:pPr>
      <w:r w:rsidRPr="00D90B1E">
        <w:rPr>
          <w:lang w:val="en-US"/>
        </w:rPr>
        <w:t>nnnnnnnnnnnnnnn is a string with a maximum of fifteen characters, restricted to using the characters 0-9, A-Z and the underscore character '_'.</w:t>
      </w:r>
    </w:p>
    <w:p w14:paraId="0A18FD18" w14:textId="77777777" w:rsidR="00CA1F03" w:rsidRPr="00D90B1E" w:rsidRDefault="00CA1F03" w:rsidP="00592535">
      <w:pPr>
        <w:pStyle w:val="SingleTxtG"/>
        <w:ind w:left="2268"/>
        <w:rPr>
          <w:lang w:val="en-US"/>
        </w:rPr>
      </w:pPr>
      <w:r w:rsidRPr="00D90B1E">
        <w:rPr>
          <w:lang w:val="en-US"/>
        </w:rPr>
        <w:t>WMI (world manufacturer identifier) is a code that identifies the manufacturer in a unique manner defined in ISO 3780:2009.</w:t>
      </w:r>
    </w:p>
    <w:p w14:paraId="7BB2320B" w14:textId="649B3A33" w:rsidR="00CA1F03" w:rsidRPr="00D90B1E" w:rsidRDefault="00CA1F03" w:rsidP="00592535">
      <w:pPr>
        <w:pStyle w:val="SingleTxtG"/>
        <w:ind w:left="2268"/>
        <w:rPr>
          <w:lang w:val="en-US"/>
        </w:rPr>
      </w:pPr>
      <w:r w:rsidRPr="00D90B1E">
        <w:rPr>
          <w:lang w:val="en-US"/>
        </w:rPr>
        <w:t>It is the responsibility of the owner of the WMI to ensure that the combination of the string nnnnnnnnnnnnnnn and the WMI is unique to the family and that the string nnnnnnnnnnnnnnn is unique within that WMI to the approval tests performed to obtain the approval.</w:t>
      </w:r>
      <w:r w:rsidRPr="004F58B3">
        <w:rPr>
          <w:rFonts w:eastAsia="MS Mincho"/>
        </w:rPr>
        <w:t>"</w:t>
      </w:r>
    </w:p>
    <w:p w14:paraId="7E36D644" w14:textId="3214A5CC" w:rsidR="00CA1F03" w:rsidRDefault="00CA1F03" w:rsidP="00CA1F03">
      <w:pPr>
        <w:pStyle w:val="SingleTxtG"/>
        <w:rPr>
          <w:i/>
          <w:iCs/>
          <w:lang w:val="en-US"/>
        </w:rPr>
      </w:pPr>
    </w:p>
    <w:p w14:paraId="5D2952D5" w14:textId="155B9969" w:rsidR="00CA1F03" w:rsidRDefault="00CA1F03" w:rsidP="00CA1F03">
      <w:pPr>
        <w:pStyle w:val="SingleTxtG"/>
        <w:rPr>
          <w:i/>
          <w:iCs/>
          <w:lang w:val="en-US"/>
        </w:rPr>
      </w:pPr>
    </w:p>
    <w:p w14:paraId="7619176D" w14:textId="77777777" w:rsidR="00CA1F03" w:rsidRDefault="00CA1F03" w:rsidP="00CA1F03">
      <w:pPr>
        <w:pStyle w:val="SingleTxtG"/>
        <w:rPr>
          <w:i/>
          <w:iCs/>
          <w:lang w:val="en-US"/>
        </w:rPr>
      </w:pPr>
    </w:p>
    <w:p w14:paraId="18C6DBBA" w14:textId="3997B214" w:rsidR="00CA1F03" w:rsidRDefault="00CA1F03" w:rsidP="00CA1F03">
      <w:pPr>
        <w:pStyle w:val="SingleTxtG"/>
        <w:rPr>
          <w:i/>
          <w:iCs/>
          <w:lang w:val="en-US"/>
        </w:rPr>
      </w:pPr>
      <w:r>
        <w:rPr>
          <w:i/>
          <w:iCs/>
          <w:lang w:val="en-US"/>
        </w:rPr>
        <w:t>Add a new paragraph 6.3.11.</w:t>
      </w:r>
      <w:r w:rsidR="00B86189">
        <w:rPr>
          <w:i/>
          <w:iCs/>
          <w:lang w:val="en-US"/>
        </w:rPr>
        <w:t xml:space="preserve"> to Original series</w:t>
      </w:r>
      <w:r>
        <w:rPr>
          <w:i/>
          <w:iCs/>
          <w:lang w:val="en-US"/>
        </w:rPr>
        <w:t>,</w:t>
      </w:r>
      <w:r w:rsidRPr="00AE3C95">
        <w:rPr>
          <w:lang w:val="en-US"/>
        </w:rPr>
        <w:t xml:space="preserve"> to read:</w:t>
      </w:r>
    </w:p>
    <w:p w14:paraId="1FE82D23" w14:textId="7F723278" w:rsidR="00CA1F03" w:rsidRPr="00707D38" w:rsidRDefault="00B86189" w:rsidP="00592535">
      <w:pPr>
        <w:pStyle w:val="SingleTxtG"/>
        <w:ind w:left="2268" w:hanging="1134"/>
        <w:rPr>
          <w:b/>
          <w:bCs/>
          <w:lang w:val="en-US"/>
        </w:rPr>
      </w:pPr>
      <w:r w:rsidRPr="004F58B3">
        <w:rPr>
          <w:rFonts w:eastAsia="MS Mincho"/>
        </w:rPr>
        <w:t>"</w:t>
      </w:r>
      <w:r w:rsidR="00CA1F03" w:rsidRPr="002805A2">
        <w:rPr>
          <w:b/>
          <w:bCs/>
          <w:lang w:val="en-US"/>
        </w:rPr>
        <w:t>6.3.11</w:t>
      </w:r>
      <w:r>
        <w:rPr>
          <w:b/>
          <w:bCs/>
          <w:lang w:val="en-US"/>
        </w:rPr>
        <w:t>.</w:t>
      </w:r>
      <w:r w:rsidR="00CA1F03" w:rsidRPr="002805A2">
        <w:rPr>
          <w:b/>
          <w:bCs/>
          <w:lang w:val="en-US"/>
        </w:rPr>
        <w:t xml:space="preserve"> </w:t>
      </w:r>
      <w:r w:rsidR="00592535">
        <w:rPr>
          <w:b/>
          <w:bCs/>
          <w:lang w:val="en-US"/>
        </w:rPr>
        <w:tab/>
      </w:r>
      <w:r w:rsidR="00CA1F03" w:rsidRPr="00B86189">
        <w:rPr>
          <w:b/>
          <w:bCs/>
        </w:rPr>
        <w:t>This paragraph applies to Level 1A only.</w:t>
      </w:r>
    </w:p>
    <w:p w14:paraId="291864E5" w14:textId="77777777" w:rsidR="00CA1F03" w:rsidRPr="002805A2" w:rsidRDefault="00CA1F03" w:rsidP="00592535">
      <w:pPr>
        <w:pStyle w:val="SingleTxtG"/>
        <w:ind w:left="2268"/>
        <w:rPr>
          <w:b/>
          <w:bCs/>
          <w:lang w:val="en-US"/>
        </w:rPr>
      </w:pPr>
      <w:r w:rsidRPr="002805A2">
        <w:rPr>
          <w:b/>
          <w:bCs/>
          <w:lang w:val="en-US"/>
        </w:rPr>
        <w:t>K</w:t>
      </w:r>
      <w:r w:rsidRPr="002805A2">
        <w:rPr>
          <w:b/>
          <w:bCs/>
          <w:vertAlign w:val="subscript"/>
          <w:lang w:val="en-US"/>
        </w:rPr>
        <w:t>CO2</w:t>
      </w:r>
      <w:r w:rsidRPr="002805A2">
        <w:rPr>
          <w:b/>
          <w:bCs/>
          <w:lang w:val="en-US"/>
        </w:rPr>
        <w:t xml:space="preserve"> correction factor family for OVC-HEVs and NOVC-HEVs</w:t>
      </w:r>
    </w:p>
    <w:p w14:paraId="27E35C1E" w14:textId="77777777" w:rsidR="00CA1F03" w:rsidRPr="002805A2" w:rsidRDefault="00CA1F03" w:rsidP="00592535">
      <w:pPr>
        <w:pStyle w:val="SingleTxtG"/>
        <w:ind w:left="2268"/>
        <w:rPr>
          <w:b/>
          <w:bCs/>
          <w:lang w:val="en-US"/>
        </w:rPr>
      </w:pPr>
      <w:r w:rsidRPr="002805A2">
        <w:rPr>
          <w:b/>
          <w:bCs/>
          <w:lang w:val="en-US"/>
        </w:rPr>
        <w:t>It is allowed to merge two or more interpolation families into the same K</w:t>
      </w:r>
      <w:r w:rsidRPr="002805A2">
        <w:rPr>
          <w:b/>
          <w:bCs/>
          <w:vertAlign w:val="subscript"/>
          <w:lang w:val="en-US"/>
        </w:rPr>
        <w:t>CO2</w:t>
      </w:r>
      <w:r w:rsidRPr="002805A2">
        <w:rPr>
          <w:b/>
          <w:bCs/>
          <w:lang w:val="en-US"/>
        </w:rPr>
        <w:t xml:space="preserve"> correction factor family at which K</w:t>
      </w:r>
      <w:r w:rsidRPr="002805A2">
        <w:rPr>
          <w:b/>
          <w:bCs/>
          <w:vertAlign w:val="subscript"/>
          <w:lang w:val="en-US"/>
        </w:rPr>
        <w:t>CO2</w:t>
      </w:r>
      <w:r w:rsidRPr="002805A2">
        <w:rPr>
          <w:b/>
          <w:bCs/>
          <w:lang w:val="en-US"/>
        </w:rPr>
        <w:t xml:space="preserve"> shall be determined with vehicle H of one of the included interpolation families. The interpolation family that is used for the vehicle H selection shall be agreed by the responsible authority.</w:t>
      </w:r>
    </w:p>
    <w:p w14:paraId="5851A3D8" w14:textId="77777777" w:rsidR="00CA1F03" w:rsidRPr="002805A2" w:rsidRDefault="00CA1F03" w:rsidP="00592535">
      <w:pPr>
        <w:pStyle w:val="SingleTxtG"/>
        <w:ind w:left="2268"/>
        <w:rPr>
          <w:b/>
          <w:bCs/>
          <w:lang w:val="en-US"/>
        </w:rPr>
      </w:pPr>
      <w:r w:rsidRPr="002805A2">
        <w:rPr>
          <w:b/>
          <w:bCs/>
          <w:lang w:val="en-US"/>
        </w:rPr>
        <w:t>At the request of the responsible authority, the manufacturer shall provide evidence on the justification and technical criteria for merging these interpolation families for example in the following cases:</w:t>
      </w:r>
    </w:p>
    <w:p w14:paraId="4F07711B" w14:textId="77777777" w:rsidR="00CA1F03" w:rsidRPr="002805A2" w:rsidRDefault="00CA1F03" w:rsidP="00592535">
      <w:pPr>
        <w:pStyle w:val="SingleTxtG"/>
        <w:ind w:left="2268"/>
        <w:rPr>
          <w:b/>
          <w:bCs/>
          <w:lang w:val="en-US"/>
        </w:rPr>
      </w:pPr>
      <w:r w:rsidRPr="002805A2">
        <w:rPr>
          <w:b/>
          <w:bCs/>
          <w:lang w:val="en-US"/>
        </w:rPr>
        <w:t>Two or more interpolation families are merged:</w:t>
      </w:r>
    </w:p>
    <w:p w14:paraId="6B8AF844" w14:textId="77777777" w:rsidR="00CA1F03" w:rsidRPr="002805A2" w:rsidRDefault="00CA1F03" w:rsidP="00592535">
      <w:pPr>
        <w:pStyle w:val="SingleTxtG"/>
        <w:ind w:left="2268"/>
        <w:rPr>
          <w:b/>
          <w:bCs/>
          <w:lang w:val="en-US"/>
        </w:rPr>
      </w:pPr>
      <w:r w:rsidRPr="002805A2">
        <w:rPr>
          <w:b/>
          <w:bCs/>
          <w:lang w:val="en-US"/>
        </w:rPr>
        <w:t>(a) Which were split because the maximum interpolation range of 20 g/km CO</w:t>
      </w:r>
      <w:r w:rsidRPr="002805A2">
        <w:rPr>
          <w:b/>
          <w:bCs/>
          <w:vertAlign w:val="subscript"/>
          <w:lang w:val="en-US"/>
        </w:rPr>
        <w:t>2</w:t>
      </w:r>
      <w:r w:rsidRPr="002805A2">
        <w:rPr>
          <w:b/>
          <w:bCs/>
          <w:lang w:val="en-US"/>
        </w:rPr>
        <w:t xml:space="preserve"> is exceeded (in case vehicle M measured: 30g/km); </w:t>
      </w:r>
    </w:p>
    <w:p w14:paraId="4D633247" w14:textId="77777777" w:rsidR="00CA1F03" w:rsidRPr="002805A2" w:rsidRDefault="00CA1F03" w:rsidP="00592535">
      <w:pPr>
        <w:pStyle w:val="SingleTxtG"/>
        <w:ind w:left="2268"/>
        <w:rPr>
          <w:b/>
          <w:bCs/>
          <w:lang w:val="en-US"/>
        </w:rPr>
      </w:pPr>
      <w:r w:rsidRPr="002805A2">
        <w:rPr>
          <w:b/>
          <w:bCs/>
          <w:lang w:val="en-US"/>
        </w:rPr>
        <w:t>(b) Which were split due to different engine power ratings of the same physical combustion engine</w:t>
      </w:r>
      <w:r>
        <w:rPr>
          <w:b/>
          <w:bCs/>
          <w:lang w:val="en-US"/>
        </w:rPr>
        <w:t xml:space="preserve"> </w:t>
      </w:r>
      <w:r w:rsidRPr="002805A2">
        <w:rPr>
          <w:b/>
          <w:bCs/>
          <w:lang w:val="en-US"/>
        </w:rPr>
        <w:t>(different power only related to software)</w:t>
      </w:r>
    </w:p>
    <w:p w14:paraId="718CA515" w14:textId="77777777" w:rsidR="00CA1F03" w:rsidRPr="002805A2" w:rsidRDefault="00CA1F03" w:rsidP="00592535">
      <w:pPr>
        <w:pStyle w:val="SingleTxtG"/>
        <w:ind w:left="2268"/>
        <w:rPr>
          <w:b/>
          <w:bCs/>
          <w:lang w:val="en-US"/>
        </w:rPr>
      </w:pPr>
      <w:r w:rsidRPr="002805A2">
        <w:rPr>
          <w:b/>
          <w:bCs/>
          <w:lang w:val="en-US"/>
        </w:rPr>
        <w:t>(c) Which were split because the n/v ratios are just outside the tolerance of 8%;</w:t>
      </w:r>
    </w:p>
    <w:p w14:paraId="3BA607EC" w14:textId="77777777" w:rsidR="00CA1F03" w:rsidRPr="002805A2" w:rsidRDefault="00CA1F03" w:rsidP="00592535">
      <w:pPr>
        <w:pStyle w:val="SingleTxtG"/>
        <w:ind w:left="2268"/>
        <w:rPr>
          <w:b/>
          <w:bCs/>
          <w:lang w:val="en-US"/>
        </w:rPr>
      </w:pPr>
      <w:r w:rsidRPr="002805A2">
        <w:rPr>
          <w:b/>
          <w:bCs/>
          <w:lang w:val="en-US"/>
        </w:rPr>
        <w:t>(d) Which were split, but still fulfil all the family criteria of a single IP family.</w:t>
      </w:r>
    </w:p>
    <w:p w14:paraId="6B8AB4C9" w14:textId="77777777" w:rsidR="00CA1F03" w:rsidRPr="002805A2" w:rsidRDefault="00CA1F03" w:rsidP="00592535">
      <w:pPr>
        <w:pStyle w:val="SingleTxtG"/>
        <w:ind w:left="2268"/>
        <w:rPr>
          <w:b/>
          <w:bCs/>
          <w:lang w:val="en-US"/>
        </w:rPr>
      </w:pPr>
      <w:r w:rsidRPr="002805A2">
        <w:rPr>
          <w:b/>
          <w:bCs/>
          <w:lang w:val="en-US"/>
        </w:rPr>
        <w:t xml:space="preserve">(e) Which were split because there is different number of powered axles </w:t>
      </w:r>
    </w:p>
    <w:p w14:paraId="43466ADF" w14:textId="2B6892E3" w:rsidR="00CA1F03" w:rsidRDefault="00CA1F03" w:rsidP="00592535">
      <w:pPr>
        <w:pStyle w:val="SingleTxtG"/>
        <w:ind w:left="2268"/>
        <w:rPr>
          <w:rFonts w:eastAsia="MS Mincho"/>
        </w:rPr>
      </w:pPr>
      <w:r w:rsidRPr="002805A2">
        <w:rPr>
          <w:b/>
          <w:bCs/>
          <w:lang w:val="en-US"/>
        </w:rPr>
        <w:t>Different electric energy converters between recharge-plug-in and traction REESS shall not be considered as a criterion in the context of the correction factor family.</w:t>
      </w:r>
      <w:r w:rsidR="00B86189" w:rsidRPr="004F58B3">
        <w:rPr>
          <w:rFonts w:eastAsia="MS Mincho"/>
        </w:rPr>
        <w:t>"</w:t>
      </w:r>
    </w:p>
    <w:p w14:paraId="65D7EA66" w14:textId="77777777" w:rsidR="00B86189" w:rsidRPr="00B86189" w:rsidRDefault="00B86189" w:rsidP="00CA1F03">
      <w:pPr>
        <w:pStyle w:val="SingleTxtG"/>
        <w:ind w:left="1701"/>
        <w:rPr>
          <w:b/>
          <w:bCs/>
        </w:rPr>
      </w:pPr>
    </w:p>
    <w:p w14:paraId="7F7EBD8E" w14:textId="217875C4" w:rsidR="00CA1F03" w:rsidRPr="00707D38" w:rsidRDefault="00CA1F03" w:rsidP="00CA1F03">
      <w:pPr>
        <w:pStyle w:val="SingleTxtG"/>
        <w:rPr>
          <w:i/>
          <w:iCs/>
          <w:lang w:val="en-US"/>
        </w:rPr>
      </w:pPr>
      <w:r w:rsidRPr="00707D38">
        <w:rPr>
          <w:i/>
          <w:iCs/>
          <w:lang w:val="en-US"/>
        </w:rPr>
        <w:t xml:space="preserve">Add </w:t>
      </w:r>
      <w:r w:rsidR="00B86189">
        <w:rPr>
          <w:i/>
          <w:iCs/>
          <w:lang w:val="en-US"/>
        </w:rPr>
        <w:t xml:space="preserve">a new paragraph </w:t>
      </w:r>
      <w:r w:rsidRPr="00707D38">
        <w:rPr>
          <w:i/>
          <w:iCs/>
          <w:lang w:val="en-US"/>
        </w:rPr>
        <w:t>6.3.11</w:t>
      </w:r>
      <w:r w:rsidR="00B86189">
        <w:rPr>
          <w:i/>
          <w:iCs/>
          <w:lang w:val="en-US"/>
        </w:rPr>
        <w:t>.</w:t>
      </w:r>
      <w:r w:rsidRPr="00707D38">
        <w:rPr>
          <w:i/>
          <w:iCs/>
          <w:lang w:val="en-US"/>
        </w:rPr>
        <w:t xml:space="preserve"> </w:t>
      </w:r>
      <w:r w:rsidR="00B86189">
        <w:rPr>
          <w:i/>
          <w:iCs/>
          <w:lang w:val="en-US"/>
        </w:rPr>
        <w:t>to</w:t>
      </w:r>
      <w:r w:rsidRPr="00707D38">
        <w:rPr>
          <w:i/>
          <w:iCs/>
          <w:lang w:val="en-US"/>
        </w:rPr>
        <w:t xml:space="preserve"> 01 series</w:t>
      </w:r>
      <w:r w:rsidR="00B86189">
        <w:rPr>
          <w:i/>
          <w:iCs/>
          <w:lang w:val="en-US"/>
        </w:rPr>
        <w:t>;</w:t>
      </w:r>
      <w:r w:rsidRPr="00707D38">
        <w:rPr>
          <w:i/>
          <w:iCs/>
          <w:lang w:val="en-US"/>
        </w:rPr>
        <w:t xml:space="preserve"> </w:t>
      </w:r>
      <w:r w:rsidRPr="00B86189">
        <w:rPr>
          <w:lang w:val="en-US"/>
        </w:rPr>
        <w:t>to read:</w:t>
      </w:r>
    </w:p>
    <w:p w14:paraId="3C3AFAE7" w14:textId="0936EA7C" w:rsidR="00CA1F03" w:rsidRPr="00707D38" w:rsidRDefault="00B86189" w:rsidP="00592535">
      <w:pPr>
        <w:pStyle w:val="SingleTxtG"/>
        <w:ind w:left="2268" w:hanging="1134"/>
        <w:rPr>
          <w:b/>
          <w:bCs/>
          <w:lang w:val="en-US"/>
        </w:rPr>
      </w:pPr>
      <w:r w:rsidRPr="004F58B3">
        <w:rPr>
          <w:rFonts w:eastAsia="MS Mincho"/>
        </w:rPr>
        <w:t>"</w:t>
      </w:r>
      <w:r w:rsidR="00CA1F03" w:rsidRPr="00707D38">
        <w:rPr>
          <w:b/>
          <w:bCs/>
          <w:lang w:val="en-US"/>
        </w:rPr>
        <w:t>6.3.11</w:t>
      </w:r>
      <w:r>
        <w:rPr>
          <w:b/>
          <w:bCs/>
          <w:lang w:val="en-US"/>
        </w:rPr>
        <w:t>.</w:t>
      </w:r>
      <w:r w:rsidR="00CA1F03" w:rsidRPr="00707D38">
        <w:rPr>
          <w:b/>
          <w:bCs/>
          <w:lang w:val="en-US"/>
        </w:rPr>
        <w:t xml:space="preserve"> </w:t>
      </w:r>
      <w:r w:rsidR="00592535">
        <w:rPr>
          <w:b/>
          <w:bCs/>
          <w:lang w:val="en-US"/>
        </w:rPr>
        <w:tab/>
      </w:r>
      <w:r w:rsidR="00CA1F03" w:rsidRPr="00707D38">
        <w:rPr>
          <w:b/>
          <w:bCs/>
          <w:lang w:val="en-US"/>
        </w:rPr>
        <w:t>KCO2 correction factor family for OVC-HEVs and NOVC-HEVs (</w:t>
      </w:r>
      <w:r w:rsidR="00CA1F03" w:rsidRPr="00707D38">
        <w:rPr>
          <w:b/>
          <w:bCs/>
        </w:rPr>
        <w:t>for 4-phase WLTC only)</w:t>
      </w:r>
    </w:p>
    <w:p w14:paraId="3DB855BF" w14:textId="77777777" w:rsidR="00CA1F03" w:rsidRPr="00707D38" w:rsidRDefault="00CA1F03" w:rsidP="00592535">
      <w:pPr>
        <w:pStyle w:val="SingleTxtG"/>
        <w:ind w:left="2268"/>
        <w:rPr>
          <w:b/>
          <w:bCs/>
          <w:lang w:val="en-US"/>
        </w:rPr>
      </w:pPr>
      <w:r w:rsidRPr="00707D38">
        <w:rPr>
          <w:b/>
          <w:bCs/>
          <w:lang w:val="en-US"/>
        </w:rPr>
        <w:t>It is allowed to merge two or more interpolation families into the same KCO2 correction factor family at which KCO2 shall be determined with vehicle H of one of the included interpolation families. The interpolation family that is used for the vehicle H selection shall be agreed by the responsible authority.</w:t>
      </w:r>
    </w:p>
    <w:p w14:paraId="63BE5474" w14:textId="77777777" w:rsidR="00CA1F03" w:rsidRPr="00707D38" w:rsidRDefault="00CA1F03" w:rsidP="00592535">
      <w:pPr>
        <w:pStyle w:val="SingleTxtG"/>
        <w:ind w:left="2268"/>
        <w:rPr>
          <w:b/>
          <w:bCs/>
          <w:lang w:val="en-US"/>
        </w:rPr>
      </w:pPr>
      <w:r w:rsidRPr="00707D38">
        <w:rPr>
          <w:b/>
          <w:bCs/>
          <w:lang w:val="en-US"/>
        </w:rPr>
        <w:t>At the request of the responsible authority, the manufacturer shall provide evidence on the justification and technical criteria for merging these interpolation families for example in the following cases:</w:t>
      </w:r>
    </w:p>
    <w:p w14:paraId="17BADEB4" w14:textId="77777777" w:rsidR="00CA1F03" w:rsidRPr="00707D38" w:rsidRDefault="00CA1F03" w:rsidP="00592535">
      <w:pPr>
        <w:pStyle w:val="SingleTxtG"/>
        <w:ind w:left="2268"/>
        <w:rPr>
          <w:b/>
          <w:bCs/>
          <w:lang w:val="en-US"/>
        </w:rPr>
      </w:pPr>
      <w:r w:rsidRPr="00707D38">
        <w:rPr>
          <w:b/>
          <w:bCs/>
          <w:lang w:val="en-US"/>
        </w:rPr>
        <w:t>Two or more interpolation families are merged:</w:t>
      </w:r>
    </w:p>
    <w:p w14:paraId="76FE5CD4" w14:textId="77777777" w:rsidR="00CA1F03" w:rsidRPr="00707D38" w:rsidRDefault="00CA1F03" w:rsidP="00592535">
      <w:pPr>
        <w:pStyle w:val="SingleTxtG"/>
        <w:ind w:left="2268"/>
        <w:rPr>
          <w:b/>
          <w:bCs/>
          <w:lang w:val="en-US"/>
        </w:rPr>
      </w:pPr>
      <w:r w:rsidRPr="00707D38">
        <w:rPr>
          <w:b/>
          <w:bCs/>
          <w:lang w:val="en-US"/>
        </w:rPr>
        <w:t xml:space="preserve">(a) Which were split because the maximum interpolation range of 20 g/km CO2 is exceeded (in case vehicle M measured: 30g/km); </w:t>
      </w:r>
    </w:p>
    <w:p w14:paraId="173C2F1F" w14:textId="77777777" w:rsidR="00CA1F03" w:rsidRPr="00707D38" w:rsidRDefault="00CA1F03" w:rsidP="00592535">
      <w:pPr>
        <w:pStyle w:val="SingleTxtG"/>
        <w:ind w:left="2268"/>
        <w:rPr>
          <w:b/>
          <w:bCs/>
          <w:lang w:val="en-US"/>
        </w:rPr>
      </w:pPr>
      <w:r w:rsidRPr="00707D38">
        <w:rPr>
          <w:b/>
          <w:bCs/>
          <w:lang w:val="en-US"/>
        </w:rPr>
        <w:t>(b) Which were split due to different engine power ratings of the same physical combustion engine (different power only related to software)</w:t>
      </w:r>
    </w:p>
    <w:p w14:paraId="7AE886B5" w14:textId="77777777" w:rsidR="00CA1F03" w:rsidRPr="00707D38" w:rsidRDefault="00CA1F03" w:rsidP="00592535">
      <w:pPr>
        <w:pStyle w:val="SingleTxtG"/>
        <w:ind w:left="2268"/>
        <w:rPr>
          <w:b/>
          <w:bCs/>
          <w:lang w:val="en-US"/>
        </w:rPr>
      </w:pPr>
      <w:r w:rsidRPr="00707D38">
        <w:rPr>
          <w:b/>
          <w:bCs/>
          <w:lang w:val="en-US"/>
        </w:rPr>
        <w:t>(c) Which were split because the n/v ratios are just outside the tolerance of 8%;</w:t>
      </w:r>
    </w:p>
    <w:p w14:paraId="4584D4C6" w14:textId="77777777" w:rsidR="00CA1F03" w:rsidRPr="00707D38" w:rsidRDefault="00CA1F03" w:rsidP="00592535">
      <w:pPr>
        <w:pStyle w:val="SingleTxtG"/>
        <w:ind w:left="2268"/>
        <w:rPr>
          <w:b/>
          <w:bCs/>
          <w:lang w:val="en-US"/>
        </w:rPr>
      </w:pPr>
      <w:r w:rsidRPr="00707D38">
        <w:rPr>
          <w:b/>
          <w:bCs/>
          <w:lang w:val="en-US"/>
        </w:rPr>
        <w:t>(d) Which were split, but still fulfil all the family criteria of a single IP family.</w:t>
      </w:r>
    </w:p>
    <w:p w14:paraId="13E3960F" w14:textId="77777777" w:rsidR="00CA1F03" w:rsidRPr="00707D38" w:rsidRDefault="00CA1F03" w:rsidP="00592535">
      <w:pPr>
        <w:pStyle w:val="SingleTxtG"/>
        <w:ind w:left="2268"/>
        <w:rPr>
          <w:b/>
          <w:bCs/>
          <w:lang w:val="en-US"/>
        </w:rPr>
      </w:pPr>
      <w:r w:rsidRPr="00707D38">
        <w:rPr>
          <w:b/>
          <w:bCs/>
          <w:lang w:val="en-US"/>
        </w:rPr>
        <w:t xml:space="preserve">(e) Which were split because there is different number of powered axles </w:t>
      </w:r>
    </w:p>
    <w:p w14:paraId="1D008708" w14:textId="5CDF6E0F" w:rsidR="00CA1F03" w:rsidRPr="002805A2" w:rsidRDefault="00CA1F03" w:rsidP="00592535">
      <w:pPr>
        <w:pStyle w:val="SingleTxtG"/>
        <w:ind w:left="2268"/>
        <w:rPr>
          <w:b/>
          <w:bCs/>
          <w:lang w:val="en-US"/>
        </w:rPr>
      </w:pPr>
      <w:r w:rsidRPr="00707D38">
        <w:rPr>
          <w:b/>
          <w:bCs/>
          <w:lang w:val="en-US"/>
        </w:rPr>
        <w:t>Different electric energy converters between recharge-plug-in and traction REESS shall not be considered as a criterion in the context of the correction factor family.</w:t>
      </w:r>
      <w:r w:rsidR="00B86189" w:rsidRPr="004F58B3">
        <w:rPr>
          <w:rFonts w:eastAsia="MS Mincho"/>
        </w:rPr>
        <w:t>"</w:t>
      </w:r>
    </w:p>
    <w:p w14:paraId="0536D539" w14:textId="77777777" w:rsidR="00B86189" w:rsidRDefault="00B86189" w:rsidP="00CA1F03">
      <w:pPr>
        <w:pStyle w:val="SingleTxtG"/>
        <w:rPr>
          <w:i/>
          <w:iCs/>
          <w:lang w:val="en-US"/>
        </w:rPr>
      </w:pPr>
    </w:p>
    <w:p w14:paraId="638335B3" w14:textId="611EC9A2" w:rsidR="00CA1F03" w:rsidRDefault="00CA1F03" w:rsidP="00CA1F03">
      <w:pPr>
        <w:pStyle w:val="SingleTxtG"/>
        <w:rPr>
          <w:i/>
          <w:iCs/>
          <w:lang w:val="en-US"/>
        </w:rPr>
      </w:pPr>
      <w:r>
        <w:rPr>
          <w:i/>
          <w:iCs/>
          <w:lang w:val="en-US"/>
        </w:rPr>
        <w:t>Annex B8, Appendix 2, paragraph 2</w:t>
      </w:r>
      <w:r w:rsidR="00B86189">
        <w:rPr>
          <w:i/>
          <w:iCs/>
          <w:lang w:val="en-US"/>
        </w:rPr>
        <w:t>.</w:t>
      </w:r>
      <w:r>
        <w:rPr>
          <w:i/>
          <w:iCs/>
          <w:lang w:val="en-US"/>
        </w:rPr>
        <w:t xml:space="preserve"> of Original and 01 series</w:t>
      </w:r>
      <w:r w:rsidR="00B86189">
        <w:rPr>
          <w:i/>
          <w:iCs/>
          <w:lang w:val="en-US"/>
        </w:rPr>
        <w:t>;</w:t>
      </w:r>
      <w:r w:rsidRPr="00AE3C95">
        <w:rPr>
          <w:lang w:val="en-US"/>
        </w:rPr>
        <w:t xml:space="preserve"> </w:t>
      </w:r>
      <w:r w:rsidR="00B86189">
        <w:rPr>
          <w:lang w:val="en-US"/>
        </w:rPr>
        <w:t xml:space="preserve">amend </w:t>
      </w:r>
      <w:r w:rsidRPr="00AE3C95">
        <w:rPr>
          <w:lang w:val="en-US"/>
        </w:rPr>
        <w:t>to read:</w:t>
      </w:r>
    </w:p>
    <w:p w14:paraId="3BB0040C" w14:textId="5BBC443D" w:rsidR="00CA1F03" w:rsidRDefault="00B86189" w:rsidP="00592535">
      <w:pPr>
        <w:pStyle w:val="SingleTxtG"/>
        <w:ind w:left="2268" w:hanging="1134"/>
        <w:rPr>
          <w:i/>
          <w:iCs/>
          <w:lang w:val="en-US"/>
        </w:rPr>
      </w:pPr>
      <w:r w:rsidRPr="004F58B3">
        <w:rPr>
          <w:rFonts w:eastAsia="MS Mincho"/>
        </w:rPr>
        <w:t>"</w:t>
      </w:r>
      <w:r w:rsidR="00CA1F03">
        <w:t xml:space="preserve">2.  </w:t>
      </w:r>
      <w:r w:rsidR="00592535">
        <w:tab/>
      </w:r>
      <w:r w:rsidR="00CA1F03">
        <w:t xml:space="preserve">Calculation of correction coefficients 2.1. The CO2 mass emission correction coefficient KCO2, the fuel consumption correction coefficients Kfuel,FCHV, as well as, if required by the manufacturer, the phase-specific correction coefficients KCO2,p and Kfuel,FCHV,p shall be developed based on the applicable charge-sustaining Type 1 test cycles. In the case that vehicle H was tested for the development of the correction coefficient for CO2 mass emission for NOVC-HEVs and OVC-HEVs, the coefficient may be applied to vehicles that fulfil the same interpolation family criteria. </w:t>
      </w:r>
      <w:r w:rsidR="00CA1F03" w:rsidRPr="00B52F31">
        <w:rPr>
          <w:b/>
          <w:bCs/>
        </w:rPr>
        <w:t xml:space="preserve">For interpolation families which fulfil the criteria of the KCO2 correction family, defined in paragraph </w:t>
      </w:r>
      <w:r w:rsidR="00CA1F03">
        <w:rPr>
          <w:b/>
          <w:bCs/>
        </w:rPr>
        <w:t>6.3.11.</w:t>
      </w:r>
      <w:r w:rsidR="00CA1F03" w:rsidRPr="00B52F31">
        <w:rPr>
          <w:b/>
          <w:bCs/>
        </w:rPr>
        <w:t xml:space="preserve"> of this </w:t>
      </w:r>
      <w:r w:rsidR="00CA1F03">
        <w:rPr>
          <w:b/>
          <w:bCs/>
        </w:rPr>
        <w:t>Regulation</w:t>
      </w:r>
      <w:r w:rsidR="00CA1F03" w:rsidRPr="00B52F31">
        <w:rPr>
          <w:b/>
          <w:bCs/>
        </w:rPr>
        <w:t>, the same KCO2 value may be applied.</w:t>
      </w:r>
      <w:r w:rsidRPr="004F58B3">
        <w:rPr>
          <w:rFonts w:eastAsia="MS Mincho"/>
        </w:rPr>
        <w:t>"</w:t>
      </w:r>
    </w:p>
    <w:p w14:paraId="6A98090A" w14:textId="77777777" w:rsidR="00CA1F03" w:rsidRDefault="00CA1F03" w:rsidP="00CA1F03">
      <w:pPr>
        <w:pStyle w:val="SingleTxtG"/>
        <w:rPr>
          <w:i/>
          <w:iCs/>
          <w:lang w:val="en-US"/>
        </w:rPr>
      </w:pPr>
    </w:p>
    <w:p w14:paraId="659FA5D0" w14:textId="23DE1159" w:rsidR="00CA1F03" w:rsidRDefault="00CA1F03" w:rsidP="00CA1F03">
      <w:pPr>
        <w:pStyle w:val="SingleTxtG"/>
        <w:rPr>
          <w:i/>
          <w:iCs/>
          <w:lang w:val="en-US"/>
        </w:rPr>
      </w:pPr>
      <w:r>
        <w:rPr>
          <w:i/>
          <w:iCs/>
          <w:lang w:val="en-US"/>
        </w:rPr>
        <w:t xml:space="preserve">Annex B8, Appendix 2, </w:t>
      </w:r>
      <w:r w:rsidR="00B86189">
        <w:rPr>
          <w:i/>
          <w:iCs/>
          <w:lang w:val="en-US"/>
        </w:rPr>
        <w:t xml:space="preserve">add a new </w:t>
      </w:r>
      <w:r>
        <w:rPr>
          <w:i/>
          <w:iCs/>
          <w:lang w:val="en-US"/>
        </w:rPr>
        <w:t>paragraph 4</w:t>
      </w:r>
      <w:r w:rsidR="00B86189">
        <w:rPr>
          <w:i/>
          <w:iCs/>
          <w:lang w:val="en-US"/>
        </w:rPr>
        <w:t>.</w:t>
      </w:r>
      <w:r>
        <w:rPr>
          <w:i/>
          <w:iCs/>
          <w:lang w:val="en-US"/>
        </w:rPr>
        <w:t xml:space="preserve"> </w:t>
      </w:r>
      <w:r w:rsidR="00B86189">
        <w:rPr>
          <w:i/>
          <w:iCs/>
          <w:lang w:val="en-US"/>
        </w:rPr>
        <w:t>to</w:t>
      </w:r>
      <w:r>
        <w:rPr>
          <w:i/>
          <w:iCs/>
          <w:lang w:val="en-US"/>
        </w:rPr>
        <w:t xml:space="preserve"> Original and 01 series,</w:t>
      </w:r>
      <w:r w:rsidRPr="00AE3C95">
        <w:rPr>
          <w:lang w:val="en-US"/>
        </w:rPr>
        <w:t xml:space="preserve"> </w:t>
      </w:r>
      <w:r w:rsidR="00F4130C">
        <w:rPr>
          <w:lang w:val="en-US"/>
        </w:rPr>
        <w:t xml:space="preserve">amend </w:t>
      </w:r>
      <w:r w:rsidRPr="00AE3C95">
        <w:rPr>
          <w:lang w:val="en-US"/>
        </w:rPr>
        <w:t>to read:</w:t>
      </w:r>
    </w:p>
    <w:p w14:paraId="38A90CF5" w14:textId="680A9146" w:rsidR="00CA1F03" w:rsidRPr="002805A2" w:rsidRDefault="00B86189" w:rsidP="00592535">
      <w:pPr>
        <w:pStyle w:val="SingleTxtG"/>
        <w:ind w:left="2268" w:hanging="1134"/>
        <w:rPr>
          <w:b/>
          <w:bCs/>
        </w:rPr>
      </w:pPr>
      <w:r w:rsidRPr="004F58B3">
        <w:rPr>
          <w:rFonts w:eastAsia="MS Mincho"/>
        </w:rPr>
        <w:t>"</w:t>
      </w:r>
      <w:r w:rsidR="00CA1F03" w:rsidRPr="002805A2">
        <w:rPr>
          <w:b/>
          <w:bCs/>
        </w:rPr>
        <w:t xml:space="preserve">4.  </w:t>
      </w:r>
      <w:r w:rsidR="00592535">
        <w:rPr>
          <w:b/>
          <w:bCs/>
        </w:rPr>
        <w:tab/>
      </w:r>
      <w:r w:rsidR="00CA1F03" w:rsidRPr="002805A2">
        <w:rPr>
          <w:b/>
          <w:bCs/>
        </w:rPr>
        <w:t>As an option for the manufacturer, it is allowed to apply ΔM</w:t>
      </w:r>
      <w:r w:rsidR="00CA1F03" w:rsidRPr="002805A2">
        <w:rPr>
          <w:b/>
          <w:bCs/>
          <w:vertAlign w:val="subscript"/>
        </w:rPr>
        <w:t>CO2,j</w:t>
      </w:r>
      <w:r w:rsidR="00CA1F03" w:rsidRPr="002805A2">
        <w:rPr>
          <w:b/>
          <w:bCs/>
        </w:rPr>
        <w:t xml:space="preserve"> defined in paragraph 4.5. of Appendix 2 to Annex B6 with the following modification: </w:t>
      </w:r>
    </w:p>
    <w:p w14:paraId="4862D82A" w14:textId="77777777" w:rsidR="00CA1F03" w:rsidRPr="002805A2" w:rsidRDefault="00CA1F03" w:rsidP="00592535">
      <w:pPr>
        <w:pStyle w:val="SingleTxtG"/>
        <w:ind w:left="2268"/>
        <w:rPr>
          <w:b/>
          <w:bCs/>
        </w:rPr>
      </w:pPr>
      <w:r w:rsidRPr="002805A2">
        <w:rPr>
          <w:b/>
          <w:bCs/>
        </w:rPr>
        <w:t>η</w:t>
      </w:r>
      <w:r w:rsidRPr="002805A2">
        <w:rPr>
          <w:rFonts w:ascii="Cambria Math" w:hAnsi="Cambria Math" w:cs="Cambria Math"/>
          <w:b/>
          <w:bCs/>
          <w:vertAlign w:val="subscript"/>
        </w:rPr>
        <w:t>𝑎𝑙𝑡𝑒𝑟𝑛𝑎𝑡𝑜𝑟</w:t>
      </w:r>
      <w:r w:rsidRPr="002805A2">
        <w:rPr>
          <w:b/>
          <w:bCs/>
        </w:rPr>
        <w:t xml:space="preserve"> </w:t>
      </w:r>
      <w:r w:rsidRPr="002805A2">
        <w:rPr>
          <w:b/>
          <w:bCs/>
        </w:rPr>
        <w:tab/>
        <w:t xml:space="preserve">is the efficiency of the alternator </w:t>
      </w:r>
    </w:p>
    <w:p w14:paraId="130B8FD6" w14:textId="77777777" w:rsidR="00CA1F03" w:rsidRPr="002805A2" w:rsidRDefault="00CA1F03" w:rsidP="00592535">
      <w:pPr>
        <w:pStyle w:val="SingleTxtG"/>
        <w:tabs>
          <w:tab w:val="left" w:pos="2552"/>
        </w:tabs>
        <w:ind w:left="3544"/>
        <w:rPr>
          <w:b/>
          <w:bCs/>
        </w:rPr>
      </w:pPr>
      <w:r w:rsidRPr="002805A2">
        <w:rPr>
          <w:b/>
          <w:bCs/>
        </w:rPr>
        <w:tab/>
        <w:t>0.67 in case ∆</w:t>
      </w:r>
      <w:r w:rsidRPr="002805A2">
        <w:rPr>
          <w:rFonts w:ascii="Cambria Math" w:hAnsi="Cambria Math" w:cs="Cambria Math"/>
          <w:b/>
          <w:bCs/>
        </w:rPr>
        <w:t>𝐸𝑅𝐸𝐸𝑆𝑆</w:t>
      </w:r>
      <w:r w:rsidRPr="002805A2">
        <w:rPr>
          <w:b/>
          <w:bCs/>
        </w:rPr>
        <w:t>,</w:t>
      </w:r>
      <w:r w:rsidRPr="002805A2">
        <w:rPr>
          <w:rFonts w:ascii="Cambria Math" w:hAnsi="Cambria Math" w:cs="Cambria Math"/>
          <w:b/>
          <w:bCs/>
        </w:rPr>
        <w:t>𝑝</w:t>
      </w:r>
      <w:r w:rsidRPr="002805A2">
        <w:rPr>
          <w:b/>
          <w:bCs/>
        </w:rPr>
        <w:t xml:space="preserve"> is negative (corresponds to a discharge) </w:t>
      </w:r>
    </w:p>
    <w:p w14:paraId="3D99D0A5" w14:textId="77777777" w:rsidR="00CA1F03" w:rsidRPr="002805A2" w:rsidRDefault="00CA1F03" w:rsidP="00592535">
      <w:pPr>
        <w:pStyle w:val="SingleTxtG"/>
        <w:tabs>
          <w:tab w:val="left" w:pos="2552"/>
        </w:tabs>
        <w:ind w:left="3544"/>
        <w:rPr>
          <w:b/>
          <w:bCs/>
        </w:rPr>
      </w:pPr>
      <w:r w:rsidRPr="002805A2">
        <w:rPr>
          <w:b/>
          <w:bCs/>
        </w:rPr>
        <w:tab/>
        <w:t>1.00 in case ∆</w:t>
      </w:r>
      <w:r w:rsidRPr="002805A2">
        <w:rPr>
          <w:rFonts w:ascii="Cambria Math" w:hAnsi="Cambria Math" w:cs="Cambria Math"/>
          <w:b/>
          <w:bCs/>
        </w:rPr>
        <w:t>𝐸𝑅𝐸𝐸𝑆𝑆</w:t>
      </w:r>
      <w:r w:rsidRPr="002805A2">
        <w:rPr>
          <w:b/>
          <w:bCs/>
        </w:rPr>
        <w:t>,</w:t>
      </w:r>
      <w:r w:rsidRPr="002805A2">
        <w:rPr>
          <w:rFonts w:ascii="Cambria Math" w:hAnsi="Cambria Math" w:cs="Cambria Math"/>
          <w:b/>
          <w:bCs/>
        </w:rPr>
        <w:t>𝑝</w:t>
      </w:r>
      <w:r w:rsidRPr="002805A2">
        <w:rPr>
          <w:b/>
          <w:bCs/>
        </w:rPr>
        <w:t xml:space="preserve"> is positive (corresponds to a charge) </w:t>
      </w:r>
    </w:p>
    <w:p w14:paraId="50E623DB" w14:textId="2245D7EB" w:rsidR="00CA1F03" w:rsidRPr="002805A2" w:rsidRDefault="00CA1F03" w:rsidP="00592535">
      <w:pPr>
        <w:pStyle w:val="SingleTxtG"/>
        <w:ind w:left="2268" w:hanging="1134"/>
        <w:rPr>
          <w:b/>
          <w:bCs/>
          <w:i/>
          <w:iCs/>
          <w:lang w:val="en-US"/>
        </w:rPr>
      </w:pPr>
      <w:r w:rsidRPr="002805A2">
        <w:rPr>
          <w:b/>
          <w:bCs/>
        </w:rPr>
        <w:t xml:space="preserve">4.1. </w:t>
      </w:r>
      <w:r w:rsidR="00592535">
        <w:rPr>
          <w:b/>
          <w:bCs/>
        </w:rPr>
        <w:tab/>
      </w:r>
      <w:r w:rsidRPr="002805A2">
        <w:rPr>
          <w:b/>
          <w:bCs/>
        </w:rPr>
        <w:t>In this case, the corrected charge-sustaining CO</w:t>
      </w:r>
      <w:r w:rsidRPr="002805A2">
        <w:rPr>
          <w:b/>
          <w:bCs/>
          <w:vertAlign w:val="subscript"/>
        </w:rPr>
        <w:t>2</w:t>
      </w:r>
      <w:r w:rsidRPr="002805A2">
        <w:rPr>
          <w:b/>
          <w:bCs/>
        </w:rPr>
        <w:t xml:space="preserve"> mass emission defined in paragraphs 4.1.1.3., 4.1.1.4. and 4.1.1.5. of this annex shall be replaced by ΔM</w:t>
      </w:r>
      <w:r w:rsidRPr="002805A2">
        <w:rPr>
          <w:b/>
          <w:bCs/>
          <w:vertAlign w:val="subscript"/>
        </w:rPr>
        <w:t>CO2,j</w:t>
      </w:r>
      <w:r w:rsidRPr="002805A2">
        <w:rPr>
          <w:b/>
          <w:bCs/>
        </w:rPr>
        <w:t xml:space="preserve"> instead of K</w:t>
      </w:r>
      <w:r w:rsidRPr="002805A2">
        <w:rPr>
          <w:b/>
          <w:bCs/>
          <w:vertAlign w:val="subscript"/>
        </w:rPr>
        <w:t>CO2,j</w:t>
      </w:r>
      <w:r w:rsidRPr="002805A2">
        <w:rPr>
          <w:b/>
          <w:bCs/>
        </w:rPr>
        <w:t xml:space="preserve"> × EC</w:t>
      </w:r>
      <w:r w:rsidRPr="002805A2">
        <w:rPr>
          <w:b/>
          <w:bCs/>
          <w:vertAlign w:val="subscript"/>
        </w:rPr>
        <w:t>DC,CS,j</w:t>
      </w:r>
      <w:r w:rsidRPr="002805A2">
        <w:rPr>
          <w:b/>
          <w:bCs/>
        </w:rPr>
        <w:t>.</w:t>
      </w:r>
      <w:r w:rsidR="00B86189" w:rsidRPr="004F58B3">
        <w:rPr>
          <w:rFonts w:eastAsia="MS Mincho"/>
        </w:rPr>
        <w:t>"</w:t>
      </w:r>
    </w:p>
    <w:p w14:paraId="27FA6133" w14:textId="77777777" w:rsidR="00CA1F03" w:rsidRDefault="00CA1F03" w:rsidP="00CA1F03">
      <w:pPr>
        <w:pStyle w:val="SingleTxtG"/>
        <w:rPr>
          <w:i/>
          <w:iCs/>
          <w:lang w:val="en-US"/>
        </w:rPr>
      </w:pPr>
    </w:p>
    <w:p w14:paraId="4B6FB6CC" w14:textId="45A9854E" w:rsidR="00CA1F03" w:rsidRDefault="00CA1F03" w:rsidP="00CA1F03">
      <w:pPr>
        <w:pStyle w:val="SingleTxtG"/>
        <w:rPr>
          <w:i/>
          <w:iCs/>
          <w:lang w:val="en-US"/>
        </w:rPr>
      </w:pPr>
      <w:r w:rsidRPr="006A7711">
        <w:rPr>
          <w:i/>
          <w:iCs/>
          <w:lang w:val="en-US"/>
        </w:rPr>
        <w:t>Annex B6</w:t>
      </w:r>
      <w:r>
        <w:rPr>
          <w:i/>
          <w:iCs/>
          <w:lang w:val="en-US"/>
        </w:rPr>
        <w:t>, paragraph 2.8.6</w:t>
      </w:r>
      <w:r w:rsidR="00592535">
        <w:rPr>
          <w:i/>
          <w:iCs/>
          <w:lang w:val="en-US"/>
        </w:rPr>
        <w:t>.</w:t>
      </w:r>
      <w:r>
        <w:rPr>
          <w:i/>
          <w:iCs/>
          <w:lang w:val="en-US"/>
        </w:rPr>
        <w:t xml:space="preserve"> of Original series,</w:t>
      </w:r>
      <w:r w:rsidRPr="00AE3C95">
        <w:rPr>
          <w:lang w:val="en-US"/>
        </w:rPr>
        <w:t xml:space="preserve"> </w:t>
      </w:r>
      <w:r w:rsidR="00592535">
        <w:rPr>
          <w:lang w:val="en-US"/>
        </w:rPr>
        <w:t xml:space="preserve">amend </w:t>
      </w:r>
      <w:r w:rsidRPr="00AE3C95">
        <w:rPr>
          <w:lang w:val="en-US"/>
        </w:rPr>
        <w:t>to read:</w:t>
      </w:r>
    </w:p>
    <w:p w14:paraId="17C47EB6" w14:textId="6C791FEB" w:rsidR="00CA1F03" w:rsidRPr="006A7711" w:rsidRDefault="00B86189" w:rsidP="00CA1F03">
      <w:pPr>
        <w:pStyle w:val="para"/>
        <w:spacing w:before="120"/>
        <w:ind w:left="1843" w:hanging="709"/>
        <w:rPr>
          <w:lang w:val="en-US"/>
        </w:rPr>
      </w:pPr>
      <w:r w:rsidRPr="00987669">
        <w:rPr>
          <w:rFonts w:eastAsia="MS Mincho"/>
          <w:lang w:val="en-US"/>
        </w:rPr>
        <w:t>"</w:t>
      </w:r>
      <w:r w:rsidR="00CA1F03">
        <w:rPr>
          <w:lang w:val="en-US"/>
        </w:rPr>
        <w:t>2.8.6.</w:t>
      </w:r>
      <w:r w:rsidR="00CA1F03" w:rsidRPr="00351F4C">
        <w:rPr>
          <w:lang w:val="en-US"/>
        </w:rPr>
        <w:t xml:space="preserve">    </w:t>
      </w:r>
      <w:r w:rsidR="00592535">
        <w:rPr>
          <w:lang w:val="en-US"/>
        </w:rPr>
        <w:tab/>
      </w:r>
      <w:r w:rsidR="00CA1F03" w:rsidRPr="006A7711">
        <w:rPr>
          <w:lang w:val="en-US"/>
        </w:rPr>
        <w:t>This paragraph applies to Level 1A only</w:t>
      </w:r>
    </w:p>
    <w:p w14:paraId="683DD459" w14:textId="35A81062" w:rsidR="00CA1F03" w:rsidRDefault="00CA1F03" w:rsidP="00592535">
      <w:pPr>
        <w:pStyle w:val="para"/>
        <w:spacing w:before="120"/>
        <w:ind w:firstLine="0"/>
        <w:rPr>
          <w:lang w:val="en-US"/>
        </w:rPr>
      </w:pPr>
      <w:r w:rsidRPr="006A7711">
        <w:rPr>
          <w:lang w:val="en-US"/>
        </w:rPr>
        <w:t>Actual vehicle speed sampled with a measurement frequency of 10 Hz together with actual time shall be applied for corrections of CO2 results against the target speed and distance as defined in Annex B6b.</w:t>
      </w:r>
      <w:r>
        <w:rPr>
          <w:lang w:val="en-US"/>
        </w:rPr>
        <w:t xml:space="preserve"> </w:t>
      </w:r>
      <w:r w:rsidRPr="004D7386">
        <w:rPr>
          <w:b/>
          <w:bCs/>
          <w:lang w:val="en-US"/>
        </w:rPr>
        <w:t>In the case RMSSE is less than 0.8 km/h, this correction procedure can be skipped on request of manufacturer.</w:t>
      </w:r>
      <w:r w:rsidR="00B86189" w:rsidRPr="00592535">
        <w:rPr>
          <w:rFonts w:eastAsia="MS Mincho"/>
          <w:lang w:val="en-US"/>
        </w:rPr>
        <w:t>"</w:t>
      </w:r>
      <w:r>
        <w:rPr>
          <w:lang w:val="en-US"/>
        </w:rPr>
        <w:tab/>
      </w:r>
    </w:p>
    <w:p w14:paraId="27083812" w14:textId="77777777" w:rsidR="00CA1F03" w:rsidRPr="00351F4C" w:rsidRDefault="00CA1F03" w:rsidP="00CA1F03">
      <w:pPr>
        <w:pStyle w:val="para"/>
        <w:spacing w:before="120"/>
        <w:ind w:left="1843" w:firstLine="0"/>
        <w:rPr>
          <w:lang w:val="en-US"/>
        </w:rPr>
      </w:pPr>
    </w:p>
    <w:p w14:paraId="015BC6EF" w14:textId="6A5891AB" w:rsidR="00CA1F03" w:rsidRDefault="00CA1F03" w:rsidP="00CA1F03">
      <w:pPr>
        <w:pStyle w:val="SingleTxtG"/>
        <w:rPr>
          <w:i/>
          <w:iCs/>
          <w:lang w:val="en-US"/>
        </w:rPr>
      </w:pPr>
      <w:r w:rsidRPr="001F5A68">
        <w:rPr>
          <w:i/>
          <w:iCs/>
          <w:lang w:val="en-US"/>
        </w:rPr>
        <w:t>Annex B6 - Appendix 2</w:t>
      </w:r>
      <w:r>
        <w:rPr>
          <w:i/>
          <w:iCs/>
          <w:lang w:val="en-US"/>
        </w:rPr>
        <w:t>, paragraph 3.4.</w:t>
      </w:r>
      <w:r w:rsidRPr="002462EC">
        <w:rPr>
          <w:i/>
          <w:iCs/>
          <w:lang w:val="en-US"/>
        </w:rPr>
        <w:t xml:space="preserve"> </w:t>
      </w:r>
      <w:r>
        <w:rPr>
          <w:i/>
          <w:iCs/>
          <w:lang w:val="en-US"/>
        </w:rPr>
        <w:t>of Original and 01 series,</w:t>
      </w:r>
      <w:r w:rsidRPr="00AE3C95">
        <w:rPr>
          <w:lang w:val="en-US"/>
        </w:rPr>
        <w:t xml:space="preserve"> </w:t>
      </w:r>
      <w:r w:rsidR="00592535">
        <w:rPr>
          <w:lang w:val="en-US"/>
        </w:rPr>
        <w:t xml:space="preserve">amend </w:t>
      </w:r>
      <w:r w:rsidRPr="00AE3C95">
        <w:rPr>
          <w:lang w:val="en-US"/>
        </w:rPr>
        <w:t>to read:</w:t>
      </w:r>
    </w:p>
    <w:p w14:paraId="38EB81BC" w14:textId="4DA14D33" w:rsidR="00CA1F03" w:rsidRDefault="00B86189" w:rsidP="00592535">
      <w:pPr>
        <w:pStyle w:val="para"/>
        <w:spacing w:before="120"/>
        <w:rPr>
          <w:rFonts w:eastAsia="MS Mincho"/>
          <w:lang w:val="en-US"/>
        </w:rPr>
      </w:pPr>
      <w:r w:rsidRPr="00B86189">
        <w:rPr>
          <w:rFonts w:eastAsia="MS Mincho"/>
          <w:lang w:val="en-US"/>
        </w:rPr>
        <w:t>"</w:t>
      </w:r>
      <w:r w:rsidR="00CA1F03" w:rsidRPr="001F5A68">
        <w:rPr>
          <w:lang w:val="en-US"/>
        </w:rPr>
        <w:t xml:space="preserve">3.4. </w:t>
      </w:r>
      <w:r w:rsidR="00CA1F03">
        <w:rPr>
          <w:lang w:val="en-US"/>
        </w:rPr>
        <w:t xml:space="preserve"> </w:t>
      </w:r>
      <w:r w:rsidR="00592535">
        <w:rPr>
          <w:lang w:val="en-US"/>
        </w:rPr>
        <w:tab/>
      </w:r>
      <w:r w:rsidR="00CA1F03" w:rsidRPr="001F5A68">
        <w:rPr>
          <w:lang w:val="en-US"/>
        </w:rPr>
        <w:t xml:space="preserve">Correction of CO2 mass emission over the whole cycle </w:t>
      </w:r>
      <w:r w:rsidR="00CA1F03" w:rsidRPr="00387207">
        <w:rPr>
          <w:strike/>
          <w:lang w:val="en-US"/>
        </w:rPr>
        <w:t>as a function of the correction criterion c</w:t>
      </w:r>
      <w:r w:rsidRPr="00B86189">
        <w:rPr>
          <w:rFonts w:eastAsia="MS Mincho"/>
          <w:lang w:val="en-US"/>
        </w:rPr>
        <w:t>"</w:t>
      </w:r>
    </w:p>
    <w:p w14:paraId="401B7E56" w14:textId="77777777" w:rsidR="00592535" w:rsidRPr="00B86189" w:rsidRDefault="00592535" w:rsidP="00592535">
      <w:pPr>
        <w:pStyle w:val="para"/>
        <w:spacing w:before="120"/>
        <w:rPr>
          <w:strike/>
          <w:lang w:val="en-US"/>
        </w:rPr>
      </w:pPr>
    </w:p>
    <w:p w14:paraId="3DDCEB01" w14:textId="6CA3F4F4" w:rsidR="00CA1F03" w:rsidRDefault="00CA1F03" w:rsidP="00CA1F03">
      <w:pPr>
        <w:pStyle w:val="SingleTxtG"/>
        <w:rPr>
          <w:i/>
          <w:iCs/>
          <w:lang w:val="en-US"/>
        </w:rPr>
      </w:pPr>
      <w:r w:rsidRPr="001F5A68">
        <w:rPr>
          <w:i/>
          <w:iCs/>
          <w:lang w:val="en-US"/>
        </w:rPr>
        <w:t>Annex B6 - Appendix 2</w:t>
      </w:r>
      <w:r>
        <w:rPr>
          <w:i/>
          <w:iCs/>
          <w:lang w:val="en-US"/>
        </w:rPr>
        <w:t>, paragraph 3.4.1.</w:t>
      </w:r>
      <w:r w:rsidRPr="002462EC">
        <w:rPr>
          <w:i/>
          <w:iCs/>
          <w:lang w:val="en-US"/>
        </w:rPr>
        <w:t xml:space="preserve"> </w:t>
      </w:r>
      <w:r>
        <w:rPr>
          <w:i/>
          <w:iCs/>
          <w:lang w:val="en-US"/>
        </w:rPr>
        <w:t>of Original and 01 series,</w:t>
      </w:r>
      <w:r w:rsidRPr="00AE3C95">
        <w:rPr>
          <w:lang w:val="en-US"/>
        </w:rPr>
        <w:t xml:space="preserve"> </w:t>
      </w:r>
      <w:r w:rsidR="00592535">
        <w:rPr>
          <w:lang w:val="en-US"/>
        </w:rPr>
        <w:t xml:space="preserve">amend </w:t>
      </w:r>
      <w:r w:rsidRPr="00AE3C95">
        <w:rPr>
          <w:lang w:val="en-US"/>
        </w:rPr>
        <w:t>to read:</w:t>
      </w:r>
    </w:p>
    <w:p w14:paraId="5F306545" w14:textId="7CDD805C" w:rsidR="00CA1F03" w:rsidRDefault="00B86189" w:rsidP="00592535">
      <w:pPr>
        <w:pStyle w:val="para"/>
        <w:spacing w:before="120"/>
        <w:rPr>
          <w:b/>
          <w:bCs/>
          <w:lang w:val="en-US"/>
        </w:rPr>
      </w:pPr>
      <w:r w:rsidRPr="00987669">
        <w:rPr>
          <w:rFonts w:eastAsia="MS Mincho"/>
          <w:lang w:val="en-US"/>
        </w:rPr>
        <w:t>"</w:t>
      </w:r>
      <w:r w:rsidR="00CA1F03" w:rsidRPr="001F5A68">
        <w:rPr>
          <w:lang w:val="en-US"/>
        </w:rPr>
        <w:t xml:space="preserve">3.4.1. </w:t>
      </w:r>
      <w:r w:rsidR="00592535">
        <w:rPr>
          <w:lang w:val="en-US"/>
        </w:rPr>
        <w:tab/>
      </w:r>
      <w:r w:rsidR="00CA1F03" w:rsidRPr="002134A4">
        <w:rPr>
          <w:b/>
          <w:bCs/>
          <w:lang w:val="en-US"/>
        </w:rPr>
        <w:t>[reserved]</w:t>
      </w:r>
      <w:r w:rsidR="00CA1F03">
        <w:rPr>
          <w:b/>
          <w:bCs/>
          <w:lang w:val="en-US"/>
        </w:rPr>
        <w:t xml:space="preserve"> </w:t>
      </w:r>
    </w:p>
    <w:p w14:paraId="5EA9F516" w14:textId="77777777" w:rsidR="00CA1F03" w:rsidRPr="002134A4" w:rsidRDefault="00CA1F03" w:rsidP="00592535">
      <w:pPr>
        <w:pStyle w:val="para"/>
        <w:spacing w:before="120"/>
        <w:ind w:firstLine="0"/>
        <w:rPr>
          <w:b/>
          <w:bCs/>
          <w:lang w:val="en-US"/>
        </w:rPr>
      </w:pPr>
      <w:r w:rsidRPr="001F5A68">
        <w:rPr>
          <w:strike/>
          <w:lang w:val="en-US"/>
        </w:rPr>
        <w:t>Calculation of the correction criterion c</w:t>
      </w:r>
    </w:p>
    <w:p w14:paraId="392C31D9" w14:textId="77777777" w:rsidR="00CA1F03" w:rsidRPr="001F5A68" w:rsidRDefault="00CA1F03" w:rsidP="00592535">
      <w:pPr>
        <w:pStyle w:val="para"/>
        <w:spacing w:before="120"/>
        <w:ind w:firstLine="0"/>
        <w:rPr>
          <w:strike/>
          <w:lang w:val="en-US"/>
        </w:rPr>
      </w:pPr>
      <w:r w:rsidRPr="001F5A68">
        <w:rPr>
          <w:strike/>
          <w:lang w:val="en-US"/>
        </w:rPr>
        <w:t xml:space="preserve">The correction criterion c is the ratio between the absolute value of the electric energy change ΔEREESS,j and the fuel energy and shall be calculated using the following equations: </w:t>
      </w:r>
    </w:p>
    <w:p w14:paraId="6F81180A" w14:textId="77777777" w:rsidR="00CA1F03" w:rsidRPr="001F5A68" w:rsidRDefault="00CA1F03" w:rsidP="00592535">
      <w:pPr>
        <w:pStyle w:val="para"/>
        <w:spacing w:before="120"/>
        <w:ind w:firstLine="0"/>
        <w:jc w:val="center"/>
        <w:rPr>
          <w:strike/>
          <w:lang w:val="en-US"/>
        </w:rPr>
      </w:pPr>
      <w:r w:rsidRPr="001F5A68">
        <w:rPr>
          <w:strike/>
          <w:noProof/>
          <w:lang w:val="en-US"/>
        </w:rPr>
        <w:drawing>
          <wp:inline distT="0" distB="0" distL="0" distR="0" wp14:anchorId="19ADD135" wp14:editId="3C3F9FD1">
            <wp:extent cx="972996" cy="43338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9889" cy="445366"/>
                    </a:xfrm>
                    <a:prstGeom prst="rect">
                      <a:avLst/>
                    </a:prstGeom>
                  </pic:spPr>
                </pic:pic>
              </a:graphicData>
            </a:graphic>
          </wp:inline>
        </w:drawing>
      </w:r>
    </w:p>
    <w:p w14:paraId="4684190A" w14:textId="77777777" w:rsidR="00CA1F03" w:rsidRPr="001F5A68" w:rsidRDefault="00CA1F03" w:rsidP="00592535">
      <w:pPr>
        <w:pStyle w:val="para"/>
        <w:spacing w:before="120"/>
        <w:ind w:firstLine="0"/>
        <w:rPr>
          <w:strike/>
          <w:lang w:val="en-US"/>
        </w:rPr>
      </w:pPr>
      <w:r w:rsidRPr="001F5A68">
        <w:rPr>
          <w:strike/>
          <w:lang w:val="en-US"/>
        </w:rPr>
        <w:t>where:</w:t>
      </w:r>
      <w:r w:rsidRPr="001F5A68">
        <w:rPr>
          <w:strike/>
          <w:lang w:val="en-US"/>
        </w:rPr>
        <w:br/>
        <w:t>c is the correction criterion;</w:t>
      </w:r>
    </w:p>
    <w:p w14:paraId="54C17391" w14:textId="77777777" w:rsidR="00CA1F03" w:rsidRPr="001F5A68" w:rsidRDefault="00CA1F03" w:rsidP="00592535">
      <w:pPr>
        <w:pStyle w:val="para"/>
        <w:spacing w:before="120"/>
        <w:ind w:firstLine="0"/>
        <w:rPr>
          <w:strike/>
          <w:lang w:val="en-US"/>
        </w:rPr>
      </w:pPr>
      <w:r w:rsidRPr="001F5A68">
        <w:rPr>
          <w:strike/>
          <w:lang w:val="en-US"/>
        </w:rPr>
        <w:lastRenderedPageBreak/>
        <w:t>ΔE</w:t>
      </w:r>
      <w:r w:rsidRPr="001F5A68">
        <w:rPr>
          <w:strike/>
          <w:vertAlign w:val="subscript"/>
          <w:lang w:val="en-US"/>
        </w:rPr>
        <w:t>REESS,j</w:t>
      </w:r>
      <w:r w:rsidRPr="001F5A68">
        <w:rPr>
          <w:strike/>
          <w:lang w:val="en-US"/>
        </w:rPr>
        <w:t xml:space="preserve"> is the electric energy change of all REESSs over period j determined according to paragraph 4.1. of this appendix, Wh;</w:t>
      </w:r>
    </w:p>
    <w:p w14:paraId="1C7B60D6" w14:textId="77777777" w:rsidR="00CA1F03" w:rsidRPr="001F5A68" w:rsidRDefault="00CA1F03" w:rsidP="00592535">
      <w:pPr>
        <w:pStyle w:val="para"/>
        <w:spacing w:before="120"/>
        <w:ind w:firstLine="0"/>
        <w:rPr>
          <w:strike/>
          <w:lang w:val="en-US"/>
        </w:rPr>
      </w:pPr>
      <w:r w:rsidRPr="001F5A68">
        <w:rPr>
          <w:strike/>
          <w:lang w:val="en-US"/>
        </w:rPr>
        <w:t>j is, in this paragraph, the whole applicable WLTP test cycle;</w:t>
      </w:r>
    </w:p>
    <w:p w14:paraId="443EBF71" w14:textId="77777777" w:rsidR="00CA1F03" w:rsidRPr="001F5A68" w:rsidRDefault="00CA1F03" w:rsidP="00592535">
      <w:pPr>
        <w:pStyle w:val="para"/>
        <w:spacing w:before="120"/>
        <w:ind w:firstLine="0"/>
        <w:rPr>
          <w:strike/>
          <w:lang w:val="en-US"/>
        </w:rPr>
      </w:pPr>
      <w:r w:rsidRPr="001F5A68">
        <w:rPr>
          <w:strike/>
          <w:lang w:val="en-US"/>
        </w:rPr>
        <w:t>E</w:t>
      </w:r>
      <w:r w:rsidRPr="001F5A68">
        <w:rPr>
          <w:strike/>
          <w:vertAlign w:val="subscript"/>
          <w:lang w:val="en-US"/>
        </w:rPr>
        <w:t>Fuel</w:t>
      </w:r>
      <w:r w:rsidRPr="001F5A68">
        <w:rPr>
          <w:strike/>
          <w:lang w:val="en-US"/>
        </w:rPr>
        <w:t xml:space="preserve"> is the fuel energy according to the following equation: </w:t>
      </w:r>
    </w:p>
    <w:p w14:paraId="364339C1" w14:textId="77777777" w:rsidR="00CA1F03" w:rsidRPr="001F5A68" w:rsidRDefault="00CA1F03" w:rsidP="00592535">
      <w:pPr>
        <w:pStyle w:val="para"/>
        <w:spacing w:before="120"/>
        <w:ind w:firstLine="0"/>
        <w:jc w:val="center"/>
        <w:rPr>
          <w:strike/>
          <w:lang w:val="en-US"/>
        </w:rPr>
      </w:pPr>
      <w:r w:rsidRPr="001F5A68">
        <w:rPr>
          <w:strike/>
          <w:lang w:val="en-US"/>
        </w:rPr>
        <w:t>E</w:t>
      </w:r>
      <w:r w:rsidRPr="001F5A68">
        <w:rPr>
          <w:strike/>
          <w:vertAlign w:val="subscript"/>
          <w:lang w:val="en-US"/>
        </w:rPr>
        <w:t>fuel</w:t>
      </w:r>
      <w:r w:rsidRPr="001F5A68">
        <w:rPr>
          <w:strike/>
          <w:lang w:val="en-US"/>
        </w:rPr>
        <w:t>=10×HV×FCnb×d</w:t>
      </w:r>
    </w:p>
    <w:p w14:paraId="4C0B6393" w14:textId="77777777" w:rsidR="00CA1F03" w:rsidRPr="001F5A68" w:rsidRDefault="00CA1F03" w:rsidP="00592535">
      <w:pPr>
        <w:pStyle w:val="para"/>
        <w:spacing w:before="120"/>
        <w:ind w:firstLine="0"/>
        <w:rPr>
          <w:strike/>
          <w:lang w:val="en-US"/>
        </w:rPr>
      </w:pPr>
      <w:r w:rsidRPr="001F5A68">
        <w:rPr>
          <w:strike/>
          <w:lang w:val="en-US"/>
        </w:rPr>
        <w:t>where:</w:t>
      </w:r>
    </w:p>
    <w:p w14:paraId="6BF7DCA9" w14:textId="77777777" w:rsidR="00CA1F03" w:rsidRPr="001F5A68" w:rsidRDefault="00CA1F03" w:rsidP="00592535">
      <w:pPr>
        <w:pStyle w:val="para"/>
        <w:spacing w:before="120"/>
        <w:ind w:firstLine="0"/>
        <w:rPr>
          <w:strike/>
          <w:lang w:val="en-US"/>
        </w:rPr>
      </w:pPr>
      <w:r w:rsidRPr="001F5A68">
        <w:rPr>
          <w:strike/>
          <w:lang w:val="en-US"/>
        </w:rPr>
        <w:t>E</w:t>
      </w:r>
      <w:r w:rsidRPr="001F5A68">
        <w:rPr>
          <w:strike/>
          <w:vertAlign w:val="subscript"/>
          <w:lang w:val="en-US"/>
        </w:rPr>
        <w:t>fuel</w:t>
      </w:r>
      <w:r w:rsidRPr="001F5A68">
        <w:rPr>
          <w:strike/>
          <w:lang w:val="en-US"/>
        </w:rPr>
        <w:t xml:space="preserve"> is the energy content of the consumed fuel over the applicable WLTP test cycle, Wh;</w:t>
      </w:r>
    </w:p>
    <w:p w14:paraId="1ED92C91" w14:textId="77777777" w:rsidR="00CA1F03" w:rsidRPr="001F5A68" w:rsidRDefault="00CA1F03" w:rsidP="00592535">
      <w:pPr>
        <w:pStyle w:val="para"/>
        <w:spacing w:before="120"/>
        <w:ind w:firstLine="0"/>
        <w:rPr>
          <w:strike/>
          <w:lang w:val="en-US"/>
        </w:rPr>
      </w:pPr>
      <w:r w:rsidRPr="001F5A68">
        <w:rPr>
          <w:strike/>
          <w:lang w:val="en-US"/>
        </w:rPr>
        <w:t>HV is the heating value according to Table A6.App2/1, kWh/l;</w:t>
      </w:r>
    </w:p>
    <w:p w14:paraId="0C8F832E" w14:textId="636A88B9" w:rsidR="00CA1F03" w:rsidRPr="00B86189" w:rsidRDefault="00CA1F03" w:rsidP="00592535">
      <w:pPr>
        <w:pStyle w:val="para"/>
        <w:spacing w:before="120"/>
        <w:ind w:firstLine="0"/>
        <w:rPr>
          <w:strike/>
          <w:lang w:val="en-US"/>
        </w:rPr>
      </w:pPr>
      <w:r w:rsidRPr="001F5A68">
        <w:rPr>
          <w:strike/>
          <w:lang w:val="en-US"/>
        </w:rPr>
        <w:t>FC</w:t>
      </w:r>
      <w:r w:rsidRPr="001F5A68">
        <w:rPr>
          <w:strike/>
          <w:vertAlign w:val="subscript"/>
          <w:lang w:val="en-US"/>
        </w:rPr>
        <w:t>nb</w:t>
      </w:r>
      <w:r w:rsidRPr="001F5A68">
        <w:rPr>
          <w:strike/>
          <w:lang w:val="en-US"/>
        </w:rPr>
        <w:t xml:space="preserve"> is the non-balanced fuel consumption of the Type 1 test, not corrected for the energy balance, determined according to</w:t>
      </w:r>
      <w:r w:rsidR="00B86189" w:rsidRPr="00B86189">
        <w:rPr>
          <w:rFonts w:eastAsia="MS Mincho"/>
          <w:lang w:val="en-US"/>
        </w:rPr>
        <w:t>"</w:t>
      </w:r>
    </w:p>
    <w:p w14:paraId="78A840A4" w14:textId="77777777" w:rsidR="00CA1F03" w:rsidRDefault="00CA1F03" w:rsidP="00CA1F03">
      <w:pPr>
        <w:pStyle w:val="SingleTxtG"/>
        <w:rPr>
          <w:i/>
          <w:iCs/>
          <w:lang w:val="en-US"/>
        </w:rPr>
      </w:pPr>
    </w:p>
    <w:p w14:paraId="69C4D7F9" w14:textId="2B972B19" w:rsidR="00CA1F03" w:rsidRDefault="00CA1F03" w:rsidP="00CA1F03">
      <w:pPr>
        <w:pStyle w:val="SingleTxtG"/>
        <w:rPr>
          <w:i/>
          <w:iCs/>
          <w:lang w:val="en-US"/>
        </w:rPr>
      </w:pPr>
      <w:r w:rsidRPr="001F5A68">
        <w:rPr>
          <w:i/>
          <w:iCs/>
          <w:lang w:val="en-US"/>
        </w:rPr>
        <w:t>Annex B6</w:t>
      </w:r>
      <w:r>
        <w:rPr>
          <w:i/>
          <w:iCs/>
          <w:lang w:val="en-US"/>
        </w:rPr>
        <w:t>b, paragraph 3.5</w:t>
      </w:r>
      <w:r w:rsidR="00592535">
        <w:rPr>
          <w:i/>
          <w:iCs/>
          <w:lang w:val="en-US"/>
        </w:rPr>
        <w:t>.</w:t>
      </w:r>
      <w:r>
        <w:rPr>
          <w:i/>
          <w:iCs/>
          <w:lang w:val="en-US"/>
        </w:rPr>
        <w:t xml:space="preserve"> of Original and 01 series,</w:t>
      </w:r>
      <w:r w:rsidRPr="00AE3C95">
        <w:rPr>
          <w:lang w:val="en-US"/>
        </w:rPr>
        <w:t xml:space="preserve"> </w:t>
      </w:r>
      <w:r w:rsidR="00592535">
        <w:rPr>
          <w:lang w:val="en-US"/>
        </w:rPr>
        <w:t xml:space="preserve">amend </w:t>
      </w:r>
      <w:r w:rsidRPr="00AE3C95">
        <w:rPr>
          <w:lang w:val="en-US"/>
        </w:rPr>
        <w:t>to read:</w:t>
      </w:r>
    </w:p>
    <w:p w14:paraId="3F9E6A29" w14:textId="0EB3BE5C" w:rsidR="00CA1F03" w:rsidRDefault="00B86189" w:rsidP="00592535">
      <w:pPr>
        <w:pStyle w:val="para"/>
        <w:spacing w:before="120"/>
        <w:rPr>
          <w:lang w:val="en-US"/>
        </w:rPr>
      </w:pPr>
      <w:r w:rsidRPr="00987669">
        <w:rPr>
          <w:rFonts w:eastAsia="MS Mincho"/>
          <w:lang w:val="en-US"/>
        </w:rPr>
        <w:t>"</w:t>
      </w:r>
      <w:r w:rsidR="00CA1F03" w:rsidRPr="00503DB0">
        <w:rPr>
          <w:lang w:val="en-US"/>
        </w:rPr>
        <w:t xml:space="preserve">3.5. </w:t>
      </w:r>
      <w:r w:rsidR="00CA1F03">
        <w:rPr>
          <w:lang w:val="en-US"/>
        </w:rPr>
        <w:t xml:space="preserve"> </w:t>
      </w:r>
      <w:r w:rsidR="00592535">
        <w:rPr>
          <w:lang w:val="en-US"/>
        </w:rPr>
        <w:tab/>
      </w:r>
      <w:r w:rsidR="00CA1F03" w:rsidRPr="00503DB0">
        <w:rPr>
          <w:lang w:val="en-US"/>
        </w:rPr>
        <w:t>The average RCB corrected CO2 mass emissions (g/km) for each phase of the applicable WLTC shall be expressed in units g/s using the following equation:</w:t>
      </w:r>
    </w:p>
    <w:p w14:paraId="3B5B86A7" w14:textId="77777777" w:rsidR="00CA1F03" w:rsidRDefault="00CA1F03" w:rsidP="00592535">
      <w:pPr>
        <w:pStyle w:val="para"/>
        <w:spacing w:before="120"/>
        <w:ind w:firstLine="0"/>
        <w:rPr>
          <w:lang w:val="en-US"/>
        </w:rPr>
      </w:pPr>
      <w:r w:rsidRPr="00503DB0">
        <w:rPr>
          <w:noProof/>
          <w:lang w:val="en-US"/>
        </w:rPr>
        <w:drawing>
          <wp:inline distT="0" distB="0" distL="0" distR="0" wp14:anchorId="6FE2F7CB" wp14:editId="71490740">
            <wp:extent cx="1148658" cy="333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51020" cy="363083"/>
                    </a:xfrm>
                    <a:prstGeom prst="rect">
                      <a:avLst/>
                    </a:prstGeom>
                  </pic:spPr>
                </pic:pic>
              </a:graphicData>
            </a:graphic>
          </wp:inline>
        </w:drawing>
      </w:r>
    </w:p>
    <w:p w14:paraId="414993C1" w14:textId="77777777" w:rsidR="00CA1F03" w:rsidRDefault="00CA1F03" w:rsidP="00592535">
      <w:pPr>
        <w:pStyle w:val="para"/>
        <w:spacing w:before="120"/>
        <w:ind w:firstLine="0"/>
        <w:rPr>
          <w:lang w:val="en-US"/>
        </w:rPr>
      </w:pPr>
      <w:r w:rsidRPr="00503DB0">
        <w:rPr>
          <w:lang w:val="en-US"/>
        </w:rPr>
        <w:t>where:</w:t>
      </w:r>
    </w:p>
    <w:p w14:paraId="3EB619D9" w14:textId="77777777" w:rsidR="00CA1F03" w:rsidRDefault="00CA1F03" w:rsidP="00592535">
      <w:pPr>
        <w:pStyle w:val="para"/>
        <w:spacing w:before="120"/>
        <w:ind w:firstLine="0"/>
        <w:rPr>
          <w:lang w:val="en-US"/>
        </w:rPr>
      </w:pPr>
      <w:r w:rsidRPr="00503DB0">
        <w:rPr>
          <w:rFonts w:ascii="Cambria Math" w:hAnsi="Cambria Math" w:cs="Cambria Math"/>
          <w:lang w:val="en-US"/>
        </w:rPr>
        <w:t>𝑀</w:t>
      </w:r>
      <w:r w:rsidRPr="00CB011C">
        <w:rPr>
          <w:rFonts w:ascii="Cambria Math" w:hAnsi="Cambria Math" w:cs="Cambria Math"/>
          <w:vertAlign w:val="subscript"/>
          <w:lang w:val="en-US"/>
        </w:rPr>
        <w:t>𝐶𝑂</w:t>
      </w:r>
      <w:r w:rsidRPr="00CB011C">
        <w:rPr>
          <w:vertAlign w:val="subscript"/>
          <w:lang w:val="en-US"/>
        </w:rPr>
        <w:t>2,</w:t>
      </w:r>
      <w:r w:rsidRPr="00CB011C">
        <w:rPr>
          <w:rFonts w:ascii="Cambria Math" w:hAnsi="Cambria Math" w:cs="Cambria Math"/>
          <w:vertAlign w:val="subscript"/>
          <w:lang w:val="en-US"/>
        </w:rPr>
        <w:t>𝑗</w:t>
      </w:r>
      <w:r w:rsidRPr="00503DB0">
        <w:rPr>
          <w:lang w:val="en-US"/>
        </w:rPr>
        <w:t xml:space="preserve"> is the average CO2 mass emission of phase j, g/s;</w:t>
      </w:r>
    </w:p>
    <w:p w14:paraId="6B0A5F4A" w14:textId="77777777" w:rsidR="00CA1F03" w:rsidRDefault="00CA1F03" w:rsidP="00592535">
      <w:pPr>
        <w:pStyle w:val="para"/>
        <w:spacing w:before="120"/>
        <w:ind w:firstLine="0"/>
        <w:rPr>
          <w:lang w:val="en-US"/>
        </w:rPr>
      </w:pPr>
      <w:r w:rsidRPr="00503DB0">
        <w:rPr>
          <w:rFonts w:ascii="Cambria Math" w:hAnsi="Cambria Math" w:cs="Cambria Math"/>
          <w:lang w:val="en-US"/>
        </w:rPr>
        <w:t>𝑀</w:t>
      </w:r>
      <w:r w:rsidRPr="00CB011C">
        <w:rPr>
          <w:rFonts w:ascii="Cambria Math" w:hAnsi="Cambria Math" w:cs="Cambria Math"/>
          <w:vertAlign w:val="subscript"/>
          <w:lang w:val="en-US"/>
        </w:rPr>
        <w:t>𝐶𝑂</w:t>
      </w:r>
      <w:r w:rsidRPr="00CB011C">
        <w:rPr>
          <w:vertAlign w:val="subscript"/>
          <w:lang w:val="en-US"/>
        </w:rPr>
        <w:t>2,</w:t>
      </w:r>
      <w:r w:rsidRPr="00CB011C">
        <w:rPr>
          <w:rFonts w:ascii="Cambria Math" w:hAnsi="Cambria Math" w:cs="Cambria Math"/>
          <w:vertAlign w:val="subscript"/>
          <w:lang w:val="en-US"/>
        </w:rPr>
        <w:t>𝑅𝐶𝐵</w:t>
      </w:r>
      <w:r w:rsidRPr="00CB011C">
        <w:rPr>
          <w:vertAlign w:val="subscript"/>
          <w:lang w:val="en-US"/>
        </w:rPr>
        <w:t>,</w:t>
      </w:r>
      <w:r w:rsidRPr="00CB011C">
        <w:rPr>
          <w:rFonts w:ascii="Cambria Math" w:hAnsi="Cambria Math" w:cs="Cambria Math"/>
          <w:vertAlign w:val="subscript"/>
          <w:lang w:val="en-US"/>
        </w:rPr>
        <w:t>𝑗</w:t>
      </w:r>
      <w:r w:rsidRPr="00503DB0">
        <w:rPr>
          <w:lang w:val="en-US"/>
        </w:rPr>
        <w:t xml:space="preserve"> is the CO2 mass emission from step 1 of Table A7/1 of Annex B7 for the considered WLTC phase j corrected in accordance with Appendix 2 to Annex B6, and with the requirement of applying the RCB correction </w:t>
      </w:r>
      <w:r w:rsidRPr="00CB011C">
        <w:rPr>
          <w:strike/>
          <w:lang w:val="en-US"/>
        </w:rPr>
        <w:t>without considering the correction criterion c</w:t>
      </w:r>
      <w:r w:rsidRPr="00503DB0">
        <w:rPr>
          <w:lang w:val="en-US"/>
        </w:rPr>
        <w:t>;</w:t>
      </w:r>
    </w:p>
    <w:p w14:paraId="07F68256" w14:textId="77777777" w:rsidR="00CA1F03" w:rsidRDefault="00CA1F03" w:rsidP="00592535">
      <w:pPr>
        <w:pStyle w:val="para"/>
        <w:spacing w:before="120"/>
        <w:ind w:firstLine="0"/>
        <w:rPr>
          <w:lang w:val="en-US"/>
        </w:rPr>
      </w:pPr>
      <w:r w:rsidRPr="00503DB0">
        <w:rPr>
          <w:rFonts w:ascii="Cambria Math" w:hAnsi="Cambria Math" w:cs="Cambria Math"/>
          <w:lang w:val="en-US"/>
        </w:rPr>
        <w:t>𝑑</w:t>
      </w:r>
      <w:r w:rsidRPr="00CB011C">
        <w:rPr>
          <w:rFonts w:ascii="Cambria Math" w:hAnsi="Cambria Math" w:cs="Cambria Math"/>
          <w:vertAlign w:val="subscript"/>
          <w:lang w:val="en-US"/>
        </w:rPr>
        <w:t>𝑚</w:t>
      </w:r>
      <w:r w:rsidRPr="00CB011C">
        <w:rPr>
          <w:vertAlign w:val="subscript"/>
          <w:lang w:val="en-US"/>
        </w:rPr>
        <w:t>,</w:t>
      </w:r>
      <w:r w:rsidRPr="00CB011C">
        <w:rPr>
          <w:rFonts w:ascii="Cambria Math" w:hAnsi="Cambria Math" w:cs="Cambria Math"/>
          <w:vertAlign w:val="subscript"/>
          <w:lang w:val="en-US"/>
        </w:rPr>
        <w:t>𝑗</w:t>
      </w:r>
      <w:r w:rsidRPr="00503DB0">
        <w:rPr>
          <w:lang w:val="en-US"/>
        </w:rPr>
        <w:t xml:space="preserve"> is the actually driven distance of the considered phase j, km;</w:t>
      </w:r>
    </w:p>
    <w:p w14:paraId="16F2D8D0" w14:textId="51830D04" w:rsidR="00CA1F03" w:rsidRPr="00B86189" w:rsidRDefault="00CA1F03" w:rsidP="00592535">
      <w:pPr>
        <w:pStyle w:val="para"/>
        <w:spacing w:before="120"/>
        <w:ind w:firstLine="0"/>
        <w:rPr>
          <w:lang w:val="en-US"/>
        </w:rPr>
      </w:pPr>
      <w:r w:rsidRPr="00503DB0">
        <w:rPr>
          <w:rFonts w:ascii="Cambria Math" w:hAnsi="Cambria Math" w:cs="Cambria Math"/>
          <w:lang w:val="en-US"/>
        </w:rPr>
        <w:t>𝑡</w:t>
      </w:r>
      <w:r w:rsidRPr="00CB011C">
        <w:rPr>
          <w:rFonts w:ascii="Cambria Math" w:hAnsi="Cambria Math" w:cs="Cambria Math"/>
          <w:vertAlign w:val="subscript"/>
          <w:lang w:val="en-US"/>
        </w:rPr>
        <w:t>𝑗</w:t>
      </w:r>
      <w:r w:rsidRPr="00503DB0">
        <w:rPr>
          <w:lang w:val="en-US"/>
        </w:rPr>
        <w:t xml:space="preserve"> is the duration of considered phase j, s.</w:t>
      </w:r>
      <w:r w:rsidR="00B86189" w:rsidRPr="00B86189">
        <w:rPr>
          <w:rFonts w:eastAsia="MS Mincho"/>
          <w:lang w:val="en-US"/>
        </w:rPr>
        <w:t>"</w:t>
      </w:r>
    </w:p>
    <w:p w14:paraId="7D74668C" w14:textId="77777777" w:rsidR="00CA1F03" w:rsidRDefault="00CA1F03" w:rsidP="00CA1F03">
      <w:pPr>
        <w:pStyle w:val="SingleTxtG"/>
        <w:rPr>
          <w:i/>
          <w:iCs/>
          <w:lang w:val="en-US"/>
        </w:rPr>
      </w:pPr>
    </w:p>
    <w:p w14:paraId="758EF188" w14:textId="7CC0F1A5" w:rsidR="00CA1F03" w:rsidRDefault="00CA1F03" w:rsidP="00CA1F03">
      <w:pPr>
        <w:pStyle w:val="SingleTxtG"/>
        <w:rPr>
          <w:lang w:val="en-US"/>
        </w:rPr>
      </w:pPr>
      <w:r>
        <w:rPr>
          <w:i/>
          <w:iCs/>
          <w:lang w:val="en-US"/>
        </w:rPr>
        <w:t>Annex B6a</w:t>
      </w:r>
      <w:r w:rsidR="00592535">
        <w:rPr>
          <w:i/>
          <w:iCs/>
          <w:lang w:val="en-US"/>
        </w:rPr>
        <w:t>, paragraph</w:t>
      </w:r>
      <w:r>
        <w:rPr>
          <w:i/>
          <w:iCs/>
          <w:lang w:val="en-US"/>
        </w:rPr>
        <w:t xml:space="preserve"> 2.1.</w:t>
      </w:r>
      <w:r w:rsidRPr="002462EC">
        <w:rPr>
          <w:i/>
          <w:iCs/>
          <w:lang w:val="en-US"/>
        </w:rPr>
        <w:t xml:space="preserve"> </w:t>
      </w:r>
      <w:r>
        <w:rPr>
          <w:i/>
          <w:iCs/>
          <w:lang w:val="en-US"/>
        </w:rPr>
        <w:t>of Original and 01 series,</w:t>
      </w:r>
      <w:r w:rsidRPr="00AE3C95">
        <w:rPr>
          <w:lang w:val="en-US"/>
        </w:rPr>
        <w:t xml:space="preserve"> </w:t>
      </w:r>
      <w:r w:rsidR="00592535">
        <w:rPr>
          <w:lang w:val="en-US"/>
        </w:rPr>
        <w:t xml:space="preserve">amend </w:t>
      </w:r>
      <w:r w:rsidRPr="00AE3C95">
        <w:rPr>
          <w:lang w:val="en-US"/>
        </w:rPr>
        <w:t>to read:</w:t>
      </w:r>
    </w:p>
    <w:p w14:paraId="07D4E52C" w14:textId="5F5AD2AE" w:rsidR="00CA1F03" w:rsidRDefault="00B86189" w:rsidP="00592535">
      <w:pPr>
        <w:pStyle w:val="SingleTxtG"/>
        <w:ind w:left="2268" w:hanging="1134"/>
      </w:pPr>
      <w:r w:rsidRPr="004F58B3">
        <w:rPr>
          <w:rFonts w:eastAsia="MS Mincho"/>
        </w:rPr>
        <w:t>"</w:t>
      </w:r>
      <w:r w:rsidR="00CA1F03">
        <w:t xml:space="preserve">2.1.  </w:t>
      </w:r>
      <w:r w:rsidR="00592535">
        <w:tab/>
      </w:r>
      <w:r w:rsidR="00CA1F03">
        <w:t>Only vehicles which are identical with respect to all the following characteristics are permitted to be part of the same ATCT Family:</w:t>
      </w:r>
    </w:p>
    <w:p w14:paraId="0D6878B8" w14:textId="77777777" w:rsidR="00CA1F03" w:rsidRDefault="00CA1F03" w:rsidP="00592535">
      <w:pPr>
        <w:pStyle w:val="SingleTxtG"/>
        <w:ind w:left="2268"/>
      </w:pPr>
      <w:r>
        <w:t>(a) Powertrain architecture (i.e. internal combustion, hybrid, fuel cell, or electric);</w:t>
      </w:r>
    </w:p>
    <w:p w14:paraId="7BEBD301" w14:textId="77777777" w:rsidR="00CA1F03" w:rsidRDefault="00CA1F03" w:rsidP="00592535">
      <w:pPr>
        <w:pStyle w:val="SingleTxtG"/>
        <w:ind w:left="2268"/>
      </w:pPr>
      <w:r>
        <w:t>(b) Combustion process (i.e. two stroke or four stroke);</w:t>
      </w:r>
    </w:p>
    <w:p w14:paraId="210AB4FE" w14:textId="77777777" w:rsidR="00CA1F03" w:rsidRDefault="00CA1F03" w:rsidP="00592535">
      <w:pPr>
        <w:pStyle w:val="SingleTxtG"/>
        <w:ind w:left="2268"/>
      </w:pPr>
      <w:r>
        <w:t>(c) Number and arrangement of cylinders;</w:t>
      </w:r>
    </w:p>
    <w:p w14:paraId="32CE2FD8" w14:textId="77777777" w:rsidR="00CA1F03" w:rsidRDefault="00CA1F03" w:rsidP="00592535">
      <w:pPr>
        <w:pStyle w:val="SingleTxtG"/>
        <w:ind w:left="2268"/>
      </w:pPr>
      <w:r>
        <w:t>(d) Method of engine combustion (i.e. indirect or direct injection);</w:t>
      </w:r>
    </w:p>
    <w:p w14:paraId="2B0E3475" w14:textId="77777777" w:rsidR="00CA1F03" w:rsidRDefault="00CA1F03" w:rsidP="00592535">
      <w:pPr>
        <w:pStyle w:val="SingleTxtG"/>
        <w:ind w:left="2268"/>
      </w:pPr>
      <w:r>
        <w:t>(e) Type of cooling system (i.e. air, water, or oil);</w:t>
      </w:r>
    </w:p>
    <w:p w14:paraId="5AFF2ED0" w14:textId="77777777" w:rsidR="00CA1F03" w:rsidRDefault="00CA1F03" w:rsidP="00592535">
      <w:pPr>
        <w:pStyle w:val="SingleTxtG"/>
        <w:ind w:left="2268"/>
      </w:pPr>
      <w:r>
        <w:t>(f) Method of aspiration (i.e. naturally aspirated, or charged);</w:t>
      </w:r>
    </w:p>
    <w:p w14:paraId="0AB3D841" w14:textId="77777777" w:rsidR="00CA1F03" w:rsidRDefault="00CA1F03" w:rsidP="00592535">
      <w:pPr>
        <w:pStyle w:val="SingleTxtG"/>
        <w:ind w:left="2268"/>
      </w:pPr>
      <w:r>
        <w:t>(g) Fuel for which the engine is designed (i.e. petrol, diesel, NG, LPG, etc.);</w:t>
      </w:r>
    </w:p>
    <w:p w14:paraId="307BDE4D" w14:textId="77777777" w:rsidR="00CA1F03" w:rsidRDefault="00CA1F03" w:rsidP="00592535">
      <w:pPr>
        <w:pStyle w:val="SingleTxtG"/>
        <w:ind w:left="2268"/>
      </w:pPr>
      <w:r>
        <w:t>(h) Catalytic converter (i.e. three-way catalyst, lean NOx trap, SCR, lean NOx catalyst or other(s));</w:t>
      </w:r>
    </w:p>
    <w:p w14:paraId="1B0BFBA7" w14:textId="77777777" w:rsidR="00CA1F03" w:rsidRDefault="00CA1F03" w:rsidP="00592535">
      <w:pPr>
        <w:pStyle w:val="SingleTxtG"/>
        <w:ind w:left="2268"/>
      </w:pPr>
      <w:r>
        <w:t>(i) Whether or not a particulate trap is installed; and</w:t>
      </w:r>
    </w:p>
    <w:p w14:paraId="35C1FAAE" w14:textId="77777777" w:rsidR="00CA1F03" w:rsidRDefault="00CA1F03" w:rsidP="00592535">
      <w:pPr>
        <w:pStyle w:val="SingleTxtG"/>
        <w:ind w:left="2268"/>
      </w:pPr>
      <w:r>
        <w:t>(j) Exhaust gas recirculation (with or without, cooled or non-cooled).</w:t>
      </w:r>
    </w:p>
    <w:p w14:paraId="6DBAA3D9" w14:textId="77777777" w:rsidR="00CA1F03" w:rsidRDefault="00CA1F03" w:rsidP="00592535">
      <w:pPr>
        <w:pStyle w:val="SingleTxtG"/>
        <w:ind w:left="2268"/>
      </w:pPr>
      <w:r>
        <w:t>In addition the vehicles shall be similar with respect to the following characteristics:</w:t>
      </w:r>
    </w:p>
    <w:p w14:paraId="2C2CB657" w14:textId="77777777" w:rsidR="00CA1F03" w:rsidRDefault="00CA1F03" w:rsidP="00592535">
      <w:pPr>
        <w:pStyle w:val="SingleTxtG"/>
        <w:ind w:left="2268"/>
      </w:pPr>
      <w:r>
        <w:t>(k) The vehicles shall have a variation in engine cylinder capacity of no more than 30 per cent of the vehicle with the lowest capacity; and</w:t>
      </w:r>
    </w:p>
    <w:p w14:paraId="4A5C00D8" w14:textId="77777777" w:rsidR="00CA1F03" w:rsidRDefault="00CA1F03" w:rsidP="00592535">
      <w:pPr>
        <w:pStyle w:val="SingleTxtG"/>
        <w:ind w:left="2268"/>
      </w:pPr>
      <w:r>
        <w:lastRenderedPageBreak/>
        <w:t xml:space="preserve">(l) Engine compartment insulation shall be of a similar type regarding material, amount and location of the insulation. Manufacturers shall provide evidence (e.g. by CAD drawings) to the approval authority that for all vehicles in the family, the volume and weight of the insulation material which will be installed is greater than 90 per cent of that of the ATCT measured reference vehicle. </w:t>
      </w:r>
      <w:r w:rsidRPr="00641054">
        <w:rPr>
          <w:b/>
          <w:bCs/>
        </w:rPr>
        <w:t>A tolerance of 10% compared to the declared value in volume and weight shall apply for each single component of the overall insulation entity</w:t>
      </w:r>
      <w:r>
        <w:rPr>
          <w:b/>
          <w:bCs/>
        </w:rPr>
        <w:t>.</w:t>
      </w:r>
    </w:p>
    <w:p w14:paraId="4699451F" w14:textId="77777777" w:rsidR="00CA1F03" w:rsidRDefault="00CA1F03" w:rsidP="00592535">
      <w:pPr>
        <w:pStyle w:val="SingleTxtG"/>
        <w:ind w:left="2268"/>
      </w:pPr>
      <w:r>
        <w:t>Difference in insulation material and location may also be accepted to be part of a single ATCT family under the condition that the test vehicle can be demonstrated as being the worst case with regards to engine compartment insulation.</w:t>
      </w:r>
    </w:p>
    <w:p w14:paraId="24E6CAEC" w14:textId="24E7D2D2" w:rsidR="00CE0DD3" w:rsidRPr="00B86189" w:rsidRDefault="00CA1F03" w:rsidP="00592535">
      <w:pPr>
        <w:spacing w:after="120"/>
        <w:ind w:left="2268" w:right="1134"/>
        <w:jc w:val="both"/>
        <w:rPr>
          <w:rFonts w:ascii="Times New Roman" w:hAnsi="Times New Roman" w:cs="Times New Roman"/>
          <w:i/>
          <w:sz w:val="20"/>
          <w:szCs w:val="20"/>
        </w:rPr>
      </w:pPr>
      <w:r w:rsidRPr="00B86189">
        <w:rPr>
          <w:rFonts w:ascii="Times New Roman" w:hAnsi="Times New Roman" w:cs="Times New Roman"/>
          <w:sz w:val="20"/>
          <w:szCs w:val="20"/>
        </w:rPr>
        <w:t>If the manufacturer can demonstrate to the Type Approval Authority that it is ensured that the worst case concept is maintained (e.g. tested vehicle has no insulation), or if the ATCT is composed of a single Interpolation Family. the requirements to document the insulation materials may be waived.</w:t>
      </w:r>
      <w:r w:rsidR="00B86189" w:rsidRPr="00B86189">
        <w:rPr>
          <w:rFonts w:ascii="Times New Roman" w:eastAsia="MS Mincho" w:hAnsi="Times New Roman" w:cs="Times New Roman"/>
          <w:sz w:val="20"/>
          <w:szCs w:val="20"/>
        </w:rPr>
        <w:t>"</w:t>
      </w:r>
    </w:p>
    <w:p w14:paraId="33085207" w14:textId="77777777" w:rsidR="00CE0DD3" w:rsidRDefault="00CE0DD3" w:rsidP="0035613B">
      <w:pPr>
        <w:spacing w:after="120"/>
        <w:ind w:left="1134" w:right="1134"/>
        <w:jc w:val="both"/>
        <w:rPr>
          <w:rFonts w:ascii="Times New Roman" w:hAnsi="Times New Roman" w:cs="Times New Roman"/>
          <w:i/>
          <w:sz w:val="20"/>
          <w:szCs w:val="20"/>
        </w:rPr>
      </w:pPr>
    </w:p>
    <w:p w14:paraId="08D27101" w14:textId="77777777" w:rsidR="00CE0DD3" w:rsidRDefault="00CE0DD3" w:rsidP="00951AE1">
      <w:pPr>
        <w:pStyle w:val="Default"/>
        <w:ind w:right="805"/>
        <w:rPr>
          <w:b/>
          <w:bCs/>
          <w:sz w:val="28"/>
          <w:szCs w:val="28"/>
          <w:lang w:val="en-US"/>
        </w:rPr>
      </w:pPr>
    </w:p>
    <w:p w14:paraId="4EBA93BC" w14:textId="03EBD18B" w:rsidR="00951AE1" w:rsidRDefault="00951AE1" w:rsidP="00951AE1">
      <w:pPr>
        <w:pStyle w:val="Default"/>
        <w:ind w:right="805"/>
        <w:rPr>
          <w:b/>
          <w:bCs/>
          <w:sz w:val="28"/>
          <w:szCs w:val="28"/>
          <w:lang w:val="en-US"/>
        </w:rPr>
      </w:pPr>
      <w:r w:rsidRPr="00951AE1">
        <w:rPr>
          <w:b/>
          <w:bCs/>
          <w:sz w:val="28"/>
          <w:szCs w:val="28"/>
          <w:lang w:val="en-US"/>
        </w:rPr>
        <w:t>II. Justification</w:t>
      </w:r>
    </w:p>
    <w:p w14:paraId="466C9B24" w14:textId="5E3696D5" w:rsidR="000C67C7" w:rsidRDefault="000C67C7" w:rsidP="0035613B">
      <w:pPr>
        <w:pStyle w:val="Default"/>
        <w:ind w:left="1134" w:right="1110"/>
        <w:rPr>
          <w:sz w:val="28"/>
          <w:szCs w:val="28"/>
          <w:lang w:val="en-US"/>
        </w:rPr>
      </w:pPr>
    </w:p>
    <w:p w14:paraId="3F737542" w14:textId="77777777" w:rsidR="00987669" w:rsidRPr="004B097A" w:rsidRDefault="00987669" w:rsidP="00987669">
      <w:pPr>
        <w:pStyle w:val="SingleTxtG"/>
        <w:numPr>
          <w:ilvl w:val="0"/>
          <w:numId w:val="5"/>
        </w:numPr>
        <w:suppressAutoHyphens/>
        <w:spacing w:line="240" w:lineRule="atLeast"/>
        <w:ind w:left="1134" w:firstLine="0"/>
        <w:rPr>
          <w:lang w:val="en-US"/>
        </w:rPr>
      </w:pPr>
      <w:r>
        <w:rPr>
          <w:lang w:val="en-US"/>
        </w:rPr>
        <w:t>Integration of K</w:t>
      </w:r>
      <w:r>
        <w:rPr>
          <w:vertAlign w:val="subscript"/>
          <w:lang w:val="en-US"/>
        </w:rPr>
        <w:t>CO2</w:t>
      </w:r>
      <w:r>
        <w:rPr>
          <w:lang w:val="en-US"/>
        </w:rPr>
        <w:t xml:space="preserve"> family </w:t>
      </w:r>
      <w:r w:rsidRPr="00BC0EE3">
        <w:rPr>
          <w:color w:val="000000" w:themeColor="text1"/>
          <w:lang w:val="en-US"/>
        </w:rPr>
        <w:t>concept and the Willans Approach (both for OVC-HEV and NOVC-HEVs) for harm</w:t>
      </w:r>
      <w:r>
        <w:rPr>
          <w:lang w:val="en-US"/>
        </w:rPr>
        <w:t>onization with UN GTR15 Amendment 6</w:t>
      </w:r>
    </w:p>
    <w:p w14:paraId="4B662B42" w14:textId="77777777" w:rsidR="00987669" w:rsidRPr="00987669" w:rsidRDefault="00987669" w:rsidP="00987669">
      <w:pPr>
        <w:pStyle w:val="SingleTxtG"/>
        <w:numPr>
          <w:ilvl w:val="0"/>
          <w:numId w:val="5"/>
        </w:numPr>
        <w:suppressAutoHyphens/>
        <w:spacing w:line="240" w:lineRule="atLeast"/>
        <w:ind w:left="1134" w:firstLine="0"/>
        <w:rPr>
          <w:lang w:val="en-US"/>
        </w:rPr>
      </w:pPr>
      <w:r w:rsidRPr="005D0A8C">
        <w:rPr>
          <w:lang w:val="en-US"/>
        </w:rPr>
        <w:t>Correction of CO</w:t>
      </w:r>
      <w:r w:rsidRPr="005D0A8C">
        <w:rPr>
          <w:vertAlign w:val="subscript"/>
          <w:lang w:val="en-US"/>
        </w:rPr>
        <w:t>2</w:t>
      </w:r>
      <w:r w:rsidRPr="005D0A8C">
        <w:rPr>
          <w:lang w:val="en-US"/>
        </w:rPr>
        <w:t xml:space="preserve"> results against the target speed and distance is only relevant for level 1A. Harmonization of level 1A, 1B and 2 and application of a stringent level 1B and 2 RMSSE limits will make correction of CO</w:t>
      </w:r>
      <w:r w:rsidRPr="005D0A8C">
        <w:rPr>
          <w:vertAlign w:val="subscript"/>
          <w:lang w:val="en-US"/>
        </w:rPr>
        <w:t>2</w:t>
      </w:r>
      <w:r w:rsidRPr="005D0A8C">
        <w:rPr>
          <w:lang w:val="en-US"/>
        </w:rPr>
        <w:t xml:space="preserve"> results for RMSSE &lt; 0.8 km/h unnecessary. </w:t>
      </w:r>
      <w:r w:rsidRPr="00987669">
        <w:rPr>
          <w:lang w:val="en-US"/>
        </w:rPr>
        <w:t>Current situation:</w:t>
      </w:r>
    </w:p>
    <w:tbl>
      <w:tblPr>
        <w:tblW w:w="7489" w:type="dxa"/>
        <w:tblInd w:w="1480" w:type="dxa"/>
        <w:tblCellMar>
          <w:left w:w="0" w:type="dxa"/>
          <w:right w:w="0" w:type="dxa"/>
        </w:tblCellMar>
        <w:tblLook w:val="0420" w:firstRow="1" w:lastRow="0" w:firstColumn="0" w:lastColumn="0" w:noHBand="0" w:noVBand="1"/>
      </w:tblPr>
      <w:tblGrid>
        <w:gridCol w:w="2552"/>
        <w:gridCol w:w="2551"/>
        <w:gridCol w:w="2386"/>
      </w:tblGrid>
      <w:tr w:rsidR="00987669" w:rsidRPr="006A7711" w14:paraId="6AB81B04" w14:textId="77777777" w:rsidTr="00987669">
        <w:trPr>
          <w:trHeight w:val="30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966B5A" w14:textId="77777777" w:rsidR="00987669" w:rsidRPr="006A7711" w:rsidRDefault="00987669" w:rsidP="00857B33">
            <w:pPr>
              <w:rPr>
                <w:lang w:val="de-DE" w:eastAsia="de-DE"/>
              </w:rPr>
            </w:pPr>
            <w:r w:rsidRPr="006A7711">
              <w:rPr>
                <w:color w:val="000000"/>
                <w:kern w:val="24"/>
                <w:lang w:val="de-DE" w:eastAsia="de-DE"/>
              </w:rPr>
              <w:t>RMSSE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A13683" w14:textId="77777777" w:rsidR="00987669" w:rsidRPr="006A7711" w:rsidRDefault="00987669" w:rsidP="00857B33">
            <w:pPr>
              <w:rPr>
                <w:lang w:val="de-DE" w:eastAsia="de-DE"/>
              </w:rPr>
            </w:pPr>
            <w:r w:rsidRPr="006A7711">
              <w:rPr>
                <w:color w:val="000000"/>
                <w:kern w:val="24"/>
                <w:lang w:val="de-DE" w:eastAsia="de-DE"/>
              </w:rPr>
              <w:t>Correction</w:t>
            </w:r>
          </w:p>
        </w:tc>
        <w:tc>
          <w:tcPr>
            <w:tcW w:w="2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B4F8C2" w14:textId="77777777" w:rsidR="00987669" w:rsidRPr="006A7711" w:rsidRDefault="00987669" w:rsidP="00857B33">
            <w:pPr>
              <w:rPr>
                <w:lang w:val="de-DE" w:eastAsia="de-DE"/>
              </w:rPr>
            </w:pPr>
            <w:r w:rsidRPr="006A7711">
              <w:rPr>
                <w:color w:val="000000"/>
                <w:kern w:val="24"/>
                <w:lang w:val="de-DE" w:eastAsia="de-DE"/>
              </w:rPr>
              <w:t>Validity</w:t>
            </w:r>
          </w:p>
        </w:tc>
      </w:tr>
      <w:tr w:rsidR="00987669" w:rsidRPr="006A7711" w14:paraId="6D4B54A1" w14:textId="77777777" w:rsidTr="00987669">
        <w:trPr>
          <w:trHeight w:val="620"/>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F161EA" w14:textId="77777777" w:rsidR="00987669" w:rsidRPr="006A7711" w:rsidRDefault="00987669" w:rsidP="00857B33">
            <w:pPr>
              <w:rPr>
                <w:lang w:val="de-DE" w:eastAsia="de-DE"/>
              </w:rPr>
            </w:pPr>
            <w:r>
              <w:rPr>
                <w:color w:val="000000"/>
                <w:kern w:val="24"/>
                <w:lang w:val="de-DE" w:eastAsia="de-DE"/>
              </w:rPr>
              <w:t xml:space="preserve">RMSSE </w:t>
            </w:r>
            <w:r w:rsidRPr="006A7711">
              <w:rPr>
                <w:color w:val="000000"/>
                <w:kern w:val="24"/>
                <w:lang w:val="de-DE" w:eastAsia="de-DE"/>
              </w:rPr>
              <w:t>&lt; 0.8 km/h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461258" w14:textId="77777777" w:rsidR="00987669" w:rsidRPr="004D7386" w:rsidRDefault="00987669" w:rsidP="00857B33">
            <w:pPr>
              <w:rPr>
                <w:b/>
                <w:bCs/>
                <w:lang w:eastAsia="de-DE"/>
              </w:rPr>
            </w:pPr>
            <w:r w:rsidRPr="004D7386">
              <w:rPr>
                <w:b/>
                <w:bCs/>
                <w:kern w:val="24"/>
                <w:lang w:eastAsia="de-DE"/>
              </w:rPr>
              <w:t>Level 1 A requires correction, level 1B+2 do not require correction</w:t>
            </w:r>
          </w:p>
        </w:tc>
        <w:tc>
          <w:tcPr>
            <w:tcW w:w="2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3A869E" w14:textId="77777777" w:rsidR="00987669" w:rsidRPr="006A7711" w:rsidRDefault="00987669" w:rsidP="00857B33">
            <w:pPr>
              <w:rPr>
                <w:lang w:val="de-DE" w:eastAsia="de-DE"/>
              </w:rPr>
            </w:pPr>
            <w:r w:rsidRPr="006A7711">
              <w:rPr>
                <w:color w:val="000000"/>
                <w:kern w:val="24"/>
                <w:lang w:val="de-DE" w:eastAsia="de-DE"/>
              </w:rPr>
              <w:t>Valid for all levels</w:t>
            </w:r>
          </w:p>
        </w:tc>
      </w:tr>
      <w:tr w:rsidR="00987669" w:rsidRPr="006A7711" w14:paraId="6968BA46" w14:textId="77777777" w:rsidTr="00987669">
        <w:trPr>
          <w:trHeight w:val="50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FAA0CA" w14:textId="77777777" w:rsidR="00987669" w:rsidRPr="006A7711" w:rsidRDefault="00987669" w:rsidP="00857B33">
            <w:pPr>
              <w:rPr>
                <w:lang w:val="de-DE" w:eastAsia="de-DE"/>
              </w:rPr>
            </w:pPr>
            <w:r w:rsidRPr="006A7711">
              <w:rPr>
                <w:color w:val="000000"/>
                <w:kern w:val="24"/>
                <w:lang w:val="de-DE" w:eastAsia="de-DE"/>
              </w:rPr>
              <w:t>0.8 km/h &lt; RMSSE &lt; 1.3 km/h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772C7" w14:textId="77777777" w:rsidR="00987669" w:rsidRPr="006A7711" w:rsidRDefault="00987669" w:rsidP="00857B33">
            <w:pPr>
              <w:rPr>
                <w:lang w:val="de-DE" w:eastAsia="de-DE"/>
              </w:rPr>
            </w:pPr>
            <w:r w:rsidRPr="006A7711">
              <w:rPr>
                <w:color w:val="000000"/>
                <w:kern w:val="24"/>
                <w:lang w:val="de-DE" w:eastAsia="de-DE"/>
              </w:rPr>
              <w:t>Level 1 A requires correction</w:t>
            </w:r>
          </w:p>
        </w:tc>
        <w:tc>
          <w:tcPr>
            <w:tcW w:w="2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FAE67A" w14:textId="77777777" w:rsidR="00987669" w:rsidRPr="006A7711" w:rsidRDefault="00987669" w:rsidP="00857B33">
            <w:pPr>
              <w:rPr>
                <w:lang w:eastAsia="de-DE"/>
              </w:rPr>
            </w:pPr>
            <w:r w:rsidRPr="006A7711">
              <w:rPr>
                <w:color w:val="000000"/>
                <w:kern w:val="24"/>
                <w:lang w:eastAsia="de-DE"/>
              </w:rPr>
              <w:t>Only valid for level 1A with correction</w:t>
            </w:r>
          </w:p>
        </w:tc>
      </w:tr>
      <w:tr w:rsidR="00987669" w:rsidRPr="006A7711" w14:paraId="3E1E31FC" w14:textId="77777777" w:rsidTr="00987669">
        <w:trPr>
          <w:trHeight w:val="50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BEF51B" w14:textId="77777777" w:rsidR="00987669" w:rsidRPr="006A7711" w:rsidRDefault="00987669" w:rsidP="00857B33">
            <w:pPr>
              <w:rPr>
                <w:lang w:val="de-DE" w:eastAsia="de-DE"/>
              </w:rPr>
            </w:pPr>
            <w:r w:rsidRPr="006A7711">
              <w:rPr>
                <w:color w:val="000000"/>
                <w:kern w:val="24"/>
                <w:lang w:val="de-DE" w:eastAsia="de-DE"/>
              </w:rPr>
              <w:t>RMSSE &gt;= 1.3 km/h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CDF94E" w14:textId="77777777" w:rsidR="00987669" w:rsidRPr="006A7711" w:rsidRDefault="00987669" w:rsidP="00857B33">
            <w:pPr>
              <w:rPr>
                <w:lang w:val="de-DE" w:eastAsia="de-DE"/>
              </w:rPr>
            </w:pPr>
          </w:p>
        </w:tc>
        <w:tc>
          <w:tcPr>
            <w:tcW w:w="2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E1FFC7" w14:textId="77777777" w:rsidR="00987669" w:rsidRPr="006A7711" w:rsidRDefault="00987669" w:rsidP="00857B33">
            <w:pPr>
              <w:rPr>
                <w:lang w:eastAsia="de-DE"/>
              </w:rPr>
            </w:pPr>
            <w:r w:rsidRPr="006A7711">
              <w:rPr>
                <w:color w:val="000000"/>
                <w:kern w:val="24"/>
                <w:lang w:eastAsia="de-DE"/>
              </w:rPr>
              <w:t>Not valid for any level</w:t>
            </w:r>
          </w:p>
        </w:tc>
      </w:tr>
    </w:tbl>
    <w:p w14:paraId="27706F55" w14:textId="77777777" w:rsidR="00987669" w:rsidRPr="001F5A68" w:rsidRDefault="00987669" w:rsidP="00987669">
      <w:pPr>
        <w:pStyle w:val="SingleTxtG"/>
        <w:numPr>
          <w:ilvl w:val="0"/>
          <w:numId w:val="5"/>
        </w:numPr>
        <w:suppressAutoHyphens/>
        <w:spacing w:line="240" w:lineRule="atLeast"/>
        <w:ind w:left="1134" w:firstLine="0"/>
        <w:rPr>
          <w:lang w:val="en-US"/>
        </w:rPr>
      </w:pPr>
      <w:r>
        <w:rPr>
          <w:lang w:val="en-US"/>
        </w:rPr>
        <w:t>C</w:t>
      </w:r>
      <w:r w:rsidRPr="001F5A68">
        <w:rPr>
          <w:lang w:val="en-US"/>
        </w:rPr>
        <w:t>orrection criterion</w:t>
      </w:r>
      <w:r>
        <w:rPr>
          <w:lang w:val="en-US"/>
        </w:rPr>
        <w:t xml:space="preserve"> c</w:t>
      </w:r>
      <w:r w:rsidRPr="001F5A68">
        <w:rPr>
          <w:lang w:val="en-US"/>
        </w:rPr>
        <w:t xml:space="preserve"> can be deleted as it is no longer needed.</w:t>
      </w:r>
    </w:p>
    <w:p w14:paraId="1F6BE11A" w14:textId="77777777" w:rsidR="00987669" w:rsidRDefault="00987669" w:rsidP="00987669">
      <w:pPr>
        <w:pStyle w:val="SingleTxtG"/>
        <w:numPr>
          <w:ilvl w:val="0"/>
          <w:numId w:val="5"/>
        </w:numPr>
        <w:suppressAutoHyphens/>
        <w:spacing w:line="240" w:lineRule="atLeast"/>
        <w:ind w:left="1134" w:firstLine="0"/>
      </w:pPr>
      <w:r w:rsidRPr="001F6728">
        <w:t xml:space="preserve">Volume and weight are reported </w:t>
      </w:r>
      <w:r>
        <w:t xml:space="preserve">for each single component </w:t>
      </w:r>
      <w:r w:rsidRPr="001F6728">
        <w:t>to allow the assessment of the 90% limit</w:t>
      </w:r>
      <w:r>
        <w:t xml:space="preserve"> for the overall insulation entity</w:t>
      </w:r>
      <w:r w:rsidRPr="001F6728">
        <w:t xml:space="preserve">. </w:t>
      </w:r>
      <w:r>
        <w:t>As a matter of fact</w:t>
      </w:r>
      <w:r w:rsidRPr="001F6728">
        <w:t xml:space="preserve">, production vehicle cannot satisfy an exact value, manufacturing tolerance </w:t>
      </w:r>
      <w:r>
        <w:t>for each insulation component must be taken into account.</w:t>
      </w:r>
    </w:p>
    <w:p w14:paraId="6F455293" w14:textId="77777777" w:rsidR="00CE0DD3" w:rsidRPr="00987669" w:rsidRDefault="00CE0DD3" w:rsidP="0035613B">
      <w:pPr>
        <w:pStyle w:val="Default"/>
        <w:ind w:left="1134" w:right="1110"/>
        <w:rPr>
          <w:sz w:val="28"/>
          <w:szCs w:val="28"/>
          <w:lang w:val="en-GB"/>
        </w:rPr>
      </w:pPr>
    </w:p>
    <w:p w14:paraId="0E7E3854" w14:textId="75663DBE" w:rsidR="0081205A" w:rsidRDefault="00D42C29" w:rsidP="00D42C29">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0CF24738" w14:textId="77777777" w:rsidR="0081205A" w:rsidRDefault="0081205A" w:rsidP="00951AE1">
      <w:pPr>
        <w:tabs>
          <w:tab w:val="left" w:pos="1959"/>
        </w:tabs>
        <w:spacing w:line="259" w:lineRule="auto"/>
        <w:ind w:left="1985" w:right="805" w:hanging="1870"/>
        <w:rPr>
          <w:sz w:val="28"/>
        </w:rPr>
      </w:pPr>
    </w:p>
    <w:p w14:paraId="7D459A27" w14:textId="77777777" w:rsidR="00951AE1" w:rsidRPr="00951AE1" w:rsidRDefault="00951AE1" w:rsidP="000C67C7">
      <w:pPr>
        <w:tabs>
          <w:tab w:val="left" w:pos="1959"/>
        </w:tabs>
        <w:spacing w:line="259" w:lineRule="auto"/>
        <w:ind w:left="1985" w:right="-24" w:hanging="1870"/>
        <w:rPr>
          <w:sz w:val="28"/>
          <w:lang w:val="en-GB"/>
        </w:rPr>
      </w:pPr>
    </w:p>
    <w:sectPr w:rsidR="00951AE1" w:rsidRPr="00951AE1" w:rsidSect="009A0930">
      <w:headerReference w:type="default" r:id="rId13"/>
      <w:pgSz w:w="11910" w:h="16840"/>
      <w:pgMar w:top="1580" w:right="995"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7F8D" w14:textId="77777777" w:rsidR="00BA17D0" w:rsidRDefault="00BA17D0" w:rsidP="00F06571">
      <w:r>
        <w:separator/>
      </w:r>
    </w:p>
  </w:endnote>
  <w:endnote w:type="continuationSeparator" w:id="0">
    <w:p w14:paraId="64390CEE" w14:textId="77777777" w:rsidR="00BA17D0" w:rsidRDefault="00BA17D0"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75934" w14:textId="77777777" w:rsidR="00BA17D0" w:rsidRDefault="00BA17D0" w:rsidP="00F06571">
      <w:r>
        <w:separator/>
      </w:r>
    </w:p>
  </w:footnote>
  <w:footnote w:type="continuationSeparator" w:id="0">
    <w:p w14:paraId="5A620403" w14:textId="77777777" w:rsidR="00BA17D0" w:rsidRDefault="00BA17D0"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38"/>
    </w:tblGrid>
    <w:tr w:rsidR="001212DD" w:rsidRPr="001212DD"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3235C720" w:rsidR="001212DD" w:rsidRPr="0035613B" w:rsidRDefault="001212DD" w:rsidP="001212DD">
          <w:pPr>
            <w:tabs>
              <w:tab w:val="center" w:pos="4513"/>
              <w:tab w:val="right" w:pos="9026"/>
            </w:tabs>
            <w:ind w:left="1691"/>
            <w:rPr>
              <w:rFonts w:ascii="Times New Roman" w:eastAsia="Times New Roman" w:hAnsi="Times New Roman" w:cs="Times New Roman"/>
              <w:lang w:val="fr-FR"/>
            </w:rPr>
          </w:pPr>
          <w:r w:rsidRPr="0035613B">
            <w:rPr>
              <w:rFonts w:ascii="Times New Roman" w:eastAsia="Times New Roman" w:hAnsi="Times New Roman" w:cs="Times New Roman"/>
              <w:u w:val="single"/>
              <w:lang w:val="fr-FR"/>
            </w:rPr>
            <w:t>Informal document</w:t>
          </w:r>
          <w:r w:rsidRPr="0035613B">
            <w:rPr>
              <w:rFonts w:ascii="Times New Roman" w:eastAsia="Times New Roman" w:hAnsi="Times New Roman" w:cs="Times New Roman"/>
              <w:lang w:val="fr-FR"/>
            </w:rPr>
            <w:t xml:space="preserve"> </w:t>
          </w:r>
          <w:r w:rsidRPr="0035613B">
            <w:rPr>
              <w:rFonts w:ascii="Times New Roman" w:eastAsia="Times New Roman" w:hAnsi="Times New Roman" w:cs="Times New Roman"/>
              <w:b/>
              <w:bCs/>
              <w:lang w:val="fr-FR"/>
            </w:rPr>
            <w:t>GRPE-</w:t>
          </w:r>
          <w:r w:rsidR="00951AE1" w:rsidRPr="0035613B">
            <w:rPr>
              <w:rFonts w:ascii="Times New Roman" w:eastAsia="Times New Roman" w:hAnsi="Times New Roman" w:cs="Times New Roman"/>
              <w:b/>
              <w:bCs/>
              <w:lang w:val="fr-FR"/>
            </w:rPr>
            <w:t>8</w:t>
          </w:r>
          <w:r w:rsidR="0035613B" w:rsidRPr="0035613B">
            <w:rPr>
              <w:rFonts w:ascii="Times New Roman" w:eastAsia="Times New Roman" w:hAnsi="Times New Roman" w:cs="Times New Roman"/>
              <w:b/>
              <w:bCs/>
              <w:lang w:val="fr-FR"/>
            </w:rPr>
            <w:t>3-</w:t>
          </w:r>
          <w:r w:rsidR="00DE2D8F">
            <w:rPr>
              <w:rFonts w:ascii="Times New Roman" w:eastAsia="Times New Roman" w:hAnsi="Times New Roman" w:cs="Times New Roman"/>
              <w:b/>
              <w:bCs/>
              <w:lang w:val="fr-FR"/>
            </w:rPr>
            <w:t>12</w:t>
          </w:r>
        </w:p>
        <w:p w14:paraId="300FC8FC" w14:textId="545EB23E" w:rsidR="001212DD" w:rsidRPr="0035613B" w:rsidRDefault="001212DD" w:rsidP="001212DD">
          <w:pPr>
            <w:tabs>
              <w:tab w:val="center" w:pos="4513"/>
              <w:tab w:val="right" w:pos="9026"/>
            </w:tabs>
            <w:ind w:left="1691"/>
            <w:rPr>
              <w:rFonts w:ascii="Times New Roman" w:eastAsia="Times New Roman" w:hAnsi="Times New Roman" w:cs="Times New Roman"/>
              <w:bCs/>
              <w:lang w:val="fr-FR"/>
            </w:rPr>
          </w:pPr>
          <w:r w:rsidRPr="0035613B">
            <w:rPr>
              <w:rFonts w:ascii="Times New Roman" w:eastAsia="Times New Roman" w:hAnsi="Times New Roman" w:cs="Times New Roman"/>
              <w:bCs/>
              <w:lang w:val="fr-FR"/>
            </w:rPr>
            <w:t>8</w:t>
          </w:r>
          <w:r w:rsidR="0035613B" w:rsidRPr="0035613B">
            <w:rPr>
              <w:rFonts w:ascii="Times New Roman" w:eastAsia="Times New Roman" w:hAnsi="Times New Roman" w:cs="Times New Roman"/>
              <w:bCs/>
              <w:lang w:val="fr-FR"/>
            </w:rPr>
            <w:t>3</w:t>
          </w:r>
          <w:r w:rsidR="0035613B" w:rsidRPr="0035613B">
            <w:rPr>
              <w:rFonts w:ascii="Times New Roman" w:eastAsia="Times New Roman" w:hAnsi="Times New Roman" w:cs="Times New Roman"/>
              <w:bCs/>
              <w:vertAlign w:val="superscript"/>
              <w:lang w:val="fr-FR"/>
            </w:rPr>
            <w:t>rd</w:t>
          </w:r>
          <w:r w:rsidR="0035613B" w:rsidRPr="0035613B">
            <w:rPr>
              <w:rFonts w:ascii="Times New Roman" w:eastAsia="Times New Roman" w:hAnsi="Times New Roman" w:cs="Times New Roman"/>
              <w:bCs/>
              <w:lang w:val="fr-FR"/>
            </w:rPr>
            <w:t xml:space="preserve"> </w:t>
          </w:r>
          <w:r w:rsidR="00951AE1" w:rsidRPr="0035613B">
            <w:rPr>
              <w:rFonts w:ascii="Times New Roman" w:eastAsia="Times New Roman" w:hAnsi="Times New Roman" w:cs="Times New Roman"/>
              <w:bCs/>
              <w:lang w:val="fr-FR"/>
            </w:rPr>
            <w:t>G</w:t>
          </w:r>
          <w:r w:rsidRPr="0035613B">
            <w:rPr>
              <w:rFonts w:ascii="Times New Roman" w:eastAsia="Times New Roman" w:hAnsi="Times New Roman" w:cs="Times New Roman"/>
              <w:bCs/>
              <w:lang w:val="fr-FR"/>
            </w:rPr>
            <w:t xml:space="preserve">RPE, </w:t>
          </w:r>
          <w:r w:rsidR="00951AE1" w:rsidRPr="0035613B">
            <w:rPr>
              <w:rFonts w:ascii="Times New Roman" w:eastAsia="Times New Roman" w:hAnsi="Times New Roman" w:cs="Times New Roman"/>
              <w:bCs/>
              <w:lang w:val="fr-FR"/>
            </w:rPr>
            <w:t>1-</w:t>
          </w:r>
          <w:r w:rsidR="0035613B" w:rsidRPr="0035613B">
            <w:rPr>
              <w:rFonts w:ascii="Times New Roman" w:eastAsia="Times New Roman" w:hAnsi="Times New Roman" w:cs="Times New Roman"/>
              <w:bCs/>
              <w:lang w:val="fr-FR"/>
            </w:rPr>
            <w:t>4 June</w:t>
          </w:r>
          <w:r w:rsidRPr="0035613B">
            <w:rPr>
              <w:rFonts w:ascii="Times New Roman" w:eastAsia="Times New Roman" w:hAnsi="Times New Roman" w:cs="Times New Roman"/>
              <w:bCs/>
              <w:lang w:val="fr-FR"/>
            </w:rPr>
            <w:t xml:space="preserve"> 202</w:t>
          </w:r>
          <w:r w:rsidR="00951AE1" w:rsidRPr="0035613B">
            <w:rPr>
              <w:rFonts w:ascii="Times New Roman" w:eastAsia="Times New Roman" w:hAnsi="Times New Roman" w:cs="Times New Roman"/>
              <w:bCs/>
              <w:lang w:val="fr-FR"/>
            </w:rPr>
            <w:t>1</w:t>
          </w:r>
        </w:p>
        <w:p w14:paraId="689E410A" w14:textId="5424F4CF" w:rsidR="001212DD" w:rsidRPr="001212DD" w:rsidRDefault="001212DD" w:rsidP="001212DD">
          <w:pPr>
            <w:tabs>
              <w:tab w:val="center" w:pos="4513"/>
              <w:tab w:val="right" w:pos="9026"/>
            </w:tabs>
            <w:ind w:left="1691"/>
            <w:rPr>
              <w:rFonts w:ascii="Times New Roman" w:eastAsia="Times New Roman" w:hAnsi="Times New Roman" w:cs="Times New Roman"/>
            </w:rPr>
          </w:pPr>
          <w:r w:rsidRPr="001212DD">
            <w:rPr>
              <w:rFonts w:ascii="Times New Roman" w:eastAsia="Times New Roman" w:hAnsi="Times New Roman" w:cs="Times New Roman"/>
            </w:rPr>
            <w:t xml:space="preserve">Agenda item </w:t>
          </w:r>
          <w:r w:rsidR="0035613B">
            <w:rPr>
              <w:rFonts w:ascii="Times New Roman" w:eastAsia="Times New Roman" w:hAnsi="Times New Roman" w:cs="Times New Roman"/>
            </w:rPr>
            <w:t>3(</w:t>
          </w:r>
          <w:r w:rsidR="00CE0DD3">
            <w:rPr>
              <w:rFonts w:ascii="Times New Roman" w:eastAsia="Times New Roman" w:hAnsi="Times New Roman" w:cs="Times New Roman"/>
            </w:rPr>
            <w:t>a</w:t>
          </w:r>
          <w:r w:rsidR="0035613B">
            <w:rPr>
              <w:rFonts w:ascii="Times New Roman" w:eastAsia="Times New Roman" w:hAnsi="Times New Roman" w:cs="Times New Roman"/>
            </w:rPr>
            <w:t>)</w:t>
          </w:r>
          <w:r w:rsidR="000C67C7">
            <w:rPr>
              <w:rFonts w:ascii="Times New Roman" w:eastAsia="Times New Roman" w:hAnsi="Times New Roman" w:cs="Times New Roman"/>
            </w:rPr>
            <w:t>.</w:t>
          </w:r>
        </w:p>
        <w:p w14:paraId="1A320024" w14:textId="77777777" w:rsidR="001212DD" w:rsidRPr="001212DD" w:rsidRDefault="001212DD" w:rsidP="001212DD">
          <w:pPr>
            <w:tabs>
              <w:tab w:val="center" w:pos="4513"/>
              <w:tab w:val="right" w:pos="9026"/>
            </w:tabs>
            <w:ind w:left="1691"/>
            <w:rPr>
              <w:rFonts w:ascii="Times New Roman" w:eastAsia="Times New Roman" w:hAnsi="Times New Roman" w:cs="Times New Roman"/>
              <w:b/>
            </w:rPr>
          </w:pPr>
        </w:p>
      </w:tc>
    </w:tr>
  </w:tbl>
  <w:p w14:paraId="7814163E" w14:textId="77777777" w:rsidR="001212DD" w:rsidRDefault="0012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C1F13"/>
    <w:multiLevelType w:val="hybridMultilevel"/>
    <w:tmpl w:val="9B022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75A33B77"/>
    <w:multiLevelType w:val="hybridMultilevel"/>
    <w:tmpl w:val="8BEAF294"/>
    <w:lvl w:ilvl="0" w:tplc="BCE63CC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808B3"/>
    <w:multiLevelType w:val="hybridMultilevel"/>
    <w:tmpl w:val="F2984F6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8"/>
    <w:rsid w:val="000C67C7"/>
    <w:rsid w:val="001212DD"/>
    <w:rsid w:val="002070DF"/>
    <w:rsid w:val="0035613B"/>
    <w:rsid w:val="00373C5B"/>
    <w:rsid w:val="003A4E24"/>
    <w:rsid w:val="003B3089"/>
    <w:rsid w:val="00475B7E"/>
    <w:rsid w:val="004921D2"/>
    <w:rsid w:val="00543F57"/>
    <w:rsid w:val="00592535"/>
    <w:rsid w:val="005C4DA1"/>
    <w:rsid w:val="00723C98"/>
    <w:rsid w:val="00751B28"/>
    <w:rsid w:val="0075489F"/>
    <w:rsid w:val="007A33DD"/>
    <w:rsid w:val="0081205A"/>
    <w:rsid w:val="00840544"/>
    <w:rsid w:val="00911A23"/>
    <w:rsid w:val="00951AE1"/>
    <w:rsid w:val="00987669"/>
    <w:rsid w:val="009A0930"/>
    <w:rsid w:val="00AB1A99"/>
    <w:rsid w:val="00AF473D"/>
    <w:rsid w:val="00B1593C"/>
    <w:rsid w:val="00B86189"/>
    <w:rsid w:val="00BA17D0"/>
    <w:rsid w:val="00BB0718"/>
    <w:rsid w:val="00BD50BF"/>
    <w:rsid w:val="00CA1F03"/>
    <w:rsid w:val="00CE0DD3"/>
    <w:rsid w:val="00D42C29"/>
    <w:rsid w:val="00D7097E"/>
    <w:rsid w:val="00DE2D8F"/>
    <w:rsid w:val="00E25BF0"/>
    <w:rsid w:val="00F06571"/>
    <w:rsid w:val="00F4130C"/>
    <w:rsid w:val="00F4362E"/>
    <w:rsid w:val="00FA15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iPriority w:val="99"/>
    <w:semiHidden/>
    <w:unhideWhenUsed/>
    <w:rsid w:val="00B1593C"/>
    <w:rPr>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basedOn w:val="DefaultParagraphFont"/>
    <w:link w:val="CommentText"/>
    <w:uiPriority w:val="99"/>
    <w:semiHidden/>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C67C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XLargeG">
    <w:name w:val="__XLarge_G"/>
    <w:basedOn w:val="Normal"/>
    <w:next w:val="Normal"/>
    <w:rsid w:val="0035613B"/>
    <w:pPr>
      <w:keepNext/>
      <w:keepLines/>
      <w:widowControl/>
      <w:suppressAutoHyphens/>
      <w:autoSpaceDE/>
      <w:autoSpaceDN/>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para">
    <w:name w:val="para"/>
    <w:basedOn w:val="SingleTxtG"/>
    <w:link w:val="paraChar"/>
    <w:qFormat/>
    <w:rsid w:val="00CA1F03"/>
    <w:pPr>
      <w:suppressAutoHyphens/>
      <w:spacing w:line="240" w:lineRule="atLeast"/>
      <w:ind w:left="2268" w:hanging="1134"/>
    </w:pPr>
    <w:rPr>
      <w:lang w:val="fr-CH"/>
    </w:rPr>
  </w:style>
  <w:style w:type="character" w:customStyle="1" w:styleId="paraChar">
    <w:name w:val="para Char"/>
    <w:link w:val="para"/>
    <w:rsid w:val="00CA1F03"/>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82653">
      <w:bodyDiv w:val="1"/>
      <w:marLeft w:val="0"/>
      <w:marRight w:val="0"/>
      <w:marTop w:val="0"/>
      <w:marBottom w:val="0"/>
      <w:divBdr>
        <w:top w:val="none" w:sz="0" w:space="0" w:color="auto"/>
        <w:left w:val="none" w:sz="0" w:space="0" w:color="auto"/>
        <w:bottom w:val="none" w:sz="0" w:space="0" w:color="auto"/>
        <w:right w:val="none" w:sz="0" w:space="0" w:color="auto"/>
      </w:divBdr>
    </w:div>
    <w:div w:id="177636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60C3E-EF84-4BEF-A331-258FB0250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B07C8-354B-45CE-93DF-81F5022E5C98}">
  <ds:schemaRefs>
    <ds:schemaRef ds:uri="http://schemas.microsoft.com/sharepoint/v3/contenttype/forms"/>
  </ds:schemaRefs>
</ds:datastoreItem>
</file>

<file path=customXml/itemProps3.xml><?xml version="1.0" encoding="utf-8"?>
<ds:datastoreItem xmlns:ds="http://schemas.openxmlformats.org/officeDocument/2006/customXml" ds:itemID="{285CB620-0CED-4DA6-AAD5-A1B3B8014545}">
  <ds:schemaRefs>
    <ds:schemaRef ds:uri="http://schemas.openxmlformats.org/officeDocument/2006/bibliography"/>
  </ds:schemaRefs>
</ds:datastoreItem>
</file>

<file path=customXml/itemProps4.xml><?xml version="1.0" encoding="utf-8"?>
<ds:datastoreItem xmlns:ds="http://schemas.openxmlformats.org/officeDocument/2006/customXml" ds:itemID="{403CE66D-FED6-4DCD-B903-F3D16BA23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1786</Words>
  <Characters>10182</Characters>
  <Application>Microsoft Office Word</Application>
  <DocSecurity>0</DocSecurity>
  <Lines>84</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Francois Cuenot</cp:lastModifiedBy>
  <cp:revision>4</cp:revision>
  <dcterms:created xsi:type="dcterms:W3CDTF">2021-05-31T13:57:00Z</dcterms:created>
  <dcterms:modified xsi:type="dcterms:W3CDTF">2021-05-31T13:59:00Z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ies>
</file>