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511F81E2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0BCB647" w14:textId="77777777" w:rsidR="00F35BAF" w:rsidRPr="00DB58B5" w:rsidRDefault="00F35BAF" w:rsidP="00DB555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2A98108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BC7F56F" w14:textId="080D8134" w:rsidR="00F35BAF" w:rsidRPr="00DB58B5" w:rsidRDefault="00DB5559" w:rsidP="00DB5559">
            <w:pPr>
              <w:jc w:val="right"/>
            </w:pPr>
            <w:r w:rsidRPr="00DB5559">
              <w:rPr>
                <w:sz w:val="40"/>
              </w:rPr>
              <w:t>ECE</w:t>
            </w:r>
            <w:r>
              <w:t>/TRANS/WP.29/2021/76</w:t>
            </w:r>
          </w:p>
        </w:tc>
      </w:tr>
      <w:tr w:rsidR="00F35BAF" w:rsidRPr="00DB58B5" w14:paraId="523A643C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0C69DC8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3831996" wp14:editId="777942B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E9FE3F7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8F5DE85" w14:textId="77777777" w:rsidR="00F35BAF" w:rsidRDefault="00DB5559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7217F79D" w14:textId="77777777" w:rsidR="00DB5559" w:rsidRDefault="00DB5559" w:rsidP="00DB5559">
            <w:pPr>
              <w:spacing w:line="240" w:lineRule="exact"/>
            </w:pPr>
            <w:r>
              <w:t>9 avril 2021</w:t>
            </w:r>
          </w:p>
          <w:p w14:paraId="3D72749E" w14:textId="77777777" w:rsidR="00DB5559" w:rsidRDefault="00DB5559" w:rsidP="00DB5559">
            <w:pPr>
              <w:spacing w:line="240" w:lineRule="exact"/>
            </w:pPr>
            <w:r>
              <w:t>Français</w:t>
            </w:r>
          </w:p>
          <w:p w14:paraId="76F93A31" w14:textId="2D0B9EAA" w:rsidR="00DB5559" w:rsidRPr="00DB58B5" w:rsidRDefault="00DB5559" w:rsidP="00DB5559">
            <w:pPr>
              <w:spacing w:line="240" w:lineRule="exact"/>
            </w:pPr>
            <w:r>
              <w:t>Original : anglais</w:t>
            </w:r>
          </w:p>
        </w:tc>
      </w:tr>
    </w:tbl>
    <w:p w14:paraId="25242425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768B6AD1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139CD63" w14:textId="05FC2884" w:rsidR="00DB5559" w:rsidRPr="00EF5452" w:rsidRDefault="00DB5559" w:rsidP="00DB5559">
      <w:pPr>
        <w:spacing w:before="120"/>
        <w:rPr>
          <w:b/>
          <w:sz w:val="24"/>
          <w:szCs w:val="24"/>
          <w:lang w:val="fr-FR"/>
        </w:rPr>
      </w:pPr>
      <w:r w:rsidRPr="00EF5452">
        <w:rPr>
          <w:b/>
          <w:bCs/>
          <w:sz w:val="24"/>
          <w:szCs w:val="24"/>
          <w:lang w:val="fr-FR"/>
        </w:rPr>
        <w:t>Forum mondial de l</w:t>
      </w:r>
      <w:r>
        <w:rPr>
          <w:b/>
          <w:bCs/>
          <w:sz w:val="24"/>
          <w:szCs w:val="24"/>
          <w:lang w:val="fr-FR"/>
        </w:rPr>
        <w:t>’</w:t>
      </w:r>
      <w:r w:rsidRPr="00EF5452">
        <w:rPr>
          <w:b/>
          <w:bCs/>
          <w:sz w:val="24"/>
          <w:szCs w:val="24"/>
          <w:lang w:val="fr-FR"/>
        </w:rPr>
        <w:t xml:space="preserve">harmonisation des Règlements </w:t>
      </w:r>
      <w:r>
        <w:rPr>
          <w:b/>
          <w:bCs/>
          <w:sz w:val="24"/>
          <w:szCs w:val="24"/>
          <w:lang w:val="fr-FR"/>
        </w:rPr>
        <w:br/>
      </w:r>
      <w:r w:rsidRPr="00EF5452">
        <w:rPr>
          <w:b/>
          <w:bCs/>
          <w:sz w:val="24"/>
          <w:szCs w:val="24"/>
          <w:lang w:val="fr-FR"/>
        </w:rPr>
        <w:t>concernant les véhicules</w:t>
      </w:r>
    </w:p>
    <w:p w14:paraId="51893BE9" w14:textId="77777777" w:rsidR="00DB5559" w:rsidRPr="00480993" w:rsidRDefault="00DB5559" w:rsidP="00DB5559">
      <w:pPr>
        <w:tabs>
          <w:tab w:val="center" w:pos="4819"/>
        </w:tabs>
        <w:spacing w:before="120"/>
        <w:rPr>
          <w:b/>
          <w:lang w:val="fr-FR"/>
        </w:rPr>
      </w:pPr>
      <w:r w:rsidRPr="00480993">
        <w:rPr>
          <w:b/>
          <w:bCs/>
          <w:lang w:val="fr-FR"/>
        </w:rPr>
        <w:t>184</w:t>
      </w:r>
      <w:r w:rsidRPr="00480993"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 xml:space="preserve"> </w:t>
      </w:r>
      <w:r w:rsidRPr="00480993">
        <w:rPr>
          <w:b/>
          <w:bCs/>
          <w:lang w:val="fr-FR"/>
        </w:rPr>
        <w:t>session</w:t>
      </w:r>
    </w:p>
    <w:p w14:paraId="18CC37AF" w14:textId="77777777" w:rsidR="00DB5559" w:rsidRPr="00480993" w:rsidRDefault="00DB5559" w:rsidP="00DB5559">
      <w:pPr>
        <w:rPr>
          <w:lang w:val="fr-FR"/>
        </w:rPr>
      </w:pPr>
      <w:r w:rsidRPr="00480993">
        <w:rPr>
          <w:lang w:val="fr-FR"/>
        </w:rPr>
        <w:t>Genève, 22-24 juin 2021</w:t>
      </w:r>
    </w:p>
    <w:p w14:paraId="6D80E679" w14:textId="77777777" w:rsidR="00DB5559" w:rsidRPr="00480993" w:rsidRDefault="00DB5559" w:rsidP="00DB5559">
      <w:pPr>
        <w:rPr>
          <w:lang w:val="fr-FR"/>
        </w:rPr>
      </w:pPr>
      <w:r w:rsidRPr="00480993">
        <w:rPr>
          <w:lang w:val="fr-FR"/>
        </w:rPr>
        <w:t>Point 4.9.2 de l</w:t>
      </w:r>
      <w:r>
        <w:rPr>
          <w:lang w:val="fr-FR"/>
        </w:rPr>
        <w:t>’</w:t>
      </w:r>
      <w:r w:rsidRPr="00480993">
        <w:rPr>
          <w:lang w:val="fr-FR"/>
        </w:rPr>
        <w:t>ordre du jour provisoire</w:t>
      </w:r>
    </w:p>
    <w:p w14:paraId="0516AF1D" w14:textId="35AB1018" w:rsidR="00DB5559" w:rsidRPr="00480993" w:rsidRDefault="00DB5559" w:rsidP="00DB5559">
      <w:pPr>
        <w:rPr>
          <w:b/>
          <w:lang w:val="fr-FR"/>
        </w:rPr>
      </w:pPr>
      <w:r w:rsidRPr="00480993">
        <w:rPr>
          <w:b/>
          <w:bCs/>
          <w:lang w:val="fr-FR"/>
        </w:rPr>
        <w:t>Accord de 1958</w:t>
      </w:r>
      <w:r>
        <w:rPr>
          <w:b/>
          <w:bCs/>
          <w:lang w:val="fr-FR"/>
        </w:rPr>
        <w:t> </w:t>
      </w:r>
      <w:r w:rsidRPr="00480993">
        <w:rPr>
          <w:b/>
          <w:bCs/>
          <w:lang w:val="fr-FR"/>
        </w:rPr>
        <w:t>: Examen de projets d</w:t>
      </w:r>
      <w:r>
        <w:rPr>
          <w:b/>
          <w:bCs/>
          <w:lang w:val="fr-FR"/>
        </w:rPr>
        <w:t>’</w:t>
      </w:r>
      <w:r w:rsidRPr="00480993">
        <w:rPr>
          <w:b/>
          <w:bCs/>
          <w:lang w:val="fr-FR"/>
        </w:rPr>
        <w:t xml:space="preserve">amendements </w:t>
      </w:r>
      <w:r>
        <w:rPr>
          <w:b/>
          <w:bCs/>
          <w:lang w:val="fr-FR"/>
        </w:rPr>
        <w:br/>
      </w:r>
      <w:r w:rsidRPr="00480993">
        <w:rPr>
          <w:b/>
          <w:bCs/>
          <w:lang w:val="fr-FR"/>
        </w:rPr>
        <w:t>à des Règlements ONU existants, soumis par le GRBP</w:t>
      </w:r>
    </w:p>
    <w:p w14:paraId="5248A873" w14:textId="77777777" w:rsidR="00DB5559" w:rsidRPr="00480993" w:rsidRDefault="00DB5559" w:rsidP="00DB5559">
      <w:pPr>
        <w:pStyle w:val="HChG"/>
        <w:rPr>
          <w:lang w:val="fr-FR"/>
        </w:rPr>
      </w:pPr>
      <w:r w:rsidRPr="00480993">
        <w:rPr>
          <w:lang w:val="fr-FR"/>
        </w:rPr>
        <w:tab/>
      </w:r>
      <w:r w:rsidRPr="00480993">
        <w:rPr>
          <w:lang w:val="fr-FR"/>
        </w:rPr>
        <w:tab/>
        <w:t>Proposition de complément 1 à la série 05 d</w:t>
      </w:r>
      <w:r>
        <w:rPr>
          <w:lang w:val="fr-FR"/>
        </w:rPr>
        <w:t>’</w:t>
      </w:r>
      <w:r w:rsidRPr="00480993">
        <w:rPr>
          <w:lang w:val="fr-FR"/>
        </w:rPr>
        <w:t xml:space="preserve">amendements </w:t>
      </w:r>
      <w:r>
        <w:rPr>
          <w:lang w:val="fr-FR"/>
        </w:rPr>
        <w:br/>
      </w:r>
      <w:r w:rsidRPr="00480993">
        <w:rPr>
          <w:lang w:val="fr-FR"/>
        </w:rPr>
        <w:t>au Règlement ONU n</w:t>
      </w:r>
      <w:r w:rsidRPr="00480993">
        <w:rPr>
          <w:vertAlign w:val="superscript"/>
          <w:lang w:val="fr-FR"/>
        </w:rPr>
        <w:t>o</w:t>
      </w:r>
      <w:r w:rsidRPr="00480993">
        <w:rPr>
          <w:lang w:val="fr-FR"/>
        </w:rPr>
        <w:t xml:space="preserve"> 41 (Bruit émis par les motocycles)</w:t>
      </w:r>
    </w:p>
    <w:p w14:paraId="48733777" w14:textId="77777777" w:rsidR="00DB5559" w:rsidRPr="00480993" w:rsidRDefault="00DB5559" w:rsidP="00DB5559">
      <w:pPr>
        <w:pStyle w:val="H1G"/>
        <w:rPr>
          <w:szCs w:val="24"/>
          <w:lang w:val="fr-FR"/>
        </w:rPr>
      </w:pPr>
      <w:r w:rsidRPr="00480993">
        <w:rPr>
          <w:lang w:val="fr-FR"/>
        </w:rPr>
        <w:tab/>
      </w:r>
      <w:r w:rsidRPr="00480993">
        <w:rPr>
          <w:lang w:val="fr-FR"/>
        </w:rPr>
        <w:tab/>
        <w:t>Communication du Groupe de travail du bruit et des pneumatiques</w:t>
      </w:r>
      <w:r w:rsidRPr="00DB5559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</w:p>
    <w:p w14:paraId="0723BB75" w14:textId="77777777" w:rsidR="00DB5559" w:rsidRPr="00480993" w:rsidRDefault="00DB5559" w:rsidP="00DB5559">
      <w:pPr>
        <w:pStyle w:val="SingleTxtG"/>
        <w:ind w:firstLine="567"/>
        <w:rPr>
          <w:lang w:val="fr-FR"/>
        </w:rPr>
      </w:pPr>
      <w:r w:rsidRPr="00480993">
        <w:rPr>
          <w:lang w:val="fr-FR"/>
        </w:rPr>
        <w:t>Le texte ci-après</w:t>
      </w:r>
      <w:r>
        <w:rPr>
          <w:lang w:val="fr-FR"/>
        </w:rPr>
        <w:t>,</w:t>
      </w:r>
      <w:r w:rsidRPr="00480993">
        <w:rPr>
          <w:lang w:val="fr-FR"/>
        </w:rPr>
        <w:t xml:space="preserve"> adopté par le Groupe de travail du bruit et des pneumatiques (GRBP) à sa soixante-treizième session (ECE/TRANS/WP.29/GRBP/7</w:t>
      </w:r>
      <w:r>
        <w:rPr>
          <w:lang w:val="fr-FR"/>
        </w:rPr>
        <w:t>1</w:t>
      </w:r>
      <w:r w:rsidRPr="00480993">
        <w:rPr>
          <w:lang w:val="fr-FR"/>
        </w:rPr>
        <w:t>, par. 3)</w:t>
      </w:r>
      <w:r>
        <w:rPr>
          <w:lang w:val="fr-FR"/>
        </w:rPr>
        <w:t>, es</w:t>
      </w:r>
      <w:r w:rsidRPr="00480993">
        <w:rPr>
          <w:lang w:val="fr-FR"/>
        </w:rPr>
        <w:t>t fondé sur le document informel GRBP-73-04. Il est soumis au Forum mondial de l</w:t>
      </w:r>
      <w:r>
        <w:rPr>
          <w:lang w:val="fr-FR"/>
        </w:rPr>
        <w:t>’</w:t>
      </w:r>
      <w:r w:rsidRPr="00480993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480993">
        <w:rPr>
          <w:lang w:val="fr-FR"/>
        </w:rPr>
        <w:t>administration (AC.1) pour examen à leurs sessions de juin 2021.</w:t>
      </w:r>
    </w:p>
    <w:p w14:paraId="00DB2836" w14:textId="77777777" w:rsidR="00DB5559" w:rsidRPr="00480993" w:rsidRDefault="00DB5559" w:rsidP="00DB5559">
      <w:pPr>
        <w:pStyle w:val="SingleTxtG"/>
        <w:ind w:firstLine="567"/>
        <w:rPr>
          <w:lang w:val="fr-FR"/>
        </w:rPr>
      </w:pPr>
      <w:r w:rsidRPr="00480993">
        <w:rPr>
          <w:lang w:val="fr-FR"/>
        </w:rPr>
        <w:br w:type="page"/>
      </w:r>
    </w:p>
    <w:p w14:paraId="72A255A3" w14:textId="77777777" w:rsidR="00DB5559" w:rsidRPr="00480993" w:rsidRDefault="00DB5559" w:rsidP="00DB5559">
      <w:pPr>
        <w:pStyle w:val="SingleTxtG"/>
        <w:ind w:left="2268" w:hanging="1134"/>
        <w:rPr>
          <w:bCs/>
          <w:lang w:val="fr-FR"/>
        </w:rPr>
      </w:pPr>
      <w:r w:rsidRPr="00480993">
        <w:rPr>
          <w:i/>
          <w:iCs/>
          <w:lang w:val="fr-FR"/>
        </w:rPr>
        <w:lastRenderedPageBreak/>
        <w:t>Paragraphe 5.5.2</w:t>
      </w:r>
      <w:r w:rsidRPr="00480993">
        <w:rPr>
          <w:lang w:val="fr-FR"/>
        </w:rPr>
        <w:t>, lire</w:t>
      </w:r>
      <w:r>
        <w:rPr>
          <w:lang w:val="fr-FR"/>
        </w:rPr>
        <w:t> </w:t>
      </w:r>
      <w:r w:rsidRPr="00480993">
        <w:rPr>
          <w:lang w:val="fr-FR"/>
        </w:rPr>
        <w:t>:</w:t>
      </w:r>
    </w:p>
    <w:p w14:paraId="58BC4CFE" w14:textId="77777777" w:rsidR="00DB5559" w:rsidRPr="00480993" w:rsidRDefault="00DB5559" w:rsidP="00DB5559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480993">
        <w:rPr>
          <w:lang w:val="fr-FR"/>
        </w:rPr>
        <w:t>5.5.2</w:t>
      </w:r>
      <w:r w:rsidRPr="00480993">
        <w:rPr>
          <w:lang w:val="fr-FR"/>
        </w:rPr>
        <w:tab/>
        <w:t xml:space="preserve">Du numéro du présent Règlement, suivi de la lettre </w:t>
      </w:r>
      <w:r w:rsidRPr="00202DC2">
        <w:t>“</w:t>
      </w:r>
      <w:r w:rsidRPr="00480993">
        <w:rPr>
          <w:lang w:val="fr-FR"/>
        </w:rPr>
        <w:t>R</w:t>
      </w:r>
      <w:r w:rsidRPr="00202DC2">
        <w:t>”</w:t>
      </w:r>
      <w:r w:rsidRPr="00480993">
        <w:rPr>
          <w:lang w:val="fr-FR"/>
        </w:rPr>
        <w:t>, d</w:t>
      </w:r>
      <w:r>
        <w:rPr>
          <w:lang w:val="fr-FR"/>
        </w:rPr>
        <w:t>’</w:t>
      </w:r>
      <w:r w:rsidRPr="00480993">
        <w:rPr>
          <w:lang w:val="fr-FR"/>
        </w:rPr>
        <w:t>un tiret et du numéro d</w:t>
      </w:r>
      <w:r>
        <w:rPr>
          <w:lang w:val="fr-FR"/>
        </w:rPr>
        <w:t>’</w:t>
      </w:r>
      <w:r w:rsidRPr="00480993">
        <w:rPr>
          <w:lang w:val="fr-FR"/>
        </w:rPr>
        <w:t>homologation, placés à la droite du cercle prévu au paragraphe 5.5.1.</w:t>
      </w:r>
      <w:r>
        <w:rPr>
          <w:lang w:val="fr-FR"/>
        </w:rPr>
        <w:t> »</w:t>
      </w:r>
      <w:r w:rsidRPr="00480993">
        <w:rPr>
          <w:lang w:val="fr-FR"/>
        </w:rPr>
        <w:t>.</w:t>
      </w:r>
    </w:p>
    <w:p w14:paraId="4AE29E8A" w14:textId="77777777" w:rsidR="00DB5559" w:rsidRPr="00480993" w:rsidRDefault="00DB5559" w:rsidP="00DB5559">
      <w:pPr>
        <w:pStyle w:val="SingleTxtG"/>
        <w:ind w:left="2268" w:hanging="1134"/>
        <w:rPr>
          <w:lang w:val="fr-FR"/>
        </w:rPr>
      </w:pPr>
      <w:r w:rsidRPr="00480993">
        <w:rPr>
          <w:i/>
          <w:iCs/>
          <w:lang w:val="fr-FR"/>
        </w:rPr>
        <w:t>Paragraphe 5.6</w:t>
      </w:r>
      <w:r w:rsidRPr="00480993">
        <w:rPr>
          <w:lang w:val="fr-FR"/>
        </w:rPr>
        <w:t>, lire</w:t>
      </w:r>
      <w:r>
        <w:rPr>
          <w:lang w:val="fr-FR"/>
        </w:rPr>
        <w:t> </w:t>
      </w:r>
      <w:r w:rsidRPr="00480993">
        <w:rPr>
          <w:lang w:val="fr-FR"/>
        </w:rPr>
        <w:t>:</w:t>
      </w:r>
    </w:p>
    <w:p w14:paraId="72E8EE0B" w14:textId="77777777" w:rsidR="00DB5559" w:rsidRPr="00480993" w:rsidRDefault="00DB5559" w:rsidP="00DB5559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480993">
        <w:rPr>
          <w:lang w:val="fr-FR"/>
        </w:rPr>
        <w:t>5.6</w:t>
      </w:r>
      <w:r w:rsidRPr="00480993">
        <w:rPr>
          <w:lang w:val="fr-FR"/>
        </w:rPr>
        <w:tab/>
        <w:t>Si le motocycle est conforme à un type de motocycle homologué, en application d</w:t>
      </w:r>
      <w:r>
        <w:rPr>
          <w:lang w:val="fr-FR"/>
        </w:rPr>
        <w:t>’</w:t>
      </w:r>
      <w:r w:rsidRPr="00480993">
        <w:rPr>
          <w:lang w:val="fr-FR"/>
        </w:rPr>
        <w:t>un ou de plusieurs règlements joints en annexe à l</w:t>
      </w:r>
      <w:r>
        <w:rPr>
          <w:lang w:val="fr-FR"/>
        </w:rPr>
        <w:t>’</w:t>
      </w:r>
      <w:r w:rsidRPr="00480993">
        <w:rPr>
          <w:lang w:val="fr-FR"/>
        </w:rPr>
        <w:t>Accord, dans le pays qui a accordé l</w:t>
      </w:r>
      <w:r>
        <w:rPr>
          <w:lang w:val="fr-FR"/>
        </w:rPr>
        <w:t>’</w:t>
      </w:r>
      <w:r w:rsidRPr="00480993">
        <w:rPr>
          <w:lang w:val="fr-FR"/>
        </w:rPr>
        <w:t>homologation en application du présent Règlement, il n</w:t>
      </w:r>
      <w:r>
        <w:rPr>
          <w:lang w:val="fr-FR"/>
        </w:rPr>
        <w:t>’</w:t>
      </w:r>
      <w:r w:rsidRPr="00480993">
        <w:rPr>
          <w:lang w:val="fr-FR"/>
        </w:rPr>
        <w:t>est pas nécessaire de répéter le symbole prescrit au paragraphe 5.5.1</w:t>
      </w:r>
      <w:r>
        <w:rPr>
          <w:lang w:val="fr-FR"/>
        </w:rPr>
        <w:t> </w:t>
      </w:r>
      <w:r w:rsidRPr="00480993">
        <w:rPr>
          <w:lang w:val="fr-FR"/>
        </w:rPr>
        <w:t>; en pareil cas, les numéros de Règlement et d</w:t>
      </w:r>
      <w:r>
        <w:rPr>
          <w:lang w:val="fr-FR"/>
        </w:rPr>
        <w:t>’</w:t>
      </w:r>
      <w:r w:rsidRPr="00480993">
        <w:rPr>
          <w:lang w:val="fr-FR"/>
        </w:rPr>
        <w:t>homologation et les symboles additionnels pour tous les Règlements pour lesquels l</w:t>
      </w:r>
      <w:r>
        <w:rPr>
          <w:lang w:val="fr-FR"/>
        </w:rPr>
        <w:t>’</w:t>
      </w:r>
      <w:r w:rsidRPr="00480993">
        <w:rPr>
          <w:lang w:val="fr-FR"/>
        </w:rPr>
        <w:t>homologation a été accordée dans le pays qui a accordé l</w:t>
      </w:r>
      <w:r>
        <w:rPr>
          <w:lang w:val="fr-FR"/>
        </w:rPr>
        <w:t>’</w:t>
      </w:r>
      <w:r w:rsidRPr="00480993">
        <w:rPr>
          <w:lang w:val="fr-FR"/>
        </w:rPr>
        <w:t>homologation en application du présent Règlement seront inscrits l</w:t>
      </w:r>
      <w:r>
        <w:rPr>
          <w:lang w:val="fr-FR"/>
        </w:rPr>
        <w:t>’</w:t>
      </w:r>
      <w:r w:rsidRPr="00480993">
        <w:rPr>
          <w:lang w:val="fr-FR"/>
        </w:rPr>
        <w:t>un au-dessous de l</w:t>
      </w:r>
      <w:r>
        <w:rPr>
          <w:lang w:val="fr-FR"/>
        </w:rPr>
        <w:t>’</w:t>
      </w:r>
      <w:r w:rsidRPr="00480993">
        <w:rPr>
          <w:lang w:val="fr-FR"/>
        </w:rPr>
        <w:t>autre à droite du symbole prescrit au paragraphe 5.5.1.</w:t>
      </w:r>
      <w:r>
        <w:rPr>
          <w:lang w:val="fr-FR"/>
        </w:rPr>
        <w:t> »</w:t>
      </w:r>
      <w:r w:rsidRPr="00480993">
        <w:rPr>
          <w:lang w:val="fr-FR"/>
        </w:rPr>
        <w:t>.</w:t>
      </w:r>
    </w:p>
    <w:p w14:paraId="6D011AFF" w14:textId="77777777" w:rsidR="00DB5559" w:rsidRPr="00480993" w:rsidRDefault="00DB5559" w:rsidP="00DB5559">
      <w:pPr>
        <w:pStyle w:val="SingleTxtG"/>
        <w:ind w:left="2268" w:hanging="1134"/>
        <w:rPr>
          <w:bCs/>
          <w:i/>
          <w:lang w:val="fr-FR"/>
        </w:rPr>
      </w:pPr>
      <w:r w:rsidRPr="00480993">
        <w:rPr>
          <w:i/>
          <w:iCs/>
          <w:lang w:val="fr-FR"/>
        </w:rPr>
        <w:t>Annexe 2</w:t>
      </w:r>
    </w:p>
    <w:p w14:paraId="5E75A458" w14:textId="77777777" w:rsidR="00DB5559" w:rsidRPr="00480993" w:rsidRDefault="00DB5559" w:rsidP="00DB5559">
      <w:pPr>
        <w:pStyle w:val="SingleTxtG"/>
        <w:ind w:left="2268" w:hanging="1134"/>
        <w:rPr>
          <w:bCs/>
          <w:iCs/>
          <w:lang w:val="fr-FR"/>
        </w:rPr>
      </w:pPr>
      <w:r w:rsidRPr="00480993">
        <w:rPr>
          <w:i/>
          <w:iCs/>
          <w:lang w:val="fr-FR"/>
        </w:rPr>
        <w:t>Modèle A, phrase introductive entre parenthèses</w:t>
      </w:r>
      <w:r w:rsidRPr="00480993">
        <w:rPr>
          <w:lang w:val="fr-FR"/>
        </w:rPr>
        <w:t>, lire</w:t>
      </w:r>
      <w:r>
        <w:rPr>
          <w:lang w:val="fr-FR"/>
        </w:rPr>
        <w:t> </w:t>
      </w:r>
      <w:r w:rsidRPr="00480993">
        <w:rPr>
          <w:lang w:val="fr-FR"/>
        </w:rPr>
        <w:t>:</w:t>
      </w:r>
    </w:p>
    <w:p w14:paraId="622E999C" w14:textId="77777777" w:rsidR="00DB5559" w:rsidRPr="00480993" w:rsidRDefault="00DB5559" w:rsidP="00DB5559">
      <w:pPr>
        <w:pStyle w:val="SingleTxtG"/>
        <w:spacing w:after="240"/>
        <w:ind w:left="2835" w:hanging="1134"/>
        <w:rPr>
          <w:lang w:val="fr-FR"/>
        </w:rPr>
      </w:pPr>
      <w:r>
        <w:rPr>
          <w:lang w:val="fr-FR"/>
        </w:rPr>
        <w:t>« </w:t>
      </w:r>
      <w:r w:rsidRPr="00480993">
        <w:rPr>
          <w:lang w:val="fr-FR"/>
        </w:rPr>
        <w:t>(Voir le paragraphe 5.5 du présent Règlement)</w:t>
      </w:r>
      <w:r>
        <w:rPr>
          <w:lang w:val="fr-FR"/>
        </w:rPr>
        <w:t> »</w:t>
      </w:r>
      <w:r w:rsidRPr="00480993">
        <w:rPr>
          <w:lang w:val="fr-FR"/>
        </w:rPr>
        <w:t>.</w:t>
      </w:r>
    </w:p>
    <w:p w14:paraId="30C7E71D" w14:textId="77777777" w:rsidR="00DB5559" w:rsidRPr="00480993" w:rsidRDefault="00DB5559" w:rsidP="00DB5559">
      <w:pPr>
        <w:pStyle w:val="SingleTxtG"/>
        <w:ind w:left="2268" w:hanging="1134"/>
        <w:rPr>
          <w:lang w:val="fr-FR"/>
        </w:rPr>
      </w:pPr>
      <w:r w:rsidRPr="00480993">
        <w:rPr>
          <w:i/>
          <w:iCs/>
          <w:lang w:val="fr-FR"/>
        </w:rPr>
        <w:t>Modèle B, phrase introductive entre parenthèses</w:t>
      </w:r>
      <w:r w:rsidRPr="00480993">
        <w:rPr>
          <w:lang w:val="fr-FR"/>
        </w:rPr>
        <w:t>, lire</w:t>
      </w:r>
      <w:r>
        <w:rPr>
          <w:lang w:val="fr-FR"/>
        </w:rPr>
        <w:t> </w:t>
      </w:r>
      <w:r w:rsidRPr="00480993">
        <w:rPr>
          <w:lang w:val="fr-FR"/>
        </w:rPr>
        <w:t>:</w:t>
      </w:r>
    </w:p>
    <w:p w14:paraId="7FFA1D85" w14:textId="77777777" w:rsidR="00DB5559" w:rsidRPr="00480993" w:rsidRDefault="00DB5559" w:rsidP="00DB5559">
      <w:pPr>
        <w:pStyle w:val="SingleTxtG"/>
        <w:spacing w:after="240"/>
        <w:ind w:left="2835" w:hanging="1134"/>
        <w:rPr>
          <w:lang w:val="fr-FR"/>
        </w:rPr>
      </w:pPr>
      <w:r>
        <w:rPr>
          <w:lang w:val="fr-FR"/>
        </w:rPr>
        <w:t>« </w:t>
      </w:r>
      <w:r w:rsidRPr="00480993">
        <w:rPr>
          <w:lang w:val="fr-FR"/>
        </w:rPr>
        <w:t>(Voir le paragraphe 5.6 du présent Règlement)</w:t>
      </w:r>
      <w:r>
        <w:rPr>
          <w:lang w:val="fr-FR"/>
        </w:rPr>
        <w:t> »</w:t>
      </w:r>
      <w:r w:rsidRPr="00480993">
        <w:rPr>
          <w:lang w:val="fr-FR"/>
        </w:rPr>
        <w:t>.</w:t>
      </w:r>
    </w:p>
    <w:p w14:paraId="394B7D4A" w14:textId="77777777" w:rsidR="00DB5559" w:rsidRPr="00480993" w:rsidRDefault="00DB5559" w:rsidP="00DB5559">
      <w:pPr>
        <w:spacing w:before="240"/>
        <w:jc w:val="center"/>
        <w:rPr>
          <w:u w:val="single"/>
          <w:lang w:val="fr-FR"/>
        </w:rPr>
      </w:pPr>
      <w:r w:rsidRPr="00480993">
        <w:rPr>
          <w:u w:val="single"/>
          <w:lang w:val="fr-FR"/>
        </w:rPr>
        <w:tab/>
      </w:r>
      <w:r w:rsidRPr="00480993">
        <w:rPr>
          <w:u w:val="single"/>
          <w:lang w:val="fr-FR"/>
        </w:rPr>
        <w:tab/>
      </w:r>
      <w:r w:rsidRPr="00480993">
        <w:rPr>
          <w:u w:val="single"/>
          <w:lang w:val="fr-FR"/>
        </w:rPr>
        <w:tab/>
      </w:r>
    </w:p>
    <w:p w14:paraId="762BC933" w14:textId="77777777" w:rsidR="00F9573C" w:rsidRPr="00DB5559" w:rsidRDefault="00F9573C" w:rsidP="00AF0CB5">
      <w:pPr>
        <w:rPr>
          <w:lang w:val="fr-FR"/>
        </w:rPr>
      </w:pPr>
    </w:p>
    <w:sectPr w:rsidR="00F9573C" w:rsidRPr="00DB5559" w:rsidSect="00DB555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89E23" w14:textId="77777777" w:rsidR="004C213B" w:rsidRDefault="004C213B" w:rsidP="00F95C08">
      <w:pPr>
        <w:spacing w:line="240" w:lineRule="auto"/>
      </w:pPr>
    </w:p>
  </w:endnote>
  <w:endnote w:type="continuationSeparator" w:id="0">
    <w:p w14:paraId="08DDCB8C" w14:textId="77777777" w:rsidR="004C213B" w:rsidRPr="00AC3823" w:rsidRDefault="004C213B" w:rsidP="00AC3823">
      <w:pPr>
        <w:pStyle w:val="Pieddepage"/>
      </w:pPr>
    </w:p>
  </w:endnote>
  <w:endnote w:type="continuationNotice" w:id="1">
    <w:p w14:paraId="2149E11D" w14:textId="77777777" w:rsidR="004C213B" w:rsidRDefault="004C213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DFBD0" w14:textId="0852FB73" w:rsidR="00DB5559" w:rsidRPr="00DB5559" w:rsidRDefault="00DB5559" w:rsidP="00DB5559">
    <w:pPr>
      <w:pStyle w:val="Pieddepage"/>
      <w:tabs>
        <w:tab w:val="right" w:pos="9638"/>
      </w:tabs>
    </w:pPr>
    <w:r w:rsidRPr="00DB5559">
      <w:rPr>
        <w:b/>
        <w:sz w:val="18"/>
      </w:rPr>
      <w:fldChar w:fldCharType="begin"/>
    </w:r>
    <w:r w:rsidRPr="00DB5559">
      <w:rPr>
        <w:b/>
        <w:sz w:val="18"/>
      </w:rPr>
      <w:instrText xml:space="preserve"> PAGE  \* MERGEFORMAT </w:instrText>
    </w:r>
    <w:r w:rsidRPr="00DB5559">
      <w:rPr>
        <w:b/>
        <w:sz w:val="18"/>
      </w:rPr>
      <w:fldChar w:fldCharType="separate"/>
    </w:r>
    <w:r w:rsidRPr="00DB5559">
      <w:rPr>
        <w:b/>
        <w:noProof/>
        <w:sz w:val="18"/>
      </w:rPr>
      <w:t>2</w:t>
    </w:r>
    <w:r w:rsidRPr="00DB5559">
      <w:rPr>
        <w:b/>
        <w:sz w:val="18"/>
      </w:rPr>
      <w:fldChar w:fldCharType="end"/>
    </w:r>
    <w:r>
      <w:rPr>
        <w:b/>
        <w:sz w:val="18"/>
      </w:rPr>
      <w:tab/>
    </w:r>
    <w:r>
      <w:t>GE.21-04685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648DA" w14:textId="3B9DD59C" w:rsidR="00DB5559" w:rsidRPr="00DB5559" w:rsidRDefault="00DB5559" w:rsidP="00DB5559">
    <w:pPr>
      <w:pStyle w:val="Pieddepage"/>
      <w:tabs>
        <w:tab w:val="right" w:pos="9638"/>
      </w:tabs>
      <w:rPr>
        <w:b/>
        <w:sz w:val="18"/>
      </w:rPr>
    </w:pPr>
    <w:r>
      <w:t>GE.21-04685</w:t>
    </w:r>
    <w:r>
      <w:tab/>
    </w:r>
    <w:r w:rsidRPr="00DB5559">
      <w:rPr>
        <w:b/>
        <w:sz w:val="18"/>
      </w:rPr>
      <w:fldChar w:fldCharType="begin"/>
    </w:r>
    <w:r w:rsidRPr="00DB5559">
      <w:rPr>
        <w:b/>
        <w:sz w:val="18"/>
      </w:rPr>
      <w:instrText xml:space="preserve"> PAGE  \* MERGEFORMAT </w:instrText>
    </w:r>
    <w:r w:rsidRPr="00DB5559">
      <w:rPr>
        <w:b/>
        <w:sz w:val="18"/>
      </w:rPr>
      <w:fldChar w:fldCharType="separate"/>
    </w:r>
    <w:r w:rsidRPr="00DB5559">
      <w:rPr>
        <w:b/>
        <w:noProof/>
        <w:sz w:val="18"/>
      </w:rPr>
      <w:t>3</w:t>
    </w:r>
    <w:r w:rsidRPr="00DB555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D925C" w14:textId="38A54E72" w:rsidR="007F20FA" w:rsidRPr="00DB5559" w:rsidRDefault="00DB5559" w:rsidP="00DB5559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F4DE503" wp14:editId="2029DC5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21-04685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5728E84" wp14:editId="7FA971A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280421    280421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25628" w14:textId="77777777" w:rsidR="004C213B" w:rsidRPr="00AC3823" w:rsidRDefault="004C213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06339B6" w14:textId="77777777" w:rsidR="004C213B" w:rsidRPr="00AC3823" w:rsidRDefault="004C213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FE91461" w14:textId="77777777" w:rsidR="004C213B" w:rsidRPr="00AC3823" w:rsidRDefault="004C213B">
      <w:pPr>
        <w:spacing w:line="240" w:lineRule="auto"/>
        <w:rPr>
          <w:sz w:val="2"/>
          <w:szCs w:val="2"/>
        </w:rPr>
      </w:pPr>
    </w:p>
  </w:footnote>
  <w:footnote w:id="2">
    <w:p w14:paraId="20125108" w14:textId="77777777" w:rsidR="00DB5559" w:rsidRPr="00480993" w:rsidRDefault="00DB5559" w:rsidP="00DB5559">
      <w:pPr>
        <w:pStyle w:val="Notedebasdepage"/>
        <w:rPr>
          <w:lang w:val="fr-FR"/>
        </w:rPr>
      </w:pPr>
      <w:r>
        <w:rPr>
          <w:lang w:val="fr-FR"/>
        </w:rPr>
        <w:tab/>
      </w:r>
      <w:r w:rsidRPr="00DB5559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2021 tel qu’il figure dans le projet de budget-programme pour 2021 (A/75/6 (Sect. 20), par. 20.51),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432E0" w14:textId="24D3362C" w:rsidR="00DB5559" w:rsidRPr="00DB5559" w:rsidRDefault="00DB5559">
    <w:pPr>
      <w:pStyle w:val="En-tte"/>
    </w:pPr>
    <w:fldSimple w:instr=" TITLE  \* MERGEFORMAT ">
      <w:r>
        <w:t>ECE/TRANS/WP.29/2021/76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45BB9" w14:textId="05CE2E0D" w:rsidR="00DB5559" w:rsidRPr="00DB5559" w:rsidRDefault="00DB5559" w:rsidP="00DB5559">
    <w:pPr>
      <w:pStyle w:val="En-tte"/>
      <w:jc w:val="right"/>
    </w:pPr>
    <w:fldSimple w:instr=" TITLE  \* MERGEFORMAT ">
      <w:r>
        <w:t>ECE/TRANS/WP.29/2021/76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3B"/>
    <w:rsid w:val="00017F94"/>
    <w:rsid w:val="00023842"/>
    <w:rsid w:val="000334F9"/>
    <w:rsid w:val="00045FEB"/>
    <w:rsid w:val="0007796D"/>
    <w:rsid w:val="000B0C7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C213B"/>
    <w:rsid w:val="004E2EED"/>
    <w:rsid w:val="004E468C"/>
    <w:rsid w:val="005505B7"/>
    <w:rsid w:val="00573BE5"/>
    <w:rsid w:val="00586ED3"/>
    <w:rsid w:val="00596AA9"/>
    <w:rsid w:val="00652BA2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B5559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53B2AEF"/>
  <w15:docId w15:val="{6C68CD77-5F6E-45D3-A91D-B35CE93B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uiPriority w:val="99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uiPriority w:val="99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uiPriority w:val="99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DB5559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DB5559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4ACC52-356C-45C9-95BD-3A364F0A6299}"/>
</file>

<file path=customXml/itemProps2.xml><?xml version="1.0" encoding="utf-8"?>
<ds:datastoreItem xmlns:ds="http://schemas.openxmlformats.org/officeDocument/2006/customXml" ds:itemID="{4E8BD338-D4A3-4D7A-A4BA-3B9F7CF3B28A}"/>
</file>

<file path=customXml/itemProps3.xml><?xml version="1.0" encoding="utf-8"?>
<ds:datastoreItem xmlns:ds="http://schemas.openxmlformats.org/officeDocument/2006/customXml" ds:itemID="{ECE86E0D-0F74-4C2D-989B-D94AAE0DF427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321</Words>
  <Characters>1744</Characters>
  <Application>Microsoft Office Word</Application>
  <DocSecurity>0</DocSecurity>
  <Lines>46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ECE/TRANS/WP.29/2021/76</dc:title>
  <dc:subject/>
  <dc:creator>Sandrine CLERE</dc:creator>
  <cp:keywords/>
  <cp:lastModifiedBy>Sandrine CLERE</cp:lastModifiedBy>
  <cp:revision>2</cp:revision>
  <cp:lastPrinted>2014-05-14T10:59:00Z</cp:lastPrinted>
  <dcterms:created xsi:type="dcterms:W3CDTF">2021-04-28T12:05:00Z</dcterms:created>
  <dcterms:modified xsi:type="dcterms:W3CDTF">2021-04-28T12:05:00Z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