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22D81984" w14:textId="77777777" w:rsidTr="00DF5712">
        <w:trPr>
          <w:trHeight w:hRule="exact" w:val="851"/>
        </w:trPr>
        <w:tc>
          <w:tcPr>
            <w:tcW w:w="1276" w:type="dxa"/>
            <w:tcBorders>
              <w:bottom w:val="single" w:sz="4" w:space="0" w:color="auto"/>
            </w:tcBorders>
          </w:tcPr>
          <w:p w14:paraId="2F6C58D9" w14:textId="77777777" w:rsidR="00A14420" w:rsidRPr="00DB58B5" w:rsidRDefault="00A14420" w:rsidP="00493C90"/>
        </w:tc>
        <w:tc>
          <w:tcPr>
            <w:tcW w:w="2268" w:type="dxa"/>
            <w:tcBorders>
              <w:bottom w:val="single" w:sz="4" w:space="0" w:color="auto"/>
            </w:tcBorders>
            <w:vAlign w:val="bottom"/>
          </w:tcPr>
          <w:p w14:paraId="6A99376C"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F02C17" w14:textId="04C11762" w:rsidR="00A14420" w:rsidRPr="00DB58B5" w:rsidRDefault="00493C90" w:rsidP="00493C90">
            <w:pPr>
              <w:jc w:val="right"/>
            </w:pPr>
            <w:r w:rsidRPr="00493C90">
              <w:rPr>
                <w:sz w:val="40"/>
              </w:rPr>
              <w:t>ECE</w:t>
            </w:r>
            <w:r>
              <w:t>/MP.PP/WG.1/2021/12</w:t>
            </w:r>
          </w:p>
        </w:tc>
      </w:tr>
      <w:tr w:rsidR="00A14420" w:rsidRPr="00DB58B5" w14:paraId="45C73EA2" w14:textId="77777777" w:rsidTr="00DF5712">
        <w:trPr>
          <w:trHeight w:hRule="exact" w:val="2835"/>
        </w:trPr>
        <w:tc>
          <w:tcPr>
            <w:tcW w:w="1276" w:type="dxa"/>
            <w:tcBorders>
              <w:top w:val="single" w:sz="4" w:space="0" w:color="auto"/>
              <w:bottom w:val="single" w:sz="12" w:space="0" w:color="auto"/>
            </w:tcBorders>
          </w:tcPr>
          <w:p w14:paraId="5757A868" w14:textId="77777777" w:rsidR="00A14420" w:rsidRPr="00DB58B5" w:rsidRDefault="00A14420" w:rsidP="00DF5712">
            <w:pPr>
              <w:spacing w:before="120"/>
              <w:jc w:val="center"/>
            </w:pPr>
            <w:r>
              <w:rPr>
                <w:noProof/>
                <w:lang w:eastAsia="fr-CH"/>
              </w:rPr>
              <w:drawing>
                <wp:inline distT="0" distB="0" distL="0" distR="0" wp14:anchorId="63CFB46A" wp14:editId="32491F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E4743F"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4EA1C5" w14:textId="77777777" w:rsidR="00A14420" w:rsidRDefault="00493C90" w:rsidP="00DF5712">
            <w:pPr>
              <w:spacing w:before="240"/>
            </w:pPr>
            <w:r>
              <w:t>Distr. générale</w:t>
            </w:r>
          </w:p>
          <w:p w14:paraId="7AFAD804" w14:textId="77777777" w:rsidR="00493C90" w:rsidRDefault="00493C90" w:rsidP="00493C90">
            <w:pPr>
              <w:spacing w:line="240" w:lineRule="exact"/>
            </w:pPr>
            <w:r>
              <w:t>16 mars 2021</w:t>
            </w:r>
          </w:p>
          <w:p w14:paraId="5A28B807" w14:textId="77777777" w:rsidR="00493C90" w:rsidRDefault="00493C90" w:rsidP="00493C90">
            <w:pPr>
              <w:spacing w:line="240" w:lineRule="exact"/>
            </w:pPr>
            <w:r>
              <w:t>Français</w:t>
            </w:r>
          </w:p>
          <w:p w14:paraId="4F4C8641" w14:textId="23B1A988" w:rsidR="00493C90" w:rsidRPr="00DB58B5" w:rsidRDefault="00493C90" w:rsidP="00493C90">
            <w:pPr>
              <w:spacing w:line="240" w:lineRule="exact"/>
            </w:pPr>
            <w:r>
              <w:t>Original : anglais</w:t>
            </w:r>
          </w:p>
        </w:tc>
      </w:tr>
    </w:tbl>
    <w:p w14:paraId="07BAB096" w14:textId="77777777" w:rsidR="00C554CE" w:rsidRDefault="00C554CE" w:rsidP="00C554CE">
      <w:pPr>
        <w:spacing w:before="120"/>
        <w:rPr>
          <w:b/>
          <w:sz w:val="28"/>
          <w:szCs w:val="28"/>
        </w:rPr>
      </w:pPr>
      <w:r w:rsidRPr="000312C0">
        <w:rPr>
          <w:b/>
          <w:sz w:val="28"/>
          <w:szCs w:val="28"/>
        </w:rPr>
        <w:t>Commission économique pour l’Europe</w:t>
      </w:r>
    </w:p>
    <w:p w14:paraId="77A135B6" w14:textId="77777777" w:rsidR="00493C90" w:rsidRPr="00DA3C5F" w:rsidRDefault="00493C90" w:rsidP="00493C90">
      <w:pPr>
        <w:spacing w:before="120"/>
        <w:rPr>
          <w:sz w:val="28"/>
          <w:szCs w:val="28"/>
          <w:lang w:val="fr-FR"/>
        </w:rPr>
      </w:pPr>
      <w:r w:rsidRPr="00DA3C5F">
        <w:rPr>
          <w:sz w:val="28"/>
          <w:szCs w:val="28"/>
          <w:lang w:val="fr-FR"/>
        </w:rPr>
        <w:t>Réunion des Parties à la Convention sur l</w:t>
      </w:r>
      <w:r>
        <w:rPr>
          <w:sz w:val="28"/>
          <w:szCs w:val="28"/>
          <w:lang w:val="fr-FR"/>
        </w:rPr>
        <w:t>’</w:t>
      </w:r>
      <w:r w:rsidRPr="00DA3C5F">
        <w:rPr>
          <w:sz w:val="28"/>
          <w:szCs w:val="28"/>
          <w:lang w:val="fr-FR"/>
        </w:rPr>
        <w:t>accès</w:t>
      </w:r>
      <w:r w:rsidRPr="00DA3C5F">
        <w:rPr>
          <w:sz w:val="28"/>
          <w:szCs w:val="28"/>
          <w:lang w:val="fr-FR"/>
        </w:rPr>
        <w:br/>
        <w:t>à l</w:t>
      </w:r>
      <w:r>
        <w:rPr>
          <w:sz w:val="28"/>
          <w:szCs w:val="28"/>
          <w:lang w:val="fr-FR"/>
        </w:rPr>
        <w:t>’</w:t>
      </w:r>
      <w:r w:rsidRPr="00DA3C5F">
        <w:rPr>
          <w:sz w:val="28"/>
          <w:szCs w:val="28"/>
          <w:lang w:val="fr-FR"/>
        </w:rPr>
        <w:t xml:space="preserve">information, la participation du public </w:t>
      </w:r>
      <w:r w:rsidRPr="00DA3C5F">
        <w:rPr>
          <w:sz w:val="28"/>
          <w:szCs w:val="28"/>
          <w:lang w:val="fr-FR"/>
        </w:rPr>
        <w:br/>
        <w:t>au processus décisionnel et l</w:t>
      </w:r>
      <w:r>
        <w:rPr>
          <w:sz w:val="28"/>
          <w:szCs w:val="28"/>
          <w:lang w:val="fr-FR"/>
        </w:rPr>
        <w:t>’</w:t>
      </w:r>
      <w:r w:rsidRPr="00DA3C5F">
        <w:rPr>
          <w:sz w:val="28"/>
          <w:szCs w:val="28"/>
          <w:lang w:val="fr-FR"/>
        </w:rPr>
        <w:t xml:space="preserve">accès à la justice </w:t>
      </w:r>
      <w:r w:rsidRPr="00DA3C5F">
        <w:rPr>
          <w:sz w:val="28"/>
          <w:szCs w:val="28"/>
          <w:lang w:val="fr-FR"/>
        </w:rPr>
        <w:br/>
        <w:t>en matière d</w:t>
      </w:r>
      <w:r>
        <w:rPr>
          <w:sz w:val="28"/>
          <w:szCs w:val="28"/>
          <w:lang w:val="fr-FR"/>
        </w:rPr>
        <w:t>’</w:t>
      </w:r>
      <w:r w:rsidRPr="00DA3C5F">
        <w:rPr>
          <w:sz w:val="28"/>
          <w:szCs w:val="28"/>
          <w:lang w:val="fr-FR"/>
        </w:rPr>
        <w:t>environnement</w:t>
      </w:r>
    </w:p>
    <w:p w14:paraId="7E968DFC" w14:textId="77777777" w:rsidR="00493C90" w:rsidRPr="00DA3C5F" w:rsidRDefault="00493C90" w:rsidP="00493C90">
      <w:pPr>
        <w:spacing w:before="120"/>
        <w:rPr>
          <w:b/>
          <w:sz w:val="24"/>
          <w:szCs w:val="24"/>
          <w:lang w:val="fr-FR"/>
        </w:rPr>
      </w:pPr>
      <w:r w:rsidRPr="00DA3C5F">
        <w:rPr>
          <w:b/>
          <w:bCs/>
          <w:sz w:val="24"/>
          <w:szCs w:val="24"/>
          <w:lang w:val="fr-FR"/>
        </w:rPr>
        <w:t>Groupe de travail des Parties</w:t>
      </w:r>
    </w:p>
    <w:p w14:paraId="70D1FAF3" w14:textId="77777777" w:rsidR="00493C90" w:rsidRPr="00DA3C5F" w:rsidRDefault="00493C90" w:rsidP="00493C90">
      <w:pPr>
        <w:spacing w:before="120"/>
        <w:rPr>
          <w:b/>
          <w:lang w:val="fr-FR"/>
        </w:rPr>
      </w:pPr>
      <w:r w:rsidRPr="00DA3C5F">
        <w:rPr>
          <w:b/>
          <w:bCs/>
          <w:lang w:val="fr-FR"/>
        </w:rPr>
        <w:t>Vingt-cinquième réunion</w:t>
      </w:r>
    </w:p>
    <w:p w14:paraId="4295269A" w14:textId="77777777" w:rsidR="00493C90" w:rsidRPr="00DA3C5F" w:rsidRDefault="00493C90" w:rsidP="00493C90">
      <w:pPr>
        <w:rPr>
          <w:lang w:val="fr-FR"/>
        </w:rPr>
      </w:pPr>
      <w:r w:rsidRPr="00DA3C5F">
        <w:rPr>
          <w:lang w:val="fr-FR"/>
        </w:rPr>
        <w:t>Genève, 3 mai et 7 et 8 juin 2021</w:t>
      </w:r>
    </w:p>
    <w:p w14:paraId="6EF6B231" w14:textId="77777777" w:rsidR="00493C90" w:rsidRPr="00DA3C5F" w:rsidRDefault="00493C90" w:rsidP="00493C90">
      <w:pPr>
        <w:rPr>
          <w:lang w:val="fr-FR"/>
        </w:rPr>
      </w:pPr>
      <w:r w:rsidRPr="00DA3C5F">
        <w:rPr>
          <w:lang w:val="fr-FR"/>
        </w:rPr>
        <w:t>Point 9 e) de l</w:t>
      </w:r>
      <w:r>
        <w:rPr>
          <w:lang w:val="fr-FR"/>
        </w:rPr>
        <w:t>’</w:t>
      </w:r>
      <w:r w:rsidRPr="00DA3C5F">
        <w:rPr>
          <w:lang w:val="fr-FR"/>
        </w:rPr>
        <w:t>ordre du jour provisoire</w:t>
      </w:r>
    </w:p>
    <w:p w14:paraId="091EF040" w14:textId="01743AA5" w:rsidR="00493C90" w:rsidRPr="00DA3C5F" w:rsidRDefault="00493C90" w:rsidP="00493C90">
      <w:pPr>
        <w:rPr>
          <w:lang w:val="fr-FR"/>
        </w:rPr>
      </w:pPr>
      <w:r w:rsidRPr="00DA3C5F">
        <w:rPr>
          <w:b/>
          <w:bCs/>
          <w:lang w:val="fr-FR"/>
        </w:rPr>
        <w:t>Préparatifs de la septième session de la Réunion des Parties</w:t>
      </w:r>
      <w:r>
        <w:rPr>
          <w:b/>
          <w:bCs/>
          <w:lang w:val="fr-FR"/>
        </w:rPr>
        <w:t> </w:t>
      </w:r>
      <w:r w:rsidRPr="00DA3C5F">
        <w:rPr>
          <w:b/>
          <w:bCs/>
          <w:lang w:val="fr-FR"/>
        </w:rPr>
        <w:t xml:space="preserve">: </w:t>
      </w:r>
      <w:r>
        <w:rPr>
          <w:b/>
          <w:bCs/>
          <w:lang w:val="fr-FR"/>
        </w:rPr>
        <w:br/>
      </w:r>
      <w:r w:rsidRPr="00DA3C5F">
        <w:rPr>
          <w:b/>
          <w:bCs/>
          <w:lang w:val="fr-FR"/>
        </w:rPr>
        <w:t xml:space="preserve">mécanisme de réaction rapide chargé de traiter les cas </w:t>
      </w:r>
      <w:r>
        <w:rPr>
          <w:b/>
          <w:bCs/>
          <w:lang w:val="fr-FR"/>
        </w:rPr>
        <w:br/>
      </w:r>
      <w:r w:rsidRPr="00DA3C5F">
        <w:rPr>
          <w:b/>
          <w:bCs/>
          <w:lang w:val="fr-FR"/>
        </w:rPr>
        <w:t>relevant de l</w:t>
      </w:r>
      <w:r>
        <w:rPr>
          <w:b/>
          <w:bCs/>
          <w:lang w:val="fr-FR"/>
        </w:rPr>
        <w:t>’</w:t>
      </w:r>
      <w:r w:rsidRPr="00DA3C5F">
        <w:rPr>
          <w:b/>
          <w:bCs/>
          <w:lang w:val="fr-FR"/>
        </w:rPr>
        <w:t>article 3 (par. 8) de la Convention</w:t>
      </w:r>
    </w:p>
    <w:p w14:paraId="02F370D7" w14:textId="77777777" w:rsidR="00493C90" w:rsidRPr="00DA3C5F" w:rsidRDefault="00493C90" w:rsidP="00493C90">
      <w:pPr>
        <w:pStyle w:val="HChG"/>
        <w:rPr>
          <w:caps/>
          <w:lang w:val="fr-FR"/>
        </w:rPr>
      </w:pPr>
      <w:r w:rsidRPr="00DA3C5F">
        <w:rPr>
          <w:lang w:val="fr-FR"/>
        </w:rPr>
        <w:tab/>
      </w:r>
      <w:r w:rsidRPr="00DA3C5F">
        <w:rPr>
          <w:lang w:val="fr-FR"/>
        </w:rPr>
        <w:tab/>
        <w:t>Projet de note concernant un mécanisme de réaction rapide chargé de traiter les cas relevant de l</w:t>
      </w:r>
      <w:r>
        <w:rPr>
          <w:lang w:val="fr-FR"/>
        </w:rPr>
        <w:t>’</w:t>
      </w:r>
      <w:r w:rsidRPr="00DA3C5F">
        <w:rPr>
          <w:lang w:val="fr-FR"/>
        </w:rPr>
        <w:t xml:space="preserve">article 3 (par. 8) </w:t>
      </w:r>
      <w:r>
        <w:rPr>
          <w:lang w:val="fr-FR"/>
        </w:rPr>
        <w:br/>
      </w:r>
      <w:r w:rsidRPr="00DA3C5F">
        <w:rPr>
          <w:lang w:val="fr-FR"/>
        </w:rPr>
        <w:t>de la Convention d</w:t>
      </w:r>
      <w:r>
        <w:rPr>
          <w:lang w:val="fr-FR"/>
        </w:rPr>
        <w:t>’</w:t>
      </w:r>
      <w:r w:rsidRPr="00DA3C5F">
        <w:rPr>
          <w:lang w:val="fr-FR"/>
        </w:rPr>
        <w:t>Aarhus</w:t>
      </w:r>
      <w:r w:rsidRPr="005F3E27">
        <w:rPr>
          <w:rStyle w:val="Appelnotedebasdep"/>
          <w:b w:val="0"/>
          <w:bCs/>
          <w:sz w:val="20"/>
          <w:vertAlign w:val="baseline"/>
          <w:lang w:val="fr-FR"/>
        </w:rPr>
        <w:footnoteReference w:customMarkFollows="1" w:id="2"/>
        <w:t>*</w:t>
      </w:r>
    </w:p>
    <w:p w14:paraId="503C9450" w14:textId="77777777" w:rsidR="00493C90" w:rsidRPr="00DA3C5F" w:rsidRDefault="00493C90" w:rsidP="00493C90">
      <w:pPr>
        <w:pStyle w:val="H1G"/>
        <w:rPr>
          <w:lang w:val="fr-FR"/>
        </w:rPr>
      </w:pPr>
      <w:r w:rsidRPr="00DA3C5F">
        <w:rPr>
          <w:lang w:val="fr-FR"/>
        </w:rPr>
        <w:tab/>
      </w:r>
      <w:r w:rsidRPr="00DA3C5F">
        <w:rPr>
          <w:lang w:val="fr-FR"/>
        </w:rPr>
        <w:tab/>
      </w:r>
      <w:r w:rsidRPr="00DA3C5F">
        <w:rPr>
          <w:bCs/>
          <w:lang w:val="fr-FR"/>
        </w:rPr>
        <w:t>Document établi par le Bureau</w:t>
      </w:r>
    </w:p>
    <w:tbl>
      <w:tblPr>
        <w:tblStyle w:val="Grilledutableau"/>
        <w:tblW w:w="0" w:type="auto"/>
        <w:jc w:val="center"/>
        <w:tblBorders>
          <w:insideH w:val="none" w:sz="0" w:space="0" w:color="auto"/>
        </w:tblBorders>
        <w:tblLayout w:type="fixed"/>
        <w:tblLook w:val="05E0" w:firstRow="1" w:lastRow="1" w:firstColumn="1" w:lastColumn="1" w:noHBand="0" w:noVBand="1"/>
      </w:tblPr>
      <w:tblGrid>
        <w:gridCol w:w="9637"/>
      </w:tblGrid>
      <w:tr w:rsidR="00493C90" w:rsidRPr="00DA3C5F" w14:paraId="48C4AD78" w14:textId="77777777" w:rsidTr="00493C90">
        <w:trPr>
          <w:jc w:val="center"/>
        </w:trPr>
        <w:tc>
          <w:tcPr>
            <w:tcW w:w="9637" w:type="dxa"/>
            <w:tcBorders>
              <w:top w:val="single" w:sz="4" w:space="0" w:color="auto"/>
              <w:bottom w:val="nil"/>
            </w:tcBorders>
            <w:shd w:val="clear" w:color="auto" w:fill="auto"/>
          </w:tcPr>
          <w:p w14:paraId="3F12A159" w14:textId="77777777" w:rsidR="00493C90" w:rsidRPr="00DA3C5F" w:rsidRDefault="00493C90" w:rsidP="00493C90">
            <w:pPr>
              <w:spacing w:before="240" w:after="120"/>
              <w:ind w:left="255"/>
              <w:rPr>
                <w:i/>
                <w:sz w:val="24"/>
                <w:szCs w:val="24"/>
                <w:lang w:val="fr-FR"/>
              </w:rPr>
            </w:pPr>
            <w:r w:rsidRPr="00DA3C5F">
              <w:rPr>
                <w:i/>
                <w:iCs/>
                <w:sz w:val="24"/>
                <w:szCs w:val="24"/>
                <w:lang w:val="fr-FR"/>
              </w:rPr>
              <w:t>Résumé</w:t>
            </w:r>
          </w:p>
        </w:tc>
      </w:tr>
      <w:tr w:rsidR="00493C90" w:rsidRPr="008F3978" w14:paraId="07EAB22A" w14:textId="77777777" w:rsidTr="00493C90">
        <w:trPr>
          <w:jc w:val="center"/>
        </w:trPr>
        <w:tc>
          <w:tcPr>
            <w:tcW w:w="9637" w:type="dxa"/>
            <w:tcBorders>
              <w:top w:val="nil"/>
              <w:bottom w:val="nil"/>
            </w:tcBorders>
            <w:shd w:val="clear" w:color="auto" w:fill="auto"/>
          </w:tcPr>
          <w:p w14:paraId="3C3FC224" w14:textId="26EC01BB" w:rsidR="00493C90" w:rsidRPr="00DA3C5F" w:rsidRDefault="00493C90" w:rsidP="00493C90">
            <w:pPr>
              <w:pStyle w:val="SingleTxtG"/>
              <w:rPr>
                <w:lang w:val="fr-FR"/>
              </w:rPr>
            </w:pPr>
            <w:r w:rsidRPr="00DA3C5F">
              <w:rPr>
                <w:lang w:val="fr-FR"/>
              </w:rPr>
              <w:tab/>
              <w:t xml:space="preserve">Le présent document a été établi par le Bureau en application des </w:t>
            </w:r>
            <w:r>
              <w:rPr>
                <w:lang w:val="fr-FR"/>
              </w:rPr>
              <w:t>conclusions</w:t>
            </w:r>
            <w:r w:rsidRPr="00DA3C5F">
              <w:rPr>
                <w:lang w:val="fr-FR"/>
              </w:rPr>
              <w:t xml:space="preserve"> de la vingt-quatrième réunion du Groupe de travail des Parties à la Convention sur l</w:t>
            </w:r>
            <w:r>
              <w:rPr>
                <w:lang w:val="fr-FR"/>
              </w:rPr>
              <w:t>’</w:t>
            </w:r>
            <w:r w:rsidRPr="00DA3C5F">
              <w:rPr>
                <w:lang w:val="fr-FR"/>
              </w:rPr>
              <w:t>accès à l</w:t>
            </w:r>
            <w:r>
              <w:rPr>
                <w:lang w:val="fr-FR"/>
              </w:rPr>
              <w:t>’</w:t>
            </w:r>
            <w:r w:rsidRPr="00DA3C5F">
              <w:rPr>
                <w:lang w:val="fr-FR"/>
              </w:rPr>
              <w:t>information, la participation du public au processus décisionnel et l</w:t>
            </w:r>
            <w:r>
              <w:rPr>
                <w:lang w:val="fr-FR"/>
              </w:rPr>
              <w:t>’</w:t>
            </w:r>
            <w:r w:rsidRPr="00DA3C5F">
              <w:rPr>
                <w:lang w:val="fr-FR"/>
              </w:rPr>
              <w:t>accès à la justice en matière d</w:t>
            </w:r>
            <w:r>
              <w:rPr>
                <w:lang w:val="fr-FR"/>
              </w:rPr>
              <w:t>’</w:t>
            </w:r>
            <w:r w:rsidRPr="00DA3C5F">
              <w:rPr>
                <w:lang w:val="fr-FR"/>
              </w:rPr>
              <w:t>environnement (Convention d</w:t>
            </w:r>
            <w:r>
              <w:rPr>
                <w:lang w:val="fr-FR"/>
              </w:rPr>
              <w:t>’</w:t>
            </w:r>
            <w:r w:rsidRPr="00DA3C5F">
              <w:rPr>
                <w:lang w:val="fr-FR"/>
              </w:rPr>
              <w:t>Aarhus) (Genève (en ligne), 1</w:t>
            </w:r>
            <w:r w:rsidRPr="00CE0BD0">
              <w:rPr>
                <w:vertAlign w:val="superscript"/>
                <w:lang w:val="fr-FR"/>
              </w:rPr>
              <w:t>er</w:t>
            </w:r>
            <w:r w:rsidRPr="00DA3C5F">
              <w:rPr>
                <w:lang w:val="fr-FR"/>
              </w:rPr>
              <w:t>-3 juillet et Genève (modalités hybrides), 28</w:t>
            </w:r>
            <w:r>
              <w:rPr>
                <w:lang w:val="fr-FR"/>
              </w:rPr>
              <w:t xml:space="preserve"> et </w:t>
            </w:r>
            <w:r w:rsidRPr="00DA3C5F">
              <w:rPr>
                <w:lang w:val="fr-FR"/>
              </w:rPr>
              <w:t>29 octobre 2020) portant sur l</w:t>
            </w:r>
            <w:r>
              <w:rPr>
                <w:lang w:val="fr-FR"/>
              </w:rPr>
              <w:t>’</w:t>
            </w:r>
            <w:r w:rsidRPr="00DA3C5F">
              <w:rPr>
                <w:lang w:val="fr-FR"/>
              </w:rPr>
              <w:t>examen du projet de note concernant un mécanisme de réaction rapide chargé de traiter les cas relevant de l</w:t>
            </w:r>
            <w:r>
              <w:rPr>
                <w:lang w:val="fr-FR"/>
              </w:rPr>
              <w:t>’</w:t>
            </w:r>
            <w:r w:rsidRPr="00DA3C5F">
              <w:rPr>
                <w:lang w:val="fr-FR"/>
              </w:rPr>
              <w:t>article</w:t>
            </w:r>
            <w:r>
              <w:rPr>
                <w:lang w:val="fr-FR"/>
              </w:rPr>
              <w:t> </w:t>
            </w:r>
            <w:r w:rsidRPr="00DA3C5F">
              <w:rPr>
                <w:lang w:val="fr-FR"/>
              </w:rPr>
              <w:t>3 (par.</w:t>
            </w:r>
            <w:r>
              <w:rPr>
                <w:lang w:val="fr-FR"/>
              </w:rPr>
              <w:t> </w:t>
            </w:r>
            <w:r w:rsidRPr="00DA3C5F">
              <w:rPr>
                <w:lang w:val="fr-FR"/>
              </w:rPr>
              <w:t>8) de la Convention d</w:t>
            </w:r>
            <w:r>
              <w:rPr>
                <w:lang w:val="fr-FR"/>
              </w:rPr>
              <w:t>’</w:t>
            </w:r>
            <w:r w:rsidRPr="00DA3C5F">
              <w:rPr>
                <w:lang w:val="fr-FR"/>
              </w:rPr>
              <w:t>Aarhus (ECE/MP.PP/WG.1/2020/13)</w:t>
            </w:r>
            <w:r w:rsidRPr="00493C90">
              <w:rPr>
                <w:rStyle w:val="Appelnotedebasdep"/>
              </w:rPr>
              <w:t>a</w:t>
            </w:r>
            <w:r w:rsidRPr="00DA3C5F">
              <w:rPr>
                <w:lang w:val="fr-FR"/>
              </w:rPr>
              <w:t>. Le projet de document a été distribué aux Parties et aux parties prenantes</w:t>
            </w:r>
            <w:r>
              <w:rPr>
                <w:lang w:val="fr-FR"/>
              </w:rPr>
              <w:t>, afin qu’elles formulent des</w:t>
            </w:r>
            <w:r w:rsidRPr="00DA3C5F">
              <w:rPr>
                <w:lang w:val="fr-FR"/>
              </w:rPr>
              <w:t xml:space="preserve"> </w:t>
            </w:r>
            <w:r>
              <w:rPr>
                <w:lang w:val="fr-FR"/>
              </w:rPr>
              <w:t>commentaires</w:t>
            </w:r>
            <w:r w:rsidRPr="00DA3C5F">
              <w:rPr>
                <w:lang w:val="fr-FR"/>
              </w:rPr>
              <w:t xml:space="preserve"> avant </w:t>
            </w:r>
            <w:r>
              <w:rPr>
                <w:lang w:val="fr-FR"/>
              </w:rPr>
              <w:t>l’établissement de l</w:t>
            </w:r>
            <w:r w:rsidRPr="00DA3C5F">
              <w:rPr>
                <w:lang w:val="fr-FR"/>
              </w:rPr>
              <w:t xml:space="preserve">a </w:t>
            </w:r>
            <w:r>
              <w:rPr>
                <w:lang w:val="fr-FR"/>
              </w:rPr>
              <w:t>version définitive</w:t>
            </w:r>
            <w:r w:rsidRPr="00DA3C5F">
              <w:rPr>
                <w:lang w:val="fr-FR"/>
              </w:rPr>
              <w:t xml:space="preserve"> en vue de la vingt-cinquième réunion du Groupe de travail. Le Groupe de travail des Parties a demandé au Bureau de réviser le texte du projet à la lumière des </w:t>
            </w:r>
            <w:r>
              <w:rPr>
                <w:lang w:val="fr-FR"/>
              </w:rPr>
              <w:t xml:space="preserve">commentaires </w:t>
            </w:r>
            <w:r w:rsidRPr="00DA3C5F">
              <w:rPr>
                <w:lang w:val="fr-FR"/>
              </w:rPr>
              <w:t>reçus pendant et après la réunion</w:t>
            </w:r>
            <w:r w:rsidRPr="00493C90">
              <w:rPr>
                <w:rStyle w:val="Appelnotedebasdep"/>
              </w:rPr>
              <w:t>b</w:t>
            </w:r>
            <w:r w:rsidRPr="00DA3C5F">
              <w:rPr>
                <w:lang w:val="fr-FR"/>
              </w:rPr>
              <w:t>, aux fins de sa soumission au Groupe de travail à sa vingt-cinquième réunion, pour que celui-ci l</w:t>
            </w:r>
            <w:r>
              <w:rPr>
                <w:lang w:val="fr-FR"/>
              </w:rPr>
              <w:t>’</w:t>
            </w:r>
            <w:r w:rsidRPr="00DA3C5F">
              <w:rPr>
                <w:lang w:val="fr-FR"/>
              </w:rPr>
              <w:t>examine et l</w:t>
            </w:r>
            <w:r>
              <w:rPr>
                <w:lang w:val="fr-FR"/>
              </w:rPr>
              <w:t>’</w:t>
            </w:r>
            <w:r w:rsidRPr="00DA3C5F">
              <w:rPr>
                <w:lang w:val="fr-FR"/>
              </w:rPr>
              <w:t xml:space="preserve">approuve et le soumette ensuite à la Réunion des Parties en vue de son examen et </w:t>
            </w:r>
            <w:r>
              <w:rPr>
                <w:lang w:val="fr-FR"/>
              </w:rPr>
              <w:t xml:space="preserve">de son </w:t>
            </w:r>
            <w:r w:rsidRPr="00DA3C5F">
              <w:rPr>
                <w:lang w:val="fr-FR"/>
              </w:rPr>
              <w:t xml:space="preserve">adoption éventuelle. </w:t>
            </w:r>
            <w:r>
              <w:rPr>
                <w:lang w:val="fr-FR"/>
              </w:rPr>
              <w:t>On trouvera dans l</w:t>
            </w:r>
            <w:r w:rsidRPr="00DA3C5F">
              <w:rPr>
                <w:lang w:val="fr-FR"/>
              </w:rPr>
              <w:t>e présent document</w:t>
            </w:r>
            <w:r>
              <w:rPr>
                <w:lang w:val="fr-FR"/>
              </w:rPr>
              <w:t xml:space="preserve">, compte tenu des commentaires </w:t>
            </w:r>
            <w:r w:rsidRPr="00DA3C5F">
              <w:rPr>
                <w:lang w:val="fr-FR"/>
              </w:rPr>
              <w:t xml:space="preserve">reçus, un projet de décision </w:t>
            </w:r>
            <w:r>
              <w:rPr>
                <w:lang w:val="fr-FR"/>
              </w:rPr>
              <w:t xml:space="preserve">possible </w:t>
            </w:r>
            <w:r w:rsidRPr="00DA3C5F">
              <w:rPr>
                <w:lang w:val="fr-FR"/>
              </w:rPr>
              <w:t>sur la question et une annexe détaillant le mandat du Rapporteur ou de la Rapporteuse sur les défenseurs et défenseuses de l</w:t>
            </w:r>
            <w:r>
              <w:rPr>
                <w:lang w:val="fr-FR"/>
              </w:rPr>
              <w:t>’</w:t>
            </w:r>
            <w:r w:rsidRPr="00DA3C5F">
              <w:rPr>
                <w:lang w:val="fr-FR"/>
              </w:rPr>
              <w:t>environnement.</w:t>
            </w:r>
            <w:bookmarkStart w:id="0" w:name="_Hlk63328463"/>
            <w:bookmarkEnd w:id="0"/>
          </w:p>
          <w:p w14:paraId="7507A7FB" w14:textId="470B18CF" w:rsidR="00493C90" w:rsidRPr="00DA3C5F" w:rsidRDefault="00493C90" w:rsidP="00493C90">
            <w:pPr>
              <w:pStyle w:val="SingleTxtG"/>
              <w:rPr>
                <w:lang w:val="fr-FR"/>
              </w:rPr>
            </w:pPr>
            <w:r w:rsidRPr="00DA3C5F">
              <w:rPr>
                <w:lang w:val="fr-FR"/>
              </w:rPr>
              <w:lastRenderedPageBreak/>
              <w:tab/>
              <w:t xml:space="preserve">La version initiale du document a été établie par le Bureau en application des </w:t>
            </w:r>
            <w:r>
              <w:rPr>
                <w:lang w:val="fr-FR"/>
              </w:rPr>
              <w:t xml:space="preserve">conclusions </w:t>
            </w:r>
            <w:r w:rsidRPr="00DA3C5F">
              <w:rPr>
                <w:lang w:val="fr-FR"/>
              </w:rPr>
              <w:t>de la vingt-troisième réunion du Groupe de travail des Parties à la Convention (Genève, 26-28 juin 2019) concernant la question de la mise en place d</w:t>
            </w:r>
            <w:r>
              <w:rPr>
                <w:lang w:val="fr-FR"/>
              </w:rPr>
              <w:t>’</w:t>
            </w:r>
            <w:r w:rsidRPr="00DA3C5F">
              <w:rPr>
                <w:lang w:val="fr-FR"/>
              </w:rPr>
              <w:t>un mécanisme de réaction rapide chargé de traiter les cas relevant de l</w:t>
            </w:r>
            <w:r>
              <w:rPr>
                <w:lang w:val="fr-FR"/>
              </w:rPr>
              <w:t>’</w:t>
            </w:r>
            <w:r w:rsidRPr="00DA3C5F">
              <w:rPr>
                <w:lang w:val="fr-FR"/>
              </w:rPr>
              <w:t>article 3 (par. 8) de la Convention</w:t>
            </w:r>
            <w:r w:rsidRPr="00493C90">
              <w:rPr>
                <w:rStyle w:val="Appelnotedebasdep"/>
              </w:rPr>
              <w:t>c</w:t>
            </w:r>
            <w:r w:rsidRPr="00DA3C5F">
              <w:rPr>
                <w:lang w:val="fr-FR"/>
              </w:rPr>
              <w:t>.</w:t>
            </w:r>
          </w:p>
          <w:p w14:paraId="41C43E45" w14:textId="0554BABF" w:rsidR="00493C90" w:rsidRPr="00493C90" w:rsidRDefault="00493C90" w:rsidP="00493C90">
            <w:pPr>
              <w:pStyle w:val="SingleTxtG"/>
              <w:spacing w:after="0"/>
              <w:ind w:firstLine="170"/>
              <w:jc w:val="left"/>
              <w:rPr>
                <w:rStyle w:val="Lienhypertexte"/>
                <w:color w:val="auto"/>
                <w:sz w:val="18"/>
                <w:szCs w:val="18"/>
                <w:lang w:val="fr-FR"/>
              </w:rPr>
            </w:pPr>
            <w:r w:rsidRPr="00493C90">
              <w:rPr>
                <w:sz w:val="18"/>
                <w:szCs w:val="18"/>
                <w:vertAlign w:val="superscript"/>
                <w:lang w:val="fr-FR"/>
              </w:rPr>
              <w:t>a</w:t>
            </w:r>
            <w:r w:rsidRPr="00493C90">
              <w:rPr>
                <w:sz w:val="18"/>
                <w:szCs w:val="18"/>
                <w:lang w:val="fr-FR"/>
              </w:rPr>
              <w:t xml:space="preserve">  Voir AC/WGP-24/Inf.21, liste des décisions et des principales conclusions de la vingt-quatrième réunion du Groupe de travail des Parties, point 7 a</w:t>
            </w:r>
            <w:r>
              <w:rPr>
                <w:sz w:val="18"/>
                <w:szCs w:val="18"/>
                <w:lang w:val="fr-FR"/>
              </w:rPr>
              <w:t>)</w:t>
            </w:r>
            <w:r w:rsidRPr="00493C90">
              <w:rPr>
                <w:sz w:val="18"/>
                <w:szCs w:val="18"/>
                <w:lang w:val="fr-FR"/>
              </w:rPr>
              <w:t xml:space="preserve"> i</w:t>
            </w:r>
            <w:r>
              <w:rPr>
                <w:sz w:val="18"/>
                <w:szCs w:val="18"/>
                <w:lang w:val="fr-FR"/>
              </w:rPr>
              <w:t>)</w:t>
            </w:r>
            <w:r w:rsidRPr="00493C90">
              <w:rPr>
                <w:sz w:val="18"/>
                <w:szCs w:val="18"/>
                <w:lang w:val="fr-FR"/>
              </w:rPr>
              <w:t xml:space="preserve">, disponible (en anglais seulement) à l’adresse </w:t>
            </w:r>
            <w:hyperlink r:id="rId8" w:history="1">
              <w:r w:rsidRPr="00493C90">
                <w:rPr>
                  <w:rStyle w:val="Lienhypertexte"/>
                  <w:sz w:val="18"/>
                  <w:szCs w:val="18"/>
                </w:rPr>
                <w:t>https://unece.org/fileadmin/DAM/env/pp/wgp/WGP_24/WGP-24_List_of_outcomes_28-29_October_session_as_adopted_-_Copy.pdf</w:t>
              </w:r>
            </w:hyperlink>
            <w:r w:rsidRPr="00493C90">
              <w:rPr>
                <w:sz w:val="18"/>
                <w:szCs w:val="18"/>
                <w:lang w:val="fr-FR"/>
              </w:rPr>
              <w:t>.</w:t>
            </w:r>
          </w:p>
          <w:p w14:paraId="2095C119" w14:textId="57A04E59" w:rsidR="00493C90" w:rsidRPr="00493C90" w:rsidRDefault="00493C90" w:rsidP="00493C90">
            <w:pPr>
              <w:pStyle w:val="SingleTxtG"/>
              <w:spacing w:after="0"/>
              <w:ind w:firstLine="170"/>
              <w:jc w:val="left"/>
              <w:rPr>
                <w:sz w:val="18"/>
                <w:szCs w:val="18"/>
                <w:lang w:val="fr-FR"/>
              </w:rPr>
            </w:pPr>
            <w:r w:rsidRPr="00493C90">
              <w:rPr>
                <w:sz w:val="18"/>
                <w:szCs w:val="18"/>
                <w:vertAlign w:val="superscript"/>
                <w:lang w:val="fr-FR"/>
              </w:rPr>
              <w:t>b</w:t>
            </w:r>
            <w:r w:rsidRPr="00493C90">
              <w:rPr>
                <w:sz w:val="18"/>
                <w:szCs w:val="18"/>
                <w:lang w:val="fr-FR"/>
              </w:rPr>
              <w:t xml:space="preserve"> </w:t>
            </w:r>
            <w:r>
              <w:rPr>
                <w:sz w:val="18"/>
                <w:szCs w:val="18"/>
                <w:lang w:val="fr-FR"/>
              </w:rPr>
              <w:t xml:space="preserve"> </w:t>
            </w:r>
            <w:r w:rsidRPr="00493C90">
              <w:rPr>
                <w:sz w:val="18"/>
                <w:szCs w:val="18"/>
                <w:lang w:val="fr-FR"/>
              </w:rPr>
              <w:t xml:space="preserve">Les commentaires reçus peuvent être consultés à l’adresse </w:t>
            </w:r>
            <w:hyperlink r:id="rId9" w:history="1">
              <w:r w:rsidRPr="00493C90">
                <w:rPr>
                  <w:rStyle w:val="Lienhypertexte"/>
                  <w:sz w:val="18"/>
                  <w:szCs w:val="18"/>
                  <w:lang w:val="fr-FR"/>
                </w:rPr>
                <w:t>https://unece.org/environmental-policy/events/twenty-fourth-meeting-working-group-parties-aarhus-convention-site</w:t>
              </w:r>
            </w:hyperlink>
            <w:r w:rsidRPr="00493C90">
              <w:rPr>
                <w:sz w:val="18"/>
                <w:szCs w:val="18"/>
                <w:lang w:val="fr-FR"/>
              </w:rPr>
              <w:t>.</w:t>
            </w:r>
          </w:p>
          <w:p w14:paraId="2C1DA25E" w14:textId="7BEA869F" w:rsidR="00493C90" w:rsidRPr="00DA3C5F" w:rsidRDefault="00493C90" w:rsidP="00493C90">
            <w:pPr>
              <w:pStyle w:val="SingleTxtG"/>
              <w:spacing w:after="0"/>
              <w:ind w:firstLine="170"/>
              <w:jc w:val="left"/>
              <w:rPr>
                <w:lang w:val="fr-FR"/>
              </w:rPr>
            </w:pPr>
            <w:r w:rsidRPr="00493C90">
              <w:rPr>
                <w:sz w:val="18"/>
                <w:szCs w:val="18"/>
                <w:vertAlign w:val="superscript"/>
                <w:lang w:val="fr-FR"/>
              </w:rPr>
              <w:t>c</w:t>
            </w:r>
            <w:r w:rsidRPr="00493C90">
              <w:rPr>
                <w:sz w:val="18"/>
                <w:szCs w:val="18"/>
                <w:lang w:val="fr-FR"/>
              </w:rPr>
              <w:t xml:space="preserve">  Voir ECE/MP.PP/WG.1/2019/2, par. 25 à 35, disponible à l’adresse </w:t>
            </w:r>
            <w:hyperlink r:id="rId10" w:history="1">
              <w:r w:rsidRPr="00493C90">
                <w:rPr>
                  <w:rStyle w:val="Lienhypertexte"/>
                  <w:sz w:val="18"/>
                  <w:szCs w:val="18"/>
                  <w:lang w:val="fr-FR"/>
                </w:rPr>
                <w:t>https://unece.org/environmental-policy/events/twenty-third-meeting-working-group-parties-aarhus-convention</w:t>
              </w:r>
            </w:hyperlink>
            <w:r w:rsidRPr="00493C90">
              <w:rPr>
                <w:sz w:val="18"/>
                <w:szCs w:val="18"/>
                <w:lang w:val="fr-FR"/>
              </w:rPr>
              <w:t>.</w:t>
            </w:r>
          </w:p>
        </w:tc>
      </w:tr>
      <w:tr w:rsidR="00493C90" w:rsidRPr="008F3978" w14:paraId="0D98644A" w14:textId="77777777" w:rsidTr="00493C90">
        <w:trPr>
          <w:jc w:val="center"/>
        </w:trPr>
        <w:tc>
          <w:tcPr>
            <w:tcW w:w="9637" w:type="dxa"/>
            <w:tcBorders>
              <w:top w:val="nil"/>
            </w:tcBorders>
            <w:shd w:val="clear" w:color="auto" w:fill="auto"/>
          </w:tcPr>
          <w:p w14:paraId="51C1A9B5" w14:textId="77777777" w:rsidR="00493C90" w:rsidRPr="00DA3C5F" w:rsidRDefault="00493C90" w:rsidP="00493C90">
            <w:pPr>
              <w:rPr>
                <w:lang w:val="fr-FR"/>
              </w:rPr>
            </w:pPr>
          </w:p>
        </w:tc>
      </w:tr>
    </w:tbl>
    <w:p w14:paraId="2A4C3510" w14:textId="77777777" w:rsidR="00493C90" w:rsidRPr="00DA3C5F" w:rsidRDefault="00493C90" w:rsidP="00493C90">
      <w:pPr>
        <w:suppressAutoHyphens w:val="0"/>
        <w:spacing w:line="240" w:lineRule="auto"/>
        <w:rPr>
          <w:lang w:val="fr-FR"/>
        </w:rPr>
      </w:pPr>
      <w:r w:rsidRPr="00DA3C5F">
        <w:rPr>
          <w:lang w:val="fr-FR"/>
        </w:rPr>
        <w:br w:type="page"/>
      </w:r>
    </w:p>
    <w:p w14:paraId="7C37EC4E" w14:textId="77777777" w:rsidR="00493C90" w:rsidRPr="00DA3C5F" w:rsidRDefault="00493C90" w:rsidP="00493C90">
      <w:pPr>
        <w:pStyle w:val="HChG"/>
        <w:rPr>
          <w:lang w:val="fr-FR"/>
        </w:rPr>
      </w:pPr>
      <w:r w:rsidRPr="00DA3C5F">
        <w:rPr>
          <w:lang w:val="fr-FR"/>
        </w:rPr>
        <w:lastRenderedPageBreak/>
        <w:tab/>
      </w:r>
      <w:r w:rsidRPr="00DA3C5F">
        <w:rPr>
          <w:lang w:val="fr-FR"/>
        </w:rPr>
        <w:tab/>
        <w:t>Introduction</w:t>
      </w:r>
    </w:p>
    <w:p w14:paraId="08717888" w14:textId="7D228795" w:rsidR="00493C90" w:rsidRPr="00DA3C5F" w:rsidRDefault="00493C90" w:rsidP="00493C90">
      <w:pPr>
        <w:pStyle w:val="SingleTxtG"/>
        <w:rPr>
          <w:lang w:val="fr-FR"/>
        </w:rPr>
      </w:pPr>
      <w:r w:rsidRPr="00DA3C5F">
        <w:rPr>
          <w:lang w:val="fr-FR"/>
        </w:rPr>
        <w:t>1.</w:t>
      </w:r>
      <w:r w:rsidRPr="00DA3C5F">
        <w:rPr>
          <w:lang w:val="fr-FR"/>
        </w:rPr>
        <w:tab/>
        <w:t>L</w:t>
      </w:r>
      <w:r>
        <w:rPr>
          <w:lang w:val="fr-FR"/>
        </w:rPr>
        <w:t>’</w:t>
      </w:r>
      <w:r w:rsidRPr="00DA3C5F">
        <w:rPr>
          <w:lang w:val="fr-FR"/>
        </w:rPr>
        <w:t>article 3 (par. 8) de la Convention sur l</w:t>
      </w:r>
      <w:r>
        <w:rPr>
          <w:lang w:val="fr-FR"/>
        </w:rPr>
        <w:t>’</w:t>
      </w:r>
      <w:r w:rsidRPr="00DA3C5F">
        <w:rPr>
          <w:lang w:val="fr-FR"/>
        </w:rPr>
        <w:t>accès à l</w:t>
      </w:r>
      <w:r>
        <w:rPr>
          <w:lang w:val="fr-FR"/>
        </w:rPr>
        <w:t>’</w:t>
      </w:r>
      <w:r w:rsidRPr="00DA3C5F">
        <w:rPr>
          <w:lang w:val="fr-FR"/>
        </w:rPr>
        <w:t>information, la participation du public au processus décisionnel et l</w:t>
      </w:r>
      <w:r>
        <w:rPr>
          <w:lang w:val="fr-FR"/>
        </w:rPr>
        <w:t>’</w:t>
      </w:r>
      <w:r w:rsidRPr="00DA3C5F">
        <w:rPr>
          <w:lang w:val="fr-FR"/>
        </w:rPr>
        <w:t>accès à la justice en matière d</w:t>
      </w:r>
      <w:r>
        <w:rPr>
          <w:lang w:val="fr-FR"/>
        </w:rPr>
        <w:t>’</w:t>
      </w:r>
      <w:r w:rsidRPr="00DA3C5F">
        <w:rPr>
          <w:lang w:val="fr-FR"/>
        </w:rPr>
        <w:t>environnement (Convention d</w:t>
      </w:r>
      <w:r>
        <w:rPr>
          <w:lang w:val="fr-FR"/>
        </w:rPr>
        <w:t>’</w:t>
      </w:r>
      <w:r w:rsidRPr="00DA3C5F">
        <w:rPr>
          <w:lang w:val="fr-FR"/>
        </w:rPr>
        <w:t>Aarhus) porte expressément sur la protection des personnes qui exercent les droits qu</w:t>
      </w:r>
      <w:r>
        <w:rPr>
          <w:lang w:val="fr-FR"/>
        </w:rPr>
        <w:t>’</w:t>
      </w:r>
      <w:r w:rsidRPr="00DA3C5F">
        <w:rPr>
          <w:lang w:val="fr-FR"/>
        </w:rPr>
        <w:t>elles tiennent de la Convention. Il dispose que «</w:t>
      </w:r>
      <w:r>
        <w:rPr>
          <w:lang w:val="fr-FR"/>
        </w:rPr>
        <w:t> </w:t>
      </w:r>
      <w:r w:rsidRPr="00DA3C5F">
        <w:rPr>
          <w:lang w:val="fr-FR"/>
        </w:rPr>
        <w:t>[c]haque Partie veille à ce que les personnes qui exercent leurs droits conformément aux dispositions de la présente Convention ne soient en aucune façon pénalisées, persécutées ou soumises à des mesures vexatoires en raison de leur action</w:t>
      </w:r>
      <w:r>
        <w:rPr>
          <w:lang w:val="fr-FR"/>
        </w:rPr>
        <w:t> </w:t>
      </w:r>
      <w:r w:rsidRPr="00DA3C5F">
        <w:rPr>
          <w:lang w:val="fr-FR"/>
        </w:rPr>
        <w:t>».</w:t>
      </w:r>
    </w:p>
    <w:p w14:paraId="0429A731" w14:textId="3762F1DD" w:rsidR="00493C90" w:rsidRPr="00DA3C5F" w:rsidRDefault="00493C90" w:rsidP="00493C90">
      <w:pPr>
        <w:pStyle w:val="SingleTxtG"/>
        <w:rPr>
          <w:lang w:val="fr-FR"/>
        </w:rPr>
      </w:pPr>
      <w:r w:rsidRPr="00DA3C5F">
        <w:rPr>
          <w:lang w:val="fr-FR"/>
        </w:rPr>
        <w:t>2.</w:t>
      </w:r>
      <w:r w:rsidRPr="00DA3C5F">
        <w:rPr>
          <w:lang w:val="fr-FR"/>
        </w:rPr>
        <w:tab/>
        <w:t xml:space="preserve">Comme suite aux discussions tenues </w:t>
      </w:r>
      <w:r>
        <w:rPr>
          <w:lang w:val="fr-FR"/>
        </w:rPr>
        <w:t>à</w:t>
      </w:r>
      <w:r w:rsidRPr="00DA3C5F">
        <w:rPr>
          <w:lang w:val="fr-FR"/>
        </w:rPr>
        <w:t xml:space="preserve"> la vingt-troisième réunion du Groupe de travail des Parties à la Convention d</w:t>
      </w:r>
      <w:r>
        <w:rPr>
          <w:lang w:val="fr-FR"/>
        </w:rPr>
        <w:t>’</w:t>
      </w:r>
      <w:r w:rsidRPr="00DA3C5F">
        <w:rPr>
          <w:lang w:val="fr-FR"/>
        </w:rPr>
        <w:t>Aarhus (Genève, 26-28 juin 2019), le Bureau a examiné, à sa quarante-quatrième réunion (Genève, 28 juin 2019), la question de la mise en place d</w:t>
      </w:r>
      <w:r>
        <w:rPr>
          <w:lang w:val="fr-FR"/>
        </w:rPr>
        <w:t>’</w:t>
      </w:r>
      <w:r w:rsidRPr="00DA3C5F">
        <w:rPr>
          <w:lang w:val="fr-FR"/>
        </w:rPr>
        <w:t>un mécanisme de réaction rapide chargé de traiter les cas relevant de l</w:t>
      </w:r>
      <w:r>
        <w:rPr>
          <w:lang w:val="fr-FR"/>
        </w:rPr>
        <w:t>’</w:t>
      </w:r>
      <w:r w:rsidRPr="00DA3C5F">
        <w:rPr>
          <w:lang w:val="fr-FR"/>
        </w:rPr>
        <w:t>article 3 (par. 8) de la Convention. Il a demandé au secrétariat d</w:t>
      </w:r>
      <w:r>
        <w:rPr>
          <w:lang w:val="fr-FR"/>
        </w:rPr>
        <w:t>’</w:t>
      </w:r>
      <w:r w:rsidRPr="00DA3C5F">
        <w:rPr>
          <w:lang w:val="fr-FR"/>
        </w:rPr>
        <w:t>établir une note sur la question, dans laquelle figureraient, entre autres choses, diverses options et divers exemples de mécanismes de ce type mis en place au titre d</w:t>
      </w:r>
      <w:r>
        <w:rPr>
          <w:lang w:val="fr-FR"/>
        </w:rPr>
        <w:t>’</w:t>
      </w:r>
      <w:r w:rsidRPr="00DA3C5F">
        <w:rPr>
          <w:lang w:val="fr-FR"/>
        </w:rPr>
        <w:t>autres traités et instruments internationaux pertinents, ainsi qu</w:t>
      </w:r>
      <w:r>
        <w:rPr>
          <w:lang w:val="fr-FR"/>
        </w:rPr>
        <w:t>’</w:t>
      </w:r>
      <w:r w:rsidRPr="00DA3C5F">
        <w:rPr>
          <w:lang w:val="fr-FR"/>
        </w:rPr>
        <w:t>une estimation des éventuelles incidences financières</w:t>
      </w:r>
      <w:r w:rsidRPr="00DA3C5F">
        <w:rPr>
          <w:rStyle w:val="Appelnotedebasdep"/>
          <w:lang w:val="fr-FR"/>
        </w:rPr>
        <w:footnoteReference w:id="3"/>
      </w:r>
      <w:r w:rsidRPr="00DA3C5F">
        <w:rPr>
          <w:lang w:val="fr-FR"/>
        </w:rPr>
        <w:t>. À sa quarante-sixième réunion (Genève, 25 et 26 février 2020), le Bureau a examiné le projet de note initial élaboré par le secrétariat, puis a établi un projet de note concernant la mise en place d</w:t>
      </w:r>
      <w:r>
        <w:rPr>
          <w:lang w:val="fr-FR"/>
        </w:rPr>
        <w:t>’</w:t>
      </w:r>
      <w:r w:rsidRPr="00DA3C5F">
        <w:rPr>
          <w:lang w:val="fr-FR"/>
        </w:rPr>
        <w:t>un mécanisme de réaction rapide chargé de traiter les cas relevant de l</w:t>
      </w:r>
      <w:r>
        <w:rPr>
          <w:lang w:val="fr-FR"/>
        </w:rPr>
        <w:t>’</w:t>
      </w:r>
      <w:r w:rsidRPr="00DA3C5F">
        <w:rPr>
          <w:lang w:val="fr-FR"/>
        </w:rPr>
        <w:t>article 3 (par. 8) de la Convention d</w:t>
      </w:r>
      <w:r>
        <w:rPr>
          <w:lang w:val="fr-FR"/>
        </w:rPr>
        <w:t>’</w:t>
      </w:r>
      <w:r w:rsidRPr="00DA3C5F">
        <w:rPr>
          <w:lang w:val="fr-FR"/>
        </w:rPr>
        <w:t>Aarhus (ECE/MP.PP/WG.1/2020/13), pour examen par le Groupe de travail des Parties à sa vingt-quatrième réunion (Genève (en ligne), 1</w:t>
      </w:r>
      <w:r w:rsidRPr="00CE0BD0">
        <w:rPr>
          <w:vertAlign w:val="superscript"/>
          <w:lang w:val="fr-FR"/>
        </w:rPr>
        <w:t>er</w:t>
      </w:r>
      <w:r w:rsidRPr="00DA3C5F">
        <w:rPr>
          <w:lang w:val="fr-FR"/>
        </w:rPr>
        <w:t>-3 juillet et Genève (modalités hybrides), 28 et 29 octobre 2020)</w:t>
      </w:r>
      <w:r w:rsidRPr="00DA3C5F">
        <w:rPr>
          <w:rStyle w:val="Appelnotedebasdep"/>
          <w:lang w:val="fr-FR"/>
        </w:rPr>
        <w:footnoteReference w:id="4"/>
      </w:r>
      <w:r w:rsidRPr="00DA3C5F">
        <w:rPr>
          <w:lang w:val="fr-FR"/>
        </w:rPr>
        <w:t xml:space="preserve">. Le présent document a été établi par le Bureau en application des </w:t>
      </w:r>
      <w:r>
        <w:rPr>
          <w:lang w:val="fr-FR"/>
        </w:rPr>
        <w:t xml:space="preserve">conclusions </w:t>
      </w:r>
      <w:r w:rsidRPr="00DA3C5F">
        <w:rPr>
          <w:lang w:val="fr-FR"/>
        </w:rPr>
        <w:t>de la vingt-quatrième réunion du Groupe de travail des Parties concernant l</w:t>
      </w:r>
      <w:r>
        <w:rPr>
          <w:lang w:val="fr-FR"/>
        </w:rPr>
        <w:t>’</w:t>
      </w:r>
      <w:r w:rsidRPr="00DA3C5F">
        <w:rPr>
          <w:lang w:val="fr-FR"/>
        </w:rPr>
        <w:t xml:space="preserve">examen du projet de note. Le Groupe de travail des Parties a demandé au Bureau de réviser le document à la lumière des </w:t>
      </w:r>
      <w:r>
        <w:rPr>
          <w:lang w:val="fr-FR"/>
        </w:rPr>
        <w:t>commentaires</w:t>
      </w:r>
      <w:r w:rsidRPr="00DA3C5F">
        <w:rPr>
          <w:lang w:val="fr-FR"/>
        </w:rPr>
        <w:t xml:space="preserve"> reçus</w:t>
      </w:r>
      <w:r w:rsidRPr="00DA3C5F">
        <w:rPr>
          <w:rStyle w:val="Appelnotedebasdep"/>
          <w:lang w:val="fr-FR"/>
        </w:rPr>
        <w:footnoteReference w:id="5"/>
      </w:r>
      <w:r w:rsidRPr="00DA3C5F">
        <w:rPr>
          <w:lang w:val="fr-FR"/>
        </w:rPr>
        <w:t>, aux fins de sa soumission au Groupe de travail, à sa vingt-cinquième réunion, pour que celui-ci l</w:t>
      </w:r>
      <w:r>
        <w:rPr>
          <w:lang w:val="fr-FR"/>
        </w:rPr>
        <w:t>’</w:t>
      </w:r>
      <w:r w:rsidRPr="00DA3C5F">
        <w:rPr>
          <w:lang w:val="fr-FR"/>
        </w:rPr>
        <w:t>examine et l</w:t>
      </w:r>
      <w:r>
        <w:rPr>
          <w:lang w:val="fr-FR"/>
        </w:rPr>
        <w:t>’</w:t>
      </w:r>
      <w:r w:rsidRPr="00DA3C5F">
        <w:rPr>
          <w:lang w:val="fr-FR"/>
        </w:rPr>
        <w:t xml:space="preserve">approuve et le soumette ensuite à la Réunion des Parties en vue de son examen et </w:t>
      </w:r>
      <w:r>
        <w:rPr>
          <w:lang w:val="fr-FR"/>
        </w:rPr>
        <w:t xml:space="preserve">de son </w:t>
      </w:r>
      <w:r w:rsidRPr="00DA3C5F">
        <w:rPr>
          <w:lang w:val="fr-FR"/>
        </w:rPr>
        <w:t>adoption éventuelle.</w:t>
      </w:r>
      <w:bookmarkStart w:id="1" w:name="_Hlk63330306"/>
      <w:bookmarkEnd w:id="1"/>
    </w:p>
    <w:p w14:paraId="4CFFB59A" w14:textId="12077E68" w:rsidR="00493C90" w:rsidRPr="00DA3C5F" w:rsidRDefault="00493C90" w:rsidP="00493C90">
      <w:pPr>
        <w:pStyle w:val="SingleTxtG"/>
        <w:rPr>
          <w:lang w:val="fr-FR"/>
        </w:rPr>
      </w:pPr>
      <w:r w:rsidRPr="00DA3C5F">
        <w:rPr>
          <w:lang w:val="fr-FR"/>
        </w:rPr>
        <w:t>3.</w:t>
      </w:r>
      <w:r w:rsidRPr="00DA3C5F">
        <w:rPr>
          <w:lang w:val="fr-FR"/>
        </w:rPr>
        <w:tab/>
        <w:t xml:space="preserve">Les </w:t>
      </w:r>
      <w:r>
        <w:rPr>
          <w:lang w:val="fr-FR"/>
        </w:rPr>
        <w:t>commentaires</w:t>
      </w:r>
      <w:r w:rsidRPr="00DA3C5F">
        <w:rPr>
          <w:lang w:val="fr-FR"/>
        </w:rPr>
        <w:t xml:space="preserve"> reçus </w:t>
      </w:r>
      <w:r>
        <w:rPr>
          <w:lang w:val="fr-FR"/>
        </w:rPr>
        <w:t>témoignent d’</w:t>
      </w:r>
      <w:r w:rsidRPr="00DA3C5F">
        <w:rPr>
          <w:lang w:val="fr-FR"/>
        </w:rPr>
        <w:t>une préférence pour l</w:t>
      </w:r>
      <w:r>
        <w:rPr>
          <w:lang w:val="fr-FR"/>
        </w:rPr>
        <w:t>’</w:t>
      </w:r>
      <w:r w:rsidRPr="00DA3C5F">
        <w:rPr>
          <w:lang w:val="fr-FR"/>
        </w:rPr>
        <w:t>option 3, à savoir la création d</w:t>
      </w:r>
      <w:r>
        <w:rPr>
          <w:lang w:val="fr-FR"/>
        </w:rPr>
        <w:t>’</w:t>
      </w:r>
      <w:r w:rsidRPr="00DA3C5F">
        <w:rPr>
          <w:lang w:val="fr-FR"/>
        </w:rPr>
        <w:t>un mandat de rapporteur sur les défenseurs et les défenseuses de l</w:t>
      </w:r>
      <w:r>
        <w:rPr>
          <w:lang w:val="fr-FR"/>
        </w:rPr>
        <w:t>’</w:t>
      </w:r>
      <w:r w:rsidRPr="00DA3C5F">
        <w:rPr>
          <w:lang w:val="fr-FR"/>
        </w:rPr>
        <w:t xml:space="preserve">environnement. Le présent document contient par conséquent un projet de décision </w:t>
      </w:r>
      <w:r>
        <w:rPr>
          <w:lang w:val="fr-FR"/>
        </w:rPr>
        <w:t xml:space="preserve">possible </w:t>
      </w:r>
      <w:r w:rsidRPr="00DA3C5F">
        <w:rPr>
          <w:lang w:val="fr-FR"/>
        </w:rPr>
        <w:t>sur le sujet, ainsi qu</w:t>
      </w:r>
      <w:r>
        <w:rPr>
          <w:lang w:val="fr-FR"/>
        </w:rPr>
        <w:t>’</w:t>
      </w:r>
      <w:r w:rsidRPr="00DA3C5F">
        <w:rPr>
          <w:lang w:val="fr-FR"/>
        </w:rPr>
        <w:t>une annexe précisant le mandat proposé pour le Rapporteur ou la Rapporteuse sur les défenseurs et défenseuses de l</w:t>
      </w:r>
      <w:r>
        <w:rPr>
          <w:lang w:val="fr-FR"/>
        </w:rPr>
        <w:t>’</w:t>
      </w:r>
      <w:r w:rsidRPr="00DA3C5F">
        <w:rPr>
          <w:lang w:val="fr-FR"/>
        </w:rPr>
        <w:t>environnement. Les autres options ne figurent pas dans le présent document</w:t>
      </w:r>
      <w:r w:rsidRPr="00DA3C5F">
        <w:rPr>
          <w:rStyle w:val="Appelnotedebasdep"/>
          <w:lang w:val="fr-FR"/>
        </w:rPr>
        <w:footnoteReference w:id="6"/>
      </w:r>
      <w:r w:rsidRPr="00DA3C5F">
        <w:rPr>
          <w:lang w:val="fr-FR"/>
        </w:rPr>
        <w:t xml:space="preserve">. Pour des raisons de commodité, les révisions de fond </w:t>
      </w:r>
      <w:r>
        <w:rPr>
          <w:lang w:val="fr-FR"/>
        </w:rPr>
        <w:t xml:space="preserve">ont été </w:t>
      </w:r>
      <w:r w:rsidRPr="00DA3C5F">
        <w:rPr>
          <w:lang w:val="fr-FR"/>
        </w:rPr>
        <w:t xml:space="preserve">apportées au projet initial en « suivi des modifications ». Les informations de base </w:t>
      </w:r>
      <w:r>
        <w:rPr>
          <w:lang w:val="fr-FR"/>
        </w:rPr>
        <w:t>figurent dans</w:t>
      </w:r>
      <w:r w:rsidRPr="00DA3C5F">
        <w:rPr>
          <w:lang w:val="fr-FR"/>
        </w:rPr>
        <w:t xml:space="preserve"> plusieurs documents</w:t>
      </w:r>
      <w:r>
        <w:rPr>
          <w:lang w:val="fr-FR"/>
        </w:rPr>
        <w:t> </w:t>
      </w:r>
      <w:r w:rsidRPr="00DA3C5F">
        <w:rPr>
          <w:lang w:val="fr-FR"/>
        </w:rPr>
        <w:t>: la version initiale du projet de note concernant un mécanisme de réaction rapide (ECE/MP.PP/WG.1/2020/13), l</w:t>
      </w:r>
      <w:r>
        <w:rPr>
          <w:lang w:val="fr-FR"/>
        </w:rPr>
        <w:t>’</w:t>
      </w:r>
      <w:r w:rsidRPr="00DA3C5F">
        <w:rPr>
          <w:lang w:val="fr-FR"/>
        </w:rPr>
        <w:t>aperçu des mécanismes relevant d</w:t>
      </w:r>
      <w:r>
        <w:rPr>
          <w:lang w:val="fr-FR"/>
        </w:rPr>
        <w:t>’</w:t>
      </w:r>
      <w:r w:rsidRPr="00DA3C5F">
        <w:rPr>
          <w:lang w:val="fr-FR"/>
        </w:rPr>
        <w:t>autres traités internationaux et organisations internationales qui couvrent, ou pourraient couvrir, les droits des défenseurs de l</w:t>
      </w:r>
      <w:r>
        <w:rPr>
          <w:lang w:val="fr-FR"/>
        </w:rPr>
        <w:t>’</w:t>
      </w:r>
      <w:r w:rsidRPr="00DA3C5F">
        <w:rPr>
          <w:lang w:val="fr-FR"/>
        </w:rPr>
        <w:t>environnement (AC/WGP-24/Inf.7)</w:t>
      </w:r>
      <w:r>
        <w:rPr>
          <w:lang w:val="fr-FR"/>
        </w:rPr>
        <w:t> </w:t>
      </w:r>
      <w:r w:rsidRPr="00DA3C5F">
        <w:rPr>
          <w:lang w:val="fr-FR"/>
        </w:rPr>
        <w:t xml:space="preserve">; </w:t>
      </w:r>
      <w:r>
        <w:rPr>
          <w:lang w:val="fr-FR"/>
        </w:rPr>
        <w:t xml:space="preserve">la note </w:t>
      </w:r>
      <w:r w:rsidRPr="00DA3C5F">
        <w:rPr>
          <w:lang w:val="fr-FR"/>
        </w:rPr>
        <w:t>explicati</w:t>
      </w:r>
      <w:r>
        <w:rPr>
          <w:lang w:val="fr-FR"/>
        </w:rPr>
        <w:t>ve</w:t>
      </w:r>
      <w:r w:rsidRPr="00DA3C5F">
        <w:rPr>
          <w:lang w:val="fr-FR"/>
        </w:rPr>
        <w:t xml:space="preserve"> concernant les commentaires de l</w:t>
      </w:r>
      <w:r>
        <w:rPr>
          <w:lang w:val="fr-FR"/>
        </w:rPr>
        <w:t>’</w:t>
      </w:r>
      <w:r w:rsidRPr="00DA3C5F">
        <w:rPr>
          <w:lang w:val="fr-FR"/>
        </w:rPr>
        <w:t>Union européenne et de ses États membres (AC/WGP</w:t>
      </w:r>
      <w:r>
        <w:rPr>
          <w:lang w:val="fr-FR"/>
        </w:rPr>
        <w:noBreakHyphen/>
      </w:r>
      <w:r w:rsidRPr="00DA3C5F">
        <w:rPr>
          <w:lang w:val="fr-FR"/>
        </w:rPr>
        <w:t>24/Inf.15)</w:t>
      </w:r>
      <w:r>
        <w:rPr>
          <w:lang w:val="fr-FR"/>
        </w:rPr>
        <w:t> </w:t>
      </w:r>
      <w:r w:rsidRPr="00DA3C5F">
        <w:rPr>
          <w:lang w:val="fr-FR"/>
        </w:rPr>
        <w:t>; la note d</w:t>
      </w:r>
      <w:r>
        <w:rPr>
          <w:lang w:val="fr-FR"/>
        </w:rPr>
        <w:t>’</w:t>
      </w:r>
      <w:r w:rsidRPr="00DA3C5F">
        <w:rPr>
          <w:lang w:val="fr-FR"/>
        </w:rPr>
        <w:t>information sur la situation des défenseurs et défenseuses de l</w:t>
      </w:r>
      <w:r>
        <w:rPr>
          <w:lang w:val="fr-FR"/>
        </w:rPr>
        <w:t>’</w:t>
      </w:r>
      <w:r w:rsidRPr="00DA3C5F">
        <w:rPr>
          <w:lang w:val="fr-FR"/>
        </w:rPr>
        <w:t xml:space="preserve">environnement dans les </w:t>
      </w:r>
      <w:r>
        <w:rPr>
          <w:lang w:val="fr-FR"/>
        </w:rPr>
        <w:t>États p</w:t>
      </w:r>
      <w:r w:rsidRPr="00DA3C5F">
        <w:rPr>
          <w:lang w:val="fr-FR"/>
        </w:rPr>
        <w:t>arties à la Convention d</w:t>
      </w:r>
      <w:r>
        <w:rPr>
          <w:lang w:val="fr-FR"/>
        </w:rPr>
        <w:t>’</w:t>
      </w:r>
      <w:r w:rsidRPr="00DA3C5F">
        <w:rPr>
          <w:lang w:val="fr-FR"/>
        </w:rPr>
        <w:t>Aarhus de 2017 à ce jour (AC/WGP-24/Inf.16)</w:t>
      </w:r>
      <w:r>
        <w:rPr>
          <w:lang w:val="fr-FR"/>
        </w:rPr>
        <w:t> </w:t>
      </w:r>
      <w:r w:rsidRPr="00DA3C5F">
        <w:rPr>
          <w:lang w:val="fr-FR"/>
        </w:rPr>
        <w:t>; la note d</w:t>
      </w:r>
      <w:r>
        <w:rPr>
          <w:lang w:val="fr-FR"/>
        </w:rPr>
        <w:t>’</w:t>
      </w:r>
      <w:r w:rsidRPr="00DA3C5F">
        <w:rPr>
          <w:lang w:val="fr-FR"/>
        </w:rPr>
        <w:t>information rassemblant des extraits des rapports nationaux établis en 2017 par les Parties sur l</w:t>
      </w:r>
      <w:r>
        <w:rPr>
          <w:lang w:val="fr-FR"/>
        </w:rPr>
        <w:t>’</w:t>
      </w:r>
      <w:r w:rsidRPr="00DA3C5F">
        <w:rPr>
          <w:lang w:val="fr-FR"/>
        </w:rPr>
        <w:t>application de l</w:t>
      </w:r>
      <w:r>
        <w:rPr>
          <w:lang w:val="fr-FR"/>
        </w:rPr>
        <w:t>’</w:t>
      </w:r>
      <w:r w:rsidRPr="00DA3C5F">
        <w:rPr>
          <w:lang w:val="fr-FR"/>
        </w:rPr>
        <w:t>article 3 (par. 8) de la Convention (AC/WGP-24/Inf.17)</w:t>
      </w:r>
      <w:r w:rsidRPr="00DA3C5F">
        <w:rPr>
          <w:rStyle w:val="Appelnotedebasdep"/>
          <w:rFonts w:cstheme="majorBidi"/>
          <w:color w:val="333333"/>
          <w:lang w:val="fr-FR"/>
        </w:rPr>
        <w:footnoteReference w:id="7"/>
      </w:r>
      <w:r w:rsidRPr="00DA3C5F">
        <w:rPr>
          <w:lang w:val="fr-FR"/>
        </w:rPr>
        <w:t>.</w:t>
      </w:r>
    </w:p>
    <w:p w14:paraId="08E6B4A2" w14:textId="0DFAF6FB" w:rsidR="00493C90" w:rsidRPr="00DA3C5F" w:rsidRDefault="00493C90" w:rsidP="00493C90">
      <w:pPr>
        <w:pStyle w:val="HChG"/>
        <w:rPr>
          <w:lang w:val="fr-FR"/>
        </w:rPr>
      </w:pPr>
      <w:r w:rsidRPr="00DA3C5F">
        <w:rPr>
          <w:lang w:val="fr-FR"/>
        </w:rPr>
        <w:lastRenderedPageBreak/>
        <w:tab/>
        <w:t>I.</w:t>
      </w:r>
      <w:r w:rsidRPr="00DA3C5F">
        <w:rPr>
          <w:lang w:val="fr-FR"/>
        </w:rPr>
        <w:tab/>
      </w:r>
      <w:r w:rsidRPr="00DA3C5F">
        <w:rPr>
          <w:bCs/>
          <w:lang w:val="fr-FR"/>
        </w:rPr>
        <w:t>Projet de décision sur un mécanisme de réaction rapide chargé de traiter les cas relevant de l</w:t>
      </w:r>
      <w:r>
        <w:rPr>
          <w:bCs/>
          <w:lang w:val="fr-FR"/>
        </w:rPr>
        <w:t>’</w:t>
      </w:r>
      <w:r w:rsidRPr="00DA3C5F">
        <w:rPr>
          <w:bCs/>
          <w:lang w:val="fr-FR"/>
        </w:rPr>
        <w:t xml:space="preserve">article 3 (par. 8) de </w:t>
      </w:r>
      <w:r>
        <w:rPr>
          <w:bCs/>
          <w:lang w:val="fr-FR"/>
        </w:rPr>
        <w:br/>
      </w:r>
      <w:r w:rsidRPr="00DA3C5F">
        <w:rPr>
          <w:bCs/>
          <w:lang w:val="fr-FR"/>
        </w:rPr>
        <w:t>la</w:t>
      </w:r>
      <w:r w:rsidRPr="00DA3C5F">
        <w:rPr>
          <w:lang w:val="fr-FR"/>
        </w:rPr>
        <w:t xml:space="preserve"> Convention sur l</w:t>
      </w:r>
      <w:r>
        <w:rPr>
          <w:lang w:val="fr-FR"/>
        </w:rPr>
        <w:t>’</w:t>
      </w:r>
      <w:r w:rsidRPr="00DA3C5F">
        <w:rPr>
          <w:lang w:val="fr-FR"/>
        </w:rPr>
        <w:t>accès à l</w:t>
      </w:r>
      <w:r>
        <w:rPr>
          <w:lang w:val="fr-FR"/>
        </w:rPr>
        <w:t>’</w:t>
      </w:r>
      <w:r w:rsidRPr="00DA3C5F">
        <w:rPr>
          <w:lang w:val="fr-FR"/>
        </w:rPr>
        <w:t xml:space="preserve">information, la participation </w:t>
      </w:r>
      <w:r>
        <w:rPr>
          <w:lang w:val="fr-FR"/>
        </w:rPr>
        <w:br/>
      </w:r>
      <w:r w:rsidRPr="00DA3C5F">
        <w:rPr>
          <w:lang w:val="fr-FR"/>
        </w:rPr>
        <w:t>du public au processus décisionnel et l</w:t>
      </w:r>
      <w:r>
        <w:rPr>
          <w:lang w:val="fr-FR"/>
        </w:rPr>
        <w:t>’</w:t>
      </w:r>
      <w:r w:rsidRPr="00DA3C5F">
        <w:rPr>
          <w:lang w:val="fr-FR"/>
        </w:rPr>
        <w:t xml:space="preserve">accès à la justice </w:t>
      </w:r>
      <w:r>
        <w:rPr>
          <w:lang w:val="fr-FR"/>
        </w:rPr>
        <w:br/>
      </w:r>
      <w:r w:rsidRPr="00DA3C5F">
        <w:rPr>
          <w:lang w:val="fr-FR"/>
        </w:rPr>
        <w:t>en matière d</w:t>
      </w:r>
      <w:r>
        <w:rPr>
          <w:lang w:val="fr-FR"/>
        </w:rPr>
        <w:t>’</w:t>
      </w:r>
      <w:r w:rsidRPr="00DA3C5F">
        <w:rPr>
          <w:lang w:val="fr-FR"/>
        </w:rPr>
        <w:t xml:space="preserve">environnement </w:t>
      </w:r>
    </w:p>
    <w:p w14:paraId="15AC5C9B" w14:textId="6FE1B6E6" w:rsidR="00493C90" w:rsidRPr="00DA3C5F" w:rsidRDefault="00493C90" w:rsidP="00493C90">
      <w:pPr>
        <w:pStyle w:val="SingleTxtG"/>
        <w:rPr>
          <w:i/>
          <w:lang w:val="fr-FR"/>
        </w:rPr>
      </w:pPr>
      <w:r w:rsidRPr="00DA3C5F">
        <w:rPr>
          <w:lang w:val="fr-FR"/>
        </w:rPr>
        <w:tab/>
      </w:r>
      <w:r w:rsidRPr="00DA3C5F">
        <w:rPr>
          <w:i/>
          <w:iCs/>
          <w:lang w:val="fr-FR"/>
        </w:rPr>
        <w:t>La Réunion des Parties,</w:t>
      </w:r>
    </w:p>
    <w:p w14:paraId="1069712A" w14:textId="41328CD7" w:rsidR="00493C90" w:rsidRPr="00DA3C5F" w:rsidRDefault="00493C90" w:rsidP="00493C90">
      <w:pPr>
        <w:pStyle w:val="SingleTxtG"/>
        <w:rPr>
          <w:lang w:val="fr-FR"/>
        </w:rPr>
      </w:pPr>
      <w:r w:rsidRPr="00DA3C5F">
        <w:rPr>
          <w:lang w:val="fr-FR"/>
        </w:rPr>
        <w:tab/>
      </w:r>
      <w:r w:rsidRPr="00DA3C5F">
        <w:rPr>
          <w:i/>
          <w:iCs/>
          <w:lang w:val="fr-FR"/>
        </w:rPr>
        <w:t xml:space="preserve">Rappelant </w:t>
      </w:r>
      <w:r w:rsidRPr="00DA3C5F">
        <w:rPr>
          <w:lang w:val="fr-FR"/>
        </w:rPr>
        <w:t>l</w:t>
      </w:r>
      <w:r>
        <w:rPr>
          <w:lang w:val="fr-FR"/>
        </w:rPr>
        <w:t>’</w:t>
      </w:r>
      <w:r w:rsidRPr="00DA3C5F">
        <w:rPr>
          <w:lang w:val="fr-FR"/>
        </w:rPr>
        <w:t>article 3 (par. 8) de la Convention sur l</w:t>
      </w:r>
      <w:r>
        <w:rPr>
          <w:lang w:val="fr-FR"/>
        </w:rPr>
        <w:t>’</w:t>
      </w:r>
      <w:r w:rsidRPr="00DA3C5F">
        <w:rPr>
          <w:lang w:val="fr-FR"/>
        </w:rPr>
        <w:t>accès à l</w:t>
      </w:r>
      <w:r>
        <w:rPr>
          <w:lang w:val="fr-FR"/>
        </w:rPr>
        <w:t>’</w:t>
      </w:r>
      <w:r w:rsidRPr="00DA3C5F">
        <w:rPr>
          <w:lang w:val="fr-FR"/>
        </w:rPr>
        <w:t>information, la participation du public au processus décisionnel et l</w:t>
      </w:r>
      <w:r>
        <w:rPr>
          <w:lang w:val="fr-FR"/>
        </w:rPr>
        <w:t>’</w:t>
      </w:r>
      <w:r w:rsidRPr="00DA3C5F">
        <w:rPr>
          <w:lang w:val="fr-FR"/>
        </w:rPr>
        <w:t>accès à la justice en matière d</w:t>
      </w:r>
      <w:r>
        <w:rPr>
          <w:lang w:val="fr-FR"/>
        </w:rPr>
        <w:t>’</w:t>
      </w:r>
      <w:r w:rsidRPr="00DA3C5F">
        <w:rPr>
          <w:lang w:val="fr-FR"/>
        </w:rPr>
        <w:t>environnement (Convention d</w:t>
      </w:r>
      <w:r>
        <w:rPr>
          <w:lang w:val="fr-FR"/>
        </w:rPr>
        <w:t>’</w:t>
      </w:r>
      <w:r w:rsidRPr="00DA3C5F">
        <w:rPr>
          <w:lang w:val="fr-FR"/>
        </w:rPr>
        <w:t>Aarhus)</w:t>
      </w:r>
      <w:r>
        <w:rPr>
          <w:lang w:val="fr-FR"/>
        </w:rPr>
        <w:t>,</w:t>
      </w:r>
      <w:r w:rsidRPr="00DA3C5F">
        <w:rPr>
          <w:lang w:val="fr-FR"/>
        </w:rPr>
        <w:t xml:space="preserve"> qui porte expressément sur la protection des personnes qui exercent les droits qu</w:t>
      </w:r>
      <w:r>
        <w:rPr>
          <w:lang w:val="fr-FR"/>
        </w:rPr>
        <w:t>’</w:t>
      </w:r>
      <w:r w:rsidRPr="00DA3C5F">
        <w:rPr>
          <w:lang w:val="fr-FR"/>
        </w:rPr>
        <w:t xml:space="preserve">elles tiennent de la Convention, </w:t>
      </w:r>
    </w:p>
    <w:p w14:paraId="38271D58" w14:textId="4B51F48A" w:rsidR="00493C90" w:rsidRPr="00DA3C5F" w:rsidRDefault="00493C90" w:rsidP="00493C90">
      <w:pPr>
        <w:pStyle w:val="SingleTxtG"/>
        <w:rPr>
          <w:lang w:val="fr-FR"/>
        </w:rPr>
      </w:pPr>
      <w:r w:rsidRPr="00DA3C5F">
        <w:rPr>
          <w:lang w:val="fr-FR"/>
        </w:rPr>
        <w:tab/>
      </w:r>
      <w:r w:rsidRPr="00DA3C5F">
        <w:rPr>
          <w:i/>
          <w:iCs/>
          <w:lang w:val="fr-FR"/>
        </w:rPr>
        <w:t>Rappelant également</w:t>
      </w:r>
      <w:r w:rsidRPr="00DA3C5F">
        <w:rPr>
          <w:lang w:val="fr-FR"/>
        </w:rPr>
        <w:t xml:space="preserve"> l</w:t>
      </w:r>
      <w:r>
        <w:rPr>
          <w:lang w:val="fr-FR"/>
        </w:rPr>
        <w:t>’</w:t>
      </w:r>
      <w:r w:rsidRPr="00DA3C5F">
        <w:rPr>
          <w:lang w:val="fr-FR"/>
        </w:rPr>
        <w:t>article 10 de la Convention, qui prévoit, entre autres, que les Parties suivent en permanence l</w:t>
      </w:r>
      <w:r>
        <w:rPr>
          <w:lang w:val="fr-FR"/>
        </w:rPr>
        <w:t>’</w:t>
      </w:r>
      <w:r w:rsidRPr="00DA3C5F">
        <w:rPr>
          <w:lang w:val="fr-FR"/>
        </w:rPr>
        <w:t>application de la Convention sur la base de rapports communiqués régulièrement par les Parties et, en ayant cet objectif présent à l</w:t>
      </w:r>
      <w:r>
        <w:rPr>
          <w:lang w:val="fr-FR"/>
        </w:rPr>
        <w:t>’</w:t>
      </w:r>
      <w:r w:rsidRPr="00DA3C5F">
        <w:rPr>
          <w:lang w:val="fr-FR"/>
        </w:rPr>
        <w:t>esprit, examinent les politiques qu</w:t>
      </w:r>
      <w:r>
        <w:rPr>
          <w:lang w:val="fr-FR"/>
        </w:rPr>
        <w:t>’</w:t>
      </w:r>
      <w:r w:rsidRPr="00DA3C5F">
        <w:rPr>
          <w:lang w:val="fr-FR"/>
        </w:rPr>
        <w:t>elles appliquent et les démarches juridiques et méthodologiques qu</w:t>
      </w:r>
      <w:r>
        <w:rPr>
          <w:lang w:val="fr-FR"/>
        </w:rPr>
        <w:t>’</w:t>
      </w:r>
      <w:r w:rsidRPr="00DA3C5F">
        <w:rPr>
          <w:lang w:val="fr-FR"/>
        </w:rPr>
        <w:t>elles suivent pour assurer l</w:t>
      </w:r>
      <w:r>
        <w:rPr>
          <w:lang w:val="fr-FR"/>
        </w:rPr>
        <w:t>’</w:t>
      </w:r>
      <w:r w:rsidRPr="00DA3C5F">
        <w:rPr>
          <w:lang w:val="fr-FR"/>
        </w:rPr>
        <w:t>accès à l</w:t>
      </w:r>
      <w:r>
        <w:rPr>
          <w:lang w:val="fr-FR"/>
        </w:rPr>
        <w:t>’</w:t>
      </w:r>
      <w:r w:rsidRPr="00DA3C5F">
        <w:rPr>
          <w:lang w:val="fr-FR"/>
        </w:rPr>
        <w:t>information, la participation du public au processus décisionnel et l</w:t>
      </w:r>
      <w:r>
        <w:rPr>
          <w:lang w:val="fr-FR"/>
        </w:rPr>
        <w:t>’</w:t>
      </w:r>
      <w:r w:rsidRPr="00DA3C5F">
        <w:rPr>
          <w:lang w:val="fr-FR"/>
        </w:rPr>
        <w:t>accès à la justice en matière d</w:t>
      </w:r>
      <w:r>
        <w:rPr>
          <w:lang w:val="fr-FR"/>
        </w:rPr>
        <w:t>’</w:t>
      </w:r>
      <w:r w:rsidRPr="00DA3C5F">
        <w:rPr>
          <w:lang w:val="fr-FR"/>
        </w:rPr>
        <w:t>environnement en vue d</w:t>
      </w:r>
      <w:r>
        <w:rPr>
          <w:lang w:val="fr-FR"/>
        </w:rPr>
        <w:t>’</w:t>
      </w:r>
      <w:r w:rsidRPr="00DA3C5F">
        <w:rPr>
          <w:lang w:val="fr-FR"/>
        </w:rPr>
        <w:t>améliorer encore la situation à cet égard et envisagent et entreprennent toute autre action qui peut se révéler nécessaire aux fins de la Convention,</w:t>
      </w:r>
    </w:p>
    <w:p w14:paraId="4F9D7E94" w14:textId="5295F5CF" w:rsidR="00493C90" w:rsidRPr="00DA3C5F" w:rsidRDefault="00493C90" w:rsidP="00493C90">
      <w:pPr>
        <w:pStyle w:val="SingleTxtG"/>
        <w:rPr>
          <w:i/>
          <w:sz w:val="22"/>
          <w:lang w:val="fr-FR"/>
        </w:rPr>
      </w:pPr>
      <w:r w:rsidRPr="00DA3C5F">
        <w:rPr>
          <w:lang w:val="fr-FR"/>
        </w:rPr>
        <w:tab/>
      </w:r>
      <w:r w:rsidRPr="00DA3C5F">
        <w:rPr>
          <w:i/>
          <w:iCs/>
          <w:lang w:val="fr-FR"/>
        </w:rPr>
        <w:t>Rappelant en outre</w:t>
      </w:r>
      <w:r w:rsidRPr="00DA3C5F">
        <w:rPr>
          <w:lang w:val="fr-FR"/>
        </w:rPr>
        <w:t xml:space="preserve"> l</w:t>
      </w:r>
      <w:r>
        <w:rPr>
          <w:lang w:val="fr-FR"/>
        </w:rPr>
        <w:t>’</w:t>
      </w:r>
      <w:r w:rsidRPr="00DA3C5F">
        <w:rPr>
          <w:lang w:val="fr-FR"/>
        </w:rPr>
        <w:t xml:space="preserve">article 15 de la Convention, par lequel la Réunion des Parties adopte, par consensus, des arrangements facultatifs de caractère non conflictuel, non judiciaire et consultatif pour examiner le respect des dispositions de la Convention, </w:t>
      </w:r>
    </w:p>
    <w:p w14:paraId="680DC3C9" w14:textId="7EDB7DAC" w:rsidR="00493C90" w:rsidRPr="00DA3C5F" w:rsidRDefault="00493C90" w:rsidP="00493C90">
      <w:pPr>
        <w:pStyle w:val="SingleTxtG"/>
        <w:rPr>
          <w:lang w:val="fr-FR"/>
        </w:rPr>
      </w:pPr>
      <w:r w:rsidRPr="00DA3C5F">
        <w:rPr>
          <w:lang w:val="fr-FR"/>
        </w:rPr>
        <w:tab/>
      </w:r>
      <w:r w:rsidRPr="00DA3C5F">
        <w:rPr>
          <w:i/>
          <w:iCs/>
          <w:lang w:val="fr-FR"/>
        </w:rPr>
        <w:t xml:space="preserve">Considérant </w:t>
      </w:r>
      <w:r w:rsidRPr="00DA3C5F">
        <w:rPr>
          <w:lang w:val="fr-FR"/>
        </w:rPr>
        <w:t>qu</w:t>
      </w:r>
      <w:r>
        <w:rPr>
          <w:lang w:val="fr-FR"/>
        </w:rPr>
        <w:t>’</w:t>
      </w:r>
      <w:r w:rsidRPr="00DA3C5F">
        <w:rPr>
          <w:lang w:val="fr-FR"/>
        </w:rPr>
        <w:t>il est primordial d</w:t>
      </w:r>
      <w:r>
        <w:rPr>
          <w:lang w:val="fr-FR"/>
        </w:rPr>
        <w:t>’</w:t>
      </w:r>
      <w:r w:rsidRPr="00DA3C5F">
        <w:rPr>
          <w:lang w:val="fr-FR"/>
        </w:rPr>
        <w:t>instaurer et d</w:t>
      </w:r>
      <w:r>
        <w:rPr>
          <w:lang w:val="fr-FR"/>
        </w:rPr>
        <w:t>’</w:t>
      </w:r>
      <w:r w:rsidRPr="00DA3C5F">
        <w:rPr>
          <w:lang w:val="fr-FR"/>
        </w:rPr>
        <w:t>entretenir un environnement sûr et favorable, afin que les membres du public puissent exercer leurs droits conformément à la Convention</w:t>
      </w:r>
      <w:r w:rsidR="005C437D">
        <w:rPr>
          <w:lang w:val="fr-FR"/>
        </w:rPr>
        <w:t>,</w:t>
      </w:r>
    </w:p>
    <w:p w14:paraId="731CF5EB" w14:textId="23618F17" w:rsidR="00493C90" w:rsidRPr="00DA3C5F" w:rsidRDefault="00493C90" w:rsidP="00493C90">
      <w:pPr>
        <w:pStyle w:val="SingleTxtG"/>
        <w:rPr>
          <w:lang w:val="fr-FR"/>
        </w:rPr>
      </w:pPr>
      <w:r w:rsidRPr="00DA3C5F">
        <w:rPr>
          <w:lang w:val="fr-FR"/>
        </w:rPr>
        <w:tab/>
      </w:r>
      <w:r w:rsidRPr="00DA3C5F">
        <w:rPr>
          <w:i/>
          <w:iCs/>
          <w:lang w:val="fr-FR"/>
        </w:rPr>
        <w:t xml:space="preserve">Reconnaissant </w:t>
      </w:r>
      <w:r w:rsidRPr="00DA3C5F">
        <w:rPr>
          <w:lang w:val="fr-FR"/>
        </w:rPr>
        <w:t>que, dans l</w:t>
      </w:r>
      <w:r>
        <w:rPr>
          <w:lang w:val="fr-FR"/>
        </w:rPr>
        <w:t>’</w:t>
      </w:r>
      <w:r w:rsidRPr="00DA3C5F">
        <w:rPr>
          <w:lang w:val="fr-FR"/>
        </w:rPr>
        <w:t xml:space="preserve">immédiat, la mission des Parties, telle que définie dans le </w:t>
      </w:r>
      <w:r>
        <w:rPr>
          <w:lang w:val="fr-FR"/>
        </w:rPr>
        <w:t>[</w:t>
      </w:r>
      <w:r w:rsidRPr="00DA3C5F">
        <w:rPr>
          <w:lang w:val="fr-FR"/>
        </w:rPr>
        <w:t>projet de</w:t>
      </w:r>
      <w:r>
        <w:rPr>
          <w:lang w:val="fr-FR"/>
        </w:rPr>
        <w:t>]</w:t>
      </w:r>
      <w:r w:rsidRPr="00DA3C5F">
        <w:rPr>
          <w:lang w:val="fr-FR"/>
        </w:rPr>
        <w:t xml:space="preserve"> plan stratégique pour 2022-2030 consiste à «</w:t>
      </w:r>
      <w:r w:rsidR="005C437D">
        <w:rPr>
          <w:lang w:val="fr-FR"/>
        </w:rPr>
        <w:t> </w:t>
      </w:r>
      <w:r w:rsidRPr="00DA3C5F">
        <w:rPr>
          <w:lang w:val="fr-FR"/>
        </w:rPr>
        <w:t>réaffirmer l</w:t>
      </w:r>
      <w:r>
        <w:rPr>
          <w:lang w:val="fr-FR"/>
        </w:rPr>
        <w:t>’</w:t>
      </w:r>
      <w:r w:rsidRPr="00DA3C5F">
        <w:rPr>
          <w:lang w:val="fr-FR"/>
        </w:rPr>
        <w:t>engagement à i) assurer la protection des défenseurs de l</w:t>
      </w:r>
      <w:r>
        <w:rPr>
          <w:lang w:val="fr-FR"/>
        </w:rPr>
        <w:t>’</w:t>
      </w:r>
      <w:r w:rsidRPr="00DA3C5F">
        <w:rPr>
          <w:lang w:val="fr-FR"/>
        </w:rPr>
        <w:t>environnement, ii) se doter de cadres législatifs et politiques appropriés afin que ces défenseurs puissent exercer leurs droits conformément à la Convention</w:t>
      </w:r>
      <w:r>
        <w:rPr>
          <w:lang w:val="fr-FR"/>
        </w:rPr>
        <w:t xml:space="preserve"> et</w:t>
      </w:r>
      <w:r w:rsidRPr="00DA3C5F">
        <w:rPr>
          <w:lang w:val="fr-FR"/>
        </w:rPr>
        <w:t xml:space="preserve"> iii) prévenir l</w:t>
      </w:r>
      <w:r>
        <w:rPr>
          <w:lang w:val="fr-FR"/>
        </w:rPr>
        <w:t>’</w:t>
      </w:r>
      <w:r w:rsidRPr="00DA3C5F">
        <w:rPr>
          <w:lang w:val="fr-FR"/>
        </w:rPr>
        <w:t>érosion de l</w:t>
      </w:r>
      <w:r>
        <w:rPr>
          <w:lang w:val="fr-FR"/>
        </w:rPr>
        <w:t>’</w:t>
      </w:r>
      <w:r w:rsidRPr="00DA3C5F">
        <w:rPr>
          <w:lang w:val="fr-FR"/>
        </w:rPr>
        <w:t>espace civique »</w:t>
      </w:r>
      <w:r w:rsidRPr="00DA3C5F">
        <w:rPr>
          <w:rStyle w:val="Appelnotedebasdep"/>
          <w:lang w:val="fr-FR"/>
        </w:rPr>
        <w:footnoteReference w:id="8"/>
      </w:r>
      <w:r w:rsidRPr="00DA3C5F">
        <w:rPr>
          <w:lang w:val="fr-FR"/>
        </w:rPr>
        <w:t>,</w:t>
      </w:r>
    </w:p>
    <w:p w14:paraId="39133AE6" w14:textId="40CDFE07" w:rsidR="00493C90" w:rsidRPr="00DA3C5F" w:rsidRDefault="00493C90" w:rsidP="00493C90">
      <w:pPr>
        <w:pStyle w:val="SingleTxtG"/>
        <w:rPr>
          <w:lang w:val="fr-FR"/>
        </w:rPr>
      </w:pPr>
      <w:r w:rsidRPr="00DA3C5F">
        <w:rPr>
          <w:lang w:val="fr-FR"/>
        </w:rPr>
        <w:tab/>
      </w:r>
      <w:r w:rsidRPr="00DA3C5F">
        <w:rPr>
          <w:i/>
          <w:iCs/>
          <w:lang w:val="fr-FR"/>
        </w:rPr>
        <w:t xml:space="preserve">Rappelant </w:t>
      </w:r>
      <w:r w:rsidRPr="00DA3C5F">
        <w:rPr>
          <w:lang w:val="fr-FR"/>
        </w:rPr>
        <w:t xml:space="preserve">les mécanismes et les instruments mis en place par le Haut-Commissariat </w:t>
      </w:r>
      <w:r>
        <w:rPr>
          <w:lang w:val="fr-FR"/>
        </w:rPr>
        <w:t xml:space="preserve">des Nations Unies </w:t>
      </w:r>
      <w:r w:rsidRPr="00DA3C5F">
        <w:rPr>
          <w:lang w:val="fr-FR"/>
        </w:rPr>
        <w:t>aux droits de l</w:t>
      </w:r>
      <w:r>
        <w:rPr>
          <w:lang w:val="fr-FR"/>
        </w:rPr>
        <w:t>’</w:t>
      </w:r>
      <w:r w:rsidRPr="00DA3C5F">
        <w:rPr>
          <w:lang w:val="fr-FR"/>
        </w:rPr>
        <w:t xml:space="preserve">homme pour traiter de tels cas, ainsi que la résolution 40/11 </w:t>
      </w:r>
      <w:r>
        <w:rPr>
          <w:lang w:val="fr-FR"/>
        </w:rPr>
        <w:t xml:space="preserve">du Conseil des droits de l’homme </w:t>
      </w:r>
      <w:r w:rsidRPr="00DA3C5F">
        <w:rPr>
          <w:lang w:val="fr-FR"/>
        </w:rPr>
        <w:t>sur la reconnaissance de la contribution des défenseurs des droits de l</w:t>
      </w:r>
      <w:r>
        <w:rPr>
          <w:lang w:val="fr-FR"/>
        </w:rPr>
        <w:t>’</w:t>
      </w:r>
      <w:r w:rsidRPr="00DA3C5F">
        <w:rPr>
          <w:lang w:val="fr-FR"/>
        </w:rPr>
        <w:t>homme liés à l</w:t>
      </w:r>
      <w:r>
        <w:rPr>
          <w:lang w:val="fr-FR"/>
        </w:rPr>
        <w:t>’</w:t>
      </w:r>
      <w:r w:rsidRPr="00DA3C5F">
        <w:rPr>
          <w:lang w:val="fr-FR"/>
        </w:rPr>
        <w:t>environnement à la jouissance des droits de l</w:t>
      </w:r>
      <w:r>
        <w:rPr>
          <w:lang w:val="fr-FR"/>
        </w:rPr>
        <w:t>’</w:t>
      </w:r>
      <w:r w:rsidRPr="00DA3C5F">
        <w:rPr>
          <w:lang w:val="fr-FR"/>
        </w:rPr>
        <w:t>homme, à la protection de l</w:t>
      </w:r>
      <w:r>
        <w:rPr>
          <w:lang w:val="fr-FR"/>
        </w:rPr>
        <w:t>’</w:t>
      </w:r>
      <w:r w:rsidRPr="00DA3C5F">
        <w:rPr>
          <w:lang w:val="fr-FR"/>
        </w:rPr>
        <w:t xml:space="preserve">environnement et au développement durable, </w:t>
      </w:r>
      <w:r>
        <w:rPr>
          <w:lang w:val="fr-FR"/>
        </w:rPr>
        <w:t>dans laquelle le Conseil considère également qu’il est nécessaire</w:t>
      </w:r>
      <w:r w:rsidRPr="00DA3C5F">
        <w:rPr>
          <w:lang w:val="fr-FR"/>
        </w:rPr>
        <w:t xml:space="preserve">, </w:t>
      </w:r>
      <w:r>
        <w:rPr>
          <w:lang w:val="fr-FR"/>
        </w:rPr>
        <w:t>entre autres choses</w:t>
      </w:r>
      <w:r w:rsidRPr="00DA3C5F">
        <w:rPr>
          <w:lang w:val="fr-FR"/>
        </w:rPr>
        <w:t xml:space="preserve">, </w:t>
      </w:r>
      <w:r>
        <w:rPr>
          <w:lang w:val="fr-FR"/>
        </w:rPr>
        <w:t xml:space="preserve">d’établir </w:t>
      </w:r>
      <w:r w:rsidRPr="00DA3C5F">
        <w:rPr>
          <w:lang w:val="fr-FR"/>
        </w:rPr>
        <w:t xml:space="preserve">des mécanismes pour assurer </w:t>
      </w:r>
      <w:r>
        <w:rPr>
          <w:lang w:val="fr-FR"/>
        </w:rPr>
        <w:t xml:space="preserve">la </w:t>
      </w:r>
      <w:r w:rsidRPr="00DA3C5F">
        <w:rPr>
          <w:lang w:val="fr-FR"/>
        </w:rPr>
        <w:t>protection</w:t>
      </w:r>
      <w:r>
        <w:rPr>
          <w:lang w:val="fr-FR"/>
        </w:rPr>
        <w:t xml:space="preserve"> de ces personnes</w:t>
      </w:r>
      <w:r w:rsidRPr="00DA3C5F">
        <w:rPr>
          <w:rStyle w:val="Appelnotedebasdep"/>
          <w:lang w:val="fr-FR"/>
        </w:rPr>
        <w:footnoteReference w:id="9"/>
      </w:r>
      <w:r w:rsidRPr="00DA3C5F">
        <w:rPr>
          <w:lang w:val="fr-FR"/>
        </w:rPr>
        <w:t>,</w:t>
      </w:r>
    </w:p>
    <w:p w14:paraId="31C74D37" w14:textId="39973719" w:rsidR="00493C90" w:rsidRPr="00DA3C5F" w:rsidRDefault="00493C90" w:rsidP="00493C90">
      <w:pPr>
        <w:pStyle w:val="SingleTxtG"/>
        <w:rPr>
          <w:lang w:val="fr-FR"/>
        </w:rPr>
      </w:pPr>
      <w:r w:rsidRPr="00DA3C5F">
        <w:rPr>
          <w:lang w:val="fr-FR"/>
        </w:rPr>
        <w:tab/>
      </w:r>
      <w:r w:rsidRPr="00DA3C5F">
        <w:rPr>
          <w:i/>
          <w:iCs/>
          <w:lang w:val="fr-FR"/>
        </w:rPr>
        <w:t xml:space="preserve">Alarmée </w:t>
      </w:r>
      <w:r w:rsidRPr="00DA3C5F">
        <w:rPr>
          <w:lang w:val="fr-FR"/>
        </w:rPr>
        <w:t>par la situation grave dans laquelle se trouvent les défenseurs et défenseuses de l</w:t>
      </w:r>
      <w:r>
        <w:rPr>
          <w:lang w:val="fr-FR"/>
        </w:rPr>
        <w:t>’</w:t>
      </w:r>
      <w:r w:rsidRPr="00DA3C5F">
        <w:rPr>
          <w:lang w:val="fr-FR"/>
        </w:rPr>
        <w:t>environnement, qui, notamment, font l</w:t>
      </w:r>
      <w:r>
        <w:rPr>
          <w:lang w:val="fr-FR"/>
        </w:rPr>
        <w:t>’</w:t>
      </w:r>
      <w:r w:rsidRPr="00DA3C5F">
        <w:rPr>
          <w:lang w:val="fr-FR"/>
        </w:rPr>
        <w:t>objet de menaces, d</w:t>
      </w:r>
      <w:r>
        <w:rPr>
          <w:lang w:val="fr-FR"/>
        </w:rPr>
        <w:t>’</w:t>
      </w:r>
      <w:r w:rsidRPr="00DA3C5F">
        <w:rPr>
          <w:lang w:val="fr-FR"/>
        </w:rPr>
        <w:t>actes de violence et d</w:t>
      </w:r>
      <w:r>
        <w:rPr>
          <w:lang w:val="fr-FR"/>
        </w:rPr>
        <w:t>’</w:t>
      </w:r>
      <w:r w:rsidRPr="00DA3C5F">
        <w:rPr>
          <w:lang w:val="fr-FR"/>
        </w:rPr>
        <w:t>intimidation, sont placés sous surveillance ou en détention, ou sont même assassinés, comme l</w:t>
      </w:r>
      <w:r>
        <w:rPr>
          <w:lang w:val="fr-FR"/>
        </w:rPr>
        <w:t>’</w:t>
      </w:r>
      <w:r w:rsidRPr="00DA3C5F">
        <w:rPr>
          <w:lang w:val="fr-FR"/>
        </w:rPr>
        <w:t>ont signalé des États Membres de l</w:t>
      </w:r>
      <w:r>
        <w:rPr>
          <w:lang w:val="fr-FR"/>
        </w:rPr>
        <w:t>’</w:t>
      </w:r>
      <w:r w:rsidRPr="00DA3C5F">
        <w:rPr>
          <w:lang w:val="fr-FR"/>
        </w:rPr>
        <w:t>Organisation des Nations Unies, des organisations intergouvernementales et non gouvernementales et d</w:t>
      </w:r>
      <w:r>
        <w:rPr>
          <w:lang w:val="fr-FR"/>
        </w:rPr>
        <w:t>’</w:t>
      </w:r>
      <w:r w:rsidRPr="00DA3C5F">
        <w:rPr>
          <w:lang w:val="fr-FR"/>
        </w:rPr>
        <w:t xml:space="preserve">autres parties prenantes, </w:t>
      </w:r>
    </w:p>
    <w:p w14:paraId="45EA11A5" w14:textId="79298AC7" w:rsidR="00493C90" w:rsidRPr="00DA3C5F" w:rsidRDefault="00493C90" w:rsidP="00493C90">
      <w:pPr>
        <w:pStyle w:val="SingleTxtG"/>
        <w:rPr>
          <w:lang w:val="fr-FR"/>
        </w:rPr>
      </w:pPr>
      <w:r w:rsidRPr="00DA3C5F">
        <w:rPr>
          <w:lang w:val="fr-FR"/>
        </w:rPr>
        <w:tab/>
      </w:r>
      <w:r w:rsidRPr="00DA3C5F">
        <w:rPr>
          <w:i/>
          <w:iCs/>
          <w:lang w:val="fr-FR"/>
        </w:rPr>
        <w:t xml:space="preserve">Consciente </w:t>
      </w:r>
      <w:r w:rsidRPr="00DA3C5F">
        <w:rPr>
          <w:lang w:val="fr-FR"/>
        </w:rPr>
        <w:t>des obstacles existants, comme la peur de signaler les cas présumés, l</w:t>
      </w:r>
      <w:r>
        <w:rPr>
          <w:lang w:val="fr-FR"/>
        </w:rPr>
        <w:t>’</w:t>
      </w:r>
      <w:r w:rsidRPr="00DA3C5F">
        <w:rPr>
          <w:lang w:val="fr-FR"/>
        </w:rPr>
        <w:t>impunité dont bénéficient ceux qui ordonnent et exécutent de tels actes et les difficultés rencontrées pour les identifier,</w:t>
      </w:r>
    </w:p>
    <w:p w14:paraId="3FB3B88A" w14:textId="1B86BB26" w:rsidR="00493C90" w:rsidRPr="00DA3C5F" w:rsidRDefault="00493C90" w:rsidP="00493C90">
      <w:pPr>
        <w:pStyle w:val="SingleTxtG"/>
        <w:rPr>
          <w:i/>
          <w:lang w:val="fr-FR"/>
        </w:rPr>
      </w:pPr>
      <w:r w:rsidRPr="00DA3C5F">
        <w:rPr>
          <w:lang w:val="fr-FR"/>
        </w:rPr>
        <w:tab/>
      </w:r>
      <w:r w:rsidRPr="008F3978">
        <w:rPr>
          <w:i/>
          <w:lang w:val="fr-FR"/>
        </w:rPr>
        <w:t>Con</w:t>
      </w:r>
      <w:r>
        <w:rPr>
          <w:i/>
          <w:lang w:val="fr-FR"/>
        </w:rPr>
        <w:t>sidérant</w:t>
      </w:r>
      <w:r w:rsidRPr="00DA3C5F">
        <w:rPr>
          <w:lang w:val="fr-FR"/>
        </w:rPr>
        <w:t xml:space="preserve"> qu</w:t>
      </w:r>
      <w:r>
        <w:rPr>
          <w:lang w:val="fr-FR"/>
        </w:rPr>
        <w:t>’</w:t>
      </w:r>
      <w:r w:rsidRPr="00DA3C5F">
        <w:rPr>
          <w:lang w:val="fr-FR"/>
        </w:rPr>
        <w:t>on entend par «</w:t>
      </w:r>
      <w:r w:rsidR="005C437D">
        <w:rPr>
          <w:lang w:val="fr-FR"/>
        </w:rPr>
        <w:t> </w:t>
      </w:r>
      <w:r w:rsidRPr="00DA3C5F">
        <w:rPr>
          <w:lang w:val="fr-FR"/>
        </w:rPr>
        <w:t>défenseur de l</w:t>
      </w:r>
      <w:r>
        <w:rPr>
          <w:lang w:val="fr-FR"/>
        </w:rPr>
        <w:t>’</w:t>
      </w:r>
      <w:r w:rsidRPr="00DA3C5F">
        <w:rPr>
          <w:lang w:val="fr-FR"/>
        </w:rPr>
        <w:t>environnement</w:t>
      </w:r>
      <w:r w:rsidR="005C437D">
        <w:rPr>
          <w:lang w:val="fr-FR"/>
        </w:rPr>
        <w:t> </w:t>
      </w:r>
      <w:r w:rsidRPr="00DA3C5F">
        <w:rPr>
          <w:lang w:val="fr-FR"/>
        </w:rPr>
        <w:t>» ou «</w:t>
      </w:r>
      <w:r>
        <w:rPr>
          <w:lang w:val="fr-FR"/>
        </w:rPr>
        <w:t> </w:t>
      </w:r>
      <w:r w:rsidRPr="00DA3C5F">
        <w:rPr>
          <w:lang w:val="fr-FR"/>
        </w:rPr>
        <w:t>défenseuse de l</w:t>
      </w:r>
      <w:r>
        <w:rPr>
          <w:lang w:val="fr-FR"/>
        </w:rPr>
        <w:t>’</w:t>
      </w:r>
      <w:r w:rsidRPr="00DA3C5F">
        <w:rPr>
          <w:lang w:val="fr-FR"/>
        </w:rPr>
        <w:t>environnement</w:t>
      </w:r>
      <w:r w:rsidR="005C437D">
        <w:rPr>
          <w:lang w:val="fr-FR"/>
        </w:rPr>
        <w:t> </w:t>
      </w:r>
      <w:r w:rsidRPr="00DA3C5F">
        <w:rPr>
          <w:lang w:val="fr-FR"/>
        </w:rPr>
        <w:t>» toute personne qui exerce ses droits conformément aux dispositions de la Convention,</w:t>
      </w:r>
    </w:p>
    <w:p w14:paraId="6CBB588D" w14:textId="52E4E31E" w:rsidR="00493C90" w:rsidRPr="00DA3C5F" w:rsidRDefault="00493C90" w:rsidP="00493C90">
      <w:pPr>
        <w:pStyle w:val="SingleTxtG"/>
        <w:rPr>
          <w:lang w:val="fr-FR"/>
        </w:rPr>
      </w:pPr>
      <w:r w:rsidRPr="00DA3C5F">
        <w:rPr>
          <w:lang w:val="fr-FR"/>
        </w:rPr>
        <w:lastRenderedPageBreak/>
        <w:tab/>
      </w:r>
      <w:r w:rsidRPr="008F3978">
        <w:rPr>
          <w:i/>
          <w:lang w:val="fr-FR"/>
        </w:rPr>
        <w:t xml:space="preserve">Reconnaissant </w:t>
      </w:r>
      <w:r w:rsidRPr="00DA3C5F">
        <w:rPr>
          <w:lang w:val="fr-FR"/>
        </w:rPr>
        <w:t>que la sécurité des défenseurs et défenseuses de l</w:t>
      </w:r>
      <w:r>
        <w:rPr>
          <w:lang w:val="fr-FR"/>
        </w:rPr>
        <w:t>’</w:t>
      </w:r>
      <w:r w:rsidRPr="00DA3C5F">
        <w:rPr>
          <w:lang w:val="fr-FR"/>
        </w:rPr>
        <w:t>environnement est essentielle à la réalisation de l</w:t>
      </w:r>
      <w:r>
        <w:rPr>
          <w:lang w:val="fr-FR"/>
        </w:rPr>
        <w:t>’</w:t>
      </w:r>
      <w:r w:rsidRPr="00DA3C5F">
        <w:rPr>
          <w:lang w:val="fr-FR"/>
        </w:rPr>
        <w:t>ensemble du Programme de développement durable à l</w:t>
      </w:r>
      <w:r>
        <w:rPr>
          <w:lang w:val="fr-FR"/>
        </w:rPr>
        <w:t>’</w:t>
      </w:r>
      <w:r w:rsidRPr="00DA3C5F">
        <w:rPr>
          <w:lang w:val="fr-FR"/>
        </w:rPr>
        <w:t xml:space="preserve">horizon 2030, et en particulier de son objectif de développement durable </w:t>
      </w:r>
      <w:r w:rsidR="005C437D" w:rsidRPr="005C437D">
        <w:rPr>
          <w:rFonts w:eastAsia="MS Mincho"/>
          <w:lang w:val="fr-FR"/>
        </w:rPr>
        <w:t>n</w:t>
      </w:r>
      <w:r w:rsidR="005C437D" w:rsidRPr="005C437D">
        <w:rPr>
          <w:rFonts w:eastAsia="MS Mincho"/>
          <w:vertAlign w:val="superscript"/>
          <w:lang w:val="fr-FR"/>
        </w:rPr>
        <w:t>o</w:t>
      </w:r>
      <w:r w:rsidR="005C437D">
        <w:rPr>
          <w:lang w:val="fr-FR"/>
        </w:rPr>
        <w:t> </w:t>
      </w:r>
      <w:r w:rsidRPr="00DA3C5F">
        <w:rPr>
          <w:lang w:val="fr-FR"/>
        </w:rPr>
        <w:t>16,</w:t>
      </w:r>
    </w:p>
    <w:p w14:paraId="6A4111EE" w14:textId="133279CD" w:rsidR="00493C90" w:rsidRPr="00DA3C5F" w:rsidRDefault="005C437D" w:rsidP="00493C90">
      <w:pPr>
        <w:pStyle w:val="SingleTxtG"/>
        <w:rPr>
          <w:lang w:val="fr-FR"/>
        </w:rPr>
      </w:pPr>
      <w:r>
        <w:rPr>
          <w:lang w:val="fr-FR"/>
        </w:rPr>
        <w:tab/>
      </w:r>
      <w:r w:rsidR="00493C90" w:rsidRPr="00DA3C5F">
        <w:rPr>
          <w:lang w:val="fr-FR"/>
        </w:rPr>
        <w:t>1.</w:t>
      </w:r>
      <w:r w:rsidR="00493C90" w:rsidRPr="00DA3C5F">
        <w:rPr>
          <w:lang w:val="fr-FR"/>
        </w:rPr>
        <w:tab/>
      </w:r>
      <w:r w:rsidR="00493C90" w:rsidRPr="00DA3C5F">
        <w:rPr>
          <w:i/>
          <w:iCs/>
          <w:lang w:val="fr-FR"/>
        </w:rPr>
        <w:t xml:space="preserve">Accueille </w:t>
      </w:r>
      <w:r w:rsidR="00493C90" w:rsidRPr="00DA3C5F">
        <w:rPr>
          <w:lang w:val="fr-FR"/>
        </w:rPr>
        <w:t>avec satisfaction les initiatives prises par les Parties, les signataires, les organisations internationales et d</w:t>
      </w:r>
      <w:r w:rsidR="00493C90">
        <w:rPr>
          <w:lang w:val="fr-FR"/>
        </w:rPr>
        <w:t>’</w:t>
      </w:r>
      <w:r w:rsidR="00493C90" w:rsidRPr="00DA3C5F">
        <w:rPr>
          <w:lang w:val="fr-FR"/>
        </w:rPr>
        <w:t xml:space="preserve">autres parties prenantes </w:t>
      </w:r>
      <w:r w:rsidR="00493C90">
        <w:rPr>
          <w:lang w:val="fr-FR"/>
        </w:rPr>
        <w:t xml:space="preserve">pour </w:t>
      </w:r>
      <w:r w:rsidR="00493C90" w:rsidRPr="00DA3C5F">
        <w:rPr>
          <w:lang w:val="fr-FR"/>
        </w:rPr>
        <w:t xml:space="preserve">promouvoir et renforcer la protection des défenseurs </w:t>
      </w:r>
      <w:r w:rsidR="00493C90">
        <w:rPr>
          <w:lang w:val="fr-FR"/>
        </w:rPr>
        <w:t xml:space="preserve">et défenseuses </w:t>
      </w:r>
      <w:r w:rsidR="00493C90" w:rsidRPr="00DA3C5F">
        <w:rPr>
          <w:lang w:val="fr-FR"/>
        </w:rPr>
        <w:t>de l</w:t>
      </w:r>
      <w:r w:rsidR="00493C90">
        <w:rPr>
          <w:lang w:val="fr-FR"/>
        </w:rPr>
        <w:t>’</w:t>
      </w:r>
      <w:r w:rsidR="00493C90" w:rsidRPr="00DA3C5F">
        <w:rPr>
          <w:lang w:val="fr-FR"/>
        </w:rPr>
        <w:t>environnement contre la pénalisation, les persécutions, les mesures vexatoires et d</w:t>
      </w:r>
      <w:r w:rsidR="00493C90">
        <w:rPr>
          <w:lang w:val="fr-FR"/>
        </w:rPr>
        <w:t>’</w:t>
      </w:r>
      <w:r w:rsidR="00493C90" w:rsidRPr="00DA3C5F">
        <w:rPr>
          <w:lang w:val="fr-FR"/>
        </w:rPr>
        <w:t>autres formes de représailles dues à leur action, et invite les Parties, les signataires, les organisations internationales et les autres parties prenantes à continuer d</w:t>
      </w:r>
      <w:r w:rsidR="00493C90">
        <w:rPr>
          <w:lang w:val="fr-FR"/>
        </w:rPr>
        <w:t>’</w:t>
      </w:r>
      <w:r w:rsidR="00493C90" w:rsidRPr="00DA3C5F">
        <w:rPr>
          <w:lang w:val="fr-FR"/>
        </w:rPr>
        <w:t>appuyer ces initiatives</w:t>
      </w:r>
      <w:r>
        <w:rPr>
          <w:lang w:val="fr-FR"/>
        </w:rPr>
        <w:t> </w:t>
      </w:r>
      <w:r w:rsidR="00493C90" w:rsidRPr="00DA3C5F">
        <w:rPr>
          <w:lang w:val="fr-FR"/>
        </w:rPr>
        <w:t>;</w:t>
      </w:r>
    </w:p>
    <w:p w14:paraId="5D59C947" w14:textId="12775E8E" w:rsidR="00493C90" w:rsidRPr="00DA3C5F" w:rsidRDefault="005C437D" w:rsidP="00493C90">
      <w:pPr>
        <w:pStyle w:val="SingleTxtG"/>
        <w:rPr>
          <w:lang w:val="fr-FR"/>
        </w:rPr>
      </w:pPr>
      <w:r>
        <w:rPr>
          <w:lang w:val="fr-FR"/>
        </w:rPr>
        <w:tab/>
      </w:r>
      <w:r w:rsidR="00493C90" w:rsidRPr="00DA3C5F">
        <w:rPr>
          <w:lang w:val="fr-FR"/>
        </w:rPr>
        <w:t>2.</w:t>
      </w:r>
      <w:r w:rsidR="00493C90" w:rsidRPr="00DA3C5F">
        <w:rPr>
          <w:lang w:val="fr-FR"/>
        </w:rPr>
        <w:tab/>
      </w:r>
      <w:r w:rsidR="00493C90" w:rsidRPr="00DA3C5F">
        <w:rPr>
          <w:i/>
          <w:iCs/>
          <w:lang w:val="fr-FR"/>
        </w:rPr>
        <w:t xml:space="preserve">Invite </w:t>
      </w:r>
      <w:r w:rsidR="00493C90" w:rsidRPr="00DA3C5F">
        <w:rPr>
          <w:lang w:val="fr-FR"/>
        </w:rPr>
        <w:t xml:space="preserve">les Parties à revoir leur cadre juridique et leurs dispositions </w:t>
      </w:r>
      <w:r w:rsidR="00493C90">
        <w:rPr>
          <w:lang w:val="fr-FR"/>
        </w:rPr>
        <w:t>pratiques</w:t>
      </w:r>
      <w:r w:rsidR="00493C90" w:rsidRPr="00DA3C5F">
        <w:rPr>
          <w:lang w:val="fr-FR"/>
        </w:rPr>
        <w:t>, conformément aux obligations découlant de la Convention, et à prendre toutes les mesures nécessaires pour veiller à ce que les personnes qui exercent leurs droits conformément aux dispositions de la Convention ne soient en aucune façon pénalisées, persécutées ou soumises à des mesures vexatoires en raison de leur action</w:t>
      </w:r>
      <w:r w:rsidR="00493C90">
        <w:rPr>
          <w:lang w:val="fr-FR"/>
        </w:rPr>
        <w:t> ;</w:t>
      </w:r>
    </w:p>
    <w:p w14:paraId="588B7F42" w14:textId="47914E47" w:rsidR="00493C90" w:rsidRPr="00DA3C5F" w:rsidRDefault="005C437D" w:rsidP="00493C90">
      <w:pPr>
        <w:pStyle w:val="SingleTxtG"/>
        <w:rPr>
          <w:lang w:val="fr-FR"/>
        </w:rPr>
      </w:pPr>
      <w:r>
        <w:rPr>
          <w:lang w:val="fr-FR"/>
        </w:rPr>
        <w:tab/>
      </w:r>
      <w:r w:rsidR="00493C90" w:rsidRPr="00DA3C5F">
        <w:rPr>
          <w:lang w:val="fr-FR"/>
        </w:rPr>
        <w:t>3.</w:t>
      </w:r>
      <w:r w:rsidR="00493C90" w:rsidRPr="00DA3C5F">
        <w:rPr>
          <w:lang w:val="fr-FR"/>
        </w:rPr>
        <w:tab/>
      </w:r>
      <w:r w:rsidR="00493C90" w:rsidRPr="008F3978">
        <w:rPr>
          <w:i/>
          <w:lang w:val="fr-FR"/>
        </w:rPr>
        <w:t>Invite également</w:t>
      </w:r>
      <w:r w:rsidR="00493C90">
        <w:rPr>
          <w:lang w:val="fr-FR"/>
        </w:rPr>
        <w:t xml:space="preserve"> les </w:t>
      </w:r>
      <w:r w:rsidR="00493C90" w:rsidRPr="00DA3C5F">
        <w:rPr>
          <w:lang w:val="fr-FR"/>
        </w:rPr>
        <w:t xml:space="preserve">Parties </w:t>
      </w:r>
      <w:r w:rsidR="00493C90">
        <w:rPr>
          <w:lang w:val="fr-FR"/>
        </w:rPr>
        <w:t>à</w:t>
      </w:r>
      <w:r w:rsidR="00493C90" w:rsidRPr="00DA3C5F">
        <w:rPr>
          <w:lang w:val="fr-FR"/>
        </w:rPr>
        <w:t xml:space="preserve"> continuer </w:t>
      </w:r>
      <w:r w:rsidR="00493C90">
        <w:rPr>
          <w:lang w:val="fr-FR"/>
        </w:rPr>
        <w:t>de</w:t>
      </w:r>
      <w:r w:rsidR="00493C90" w:rsidRPr="00DA3C5F">
        <w:rPr>
          <w:lang w:val="fr-FR"/>
        </w:rPr>
        <w:t xml:space="preserve"> sensibiliser les fonctionnaires, les forces de l</w:t>
      </w:r>
      <w:r w:rsidR="00493C90">
        <w:rPr>
          <w:lang w:val="fr-FR"/>
        </w:rPr>
        <w:t>’</w:t>
      </w:r>
      <w:r w:rsidR="00493C90" w:rsidRPr="00DA3C5F">
        <w:rPr>
          <w:lang w:val="fr-FR"/>
        </w:rPr>
        <w:t>ordre, les agences de renseignement et de sécurité, les procureurs, les magistrats, les prestataires de services de sécurité privés et les promoteurs, en particulier, aux obligations découlant de l</w:t>
      </w:r>
      <w:r w:rsidR="00493C90">
        <w:rPr>
          <w:lang w:val="fr-FR"/>
        </w:rPr>
        <w:t>’</w:t>
      </w:r>
      <w:r w:rsidR="00493C90" w:rsidRPr="00DA3C5F">
        <w:rPr>
          <w:lang w:val="fr-FR"/>
        </w:rPr>
        <w:t>article 3 (par. 8) de la Convention d</w:t>
      </w:r>
      <w:r w:rsidR="00493C90">
        <w:rPr>
          <w:lang w:val="fr-FR"/>
        </w:rPr>
        <w:t>’</w:t>
      </w:r>
      <w:r w:rsidR="00493C90" w:rsidRPr="00DA3C5F">
        <w:rPr>
          <w:lang w:val="fr-FR"/>
        </w:rPr>
        <w:t>Aarhus</w:t>
      </w:r>
      <w:r>
        <w:rPr>
          <w:lang w:val="fr-FR"/>
        </w:rPr>
        <w:t> </w:t>
      </w:r>
      <w:r w:rsidR="00493C90" w:rsidRPr="00DA3C5F">
        <w:rPr>
          <w:lang w:val="fr-FR"/>
        </w:rPr>
        <w:t xml:space="preserve">; </w:t>
      </w:r>
    </w:p>
    <w:p w14:paraId="7A9DF857" w14:textId="373080CD" w:rsidR="00493C90" w:rsidRPr="00DA3C5F" w:rsidRDefault="005C437D" w:rsidP="00493C90">
      <w:pPr>
        <w:pStyle w:val="SingleTxtG"/>
        <w:rPr>
          <w:lang w:val="fr-FR"/>
        </w:rPr>
      </w:pPr>
      <w:r>
        <w:rPr>
          <w:lang w:val="fr-FR"/>
        </w:rPr>
        <w:tab/>
      </w:r>
      <w:r w:rsidR="00493C90" w:rsidRPr="00DA3C5F">
        <w:rPr>
          <w:lang w:val="fr-FR"/>
        </w:rPr>
        <w:t>4.</w:t>
      </w:r>
      <w:r w:rsidR="00493C90" w:rsidRPr="00DA3C5F">
        <w:rPr>
          <w:lang w:val="fr-FR"/>
        </w:rPr>
        <w:tab/>
      </w:r>
      <w:r w:rsidR="00493C90" w:rsidRPr="00DA3C5F">
        <w:rPr>
          <w:i/>
          <w:iCs/>
          <w:lang w:val="fr-FR"/>
        </w:rPr>
        <w:t xml:space="preserve">Décide </w:t>
      </w:r>
      <w:r w:rsidR="00493C90" w:rsidRPr="00DA3C5F">
        <w:rPr>
          <w:lang w:val="fr-FR"/>
        </w:rPr>
        <w:t>que toutes les Parties veille</w:t>
      </w:r>
      <w:r w:rsidR="00493C90">
        <w:rPr>
          <w:lang w:val="fr-FR"/>
        </w:rPr>
        <w:t>ro</w:t>
      </w:r>
      <w:r w:rsidR="00493C90" w:rsidRPr="00DA3C5F">
        <w:rPr>
          <w:lang w:val="fr-FR"/>
        </w:rPr>
        <w:t>nt à ce qu</w:t>
      </w:r>
      <w:r w:rsidR="00493C90">
        <w:rPr>
          <w:lang w:val="fr-FR"/>
        </w:rPr>
        <w:t>’</w:t>
      </w:r>
      <w:r w:rsidR="00493C90" w:rsidRPr="00DA3C5F">
        <w:rPr>
          <w:lang w:val="fr-FR"/>
        </w:rPr>
        <w:t xml:space="preserve">il soit mis fin rapidement à la </w:t>
      </w:r>
      <w:r w:rsidR="00493C90">
        <w:rPr>
          <w:lang w:val="fr-FR"/>
        </w:rPr>
        <w:t>pénalisation</w:t>
      </w:r>
      <w:r w:rsidR="00493C90" w:rsidRPr="00DA3C5F">
        <w:rPr>
          <w:lang w:val="fr-FR"/>
        </w:rPr>
        <w:t xml:space="preserve">, aux persécutions, aux mesures vexatoires et </w:t>
      </w:r>
      <w:r w:rsidR="00493C90">
        <w:rPr>
          <w:lang w:val="fr-FR"/>
        </w:rPr>
        <w:t xml:space="preserve">aux </w:t>
      </w:r>
      <w:r w:rsidR="00493C90" w:rsidRPr="00DA3C5F">
        <w:rPr>
          <w:lang w:val="fr-FR"/>
        </w:rPr>
        <w:t>autres formes de représailles visant les défenseurs et défenseuses de l</w:t>
      </w:r>
      <w:r w:rsidR="00493C90">
        <w:rPr>
          <w:lang w:val="fr-FR"/>
        </w:rPr>
        <w:t>’</w:t>
      </w:r>
      <w:r w:rsidR="00493C90" w:rsidRPr="00DA3C5F">
        <w:rPr>
          <w:lang w:val="fr-FR"/>
        </w:rPr>
        <w:t>environnement et que les Parties pren</w:t>
      </w:r>
      <w:r w:rsidR="00493C90">
        <w:rPr>
          <w:lang w:val="fr-FR"/>
        </w:rPr>
        <w:t>dront</w:t>
      </w:r>
      <w:r w:rsidR="00493C90" w:rsidRPr="00DA3C5F">
        <w:rPr>
          <w:lang w:val="fr-FR"/>
        </w:rPr>
        <w:t xml:space="preserve"> des mesures efficaces pour faire cesser </w:t>
      </w:r>
      <w:r w:rsidR="00493C90">
        <w:rPr>
          <w:lang w:val="fr-FR"/>
        </w:rPr>
        <w:t>ces</w:t>
      </w:r>
      <w:r w:rsidR="00493C90" w:rsidRPr="00DA3C5F">
        <w:rPr>
          <w:lang w:val="fr-FR"/>
        </w:rPr>
        <w:t xml:space="preserve"> actes, notamment en menant des enquêtes exhaustives et impartiales </w:t>
      </w:r>
      <w:r w:rsidR="00493C90" w:rsidRPr="000A1621">
        <w:rPr>
          <w:lang w:val="fr-FR"/>
        </w:rPr>
        <w:t>sur tous les cas présumés</w:t>
      </w:r>
      <w:r w:rsidR="00493C90" w:rsidRPr="00DA3C5F">
        <w:rPr>
          <w:lang w:val="fr-FR"/>
        </w:rPr>
        <w:t xml:space="preserve"> afin d</w:t>
      </w:r>
      <w:r w:rsidR="00493C90">
        <w:rPr>
          <w:lang w:val="fr-FR"/>
        </w:rPr>
        <w:t>’</w:t>
      </w:r>
      <w:r w:rsidR="00493C90" w:rsidRPr="00DA3C5F">
        <w:rPr>
          <w:lang w:val="fr-FR"/>
        </w:rPr>
        <w:t xml:space="preserve">identifier les responsables et de </w:t>
      </w:r>
      <w:r w:rsidR="00493C90">
        <w:rPr>
          <w:lang w:val="fr-FR"/>
        </w:rPr>
        <w:t xml:space="preserve">les </w:t>
      </w:r>
      <w:r w:rsidR="00493C90" w:rsidRPr="00DA3C5F">
        <w:rPr>
          <w:lang w:val="fr-FR"/>
        </w:rPr>
        <w:t>traduire en justice</w:t>
      </w:r>
      <w:r>
        <w:rPr>
          <w:lang w:val="fr-FR"/>
        </w:rPr>
        <w:t> </w:t>
      </w:r>
      <w:r w:rsidR="00493C90" w:rsidRPr="00DA3C5F">
        <w:rPr>
          <w:lang w:val="fr-FR"/>
        </w:rPr>
        <w:t xml:space="preserve">;  </w:t>
      </w:r>
    </w:p>
    <w:p w14:paraId="194D1AFE" w14:textId="1F7D974F" w:rsidR="00493C90" w:rsidRPr="00DA3C5F" w:rsidRDefault="005C437D" w:rsidP="00493C90">
      <w:pPr>
        <w:pStyle w:val="SingleTxtG"/>
        <w:rPr>
          <w:color w:val="000000"/>
          <w:lang w:val="fr-FR"/>
        </w:rPr>
      </w:pPr>
      <w:r>
        <w:rPr>
          <w:lang w:val="fr-FR"/>
        </w:rPr>
        <w:tab/>
      </w:r>
      <w:r w:rsidR="00493C90" w:rsidRPr="00DA3C5F">
        <w:rPr>
          <w:lang w:val="fr-FR"/>
        </w:rPr>
        <w:t>5.</w:t>
      </w:r>
      <w:r w:rsidR="00493C90" w:rsidRPr="00DA3C5F">
        <w:rPr>
          <w:lang w:val="fr-FR"/>
        </w:rPr>
        <w:tab/>
      </w:r>
      <w:r w:rsidR="00493C90" w:rsidRPr="00DA3C5F">
        <w:rPr>
          <w:i/>
          <w:iCs/>
          <w:lang w:val="fr-FR"/>
        </w:rPr>
        <w:t xml:space="preserve">Encourage </w:t>
      </w:r>
      <w:r w:rsidR="00493C90" w:rsidRPr="00DA3C5F">
        <w:rPr>
          <w:lang w:val="fr-FR"/>
        </w:rPr>
        <w:t>les Parties, les signataires, les organisations internationales et les autres parties prenantes à organiser des sessions de formation et d</w:t>
      </w:r>
      <w:r w:rsidR="00493C90">
        <w:rPr>
          <w:lang w:val="fr-FR"/>
        </w:rPr>
        <w:t>’</w:t>
      </w:r>
      <w:r w:rsidR="00493C90" w:rsidRPr="00DA3C5F">
        <w:rPr>
          <w:lang w:val="fr-FR"/>
        </w:rPr>
        <w:t xml:space="preserve">autres activités de renforcement des capacités </w:t>
      </w:r>
      <w:r w:rsidR="00493C90">
        <w:rPr>
          <w:lang w:val="fr-FR"/>
        </w:rPr>
        <w:t xml:space="preserve">portant </w:t>
      </w:r>
      <w:r w:rsidR="00493C90" w:rsidRPr="00DA3C5F">
        <w:rPr>
          <w:lang w:val="fr-FR"/>
        </w:rPr>
        <w:t>sur l</w:t>
      </w:r>
      <w:r w:rsidR="00493C90">
        <w:rPr>
          <w:lang w:val="fr-FR"/>
        </w:rPr>
        <w:t>’</w:t>
      </w:r>
      <w:r w:rsidR="00493C90" w:rsidRPr="00DA3C5F">
        <w:rPr>
          <w:lang w:val="fr-FR"/>
        </w:rPr>
        <w:t>article 3 (par. 8) de la Convention à l</w:t>
      </w:r>
      <w:r w:rsidR="00493C90">
        <w:rPr>
          <w:lang w:val="fr-FR"/>
        </w:rPr>
        <w:t>’</w:t>
      </w:r>
      <w:r w:rsidR="00493C90" w:rsidRPr="00DA3C5F">
        <w:rPr>
          <w:lang w:val="fr-FR"/>
        </w:rPr>
        <w:t>intention des groupes cibles concernés et à élaborer des documents de formation à l</w:t>
      </w:r>
      <w:r w:rsidR="00493C90">
        <w:rPr>
          <w:lang w:val="fr-FR"/>
        </w:rPr>
        <w:t>’</w:t>
      </w:r>
      <w:r w:rsidR="00493C90" w:rsidRPr="00DA3C5F">
        <w:rPr>
          <w:lang w:val="fr-FR"/>
        </w:rPr>
        <w:t>appui de ces activités</w:t>
      </w:r>
      <w:r>
        <w:rPr>
          <w:lang w:val="fr-FR"/>
        </w:rPr>
        <w:t> </w:t>
      </w:r>
      <w:r w:rsidR="00493C90" w:rsidRPr="00DA3C5F">
        <w:rPr>
          <w:lang w:val="fr-FR"/>
        </w:rPr>
        <w:t>;</w:t>
      </w:r>
    </w:p>
    <w:p w14:paraId="3E113FA4" w14:textId="2F1AA94D" w:rsidR="00493C90" w:rsidRPr="00DA3C5F" w:rsidRDefault="005C437D" w:rsidP="00493C90">
      <w:pPr>
        <w:pStyle w:val="SingleTxtG"/>
        <w:rPr>
          <w:lang w:val="fr-FR"/>
        </w:rPr>
      </w:pPr>
      <w:r>
        <w:rPr>
          <w:lang w:val="fr-FR"/>
        </w:rPr>
        <w:tab/>
      </w:r>
      <w:r w:rsidR="00493C90" w:rsidRPr="00DA3C5F">
        <w:rPr>
          <w:lang w:val="fr-FR"/>
        </w:rPr>
        <w:t>6.</w:t>
      </w:r>
      <w:r w:rsidR="00493C90" w:rsidRPr="00DA3C5F">
        <w:rPr>
          <w:lang w:val="fr-FR"/>
        </w:rPr>
        <w:tab/>
      </w:r>
      <w:r w:rsidR="00493C90" w:rsidRPr="00DA3C5F">
        <w:rPr>
          <w:i/>
          <w:iCs/>
          <w:lang w:val="fr-FR"/>
        </w:rPr>
        <w:t xml:space="preserve">Souligne </w:t>
      </w:r>
      <w:r w:rsidR="00493C90" w:rsidRPr="00DA3C5F">
        <w:rPr>
          <w:lang w:val="fr-FR"/>
        </w:rPr>
        <w:t>la nécessité de renforcer la protection des défenseurs et défenseuses de l</w:t>
      </w:r>
      <w:r w:rsidR="00493C90">
        <w:rPr>
          <w:lang w:val="fr-FR"/>
        </w:rPr>
        <w:t>’</w:t>
      </w:r>
      <w:r w:rsidR="00493C90" w:rsidRPr="00DA3C5F">
        <w:rPr>
          <w:lang w:val="fr-FR"/>
        </w:rPr>
        <w:t xml:space="preserve">environnement au titre de la Convention, par un mécanisme capable </w:t>
      </w:r>
      <w:r w:rsidR="00493C90" w:rsidRPr="00584CFF">
        <w:rPr>
          <w:lang w:val="fr-FR"/>
        </w:rPr>
        <w:t>d</w:t>
      </w:r>
      <w:r w:rsidR="00493C90">
        <w:rPr>
          <w:lang w:val="fr-FR"/>
        </w:rPr>
        <w:t>’</w:t>
      </w:r>
      <w:r w:rsidR="00493C90" w:rsidRPr="00584CFF">
        <w:rPr>
          <w:lang w:val="fr-FR"/>
        </w:rPr>
        <w:t>apporter une réponse rapide</w:t>
      </w:r>
      <w:r>
        <w:rPr>
          <w:lang w:val="fr-FR"/>
        </w:rPr>
        <w:t> </w:t>
      </w:r>
      <w:r w:rsidR="00493C90" w:rsidRPr="00DA3C5F">
        <w:rPr>
          <w:lang w:val="fr-FR"/>
        </w:rPr>
        <w:t>;</w:t>
      </w:r>
    </w:p>
    <w:p w14:paraId="36C3475A" w14:textId="2C5C7512" w:rsidR="00493C90" w:rsidRPr="00DA3C5F" w:rsidRDefault="005C437D" w:rsidP="00493C90">
      <w:pPr>
        <w:pStyle w:val="SingleTxtG"/>
        <w:rPr>
          <w:lang w:val="fr-FR"/>
        </w:rPr>
      </w:pPr>
      <w:r>
        <w:rPr>
          <w:lang w:val="fr-FR"/>
        </w:rPr>
        <w:tab/>
      </w:r>
      <w:r w:rsidR="00493C90" w:rsidRPr="00DA3C5F">
        <w:rPr>
          <w:lang w:val="fr-FR"/>
        </w:rPr>
        <w:t>7.</w:t>
      </w:r>
      <w:r w:rsidR="00493C90" w:rsidRPr="00DA3C5F">
        <w:rPr>
          <w:lang w:val="fr-FR"/>
        </w:rPr>
        <w:tab/>
      </w:r>
      <w:r w:rsidR="00493C90" w:rsidRPr="00DA3C5F">
        <w:rPr>
          <w:i/>
          <w:iCs/>
          <w:lang w:val="fr-FR"/>
        </w:rPr>
        <w:t>Crée</w:t>
      </w:r>
      <w:r w:rsidR="00493C90" w:rsidRPr="00DA3C5F">
        <w:rPr>
          <w:lang w:val="fr-FR"/>
        </w:rPr>
        <w:t xml:space="preserve"> un mécanisme</w:t>
      </w:r>
      <w:r w:rsidR="00493C90">
        <w:rPr>
          <w:lang w:val="fr-FR"/>
        </w:rPr>
        <w:t xml:space="preserve"> relevant de la Réunion des Parties, en la personne d’un rapporteur indépendant ou d’une rapporteuse indépendante </w:t>
      </w:r>
      <w:r w:rsidR="00493C90" w:rsidRPr="00DA3C5F">
        <w:rPr>
          <w:lang w:val="fr-FR"/>
        </w:rPr>
        <w:t>sur les défenseurs et défenseuses de l</w:t>
      </w:r>
      <w:r w:rsidR="00493C90">
        <w:rPr>
          <w:lang w:val="fr-FR"/>
        </w:rPr>
        <w:t>’</w:t>
      </w:r>
      <w:r w:rsidR="00493C90" w:rsidRPr="00DA3C5F">
        <w:rPr>
          <w:lang w:val="fr-FR"/>
        </w:rPr>
        <w:t xml:space="preserve">environnement, </w:t>
      </w:r>
      <w:r w:rsidR="00493C90">
        <w:rPr>
          <w:lang w:val="fr-FR"/>
        </w:rPr>
        <w:t xml:space="preserve">chargé </w:t>
      </w:r>
      <w:r w:rsidR="00493C90" w:rsidRPr="00584CFF">
        <w:rPr>
          <w:lang w:val="fr-FR"/>
        </w:rPr>
        <w:t>d</w:t>
      </w:r>
      <w:r w:rsidR="00493C90">
        <w:rPr>
          <w:lang w:val="fr-FR"/>
        </w:rPr>
        <w:t>’</w:t>
      </w:r>
      <w:r w:rsidR="00493C90" w:rsidRPr="00584CFF">
        <w:rPr>
          <w:lang w:val="fr-FR"/>
        </w:rPr>
        <w:t>apporter une réponse rapide aux</w:t>
      </w:r>
      <w:r w:rsidR="00493C90" w:rsidRPr="00DA3C5F">
        <w:rPr>
          <w:lang w:val="fr-FR"/>
        </w:rPr>
        <w:t xml:space="preserve"> violations présumées de l</w:t>
      </w:r>
      <w:r w:rsidR="00493C90">
        <w:rPr>
          <w:lang w:val="fr-FR"/>
        </w:rPr>
        <w:t>’</w:t>
      </w:r>
      <w:r w:rsidR="00493C90" w:rsidRPr="00DA3C5F">
        <w:rPr>
          <w:lang w:val="fr-FR"/>
        </w:rPr>
        <w:t>article</w:t>
      </w:r>
      <w:r>
        <w:rPr>
          <w:lang w:val="fr-FR"/>
        </w:rPr>
        <w:t> </w:t>
      </w:r>
      <w:r w:rsidR="00493C90" w:rsidRPr="00DA3C5F">
        <w:rPr>
          <w:lang w:val="fr-FR"/>
        </w:rPr>
        <w:t>3 (par. 8)</w:t>
      </w:r>
      <w:r>
        <w:rPr>
          <w:lang w:val="fr-FR"/>
        </w:rPr>
        <w:t> </w:t>
      </w:r>
      <w:r w:rsidR="00493C90" w:rsidRPr="00DA3C5F">
        <w:rPr>
          <w:lang w:val="fr-FR"/>
        </w:rPr>
        <w:t xml:space="preserve">; </w:t>
      </w:r>
    </w:p>
    <w:p w14:paraId="7C951A30" w14:textId="33CC390F" w:rsidR="00493C90" w:rsidRPr="00DA3C5F" w:rsidRDefault="005C437D" w:rsidP="00493C90">
      <w:pPr>
        <w:pStyle w:val="SingleTxtG"/>
        <w:rPr>
          <w:lang w:val="fr-FR"/>
        </w:rPr>
      </w:pPr>
      <w:r>
        <w:rPr>
          <w:lang w:val="fr-FR"/>
        </w:rPr>
        <w:tab/>
      </w:r>
      <w:r w:rsidR="00493C90" w:rsidRPr="00DA3C5F">
        <w:rPr>
          <w:lang w:val="fr-FR"/>
        </w:rPr>
        <w:t>8.</w:t>
      </w:r>
      <w:r w:rsidR="00493C90" w:rsidRPr="00DA3C5F">
        <w:rPr>
          <w:lang w:val="fr-FR"/>
        </w:rPr>
        <w:tab/>
      </w:r>
      <w:r w:rsidR="00493C90" w:rsidRPr="00DA3C5F">
        <w:rPr>
          <w:i/>
          <w:iCs/>
          <w:lang w:val="fr-FR"/>
        </w:rPr>
        <w:t xml:space="preserve">Décide </w:t>
      </w:r>
      <w:r w:rsidR="00493C90" w:rsidRPr="00DA3C5F">
        <w:rPr>
          <w:lang w:val="fr-FR"/>
        </w:rPr>
        <w:t>que le mécanisme fonctionnera conformément au mandat énoncé dans l</w:t>
      </w:r>
      <w:r w:rsidR="00493C90">
        <w:rPr>
          <w:lang w:val="fr-FR"/>
        </w:rPr>
        <w:t>’</w:t>
      </w:r>
      <w:r w:rsidR="00493C90" w:rsidRPr="00DA3C5F">
        <w:rPr>
          <w:lang w:val="fr-FR"/>
        </w:rPr>
        <w:t>annexe de la présente décision</w:t>
      </w:r>
      <w:r>
        <w:rPr>
          <w:lang w:val="fr-FR"/>
        </w:rPr>
        <w:t> </w:t>
      </w:r>
      <w:r w:rsidR="00493C90" w:rsidRPr="00DA3C5F">
        <w:rPr>
          <w:lang w:val="fr-FR"/>
        </w:rPr>
        <w:t>;</w:t>
      </w:r>
    </w:p>
    <w:p w14:paraId="7F1AA31D" w14:textId="4ECB6012" w:rsidR="00493C90" w:rsidRPr="00DA3C5F" w:rsidRDefault="005C437D" w:rsidP="00493C90">
      <w:pPr>
        <w:pStyle w:val="SingleTxtG"/>
        <w:rPr>
          <w:lang w:val="fr-FR"/>
        </w:rPr>
      </w:pPr>
      <w:r>
        <w:rPr>
          <w:lang w:val="fr-FR"/>
        </w:rPr>
        <w:tab/>
      </w:r>
      <w:r w:rsidR="00493C90" w:rsidRPr="00DA3C5F">
        <w:rPr>
          <w:lang w:val="fr-FR"/>
        </w:rPr>
        <w:t>9.</w:t>
      </w:r>
      <w:r w:rsidR="00493C90" w:rsidRPr="00DA3C5F">
        <w:rPr>
          <w:lang w:val="fr-FR"/>
        </w:rPr>
        <w:tab/>
      </w:r>
      <w:r w:rsidR="00493C90" w:rsidRPr="00DA3C5F">
        <w:rPr>
          <w:i/>
          <w:iCs/>
          <w:lang w:val="fr-FR"/>
        </w:rPr>
        <w:t xml:space="preserve">Demande </w:t>
      </w:r>
      <w:r w:rsidR="00493C90" w:rsidRPr="00DA3C5F">
        <w:rPr>
          <w:lang w:val="fr-FR"/>
        </w:rPr>
        <w:t>au secrétariat d</w:t>
      </w:r>
      <w:r w:rsidR="00493C90">
        <w:rPr>
          <w:lang w:val="fr-FR"/>
        </w:rPr>
        <w:t>’</w:t>
      </w:r>
      <w:r w:rsidR="00493C90" w:rsidRPr="00DA3C5F">
        <w:rPr>
          <w:lang w:val="fr-FR"/>
        </w:rPr>
        <w:t>organiser un appel à candidatures et une procédure de désignation en vue de l</w:t>
      </w:r>
      <w:r w:rsidR="00493C90">
        <w:rPr>
          <w:lang w:val="fr-FR"/>
        </w:rPr>
        <w:t>’</w:t>
      </w:r>
      <w:r w:rsidR="00493C90" w:rsidRPr="00DA3C5F">
        <w:rPr>
          <w:lang w:val="fr-FR"/>
        </w:rPr>
        <w:t>élection du Rapporteur indépendant ou de la Rapporteuse indépendante sur les défenseurs et les défenseuses de l</w:t>
      </w:r>
      <w:r w:rsidR="00493C90">
        <w:rPr>
          <w:lang w:val="fr-FR"/>
        </w:rPr>
        <w:t>’</w:t>
      </w:r>
      <w:r w:rsidR="00493C90" w:rsidRPr="00DA3C5F">
        <w:rPr>
          <w:lang w:val="fr-FR"/>
        </w:rPr>
        <w:t>environnement</w:t>
      </w:r>
      <w:r>
        <w:rPr>
          <w:lang w:val="fr-FR"/>
        </w:rPr>
        <w:t> </w:t>
      </w:r>
      <w:r w:rsidR="00493C90" w:rsidRPr="00DA3C5F">
        <w:rPr>
          <w:lang w:val="fr-FR"/>
        </w:rPr>
        <w:t>;</w:t>
      </w:r>
    </w:p>
    <w:p w14:paraId="3BF07D28" w14:textId="4D3C62B2" w:rsidR="00493C90" w:rsidRPr="00DA3C5F" w:rsidRDefault="005C437D" w:rsidP="00493C90">
      <w:pPr>
        <w:pStyle w:val="SingleTxtG"/>
        <w:rPr>
          <w:lang w:val="fr-FR"/>
        </w:rPr>
      </w:pPr>
      <w:r>
        <w:rPr>
          <w:lang w:val="fr-FR"/>
        </w:rPr>
        <w:tab/>
      </w:r>
      <w:r w:rsidR="00493C90" w:rsidRPr="00DA3C5F">
        <w:rPr>
          <w:lang w:val="fr-FR"/>
        </w:rPr>
        <w:t>10.</w:t>
      </w:r>
      <w:r w:rsidR="00493C90" w:rsidRPr="00DA3C5F">
        <w:rPr>
          <w:lang w:val="fr-FR"/>
        </w:rPr>
        <w:tab/>
      </w:r>
      <w:r w:rsidR="00493C90" w:rsidRPr="00DA3C5F">
        <w:rPr>
          <w:i/>
          <w:iCs/>
          <w:lang w:val="fr-FR"/>
        </w:rPr>
        <w:t xml:space="preserve">Décide </w:t>
      </w:r>
      <w:r w:rsidR="00493C90" w:rsidRPr="00DA3C5F">
        <w:rPr>
          <w:lang w:val="fr-FR"/>
        </w:rPr>
        <w:t>de tenir une session extraordinaire de la Réunion des Parties en 202x afin d</w:t>
      </w:r>
      <w:r w:rsidR="00493C90">
        <w:rPr>
          <w:lang w:val="fr-FR"/>
        </w:rPr>
        <w:t>’</w:t>
      </w:r>
      <w:r w:rsidR="00493C90" w:rsidRPr="00DA3C5F">
        <w:rPr>
          <w:lang w:val="fr-FR"/>
        </w:rPr>
        <w:t>élire le Rapporteur indépendant ou la Rapporteuse indépendante sur les défenseurs et défenseuses de l</w:t>
      </w:r>
      <w:r w:rsidR="00493C90">
        <w:rPr>
          <w:lang w:val="fr-FR"/>
        </w:rPr>
        <w:t>’</w:t>
      </w:r>
      <w:r w:rsidR="00493C90" w:rsidRPr="00DA3C5F">
        <w:rPr>
          <w:lang w:val="fr-FR"/>
        </w:rPr>
        <w:t>environnement</w:t>
      </w:r>
      <w:r>
        <w:rPr>
          <w:lang w:val="fr-FR"/>
        </w:rPr>
        <w:t> </w:t>
      </w:r>
      <w:r w:rsidR="00493C90" w:rsidRPr="00DA3C5F">
        <w:rPr>
          <w:lang w:val="fr-FR"/>
        </w:rPr>
        <w:t>;</w:t>
      </w:r>
    </w:p>
    <w:p w14:paraId="13FE377C" w14:textId="2A466C44" w:rsidR="00493C90" w:rsidRPr="00DA3C5F" w:rsidRDefault="005C437D" w:rsidP="00493C90">
      <w:pPr>
        <w:pStyle w:val="SingleTxtG"/>
        <w:rPr>
          <w:lang w:val="fr-FR"/>
        </w:rPr>
      </w:pPr>
      <w:r>
        <w:rPr>
          <w:lang w:val="fr-FR"/>
        </w:rPr>
        <w:tab/>
      </w:r>
      <w:r w:rsidR="00493C90" w:rsidRPr="00DA3C5F">
        <w:rPr>
          <w:lang w:val="fr-FR"/>
        </w:rPr>
        <w:t>11.</w:t>
      </w:r>
      <w:r w:rsidR="00493C90" w:rsidRPr="00DA3C5F">
        <w:rPr>
          <w:lang w:val="fr-FR"/>
        </w:rPr>
        <w:tab/>
      </w:r>
      <w:r w:rsidR="00493C90" w:rsidRPr="00DA3C5F">
        <w:rPr>
          <w:i/>
          <w:iCs/>
          <w:lang w:val="fr-FR"/>
        </w:rPr>
        <w:t>Se félicite</w:t>
      </w:r>
      <w:r w:rsidR="00493C90" w:rsidRPr="00DA3C5F">
        <w:rPr>
          <w:lang w:val="fr-FR"/>
        </w:rPr>
        <w:t xml:space="preserve"> de la proposition faite par [Partie] de diriger les travaux sur les défenseurs </w:t>
      </w:r>
      <w:r w:rsidR="00493C90">
        <w:rPr>
          <w:lang w:val="fr-FR"/>
        </w:rPr>
        <w:t xml:space="preserve">et défenseuses </w:t>
      </w:r>
      <w:r w:rsidR="00493C90" w:rsidRPr="00DA3C5F">
        <w:rPr>
          <w:lang w:val="fr-FR"/>
        </w:rPr>
        <w:t>de l</w:t>
      </w:r>
      <w:r w:rsidR="00493C90">
        <w:rPr>
          <w:lang w:val="fr-FR"/>
        </w:rPr>
        <w:t>’</w:t>
      </w:r>
      <w:r w:rsidR="00493C90" w:rsidRPr="00DA3C5F">
        <w:rPr>
          <w:lang w:val="fr-FR"/>
        </w:rPr>
        <w:t>environnement</w:t>
      </w:r>
      <w:r>
        <w:rPr>
          <w:lang w:val="fr-FR"/>
        </w:rPr>
        <w:t> </w:t>
      </w:r>
      <w:r w:rsidR="00493C90" w:rsidRPr="00DA3C5F">
        <w:rPr>
          <w:lang w:val="fr-FR"/>
        </w:rPr>
        <w:t>;</w:t>
      </w:r>
    </w:p>
    <w:p w14:paraId="1AA33C42" w14:textId="56F6CB83" w:rsidR="00493C90" w:rsidRPr="00DA3C5F" w:rsidRDefault="005C437D" w:rsidP="00493C90">
      <w:pPr>
        <w:pStyle w:val="SingleTxtG"/>
        <w:rPr>
          <w:lang w:val="fr-FR"/>
        </w:rPr>
      </w:pPr>
      <w:r>
        <w:rPr>
          <w:lang w:val="fr-FR"/>
        </w:rPr>
        <w:tab/>
      </w:r>
      <w:r w:rsidR="00493C90" w:rsidRPr="00DA3C5F">
        <w:rPr>
          <w:lang w:val="fr-FR"/>
        </w:rPr>
        <w:t>12.</w:t>
      </w:r>
      <w:r w:rsidR="00493C90" w:rsidRPr="00DA3C5F">
        <w:rPr>
          <w:lang w:val="fr-FR"/>
        </w:rPr>
        <w:tab/>
      </w:r>
      <w:r w:rsidR="00493C90" w:rsidRPr="00DA3C5F">
        <w:rPr>
          <w:i/>
          <w:iCs/>
          <w:lang w:val="fr-FR"/>
        </w:rPr>
        <w:t xml:space="preserve">Demande </w:t>
      </w:r>
      <w:r w:rsidR="00493C90" w:rsidRPr="00DA3C5F">
        <w:rPr>
          <w:lang w:val="fr-FR"/>
        </w:rPr>
        <w:t>aux Parties et aux autres parties prenantes de faciliter le travail du Rapporteur ou de la Rapporteuse en lui communiquant des informations et en l</w:t>
      </w:r>
      <w:r w:rsidR="00493C90">
        <w:rPr>
          <w:lang w:val="fr-FR"/>
        </w:rPr>
        <w:t>’</w:t>
      </w:r>
      <w:r w:rsidR="00493C90" w:rsidRPr="00DA3C5F">
        <w:rPr>
          <w:lang w:val="fr-FR"/>
        </w:rPr>
        <w:t>invitant à effectuer des visites de pays</w:t>
      </w:r>
      <w:r>
        <w:rPr>
          <w:lang w:val="fr-FR"/>
        </w:rPr>
        <w:t> </w:t>
      </w:r>
      <w:r w:rsidR="00493C90" w:rsidRPr="00DA3C5F">
        <w:rPr>
          <w:lang w:val="fr-FR"/>
        </w:rPr>
        <w:t xml:space="preserve">; </w:t>
      </w:r>
    </w:p>
    <w:p w14:paraId="034B69E6" w14:textId="5451B4B2" w:rsidR="00493C90" w:rsidRPr="00DA3C5F" w:rsidRDefault="005C437D" w:rsidP="00493C90">
      <w:pPr>
        <w:pStyle w:val="SingleTxtG"/>
        <w:rPr>
          <w:lang w:val="fr-FR"/>
        </w:rPr>
      </w:pPr>
      <w:r>
        <w:rPr>
          <w:lang w:val="fr-FR"/>
        </w:rPr>
        <w:tab/>
      </w:r>
      <w:r w:rsidR="00493C90" w:rsidRPr="00DA3C5F">
        <w:rPr>
          <w:lang w:val="fr-FR"/>
        </w:rPr>
        <w:t>13.</w:t>
      </w:r>
      <w:r w:rsidR="00493C90" w:rsidRPr="00DA3C5F">
        <w:rPr>
          <w:lang w:val="fr-FR"/>
        </w:rPr>
        <w:tab/>
      </w:r>
      <w:r w:rsidR="00493C90" w:rsidRPr="00DA3C5F">
        <w:rPr>
          <w:i/>
          <w:iCs/>
          <w:lang w:val="fr-FR"/>
        </w:rPr>
        <w:t xml:space="preserve">Exhorte </w:t>
      </w:r>
      <w:r w:rsidR="00493C90" w:rsidRPr="00DA3C5F">
        <w:rPr>
          <w:lang w:val="fr-FR"/>
        </w:rPr>
        <w:t>le Secrétaire général et la Secrétaire exécutive de la Commission économique des Nations Unies pour l</w:t>
      </w:r>
      <w:r w:rsidR="00493C90">
        <w:rPr>
          <w:lang w:val="fr-FR"/>
        </w:rPr>
        <w:t>’</w:t>
      </w:r>
      <w:r w:rsidR="00493C90" w:rsidRPr="00DA3C5F">
        <w:rPr>
          <w:lang w:val="fr-FR"/>
        </w:rPr>
        <w:t>Europe à fournir au Rapporteur ou à la Rapporteuse toute l</w:t>
      </w:r>
      <w:r w:rsidR="00493C90">
        <w:rPr>
          <w:lang w:val="fr-FR"/>
        </w:rPr>
        <w:t>’</w:t>
      </w:r>
      <w:r w:rsidR="00493C90" w:rsidRPr="00DA3C5F">
        <w:rPr>
          <w:lang w:val="fr-FR"/>
        </w:rPr>
        <w:t>aide dont il ou elle a besoin pour s</w:t>
      </w:r>
      <w:r w:rsidR="00493C90">
        <w:rPr>
          <w:lang w:val="fr-FR"/>
        </w:rPr>
        <w:t>’</w:t>
      </w:r>
      <w:r w:rsidR="00493C90" w:rsidRPr="00DA3C5F">
        <w:rPr>
          <w:lang w:val="fr-FR"/>
        </w:rPr>
        <w:t>acquitter convenablement de son mandat</w:t>
      </w:r>
      <w:r>
        <w:rPr>
          <w:lang w:val="fr-FR"/>
        </w:rPr>
        <w:t> </w:t>
      </w:r>
      <w:r w:rsidR="00493C90" w:rsidRPr="00DA3C5F">
        <w:rPr>
          <w:lang w:val="fr-FR"/>
        </w:rPr>
        <w:t xml:space="preserve">; </w:t>
      </w:r>
    </w:p>
    <w:p w14:paraId="7F2A5FB0" w14:textId="0BE02360" w:rsidR="00493C90" w:rsidRPr="00DA3C5F" w:rsidRDefault="005C437D" w:rsidP="00493C90">
      <w:pPr>
        <w:pStyle w:val="SingleTxtG"/>
        <w:rPr>
          <w:lang w:val="fr-FR"/>
        </w:rPr>
      </w:pPr>
      <w:r>
        <w:rPr>
          <w:lang w:val="fr-FR"/>
        </w:rPr>
        <w:lastRenderedPageBreak/>
        <w:tab/>
      </w:r>
      <w:r w:rsidR="00493C90" w:rsidRPr="00DA3C5F">
        <w:rPr>
          <w:lang w:val="fr-FR"/>
        </w:rPr>
        <w:t>14.</w:t>
      </w:r>
      <w:r w:rsidR="00493C90" w:rsidRPr="00DA3C5F">
        <w:rPr>
          <w:lang w:val="fr-FR"/>
        </w:rPr>
        <w:tab/>
      </w:r>
      <w:r w:rsidR="00493C90" w:rsidRPr="00DA3C5F">
        <w:rPr>
          <w:i/>
          <w:iCs/>
          <w:lang w:val="fr-FR"/>
        </w:rPr>
        <w:t>Encourage</w:t>
      </w:r>
      <w:r w:rsidR="00493C90" w:rsidRPr="00DA3C5F">
        <w:rPr>
          <w:lang w:val="fr-FR"/>
        </w:rPr>
        <w:t xml:space="preserve"> les Parties, les organismes des Nations Unies et les autres organisations intergouvernementales et non gouvernementales, ainsi que le secteur privé, les membres du public et toutes les autres parties prenantes à s</w:t>
      </w:r>
      <w:r w:rsidR="00493C90">
        <w:rPr>
          <w:lang w:val="fr-FR"/>
        </w:rPr>
        <w:t>’</w:t>
      </w:r>
      <w:r w:rsidR="00493C90" w:rsidRPr="00DA3C5F">
        <w:rPr>
          <w:lang w:val="fr-FR"/>
        </w:rPr>
        <w:t>engager dans un processus de consultation, de dialogue et de coopération avec le Rapporteur ou la Rapporteuse pour lui permettre de s</w:t>
      </w:r>
      <w:r w:rsidR="00493C90">
        <w:rPr>
          <w:lang w:val="fr-FR"/>
        </w:rPr>
        <w:t>’</w:t>
      </w:r>
      <w:r w:rsidR="00493C90" w:rsidRPr="00DA3C5F">
        <w:rPr>
          <w:lang w:val="fr-FR"/>
        </w:rPr>
        <w:t>acquitter efficacement de son mandat</w:t>
      </w:r>
      <w:r>
        <w:rPr>
          <w:lang w:val="fr-FR"/>
        </w:rPr>
        <w:t> </w:t>
      </w:r>
      <w:r w:rsidR="00493C90" w:rsidRPr="00DA3C5F">
        <w:rPr>
          <w:lang w:val="fr-FR"/>
        </w:rPr>
        <w:t>;</w:t>
      </w:r>
    </w:p>
    <w:p w14:paraId="17A5D98E" w14:textId="12B4D099" w:rsidR="00493C90" w:rsidRPr="00DA3C5F" w:rsidRDefault="005C437D" w:rsidP="00493C90">
      <w:pPr>
        <w:pStyle w:val="SingleTxtG"/>
        <w:rPr>
          <w:lang w:val="fr-FR"/>
        </w:rPr>
      </w:pPr>
      <w:r>
        <w:rPr>
          <w:lang w:val="fr-FR"/>
        </w:rPr>
        <w:tab/>
      </w:r>
      <w:r w:rsidR="00493C90" w:rsidRPr="00DA3C5F">
        <w:rPr>
          <w:lang w:val="fr-FR"/>
        </w:rPr>
        <w:t>15.</w:t>
      </w:r>
      <w:r w:rsidR="00493C90" w:rsidRPr="00DA3C5F">
        <w:rPr>
          <w:lang w:val="fr-FR"/>
        </w:rPr>
        <w:tab/>
      </w:r>
      <w:r w:rsidR="00493C90" w:rsidRPr="00DA3C5F">
        <w:rPr>
          <w:i/>
          <w:iCs/>
          <w:lang w:val="fr-FR"/>
        </w:rPr>
        <w:t xml:space="preserve">Encourage </w:t>
      </w:r>
      <w:r w:rsidR="00493C90" w:rsidRPr="00DA3C5F">
        <w:rPr>
          <w:lang w:val="fr-FR"/>
        </w:rPr>
        <w:t>le Rapporteur ou la Rapporteuse à coopérer avec les entités et les institutions spécialisées compétentes des Nations Unies, ainsi qu</w:t>
      </w:r>
      <w:r w:rsidR="00493C90">
        <w:rPr>
          <w:lang w:val="fr-FR"/>
        </w:rPr>
        <w:t>’</w:t>
      </w:r>
      <w:r w:rsidR="00493C90" w:rsidRPr="00DA3C5F">
        <w:rPr>
          <w:lang w:val="fr-FR"/>
        </w:rPr>
        <w:t>avec les secrétariats des accords multilatéraux concernés afin de promouvoir les synergies et d</w:t>
      </w:r>
      <w:r w:rsidR="00493C90">
        <w:rPr>
          <w:lang w:val="fr-FR"/>
        </w:rPr>
        <w:t>’</w:t>
      </w:r>
      <w:r w:rsidR="00493C90" w:rsidRPr="00DA3C5F">
        <w:rPr>
          <w:lang w:val="fr-FR"/>
        </w:rPr>
        <w:t>éviter les chevauchements</w:t>
      </w:r>
      <w:r>
        <w:rPr>
          <w:lang w:val="fr-FR"/>
        </w:rPr>
        <w:t> </w:t>
      </w:r>
      <w:r w:rsidR="00493C90" w:rsidRPr="00DA3C5F">
        <w:rPr>
          <w:lang w:val="fr-FR"/>
        </w:rPr>
        <w:t>;</w:t>
      </w:r>
    </w:p>
    <w:p w14:paraId="5097D54E" w14:textId="7CF5B9F2" w:rsidR="00493C90" w:rsidRPr="00DA3C5F" w:rsidRDefault="005C437D" w:rsidP="00493C90">
      <w:pPr>
        <w:pStyle w:val="SingleTxtG"/>
        <w:rPr>
          <w:lang w:val="fr-FR"/>
        </w:rPr>
      </w:pPr>
      <w:r>
        <w:rPr>
          <w:lang w:val="fr-FR"/>
        </w:rPr>
        <w:tab/>
      </w:r>
      <w:r w:rsidR="00493C90" w:rsidRPr="00DA3C5F">
        <w:rPr>
          <w:lang w:val="fr-FR"/>
        </w:rPr>
        <w:t>16.</w:t>
      </w:r>
      <w:r w:rsidR="00493C90" w:rsidRPr="00DA3C5F">
        <w:rPr>
          <w:lang w:val="fr-FR"/>
        </w:rPr>
        <w:tab/>
      </w:r>
      <w:r w:rsidR="00493C90" w:rsidRPr="00DA3C5F">
        <w:rPr>
          <w:i/>
          <w:iCs/>
          <w:lang w:val="fr-FR"/>
        </w:rPr>
        <w:t xml:space="preserve">Considère </w:t>
      </w:r>
      <w:r w:rsidR="00493C90" w:rsidRPr="00DA3C5F">
        <w:rPr>
          <w:lang w:val="fr-FR"/>
        </w:rPr>
        <w:t>qu</w:t>
      </w:r>
      <w:r w:rsidR="00493C90">
        <w:rPr>
          <w:lang w:val="fr-FR"/>
        </w:rPr>
        <w:t>’</w:t>
      </w:r>
      <w:r w:rsidR="00493C90" w:rsidRPr="00DA3C5F">
        <w:rPr>
          <w:lang w:val="fr-FR"/>
        </w:rPr>
        <w:t xml:space="preserve">il importe de </w:t>
      </w:r>
      <w:r w:rsidR="00493C90">
        <w:rPr>
          <w:lang w:val="fr-FR"/>
        </w:rPr>
        <w:t xml:space="preserve">garantir </w:t>
      </w:r>
      <w:r w:rsidR="00493C90" w:rsidRPr="00DA3C5F">
        <w:rPr>
          <w:lang w:val="fr-FR"/>
        </w:rPr>
        <w:t xml:space="preserve">un financement adéquat </w:t>
      </w:r>
      <w:r w:rsidR="00493C90">
        <w:rPr>
          <w:lang w:val="fr-FR"/>
        </w:rPr>
        <w:t xml:space="preserve">pour appuyer </w:t>
      </w:r>
      <w:r w:rsidR="00493C90" w:rsidRPr="00DA3C5F">
        <w:rPr>
          <w:lang w:val="fr-FR"/>
        </w:rPr>
        <w:t>l</w:t>
      </w:r>
      <w:r w:rsidR="00493C90">
        <w:rPr>
          <w:lang w:val="fr-FR"/>
        </w:rPr>
        <w:t>’</w:t>
      </w:r>
      <w:r w:rsidR="00493C90" w:rsidRPr="00DA3C5F">
        <w:rPr>
          <w:lang w:val="fr-FR"/>
        </w:rPr>
        <w:t>action menée par les défenseurs et défenseuses de l</w:t>
      </w:r>
      <w:r w:rsidR="00493C90">
        <w:rPr>
          <w:lang w:val="fr-FR"/>
        </w:rPr>
        <w:t>’</w:t>
      </w:r>
      <w:r w:rsidR="00493C90" w:rsidRPr="00DA3C5F">
        <w:rPr>
          <w:lang w:val="fr-FR"/>
        </w:rPr>
        <w:t>environnement</w:t>
      </w:r>
      <w:r>
        <w:rPr>
          <w:lang w:val="fr-FR"/>
        </w:rPr>
        <w:t> </w:t>
      </w:r>
      <w:r w:rsidR="00493C90" w:rsidRPr="00DA3C5F">
        <w:rPr>
          <w:lang w:val="fr-FR"/>
        </w:rPr>
        <w:t xml:space="preserve">; </w:t>
      </w:r>
    </w:p>
    <w:p w14:paraId="6BDEFE6E" w14:textId="79EB6FBF" w:rsidR="00493C90" w:rsidRPr="00DA3C5F" w:rsidRDefault="005C437D" w:rsidP="00493C90">
      <w:pPr>
        <w:pStyle w:val="SingleTxtG"/>
        <w:rPr>
          <w:lang w:val="fr-FR"/>
        </w:rPr>
      </w:pPr>
      <w:r>
        <w:rPr>
          <w:lang w:val="fr-FR"/>
        </w:rPr>
        <w:tab/>
      </w:r>
      <w:r w:rsidR="00493C90" w:rsidRPr="00DA3C5F">
        <w:rPr>
          <w:lang w:val="fr-FR"/>
        </w:rPr>
        <w:t>17.</w:t>
      </w:r>
      <w:r w:rsidR="00493C90" w:rsidRPr="00DA3C5F">
        <w:rPr>
          <w:lang w:val="fr-FR"/>
        </w:rPr>
        <w:tab/>
      </w:r>
      <w:r w:rsidR="00493C90" w:rsidRPr="00DA3C5F">
        <w:rPr>
          <w:i/>
          <w:iCs/>
          <w:lang w:val="fr-FR"/>
        </w:rPr>
        <w:t xml:space="preserve">Considère </w:t>
      </w:r>
      <w:r w:rsidR="00493C90" w:rsidRPr="00DA3C5F">
        <w:rPr>
          <w:lang w:val="fr-FR"/>
        </w:rPr>
        <w:t>également qu</w:t>
      </w:r>
      <w:r w:rsidR="00493C90">
        <w:rPr>
          <w:lang w:val="fr-FR"/>
        </w:rPr>
        <w:t>’</w:t>
      </w:r>
      <w:r w:rsidR="00493C90" w:rsidRPr="00DA3C5F">
        <w:rPr>
          <w:lang w:val="fr-FR"/>
        </w:rPr>
        <w:t xml:space="preserve">il demeure nécessaire de prévoir un financement extrabudgétaire pour </w:t>
      </w:r>
      <w:r w:rsidR="00493C90" w:rsidRPr="008F6AAE">
        <w:rPr>
          <w:lang w:val="fr-FR"/>
        </w:rPr>
        <w:t>appuyer cette action</w:t>
      </w:r>
      <w:r w:rsidR="00493C90" w:rsidRPr="00DA3C5F">
        <w:rPr>
          <w:lang w:val="fr-FR"/>
        </w:rPr>
        <w:t xml:space="preserve"> et demande aux Parties, aux organisations intéressées et aux autres parties prenantes de fournir des contributions volontaires à cette fin ;</w:t>
      </w:r>
    </w:p>
    <w:p w14:paraId="11092910" w14:textId="582AF5E2" w:rsidR="005F26E5" w:rsidRDefault="005C437D" w:rsidP="00493C90">
      <w:pPr>
        <w:pStyle w:val="SingleTxtG"/>
        <w:rPr>
          <w:lang w:val="fr-FR"/>
        </w:rPr>
      </w:pPr>
      <w:r>
        <w:rPr>
          <w:lang w:val="fr-FR"/>
        </w:rPr>
        <w:tab/>
      </w:r>
      <w:r w:rsidR="00493C90" w:rsidRPr="00DA3C5F">
        <w:rPr>
          <w:lang w:val="fr-FR"/>
        </w:rPr>
        <w:t>18.</w:t>
      </w:r>
      <w:r w:rsidR="00493C90" w:rsidRPr="00DA3C5F">
        <w:rPr>
          <w:lang w:val="fr-FR"/>
        </w:rPr>
        <w:tab/>
      </w:r>
      <w:r w:rsidR="00493C90" w:rsidRPr="00DA3C5F">
        <w:rPr>
          <w:i/>
          <w:iCs/>
          <w:lang w:val="fr-FR"/>
        </w:rPr>
        <w:t xml:space="preserve">Demande </w:t>
      </w:r>
      <w:r w:rsidR="00493C90" w:rsidRPr="00DA3C5F">
        <w:rPr>
          <w:lang w:val="fr-FR"/>
        </w:rPr>
        <w:t>au Secrétaire général de renforcer la capacité du secrétariat à faciliter la mise en place du mécanisme de réaction rapide.</w:t>
      </w:r>
    </w:p>
    <w:p w14:paraId="21B1825D" w14:textId="6D61DB3D" w:rsidR="00493C90" w:rsidRDefault="00493C90">
      <w:pPr>
        <w:suppressAutoHyphens w:val="0"/>
        <w:kinsoku/>
        <w:overflowPunct/>
        <w:autoSpaceDE/>
        <w:autoSpaceDN/>
        <w:adjustRightInd/>
        <w:snapToGrid/>
        <w:spacing w:after="200" w:line="276" w:lineRule="auto"/>
        <w:rPr>
          <w:lang w:val="fr-FR"/>
        </w:rPr>
      </w:pPr>
      <w:r>
        <w:rPr>
          <w:lang w:val="fr-FR"/>
        </w:rPr>
        <w:br w:type="page"/>
      </w:r>
    </w:p>
    <w:p w14:paraId="20285948" w14:textId="77777777" w:rsidR="00493C90" w:rsidRPr="00DA3C5F" w:rsidRDefault="00493C90" w:rsidP="005C437D">
      <w:pPr>
        <w:pStyle w:val="HChG"/>
        <w:rPr>
          <w:lang w:val="fr-FR"/>
        </w:rPr>
      </w:pPr>
      <w:r w:rsidRPr="00DA3C5F">
        <w:rPr>
          <w:lang w:val="fr-FR"/>
        </w:rPr>
        <w:lastRenderedPageBreak/>
        <w:t>Annexe</w:t>
      </w:r>
    </w:p>
    <w:p w14:paraId="46F5EAD5" w14:textId="5050886B" w:rsidR="00493C90" w:rsidRPr="00DA3C5F" w:rsidRDefault="00493C90" w:rsidP="005C437D">
      <w:pPr>
        <w:pStyle w:val="HChG"/>
        <w:rPr>
          <w:lang w:val="fr-FR"/>
        </w:rPr>
      </w:pPr>
      <w:r w:rsidRPr="00DA3C5F">
        <w:rPr>
          <w:lang w:val="fr-FR"/>
        </w:rPr>
        <w:tab/>
      </w:r>
      <w:r w:rsidRPr="00DA3C5F">
        <w:rPr>
          <w:lang w:val="fr-FR"/>
        </w:rPr>
        <w:tab/>
      </w:r>
      <w:bookmarkStart w:id="3" w:name="_Hlk70085987"/>
      <w:r w:rsidRPr="00DA3C5F">
        <w:rPr>
          <w:lang w:val="fr-FR"/>
        </w:rPr>
        <w:t xml:space="preserve">Mandat du Rapporteur ou de la Rapporteuse </w:t>
      </w:r>
      <w:bookmarkEnd w:id="3"/>
      <w:r w:rsidRPr="00DA3C5F">
        <w:rPr>
          <w:lang w:val="fr-FR"/>
        </w:rPr>
        <w:t xml:space="preserve">sur </w:t>
      </w:r>
      <w:r w:rsidR="005C437D">
        <w:rPr>
          <w:lang w:val="fr-FR"/>
        </w:rPr>
        <w:br/>
      </w:r>
      <w:r w:rsidRPr="00DA3C5F">
        <w:rPr>
          <w:lang w:val="fr-FR"/>
        </w:rPr>
        <w:t>les défenseurs et défenseuses de l</w:t>
      </w:r>
      <w:r>
        <w:rPr>
          <w:lang w:val="fr-FR"/>
        </w:rPr>
        <w:t>’</w:t>
      </w:r>
      <w:r w:rsidRPr="00DA3C5F">
        <w:rPr>
          <w:lang w:val="fr-FR"/>
        </w:rPr>
        <w:t xml:space="preserve">environnement </w:t>
      </w:r>
      <w:r w:rsidR="005C437D">
        <w:rPr>
          <w:lang w:val="fr-FR"/>
        </w:rPr>
        <w:br/>
      </w:r>
      <w:r w:rsidRPr="00DA3C5F">
        <w:rPr>
          <w:lang w:val="fr-FR"/>
        </w:rPr>
        <w:t>au titre de la Convention d</w:t>
      </w:r>
      <w:r>
        <w:rPr>
          <w:lang w:val="fr-FR"/>
        </w:rPr>
        <w:t>’</w:t>
      </w:r>
      <w:r w:rsidRPr="00DA3C5F">
        <w:rPr>
          <w:lang w:val="fr-FR"/>
        </w:rPr>
        <w:t>Aarhus</w:t>
      </w:r>
    </w:p>
    <w:p w14:paraId="633ED8C0" w14:textId="77777777" w:rsidR="00493C90" w:rsidRPr="00DA3C5F" w:rsidRDefault="00493C90" w:rsidP="005C437D">
      <w:pPr>
        <w:pStyle w:val="H1G"/>
        <w:rPr>
          <w:lang w:val="fr-FR"/>
        </w:rPr>
      </w:pPr>
      <w:r w:rsidRPr="00DA3C5F">
        <w:rPr>
          <w:lang w:val="fr-FR"/>
        </w:rPr>
        <w:tab/>
        <w:t>A.</w:t>
      </w:r>
      <w:r w:rsidRPr="00DA3C5F">
        <w:rPr>
          <w:lang w:val="fr-FR"/>
        </w:rPr>
        <w:tab/>
        <w:t xml:space="preserve">Mission du Rapporteur ou de la Rapporteuse </w:t>
      </w:r>
    </w:p>
    <w:p w14:paraId="7D0E22C0" w14:textId="37FAAF21" w:rsidR="00493C90" w:rsidRPr="00DA3C5F" w:rsidRDefault="00493C90" w:rsidP="00493C90">
      <w:pPr>
        <w:pStyle w:val="SingleTxtG"/>
        <w:rPr>
          <w:lang w:val="fr-FR"/>
        </w:rPr>
      </w:pPr>
      <w:r w:rsidRPr="00DA3C5F">
        <w:rPr>
          <w:lang w:val="fr-FR"/>
        </w:rPr>
        <w:t>1.</w:t>
      </w:r>
      <w:r w:rsidRPr="00DA3C5F">
        <w:rPr>
          <w:lang w:val="fr-FR"/>
        </w:rPr>
        <w:tab/>
        <w:t>En application de l</w:t>
      </w:r>
      <w:r>
        <w:rPr>
          <w:lang w:val="fr-FR"/>
        </w:rPr>
        <w:t>’</w:t>
      </w:r>
      <w:r w:rsidRPr="00DA3C5F">
        <w:rPr>
          <w:lang w:val="fr-FR"/>
        </w:rPr>
        <w:t>article 3 (par. 8) de la Convention, le Rapporteur ou la Rapporteuse a pour mandat de prendre des mesures pour protéger toute personne qui</w:t>
      </w:r>
      <w:r w:rsidR="005C437D">
        <w:rPr>
          <w:lang w:val="fr-FR"/>
        </w:rPr>
        <w:t> </w:t>
      </w:r>
      <w:r w:rsidRPr="00DA3C5F">
        <w:rPr>
          <w:lang w:val="fr-FR"/>
        </w:rPr>
        <w:t xml:space="preserve">: </w:t>
      </w:r>
    </w:p>
    <w:p w14:paraId="22581A43" w14:textId="639C1519" w:rsidR="00493C90" w:rsidRPr="00DA3C5F" w:rsidRDefault="00493C90" w:rsidP="00493C90">
      <w:pPr>
        <w:pStyle w:val="SingleTxtG"/>
        <w:ind w:firstLine="567"/>
        <w:rPr>
          <w:lang w:val="fr-FR"/>
        </w:rPr>
      </w:pPr>
      <w:r w:rsidRPr="00DA3C5F">
        <w:rPr>
          <w:lang w:val="fr-FR"/>
        </w:rPr>
        <w:t>a)</w:t>
      </w:r>
      <w:r w:rsidRPr="00DA3C5F">
        <w:rPr>
          <w:lang w:val="fr-FR"/>
        </w:rPr>
        <w:tab/>
      </w:r>
      <w:r>
        <w:rPr>
          <w:lang w:val="fr-FR"/>
        </w:rPr>
        <w:t xml:space="preserve">Subit des persécutions, </w:t>
      </w:r>
      <w:r w:rsidRPr="00584CFF">
        <w:rPr>
          <w:lang w:val="fr-FR"/>
        </w:rPr>
        <w:t>une pénalisation</w:t>
      </w:r>
      <w:r>
        <w:rPr>
          <w:lang w:val="fr-FR"/>
        </w:rPr>
        <w:t xml:space="preserve"> ou </w:t>
      </w:r>
      <w:r w:rsidRPr="00DA3C5F">
        <w:rPr>
          <w:lang w:val="fr-FR"/>
        </w:rPr>
        <w:t>des mesures vexatoires ou</w:t>
      </w:r>
    </w:p>
    <w:p w14:paraId="28F42F38" w14:textId="77777777" w:rsidR="00493C90" w:rsidRPr="00DA3C5F" w:rsidRDefault="00493C90" w:rsidP="00493C90">
      <w:pPr>
        <w:pStyle w:val="SingleTxtG"/>
        <w:ind w:firstLine="567"/>
        <w:rPr>
          <w:lang w:val="fr-FR"/>
        </w:rPr>
      </w:pPr>
      <w:r w:rsidRPr="00DA3C5F">
        <w:rPr>
          <w:lang w:val="fr-FR"/>
        </w:rPr>
        <w:t>b)</w:t>
      </w:r>
      <w:r w:rsidRPr="00DA3C5F">
        <w:rPr>
          <w:lang w:val="fr-FR"/>
        </w:rPr>
        <w:tab/>
      </w:r>
      <w:r>
        <w:rPr>
          <w:lang w:val="fr-FR"/>
        </w:rPr>
        <w:t xml:space="preserve">Court un </w:t>
      </w:r>
      <w:r w:rsidRPr="00DA3C5F">
        <w:rPr>
          <w:lang w:val="fr-FR"/>
        </w:rPr>
        <w:t>risque imminent</w:t>
      </w:r>
      <w:r>
        <w:rPr>
          <w:lang w:val="fr-FR"/>
        </w:rPr>
        <w:t xml:space="preserve"> de persécution</w:t>
      </w:r>
      <w:r w:rsidRPr="00DA3C5F">
        <w:rPr>
          <w:lang w:val="fr-FR"/>
        </w:rPr>
        <w:t>,</w:t>
      </w:r>
      <w:r>
        <w:rPr>
          <w:lang w:val="fr-FR"/>
        </w:rPr>
        <w:t xml:space="preserve"> de</w:t>
      </w:r>
      <w:r w:rsidRPr="00DA3C5F">
        <w:rPr>
          <w:lang w:val="fr-FR"/>
        </w:rPr>
        <w:t xml:space="preserve"> </w:t>
      </w:r>
      <w:r w:rsidRPr="00584CFF">
        <w:rPr>
          <w:lang w:val="fr-FR"/>
        </w:rPr>
        <w:t>pénalisation</w:t>
      </w:r>
      <w:r>
        <w:rPr>
          <w:lang w:val="fr-FR"/>
        </w:rPr>
        <w:t xml:space="preserve"> ou </w:t>
      </w:r>
      <w:r w:rsidRPr="00DA3C5F">
        <w:rPr>
          <w:lang w:val="fr-FR"/>
        </w:rPr>
        <w:t xml:space="preserve">de mesures vexatoires </w:t>
      </w:r>
    </w:p>
    <w:p w14:paraId="3AC437A2" w14:textId="77777777" w:rsidR="00493C90" w:rsidRPr="00DA3C5F" w:rsidRDefault="00493C90" w:rsidP="00493C90">
      <w:pPr>
        <w:pStyle w:val="SingleTxtG"/>
        <w:rPr>
          <w:lang w:val="fr-FR"/>
        </w:rPr>
      </w:pPr>
      <w:r w:rsidRPr="00DA3C5F">
        <w:rPr>
          <w:lang w:val="fr-FR"/>
        </w:rPr>
        <w:t>pour avoir cherché à exercer ses droits conformément aux dispositions de la Convention d</w:t>
      </w:r>
      <w:r>
        <w:rPr>
          <w:lang w:val="fr-FR"/>
        </w:rPr>
        <w:t>’</w:t>
      </w:r>
      <w:r w:rsidRPr="00DA3C5F">
        <w:rPr>
          <w:lang w:val="fr-FR"/>
        </w:rPr>
        <w:t xml:space="preserve">Aarhus. La pénalisation, </w:t>
      </w:r>
      <w:r>
        <w:rPr>
          <w:lang w:val="fr-FR"/>
        </w:rPr>
        <w:t>les</w:t>
      </w:r>
      <w:r w:rsidRPr="00DA3C5F">
        <w:rPr>
          <w:lang w:val="fr-FR"/>
        </w:rPr>
        <w:t xml:space="preserve"> persécution</w:t>
      </w:r>
      <w:r>
        <w:rPr>
          <w:lang w:val="fr-FR"/>
        </w:rPr>
        <w:t>s</w:t>
      </w:r>
      <w:r w:rsidRPr="00DA3C5F">
        <w:rPr>
          <w:lang w:val="fr-FR"/>
        </w:rPr>
        <w:t xml:space="preserve"> ou les mesures vexatoires peuvent résulter d</w:t>
      </w:r>
      <w:r>
        <w:rPr>
          <w:lang w:val="fr-FR"/>
        </w:rPr>
        <w:t>’</w:t>
      </w:r>
      <w:r w:rsidRPr="00DA3C5F">
        <w:rPr>
          <w:lang w:val="fr-FR"/>
        </w:rPr>
        <w:t>actes ou d</w:t>
      </w:r>
      <w:r>
        <w:rPr>
          <w:lang w:val="fr-FR"/>
        </w:rPr>
        <w:t>’</w:t>
      </w:r>
      <w:r w:rsidRPr="00DA3C5F">
        <w:rPr>
          <w:lang w:val="fr-FR"/>
        </w:rPr>
        <w:t>omissions imputables à des entités publiques ou privées ou à des particuliers</w:t>
      </w:r>
      <w:r w:rsidRPr="00DA3C5F">
        <w:rPr>
          <w:rStyle w:val="Appelnotedebasdep"/>
          <w:lang w:val="fr-FR"/>
        </w:rPr>
        <w:footnoteReference w:id="10"/>
      </w:r>
      <w:r w:rsidRPr="00DA3C5F">
        <w:rPr>
          <w:lang w:val="fr-FR"/>
        </w:rPr>
        <w:t xml:space="preserve">. </w:t>
      </w:r>
    </w:p>
    <w:p w14:paraId="149715D9" w14:textId="06A9184F" w:rsidR="00493C90" w:rsidRPr="00DA3C5F" w:rsidRDefault="00493C90" w:rsidP="005C437D">
      <w:pPr>
        <w:pStyle w:val="H1G"/>
        <w:rPr>
          <w:lang w:val="fr-FR"/>
        </w:rPr>
      </w:pPr>
      <w:r w:rsidRPr="00DA3C5F">
        <w:rPr>
          <w:lang w:val="fr-FR"/>
        </w:rPr>
        <w:tab/>
        <w:t>B.</w:t>
      </w:r>
      <w:r w:rsidRPr="00DA3C5F">
        <w:rPr>
          <w:lang w:val="fr-FR"/>
        </w:rPr>
        <w:tab/>
        <w:t xml:space="preserve">Plaintes </w:t>
      </w:r>
      <w:r>
        <w:rPr>
          <w:lang w:val="fr-FR"/>
        </w:rPr>
        <w:t xml:space="preserve">soumises au </w:t>
      </w:r>
      <w:r w:rsidRPr="00DA3C5F">
        <w:rPr>
          <w:lang w:val="fr-FR"/>
        </w:rPr>
        <w:t xml:space="preserve">Rapporteur ou </w:t>
      </w:r>
      <w:r>
        <w:rPr>
          <w:lang w:val="fr-FR"/>
        </w:rPr>
        <w:t xml:space="preserve">à </w:t>
      </w:r>
      <w:r w:rsidRPr="00DA3C5F">
        <w:rPr>
          <w:lang w:val="fr-FR"/>
        </w:rPr>
        <w:t>la Rapporteuse</w:t>
      </w:r>
    </w:p>
    <w:p w14:paraId="032DF110" w14:textId="604053C9" w:rsidR="00493C90" w:rsidRPr="00DA3C5F" w:rsidRDefault="00493C90" w:rsidP="00493C90">
      <w:pPr>
        <w:pStyle w:val="SingleTxtG"/>
        <w:rPr>
          <w:lang w:val="fr-FR"/>
        </w:rPr>
      </w:pPr>
      <w:r w:rsidRPr="00DA3C5F">
        <w:rPr>
          <w:lang w:val="fr-FR"/>
        </w:rPr>
        <w:t>2.</w:t>
      </w:r>
      <w:r w:rsidRPr="00DA3C5F">
        <w:rPr>
          <w:lang w:val="fr-FR"/>
        </w:rPr>
        <w:tab/>
        <w:t xml:space="preserve">Une plainte peut être </w:t>
      </w:r>
      <w:r>
        <w:rPr>
          <w:lang w:val="fr-FR"/>
        </w:rPr>
        <w:t xml:space="preserve">soumise au </w:t>
      </w:r>
      <w:r w:rsidRPr="00DA3C5F">
        <w:rPr>
          <w:lang w:val="fr-FR"/>
        </w:rPr>
        <w:t xml:space="preserve">Rapporteur ou </w:t>
      </w:r>
      <w:r>
        <w:rPr>
          <w:lang w:val="fr-FR"/>
        </w:rPr>
        <w:t xml:space="preserve">à </w:t>
      </w:r>
      <w:r w:rsidRPr="00DA3C5F">
        <w:rPr>
          <w:lang w:val="fr-FR"/>
        </w:rPr>
        <w:t>la Rapporteuse sur les défenseurs et défenseuses de l</w:t>
      </w:r>
      <w:r>
        <w:rPr>
          <w:lang w:val="fr-FR"/>
        </w:rPr>
        <w:t>’</w:t>
      </w:r>
      <w:r w:rsidRPr="00DA3C5F">
        <w:rPr>
          <w:lang w:val="fr-FR"/>
        </w:rPr>
        <w:t>environnement par</w:t>
      </w:r>
      <w:r w:rsidR="005C437D">
        <w:rPr>
          <w:lang w:val="fr-FR"/>
        </w:rPr>
        <w:t> </w:t>
      </w:r>
      <w:r w:rsidRPr="00DA3C5F">
        <w:rPr>
          <w:lang w:val="fr-FR"/>
        </w:rPr>
        <w:t>:</w:t>
      </w:r>
    </w:p>
    <w:p w14:paraId="1485B461" w14:textId="77777777" w:rsidR="00493C90" w:rsidRPr="00DA3C5F" w:rsidRDefault="00493C90" w:rsidP="00493C90">
      <w:pPr>
        <w:pStyle w:val="SingleTxtG"/>
        <w:ind w:firstLine="567"/>
        <w:rPr>
          <w:lang w:val="fr-FR"/>
        </w:rPr>
      </w:pPr>
      <w:r w:rsidRPr="00DA3C5F">
        <w:rPr>
          <w:lang w:val="fr-FR"/>
        </w:rPr>
        <w:t>a)</w:t>
      </w:r>
      <w:r w:rsidRPr="00DA3C5F">
        <w:rPr>
          <w:lang w:val="fr-FR"/>
        </w:rPr>
        <w:tab/>
      </w:r>
      <w:r>
        <w:rPr>
          <w:lang w:val="fr-FR"/>
        </w:rPr>
        <w:t>T</w:t>
      </w:r>
      <w:r w:rsidRPr="00DA3C5F">
        <w:rPr>
          <w:lang w:val="fr-FR"/>
        </w:rPr>
        <w:t>out membre du public, en son nom ou au nom de tout autre membre du public ;</w:t>
      </w:r>
    </w:p>
    <w:p w14:paraId="68659E3E" w14:textId="5BA65B73" w:rsidR="00493C90" w:rsidRPr="00DA3C5F" w:rsidRDefault="00493C90" w:rsidP="00493C90">
      <w:pPr>
        <w:pStyle w:val="SingleTxtG"/>
        <w:ind w:firstLine="567"/>
        <w:rPr>
          <w:lang w:val="fr-FR"/>
        </w:rPr>
      </w:pPr>
      <w:r w:rsidRPr="00DA3C5F">
        <w:rPr>
          <w:lang w:val="fr-FR"/>
        </w:rPr>
        <w:t>b)</w:t>
      </w:r>
      <w:r w:rsidRPr="00DA3C5F">
        <w:rPr>
          <w:lang w:val="fr-FR"/>
        </w:rPr>
        <w:tab/>
      </w:r>
      <w:r>
        <w:rPr>
          <w:lang w:val="fr-FR"/>
        </w:rPr>
        <w:t>U</w:t>
      </w:r>
      <w:r w:rsidRPr="00DA3C5F">
        <w:rPr>
          <w:lang w:val="fr-FR"/>
        </w:rPr>
        <w:t>ne Partie à la Convention</w:t>
      </w:r>
      <w:r w:rsidR="005C437D">
        <w:rPr>
          <w:lang w:val="fr-FR"/>
        </w:rPr>
        <w:t> </w:t>
      </w:r>
      <w:r w:rsidRPr="00DA3C5F">
        <w:rPr>
          <w:lang w:val="fr-FR"/>
        </w:rPr>
        <w:t>;</w:t>
      </w:r>
    </w:p>
    <w:p w14:paraId="1D74996D" w14:textId="77777777" w:rsidR="00493C90" w:rsidRPr="00DA3C5F" w:rsidRDefault="00493C90" w:rsidP="00493C90">
      <w:pPr>
        <w:pStyle w:val="SingleTxtG"/>
        <w:ind w:firstLine="567"/>
        <w:rPr>
          <w:lang w:val="fr-FR"/>
        </w:rPr>
      </w:pPr>
      <w:r w:rsidRPr="00DA3C5F">
        <w:rPr>
          <w:lang w:val="fr-FR"/>
        </w:rPr>
        <w:t>c)</w:t>
      </w:r>
      <w:r w:rsidRPr="00DA3C5F">
        <w:rPr>
          <w:lang w:val="fr-FR"/>
        </w:rPr>
        <w:tab/>
      </w:r>
      <w:r>
        <w:rPr>
          <w:lang w:val="fr-FR"/>
        </w:rPr>
        <w:t>L</w:t>
      </w:r>
      <w:r w:rsidRPr="00DA3C5F">
        <w:rPr>
          <w:lang w:val="fr-FR"/>
        </w:rPr>
        <w:t>e secrétariat.</w:t>
      </w:r>
    </w:p>
    <w:p w14:paraId="1D2EA977" w14:textId="77777777" w:rsidR="00493C90" w:rsidRPr="00DA3C5F" w:rsidRDefault="00493C90" w:rsidP="00493C90">
      <w:pPr>
        <w:pStyle w:val="H1G"/>
        <w:rPr>
          <w:lang w:val="fr-FR"/>
        </w:rPr>
      </w:pPr>
      <w:r w:rsidRPr="00DA3C5F">
        <w:rPr>
          <w:lang w:val="fr-FR"/>
        </w:rPr>
        <w:tab/>
        <w:t>C.</w:t>
      </w:r>
      <w:r w:rsidRPr="00DA3C5F">
        <w:rPr>
          <w:lang w:val="fr-FR"/>
        </w:rPr>
        <w:tab/>
      </w:r>
      <w:r w:rsidRPr="00DA3C5F">
        <w:rPr>
          <w:bCs/>
          <w:lang w:val="fr-FR"/>
        </w:rPr>
        <w:t>Recevabilité</w:t>
      </w:r>
    </w:p>
    <w:p w14:paraId="2227FCEB" w14:textId="18F3C7F3" w:rsidR="00493C90" w:rsidRPr="00DA3C5F" w:rsidRDefault="00493C90" w:rsidP="00493C90">
      <w:pPr>
        <w:pStyle w:val="SingleTxtG"/>
        <w:rPr>
          <w:lang w:val="fr-FR"/>
        </w:rPr>
      </w:pPr>
      <w:r w:rsidRPr="00DA3C5F">
        <w:rPr>
          <w:lang w:val="fr-FR"/>
        </w:rPr>
        <w:t>3.</w:t>
      </w:r>
      <w:r w:rsidRPr="00DA3C5F">
        <w:rPr>
          <w:lang w:val="fr-FR"/>
        </w:rPr>
        <w:tab/>
        <w:t>Le Rapporteur ou la Rapporteuse examine toute plainte</w:t>
      </w:r>
      <w:r>
        <w:rPr>
          <w:lang w:val="fr-FR"/>
        </w:rPr>
        <w:t xml:space="preserve"> reçue</w:t>
      </w:r>
      <w:r w:rsidRPr="00DA3C5F">
        <w:rPr>
          <w:lang w:val="fr-FR"/>
        </w:rPr>
        <w:t>, à moins qu</w:t>
      </w:r>
      <w:r>
        <w:rPr>
          <w:lang w:val="fr-FR"/>
        </w:rPr>
        <w:t>’</w:t>
      </w:r>
      <w:r w:rsidRPr="00DA3C5F">
        <w:rPr>
          <w:lang w:val="fr-FR"/>
        </w:rPr>
        <w:t xml:space="preserve">il ou elle </w:t>
      </w:r>
      <w:r>
        <w:rPr>
          <w:lang w:val="fr-FR"/>
        </w:rPr>
        <w:t>n’</w:t>
      </w:r>
      <w:r w:rsidRPr="00DA3C5F">
        <w:rPr>
          <w:lang w:val="fr-FR"/>
        </w:rPr>
        <w:t>établisse que celle-ci est</w:t>
      </w:r>
      <w:r w:rsidR="005C437D">
        <w:rPr>
          <w:lang w:val="fr-FR"/>
        </w:rPr>
        <w:t> </w:t>
      </w:r>
      <w:r w:rsidRPr="00DA3C5F">
        <w:rPr>
          <w:lang w:val="fr-FR"/>
        </w:rPr>
        <w:t>:</w:t>
      </w:r>
    </w:p>
    <w:p w14:paraId="731E902B" w14:textId="54F1541F" w:rsidR="00493C90" w:rsidRPr="00DA3C5F" w:rsidRDefault="00493C90" w:rsidP="00493C90">
      <w:pPr>
        <w:pStyle w:val="SingleTxtG"/>
        <w:ind w:firstLine="567"/>
        <w:rPr>
          <w:lang w:val="fr-FR"/>
        </w:rPr>
      </w:pPr>
      <w:r w:rsidRPr="00DA3C5F">
        <w:rPr>
          <w:lang w:val="fr-FR"/>
        </w:rPr>
        <w:t>a)</w:t>
      </w:r>
      <w:r w:rsidRPr="00DA3C5F">
        <w:rPr>
          <w:lang w:val="fr-FR"/>
        </w:rPr>
        <w:tab/>
      </w:r>
      <w:r>
        <w:rPr>
          <w:lang w:val="fr-FR"/>
        </w:rPr>
        <w:t>A</w:t>
      </w:r>
      <w:r w:rsidRPr="00DA3C5F">
        <w:rPr>
          <w:lang w:val="fr-FR"/>
        </w:rPr>
        <w:t>nonyme − des plaintes anonymes portant sur des allégations crédibles et vérifiables de manière indépendante pourront toutefois être examinées</w:t>
      </w:r>
      <w:r w:rsidR="005C437D">
        <w:rPr>
          <w:lang w:val="fr-FR"/>
        </w:rPr>
        <w:t> </w:t>
      </w:r>
      <w:r w:rsidRPr="00DA3C5F">
        <w:rPr>
          <w:lang w:val="fr-FR"/>
        </w:rPr>
        <w:t>;</w:t>
      </w:r>
    </w:p>
    <w:p w14:paraId="768DC8CA" w14:textId="16035D3C" w:rsidR="00493C90" w:rsidRPr="00DA3C5F" w:rsidRDefault="00493C90" w:rsidP="00493C90">
      <w:pPr>
        <w:pStyle w:val="SingleTxtG"/>
        <w:ind w:firstLine="567"/>
        <w:rPr>
          <w:lang w:val="fr-FR"/>
        </w:rPr>
      </w:pPr>
      <w:r w:rsidRPr="00DA3C5F">
        <w:rPr>
          <w:lang w:val="fr-FR"/>
        </w:rPr>
        <w:t>b)</w:t>
      </w:r>
      <w:r w:rsidRPr="00DA3C5F">
        <w:rPr>
          <w:lang w:val="fr-FR"/>
        </w:rPr>
        <w:tab/>
        <w:t>Abusive</w:t>
      </w:r>
      <w:r w:rsidR="005C437D">
        <w:rPr>
          <w:lang w:val="fr-FR"/>
        </w:rPr>
        <w:t> </w:t>
      </w:r>
      <w:r w:rsidRPr="00DA3C5F">
        <w:rPr>
          <w:lang w:val="fr-FR"/>
        </w:rPr>
        <w:t>;</w:t>
      </w:r>
    </w:p>
    <w:p w14:paraId="385CE14C" w14:textId="53BF07C1" w:rsidR="00493C90" w:rsidRPr="00DA3C5F" w:rsidRDefault="00493C90" w:rsidP="00493C90">
      <w:pPr>
        <w:pStyle w:val="SingleTxtG"/>
        <w:ind w:firstLine="567"/>
        <w:rPr>
          <w:lang w:val="fr-FR"/>
        </w:rPr>
      </w:pPr>
      <w:r w:rsidRPr="00DA3C5F">
        <w:rPr>
          <w:lang w:val="fr-FR"/>
        </w:rPr>
        <w:t>c)</w:t>
      </w:r>
      <w:r w:rsidRPr="00DA3C5F">
        <w:rPr>
          <w:lang w:val="fr-FR"/>
        </w:rPr>
        <w:tab/>
        <w:t>Manifestement déraisonnable</w:t>
      </w:r>
      <w:r w:rsidR="005C437D">
        <w:rPr>
          <w:lang w:val="fr-FR"/>
        </w:rPr>
        <w:t> </w:t>
      </w:r>
      <w:r w:rsidRPr="00DA3C5F">
        <w:rPr>
          <w:lang w:val="fr-FR"/>
        </w:rPr>
        <w:t>;</w:t>
      </w:r>
    </w:p>
    <w:p w14:paraId="5E3BFA72" w14:textId="2E61B6B6" w:rsidR="00493C90" w:rsidRPr="00DA3C5F" w:rsidRDefault="00493C90" w:rsidP="00493C90">
      <w:pPr>
        <w:pStyle w:val="SingleTxtG"/>
        <w:ind w:firstLine="567"/>
        <w:rPr>
          <w:lang w:val="fr-FR"/>
        </w:rPr>
      </w:pPr>
      <w:r w:rsidRPr="00DA3C5F">
        <w:rPr>
          <w:lang w:val="fr-FR"/>
        </w:rPr>
        <w:t>d)</w:t>
      </w:r>
      <w:r w:rsidRPr="00DA3C5F">
        <w:rPr>
          <w:lang w:val="fr-FR"/>
        </w:rPr>
        <w:tab/>
        <w:t>Incompatible avec les dispositions de la décision portant création du mécanisme de réaction rapide ou avec la Convention</w:t>
      </w:r>
      <w:r w:rsidR="005C437D">
        <w:rPr>
          <w:lang w:val="fr-FR"/>
        </w:rPr>
        <w:t> </w:t>
      </w:r>
      <w:r w:rsidRPr="00DA3C5F">
        <w:rPr>
          <w:lang w:val="fr-FR"/>
        </w:rPr>
        <w:t>;</w:t>
      </w:r>
    </w:p>
    <w:p w14:paraId="3E03DF73" w14:textId="77777777" w:rsidR="00493C90" w:rsidRPr="00DA3C5F" w:rsidRDefault="00493C90" w:rsidP="00493C90">
      <w:pPr>
        <w:pStyle w:val="SingleTxtG"/>
        <w:ind w:firstLine="567"/>
        <w:rPr>
          <w:lang w:val="fr-FR"/>
        </w:rPr>
      </w:pPr>
      <w:r w:rsidRPr="00DA3C5F">
        <w:rPr>
          <w:lang w:val="fr-FR"/>
        </w:rPr>
        <w:t>e)</w:t>
      </w:r>
      <w:r w:rsidRPr="00DA3C5F">
        <w:rPr>
          <w:lang w:val="fr-FR"/>
        </w:rPr>
        <w:tab/>
      </w:r>
      <w:r w:rsidRPr="00DA3C5F">
        <w:rPr>
          <w:i/>
          <w:iCs/>
          <w:lang w:val="fr-FR"/>
        </w:rPr>
        <w:t>De minimis.</w:t>
      </w:r>
    </w:p>
    <w:p w14:paraId="35A0182B" w14:textId="77777777" w:rsidR="00493C90" w:rsidRPr="00DA3C5F" w:rsidRDefault="00493C90" w:rsidP="00493C90">
      <w:pPr>
        <w:pStyle w:val="H1G"/>
        <w:rPr>
          <w:lang w:val="fr-FR"/>
        </w:rPr>
      </w:pPr>
      <w:r w:rsidRPr="00DA3C5F">
        <w:rPr>
          <w:lang w:val="fr-FR"/>
        </w:rPr>
        <w:tab/>
        <w:t>D.</w:t>
      </w:r>
      <w:r w:rsidRPr="00DA3C5F">
        <w:rPr>
          <w:lang w:val="fr-FR"/>
        </w:rPr>
        <w:tab/>
      </w:r>
      <w:r w:rsidRPr="00DA3C5F">
        <w:rPr>
          <w:bCs/>
          <w:lang w:val="fr-FR"/>
        </w:rPr>
        <w:t>Recours internes</w:t>
      </w:r>
    </w:p>
    <w:p w14:paraId="59CBF7D8" w14:textId="4363C979" w:rsidR="00493C90" w:rsidRPr="00DA3C5F" w:rsidRDefault="00493C90" w:rsidP="00493C90">
      <w:pPr>
        <w:pStyle w:val="SingleTxtG"/>
        <w:rPr>
          <w:lang w:val="fr-FR"/>
        </w:rPr>
      </w:pPr>
      <w:r w:rsidRPr="00DA3C5F">
        <w:rPr>
          <w:lang w:val="fr-FR"/>
        </w:rPr>
        <w:t>4.</w:t>
      </w:r>
      <w:r w:rsidRPr="00DA3C5F">
        <w:rPr>
          <w:lang w:val="fr-FR"/>
        </w:rPr>
        <w:tab/>
        <w:t xml:space="preserve">Compte tenu de la </w:t>
      </w:r>
      <w:r w:rsidRPr="00584CFF">
        <w:rPr>
          <w:lang w:val="fr-FR"/>
        </w:rPr>
        <w:t>nature urgente du mandat</w:t>
      </w:r>
      <w:r w:rsidRPr="00DA3C5F">
        <w:rPr>
          <w:lang w:val="fr-FR"/>
        </w:rPr>
        <w:t xml:space="preserve"> confié au Rapporteur ou à la Rapporteuse, les plaignants ne sont pas tenus d</w:t>
      </w:r>
      <w:r>
        <w:rPr>
          <w:lang w:val="fr-FR"/>
        </w:rPr>
        <w:t>’épuiser</w:t>
      </w:r>
      <w:r w:rsidRPr="00DA3C5F">
        <w:rPr>
          <w:lang w:val="fr-FR"/>
        </w:rPr>
        <w:t xml:space="preserve"> les recours internes avant de </w:t>
      </w:r>
      <w:r>
        <w:rPr>
          <w:lang w:val="fr-FR"/>
        </w:rPr>
        <w:t xml:space="preserve">soumettre </w:t>
      </w:r>
      <w:r w:rsidRPr="00DA3C5F">
        <w:rPr>
          <w:lang w:val="fr-FR"/>
        </w:rPr>
        <w:t xml:space="preserve">une plainte au Rapporteur ou </w:t>
      </w:r>
      <w:r>
        <w:rPr>
          <w:lang w:val="fr-FR"/>
        </w:rPr>
        <w:t xml:space="preserve">à </w:t>
      </w:r>
      <w:r w:rsidRPr="00DA3C5F">
        <w:rPr>
          <w:lang w:val="fr-FR"/>
        </w:rPr>
        <w:t>la Rapporteuse.</w:t>
      </w:r>
    </w:p>
    <w:p w14:paraId="00F00B97" w14:textId="77777777" w:rsidR="00493C90" w:rsidRPr="00DA3C5F" w:rsidRDefault="00493C90" w:rsidP="00493C90">
      <w:pPr>
        <w:pStyle w:val="H1G"/>
        <w:rPr>
          <w:lang w:val="fr-FR"/>
        </w:rPr>
      </w:pPr>
      <w:r w:rsidRPr="00DA3C5F">
        <w:rPr>
          <w:lang w:val="fr-FR"/>
        </w:rPr>
        <w:lastRenderedPageBreak/>
        <w:tab/>
        <w:t>E.</w:t>
      </w:r>
      <w:r w:rsidRPr="00DA3C5F">
        <w:rPr>
          <w:lang w:val="fr-FR"/>
        </w:rPr>
        <w:tab/>
      </w:r>
      <w:r>
        <w:rPr>
          <w:bCs/>
          <w:lang w:val="fr-FR"/>
        </w:rPr>
        <w:t>C</w:t>
      </w:r>
      <w:r w:rsidRPr="00DA3C5F">
        <w:rPr>
          <w:bCs/>
          <w:lang w:val="fr-FR"/>
        </w:rPr>
        <w:t>onfidenti</w:t>
      </w:r>
      <w:r>
        <w:rPr>
          <w:bCs/>
          <w:lang w:val="fr-FR"/>
        </w:rPr>
        <w:t>alité</w:t>
      </w:r>
    </w:p>
    <w:p w14:paraId="13F94579" w14:textId="77777777" w:rsidR="00493C90" w:rsidRPr="00DA3C5F" w:rsidRDefault="00493C90" w:rsidP="00493C90">
      <w:pPr>
        <w:pStyle w:val="SingleTxtG"/>
        <w:rPr>
          <w:lang w:val="fr-FR"/>
        </w:rPr>
      </w:pPr>
      <w:r w:rsidRPr="00DA3C5F">
        <w:rPr>
          <w:lang w:val="fr-FR"/>
        </w:rPr>
        <w:t>5.</w:t>
      </w:r>
      <w:r w:rsidRPr="00DA3C5F">
        <w:rPr>
          <w:lang w:val="fr-FR"/>
        </w:rPr>
        <w:tab/>
        <w:t>Les informations communiquées au Rapporteur ou à la Rapporteuse, y compris toutes les informations concernant l</w:t>
      </w:r>
      <w:r>
        <w:rPr>
          <w:lang w:val="fr-FR"/>
        </w:rPr>
        <w:t>’</w:t>
      </w:r>
      <w:r w:rsidRPr="00DA3C5F">
        <w:rPr>
          <w:lang w:val="fr-FR"/>
        </w:rPr>
        <w:t>identité du plaignant</w:t>
      </w:r>
      <w:r>
        <w:rPr>
          <w:lang w:val="fr-FR"/>
        </w:rPr>
        <w:t xml:space="preserve"> ou de la plaignante</w:t>
      </w:r>
      <w:r w:rsidRPr="00DA3C5F">
        <w:rPr>
          <w:lang w:val="fr-FR"/>
        </w:rPr>
        <w:t>, reste</w:t>
      </w:r>
      <w:r>
        <w:rPr>
          <w:lang w:val="fr-FR"/>
        </w:rPr>
        <w:t>ro</w:t>
      </w:r>
      <w:r w:rsidRPr="00DA3C5F">
        <w:rPr>
          <w:lang w:val="fr-FR"/>
        </w:rPr>
        <w:t xml:space="preserve">nt confidentielles, à moins que </w:t>
      </w:r>
      <w:r>
        <w:rPr>
          <w:lang w:val="fr-FR"/>
        </w:rPr>
        <w:t>l’intéressé(e)</w:t>
      </w:r>
      <w:r w:rsidRPr="00DA3C5F">
        <w:rPr>
          <w:lang w:val="fr-FR"/>
        </w:rPr>
        <w:t xml:space="preserve"> </w:t>
      </w:r>
      <w:r>
        <w:rPr>
          <w:lang w:val="fr-FR"/>
        </w:rPr>
        <w:t>n’</w:t>
      </w:r>
      <w:r w:rsidRPr="00DA3C5F">
        <w:rPr>
          <w:lang w:val="fr-FR"/>
        </w:rPr>
        <w:t xml:space="preserve">ait expressément renoncé au droit à la confidentialité. Le Rapporteur ou la Rapporteuse peut préciser les conséquences </w:t>
      </w:r>
      <w:r>
        <w:rPr>
          <w:lang w:val="fr-FR"/>
        </w:rPr>
        <w:t xml:space="preserve">éventuelles </w:t>
      </w:r>
      <w:r w:rsidRPr="00DA3C5F">
        <w:rPr>
          <w:lang w:val="fr-FR"/>
        </w:rPr>
        <w:t xml:space="preserve">que le maintien de la confidentialité </w:t>
      </w:r>
      <w:r>
        <w:rPr>
          <w:lang w:val="fr-FR"/>
        </w:rPr>
        <w:t>pourrait</w:t>
      </w:r>
      <w:r w:rsidRPr="00DA3C5F">
        <w:rPr>
          <w:lang w:val="fr-FR"/>
        </w:rPr>
        <w:t xml:space="preserve"> avoir sur sa capacité à exercer ses fonctions. </w:t>
      </w:r>
    </w:p>
    <w:p w14:paraId="5CEAED7A" w14:textId="77777777" w:rsidR="00493C90" w:rsidRPr="00DA3C5F" w:rsidRDefault="00493C90" w:rsidP="00493C90">
      <w:pPr>
        <w:pStyle w:val="H1G"/>
        <w:rPr>
          <w:lang w:val="fr-FR"/>
        </w:rPr>
      </w:pPr>
      <w:r w:rsidRPr="00DA3C5F">
        <w:rPr>
          <w:lang w:val="fr-FR"/>
        </w:rPr>
        <w:tab/>
        <w:t>F.</w:t>
      </w:r>
      <w:r w:rsidRPr="00DA3C5F">
        <w:rPr>
          <w:lang w:val="fr-FR"/>
        </w:rPr>
        <w:tab/>
      </w:r>
      <w:r w:rsidRPr="00DA3C5F">
        <w:rPr>
          <w:bCs/>
          <w:lang w:val="fr-FR"/>
        </w:rPr>
        <w:t>Collecte d</w:t>
      </w:r>
      <w:r>
        <w:rPr>
          <w:bCs/>
          <w:lang w:val="fr-FR"/>
        </w:rPr>
        <w:t>’</w:t>
      </w:r>
      <w:r w:rsidRPr="00DA3C5F">
        <w:rPr>
          <w:bCs/>
          <w:lang w:val="fr-FR"/>
        </w:rPr>
        <w:t>informations</w:t>
      </w:r>
    </w:p>
    <w:p w14:paraId="3BA54157" w14:textId="1907F3D2" w:rsidR="00493C90" w:rsidRPr="00DA3C5F" w:rsidRDefault="00493C90" w:rsidP="00493C90">
      <w:pPr>
        <w:pStyle w:val="SingleTxtG"/>
        <w:rPr>
          <w:lang w:val="fr-FR"/>
        </w:rPr>
      </w:pPr>
      <w:r w:rsidRPr="00DA3C5F">
        <w:rPr>
          <w:lang w:val="fr-FR"/>
        </w:rPr>
        <w:t>6.</w:t>
      </w:r>
      <w:r w:rsidRPr="00DA3C5F">
        <w:rPr>
          <w:lang w:val="fr-FR"/>
        </w:rPr>
        <w:tab/>
        <w:t>Afin de recueillir les informations nécessaires à la bonne exécution de son mandat, le Rapporteur ou la Rapporteuse peut utiliser un ou plusieurs des moyens suivants</w:t>
      </w:r>
      <w:r w:rsidR="005C437D">
        <w:rPr>
          <w:lang w:val="fr-FR"/>
        </w:rPr>
        <w:t> </w:t>
      </w:r>
      <w:r w:rsidRPr="00DA3C5F">
        <w:rPr>
          <w:lang w:val="fr-FR"/>
        </w:rPr>
        <w:t>:</w:t>
      </w:r>
    </w:p>
    <w:p w14:paraId="4DC88ADC" w14:textId="5D02C671" w:rsidR="00493C90" w:rsidRPr="00DA3C5F" w:rsidRDefault="00493C90" w:rsidP="00493C90">
      <w:pPr>
        <w:pStyle w:val="SingleTxtG"/>
        <w:ind w:firstLine="567"/>
        <w:rPr>
          <w:lang w:val="fr-FR"/>
        </w:rPr>
      </w:pPr>
      <w:r w:rsidRPr="00DA3C5F">
        <w:rPr>
          <w:lang w:val="fr-FR"/>
        </w:rPr>
        <w:t>a)</w:t>
      </w:r>
      <w:r w:rsidRPr="00DA3C5F">
        <w:rPr>
          <w:lang w:val="fr-FR"/>
        </w:rPr>
        <w:tab/>
        <w:t>Recueillir des informations auprès de toute source accessible au public</w:t>
      </w:r>
      <w:r w:rsidR="005C437D">
        <w:rPr>
          <w:lang w:val="fr-FR"/>
        </w:rPr>
        <w:t> </w:t>
      </w:r>
      <w:r w:rsidRPr="00DA3C5F">
        <w:rPr>
          <w:lang w:val="fr-FR"/>
        </w:rPr>
        <w:t xml:space="preserve">; </w:t>
      </w:r>
    </w:p>
    <w:p w14:paraId="2183F51D" w14:textId="6BC3CCE6" w:rsidR="00493C90" w:rsidRPr="00DA3C5F" w:rsidRDefault="00493C90" w:rsidP="00493C90">
      <w:pPr>
        <w:pStyle w:val="SingleTxtG"/>
        <w:ind w:firstLine="567"/>
        <w:rPr>
          <w:lang w:val="fr-FR"/>
        </w:rPr>
      </w:pPr>
      <w:r w:rsidRPr="00DA3C5F">
        <w:rPr>
          <w:lang w:val="fr-FR"/>
        </w:rPr>
        <w:t>b)</w:t>
      </w:r>
      <w:r w:rsidRPr="00DA3C5F">
        <w:rPr>
          <w:lang w:val="fr-FR"/>
        </w:rPr>
        <w:tab/>
        <w:t>Recueillir des informations auprès d</w:t>
      </w:r>
      <w:r>
        <w:rPr>
          <w:lang w:val="fr-FR"/>
        </w:rPr>
        <w:t>’</w:t>
      </w:r>
      <w:r w:rsidRPr="00DA3C5F">
        <w:rPr>
          <w:lang w:val="fr-FR"/>
        </w:rPr>
        <w:t xml:space="preserve">autres organes internationaux </w:t>
      </w:r>
      <w:r>
        <w:rPr>
          <w:lang w:val="fr-FR"/>
        </w:rPr>
        <w:t xml:space="preserve">chargés </w:t>
      </w:r>
      <w:r w:rsidRPr="00DA3C5F">
        <w:rPr>
          <w:lang w:val="fr-FR"/>
        </w:rPr>
        <w:t>de</w:t>
      </w:r>
      <w:r>
        <w:rPr>
          <w:lang w:val="fr-FR"/>
        </w:rPr>
        <w:t>s</w:t>
      </w:r>
      <w:r w:rsidRPr="00DA3C5F">
        <w:rPr>
          <w:lang w:val="fr-FR"/>
        </w:rPr>
        <w:t xml:space="preserve"> droits de l</w:t>
      </w:r>
      <w:r>
        <w:rPr>
          <w:lang w:val="fr-FR"/>
        </w:rPr>
        <w:t>’</w:t>
      </w:r>
      <w:r w:rsidRPr="00DA3C5F">
        <w:rPr>
          <w:lang w:val="fr-FR"/>
        </w:rPr>
        <w:t>homme compétents</w:t>
      </w:r>
      <w:r w:rsidR="009B4AA7">
        <w:rPr>
          <w:lang w:val="fr-FR"/>
        </w:rPr>
        <w:t> </w:t>
      </w:r>
      <w:r w:rsidRPr="00DA3C5F">
        <w:rPr>
          <w:lang w:val="fr-FR"/>
        </w:rPr>
        <w:t xml:space="preserve">;  </w:t>
      </w:r>
    </w:p>
    <w:p w14:paraId="5E5F0F2F" w14:textId="61027DEB" w:rsidR="00493C90" w:rsidRPr="00DA3C5F" w:rsidRDefault="00493C90" w:rsidP="00493C90">
      <w:pPr>
        <w:pStyle w:val="SingleTxtG"/>
        <w:ind w:firstLine="567"/>
        <w:rPr>
          <w:lang w:val="fr-FR"/>
        </w:rPr>
      </w:pPr>
      <w:r w:rsidRPr="00DA3C5F">
        <w:rPr>
          <w:lang w:val="fr-FR"/>
        </w:rPr>
        <w:t>c)</w:t>
      </w:r>
      <w:r w:rsidRPr="00DA3C5F">
        <w:rPr>
          <w:lang w:val="fr-FR"/>
        </w:rPr>
        <w:tab/>
        <w:t xml:space="preserve">Adresser des questions au plaignant </w:t>
      </w:r>
      <w:r>
        <w:rPr>
          <w:lang w:val="fr-FR"/>
        </w:rPr>
        <w:t>ou à la plaignante</w:t>
      </w:r>
      <w:r w:rsidR="009B4AA7">
        <w:rPr>
          <w:lang w:val="fr-FR"/>
        </w:rPr>
        <w:t> </w:t>
      </w:r>
      <w:r w:rsidRPr="00DA3C5F">
        <w:rPr>
          <w:lang w:val="fr-FR"/>
        </w:rPr>
        <w:t>;</w:t>
      </w:r>
    </w:p>
    <w:p w14:paraId="7FD65A02" w14:textId="63E948CB" w:rsidR="00493C90" w:rsidRPr="00DA3C5F" w:rsidRDefault="00493C90" w:rsidP="00493C90">
      <w:pPr>
        <w:pStyle w:val="SingleTxtG"/>
        <w:ind w:firstLine="567"/>
        <w:rPr>
          <w:lang w:val="fr-FR"/>
        </w:rPr>
      </w:pPr>
      <w:r w:rsidRPr="00DA3C5F">
        <w:rPr>
          <w:lang w:val="fr-FR"/>
        </w:rPr>
        <w:t>d)</w:t>
      </w:r>
      <w:r w:rsidRPr="00DA3C5F">
        <w:rPr>
          <w:lang w:val="fr-FR"/>
        </w:rPr>
        <w:tab/>
        <w:t>Avec le consentement du plaignant</w:t>
      </w:r>
      <w:r>
        <w:rPr>
          <w:lang w:val="fr-FR"/>
        </w:rPr>
        <w:t xml:space="preserve"> ou de la plaignante</w:t>
      </w:r>
      <w:r w:rsidRPr="00DA3C5F">
        <w:rPr>
          <w:lang w:val="fr-FR"/>
        </w:rPr>
        <w:t>, adresser des questions à la Partie concernée</w:t>
      </w:r>
      <w:r w:rsidR="009B4AA7">
        <w:rPr>
          <w:lang w:val="fr-FR"/>
        </w:rPr>
        <w:t> </w:t>
      </w:r>
      <w:r w:rsidRPr="00DA3C5F">
        <w:rPr>
          <w:lang w:val="fr-FR"/>
        </w:rPr>
        <w:t>;</w:t>
      </w:r>
    </w:p>
    <w:p w14:paraId="5D47FA0F" w14:textId="4E059BA6" w:rsidR="00493C90" w:rsidRPr="00DA3C5F" w:rsidRDefault="00493C90" w:rsidP="00493C90">
      <w:pPr>
        <w:pStyle w:val="SingleTxtG"/>
        <w:ind w:firstLine="567"/>
        <w:rPr>
          <w:lang w:val="fr-FR"/>
        </w:rPr>
      </w:pPr>
      <w:r w:rsidRPr="00DA3C5F">
        <w:rPr>
          <w:lang w:val="fr-FR"/>
        </w:rPr>
        <w:t>e)</w:t>
      </w:r>
      <w:r w:rsidRPr="00DA3C5F">
        <w:rPr>
          <w:lang w:val="fr-FR"/>
        </w:rPr>
        <w:tab/>
        <w:t>Avec le consentement du plaignant</w:t>
      </w:r>
      <w:r>
        <w:rPr>
          <w:lang w:val="fr-FR"/>
        </w:rPr>
        <w:t xml:space="preserve"> ou de la plaignante</w:t>
      </w:r>
      <w:r w:rsidRPr="00DA3C5F">
        <w:rPr>
          <w:lang w:val="fr-FR"/>
        </w:rPr>
        <w:t>, adresser des questions à toute autre personne</w:t>
      </w:r>
      <w:r>
        <w:rPr>
          <w:lang w:val="fr-FR"/>
        </w:rPr>
        <w:t xml:space="preserve">, </w:t>
      </w:r>
      <w:r w:rsidRPr="00DA3C5F">
        <w:rPr>
          <w:lang w:val="fr-FR"/>
        </w:rPr>
        <w:t>institution ou entité (par exemple, l</w:t>
      </w:r>
      <w:r>
        <w:rPr>
          <w:lang w:val="fr-FR"/>
        </w:rPr>
        <w:t>’</w:t>
      </w:r>
      <w:r w:rsidRPr="00DA3C5F">
        <w:rPr>
          <w:lang w:val="fr-FR"/>
        </w:rPr>
        <w:t>autorité publique</w:t>
      </w:r>
      <w:r>
        <w:rPr>
          <w:lang w:val="fr-FR"/>
        </w:rPr>
        <w:t>, l’entité</w:t>
      </w:r>
      <w:r w:rsidRPr="00DA3C5F">
        <w:rPr>
          <w:lang w:val="fr-FR"/>
        </w:rPr>
        <w:t xml:space="preserve"> privé</w:t>
      </w:r>
      <w:r>
        <w:rPr>
          <w:lang w:val="fr-FR"/>
        </w:rPr>
        <w:t>e</w:t>
      </w:r>
      <w:r w:rsidRPr="00DA3C5F">
        <w:rPr>
          <w:lang w:val="fr-FR"/>
        </w:rPr>
        <w:t xml:space="preserve"> ou la personne privée soupçonnée d</w:t>
      </w:r>
      <w:r>
        <w:rPr>
          <w:lang w:val="fr-FR"/>
        </w:rPr>
        <w:t>’</w:t>
      </w:r>
      <w:r w:rsidRPr="00DA3C5F">
        <w:rPr>
          <w:lang w:val="fr-FR"/>
        </w:rPr>
        <w:t xml:space="preserve">être responsable de la </w:t>
      </w:r>
      <w:r w:rsidRPr="0081092A">
        <w:rPr>
          <w:lang w:val="fr-FR"/>
        </w:rPr>
        <w:t>pénalisation</w:t>
      </w:r>
      <w:r w:rsidRPr="00DA3C5F">
        <w:rPr>
          <w:lang w:val="fr-FR"/>
        </w:rPr>
        <w:t>, de la persécution ou de l</w:t>
      </w:r>
      <w:r>
        <w:rPr>
          <w:lang w:val="fr-FR"/>
        </w:rPr>
        <w:t>’</w:t>
      </w:r>
      <w:r w:rsidRPr="00DA3C5F">
        <w:rPr>
          <w:lang w:val="fr-FR"/>
        </w:rPr>
        <w:t>imposition de mesures vexatoires, ou encore l</w:t>
      </w:r>
      <w:r>
        <w:rPr>
          <w:lang w:val="fr-FR"/>
        </w:rPr>
        <w:t>’</w:t>
      </w:r>
      <w:r w:rsidRPr="00DA3C5F">
        <w:rPr>
          <w:lang w:val="fr-FR"/>
        </w:rPr>
        <w:t>institution nationale des droits de l</w:t>
      </w:r>
      <w:r>
        <w:rPr>
          <w:lang w:val="fr-FR"/>
        </w:rPr>
        <w:t>’</w:t>
      </w:r>
      <w:r w:rsidRPr="00DA3C5F">
        <w:rPr>
          <w:lang w:val="fr-FR"/>
        </w:rPr>
        <w:t>homme indépendante de la Partie concernée)</w:t>
      </w:r>
      <w:r w:rsidR="009B4AA7">
        <w:rPr>
          <w:lang w:val="fr-FR"/>
        </w:rPr>
        <w:t> </w:t>
      </w:r>
      <w:r w:rsidRPr="00DA3C5F">
        <w:rPr>
          <w:lang w:val="fr-FR"/>
        </w:rPr>
        <w:t>;</w:t>
      </w:r>
    </w:p>
    <w:p w14:paraId="2D50EAB1" w14:textId="1F21209F" w:rsidR="00493C90" w:rsidRPr="00DA3C5F" w:rsidRDefault="00493C90" w:rsidP="00493C90">
      <w:pPr>
        <w:pStyle w:val="SingleTxtG"/>
        <w:ind w:firstLine="567"/>
        <w:rPr>
          <w:lang w:val="fr-FR"/>
        </w:rPr>
      </w:pPr>
      <w:r w:rsidRPr="00DA3C5F">
        <w:rPr>
          <w:lang w:val="fr-FR"/>
        </w:rPr>
        <w:t>f)</w:t>
      </w:r>
      <w:r w:rsidRPr="00DA3C5F">
        <w:rPr>
          <w:lang w:val="fr-FR"/>
        </w:rPr>
        <w:tab/>
        <w:t xml:space="preserve">Avec le consentement du plaignant </w:t>
      </w:r>
      <w:r>
        <w:rPr>
          <w:lang w:val="fr-FR"/>
        </w:rPr>
        <w:t xml:space="preserve">ou de la plaignante </w:t>
      </w:r>
      <w:r w:rsidRPr="00DA3C5F">
        <w:rPr>
          <w:lang w:val="fr-FR"/>
        </w:rPr>
        <w:t>et de la Partie concernée, entreprendre, sur le territoire de la Partie en question, une mission pour recueillir des informations en personne ou par vidéoconférence</w:t>
      </w:r>
      <w:r w:rsidR="009B4AA7">
        <w:rPr>
          <w:lang w:val="fr-FR"/>
        </w:rPr>
        <w:t> </w:t>
      </w:r>
      <w:r w:rsidRPr="00DA3C5F">
        <w:rPr>
          <w:lang w:val="fr-FR"/>
        </w:rPr>
        <w:t>;</w:t>
      </w:r>
    </w:p>
    <w:p w14:paraId="14484898" w14:textId="77777777" w:rsidR="00493C90" w:rsidRPr="00DA3C5F" w:rsidRDefault="00493C90" w:rsidP="00493C90">
      <w:pPr>
        <w:pStyle w:val="SingleTxtG"/>
        <w:ind w:firstLine="567"/>
        <w:rPr>
          <w:lang w:val="fr-FR"/>
        </w:rPr>
      </w:pPr>
      <w:r w:rsidRPr="00DA3C5F">
        <w:rPr>
          <w:lang w:val="fr-FR"/>
        </w:rPr>
        <w:t>g)</w:t>
      </w:r>
      <w:r w:rsidRPr="00DA3C5F">
        <w:rPr>
          <w:lang w:val="fr-FR"/>
        </w:rPr>
        <w:tab/>
        <w:t>Avec le consentement du plaignant</w:t>
      </w:r>
      <w:r>
        <w:rPr>
          <w:lang w:val="fr-FR"/>
        </w:rPr>
        <w:t xml:space="preserve"> ou de la plaignante et</w:t>
      </w:r>
      <w:r w:rsidRPr="00DA3C5F">
        <w:rPr>
          <w:lang w:val="fr-FR"/>
        </w:rPr>
        <w:t xml:space="preserve"> de tout autre État, entreprendre la collecte d</w:t>
      </w:r>
      <w:r>
        <w:rPr>
          <w:lang w:val="fr-FR"/>
        </w:rPr>
        <w:t>’</w:t>
      </w:r>
      <w:r w:rsidRPr="00DA3C5F">
        <w:rPr>
          <w:lang w:val="fr-FR"/>
        </w:rPr>
        <w:t>informations sur le territoire de l</w:t>
      </w:r>
      <w:r>
        <w:rPr>
          <w:lang w:val="fr-FR"/>
        </w:rPr>
        <w:t>’</w:t>
      </w:r>
      <w:r w:rsidRPr="00DA3C5F">
        <w:rPr>
          <w:lang w:val="fr-FR"/>
        </w:rPr>
        <w:t>État en question.</w:t>
      </w:r>
    </w:p>
    <w:p w14:paraId="34159CDA" w14:textId="54ED2D9B" w:rsidR="00493C90" w:rsidRPr="00DA3C5F" w:rsidRDefault="00493C90" w:rsidP="00493C90">
      <w:pPr>
        <w:pStyle w:val="H1G"/>
        <w:rPr>
          <w:lang w:val="fr-FR"/>
        </w:rPr>
      </w:pPr>
      <w:r w:rsidRPr="00DA3C5F">
        <w:rPr>
          <w:lang w:val="fr-FR"/>
        </w:rPr>
        <w:tab/>
      </w:r>
      <w:r w:rsidRPr="00584CFF">
        <w:rPr>
          <w:lang w:val="fr-FR"/>
        </w:rPr>
        <w:t>G.</w:t>
      </w:r>
      <w:r w:rsidRPr="00584CFF">
        <w:rPr>
          <w:lang w:val="fr-FR"/>
        </w:rPr>
        <w:tab/>
      </w:r>
      <w:r w:rsidRPr="00584CFF">
        <w:rPr>
          <w:bCs/>
          <w:lang w:val="fr-FR"/>
        </w:rPr>
        <w:t xml:space="preserve">Mesures de protection des défenseurs et défenseuses </w:t>
      </w:r>
      <w:r w:rsidR="009B4AA7">
        <w:rPr>
          <w:bCs/>
          <w:lang w:val="fr-FR"/>
        </w:rPr>
        <w:br/>
      </w:r>
      <w:r w:rsidRPr="00584CFF">
        <w:rPr>
          <w:bCs/>
          <w:lang w:val="fr-FR"/>
        </w:rPr>
        <w:t>de l</w:t>
      </w:r>
      <w:r>
        <w:rPr>
          <w:bCs/>
          <w:lang w:val="fr-FR"/>
        </w:rPr>
        <w:t>’</w:t>
      </w:r>
      <w:r w:rsidRPr="00584CFF">
        <w:rPr>
          <w:bCs/>
          <w:lang w:val="fr-FR"/>
        </w:rPr>
        <w:t>environnement</w:t>
      </w:r>
    </w:p>
    <w:p w14:paraId="3C2F226D" w14:textId="11144908" w:rsidR="00493C90" w:rsidRPr="00DA3C5F" w:rsidRDefault="00493C90" w:rsidP="00493C90">
      <w:pPr>
        <w:pStyle w:val="SingleTxtG"/>
        <w:rPr>
          <w:lang w:val="fr-FR"/>
        </w:rPr>
      </w:pPr>
      <w:r w:rsidRPr="00584CFF">
        <w:rPr>
          <w:lang w:val="fr-FR"/>
        </w:rPr>
        <w:t>7.</w:t>
      </w:r>
      <w:r w:rsidRPr="00584CFF">
        <w:rPr>
          <w:lang w:val="fr-FR"/>
        </w:rPr>
        <w:tab/>
        <w:t>Afin de protéger le plaignant</w:t>
      </w:r>
      <w:r>
        <w:rPr>
          <w:lang w:val="fr-FR"/>
        </w:rPr>
        <w:t xml:space="preserve"> ou</w:t>
      </w:r>
      <w:r w:rsidRPr="0041642D">
        <w:rPr>
          <w:lang w:val="fr-FR"/>
        </w:rPr>
        <w:t xml:space="preserve"> la plaignante</w:t>
      </w:r>
      <w:r w:rsidRPr="00584CFF">
        <w:rPr>
          <w:lang w:val="fr-FR"/>
        </w:rPr>
        <w:t xml:space="preserve"> ou toute autre personne nommée dans la plainte </w:t>
      </w:r>
      <w:r>
        <w:rPr>
          <w:lang w:val="fr-FR"/>
        </w:rPr>
        <w:t xml:space="preserve">contre les </w:t>
      </w:r>
      <w:r w:rsidRPr="00584CFF">
        <w:rPr>
          <w:lang w:val="fr-FR"/>
        </w:rPr>
        <w:t>persécution</w:t>
      </w:r>
      <w:r>
        <w:rPr>
          <w:lang w:val="fr-FR"/>
        </w:rPr>
        <w:t>s</w:t>
      </w:r>
      <w:r w:rsidRPr="00584CFF">
        <w:rPr>
          <w:lang w:val="fr-FR"/>
        </w:rPr>
        <w:t xml:space="preserve">, </w:t>
      </w:r>
      <w:r w:rsidRPr="002D6CD5">
        <w:rPr>
          <w:lang w:val="fr-FR"/>
        </w:rPr>
        <w:t>la pénalisation</w:t>
      </w:r>
      <w:r w:rsidRPr="00584CFF">
        <w:rPr>
          <w:lang w:val="fr-FR"/>
        </w:rPr>
        <w:t xml:space="preserve"> ou </w:t>
      </w:r>
      <w:r>
        <w:rPr>
          <w:lang w:val="fr-FR"/>
        </w:rPr>
        <w:t>l’</w:t>
      </w:r>
      <w:r w:rsidRPr="00584CFF">
        <w:rPr>
          <w:lang w:val="fr-FR"/>
        </w:rPr>
        <w:t>imposition de mesures vexatoires, le Rapporteur ou la Rapporteuse peut prendre une ou plusieurs des mesures suivantes</w:t>
      </w:r>
      <w:r w:rsidR="009B4AA7">
        <w:rPr>
          <w:lang w:val="fr-FR"/>
        </w:rPr>
        <w:t> </w:t>
      </w:r>
      <w:r w:rsidRPr="00584CFF">
        <w:rPr>
          <w:lang w:val="fr-FR"/>
        </w:rPr>
        <w:t>:</w:t>
      </w:r>
    </w:p>
    <w:p w14:paraId="77487128" w14:textId="5034A2DF" w:rsidR="00493C90" w:rsidRPr="00DA3C5F" w:rsidRDefault="00493C90" w:rsidP="00493C90">
      <w:pPr>
        <w:pStyle w:val="SingleTxtG"/>
        <w:ind w:firstLine="567"/>
        <w:rPr>
          <w:lang w:val="fr-FR"/>
        </w:rPr>
      </w:pPr>
      <w:r w:rsidRPr="00DA3C5F">
        <w:rPr>
          <w:lang w:val="fr-FR"/>
        </w:rPr>
        <w:t>a)</w:t>
      </w:r>
      <w:r w:rsidRPr="00DA3C5F">
        <w:rPr>
          <w:lang w:val="fr-FR"/>
        </w:rPr>
        <w:tab/>
        <w:t xml:space="preserve">Adresser à la Partie concernée un </w:t>
      </w:r>
      <w:r w:rsidRPr="00584CFF">
        <w:rPr>
          <w:lang w:val="fr-FR"/>
        </w:rPr>
        <w:t>avis de mesure de protection immédiate</w:t>
      </w:r>
      <w:r w:rsidRPr="00DA3C5F">
        <w:rPr>
          <w:lang w:val="fr-FR"/>
        </w:rPr>
        <w:t xml:space="preserve"> (voir par.</w:t>
      </w:r>
      <w:r w:rsidR="009B4AA7">
        <w:rPr>
          <w:lang w:val="fr-FR"/>
        </w:rPr>
        <w:t> </w:t>
      </w:r>
      <w:r w:rsidRPr="00DA3C5F">
        <w:rPr>
          <w:lang w:val="fr-FR"/>
        </w:rPr>
        <w:t>13 ci-dessous)</w:t>
      </w:r>
      <w:r w:rsidR="009B4AA7">
        <w:rPr>
          <w:lang w:val="fr-FR"/>
        </w:rPr>
        <w:t> </w:t>
      </w:r>
      <w:r w:rsidRPr="00DA3C5F">
        <w:rPr>
          <w:lang w:val="fr-FR"/>
        </w:rPr>
        <w:t>;</w:t>
      </w:r>
    </w:p>
    <w:p w14:paraId="312A0943" w14:textId="79327622" w:rsidR="00493C90" w:rsidRPr="00DA3C5F" w:rsidRDefault="00493C90" w:rsidP="00493C90">
      <w:pPr>
        <w:pStyle w:val="SingleTxtG"/>
        <w:ind w:firstLine="567"/>
        <w:rPr>
          <w:lang w:val="fr-FR"/>
        </w:rPr>
      </w:pPr>
      <w:r w:rsidRPr="00DA3C5F">
        <w:rPr>
          <w:lang w:val="fr-FR"/>
        </w:rPr>
        <w:t>b)</w:t>
      </w:r>
      <w:r w:rsidRPr="00DA3C5F">
        <w:rPr>
          <w:lang w:val="fr-FR"/>
        </w:rPr>
        <w:tab/>
        <w:t xml:space="preserve">Adresser à la Partie concernée </w:t>
      </w:r>
      <w:r w:rsidRPr="00584CFF">
        <w:rPr>
          <w:lang w:val="fr-FR"/>
        </w:rPr>
        <w:t>un avis de</w:t>
      </w:r>
      <w:r w:rsidRPr="00DA3C5F">
        <w:rPr>
          <w:lang w:val="fr-FR"/>
        </w:rPr>
        <w:t xml:space="preserve"> mesure de protection continue (voir par.</w:t>
      </w:r>
      <w:r w:rsidR="009B4AA7">
        <w:rPr>
          <w:lang w:val="fr-FR"/>
        </w:rPr>
        <w:t> </w:t>
      </w:r>
      <w:r w:rsidRPr="00DA3C5F">
        <w:rPr>
          <w:lang w:val="fr-FR"/>
        </w:rPr>
        <w:t>14 ci-dessous)</w:t>
      </w:r>
      <w:r w:rsidR="009B4AA7">
        <w:rPr>
          <w:lang w:val="fr-FR"/>
        </w:rPr>
        <w:t> </w:t>
      </w:r>
      <w:r w:rsidRPr="00DA3C5F">
        <w:rPr>
          <w:lang w:val="fr-FR"/>
        </w:rPr>
        <w:t>;</w:t>
      </w:r>
    </w:p>
    <w:p w14:paraId="34B22163" w14:textId="77777777" w:rsidR="00493C90" w:rsidRPr="00DA3C5F" w:rsidRDefault="00493C90" w:rsidP="00493C90">
      <w:pPr>
        <w:pStyle w:val="SingleTxtG"/>
        <w:ind w:firstLine="567"/>
        <w:rPr>
          <w:lang w:val="fr-FR"/>
        </w:rPr>
      </w:pPr>
      <w:r w:rsidRPr="00DA3C5F">
        <w:rPr>
          <w:lang w:val="fr-FR"/>
        </w:rPr>
        <w:t>c)</w:t>
      </w:r>
      <w:r w:rsidRPr="00DA3C5F">
        <w:rPr>
          <w:lang w:val="fr-FR"/>
        </w:rPr>
        <w:tab/>
        <w:t>Faire des déclarations publiques</w:t>
      </w:r>
      <w:r>
        <w:rPr>
          <w:lang w:val="fr-FR"/>
        </w:rPr>
        <w:t xml:space="preserve"> et</w:t>
      </w:r>
      <w:r w:rsidRPr="00DA3C5F">
        <w:rPr>
          <w:lang w:val="fr-FR"/>
        </w:rPr>
        <w:t xml:space="preserve"> publier des communiqués de presse et les diffuser activement </w:t>
      </w:r>
      <w:r>
        <w:rPr>
          <w:lang w:val="fr-FR"/>
        </w:rPr>
        <w:t>sur le</w:t>
      </w:r>
      <w:r w:rsidRPr="00DA3C5F">
        <w:rPr>
          <w:lang w:val="fr-FR"/>
        </w:rPr>
        <w:t xml:space="preserve"> site </w:t>
      </w:r>
      <w:r>
        <w:rPr>
          <w:lang w:val="fr-FR"/>
        </w:rPr>
        <w:t>W</w:t>
      </w:r>
      <w:r w:rsidRPr="00DA3C5F">
        <w:rPr>
          <w:lang w:val="fr-FR"/>
        </w:rPr>
        <w:t>eb du Rapporteur</w:t>
      </w:r>
      <w:r>
        <w:rPr>
          <w:lang w:val="fr-FR"/>
        </w:rPr>
        <w:t xml:space="preserve"> ou de la Rapporteuse et</w:t>
      </w:r>
      <w:r w:rsidRPr="00DA3C5F">
        <w:rPr>
          <w:lang w:val="fr-FR"/>
        </w:rPr>
        <w:t xml:space="preserve"> </w:t>
      </w:r>
      <w:r>
        <w:rPr>
          <w:lang w:val="fr-FR"/>
        </w:rPr>
        <w:t>dans les</w:t>
      </w:r>
      <w:r w:rsidRPr="00DA3C5F">
        <w:rPr>
          <w:lang w:val="fr-FR"/>
        </w:rPr>
        <w:t xml:space="preserve"> médias et </w:t>
      </w:r>
      <w:r>
        <w:rPr>
          <w:lang w:val="fr-FR"/>
        </w:rPr>
        <w:t>l</w:t>
      </w:r>
      <w:r w:rsidRPr="00DA3C5F">
        <w:rPr>
          <w:lang w:val="fr-FR"/>
        </w:rPr>
        <w:t>es médias sociaux ;</w:t>
      </w:r>
    </w:p>
    <w:p w14:paraId="30B7A8D5" w14:textId="1152762B" w:rsidR="00493C90" w:rsidRPr="00DA3C5F" w:rsidRDefault="00493C90" w:rsidP="00493C90">
      <w:pPr>
        <w:pStyle w:val="SingleTxtG"/>
        <w:ind w:firstLine="567"/>
        <w:rPr>
          <w:lang w:val="fr-FR"/>
        </w:rPr>
      </w:pPr>
      <w:r w:rsidRPr="00DA3C5F">
        <w:rPr>
          <w:lang w:val="fr-FR"/>
        </w:rPr>
        <w:t>d)</w:t>
      </w:r>
      <w:r w:rsidRPr="00DA3C5F">
        <w:rPr>
          <w:lang w:val="fr-FR"/>
        </w:rPr>
        <w:tab/>
        <w:t>Utiliser la voie diplomatique</w:t>
      </w:r>
      <w:r w:rsidR="009B4AA7">
        <w:rPr>
          <w:lang w:val="fr-FR"/>
        </w:rPr>
        <w:t> </w:t>
      </w:r>
      <w:r w:rsidRPr="00DA3C5F">
        <w:rPr>
          <w:lang w:val="fr-FR"/>
        </w:rPr>
        <w:t>;</w:t>
      </w:r>
    </w:p>
    <w:p w14:paraId="10D4D35E" w14:textId="01FE07D5" w:rsidR="00493C90" w:rsidRPr="00DA3C5F" w:rsidRDefault="00493C90" w:rsidP="00493C90">
      <w:pPr>
        <w:pStyle w:val="SingleTxtG"/>
        <w:ind w:firstLine="567"/>
        <w:rPr>
          <w:lang w:val="fr-FR"/>
        </w:rPr>
      </w:pPr>
      <w:r w:rsidRPr="00DA3C5F">
        <w:rPr>
          <w:lang w:val="fr-FR"/>
        </w:rPr>
        <w:t>e)</w:t>
      </w:r>
      <w:r w:rsidRPr="00DA3C5F">
        <w:rPr>
          <w:lang w:val="fr-FR"/>
        </w:rPr>
        <w:tab/>
        <w:t xml:space="preserve">Demander à la </w:t>
      </w:r>
      <w:r w:rsidR="009B4AA7" w:rsidRPr="00DA3C5F">
        <w:rPr>
          <w:lang w:val="fr-FR"/>
        </w:rPr>
        <w:t>p</w:t>
      </w:r>
      <w:r w:rsidRPr="00DA3C5F">
        <w:rPr>
          <w:lang w:val="fr-FR"/>
        </w:rPr>
        <w:t>résidence du Bureau de la Réunion des Parties d</w:t>
      </w:r>
      <w:r>
        <w:rPr>
          <w:lang w:val="fr-FR"/>
        </w:rPr>
        <w:t>’</w:t>
      </w:r>
      <w:r w:rsidRPr="00DA3C5F">
        <w:rPr>
          <w:lang w:val="fr-FR"/>
        </w:rPr>
        <w:t>utiliser la voie diplomatique, y compris pour porter la question à l</w:t>
      </w:r>
      <w:r>
        <w:rPr>
          <w:lang w:val="fr-FR"/>
        </w:rPr>
        <w:t>’</w:t>
      </w:r>
      <w:r w:rsidRPr="00DA3C5F">
        <w:rPr>
          <w:lang w:val="fr-FR"/>
        </w:rPr>
        <w:t>attention du chef d</w:t>
      </w:r>
      <w:r>
        <w:rPr>
          <w:lang w:val="fr-FR"/>
        </w:rPr>
        <w:t>’</w:t>
      </w:r>
      <w:r w:rsidRPr="00DA3C5F">
        <w:rPr>
          <w:lang w:val="fr-FR"/>
        </w:rPr>
        <w:t>État ou de Gouvernement ou d</w:t>
      </w:r>
      <w:r>
        <w:rPr>
          <w:lang w:val="fr-FR"/>
        </w:rPr>
        <w:t>’</w:t>
      </w:r>
      <w:r w:rsidRPr="00DA3C5F">
        <w:rPr>
          <w:lang w:val="fr-FR"/>
        </w:rPr>
        <w:t>un autre haut fonctionnaire de la Partie concernée</w:t>
      </w:r>
      <w:r w:rsidR="009B4AA7">
        <w:rPr>
          <w:lang w:val="fr-FR"/>
        </w:rPr>
        <w:t> </w:t>
      </w:r>
      <w:r w:rsidRPr="00DA3C5F">
        <w:rPr>
          <w:lang w:val="fr-FR"/>
        </w:rPr>
        <w:t>;</w:t>
      </w:r>
    </w:p>
    <w:p w14:paraId="4FBD6469" w14:textId="77777777" w:rsidR="00493C90" w:rsidRPr="00DA3C5F" w:rsidRDefault="00493C90" w:rsidP="00493C90">
      <w:pPr>
        <w:pStyle w:val="SingleTxtG"/>
        <w:ind w:firstLine="567"/>
        <w:rPr>
          <w:lang w:val="fr-FR"/>
        </w:rPr>
      </w:pPr>
      <w:r w:rsidRPr="00DA3C5F">
        <w:rPr>
          <w:lang w:val="fr-FR"/>
        </w:rPr>
        <w:t>f)</w:t>
      </w:r>
      <w:r w:rsidRPr="00DA3C5F">
        <w:rPr>
          <w:lang w:val="fr-FR"/>
        </w:rPr>
        <w:tab/>
        <w:t>Porter la plainte à l</w:t>
      </w:r>
      <w:r>
        <w:rPr>
          <w:lang w:val="fr-FR"/>
        </w:rPr>
        <w:t>’</w:t>
      </w:r>
      <w:r w:rsidRPr="00DA3C5F">
        <w:rPr>
          <w:lang w:val="fr-FR"/>
        </w:rPr>
        <w:t>attention d</w:t>
      </w:r>
      <w:r>
        <w:rPr>
          <w:lang w:val="fr-FR"/>
        </w:rPr>
        <w:t>’</w:t>
      </w:r>
      <w:r w:rsidRPr="00DA3C5F">
        <w:rPr>
          <w:lang w:val="fr-FR"/>
        </w:rPr>
        <w:t>autres organes des droits de l</w:t>
      </w:r>
      <w:r>
        <w:rPr>
          <w:lang w:val="fr-FR"/>
        </w:rPr>
        <w:t>’</w:t>
      </w:r>
      <w:r w:rsidRPr="00DA3C5F">
        <w:rPr>
          <w:lang w:val="fr-FR"/>
        </w:rPr>
        <w:t>homme (par exemple, les rapporteurs spéciaux ou les commissions nationales des droits de l</w:t>
      </w:r>
      <w:r>
        <w:rPr>
          <w:lang w:val="fr-FR"/>
        </w:rPr>
        <w:t>’</w:t>
      </w:r>
      <w:r w:rsidRPr="00DA3C5F">
        <w:rPr>
          <w:lang w:val="fr-FR"/>
        </w:rPr>
        <w:t>homme indépendantes) et, dans la mesure où cela est possible et approprié, coordonner les efforts avec ces autres organes.</w:t>
      </w:r>
    </w:p>
    <w:p w14:paraId="2FC1F0E1" w14:textId="59C19AEE" w:rsidR="00493C90" w:rsidRPr="00DA3C5F" w:rsidRDefault="00493C90" w:rsidP="00493C90">
      <w:pPr>
        <w:pStyle w:val="SingleTxtG"/>
        <w:rPr>
          <w:lang w:val="fr-FR"/>
        </w:rPr>
      </w:pPr>
      <w:r w:rsidRPr="00DA3C5F">
        <w:rPr>
          <w:lang w:val="fr-FR"/>
        </w:rPr>
        <w:lastRenderedPageBreak/>
        <w:t>8.</w:t>
      </w:r>
      <w:r w:rsidRPr="00DA3C5F">
        <w:rPr>
          <w:lang w:val="fr-FR"/>
        </w:rPr>
        <w:tab/>
        <w:t>Lorsqu</w:t>
      </w:r>
      <w:r>
        <w:rPr>
          <w:lang w:val="fr-FR"/>
        </w:rPr>
        <w:t>’</w:t>
      </w:r>
      <w:r w:rsidRPr="00DA3C5F">
        <w:rPr>
          <w:lang w:val="fr-FR"/>
        </w:rPr>
        <w:t>il ou elle s</w:t>
      </w:r>
      <w:r>
        <w:rPr>
          <w:lang w:val="fr-FR"/>
        </w:rPr>
        <w:t>’</w:t>
      </w:r>
      <w:r w:rsidRPr="00DA3C5F">
        <w:rPr>
          <w:lang w:val="fr-FR"/>
        </w:rPr>
        <w:t>adresse à un organe ou à une entité de la Partie concernée, le Rapporteur ou la Rapporteuse informe dans le même temps le coordonnateur national ou la coord</w:t>
      </w:r>
      <w:r w:rsidR="009B4AA7">
        <w:rPr>
          <w:lang w:val="fr-FR"/>
        </w:rPr>
        <w:t>on</w:t>
      </w:r>
      <w:r w:rsidRPr="00DA3C5F">
        <w:rPr>
          <w:lang w:val="fr-FR"/>
        </w:rPr>
        <w:t>natrice nationale de la Convention d</w:t>
      </w:r>
      <w:r>
        <w:rPr>
          <w:lang w:val="fr-FR"/>
        </w:rPr>
        <w:t>’</w:t>
      </w:r>
      <w:r w:rsidRPr="00DA3C5F">
        <w:rPr>
          <w:lang w:val="fr-FR"/>
        </w:rPr>
        <w:t>Aarhus.</w:t>
      </w:r>
    </w:p>
    <w:p w14:paraId="3E42AE52" w14:textId="77777777" w:rsidR="00493C90" w:rsidRPr="00DA3C5F" w:rsidRDefault="00493C90" w:rsidP="00493C90">
      <w:pPr>
        <w:pStyle w:val="H23G"/>
        <w:rPr>
          <w:lang w:val="fr-FR"/>
        </w:rPr>
      </w:pPr>
      <w:r w:rsidRPr="00DA3C5F">
        <w:rPr>
          <w:lang w:val="fr-FR"/>
        </w:rPr>
        <w:tab/>
      </w:r>
      <w:r w:rsidRPr="00DA3C5F">
        <w:rPr>
          <w:lang w:val="fr-FR"/>
        </w:rPr>
        <w:tab/>
      </w:r>
      <w:r w:rsidRPr="00DA3C5F">
        <w:rPr>
          <w:bCs/>
          <w:lang w:val="fr-FR"/>
        </w:rPr>
        <w:t>Mesure de protection</w:t>
      </w:r>
    </w:p>
    <w:p w14:paraId="1F265DAD" w14:textId="77777777" w:rsidR="00493C90" w:rsidRPr="00DA3C5F" w:rsidRDefault="00493C90" w:rsidP="00493C90">
      <w:pPr>
        <w:pStyle w:val="SingleTxtG"/>
        <w:rPr>
          <w:lang w:val="fr-FR"/>
        </w:rPr>
      </w:pPr>
      <w:r w:rsidRPr="00DA3C5F">
        <w:rPr>
          <w:lang w:val="fr-FR"/>
        </w:rPr>
        <w:t>9.</w:t>
      </w:r>
      <w:r w:rsidRPr="00DA3C5F">
        <w:rPr>
          <w:lang w:val="fr-FR"/>
        </w:rPr>
        <w:tab/>
        <w:t>Une mesure de protection est une mesure par laquelle le Rapporteur ou la Rapporteuse demande à la Partie concernée de s</w:t>
      </w:r>
      <w:r>
        <w:rPr>
          <w:lang w:val="fr-FR"/>
        </w:rPr>
        <w:t>’</w:t>
      </w:r>
      <w:r w:rsidRPr="00DA3C5F">
        <w:rPr>
          <w:lang w:val="fr-FR"/>
        </w:rPr>
        <w:t>abstenir immédiatement de toute action pouvant constituer une persécution, une pénalisation ou une mesure vexatoire à l</w:t>
      </w:r>
      <w:r>
        <w:rPr>
          <w:lang w:val="fr-FR"/>
        </w:rPr>
        <w:t>’</w:t>
      </w:r>
      <w:r w:rsidRPr="00DA3C5F">
        <w:rPr>
          <w:lang w:val="fr-FR"/>
        </w:rPr>
        <w:t xml:space="preserve">égard du plaignant ou de la plaignante et de toute autre personne nommée dans </w:t>
      </w:r>
      <w:r>
        <w:rPr>
          <w:lang w:val="fr-FR"/>
        </w:rPr>
        <w:t>l’avis de</w:t>
      </w:r>
      <w:r w:rsidRPr="00DA3C5F">
        <w:rPr>
          <w:lang w:val="fr-FR"/>
        </w:rPr>
        <w:t xml:space="preserve"> mesure de protection, ou d</w:t>
      </w:r>
      <w:r>
        <w:rPr>
          <w:lang w:val="fr-FR"/>
        </w:rPr>
        <w:t>’</w:t>
      </w:r>
      <w:r w:rsidRPr="00DA3C5F">
        <w:rPr>
          <w:lang w:val="fr-FR"/>
        </w:rPr>
        <w:t xml:space="preserve">agir sans délai afin de protéger le plaignant ou la plaignante et toute autre personne nommée dans </w:t>
      </w:r>
      <w:r>
        <w:rPr>
          <w:lang w:val="fr-FR"/>
        </w:rPr>
        <w:t>l’avis de</w:t>
      </w:r>
      <w:r w:rsidRPr="00DA3C5F">
        <w:rPr>
          <w:lang w:val="fr-FR"/>
        </w:rPr>
        <w:t xml:space="preserve"> mesure de protection contre la persécution, la </w:t>
      </w:r>
      <w:r w:rsidRPr="00584CFF">
        <w:rPr>
          <w:lang w:val="fr-FR"/>
        </w:rPr>
        <w:t>pénalisation</w:t>
      </w:r>
      <w:r w:rsidRPr="00DA3C5F">
        <w:rPr>
          <w:lang w:val="fr-FR"/>
        </w:rPr>
        <w:t xml:space="preserve"> ou les mesures vexatoires infligées par des tiers. </w:t>
      </w:r>
    </w:p>
    <w:p w14:paraId="1DE4802E" w14:textId="00B8CEF9" w:rsidR="00493C90" w:rsidRPr="00DA3C5F" w:rsidRDefault="00493C90" w:rsidP="00493C90">
      <w:pPr>
        <w:pStyle w:val="SingleTxtG"/>
        <w:rPr>
          <w:lang w:val="fr-FR"/>
        </w:rPr>
      </w:pPr>
      <w:r w:rsidRPr="00DA3C5F">
        <w:rPr>
          <w:lang w:val="fr-FR"/>
        </w:rPr>
        <w:t>10.</w:t>
      </w:r>
      <w:r w:rsidRPr="00DA3C5F">
        <w:rPr>
          <w:lang w:val="fr-FR"/>
        </w:rPr>
        <w:tab/>
        <w:t xml:space="preserve">Une mesure de protection peut </w:t>
      </w:r>
      <w:r>
        <w:rPr>
          <w:lang w:val="fr-FR"/>
        </w:rPr>
        <w:t>être une « mesure de protection</w:t>
      </w:r>
      <w:r w:rsidRPr="00DA3C5F">
        <w:rPr>
          <w:lang w:val="fr-FR"/>
        </w:rPr>
        <w:t xml:space="preserve"> immédiat</w:t>
      </w:r>
      <w:r>
        <w:rPr>
          <w:lang w:val="fr-FR"/>
        </w:rPr>
        <w:t>e »</w:t>
      </w:r>
      <w:r w:rsidRPr="00DA3C5F">
        <w:rPr>
          <w:lang w:val="fr-FR"/>
        </w:rPr>
        <w:t xml:space="preserve"> ou </w:t>
      </w:r>
      <w:r>
        <w:rPr>
          <w:lang w:val="fr-FR"/>
        </w:rPr>
        <w:t xml:space="preserve">une « mesure de protection </w:t>
      </w:r>
      <w:r w:rsidRPr="00DA3C5F">
        <w:rPr>
          <w:lang w:val="fr-FR"/>
        </w:rPr>
        <w:t>continu</w:t>
      </w:r>
      <w:r>
        <w:rPr>
          <w:lang w:val="fr-FR"/>
        </w:rPr>
        <w:t>e »</w:t>
      </w:r>
      <w:r w:rsidRPr="00DA3C5F">
        <w:rPr>
          <w:lang w:val="fr-FR"/>
        </w:rPr>
        <w:t xml:space="preserve"> (voir par. 13 et 14 ci-dessous). Qu</w:t>
      </w:r>
      <w:r>
        <w:rPr>
          <w:lang w:val="fr-FR"/>
        </w:rPr>
        <w:t>’</w:t>
      </w:r>
      <w:r w:rsidRPr="00DA3C5F">
        <w:rPr>
          <w:lang w:val="fr-FR"/>
        </w:rPr>
        <w:t xml:space="preserve">il </w:t>
      </w:r>
      <w:r>
        <w:rPr>
          <w:lang w:val="fr-FR"/>
        </w:rPr>
        <w:t>s’agisse d’</w:t>
      </w:r>
      <w:r w:rsidRPr="00DA3C5F">
        <w:rPr>
          <w:lang w:val="fr-FR"/>
        </w:rPr>
        <w:t xml:space="preserve">une protection immédiate </w:t>
      </w:r>
      <w:r>
        <w:rPr>
          <w:lang w:val="fr-FR"/>
        </w:rPr>
        <w:t xml:space="preserve">ou d’une protection </w:t>
      </w:r>
      <w:r w:rsidRPr="00DA3C5F">
        <w:rPr>
          <w:lang w:val="fr-FR"/>
        </w:rPr>
        <w:t>continue, le contenu précis de la mesure est dans tous les cas adapté à chaque situation particulière, compte tenu de la nature de la persécution, de la pénalisation ou de la mesure vexatoire alléguée qui fait l</w:t>
      </w:r>
      <w:r>
        <w:rPr>
          <w:lang w:val="fr-FR"/>
        </w:rPr>
        <w:t>’</w:t>
      </w:r>
      <w:r w:rsidRPr="00DA3C5F">
        <w:rPr>
          <w:lang w:val="fr-FR"/>
        </w:rPr>
        <w:t xml:space="preserve">objet de la plainte. </w:t>
      </w:r>
    </w:p>
    <w:p w14:paraId="62161F61" w14:textId="4CE8C840" w:rsidR="00493C90" w:rsidRPr="00DA3C5F" w:rsidRDefault="00493C90" w:rsidP="00493C90">
      <w:pPr>
        <w:pStyle w:val="SingleTxtG"/>
        <w:rPr>
          <w:lang w:val="fr-FR"/>
        </w:rPr>
      </w:pPr>
      <w:r w:rsidRPr="00DA3C5F">
        <w:rPr>
          <w:lang w:val="fr-FR"/>
        </w:rPr>
        <w:t>11.</w:t>
      </w:r>
      <w:r w:rsidRPr="00DA3C5F">
        <w:rPr>
          <w:lang w:val="fr-FR"/>
        </w:rPr>
        <w:tab/>
        <w:t>La mesure de protection contient la liste des dispositions particulières que la Partie concernée est tenue de prendre pour s</w:t>
      </w:r>
      <w:r>
        <w:rPr>
          <w:lang w:val="fr-FR"/>
        </w:rPr>
        <w:t>’</w:t>
      </w:r>
      <w:r w:rsidRPr="00DA3C5F">
        <w:rPr>
          <w:lang w:val="fr-FR"/>
        </w:rPr>
        <w:t xml:space="preserve">assurer que le plaignant ou la plaignante et toute autre personne nommée dans </w:t>
      </w:r>
      <w:r>
        <w:rPr>
          <w:lang w:val="fr-FR"/>
        </w:rPr>
        <w:t>l’avis de</w:t>
      </w:r>
      <w:r w:rsidRPr="00DA3C5F">
        <w:rPr>
          <w:lang w:val="fr-FR"/>
        </w:rPr>
        <w:t xml:space="preserve"> mesure de protection ne soient </w:t>
      </w:r>
      <w:r>
        <w:rPr>
          <w:lang w:val="fr-FR"/>
        </w:rPr>
        <w:t xml:space="preserve">pas </w:t>
      </w:r>
      <w:r w:rsidRPr="00DA3C5F">
        <w:rPr>
          <w:lang w:val="fr-FR"/>
        </w:rPr>
        <w:t>de nouveau persécutés, pénalisés ou soumis à des mesures vexatoires. Cela signifie, dans certains cas, qu</w:t>
      </w:r>
      <w:r>
        <w:rPr>
          <w:lang w:val="fr-FR"/>
        </w:rPr>
        <w:t>’</w:t>
      </w:r>
      <w:r w:rsidRPr="00DA3C5F">
        <w:rPr>
          <w:lang w:val="fr-FR"/>
        </w:rPr>
        <w:t xml:space="preserve">une mesure de protection peut comprendre plusieurs dispositions que la Partie concernée est tenue de prendre pour que la </w:t>
      </w:r>
      <w:r>
        <w:rPr>
          <w:lang w:val="fr-FR"/>
        </w:rPr>
        <w:t>(</w:t>
      </w:r>
      <w:r w:rsidRPr="00DA3C5F">
        <w:rPr>
          <w:lang w:val="fr-FR"/>
        </w:rPr>
        <w:t>les</w:t>
      </w:r>
      <w:r>
        <w:rPr>
          <w:lang w:val="fr-FR"/>
        </w:rPr>
        <w:t>)</w:t>
      </w:r>
      <w:r w:rsidRPr="00DA3C5F">
        <w:rPr>
          <w:lang w:val="fr-FR"/>
        </w:rPr>
        <w:t xml:space="preserve"> personne</w:t>
      </w:r>
      <w:r>
        <w:rPr>
          <w:lang w:val="fr-FR"/>
        </w:rPr>
        <w:t>(</w:t>
      </w:r>
      <w:r w:rsidRPr="00DA3C5F">
        <w:rPr>
          <w:lang w:val="fr-FR"/>
        </w:rPr>
        <w:t>s</w:t>
      </w:r>
      <w:r>
        <w:rPr>
          <w:lang w:val="fr-FR"/>
        </w:rPr>
        <w:t>)</w:t>
      </w:r>
      <w:r w:rsidRPr="00DA3C5F">
        <w:rPr>
          <w:lang w:val="fr-FR"/>
        </w:rPr>
        <w:t xml:space="preserve"> désignée</w:t>
      </w:r>
      <w:r>
        <w:rPr>
          <w:lang w:val="fr-FR"/>
        </w:rPr>
        <w:t>(</w:t>
      </w:r>
      <w:r w:rsidRPr="00DA3C5F">
        <w:rPr>
          <w:lang w:val="fr-FR"/>
        </w:rPr>
        <w:t>s</w:t>
      </w:r>
      <w:r>
        <w:rPr>
          <w:lang w:val="fr-FR"/>
        </w:rPr>
        <w:t>)</w:t>
      </w:r>
      <w:r w:rsidRPr="00DA3C5F">
        <w:rPr>
          <w:lang w:val="fr-FR"/>
        </w:rPr>
        <w:t xml:space="preserve"> ne soi</w:t>
      </w:r>
      <w:r>
        <w:rPr>
          <w:lang w:val="fr-FR"/>
        </w:rPr>
        <w:t>(</w:t>
      </w:r>
      <w:r w:rsidRPr="00DA3C5F">
        <w:rPr>
          <w:lang w:val="fr-FR"/>
        </w:rPr>
        <w:t>en</w:t>
      </w:r>
      <w:r>
        <w:rPr>
          <w:lang w:val="fr-FR"/>
        </w:rPr>
        <w:t>)</w:t>
      </w:r>
      <w:r w:rsidRPr="00DA3C5F">
        <w:rPr>
          <w:lang w:val="fr-FR"/>
        </w:rPr>
        <w:t xml:space="preserve">t </w:t>
      </w:r>
      <w:r>
        <w:rPr>
          <w:lang w:val="fr-FR"/>
        </w:rPr>
        <w:t xml:space="preserve">pas </w:t>
      </w:r>
      <w:r w:rsidRPr="00DA3C5F">
        <w:rPr>
          <w:lang w:val="fr-FR"/>
        </w:rPr>
        <w:t>de nouveau persécutée</w:t>
      </w:r>
      <w:r>
        <w:rPr>
          <w:lang w:val="fr-FR"/>
        </w:rPr>
        <w:t>(</w:t>
      </w:r>
      <w:r w:rsidRPr="00DA3C5F">
        <w:rPr>
          <w:lang w:val="fr-FR"/>
        </w:rPr>
        <w:t>s</w:t>
      </w:r>
      <w:r>
        <w:rPr>
          <w:lang w:val="fr-FR"/>
        </w:rPr>
        <w:t>)</w:t>
      </w:r>
      <w:r w:rsidRPr="00DA3C5F">
        <w:rPr>
          <w:lang w:val="fr-FR"/>
        </w:rPr>
        <w:t>, pénalisée</w:t>
      </w:r>
      <w:r>
        <w:rPr>
          <w:lang w:val="fr-FR"/>
        </w:rPr>
        <w:t>(</w:t>
      </w:r>
      <w:r w:rsidRPr="00DA3C5F">
        <w:rPr>
          <w:lang w:val="fr-FR"/>
        </w:rPr>
        <w:t>s</w:t>
      </w:r>
      <w:r>
        <w:rPr>
          <w:lang w:val="fr-FR"/>
        </w:rPr>
        <w:t>)</w:t>
      </w:r>
      <w:r w:rsidRPr="00DA3C5F">
        <w:rPr>
          <w:lang w:val="fr-FR"/>
        </w:rPr>
        <w:t xml:space="preserve"> ou soumise</w:t>
      </w:r>
      <w:r>
        <w:rPr>
          <w:lang w:val="fr-FR"/>
        </w:rPr>
        <w:t>(</w:t>
      </w:r>
      <w:r w:rsidRPr="00DA3C5F">
        <w:rPr>
          <w:lang w:val="fr-FR"/>
        </w:rPr>
        <w:t>s</w:t>
      </w:r>
      <w:r>
        <w:rPr>
          <w:lang w:val="fr-FR"/>
        </w:rPr>
        <w:t>)</w:t>
      </w:r>
      <w:r w:rsidRPr="00DA3C5F">
        <w:rPr>
          <w:lang w:val="fr-FR"/>
        </w:rPr>
        <w:t xml:space="preserve"> à des mesures vexatoires.</w:t>
      </w:r>
    </w:p>
    <w:p w14:paraId="05BEAEB3" w14:textId="3CF489CB" w:rsidR="00493C90" w:rsidRPr="00DA3C5F" w:rsidRDefault="00493C90" w:rsidP="00493C90">
      <w:pPr>
        <w:pStyle w:val="SingleTxtG"/>
        <w:rPr>
          <w:lang w:val="fr-FR"/>
        </w:rPr>
      </w:pPr>
      <w:r w:rsidRPr="00DA3C5F">
        <w:rPr>
          <w:lang w:val="fr-FR"/>
        </w:rPr>
        <w:t>12.</w:t>
      </w:r>
      <w:r w:rsidRPr="00DA3C5F">
        <w:rPr>
          <w:lang w:val="fr-FR"/>
        </w:rPr>
        <w:tab/>
        <w:t>Le Rapporteur ou la Rapporteuse peut adresser un avis de mesure de protection aux entités suivantes</w:t>
      </w:r>
      <w:r w:rsidR="009B4AA7">
        <w:rPr>
          <w:lang w:val="fr-FR"/>
        </w:rPr>
        <w:t> </w:t>
      </w:r>
      <w:r w:rsidRPr="00DA3C5F">
        <w:rPr>
          <w:lang w:val="fr-FR"/>
        </w:rPr>
        <w:t>:</w:t>
      </w:r>
    </w:p>
    <w:p w14:paraId="7F40B010" w14:textId="034C2203" w:rsidR="00493C90" w:rsidRPr="00DA3C5F" w:rsidRDefault="00493C90" w:rsidP="00493C90">
      <w:pPr>
        <w:pStyle w:val="SingleTxtG"/>
        <w:ind w:firstLine="567"/>
        <w:rPr>
          <w:lang w:val="fr-FR"/>
        </w:rPr>
      </w:pPr>
      <w:r w:rsidRPr="00DA3C5F">
        <w:rPr>
          <w:lang w:val="fr-FR"/>
        </w:rPr>
        <w:t>a)</w:t>
      </w:r>
      <w:r w:rsidRPr="00DA3C5F">
        <w:rPr>
          <w:lang w:val="fr-FR"/>
        </w:rPr>
        <w:tab/>
        <w:t>Tout organe du pouvoir exécutif de la Partie concernée, en particulier les ministres chargés de l</w:t>
      </w:r>
      <w:r>
        <w:rPr>
          <w:lang w:val="fr-FR"/>
        </w:rPr>
        <w:t>’</w:t>
      </w:r>
      <w:r w:rsidRPr="00DA3C5F">
        <w:rPr>
          <w:lang w:val="fr-FR"/>
        </w:rPr>
        <w:t>environnement, de la justice et des affaires étrangères</w:t>
      </w:r>
      <w:r w:rsidR="009B4AA7">
        <w:rPr>
          <w:lang w:val="fr-FR"/>
        </w:rPr>
        <w:t> </w:t>
      </w:r>
      <w:r w:rsidRPr="00DA3C5F">
        <w:rPr>
          <w:lang w:val="fr-FR"/>
        </w:rPr>
        <w:t xml:space="preserve">; </w:t>
      </w:r>
    </w:p>
    <w:p w14:paraId="6FAF4800" w14:textId="77777777" w:rsidR="00493C90" w:rsidRPr="00DA3C5F" w:rsidRDefault="00493C90" w:rsidP="00493C90">
      <w:pPr>
        <w:pStyle w:val="SingleTxtG"/>
        <w:ind w:firstLine="567"/>
        <w:rPr>
          <w:lang w:val="fr-FR"/>
        </w:rPr>
      </w:pPr>
      <w:r w:rsidRPr="00DA3C5F">
        <w:rPr>
          <w:lang w:val="fr-FR"/>
        </w:rPr>
        <w:t>b)</w:t>
      </w:r>
      <w:r w:rsidRPr="00DA3C5F">
        <w:rPr>
          <w:lang w:val="fr-FR"/>
        </w:rPr>
        <w:tab/>
        <w:t>Tout autre ministère ou entité gouvernementale de la Partie concernée que le Rapporteur ou la Rapporteuse peut juger approprié</w:t>
      </w:r>
      <w:r>
        <w:rPr>
          <w:lang w:val="fr-FR"/>
        </w:rPr>
        <w:t>.</w:t>
      </w:r>
      <w:r w:rsidRPr="00DA3C5F">
        <w:rPr>
          <w:lang w:val="fr-FR"/>
        </w:rPr>
        <w:t xml:space="preserve"> </w:t>
      </w:r>
    </w:p>
    <w:p w14:paraId="326A214F" w14:textId="1AC17C5F" w:rsidR="00493C90" w:rsidRPr="00DA3C5F" w:rsidRDefault="00493C90" w:rsidP="009B4AA7">
      <w:pPr>
        <w:pStyle w:val="H4G"/>
        <w:rPr>
          <w:lang w:val="fr-FR"/>
        </w:rPr>
      </w:pPr>
      <w:r w:rsidRPr="00DA3C5F">
        <w:rPr>
          <w:lang w:val="fr-FR"/>
        </w:rPr>
        <w:tab/>
      </w:r>
      <w:r w:rsidRPr="00DA3C5F">
        <w:rPr>
          <w:lang w:val="fr-FR"/>
        </w:rPr>
        <w:tab/>
        <w:t xml:space="preserve">Mesure de protection immédiate </w:t>
      </w:r>
    </w:p>
    <w:p w14:paraId="2C8CB089" w14:textId="0BCD1399" w:rsidR="00493C90" w:rsidRPr="00DA3C5F" w:rsidRDefault="00493C90" w:rsidP="00493C90">
      <w:pPr>
        <w:pStyle w:val="SingleTxtG"/>
        <w:rPr>
          <w:lang w:val="fr-FR"/>
        </w:rPr>
      </w:pPr>
      <w:r w:rsidRPr="00DA3C5F">
        <w:rPr>
          <w:lang w:val="fr-FR"/>
        </w:rPr>
        <w:t>13.</w:t>
      </w:r>
      <w:r w:rsidRPr="00DA3C5F">
        <w:rPr>
          <w:lang w:val="fr-FR"/>
        </w:rPr>
        <w:tab/>
        <w:t>Un</w:t>
      </w:r>
      <w:r>
        <w:rPr>
          <w:lang w:val="fr-FR"/>
        </w:rPr>
        <w:t xml:space="preserve"> avis de</w:t>
      </w:r>
      <w:r w:rsidRPr="00DA3C5F">
        <w:rPr>
          <w:lang w:val="fr-FR"/>
        </w:rPr>
        <w:t xml:space="preserve"> mesure de protection immédiate est un</w:t>
      </w:r>
      <w:r>
        <w:rPr>
          <w:lang w:val="fr-FR"/>
        </w:rPr>
        <w:t xml:space="preserve"> avis</w:t>
      </w:r>
      <w:r w:rsidRPr="00DA3C5F">
        <w:rPr>
          <w:lang w:val="fr-FR"/>
        </w:rPr>
        <w:t xml:space="preserve"> </w:t>
      </w:r>
      <w:r>
        <w:rPr>
          <w:lang w:val="fr-FR"/>
        </w:rPr>
        <w:t xml:space="preserve">que </w:t>
      </w:r>
      <w:r w:rsidRPr="00DA3C5F">
        <w:rPr>
          <w:lang w:val="fr-FR"/>
        </w:rPr>
        <w:t xml:space="preserve">le Rapporteur ou la Rapporteuse </w:t>
      </w:r>
      <w:r>
        <w:rPr>
          <w:lang w:val="fr-FR"/>
        </w:rPr>
        <w:t xml:space="preserve">adresse à la Partie concernée </w:t>
      </w:r>
      <w:r w:rsidRPr="00DA3C5F">
        <w:rPr>
          <w:lang w:val="fr-FR"/>
        </w:rPr>
        <w:t>en urgence, avant d</w:t>
      </w:r>
      <w:r>
        <w:rPr>
          <w:lang w:val="fr-FR"/>
        </w:rPr>
        <w:t>’</w:t>
      </w:r>
      <w:r w:rsidRPr="00DA3C5F">
        <w:rPr>
          <w:lang w:val="fr-FR"/>
        </w:rPr>
        <w:t>avoir achevé ses investigations. Par précaution, le Rapporteur ou la Rapporteuse peut prendre une mesure de protection immédiate à tout moment après que la plainte a été jugée recevable. Il ou elle peut prendre une mesure de protection immédiate s</w:t>
      </w:r>
      <w:r>
        <w:rPr>
          <w:lang w:val="fr-FR"/>
        </w:rPr>
        <w:t>’</w:t>
      </w:r>
      <w:r w:rsidRPr="00DA3C5F">
        <w:rPr>
          <w:lang w:val="fr-FR"/>
        </w:rPr>
        <w:t>il y a des motifs raisonnables de croire qu</w:t>
      </w:r>
      <w:r>
        <w:rPr>
          <w:lang w:val="fr-FR"/>
        </w:rPr>
        <w:t>’</w:t>
      </w:r>
      <w:r w:rsidRPr="00DA3C5F">
        <w:rPr>
          <w:lang w:val="fr-FR"/>
        </w:rPr>
        <w:t>il est très probable qu</w:t>
      </w:r>
      <w:r>
        <w:rPr>
          <w:lang w:val="fr-FR"/>
        </w:rPr>
        <w:t>’</w:t>
      </w:r>
      <w:r w:rsidRPr="00DA3C5F">
        <w:rPr>
          <w:lang w:val="fr-FR"/>
        </w:rPr>
        <w:t xml:space="preserve">une personne soit pénalisée, persécutée ou soumise à des mesures vexatoires ou est actuellement pénalisée, persécutée ou soumise à des mesures vexatoires pour avoir exercé </w:t>
      </w:r>
      <w:r>
        <w:rPr>
          <w:lang w:val="fr-FR"/>
        </w:rPr>
        <w:t>l</w:t>
      </w:r>
      <w:r w:rsidRPr="00DA3C5F">
        <w:rPr>
          <w:lang w:val="fr-FR"/>
        </w:rPr>
        <w:t xml:space="preserve">es droits </w:t>
      </w:r>
      <w:r>
        <w:rPr>
          <w:lang w:val="fr-FR"/>
        </w:rPr>
        <w:t xml:space="preserve">qu’elle tient </w:t>
      </w:r>
      <w:r w:rsidRPr="00DA3C5F">
        <w:rPr>
          <w:lang w:val="fr-FR"/>
        </w:rPr>
        <w:t>de la Convention.</w:t>
      </w:r>
    </w:p>
    <w:p w14:paraId="2C5D53A2" w14:textId="77777777" w:rsidR="00493C90" w:rsidRPr="00DA3C5F" w:rsidRDefault="00493C90" w:rsidP="00493C90">
      <w:pPr>
        <w:pStyle w:val="H4G"/>
        <w:rPr>
          <w:lang w:val="fr-FR"/>
        </w:rPr>
      </w:pPr>
      <w:r w:rsidRPr="00DA3C5F">
        <w:rPr>
          <w:lang w:val="fr-FR"/>
        </w:rPr>
        <w:tab/>
      </w:r>
      <w:r w:rsidRPr="00DA3C5F">
        <w:rPr>
          <w:lang w:val="fr-FR"/>
        </w:rPr>
        <w:tab/>
      </w:r>
      <w:r w:rsidRPr="00DA3C5F">
        <w:rPr>
          <w:lang w:val="fr-FR"/>
        </w:rPr>
        <w:tab/>
      </w:r>
      <w:r w:rsidRPr="00DA3C5F">
        <w:rPr>
          <w:iCs/>
          <w:lang w:val="fr-FR"/>
        </w:rPr>
        <w:t>Mesure de protection continue</w:t>
      </w:r>
    </w:p>
    <w:p w14:paraId="135E3BDB" w14:textId="557578D9" w:rsidR="00493C90" w:rsidRPr="00DA3C5F" w:rsidRDefault="00493C90" w:rsidP="00493C90">
      <w:pPr>
        <w:pStyle w:val="SingleTxtG"/>
        <w:rPr>
          <w:lang w:val="fr-FR"/>
        </w:rPr>
      </w:pPr>
      <w:r w:rsidRPr="00DA3C5F">
        <w:rPr>
          <w:lang w:val="fr-FR"/>
        </w:rPr>
        <w:t>14.</w:t>
      </w:r>
      <w:r w:rsidRPr="00DA3C5F">
        <w:rPr>
          <w:lang w:val="fr-FR"/>
        </w:rPr>
        <w:tab/>
        <w:t>Un</w:t>
      </w:r>
      <w:r>
        <w:rPr>
          <w:lang w:val="fr-FR"/>
        </w:rPr>
        <w:t xml:space="preserve"> avis de</w:t>
      </w:r>
      <w:r w:rsidRPr="00DA3C5F">
        <w:rPr>
          <w:lang w:val="fr-FR"/>
        </w:rPr>
        <w:t xml:space="preserve"> mesure de protection continue est un</w:t>
      </w:r>
      <w:r>
        <w:rPr>
          <w:lang w:val="fr-FR"/>
        </w:rPr>
        <w:t xml:space="preserve"> avis que </w:t>
      </w:r>
      <w:r w:rsidRPr="00DA3C5F">
        <w:rPr>
          <w:lang w:val="fr-FR"/>
        </w:rPr>
        <w:t xml:space="preserve">le Rapporteur ou la Rapporteuse </w:t>
      </w:r>
      <w:r>
        <w:rPr>
          <w:lang w:val="fr-FR"/>
        </w:rPr>
        <w:t xml:space="preserve">adresse </w:t>
      </w:r>
      <w:r w:rsidRPr="00DA3C5F">
        <w:rPr>
          <w:lang w:val="fr-FR"/>
        </w:rPr>
        <w:t>à la Partie concernée lorsqu</w:t>
      </w:r>
      <w:r>
        <w:rPr>
          <w:lang w:val="fr-FR"/>
        </w:rPr>
        <w:t>’</w:t>
      </w:r>
      <w:r w:rsidRPr="00DA3C5F">
        <w:rPr>
          <w:lang w:val="fr-FR"/>
        </w:rPr>
        <w:t>il ou elle conclut que la Partie concernée a violé ou pourrait avoir violé l</w:t>
      </w:r>
      <w:r>
        <w:rPr>
          <w:lang w:val="fr-FR"/>
        </w:rPr>
        <w:t>’</w:t>
      </w:r>
      <w:r w:rsidRPr="00DA3C5F">
        <w:rPr>
          <w:lang w:val="fr-FR"/>
        </w:rPr>
        <w:t>article 3 (par. 8) de la Convention. La mesure de protection continue reste en vigueur jusqu</w:t>
      </w:r>
      <w:r>
        <w:rPr>
          <w:lang w:val="fr-FR"/>
        </w:rPr>
        <w:t>’</w:t>
      </w:r>
      <w:r w:rsidRPr="00DA3C5F">
        <w:rPr>
          <w:lang w:val="fr-FR"/>
        </w:rPr>
        <w:t>à ce qu</w:t>
      </w:r>
      <w:r>
        <w:rPr>
          <w:lang w:val="fr-FR"/>
        </w:rPr>
        <w:t>’</w:t>
      </w:r>
      <w:r w:rsidRPr="00DA3C5F">
        <w:rPr>
          <w:lang w:val="fr-FR"/>
        </w:rPr>
        <w:t>elle soit levée par le Rapporteur ou la Rapporteuse, la Réunion des Parties ou, en cas de renvoi au Comité d</w:t>
      </w:r>
      <w:r>
        <w:rPr>
          <w:lang w:val="fr-FR"/>
        </w:rPr>
        <w:t>’</w:t>
      </w:r>
      <w:r w:rsidRPr="00DA3C5F">
        <w:rPr>
          <w:lang w:val="fr-FR"/>
        </w:rPr>
        <w:t xml:space="preserve">examen du respect des dispositions, </w:t>
      </w:r>
      <w:r>
        <w:rPr>
          <w:lang w:val="fr-FR"/>
        </w:rPr>
        <w:t xml:space="preserve">par </w:t>
      </w:r>
      <w:r w:rsidRPr="00DA3C5F">
        <w:rPr>
          <w:lang w:val="fr-FR"/>
        </w:rPr>
        <w:t xml:space="preserve">le Comité (voir par. 15 b) ci-dessous). </w:t>
      </w:r>
    </w:p>
    <w:p w14:paraId="212AF769" w14:textId="77777777" w:rsidR="00493C90" w:rsidRPr="00DA3C5F" w:rsidRDefault="00493C90" w:rsidP="00493C90">
      <w:pPr>
        <w:pStyle w:val="H1G"/>
        <w:rPr>
          <w:lang w:val="fr-FR"/>
        </w:rPr>
      </w:pPr>
      <w:r w:rsidRPr="00DA3C5F">
        <w:rPr>
          <w:lang w:val="fr-FR"/>
        </w:rPr>
        <w:tab/>
        <w:t>H.</w:t>
      </w:r>
      <w:r w:rsidRPr="00DA3C5F">
        <w:rPr>
          <w:lang w:val="fr-FR"/>
        </w:rPr>
        <w:tab/>
      </w:r>
      <w:r w:rsidRPr="00DA3C5F">
        <w:rPr>
          <w:bCs/>
          <w:lang w:val="fr-FR"/>
        </w:rPr>
        <w:t>Relations avec le Comité d</w:t>
      </w:r>
      <w:r>
        <w:rPr>
          <w:bCs/>
          <w:lang w:val="fr-FR"/>
        </w:rPr>
        <w:t>’</w:t>
      </w:r>
      <w:r w:rsidRPr="00DA3C5F">
        <w:rPr>
          <w:bCs/>
          <w:lang w:val="fr-FR"/>
        </w:rPr>
        <w:t>examen du respect des dispositions</w:t>
      </w:r>
    </w:p>
    <w:p w14:paraId="08622920" w14:textId="448907EA" w:rsidR="00493C90" w:rsidRPr="00DA3C5F" w:rsidRDefault="00493C90" w:rsidP="00493C90">
      <w:pPr>
        <w:pStyle w:val="SingleTxtG"/>
        <w:rPr>
          <w:lang w:val="fr-FR"/>
        </w:rPr>
      </w:pPr>
      <w:r w:rsidRPr="00DA3C5F">
        <w:rPr>
          <w:lang w:val="fr-FR"/>
        </w:rPr>
        <w:t>15.</w:t>
      </w:r>
      <w:r w:rsidRPr="00DA3C5F">
        <w:rPr>
          <w:lang w:val="fr-FR"/>
        </w:rPr>
        <w:tab/>
        <w:t>La mission du Rapporteur ou de la Rapporteuse est d</w:t>
      </w:r>
      <w:r>
        <w:rPr>
          <w:lang w:val="fr-FR"/>
        </w:rPr>
        <w:t>’</w:t>
      </w:r>
      <w:r w:rsidRPr="00DA3C5F">
        <w:rPr>
          <w:lang w:val="fr-FR"/>
        </w:rPr>
        <w:t xml:space="preserve">apporter une </w:t>
      </w:r>
      <w:r>
        <w:rPr>
          <w:lang w:val="fr-FR"/>
        </w:rPr>
        <w:t>« </w:t>
      </w:r>
      <w:r w:rsidRPr="00DA3C5F">
        <w:rPr>
          <w:lang w:val="fr-FR"/>
        </w:rPr>
        <w:t>réponse rapide</w:t>
      </w:r>
      <w:r>
        <w:rPr>
          <w:lang w:val="fr-FR"/>
        </w:rPr>
        <w:t> »</w:t>
      </w:r>
      <w:r w:rsidRPr="00DA3C5F">
        <w:rPr>
          <w:lang w:val="fr-FR"/>
        </w:rPr>
        <w:t xml:space="preserve"> </w:t>
      </w:r>
      <w:r>
        <w:rPr>
          <w:lang w:val="fr-FR"/>
        </w:rPr>
        <w:t xml:space="preserve">visant à </w:t>
      </w:r>
      <w:r w:rsidRPr="00DA3C5F">
        <w:rPr>
          <w:lang w:val="fr-FR"/>
        </w:rPr>
        <w:t xml:space="preserve">prévenir ou </w:t>
      </w:r>
      <w:r>
        <w:rPr>
          <w:lang w:val="fr-FR"/>
        </w:rPr>
        <w:t xml:space="preserve">à </w:t>
      </w:r>
      <w:r w:rsidRPr="00DA3C5F">
        <w:rPr>
          <w:lang w:val="fr-FR"/>
        </w:rPr>
        <w:t xml:space="preserve">faire cesser la pénalisation, la persécution </w:t>
      </w:r>
      <w:r>
        <w:rPr>
          <w:lang w:val="fr-FR"/>
        </w:rPr>
        <w:t>ou</w:t>
      </w:r>
      <w:r w:rsidRPr="00DA3C5F">
        <w:rPr>
          <w:lang w:val="fr-FR"/>
        </w:rPr>
        <w:t xml:space="preserve"> les mesures vexatoires découlant de violations présumées de l</w:t>
      </w:r>
      <w:r>
        <w:rPr>
          <w:lang w:val="fr-FR"/>
        </w:rPr>
        <w:t>’</w:t>
      </w:r>
      <w:r w:rsidRPr="00DA3C5F">
        <w:rPr>
          <w:lang w:val="fr-FR"/>
        </w:rPr>
        <w:t xml:space="preserve">article 3 (par. 8) de la Convention. La procédure </w:t>
      </w:r>
      <w:r w:rsidRPr="00DA3C5F">
        <w:rPr>
          <w:lang w:val="fr-FR"/>
        </w:rPr>
        <w:lastRenderedPageBreak/>
        <w:t xml:space="preserve">supervisée par le Rapporteur ou la Rapporteuse est donc complémentaire </w:t>
      </w:r>
      <w:r>
        <w:rPr>
          <w:lang w:val="fr-FR"/>
        </w:rPr>
        <w:t>de</w:t>
      </w:r>
      <w:r w:rsidRPr="00DA3C5F">
        <w:rPr>
          <w:lang w:val="fr-FR"/>
        </w:rPr>
        <w:t xml:space="preserve"> celles du Comité d</w:t>
      </w:r>
      <w:r>
        <w:rPr>
          <w:lang w:val="fr-FR"/>
        </w:rPr>
        <w:t>’</w:t>
      </w:r>
      <w:r w:rsidRPr="00DA3C5F">
        <w:rPr>
          <w:lang w:val="fr-FR"/>
        </w:rPr>
        <w:t>examen du respect des dispositions et sa mise en place ne modifie en rien la procédure d</w:t>
      </w:r>
      <w:r>
        <w:rPr>
          <w:lang w:val="fr-FR"/>
        </w:rPr>
        <w:t>’</w:t>
      </w:r>
      <w:r w:rsidRPr="00DA3C5F">
        <w:rPr>
          <w:lang w:val="fr-FR"/>
        </w:rPr>
        <w:t>examen, par le Comité, des communications qui lui sont adressées, des demandes qui lui sont soumises, des questions qui lui sont renvoyées par le secrétariat et des requêtes qui lui sont adressées, en application de la décision I/7</w:t>
      </w:r>
      <w:r w:rsidRPr="00DA3C5F">
        <w:rPr>
          <w:rStyle w:val="Appelnotedebasdep"/>
          <w:lang w:val="fr-FR"/>
        </w:rPr>
        <w:footnoteReference w:id="11"/>
      </w:r>
      <w:r w:rsidRPr="00DA3C5F">
        <w:rPr>
          <w:lang w:val="fr-FR"/>
        </w:rPr>
        <w:t>. Ainsi, le Rapporteur ou la Rapporteuse peut être saisi</w:t>
      </w:r>
      <w:r w:rsidR="009B4AA7">
        <w:rPr>
          <w:lang w:val="fr-FR"/>
        </w:rPr>
        <w:t>(</w:t>
      </w:r>
      <w:r w:rsidRPr="00DA3C5F">
        <w:rPr>
          <w:lang w:val="fr-FR"/>
        </w:rPr>
        <w:t>e</w:t>
      </w:r>
      <w:r w:rsidR="009B4AA7">
        <w:rPr>
          <w:lang w:val="fr-FR"/>
        </w:rPr>
        <w:t>)</w:t>
      </w:r>
      <w:r w:rsidRPr="00DA3C5F">
        <w:rPr>
          <w:lang w:val="fr-FR"/>
        </w:rPr>
        <w:t xml:space="preserve"> d</w:t>
      </w:r>
      <w:r>
        <w:rPr>
          <w:lang w:val="fr-FR"/>
        </w:rPr>
        <w:t>’</w:t>
      </w:r>
      <w:r w:rsidRPr="00DA3C5F">
        <w:rPr>
          <w:lang w:val="fr-FR"/>
        </w:rPr>
        <w:t>une plainte alors qu</w:t>
      </w:r>
      <w:r>
        <w:rPr>
          <w:lang w:val="fr-FR"/>
        </w:rPr>
        <w:t>’</w:t>
      </w:r>
      <w:r w:rsidRPr="00DA3C5F">
        <w:rPr>
          <w:lang w:val="fr-FR"/>
        </w:rPr>
        <w:t>une affaire connexe est pendante devant le Comité et inversement. Le ou la titulaire du mandat interagira avec le Comité d</w:t>
      </w:r>
      <w:r>
        <w:rPr>
          <w:lang w:val="fr-FR"/>
        </w:rPr>
        <w:t>’</w:t>
      </w:r>
      <w:r w:rsidRPr="00DA3C5F">
        <w:rPr>
          <w:lang w:val="fr-FR"/>
        </w:rPr>
        <w:t>examen du respect des dispositions de la manière suivante</w:t>
      </w:r>
      <w:r w:rsidR="009B4AA7">
        <w:rPr>
          <w:lang w:val="fr-FR"/>
        </w:rPr>
        <w:t> </w:t>
      </w:r>
      <w:r w:rsidRPr="00DA3C5F">
        <w:rPr>
          <w:lang w:val="fr-FR"/>
        </w:rPr>
        <w:t>:</w:t>
      </w:r>
      <w:bookmarkStart w:id="4" w:name="_Hlk36574172"/>
      <w:bookmarkEnd w:id="4"/>
    </w:p>
    <w:p w14:paraId="38D06A05" w14:textId="0AA2D840" w:rsidR="00493C90" w:rsidRPr="00DA3C5F" w:rsidRDefault="00493C90" w:rsidP="00493C90">
      <w:pPr>
        <w:pStyle w:val="SingleTxtG"/>
        <w:ind w:firstLine="567"/>
        <w:rPr>
          <w:lang w:val="fr-FR"/>
        </w:rPr>
      </w:pPr>
      <w:r w:rsidRPr="00DA3C5F">
        <w:rPr>
          <w:lang w:val="fr-FR"/>
        </w:rPr>
        <w:t>a)</w:t>
      </w:r>
      <w:r w:rsidRPr="00DA3C5F">
        <w:rPr>
          <w:lang w:val="fr-FR"/>
        </w:rPr>
        <w:tab/>
        <w:t>Le Rapporteur ou la Rapporteuse tient le Comité d</w:t>
      </w:r>
      <w:r>
        <w:rPr>
          <w:lang w:val="fr-FR"/>
        </w:rPr>
        <w:t>’</w:t>
      </w:r>
      <w:r w:rsidRPr="00DA3C5F">
        <w:rPr>
          <w:lang w:val="fr-FR"/>
        </w:rPr>
        <w:t>examen du respect des procédures informé de ses travaux</w:t>
      </w:r>
      <w:r w:rsidR="009B4AA7">
        <w:rPr>
          <w:lang w:val="fr-FR"/>
        </w:rPr>
        <w:t> </w:t>
      </w:r>
      <w:r w:rsidRPr="00DA3C5F">
        <w:rPr>
          <w:lang w:val="fr-FR"/>
        </w:rPr>
        <w:t xml:space="preserve">; </w:t>
      </w:r>
    </w:p>
    <w:p w14:paraId="2E8020E7" w14:textId="7CE4877D" w:rsidR="00493C90" w:rsidRPr="00DA3C5F" w:rsidRDefault="00493C90" w:rsidP="00493C90">
      <w:pPr>
        <w:pStyle w:val="SingleTxtG"/>
        <w:ind w:firstLine="567"/>
        <w:rPr>
          <w:rStyle w:val="Marquedecommentaire"/>
          <w:sz w:val="20"/>
          <w:lang w:val="fr-FR"/>
        </w:rPr>
      </w:pPr>
      <w:r w:rsidRPr="00DA3C5F">
        <w:rPr>
          <w:lang w:val="fr-FR"/>
        </w:rPr>
        <w:t>b)</w:t>
      </w:r>
      <w:r w:rsidRPr="00DA3C5F">
        <w:rPr>
          <w:lang w:val="fr-FR"/>
        </w:rPr>
        <w:tab/>
        <w:t xml:space="preserve">En fonction du caractère grave ou systémique </w:t>
      </w:r>
      <w:r>
        <w:rPr>
          <w:lang w:val="fr-FR"/>
        </w:rPr>
        <w:t>de la (</w:t>
      </w:r>
      <w:r w:rsidRPr="00DA3C5F">
        <w:rPr>
          <w:lang w:val="fr-FR"/>
        </w:rPr>
        <w:t>des</w:t>
      </w:r>
      <w:r>
        <w:rPr>
          <w:lang w:val="fr-FR"/>
        </w:rPr>
        <w:t>)</w:t>
      </w:r>
      <w:r w:rsidRPr="00DA3C5F">
        <w:rPr>
          <w:lang w:val="fr-FR"/>
        </w:rPr>
        <w:t xml:space="preserve"> violation</w:t>
      </w:r>
      <w:r>
        <w:rPr>
          <w:lang w:val="fr-FR"/>
        </w:rPr>
        <w:t>(</w:t>
      </w:r>
      <w:r w:rsidRPr="00DA3C5F">
        <w:rPr>
          <w:lang w:val="fr-FR"/>
        </w:rPr>
        <w:t>s</w:t>
      </w:r>
      <w:r>
        <w:rPr>
          <w:lang w:val="fr-FR"/>
        </w:rPr>
        <w:t>)</w:t>
      </w:r>
      <w:r w:rsidRPr="00DA3C5F">
        <w:rPr>
          <w:lang w:val="fr-FR"/>
        </w:rPr>
        <w:t xml:space="preserve"> présumée</w:t>
      </w:r>
      <w:r>
        <w:rPr>
          <w:lang w:val="fr-FR"/>
        </w:rPr>
        <w:t>(</w:t>
      </w:r>
      <w:r w:rsidRPr="00DA3C5F">
        <w:rPr>
          <w:lang w:val="fr-FR"/>
        </w:rPr>
        <w:t>s</w:t>
      </w:r>
      <w:r>
        <w:rPr>
          <w:lang w:val="fr-FR"/>
        </w:rPr>
        <w:t>)</w:t>
      </w:r>
      <w:r w:rsidRPr="00DA3C5F">
        <w:rPr>
          <w:lang w:val="fr-FR"/>
        </w:rPr>
        <w:t xml:space="preserve"> de l</w:t>
      </w:r>
      <w:r>
        <w:rPr>
          <w:lang w:val="fr-FR"/>
        </w:rPr>
        <w:t>’</w:t>
      </w:r>
      <w:r w:rsidRPr="00DA3C5F">
        <w:rPr>
          <w:lang w:val="fr-FR"/>
        </w:rPr>
        <w:t>article 3 (par. 8), le Rapporteur ou la Rapporteuse peut saisir le Comité d</w:t>
      </w:r>
      <w:r>
        <w:rPr>
          <w:lang w:val="fr-FR"/>
        </w:rPr>
        <w:t>’</w:t>
      </w:r>
      <w:r w:rsidRPr="00DA3C5F">
        <w:rPr>
          <w:lang w:val="fr-FR"/>
        </w:rPr>
        <w:t xml:space="preserve">examen du respect des dispositions. Dès </w:t>
      </w:r>
      <w:r>
        <w:rPr>
          <w:lang w:val="fr-FR"/>
        </w:rPr>
        <w:t xml:space="preserve">qu’il </w:t>
      </w:r>
      <w:r w:rsidRPr="00DA3C5F">
        <w:rPr>
          <w:lang w:val="fr-FR"/>
        </w:rPr>
        <w:t xml:space="preserve">la </w:t>
      </w:r>
      <w:r>
        <w:rPr>
          <w:lang w:val="fr-FR"/>
        </w:rPr>
        <w:t>reçoit</w:t>
      </w:r>
      <w:r w:rsidRPr="00DA3C5F">
        <w:rPr>
          <w:lang w:val="fr-FR"/>
        </w:rPr>
        <w:t xml:space="preserve">, le Comité transmet </w:t>
      </w:r>
      <w:r>
        <w:rPr>
          <w:lang w:val="fr-FR"/>
        </w:rPr>
        <w:t xml:space="preserve">la </w:t>
      </w:r>
      <w:r w:rsidRPr="00DA3C5F">
        <w:rPr>
          <w:lang w:val="fr-FR"/>
        </w:rPr>
        <w:t>demande à la Partie concernée, qui dispose alors d</w:t>
      </w:r>
      <w:r>
        <w:rPr>
          <w:lang w:val="fr-FR"/>
        </w:rPr>
        <w:t>’</w:t>
      </w:r>
      <w:r w:rsidRPr="00DA3C5F">
        <w:rPr>
          <w:lang w:val="fr-FR"/>
        </w:rPr>
        <w:t>un délai de trois mois pour donner sa réponse. Lors de l</w:t>
      </w:r>
      <w:r>
        <w:rPr>
          <w:lang w:val="fr-FR"/>
        </w:rPr>
        <w:t>’</w:t>
      </w:r>
      <w:r w:rsidRPr="00DA3C5F">
        <w:rPr>
          <w:lang w:val="fr-FR"/>
        </w:rPr>
        <w:t>adoption de ses conclusions, le Comité peut décider de lever ou de maintenir toute mesure de protection prise par le Rapporteur ou la Rapporteuse</w:t>
      </w:r>
      <w:r w:rsidR="009B4AA7">
        <w:rPr>
          <w:lang w:val="fr-FR"/>
        </w:rPr>
        <w:t> </w:t>
      </w:r>
      <w:r w:rsidRPr="00DA3C5F">
        <w:rPr>
          <w:lang w:val="fr-FR"/>
        </w:rPr>
        <w:t xml:space="preserve">; </w:t>
      </w:r>
    </w:p>
    <w:p w14:paraId="047B04A7" w14:textId="2ACB6F44" w:rsidR="00493C90" w:rsidRPr="00DA3C5F" w:rsidRDefault="00493C90" w:rsidP="00493C90">
      <w:pPr>
        <w:pStyle w:val="SingleTxtG"/>
        <w:ind w:firstLine="567"/>
        <w:rPr>
          <w:lang w:val="fr-FR"/>
        </w:rPr>
      </w:pPr>
      <w:r w:rsidRPr="00DA3C5F">
        <w:rPr>
          <w:lang w:val="fr-FR"/>
        </w:rPr>
        <w:t>c)</w:t>
      </w:r>
      <w:r w:rsidRPr="00DA3C5F">
        <w:rPr>
          <w:lang w:val="fr-FR"/>
        </w:rPr>
        <w:tab/>
        <w:t>En application du paragraphe 25 (al. d) de l</w:t>
      </w:r>
      <w:r>
        <w:rPr>
          <w:lang w:val="fr-FR"/>
        </w:rPr>
        <w:t>’</w:t>
      </w:r>
      <w:r w:rsidRPr="00DA3C5F">
        <w:rPr>
          <w:lang w:val="fr-FR"/>
        </w:rPr>
        <w:t>annexe de la décision I/7, le Comité d</w:t>
      </w:r>
      <w:r>
        <w:rPr>
          <w:lang w:val="fr-FR"/>
        </w:rPr>
        <w:t>’</w:t>
      </w:r>
      <w:r w:rsidRPr="00DA3C5F">
        <w:rPr>
          <w:lang w:val="fr-FR"/>
        </w:rPr>
        <w:t>examen du respect des dispositions peut, à tout moment, solliciter les conseils ou l</w:t>
      </w:r>
      <w:r>
        <w:rPr>
          <w:lang w:val="fr-FR"/>
        </w:rPr>
        <w:t>’</w:t>
      </w:r>
      <w:r w:rsidRPr="00DA3C5F">
        <w:rPr>
          <w:lang w:val="fr-FR"/>
        </w:rPr>
        <w:t>assistance du Rapporteur ou de la Rapporteuse pour traiter de questions relevant de l</w:t>
      </w:r>
      <w:r>
        <w:rPr>
          <w:lang w:val="fr-FR"/>
        </w:rPr>
        <w:t>’</w:t>
      </w:r>
      <w:r w:rsidRPr="00DA3C5F">
        <w:rPr>
          <w:lang w:val="fr-FR"/>
        </w:rPr>
        <w:t>article</w:t>
      </w:r>
      <w:r w:rsidR="009B4AA7">
        <w:rPr>
          <w:lang w:val="fr-FR"/>
        </w:rPr>
        <w:t> </w:t>
      </w:r>
      <w:r w:rsidRPr="00DA3C5F">
        <w:rPr>
          <w:lang w:val="fr-FR"/>
        </w:rPr>
        <w:t>3 (par. 8). Par exemple, au cours de l</w:t>
      </w:r>
      <w:r>
        <w:rPr>
          <w:lang w:val="fr-FR"/>
        </w:rPr>
        <w:t>’</w:t>
      </w:r>
      <w:r w:rsidRPr="00DA3C5F">
        <w:rPr>
          <w:lang w:val="fr-FR"/>
        </w:rPr>
        <w:t>examen par le Comité des progrès faits par une Partie concernée dans la suite donnée aux constatations de non-respect de l</w:t>
      </w:r>
      <w:r>
        <w:rPr>
          <w:lang w:val="fr-FR"/>
        </w:rPr>
        <w:t>’</w:t>
      </w:r>
      <w:r w:rsidRPr="00DA3C5F">
        <w:rPr>
          <w:lang w:val="fr-FR"/>
        </w:rPr>
        <w:t>article 3 (par. 8), le Comité peut solliciter les services du Rapporteur ou de la Rapporteuse en sa qualité d</w:t>
      </w:r>
      <w:r>
        <w:rPr>
          <w:lang w:val="fr-FR"/>
        </w:rPr>
        <w:t>’</w:t>
      </w:r>
      <w:r w:rsidRPr="00DA3C5F">
        <w:rPr>
          <w:lang w:val="fr-FR"/>
        </w:rPr>
        <w:t>expert(e).</w:t>
      </w:r>
    </w:p>
    <w:p w14:paraId="7E6E401F" w14:textId="597843FE" w:rsidR="00493C90" w:rsidRPr="00DA3C5F" w:rsidRDefault="00493C90" w:rsidP="00493C90">
      <w:pPr>
        <w:pStyle w:val="H1G"/>
        <w:rPr>
          <w:lang w:val="fr-FR"/>
        </w:rPr>
      </w:pPr>
      <w:r w:rsidRPr="00DA3C5F">
        <w:rPr>
          <w:lang w:val="fr-FR"/>
        </w:rPr>
        <w:tab/>
        <w:t>I.</w:t>
      </w:r>
      <w:r w:rsidRPr="00DA3C5F">
        <w:rPr>
          <w:lang w:val="fr-FR"/>
        </w:rPr>
        <w:tab/>
      </w:r>
      <w:r>
        <w:rPr>
          <w:bCs/>
          <w:lang w:val="fr-FR"/>
        </w:rPr>
        <w:t>O</w:t>
      </w:r>
      <w:r w:rsidRPr="00DA3C5F">
        <w:rPr>
          <w:bCs/>
          <w:lang w:val="fr-FR"/>
        </w:rPr>
        <w:t xml:space="preserve">bligations du Rapporteur ou de la Rapporteuse en matière </w:t>
      </w:r>
      <w:r w:rsidR="009B4AA7">
        <w:rPr>
          <w:bCs/>
          <w:lang w:val="fr-FR"/>
        </w:rPr>
        <w:br/>
      </w:r>
      <w:r w:rsidRPr="00DA3C5F">
        <w:rPr>
          <w:bCs/>
          <w:lang w:val="fr-FR"/>
        </w:rPr>
        <w:t xml:space="preserve">de </w:t>
      </w:r>
      <w:r>
        <w:rPr>
          <w:bCs/>
          <w:lang w:val="fr-FR"/>
        </w:rPr>
        <w:t>communication d’informations</w:t>
      </w:r>
      <w:r w:rsidRPr="00DA3C5F">
        <w:rPr>
          <w:lang w:val="fr-FR"/>
        </w:rPr>
        <w:t xml:space="preserve">  </w:t>
      </w:r>
    </w:p>
    <w:p w14:paraId="669EF413" w14:textId="104F914C" w:rsidR="00493C90" w:rsidRPr="00DA3C5F" w:rsidRDefault="00493C90" w:rsidP="00493C90">
      <w:pPr>
        <w:pStyle w:val="SingleTxtG"/>
        <w:rPr>
          <w:lang w:val="fr-FR"/>
        </w:rPr>
      </w:pPr>
      <w:r w:rsidRPr="00DA3C5F">
        <w:rPr>
          <w:lang w:val="fr-FR"/>
        </w:rPr>
        <w:t>16.</w:t>
      </w:r>
      <w:r w:rsidRPr="00DA3C5F">
        <w:rPr>
          <w:lang w:val="fr-FR"/>
        </w:rPr>
        <w:tab/>
        <w:t>Le Rapporteur ou la Rapporteuse est placé(e) sous l</w:t>
      </w:r>
      <w:r>
        <w:rPr>
          <w:lang w:val="fr-FR"/>
        </w:rPr>
        <w:t>’</w:t>
      </w:r>
      <w:r w:rsidRPr="00DA3C5F">
        <w:rPr>
          <w:lang w:val="fr-FR"/>
        </w:rPr>
        <w:t>autorité de la Réunion des Parties. À cet effet</w:t>
      </w:r>
      <w:r w:rsidR="009B4AA7">
        <w:rPr>
          <w:lang w:val="fr-FR"/>
        </w:rPr>
        <w:t> </w:t>
      </w:r>
      <w:r w:rsidRPr="00DA3C5F">
        <w:rPr>
          <w:lang w:val="fr-FR"/>
        </w:rPr>
        <w:t xml:space="preserve">: </w:t>
      </w:r>
    </w:p>
    <w:p w14:paraId="7B065ED5" w14:textId="43DCB95A" w:rsidR="00493C90" w:rsidRPr="00DA3C5F" w:rsidRDefault="00493C90" w:rsidP="00493C90">
      <w:pPr>
        <w:pStyle w:val="SingleTxtG"/>
        <w:ind w:firstLine="567"/>
        <w:rPr>
          <w:lang w:val="fr-FR"/>
        </w:rPr>
      </w:pPr>
      <w:r w:rsidRPr="00DA3C5F">
        <w:rPr>
          <w:lang w:val="fr-FR"/>
        </w:rPr>
        <w:t>a)</w:t>
      </w:r>
      <w:r w:rsidRPr="00DA3C5F">
        <w:rPr>
          <w:lang w:val="fr-FR"/>
        </w:rPr>
        <w:tab/>
        <w:t>Le Rapporteur ou la Rapporteuse fait rapport à la Réunion des Parties, à chacune de ses sessions. Entre les sessions de la Réunion des Parties, il ou elle tient le Bureau et le Groupe de travail des Parties régulièrement informés de ses travaux</w:t>
      </w:r>
      <w:r w:rsidR="009B4AA7">
        <w:rPr>
          <w:lang w:val="fr-FR"/>
        </w:rPr>
        <w:t> </w:t>
      </w:r>
      <w:r w:rsidRPr="00DA3C5F">
        <w:rPr>
          <w:lang w:val="fr-FR"/>
        </w:rPr>
        <w:t xml:space="preserve">; </w:t>
      </w:r>
    </w:p>
    <w:p w14:paraId="3E70FABB" w14:textId="1F282627" w:rsidR="00493C90" w:rsidRPr="00DA3C5F" w:rsidRDefault="00493C90" w:rsidP="00493C90">
      <w:pPr>
        <w:pStyle w:val="SingleTxtG"/>
        <w:ind w:firstLine="567"/>
        <w:rPr>
          <w:rStyle w:val="Marquedecommentaire"/>
          <w:sz w:val="20"/>
          <w:lang w:val="fr-FR"/>
        </w:rPr>
      </w:pPr>
      <w:r w:rsidRPr="00DA3C5F">
        <w:rPr>
          <w:lang w:val="fr-FR"/>
        </w:rPr>
        <w:t>b)</w:t>
      </w:r>
      <w:r w:rsidRPr="00DA3C5F">
        <w:rPr>
          <w:lang w:val="fr-FR"/>
        </w:rPr>
        <w:tab/>
        <w:t>Si le Rapporteur ou la Rapporteuse doit renvoyer une question au Comité d</w:t>
      </w:r>
      <w:r>
        <w:rPr>
          <w:lang w:val="fr-FR"/>
        </w:rPr>
        <w:t>’</w:t>
      </w:r>
      <w:r w:rsidRPr="00DA3C5F">
        <w:rPr>
          <w:lang w:val="fr-FR"/>
        </w:rPr>
        <w:t>examen du respect des dispositions, il ou elle en fait part à la Réunion des Parties</w:t>
      </w:r>
      <w:r w:rsidR="009B4AA7">
        <w:rPr>
          <w:lang w:val="fr-FR"/>
        </w:rPr>
        <w:t> </w:t>
      </w:r>
      <w:r w:rsidRPr="00DA3C5F">
        <w:rPr>
          <w:lang w:val="fr-FR"/>
        </w:rPr>
        <w:t xml:space="preserve">; </w:t>
      </w:r>
    </w:p>
    <w:p w14:paraId="0F4F9A66" w14:textId="77777777" w:rsidR="00493C90" w:rsidRPr="00DA3C5F" w:rsidRDefault="00493C90" w:rsidP="00493C90">
      <w:pPr>
        <w:pStyle w:val="SingleTxtG"/>
        <w:ind w:firstLine="567"/>
        <w:rPr>
          <w:lang w:val="fr-FR"/>
        </w:rPr>
      </w:pPr>
      <w:r w:rsidRPr="00DA3C5F">
        <w:rPr>
          <w:lang w:val="fr-FR"/>
        </w:rPr>
        <w:t>c)</w:t>
      </w:r>
      <w:r w:rsidRPr="00DA3C5F">
        <w:rPr>
          <w:lang w:val="fr-FR"/>
        </w:rPr>
        <w:tab/>
        <w:t>Après avoir examiné un rapport du Rapporteur ou de la Rapporteuse et toute recommandation y figurant, la Réunion des Parties peut décider de maintenir ou de lever toute mesure de protection prise par le Rapporteur ou la Rapporteuse et peut également demander au Comité d</w:t>
      </w:r>
      <w:r>
        <w:rPr>
          <w:lang w:val="fr-FR"/>
        </w:rPr>
        <w:t>’</w:t>
      </w:r>
      <w:r w:rsidRPr="00DA3C5F">
        <w:rPr>
          <w:lang w:val="fr-FR"/>
        </w:rPr>
        <w:t>examen du respect des dispositions d</w:t>
      </w:r>
      <w:r>
        <w:rPr>
          <w:lang w:val="fr-FR"/>
        </w:rPr>
        <w:t>’</w:t>
      </w:r>
      <w:r w:rsidRPr="00DA3C5F">
        <w:rPr>
          <w:lang w:val="fr-FR"/>
        </w:rPr>
        <w:t>examiner le respect par une ou plusieurs Parties des dispositions de l</w:t>
      </w:r>
      <w:r>
        <w:rPr>
          <w:lang w:val="fr-FR"/>
        </w:rPr>
        <w:t>’</w:t>
      </w:r>
      <w:r w:rsidRPr="00DA3C5F">
        <w:rPr>
          <w:lang w:val="fr-FR"/>
        </w:rPr>
        <w:t xml:space="preserve">article 3 (par. 8) de la Convention. </w:t>
      </w:r>
    </w:p>
    <w:p w14:paraId="7BE2F2F3" w14:textId="77777777" w:rsidR="00493C90" w:rsidRPr="00DA3C5F" w:rsidRDefault="00493C90" w:rsidP="00493C90">
      <w:pPr>
        <w:pStyle w:val="H1G"/>
        <w:rPr>
          <w:lang w:val="fr-FR"/>
        </w:rPr>
      </w:pPr>
      <w:r w:rsidRPr="00DA3C5F">
        <w:rPr>
          <w:lang w:val="fr-FR"/>
        </w:rPr>
        <w:tab/>
        <w:t>J.</w:t>
      </w:r>
      <w:r w:rsidRPr="00DA3C5F">
        <w:rPr>
          <w:lang w:val="fr-FR"/>
        </w:rPr>
        <w:tab/>
      </w:r>
      <w:r w:rsidRPr="00DA3C5F">
        <w:rPr>
          <w:bCs/>
          <w:lang w:val="fr-FR"/>
        </w:rPr>
        <w:t>Sensibilisation</w:t>
      </w:r>
      <w:r w:rsidRPr="00DA3C5F">
        <w:rPr>
          <w:lang w:val="fr-FR"/>
        </w:rPr>
        <w:t xml:space="preserve"> </w:t>
      </w:r>
    </w:p>
    <w:p w14:paraId="4C8F4173" w14:textId="77777777" w:rsidR="00493C90" w:rsidRPr="00DA3C5F" w:rsidRDefault="00493C90" w:rsidP="00493C90">
      <w:pPr>
        <w:pStyle w:val="SingleTxtG"/>
        <w:rPr>
          <w:lang w:val="fr-FR"/>
        </w:rPr>
      </w:pPr>
      <w:r w:rsidRPr="00DA3C5F">
        <w:rPr>
          <w:lang w:val="fr-FR"/>
        </w:rPr>
        <w:t>17.</w:t>
      </w:r>
      <w:r w:rsidRPr="00DA3C5F">
        <w:rPr>
          <w:lang w:val="fr-FR"/>
        </w:rPr>
        <w:tab/>
        <w:t>Outre son travail de traitement des demandes de réaction rapide, le Rapporteur ou la Rapporteuse joue également un rôle actif dans la sensibilisation aux obligations qui incombent aux Parties au titre de l</w:t>
      </w:r>
      <w:r>
        <w:rPr>
          <w:lang w:val="fr-FR"/>
        </w:rPr>
        <w:t>’</w:t>
      </w:r>
      <w:r w:rsidRPr="00DA3C5F">
        <w:rPr>
          <w:lang w:val="fr-FR"/>
        </w:rPr>
        <w:t>article 3 (par. 8) de la Convention. Il ou elle peut notamment mener des activités de sensibilisation au cours des réunions pertinentes des organes de la Convention et d</w:t>
      </w:r>
      <w:r>
        <w:rPr>
          <w:lang w:val="fr-FR"/>
        </w:rPr>
        <w:t>’</w:t>
      </w:r>
      <w:r w:rsidRPr="00DA3C5F">
        <w:rPr>
          <w:lang w:val="fr-FR"/>
        </w:rPr>
        <w:t xml:space="preserve">autres manifestations internationales et, </w:t>
      </w:r>
      <w:r>
        <w:rPr>
          <w:lang w:val="fr-FR"/>
        </w:rPr>
        <w:t>si nécessaire</w:t>
      </w:r>
      <w:r w:rsidRPr="00DA3C5F">
        <w:rPr>
          <w:lang w:val="fr-FR"/>
        </w:rPr>
        <w:t>, par d</w:t>
      </w:r>
      <w:r>
        <w:rPr>
          <w:lang w:val="fr-FR"/>
        </w:rPr>
        <w:t>’</w:t>
      </w:r>
      <w:r w:rsidRPr="00DA3C5F">
        <w:rPr>
          <w:lang w:val="fr-FR"/>
        </w:rPr>
        <w:t xml:space="preserve">autres moyens, notamment le renforcement des capacités, </w:t>
      </w:r>
      <w:r>
        <w:rPr>
          <w:lang w:val="fr-FR"/>
        </w:rPr>
        <w:t>l</w:t>
      </w:r>
      <w:r w:rsidRPr="00DA3C5F">
        <w:rPr>
          <w:lang w:val="fr-FR"/>
        </w:rPr>
        <w:t xml:space="preserve">es recommandations, </w:t>
      </w:r>
      <w:r>
        <w:rPr>
          <w:lang w:val="fr-FR"/>
        </w:rPr>
        <w:t>l</w:t>
      </w:r>
      <w:r w:rsidRPr="00DA3C5F">
        <w:rPr>
          <w:lang w:val="fr-FR"/>
        </w:rPr>
        <w:t xml:space="preserve">es boîtes à outils, </w:t>
      </w:r>
      <w:r>
        <w:rPr>
          <w:lang w:val="fr-FR"/>
        </w:rPr>
        <w:t>l</w:t>
      </w:r>
      <w:r w:rsidRPr="00DA3C5F">
        <w:rPr>
          <w:lang w:val="fr-FR"/>
        </w:rPr>
        <w:t xml:space="preserve">es études, </w:t>
      </w:r>
      <w:r>
        <w:rPr>
          <w:lang w:val="fr-FR"/>
        </w:rPr>
        <w:t>l</w:t>
      </w:r>
      <w:r w:rsidRPr="00DA3C5F">
        <w:rPr>
          <w:lang w:val="fr-FR"/>
        </w:rPr>
        <w:t>es notes, l</w:t>
      </w:r>
      <w:r>
        <w:rPr>
          <w:lang w:val="fr-FR"/>
        </w:rPr>
        <w:t>’</w:t>
      </w:r>
      <w:r w:rsidRPr="00DA3C5F">
        <w:rPr>
          <w:lang w:val="fr-FR"/>
        </w:rPr>
        <w:t>utilisation des médias classiques et des médias sociaux, ainsi qu</w:t>
      </w:r>
      <w:r>
        <w:rPr>
          <w:lang w:val="fr-FR"/>
        </w:rPr>
        <w:t>’</w:t>
      </w:r>
      <w:r w:rsidRPr="00DA3C5F">
        <w:rPr>
          <w:lang w:val="fr-FR"/>
        </w:rPr>
        <w:t xml:space="preserve">au cours de visites de pays. </w:t>
      </w:r>
    </w:p>
    <w:p w14:paraId="2ECEA548" w14:textId="77777777" w:rsidR="00493C90" w:rsidRPr="00DA3C5F" w:rsidRDefault="00493C90" w:rsidP="00493C90">
      <w:pPr>
        <w:pStyle w:val="H1G"/>
        <w:rPr>
          <w:lang w:val="fr-FR"/>
        </w:rPr>
      </w:pPr>
      <w:r w:rsidRPr="00DA3C5F">
        <w:rPr>
          <w:lang w:val="fr-FR"/>
        </w:rPr>
        <w:lastRenderedPageBreak/>
        <w:tab/>
        <w:t>K.</w:t>
      </w:r>
      <w:r w:rsidRPr="00DA3C5F">
        <w:rPr>
          <w:lang w:val="fr-FR"/>
        </w:rPr>
        <w:tab/>
      </w:r>
      <w:r w:rsidRPr="00DA3C5F">
        <w:rPr>
          <w:bCs/>
          <w:lang w:val="fr-FR"/>
        </w:rPr>
        <w:t>Élection</w:t>
      </w:r>
    </w:p>
    <w:p w14:paraId="48A78017" w14:textId="77777777" w:rsidR="00493C90" w:rsidRPr="00DA3C5F" w:rsidRDefault="00493C90" w:rsidP="00493C90">
      <w:pPr>
        <w:pStyle w:val="SingleTxtG"/>
        <w:rPr>
          <w:lang w:val="fr-FR"/>
        </w:rPr>
      </w:pPr>
      <w:r w:rsidRPr="00DA3C5F">
        <w:rPr>
          <w:lang w:val="fr-FR"/>
        </w:rPr>
        <w:t>18.</w:t>
      </w:r>
      <w:r w:rsidRPr="00DA3C5F">
        <w:rPr>
          <w:lang w:val="fr-FR"/>
        </w:rPr>
        <w:tab/>
        <w:t>Le Rapporteur ou la Rapporteuse doit être ressortissant d</w:t>
      </w:r>
      <w:r>
        <w:rPr>
          <w:lang w:val="fr-FR"/>
        </w:rPr>
        <w:t>’</w:t>
      </w:r>
      <w:r w:rsidRPr="00DA3C5F">
        <w:rPr>
          <w:lang w:val="fr-FR"/>
        </w:rPr>
        <w:t>une des Parties à la Convention ou d</w:t>
      </w:r>
      <w:r>
        <w:rPr>
          <w:lang w:val="fr-FR"/>
        </w:rPr>
        <w:t>’</w:t>
      </w:r>
      <w:r w:rsidRPr="00DA3C5F">
        <w:rPr>
          <w:lang w:val="fr-FR"/>
        </w:rPr>
        <w:t>un des signataires, avoir une haute moralité, posséder une compétence reconnue dans le domaine des défenseurs et défenseuses des droits de l</w:t>
      </w:r>
      <w:r>
        <w:rPr>
          <w:lang w:val="fr-FR"/>
        </w:rPr>
        <w:t>’</w:t>
      </w:r>
      <w:r w:rsidRPr="00DA3C5F">
        <w:rPr>
          <w:lang w:val="fr-FR"/>
        </w:rPr>
        <w:t>homme et disposer, de préférence, d</w:t>
      </w:r>
      <w:r>
        <w:rPr>
          <w:lang w:val="fr-FR"/>
        </w:rPr>
        <w:t>’</w:t>
      </w:r>
      <w:r w:rsidRPr="00DA3C5F">
        <w:rPr>
          <w:lang w:val="fr-FR"/>
        </w:rPr>
        <w:t xml:space="preserve">une expérience juridique dans ce domaine. </w:t>
      </w:r>
    </w:p>
    <w:p w14:paraId="5CE9D064" w14:textId="386F4E73" w:rsidR="00493C90" w:rsidRPr="00DA3C5F" w:rsidRDefault="00493C90" w:rsidP="00493C90">
      <w:pPr>
        <w:pStyle w:val="SingleTxtG"/>
        <w:rPr>
          <w:lang w:val="fr-FR"/>
        </w:rPr>
      </w:pPr>
      <w:r w:rsidRPr="00DA3C5F">
        <w:rPr>
          <w:lang w:val="fr-FR"/>
        </w:rPr>
        <w:t>19.</w:t>
      </w:r>
      <w:r w:rsidRPr="00DA3C5F">
        <w:rPr>
          <w:lang w:val="fr-FR"/>
        </w:rPr>
        <w:tab/>
        <w:t xml:space="preserve">Les candidatures de personnes qui remplissent les conditions énoncées au paragraphe précédent peuvent être </w:t>
      </w:r>
      <w:r>
        <w:rPr>
          <w:lang w:val="fr-FR"/>
        </w:rPr>
        <w:t xml:space="preserve">présentées </w:t>
      </w:r>
      <w:r w:rsidRPr="00DA3C5F">
        <w:rPr>
          <w:lang w:val="fr-FR"/>
        </w:rPr>
        <w:t>par les Parties, les signataires et les organisations non gouvernementales relevant du champ d</w:t>
      </w:r>
      <w:r>
        <w:rPr>
          <w:lang w:val="fr-FR"/>
        </w:rPr>
        <w:t>’</w:t>
      </w:r>
      <w:r w:rsidRPr="00DA3C5F">
        <w:rPr>
          <w:lang w:val="fr-FR"/>
        </w:rPr>
        <w:t>application de l</w:t>
      </w:r>
      <w:r>
        <w:rPr>
          <w:lang w:val="fr-FR"/>
        </w:rPr>
        <w:t>’</w:t>
      </w:r>
      <w:r w:rsidRPr="00DA3C5F">
        <w:rPr>
          <w:lang w:val="fr-FR"/>
        </w:rPr>
        <w:t xml:space="preserve">article 10 (par. 5) de la Convention et </w:t>
      </w:r>
      <w:r>
        <w:rPr>
          <w:lang w:val="fr-FR"/>
        </w:rPr>
        <w:t xml:space="preserve">ayant vocation à promouvoir </w:t>
      </w:r>
      <w:r w:rsidRPr="00DA3C5F">
        <w:rPr>
          <w:lang w:val="fr-FR"/>
        </w:rPr>
        <w:t>la protection de l</w:t>
      </w:r>
      <w:r>
        <w:rPr>
          <w:lang w:val="fr-FR"/>
        </w:rPr>
        <w:t>’</w:t>
      </w:r>
      <w:r w:rsidRPr="00DA3C5F">
        <w:rPr>
          <w:lang w:val="fr-FR"/>
        </w:rPr>
        <w:t xml:space="preserve">environnement. Ces personnes peuvent également présenter </w:t>
      </w:r>
      <w:r>
        <w:rPr>
          <w:lang w:val="fr-FR"/>
        </w:rPr>
        <w:t>elles-mêmes</w:t>
      </w:r>
      <w:r w:rsidRPr="00DA3C5F">
        <w:rPr>
          <w:lang w:val="fr-FR"/>
        </w:rPr>
        <w:t xml:space="preserve"> leurs candidatures. </w:t>
      </w:r>
    </w:p>
    <w:p w14:paraId="10EC6499" w14:textId="1713E1A3" w:rsidR="00493C90" w:rsidRPr="00DA3C5F" w:rsidRDefault="00493C90" w:rsidP="00493C90">
      <w:pPr>
        <w:pStyle w:val="SingleTxtG"/>
        <w:rPr>
          <w:lang w:val="fr-FR"/>
        </w:rPr>
      </w:pPr>
      <w:r w:rsidRPr="00DA3C5F">
        <w:rPr>
          <w:lang w:val="fr-FR"/>
        </w:rPr>
        <w:t>20.</w:t>
      </w:r>
      <w:r w:rsidRPr="00DA3C5F">
        <w:rPr>
          <w:lang w:val="fr-FR"/>
        </w:rPr>
        <w:tab/>
        <w:t>À moins que la Réunion des Parties n</w:t>
      </w:r>
      <w:r>
        <w:rPr>
          <w:lang w:val="fr-FR"/>
        </w:rPr>
        <w:t>’</w:t>
      </w:r>
      <w:r w:rsidRPr="00DA3C5F">
        <w:rPr>
          <w:lang w:val="fr-FR"/>
        </w:rPr>
        <w:t>en décide autrement, la procédure de présentation de candidatures est la suivante</w:t>
      </w:r>
      <w:r w:rsidR="00DC61CD">
        <w:rPr>
          <w:lang w:val="fr-FR"/>
        </w:rPr>
        <w:t> </w:t>
      </w:r>
      <w:r w:rsidRPr="00DA3C5F">
        <w:rPr>
          <w:lang w:val="fr-FR"/>
        </w:rPr>
        <w:t xml:space="preserve">: </w:t>
      </w:r>
    </w:p>
    <w:p w14:paraId="57DBF402" w14:textId="7AE94CFD" w:rsidR="00493C90" w:rsidRPr="00DA3C5F" w:rsidRDefault="00493C90" w:rsidP="00493C90">
      <w:pPr>
        <w:pStyle w:val="SingleTxtG"/>
        <w:ind w:firstLine="567"/>
        <w:rPr>
          <w:lang w:val="fr-FR"/>
        </w:rPr>
      </w:pPr>
      <w:r w:rsidRPr="00DA3C5F">
        <w:rPr>
          <w:lang w:val="fr-FR"/>
        </w:rPr>
        <w:t>a)</w:t>
      </w:r>
      <w:r w:rsidRPr="00DA3C5F">
        <w:rPr>
          <w:lang w:val="fr-FR"/>
        </w:rPr>
        <w:tab/>
        <w:t>Les candidatures sont adressées au secrétariat dans l</w:t>
      </w:r>
      <w:r>
        <w:rPr>
          <w:lang w:val="fr-FR"/>
        </w:rPr>
        <w:t>’</w:t>
      </w:r>
      <w:r w:rsidRPr="00DA3C5F">
        <w:rPr>
          <w:lang w:val="fr-FR"/>
        </w:rPr>
        <w:t>une au moins des langues officielles de la Convention</w:t>
      </w:r>
      <w:r>
        <w:rPr>
          <w:lang w:val="fr-FR"/>
        </w:rPr>
        <w:t>,</w:t>
      </w:r>
      <w:r w:rsidRPr="00DA3C5F">
        <w:rPr>
          <w:lang w:val="fr-FR"/>
        </w:rPr>
        <w:t xml:space="preserve"> au plus tard </w:t>
      </w:r>
      <w:r w:rsidR="00DC61CD">
        <w:rPr>
          <w:lang w:val="fr-FR"/>
        </w:rPr>
        <w:t>douze</w:t>
      </w:r>
      <w:r w:rsidRPr="00DA3C5F">
        <w:rPr>
          <w:lang w:val="fr-FR"/>
        </w:rPr>
        <w:t xml:space="preserve"> semaines avant l</w:t>
      </w:r>
      <w:r>
        <w:rPr>
          <w:lang w:val="fr-FR"/>
        </w:rPr>
        <w:t>’</w:t>
      </w:r>
      <w:r w:rsidRPr="00DA3C5F">
        <w:rPr>
          <w:lang w:val="fr-FR"/>
        </w:rPr>
        <w:t>ouverture de la session de la Réunion des Parties durant laquelle l</w:t>
      </w:r>
      <w:r>
        <w:rPr>
          <w:lang w:val="fr-FR"/>
        </w:rPr>
        <w:t>’</w:t>
      </w:r>
      <w:r w:rsidRPr="00DA3C5F">
        <w:rPr>
          <w:lang w:val="fr-FR"/>
        </w:rPr>
        <w:t>élection doit avoir lieu</w:t>
      </w:r>
      <w:r w:rsidR="00DC61CD">
        <w:rPr>
          <w:lang w:val="fr-FR"/>
        </w:rPr>
        <w:t> </w:t>
      </w:r>
      <w:r w:rsidRPr="00DA3C5F">
        <w:rPr>
          <w:lang w:val="fr-FR"/>
        </w:rPr>
        <w:t xml:space="preserve">; </w:t>
      </w:r>
    </w:p>
    <w:p w14:paraId="2C2CD3EF" w14:textId="7E7ACDEF" w:rsidR="00493C90" w:rsidRPr="00DA3C5F" w:rsidRDefault="00493C90" w:rsidP="00493C90">
      <w:pPr>
        <w:pStyle w:val="SingleTxtG"/>
        <w:ind w:firstLine="567"/>
        <w:rPr>
          <w:lang w:val="fr-FR"/>
        </w:rPr>
      </w:pPr>
      <w:r w:rsidRPr="00DA3C5F">
        <w:rPr>
          <w:lang w:val="fr-FR"/>
        </w:rPr>
        <w:t>b)</w:t>
      </w:r>
      <w:r w:rsidRPr="00DA3C5F">
        <w:rPr>
          <w:lang w:val="fr-FR"/>
        </w:rPr>
        <w:tab/>
        <w:t>Chaque candidature est accompagnée d</w:t>
      </w:r>
      <w:r>
        <w:rPr>
          <w:lang w:val="fr-FR"/>
        </w:rPr>
        <w:t>’</w:t>
      </w:r>
      <w:r w:rsidRPr="00DA3C5F">
        <w:rPr>
          <w:lang w:val="fr-FR"/>
        </w:rPr>
        <w:t>un curriculum vitae du candidat ne dépassant pas 600 mots</w:t>
      </w:r>
      <w:r w:rsidR="00DC61CD">
        <w:rPr>
          <w:lang w:val="fr-FR"/>
        </w:rPr>
        <w:t> </w:t>
      </w:r>
      <w:r w:rsidRPr="00DA3C5F">
        <w:rPr>
          <w:lang w:val="fr-FR"/>
        </w:rPr>
        <w:t xml:space="preserve">; </w:t>
      </w:r>
    </w:p>
    <w:p w14:paraId="4ECB3E2E" w14:textId="2323FC6E" w:rsidR="00493C90" w:rsidRPr="00DA3C5F" w:rsidRDefault="00493C90" w:rsidP="00493C90">
      <w:pPr>
        <w:pStyle w:val="SingleTxtG"/>
        <w:ind w:firstLine="567"/>
        <w:rPr>
          <w:lang w:val="fr-FR"/>
        </w:rPr>
      </w:pPr>
      <w:r w:rsidRPr="00DA3C5F">
        <w:rPr>
          <w:lang w:val="fr-FR"/>
        </w:rPr>
        <w:t>c)</w:t>
      </w:r>
      <w:r w:rsidRPr="00DA3C5F">
        <w:rPr>
          <w:lang w:val="fr-FR"/>
        </w:rPr>
        <w:tab/>
        <w:t>Le secrétariat distribue les candidatures et les curricula vitae conformément à l</w:t>
      </w:r>
      <w:r>
        <w:rPr>
          <w:lang w:val="fr-FR"/>
        </w:rPr>
        <w:t>’</w:t>
      </w:r>
      <w:r w:rsidRPr="00DA3C5F">
        <w:rPr>
          <w:lang w:val="fr-FR"/>
        </w:rPr>
        <w:t>article</w:t>
      </w:r>
      <w:r w:rsidR="00DC61CD">
        <w:rPr>
          <w:lang w:val="fr-FR"/>
        </w:rPr>
        <w:t> </w:t>
      </w:r>
      <w:r w:rsidRPr="00DA3C5F">
        <w:rPr>
          <w:lang w:val="fr-FR"/>
        </w:rPr>
        <w:t>10 du règlement intérieur</w:t>
      </w:r>
      <w:r w:rsidRPr="00DA3C5F">
        <w:rPr>
          <w:rStyle w:val="Appelnotedebasdep"/>
          <w:lang w:val="fr-FR"/>
        </w:rPr>
        <w:footnoteReference w:id="12"/>
      </w:r>
      <w:r w:rsidRPr="00DA3C5F">
        <w:rPr>
          <w:lang w:val="fr-FR"/>
        </w:rPr>
        <w:t xml:space="preserve">. </w:t>
      </w:r>
    </w:p>
    <w:p w14:paraId="661D5A0D" w14:textId="77777777" w:rsidR="00493C90" w:rsidRPr="00DA3C5F" w:rsidRDefault="00493C90" w:rsidP="00493C90">
      <w:pPr>
        <w:pStyle w:val="SingleTxtG"/>
        <w:rPr>
          <w:lang w:val="fr-FR"/>
        </w:rPr>
      </w:pPr>
      <w:r w:rsidRPr="00DA3C5F">
        <w:rPr>
          <w:lang w:val="fr-FR"/>
        </w:rPr>
        <w:t>21.</w:t>
      </w:r>
      <w:r w:rsidRPr="00DA3C5F">
        <w:rPr>
          <w:lang w:val="fr-FR"/>
        </w:rPr>
        <w:tab/>
        <w:t>Le Rapporteur ou la Rapporteuse est élu(e) sur la base d</w:t>
      </w:r>
      <w:r>
        <w:rPr>
          <w:lang w:val="fr-FR"/>
        </w:rPr>
        <w:t>es</w:t>
      </w:r>
      <w:r w:rsidRPr="00DA3C5F">
        <w:rPr>
          <w:lang w:val="fr-FR"/>
        </w:rPr>
        <w:t xml:space="preserve"> candidature</w:t>
      </w:r>
      <w:r>
        <w:rPr>
          <w:lang w:val="fr-FR"/>
        </w:rPr>
        <w:t>s présentées</w:t>
      </w:r>
      <w:r w:rsidRPr="00DA3C5F">
        <w:rPr>
          <w:lang w:val="fr-FR"/>
        </w:rPr>
        <w:t xml:space="preserve">. La Réunion des Parties prend dûment en </w:t>
      </w:r>
      <w:r>
        <w:rPr>
          <w:lang w:val="fr-FR"/>
        </w:rPr>
        <w:t>considération</w:t>
      </w:r>
      <w:r w:rsidRPr="00DA3C5F">
        <w:rPr>
          <w:lang w:val="fr-FR"/>
        </w:rPr>
        <w:t xml:space="preserve"> </w:t>
      </w:r>
      <w:r>
        <w:rPr>
          <w:lang w:val="fr-FR"/>
        </w:rPr>
        <w:t xml:space="preserve">toutes </w:t>
      </w:r>
      <w:r w:rsidRPr="00DA3C5F">
        <w:rPr>
          <w:lang w:val="fr-FR"/>
        </w:rPr>
        <w:t>les candidatures. La Réunion des Parties élit le Rapporteur ou la Rapporteuse par consensus ou, à défaut, par un vote à bulletin secret.</w:t>
      </w:r>
    </w:p>
    <w:p w14:paraId="0F14A1C8" w14:textId="3697D4D7" w:rsidR="00493C90" w:rsidRPr="00DA3C5F" w:rsidRDefault="00493C90" w:rsidP="00493C90">
      <w:pPr>
        <w:pStyle w:val="SingleTxtG"/>
        <w:rPr>
          <w:lang w:val="fr-FR"/>
        </w:rPr>
      </w:pPr>
      <w:r w:rsidRPr="00DA3C5F">
        <w:rPr>
          <w:lang w:val="fr-FR"/>
        </w:rPr>
        <w:t>22.</w:t>
      </w:r>
      <w:r w:rsidRPr="00DA3C5F">
        <w:rPr>
          <w:lang w:val="fr-FR"/>
        </w:rPr>
        <w:tab/>
        <w:t xml:space="preserve">Le Rapporteur ou la Rapporteuse </w:t>
      </w:r>
      <w:r>
        <w:rPr>
          <w:lang w:val="fr-FR"/>
        </w:rPr>
        <w:t xml:space="preserve">exerce ses </w:t>
      </w:r>
      <w:r w:rsidRPr="00DA3C5F">
        <w:rPr>
          <w:lang w:val="fr-FR"/>
        </w:rPr>
        <w:t>fonction</w:t>
      </w:r>
      <w:r>
        <w:rPr>
          <w:lang w:val="fr-FR"/>
        </w:rPr>
        <w:t>s</w:t>
      </w:r>
      <w:r w:rsidRPr="00DA3C5F">
        <w:rPr>
          <w:lang w:val="fr-FR"/>
        </w:rPr>
        <w:t xml:space="preserve"> jusqu</w:t>
      </w:r>
      <w:r>
        <w:rPr>
          <w:lang w:val="fr-FR"/>
        </w:rPr>
        <w:t>’</w:t>
      </w:r>
      <w:r w:rsidRPr="00DA3C5F">
        <w:rPr>
          <w:lang w:val="fr-FR"/>
        </w:rPr>
        <w:t>à la fin de la session ordinaire suivante. Il ou elle est rééligible</w:t>
      </w:r>
      <w:r>
        <w:rPr>
          <w:lang w:val="fr-FR"/>
        </w:rPr>
        <w:t>,</w:t>
      </w:r>
      <w:r w:rsidRPr="00DA3C5F">
        <w:rPr>
          <w:lang w:val="fr-FR"/>
        </w:rPr>
        <w:t xml:space="preserve"> mais ne peut pas </w:t>
      </w:r>
      <w:r>
        <w:rPr>
          <w:lang w:val="fr-FR"/>
        </w:rPr>
        <w:t xml:space="preserve">accomplir </w:t>
      </w:r>
      <w:r w:rsidRPr="00DA3C5F">
        <w:rPr>
          <w:lang w:val="fr-FR"/>
        </w:rPr>
        <w:t xml:space="preserve">trois mandats consécutifs. </w:t>
      </w:r>
    </w:p>
    <w:p w14:paraId="258F2F34" w14:textId="77777777" w:rsidR="00493C90" w:rsidRPr="00DA3C5F" w:rsidRDefault="00493C90" w:rsidP="00493C90">
      <w:pPr>
        <w:pStyle w:val="SingleTxtG"/>
        <w:rPr>
          <w:lang w:val="fr-FR"/>
        </w:rPr>
      </w:pPr>
      <w:r w:rsidRPr="00DA3C5F">
        <w:rPr>
          <w:lang w:val="fr-FR"/>
        </w:rPr>
        <w:t>23.</w:t>
      </w:r>
      <w:r w:rsidRPr="00DA3C5F">
        <w:rPr>
          <w:lang w:val="fr-FR"/>
        </w:rPr>
        <w:tab/>
        <w:t>Si, pour une raison quelconque, un Rapporteur ou une Rapporteuse ne peut plus exercer ses fonctions, le Bureau de la Réunion des Parties nomme un</w:t>
      </w:r>
      <w:r>
        <w:rPr>
          <w:lang w:val="fr-FR"/>
        </w:rPr>
        <w:t>(e)</w:t>
      </w:r>
      <w:r w:rsidRPr="00DA3C5F">
        <w:rPr>
          <w:lang w:val="fr-FR"/>
        </w:rPr>
        <w:t xml:space="preserve"> autre candidat</w:t>
      </w:r>
      <w:r>
        <w:rPr>
          <w:lang w:val="fr-FR"/>
        </w:rPr>
        <w:t>(e)</w:t>
      </w:r>
      <w:r w:rsidRPr="00DA3C5F">
        <w:rPr>
          <w:lang w:val="fr-FR"/>
        </w:rPr>
        <w:t xml:space="preserve"> remplissant les conditions </w:t>
      </w:r>
      <w:r>
        <w:rPr>
          <w:lang w:val="fr-FR"/>
        </w:rPr>
        <w:t xml:space="preserve">requises </w:t>
      </w:r>
      <w:r w:rsidRPr="00DA3C5F">
        <w:rPr>
          <w:lang w:val="fr-FR"/>
        </w:rPr>
        <w:t xml:space="preserve">pour le </w:t>
      </w:r>
      <w:r>
        <w:rPr>
          <w:lang w:val="fr-FR"/>
        </w:rPr>
        <w:t xml:space="preserve">(la) remplacer </w:t>
      </w:r>
      <w:r w:rsidRPr="00DA3C5F">
        <w:rPr>
          <w:lang w:val="fr-FR"/>
        </w:rPr>
        <w:t>jusqu</w:t>
      </w:r>
      <w:r>
        <w:rPr>
          <w:lang w:val="fr-FR"/>
        </w:rPr>
        <w:t>’</w:t>
      </w:r>
      <w:r w:rsidRPr="00DA3C5F">
        <w:rPr>
          <w:lang w:val="fr-FR"/>
        </w:rPr>
        <w:t>à l</w:t>
      </w:r>
      <w:r>
        <w:rPr>
          <w:lang w:val="fr-FR"/>
        </w:rPr>
        <w:t>’</w:t>
      </w:r>
      <w:r w:rsidRPr="00DA3C5F">
        <w:rPr>
          <w:lang w:val="fr-FR"/>
        </w:rPr>
        <w:t xml:space="preserve">expiration de son mandat. Les candidatures </w:t>
      </w:r>
      <w:r>
        <w:rPr>
          <w:lang w:val="fr-FR"/>
        </w:rPr>
        <w:t xml:space="preserve">proposées pour le </w:t>
      </w:r>
      <w:r w:rsidRPr="00274A64">
        <w:rPr>
          <w:lang w:val="fr-FR"/>
        </w:rPr>
        <w:t xml:space="preserve">scrutin </w:t>
      </w:r>
      <w:r w:rsidRPr="001E4AEB">
        <w:rPr>
          <w:lang w:val="fr-FR"/>
        </w:rPr>
        <w:t>précédent</w:t>
      </w:r>
      <w:r w:rsidRPr="00DA3C5F">
        <w:rPr>
          <w:lang w:val="fr-FR"/>
        </w:rPr>
        <w:t xml:space="preserve"> qui remplissent les conditions </w:t>
      </w:r>
      <w:r>
        <w:rPr>
          <w:lang w:val="fr-FR"/>
        </w:rPr>
        <w:t xml:space="preserve">requises </w:t>
      </w:r>
      <w:r w:rsidRPr="00DA3C5F">
        <w:rPr>
          <w:lang w:val="fr-FR"/>
        </w:rPr>
        <w:t xml:space="preserve">peuvent être prises en </w:t>
      </w:r>
      <w:r>
        <w:rPr>
          <w:lang w:val="fr-FR"/>
        </w:rPr>
        <w:t>considération</w:t>
      </w:r>
      <w:r w:rsidRPr="00DA3C5F">
        <w:rPr>
          <w:lang w:val="fr-FR"/>
        </w:rPr>
        <w:t xml:space="preserve"> </w:t>
      </w:r>
      <w:r>
        <w:rPr>
          <w:lang w:val="fr-FR"/>
        </w:rPr>
        <w:t xml:space="preserve">pour la désignation de la personne qui exercera les fonctions </w:t>
      </w:r>
      <w:r w:rsidRPr="00DA3C5F">
        <w:rPr>
          <w:lang w:val="fr-FR"/>
        </w:rPr>
        <w:t xml:space="preserve">de Rapporteur pour la durée restante du mandat. </w:t>
      </w:r>
    </w:p>
    <w:p w14:paraId="0112A48D" w14:textId="77777777" w:rsidR="00493C90" w:rsidRPr="00DA3C5F" w:rsidRDefault="00493C90" w:rsidP="00493C90">
      <w:pPr>
        <w:pStyle w:val="SingleTxtG"/>
        <w:rPr>
          <w:lang w:val="fr-FR"/>
        </w:rPr>
      </w:pPr>
      <w:r w:rsidRPr="00DA3C5F">
        <w:rPr>
          <w:lang w:val="fr-FR"/>
        </w:rPr>
        <w:t>24.</w:t>
      </w:r>
      <w:r w:rsidRPr="00DA3C5F">
        <w:rPr>
          <w:lang w:val="fr-FR"/>
        </w:rPr>
        <w:tab/>
        <w:t xml:space="preserve">Avant de prendre ses fonctions, le Rapporteur ou la Rapporteuse </w:t>
      </w:r>
      <w:r>
        <w:rPr>
          <w:lang w:val="fr-FR"/>
        </w:rPr>
        <w:t xml:space="preserve">prononce </w:t>
      </w:r>
      <w:r w:rsidRPr="00DA3C5F">
        <w:rPr>
          <w:lang w:val="fr-FR"/>
        </w:rPr>
        <w:t>une déclaration solennelle à la session de la Réunion des Parties, par laquelle il ou elle s</w:t>
      </w:r>
      <w:r>
        <w:rPr>
          <w:lang w:val="fr-FR"/>
        </w:rPr>
        <w:t>’</w:t>
      </w:r>
      <w:r w:rsidRPr="00DA3C5F">
        <w:rPr>
          <w:lang w:val="fr-FR"/>
        </w:rPr>
        <w:t xml:space="preserve">engage à exercer ses fonctions en </w:t>
      </w:r>
      <w:r>
        <w:rPr>
          <w:lang w:val="fr-FR"/>
        </w:rPr>
        <w:t>toute</w:t>
      </w:r>
      <w:r w:rsidRPr="00DA3C5F">
        <w:rPr>
          <w:lang w:val="fr-FR"/>
        </w:rPr>
        <w:t xml:space="preserve"> impartialité et en toute conscience. </w:t>
      </w:r>
    </w:p>
    <w:p w14:paraId="5E24B65C" w14:textId="79CCFD84" w:rsidR="00493C90" w:rsidRPr="00DC61CD" w:rsidRDefault="00493C90" w:rsidP="00DC61CD">
      <w:pPr>
        <w:spacing w:before="240"/>
        <w:jc w:val="center"/>
        <w:rPr>
          <w:u w:val="single"/>
          <w:lang w:val="fr-FR"/>
        </w:rPr>
      </w:pPr>
      <w:r w:rsidRPr="00DA3C5F">
        <w:rPr>
          <w:u w:val="single"/>
          <w:lang w:val="fr-FR"/>
        </w:rPr>
        <w:tab/>
      </w:r>
      <w:r w:rsidRPr="00DA3C5F">
        <w:rPr>
          <w:u w:val="single"/>
          <w:lang w:val="fr-FR"/>
        </w:rPr>
        <w:tab/>
      </w:r>
      <w:r w:rsidRPr="00DA3C5F">
        <w:rPr>
          <w:u w:val="single"/>
          <w:lang w:val="fr-FR"/>
        </w:rPr>
        <w:tab/>
      </w:r>
    </w:p>
    <w:sectPr w:rsidR="00493C90" w:rsidRPr="00DC61CD" w:rsidSect="00493C9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0711D" w14:textId="77777777" w:rsidR="00493C90" w:rsidRDefault="00493C90" w:rsidP="00F95C08">
      <w:pPr>
        <w:spacing w:line="240" w:lineRule="auto"/>
      </w:pPr>
    </w:p>
  </w:endnote>
  <w:endnote w:type="continuationSeparator" w:id="0">
    <w:p w14:paraId="26E4B116" w14:textId="77777777" w:rsidR="00493C90" w:rsidRPr="00AC3823" w:rsidRDefault="00493C90" w:rsidP="00AC3823">
      <w:pPr>
        <w:pStyle w:val="Pieddepage"/>
      </w:pPr>
    </w:p>
  </w:endnote>
  <w:endnote w:type="continuationNotice" w:id="1">
    <w:p w14:paraId="3FED3ECA" w14:textId="77777777" w:rsidR="00493C90" w:rsidRDefault="00493C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1D47" w14:textId="601D0D8B" w:rsidR="00493C90" w:rsidRDefault="00493C90" w:rsidP="00DC61CD">
    <w:pPr>
      <w:pStyle w:val="Pieddepage"/>
      <w:tabs>
        <w:tab w:val="right" w:pos="9638"/>
      </w:tabs>
    </w:pPr>
    <w:r w:rsidRPr="00493C90">
      <w:rPr>
        <w:b/>
        <w:sz w:val="18"/>
      </w:rPr>
      <w:fldChar w:fldCharType="begin"/>
    </w:r>
    <w:r w:rsidRPr="00493C90">
      <w:rPr>
        <w:b/>
        <w:sz w:val="18"/>
      </w:rPr>
      <w:instrText xml:space="preserve"> PAGE  \* MERGEFORMAT </w:instrText>
    </w:r>
    <w:r w:rsidRPr="00493C90">
      <w:rPr>
        <w:b/>
        <w:sz w:val="18"/>
      </w:rPr>
      <w:fldChar w:fldCharType="separate"/>
    </w:r>
    <w:r w:rsidRPr="00493C90">
      <w:rPr>
        <w:b/>
        <w:noProof/>
        <w:sz w:val="18"/>
      </w:rPr>
      <w:t>2</w:t>
    </w:r>
    <w:r w:rsidRPr="00493C90">
      <w:rPr>
        <w:b/>
        <w:sz w:val="18"/>
      </w:rPr>
      <w:fldChar w:fldCharType="end"/>
    </w:r>
    <w:r>
      <w:rPr>
        <w:b/>
        <w:sz w:val="18"/>
      </w:rPr>
      <w:tab/>
    </w:r>
    <w:r>
      <w:t>GE.21-03527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22E9" w14:textId="75C6A10B" w:rsidR="00493C90" w:rsidRPr="00DC61CD" w:rsidRDefault="00493C90" w:rsidP="00DC61CD">
    <w:pPr>
      <w:pStyle w:val="Pieddepage"/>
      <w:tabs>
        <w:tab w:val="right" w:pos="9638"/>
      </w:tabs>
      <w:rPr>
        <w:b/>
        <w:sz w:val="18"/>
      </w:rPr>
    </w:pPr>
    <w:r>
      <w:t>GE.21-03527</w:t>
    </w:r>
    <w:r>
      <w:tab/>
    </w:r>
    <w:r w:rsidRPr="00493C90">
      <w:rPr>
        <w:b/>
        <w:sz w:val="18"/>
      </w:rPr>
      <w:fldChar w:fldCharType="begin"/>
    </w:r>
    <w:r w:rsidRPr="00493C90">
      <w:rPr>
        <w:b/>
        <w:sz w:val="18"/>
      </w:rPr>
      <w:instrText xml:space="preserve"> PAGE  \* MERGEFORMAT </w:instrText>
    </w:r>
    <w:r w:rsidRPr="00493C90">
      <w:rPr>
        <w:b/>
        <w:sz w:val="18"/>
      </w:rPr>
      <w:fldChar w:fldCharType="separate"/>
    </w:r>
    <w:r w:rsidRPr="00493C90">
      <w:rPr>
        <w:b/>
        <w:noProof/>
        <w:sz w:val="18"/>
      </w:rPr>
      <w:t>3</w:t>
    </w:r>
    <w:r w:rsidRPr="00493C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BDA5D" w14:textId="7D862349" w:rsidR="00493C90" w:rsidRPr="00493C90" w:rsidRDefault="00493C90" w:rsidP="00493C9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E3ECC8C" wp14:editId="19FCD9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21-03527  (F)</w:t>
    </w:r>
    <w:r>
      <w:rPr>
        <w:noProof/>
        <w:sz w:val="20"/>
      </w:rPr>
      <w:drawing>
        <wp:anchor distT="0" distB="0" distL="114300" distR="114300" simplePos="0" relativeHeight="251660288" behindDoc="0" locked="0" layoutInCell="1" allowOverlap="1" wp14:anchorId="5FA841B1" wp14:editId="12404FD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040521    040521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A8E9" w14:textId="77777777" w:rsidR="00493C90" w:rsidRPr="00AC3823" w:rsidRDefault="00493C90" w:rsidP="00AC3823">
      <w:pPr>
        <w:pStyle w:val="Pieddepage"/>
        <w:tabs>
          <w:tab w:val="right" w:pos="2155"/>
        </w:tabs>
        <w:spacing w:after="80" w:line="240" w:lineRule="atLeast"/>
        <w:ind w:left="680"/>
        <w:rPr>
          <w:u w:val="single"/>
        </w:rPr>
      </w:pPr>
      <w:r>
        <w:rPr>
          <w:u w:val="single"/>
        </w:rPr>
        <w:tab/>
      </w:r>
    </w:p>
  </w:footnote>
  <w:footnote w:type="continuationSeparator" w:id="0">
    <w:p w14:paraId="312533EC" w14:textId="77777777" w:rsidR="00493C90" w:rsidRPr="00AC3823" w:rsidRDefault="00493C90" w:rsidP="00AC3823">
      <w:pPr>
        <w:pStyle w:val="Pieddepage"/>
        <w:tabs>
          <w:tab w:val="right" w:pos="2155"/>
        </w:tabs>
        <w:spacing w:after="80" w:line="240" w:lineRule="atLeast"/>
        <w:ind w:left="680"/>
        <w:rPr>
          <w:u w:val="single"/>
        </w:rPr>
      </w:pPr>
      <w:r>
        <w:rPr>
          <w:u w:val="single"/>
        </w:rPr>
        <w:tab/>
      </w:r>
    </w:p>
  </w:footnote>
  <w:footnote w:type="continuationNotice" w:id="1">
    <w:p w14:paraId="39826F0E" w14:textId="77777777" w:rsidR="00493C90" w:rsidRPr="00AC3823" w:rsidRDefault="00493C90">
      <w:pPr>
        <w:spacing w:line="240" w:lineRule="auto"/>
        <w:rPr>
          <w:sz w:val="2"/>
          <w:szCs w:val="2"/>
        </w:rPr>
      </w:pPr>
    </w:p>
  </w:footnote>
  <w:footnote w:id="2">
    <w:p w14:paraId="489C79E8" w14:textId="77777777" w:rsidR="00493C90" w:rsidRPr="009378E4" w:rsidRDefault="00493C90" w:rsidP="00493C90">
      <w:pPr>
        <w:pStyle w:val="Notedebasdepage"/>
      </w:pPr>
      <w:r>
        <w:rPr>
          <w:lang w:val="fr-FR"/>
        </w:rPr>
        <w:tab/>
      </w:r>
      <w:r w:rsidRPr="00DC61CD">
        <w:rPr>
          <w:sz w:val="20"/>
          <w:lang w:val="fr-FR"/>
        </w:rPr>
        <w:t>*</w:t>
      </w:r>
      <w:r>
        <w:rPr>
          <w:lang w:val="fr-FR"/>
        </w:rPr>
        <w:tab/>
        <w:t>Il a été convenu que le présent document serait publié après la date normale de publication en raison de circonstances indépendantes de la volonté du soumetteur.</w:t>
      </w:r>
    </w:p>
  </w:footnote>
  <w:footnote w:id="3">
    <w:p w14:paraId="27BEBA2F" w14:textId="144E8DC9" w:rsidR="00493C90" w:rsidRPr="0058654F" w:rsidRDefault="00493C90" w:rsidP="00493C90">
      <w:pPr>
        <w:pStyle w:val="Notedebasdepage"/>
        <w:rPr>
          <w:lang w:val="fr-FR"/>
        </w:rPr>
      </w:pPr>
      <w:r>
        <w:rPr>
          <w:lang w:val="fr-FR"/>
        </w:rPr>
        <w:tab/>
      </w:r>
      <w:r w:rsidRPr="00273CBF">
        <w:rPr>
          <w:rStyle w:val="Appelnotedebasdep"/>
          <w:lang w:val="fr-FR"/>
        </w:rPr>
        <w:footnoteRef/>
      </w:r>
      <w:r w:rsidRPr="00751254">
        <w:rPr>
          <w:lang w:val="fr-FR"/>
        </w:rPr>
        <w:tab/>
        <w:t xml:space="preserve">Voir le document ACB-44, Report of the Bureau on its forty-fourth meeting, par. 4, </w:t>
      </w:r>
      <w:r>
        <w:rPr>
          <w:lang w:val="fr-FR"/>
        </w:rPr>
        <w:t>disponible (en anglais seulement) à l</w:t>
      </w:r>
      <w:r w:rsidR="00DC61CD">
        <w:rPr>
          <w:lang w:val="fr-FR"/>
        </w:rPr>
        <w:t>’</w:t>
      </w:r>
      <w:r>
        <w:rPr>
          <w:lang w:val="fr-FR"/>
        </w:rPr>
        <w:t xml:space="preserve">adresse </w:t>
      </w:r>
      <w:hyperlink r:id="rId1" w:history="1">
        <w:r w:rsidRPr="00DC61CD">
          <w:rPr>
            <w:rStyle w:val="Lienhypertexte"/>
            <w:lang w:val="fr-FR"/>
          </w:rPr>
          <w:t>https://unece.org/fileadmin/DAM/env/pp/bureau/ACB-44_Report.pdf</w:t>
        </w:r>
      </w:hyperlink>
      <w:r>
        <w:rPr>
          <w:lang w:val="fr-FR"/>
        </w:rPr>
        <w:t>.</w:t>
      </w:r>
    </w:p>
  </w:footnote>
  <w:footnote w:id="4">
    <w:p w14:paraId="5AF95F76" w14:textId="1CE0300E" w:rsidR="00493C90" w:rsidRPr="0058654F" w:rsidRDefault="00493C90" w:rsidP="00493C90">
      <w:pPr>
        <w:pStyle w:val="Notedebasdepage"/>
        <w:rPr>
          <w:lang w:val="fr-FR"/>
        </w:rPr>
      </w:pPr>
      <w:r>
        <w:rPr>
          <w:lang w:val="fr-FR"/>
        </w:rPr>
        <w:tab/>
      </w:r>
      <w:r w:rsidRPr="00273CBF">
        <w:rPr>
          <w:rStyle w:val="Appelnotedebasdep"/>
          <w:lang w:val="fr-FR"/>
        </w:rPr>
        <w:footnoteRef/>
      </w:r>
      <w:r w:rsidRPr="00751254">
        <w:rPr>
          <w:lang w:val="fr-FR"/>
        </w:rPr>
        <w:tab/>
        <w:t>Voir le document ACB-46, Report of the Bureau on its forty-sixth meeting, par. 11,</w:t>
      </w:r>
      <w:r>
        <w:rPr>
          <w:lang w:val="fr-FR"/>
        </w:rPr>
        <w:t xml:space="preserve"> disponible (en anglais seulement) à l</w:t>
      </w:r>
      <w:r w:rsidR="00DC61CD">
        <w:rPr>
          <w:lang w:val="fr-FR"/>
        </w:rPr>
        <w:t>’</w:t>
      </w:r>
      <w:r>
        <w:rPr>
          <w:lang w:val="fr-FR"/>
        </w:rPr>
        <w:t xml:space="preserve">adresse </w:t>
      </w:r>
      <w:hyperlink r:id="rId2" w:history="1">
        <w:r w:rsidRPr="00DC61CD">
          <w:rPr>
            <w:rStyle w:val="Lienhypertexte"/>
            <w:lang w:val="fr-FR"/>
          </w:rPr>
          <w:t>https://unece.org/fileadmin/DAM/env/pp/bureau/ACB_46_report.pdf</w:t>
        </w:r>
      </w:hyperlink>
      <w:r>
        <w:rPr>
          <w:lang w:val="fr-FR"/>
        </w:rPr>
        <w:t>.</w:t>
      </w:r>
    </w:p>
  </w:footnote>
  <w:footnote w:id="5">
    <w:p w14:paraId="2BD00929" w14:textId="5E99F7C6" w:rsidR="00493C90" w:rsidRPr="0058654F" w:rsidRDefault="00493C90" w:rsidP="00493C90">
      <w:pPr>
        <w:pStyle w:val="Notedebasdepage"/>
        <w:rPr>
          <w:lang w:val="fr-FR"/>
        </w:rPr>
      </w:pPr>
      <w:r>
        <w:rPr>
          <w:lang w:val="fr-FR"/>
        </w:rPr>
        <w:tab/>
      </w:r>
      <w:r w:rsidRPr="00273CBF">
        <w:rPr>
          <w:rStyle w:val="Appelnotedebasdep"/>
          <w:lang w:val="fr-FR"/>
        </w:rPr>
        <w:footnoteRef/>
      </w:r>
      <w:r>
        <w:rPr>
          <w:lang w:val="fr-FR"/>
        </w:rPr>
        <w:tab/>
        <w:t>Les commentaires reçus peuvent être consultés à l</w:t>
      </w:r>
      <w:r w:rsidR="00DC61CD">
        <w:rPr>
          <w:lang w:val="fr-FR"/>
        </w:rPr>
        <w:t>’</w:t>
      </w:r>
      <w:r>
        <w:rPr>
          <w:lang w:val="fr-FR"/>
        </w:rPr>
        <w:t>adresse suivante</w:t>
      </w:r>
      <w:r w:rsidR="00DC61CD">
        <w:rPr>
          <w:lang w:val="fr-FR"/>
        </w:rPr>
        <w:t> </w:t>
      </w:r>
      <w:r>
        <w:rPr>
          <w:lang w:val="fr-FR"/>
        </w:rPr>
        <w:t xml:space="preserve">: </w:t>
      </w:r>
      <w:hyperlink r:id="rId3" w:history="1">
        <w:r w:rsidRPr="00DC61CD">
          <w:rPr>
            <w:rStyle w:val="Lienhypertexte"/>
            <w:lang w:val="fr-FR"/>
          </w:rPr>
          <w:t>https://unece.org/environmental-policy/events/twenty-fourth-meeting-working-group-parties-aarhus-convention-site</w:t>
        </w:r>
      </w:hyperlink>
      <w:r>
        <w:rPr>
          <w:lang w:val="fr-FR"/>
        </w:rPr>
        <w:t>.</w:t>
      </w:r>
    </w:p>
  </w:footnote>
  <w:footnote w:id="6">
    <w:p w14:paraId="66FC34D2" w14:textId="66905DB7" w:rsidR="00493C90" w:rsidRPr="0058654F" w:rsidRDefault="00493C90" w:rsidP="00493C90">
      <w:pPr>
        <w:pStyle w:val="Notedebasdepage"/>
        <w:rPr>
          <w:lang w:val="fr-FR"/>
        </w:rPr>
      </w:pPr>
      <w:r>
        <w:rPr>
          <w:lang w:val="fr-FR"/>
        </w:rPr>
        <w:tab/>
      </w:r>
      <w:r w:rsidRPr="00273CBF">
        <w:rPr>
          <w:rStyle w:val="Appelnotedebasdep"/>
          <w:lang w:val="fr-FR"/>
        </w:rPr>
        <w:footnoteRef/>
      </w:r>
      <w:r>
        <w:rPr>
          <w:lang w:val="fr-FR"/>
        </w:rPr>
        <w:tab/>
        <w:t>Un exposé détaillé des options figure dans la version initiale du projet de note concernant un mécanisme de réaction rapide chargé de traiter les cas relevant de l</w:t>
      </w:r>
      <w:r w:rsidR="00DC61CD">
        <w:rPr>
          <w:lang w:val="fr-FR"/>
        </w:rPr>
        <w:t>’</w:t>
      </w:r>
      <w:r>
        <w:rPr>
          <w:lang w:val="fr-FR"/>
        </w:rPr>
        <w:t>article 3 (par. 8) de la Convention (ECE/MP.PP/WG.1/2020/13).</w:t>
      </w:r>
    </w:p>
  </w:footnote>
  <w:footnote w:id="7">
    <w:p w14:paraId="74834EB4" w14:textId="57E80F96" w:rsidR="00493C90" w:rsidRPr="0058654F" w:rsidRDefault="00493C90" w:rsidP="00493C90">
      <w:pPr>
        <w:pStyle w:val="Notedebasdepage"/>
        <w:rPr>
          <w:lang w:val="fr-FR"/>
        </w:rPr>
      </w:pPr>
      <w:r>
        <w:rPr>
          <w:lang w:val="fr-FR"/>
        </w:rPr>
        <w:tab/>
      </w:r>
      <w:r w:rsidRPr="00273CBF">
        <w:rPr>
          <w:rStyle w:val="Appelnotedebasdep"/>
          <w:lang w:val="fr-FR"/>
        </w:rPr>
        <w:footnoteRef/>
      </w:r>
      <w:r>
        <w:rPr>
          <w:lang w:val="fr-FR"/>
        </w:rPr>
        <w:tab/>
        <w:t>Disponible à l</w:t>
      </w:r>
      <w:r w:rsidR="00DC61CD">
        <w:rPr>
          <w:lang w:val="fr-FR"/>
        </w:rPr>
        <w:t>’</w:t>
      </w:r>
      <w:r>
        <w:rPr>
          <w:lang w:val="fr-FR"/>
        </w:rPr>
        <w:t xml:space="preserve">adresse </w:t>
      </w:r>
      <w:bookmarkStart w:id="2" w:name="_Hlk71034037"/>
      <w:r w:rsidR="00DC61CD">
        <w:rPr>
          <w:lang w:val="fr-FR"/>
        </w:rPr>
        <w:fldChar w:fldCharType="begin"/>
      </w:r>
      <w:r w:rsidR="00DC61CD">
        <w:rPr>
          <w:lang w:val="fr-FR"/>
        </w:rPr>
        <w:instrText xml:space="preserve"> HYPERLINK "https://unece.org/environmental-policy/events/twenty-fourth-meeting-working-group-parties-aarhus-convention-site" </w:instrText>
      </w:r>
      <w:r w:rsidR="00DC61CD">
        <w:rPr>
          <w:lang w:val="fr-FR"/>
        </w:rPr>
      </w:r>
      <w:r w:rsidR="00DC61CD">
        <w:rPr>
          <w:lang w:val="fr-FR"/>
        </w:rPr>
        <w:fldChar w:fldCharType="separate"/>
      </w:r>
      <w:r w:rsidRPr="00DC61CD">
        <w:rPr>
          <w:rStyle w:val="Lienhypertexte"/>
          <w:lang w:val="fr-FR"/>
        </w:rPr>
        <w:t>https://unece.org/environmental-policy/events/twenty-fourth-meeting-working-group-parties-aarhus-convention-site</w:t>
      </w:r>
      <w:bookmarkEnd w:id="2"/>
      <w:r w:rsidR="00DC61CD">
        <w:rPr>
          <w:lang w:val="fr-FR"/>
        </w:rPr>
        <w:fldChar w:fldCharType="end"/>
      </w:r>
      <w:r>
        <w:rPr>
          <w:lang w:val="fr-FR"/>
        </w:rPr>
        <w:t>.</w:t>
      </w:r>
    </w:p>
  </w:footnote>
  <w:footnote w:id="8">
    <w:p w14:paraId="6C6F373D" w14:textId="46E9FDC6" w:rsidR="00493C90" w:rsidRPr="0058654F" w:rsidRDefault="00493C90" w:rsidP="00493C90">
      <w:pPr>
        <w:pStyle w:val="Notedebasdepage"/>
        <w:rPr>
          <w:lang w:val="fr-FR"/>
        </w:rPr>
      </w:pPr>
      <w:r>
        <w:rPr>
          <w:lang w:val="fr-FR"/>
        </w:rPr>
        <w:tab/>
      </w:r>
      <w:r w:rsidRPr="004258F8">
        <w:rPr>
          <w:rStyle w:val="Appelnotedebasdep"/>
          <w:lang w:val="fr-FR"/>
        </w:rPr>
        <w:footnoteRef/>
      </w:r>
      <w:r>
        <w:rPr>
          <w:lang w:val="fr-FR"/>
        </w:rPr>
        <w:tab/>
        <w:t>ECE/MP.PP/WG.1/2021/11, projet de décision sur le Plan stratégique pour 2022</w:t>
      </w:r>
      <w:r w:rsidR="00DC61CD">
        <w:rPr>
          <w:lang w:val="fr-FR"/>
        </w:rPr>
        <w:t>-</w:t>
      </w:r>
      <w:r>
        <w:rPr>
          <w:lang w:val="fr-FR"/>
        </w:rPr>
        <w:t>2030, annexe, par.</w:t>
      </w:r>
      <w:r w:rsidR="00DC61CD">
        <w:rPr>
          <w:lang w:val="fr-FR"/>
        </w:rPr>
        <w:t> </w:t>
      </w:r>
      <w:r>
        <w:rPr>
          <w:lang w:val="fr-FR"/>
        </w:rPr>
        <w:t>10 b).</w:t>
      </w:r>
    </w:p>
  </w:footnote>
  <w:footnote w:id="9">
    <w:p w14:paraId="01A71613" w14:textId="19B9700C" w:rsidR="00493C90" w:rsidRPr="005F3E27" w:rsidRDefault="00493C90" w:rsidP="00493C90">
      <w:pPr>
        <w:pStyle w:val="Notedebasdepage"/>
        <w:rPr>
          <w:lang w:val="en-US"/>
        </w:rPr>
      </w:pPr>
      <w:r>
        <w:rPr>
          <w:lang w:val="fr-FR"/>
        </w:rPr>
        <w:tab/>
      </w:r>
      <w:r w:rsidRPr="00273CBF">
        <w:rPr>
          <w:rStyle w:val="Appelnotedebasdep"/>
          <w:lang w:val="fr-FR"/>
        </w:rPr>
        <w:footnoteRef/>
      </w:r>
      <w:r w:rsidRPr="0058654F">
        <w:rPr>
          <w:lang w:val="en-US"/>
        </w:rPr>
        <w:tab/>
        <w:t>A/HRC/RES/40/11.</w:t>
      </w:r>
    </w:p>
  </w:footnote>
  <w:footnote w:id="10">
    <w:p w14:paraId="7446F9B0" w14:textId="77777777" w:rsidR="00493C90" w:rsidRPr="00493C90" w:rsidRDefault="00493C90" w:rsidP="00493C90">
      <w:pPr>
        <w:pStyle w:val="Notedebasdepage"/>
      </w:pPr>
      <w:r w:rsidRPr="0058654F">
        <w:rPr>
          <w:lang w:val="en-US"/>
        </w:rPr>
        <w:tab/>
      </w:r>
      <w:r>
        <w:rPr>
          <w:rStyle w:val="Appelnotedebasdep"/>
          <w:lang w:val="fr-FR"/>
        </w:rPr>
        <w:footnoteRef/>
      </w:r>
      <w:r w:rsidRPr="00493C90">
        <w:tab/>
        <w:t>ECE/MP.PP/C.1/2017/19, par. 70.</w:t>
      </w:r>
    </w:p>
  </w:footnote>
  <w:footnote w:id="11">
    <w:p w14:paraId="61E5C1CE" w14:textId="77777777" w:rsidR="00493C90" w:rsidRPr="005F3E27" w:rsidRDefault="00493C90" w:rsidP="00493C90">
      <w:pPr>
        <w:pStyle w:val="Notedebasdepage"/>
        <w:rPr>
          <w:lang w:val="en-US"/>
        </w:rPr>
      </w:pPr>
      <w:r w:rsidRPr="00493C90">
        <w:tab/>
      </w:r>
      <w:r>
        <w:rPr>
          <w:rStyle w:val="Appelnotedebasdep"/>
          <w:lang w:val="fr-FR"/>
        </w:rPr>
        <w:footnoteRef/>
      </w:r>
      <w:r w:rsidRPr="0058654F">
        <w:rPr>
          <w:lang w:val="en-US"/>
        </w:rPr>
        <w:tab/>
        <w:t>ECE/MP.PP/2/Add.8, annexe.</w:t>
      </w:r>
    </w:p>
  </w:footnote>
  <w:footnote w:id="12">
    <w:p w14:paraId="4648F931" w14:textId="77777777" w:rsidR="00493C90" w:rsidRPr="005F3E27" w:rsidRDefault="00493C90" w:rsidP="00493C90">
      <w:pPr>
        <w:pStyle w:val="Notedebasdepage"/>
        <w:rPr>
          <w:lang w:val="en-US"/>
        </w:rPr>
      </w:pPr>
      <w:r w:rsidRPr="0058654F">
        <w:rPr>
          <w:lang w:val="en-US"/>
        </w:rPr>
        <w:tab/>
      </w:r>
      <w:r>
        <w:rPr>
          <w:rStyle w:val="Appelnotedebasdep"/>
          <w:lang w:val="fr-FR"/>
        </w:rPr>
        <w:footnoteRef/>
      </w:r>
      <w:r w:rsidRPr="0058654F">
        <w:rPr>
          <w:lang w:val="en-US"/>
        </w:rPr>
        <w:tab/>
        <w:t>ECE/MP.PP/2/Add.2,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8995" w14:textId="437CC2A4" w:rsidR="00493C90" w:rsidRPr="00493C90" w:rsidRDefault="00493C90">
    <w:pPr>
      <w:pStyle w:val="En-tte"/>
    </w:pPr>
    <w:fldSimple w:instr=" TITLE  \* MERGEFORMAT ">
      <w:r w:rsidR="00423E87">
        <w:t>ECE/MP.PP/WG.1/2021/12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C1C0" w14:textId="5AFAF216" w:rsidR="00493C90" w:rsidRPr="00493C90" w:rsidRDefault="00493C90" w:rsidP="00493C90">
    <w:pPr>
      <w:pStyle w:val="En-tte"/>
      <w:jc w:val="right"/>
    </w:pPr>
    <w:fldSimple w:instr=" TITLE  \* MERGEFORMAT ">
      <w:r w:rsidR="00423E87">
        <w:t>ECE/MP.PP/WG.1/2021/12</w:t>
      </w:r>
    </w:fldSimple>
  </w:p>
  <w:p w14:paraId="0925906B" w14:textId="77777777" w:rsidR="00493C90" w:rsidRDefault="00493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A2"/>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3156A2"/>
    <w:rsid w:val="00423E87"/>
    <w:rsid w:val="00441C3B"/>
    <w:rsid w:val="00446FE5"/>
    <w:rsid w:val="00452396"/>
    <w:rsid w:val="00493C90"/>
    <w:rsid w:val="004E468C"/>
    <w:rsid w:val="005505B7"/>
    <w:rsid w:val="00573BE5"/>
    <w:rsid w:val="00586ED3"/>
    <w:rsid w:val="00596AA9"/>
    <w:rsid w:val="005C437D"/>
    <w:rsid w:val="005D6D16"/>
    <w:rsid w:val="005F26E5"/>
    <w:rsid w:val="006C0E3B"/>
    <w:rsid w:val="0071601D"/>
    <w:rsid w:val="007A5FC4"/>
    <w:rsid w:val="007A62E6"/>
    <w:rsid w:val="0080684C"/>
    <w:rsid w:val="00871C75"/>
    <w:rsid w:val="008776DC"/>
    <w:rsid w:val="008D6B3F"/>
    <w:rsid w:val="0090540F"/>
    <w:rsid w:val="009705C8"/>
    <w:rsid w:val="009B4AA7"/>
    <w:rsid w:val="009C1CF4"/>
    <w:rsid w:val="00A14420"/>
    <w:rsid w:val="00A30353"/>
    <w:rsid w:val="00AC3823"/>
    <w:rsid w:val="00AE323C"/>
    <w:rsid w:val="00B00181"/>
    <w:rsid w:val="00B00B0D"/>
    <w:rsid w:val="00B61815"/>
    <w:rsid w:val="00B765F7"/>
    <w:rsid w:val="00BA0CA9"/>
    <w:rsid w:val="00C02897"/>
    <w:rsid w:val="00C554CE"/>
    <w:rsid w:val="00CE26D2"/>
    <w:rsid w:val="00CE5525"/>
    <w:rsid w:val="00D3439C"/>
    <w:rsid w:val="00D503D3"/>
    <w:rsid w:val="00DB1831"/>
    <w:rsid w:val="00DC61CD"/>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6CEDFB"/>
  <w15:docId w15:val="{C6543BE9-F26F-4725-B714-DD37F9C0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uiPriority w:val="39"/>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fn,footnote text,Footnotes,Footnote ak,Tekst przypisu,Fußnote"/>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Tekst przypisu Car,Fußnote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qFormat/>
    <w:rsid w:val="00493C90"/>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493C90"/>
    <w:rPr>
      <w:sz w:val="16"/>
      <w:szCs w:val="16"/>
    </w:rPr>
  </w:style>
  <w:style w:type="character" w:styleId="Mentionnonrsolue">
    <w:name w:val="Unresolved Mention"/>
    <w:basedOn w:val="Policepardfaut"/>
    <w:uiPriority w:val="99"/>
    <w:semiHidden/>
    <w:unhideWhenUsed/>
    <w:rsid w:val="0049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fileadmin/DAM/env/pp/wgp/WGP_24/WGP-24_List_of_outcomes_28-29_October_session_as_adopted_-_Cop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ece.org/environmental-policy/events/twenty-third-meeting-working-group-parties-aarhus-convention" TargetMode="External"/><Relationship Id="rId4" Type="http://schemas.openxmlformats.org/officeDocument/2006/relationships/webSettings" Target="webSettings.xml"/><Relationship Id="rId9" Type="http://schemas.openxmlformats.org/officeDocument/2006/relationships/hyperlink" Target="https://unece.org/environmental-policy/events/twenty-fourth-meeting-working-group-parties-aarhus-convention-sit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al-policy/events/twenty-fourth-meeting-working-group-parties-aarhus-convention-site" TargetMode="External"/><Relationship Id="rId2" Type="http://schemas.openxmlformats.org/officeDocument/2006/relationships/hyperlink" Target="https://unece.org/fileadmin/DAM/env/pp/bureau/ACB_46_report.pdf" TargetMode="External"/><Relationship Id="rId1" Type="http://schemas.openxmlformats.org/officeDocument/2006/relationships/hyperlink" Target="https://unece.org/fileadmin/DAM/env/pp/bureau/ACB-44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11</Pages>
  <Words>4777</Words>
  <Characters>26231</Characters>
  <Application>Microsoft Office Word</Application>
  <DocSecurity>0</DocSecurity>
  <Lines>437</Lines>
  <Paragraphs>157</Paragraphs>
  <ScaleCrop>false</ScaleCrop>
  <HeadingPairs>
    <vt:vector size="2" baseType="variant">
      <vt:variant>
        <vt:lpstr>Titre</vt:lpstr>
      </vt:variant>
      <vt:variant>
        <vt:i4>1</vt:i4>
      </vt:variant>
    </vt:vector>
  </HeadingPairs>
  <TitlesOfParts>
    <vt:vector size="1" baseType="lpstr">
      <vt:lpstr>ECE/MP.PP/WG.1/2021/12</vt:lpstr>
    </vt:vector>
  </TitlesOfParts>
  <Company>DCM</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ECE/MP.PP/WG.1/2021/12</dc:title>
  <dc:subject/>
  <dc:creator>Sandrine CLERE</dc:creator>
  <cp:keywords/>
  <cp:lastModifiedBy>Sandrine CLERE</cp:lastModifiedBy>
  <cp:revision>2</cp:revision>
  <cp:lastPrinted>2014-05-14T10:59:00Z</cp:lastPrinted>
  <dcterms:created xsi:type="dcterms:W3CDTF">2021-05-04T13:27:00Z</dcterms:created>
  <dcterms:modified xsi:type="dcterms:W3CDTF">2021-05-04T13:27:00Z</dcterms:modified>
</cp:coreProperties>
</file>