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41F2" w14:textId="24FA9FC6" w:rsidR="00277F70" w:rsidRPr="005B7A17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r w:rsidRPr="005B7A17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A17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="00AE0AFB" w:rsidRPr="005B7A17">
        <w:rPr>
          <w:rFonts w:ascii="Arial" w:eastAsia="Arial" w:hAnsi="Arial" w:cs="Arial"/>
          <w:bCs/>
          <w:szCs w:val="24"/>
          <w:lang w:eastAsia="de-DE"/>
        </w:rPr>
        <w:t>1</w:t>
      </w:r>
      <w:r w:rsidRPr="005B7A17">
        <w:rPr>
          <w:rFonts w:ascii="Arial" w:eastAsia="Arial" w:hAnsi="Arial" w:cs="Arial"/>
          <w:bCs/>
          <w:szCs w:val="24"/>
          <w:lang w:eastAsia="de-DE"/>
        </w:rPr>
        <w:t>/</w:t>
      </w:r>
      <w:r w:rsidR="005E13D8" w:rsidRPr="005B7A17">
        <w:rPr>
          <w:rFonts w:ascii="Arial" w:eastAsia="Arial" w:hAnsi="Arial" w:cs="Arial"/>
          <w:bCs/>
          <w:szCs w:val="24"/>
          <w:lang w:eastAsia="de-DE"/>
        </w:rPr>
        <w:t>1</w:t>
      </w:r>
      <w:r w:rsidR="0082636A" w:rsidRPr="005B7A17">
        <w:rPr>
          <w:rFonts w:ascii="Arial" w:eastAsia="Arial" w:hAnsi="Arial" w:cs="Arial"/>
          <w:bCs/>
          <w:szCs w:val="24"/>
          <w:lang w:eastAsia="de-DE"/>
        </w:rPr>
        <w:t>6</w:t>
      </w:r>
    </w:p>
    <w:p w14:paraId="20DAC2EC" w14:textId="77777777" w:rsidR="00277F70" w:rsidRPr="005B7A17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B7A17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60B3BACB" w:rsidR="00277F70" w:rsidRPr="005B7A17" w:rsidRDefault="000671E2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5B7A17">
        <w:rPr>
          <w:rFonts w:ascii="Arial" w:eastAsia="Arial" w:hAnsi="Arial" w:cs="Arial"/>
          <w:szCs w:val="24"/>
          <w:lang w:eastAsia="de-DE"/>
        </w:rPr>
        <w:t>1</w:t>
      </w:r>
      <w:r w:rsidR="00863D48" w:rsidRPr="005B7A17">
        <w:rPr>
          <w:rFonts w:ascii="Arial" w:eastAsia="Arial" w:hAnsi="Arial" w:cs="Arial"/>
          <w:szCs w:val="24"/>
          <w:lang w:eastAsia="de-DE"/>
        </w:rPr>
        <w:t xml:space="preserve">. </w:t>
      </w:r>
      <w:r w:rsidRPr="005B7A17">
        <w:rPr>
          <w:rFonts w:ascii="Arial" w:eastAsia="Arial" w:hAnsi="Arial" w:cs="Arial"/>
          <w:szCs w:val="24"/>
          <w:lang w:eastAsia="de-DE"/>
        </w:rPr>
        <w:t>April</w:t>
      </w:r>
      <w:r w:rsidR="00277F70" w:rsidRPr="005B7A17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5B7A17">
        <w:rPr>
          <w:rFonts w:ascii="Arial" w:eastAsia="Arial" w:hAnsi="Arial" w:cs="Arial"/>
          <w:szCs w:val="24"/>
          <w:lang w:eastAsia="de-DE"/>
        </w:rPr>
        <w:t>2</w:t>
      </w:r>
      <w:r w:rsidRPr="005B7A17">
        <w:rPr>
          <w:rFonts w:ascii="Arial" w:eastAsia="Arial" w:hAnsi="Arial" w:cs="Arial"/>
          <w:szCs w:val="24"/>
          <w:lang w:eastAsia="de-DE"/>
        </w:rPr>
        <w:t>1</w:t>
      </w:r>
    </w:p>
    <w:p w14:paraId="2C6BC17E" w14:textId="064DB6FF" w:rsidR="00277F70" w:rsidRPr="005B7A17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5B7A17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5B7A17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2636A" w:rsidRPr="005B7A17">
        <w:rPr>
          <w:rFonts w:ascii="Arial" w:eastAsia="Arial" w:hAnsi="Arial" w:cs="Arial"/>
          <w:sz w:val="16"/>
          <w:szCs w:val="24"/>
          <w:lang w:eastAsia="de-DE"/>
        </w:rPr>
        <w:t>FRANZÖSISCH</w:t>
      </w:r>
    </w:p>
    <w:p w14:paraId="3CEACF79" w14:textId="77777777" w:rsidR="00277F70" w:rsidRPr="005B7A17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B7A17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5B7A17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5B7A17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5B7A17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5B7A17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5B7A17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22493C0A" w:rsidR="00277F70" w:rsidRPr="005B7A17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5B7A17">
        <w:rPr>
          <w:rFonts w:ascii="Arial" w:hAnsi="Arial"/>
          <w:sz w:val="16"/>
          <w:szCs w:val="24"/>
        </w:rPr>
        <w:t>(3</w:t>
      </w:r>
      <w:r w:rsidR="000671E2" w:rsidRPr="005B7A17">
        <w:rPr>
          <w:rFonts w:ascii="Arial" w:hAnsi="Arial"/>
          <w:sz w:val="16"/>
          <w:szCs w:val="24"/>
        </w:rPr>
        <w:t>8</w:t>
      </w:r>
      <w:r w:rsidRPr="005B7A17">
        <w:rPr>
          <w:rFonts w:ascii="Arial" w:hAnsi="Arial"/>
          <w:sz w:val="16"/>
          <w:szCs w:val="24"/>
        </w:rPr>
        <w:t>. Tagung, Genf, 2</w:t>
      </w:r>
      <w:r w:rsidR="000671E2" w:rsidRPr="005B7A17">
        <w:rPr>
          <w:rFonts w:ascii="Arial" w:hAnsi="Arial"/>
          <w:sz w:val="16"/>
          <w:szCs w:val="24"/>
        </w:rPr>
        <w:t>3</w:t>
      </w:r>
      <w:r w:rsidRPr="005B7A17">
        <w:rPr>
          <w:rFonts w:ascii="Arial" w:hAnsi="Arial"/>
          <w:sz w:val="16"/>
          <w:szCs w:val="24"/>
        </w:rPr>
        <w:t>.</w:t>
      </w:r>
      <w:r w:rsidR="000B2B01" w:rsidRPr="005B7A17">
        <w:rPr>
          <w:rFonts w:ascii="Arial" w:hAnsi="Arial"/>
          <w:sz w:val="16"/>
          <w:szCs w:val="24"/>
        </w:rPr>
        <w:t xml:space="preserve"> </w:t>
      </w:r>
      <w:r w:rsidR="00AE0AFB" w:rsidRPr="005B7A17">
        <w:rPr>
          <w:rFonts w:ascii="Arial" w:hAnsi="Arial"/>
          <w:sz w:val="16"/>
          <w:szCs w:val="24"/>
        </w:rPr>
        <w:t>–</w:t>
      </w:r>
      <w:r w:rsidR="000B2B01" w:rsidRPr="005B7A17">
        <w:rPr>
          <w:rFonts w:ascii="Arial" w:hAnsi="Arial"/>
          <w:sz w:val="16"/>
          <w:szCs w:val="24"/>
        </w:rPr>
        <w:t xml:space="preserve"> </w:t>
      </w:r>
      <w:r w:rsidR="00222245" w:rsidRPr="005B7A17">
        <w:rPr>
          <w:rFonts w:ascii="Arial" w:hAnsi="Arial"/>
          <w:sz w:val="16"/>
          <w:szCs w:val="24"/>
        </w:rPr>
        <w:t>2</w:t>
      </w:r>
      <w:r w:rsidR="000671E2" w:rsidRPr="005B7A17">
        <w:rPr>
          <w:rFonts w:ascii="Arial" w:hAnsi="Arial"/>
          <w:sz w:val="16"/>
          <w:szCs w:val="24"/>
        </w:rPr>
        <w:t>7</w:t>
      </w:r>
      <w:r w:rsidRPr="005B7A17">
        <w:rPr>
          <w:rFonts w:ascii="Arial" w:hAnsi="Arial"/>
          <w:sz w:val="16"/>
          <w:szCs w:val="24"/>
        </w:rPr>
        <w:t xml:space="preserve">. </w:t>
      </w:r>
      <w:r w:rsidR="000671E2" w:rsidRPr="005B7A17">
        <w:rPr>
          <w:rFonts w:ascii="Arial" w:hAnsi="Arial"/>
          <w:sz w:val="16"/>
          <w:szCs w:val="24"/>
        </w:rPr>
        <w:t>August</w:t>
      </w:r>
      <w:r w:rsidRPr="005B7A17">
        <w:rPr>
          <w:rFonts w:ascii="Arial" w:hAnsi="Arial"/>
          <w:sz w:val="16"/>
          <w:szCs w:val="24"/>
        </w:rPr>
        <w:t xml:space="preserve"> 202</w:t>
      </w:r>
      <w:r w:rsidR="00AE0AFB" w:rsidRPr="005B7A17">
        <w:rPr>
          <w:rFonts w:ascii="Arial" w:hAnsi="Arial"/>
          <w:sz w:val="16"/>
          <w:szCs w:val="24"/>
        </w:rPr>
        <w:t>1</w:t>
      </w:r>
      <w:r w:rsidRPr="005B7A17">
        <w:rPr>
          <w:rFonts w:ascii="Arial" w:hAnsi="Arial"/>
          <w:sz w:val="16"/>
          <w:szCs w:val="24"/>
        </w:rPr>
        <w:t>)</w:t>
      </w:r>
    </w:p>
    <w:p w14:paraId="19D0F3FB" w14:textId="2284A250" w:rsidR="00277F70" w:rsidRPr="005B7A17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B7A17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2636A" w:rsidRPr="005B7A17">
        <w:rPr>
          <w:rFonts w:ascii="Arial" w:hAnsi="Arial" w:cs="Arial"/>
          <w:sz w:val="16"/>
          <w:szCs w:val="16"/>
          <w:lang w:eastAsia="en-US"/>
        </w:rPr>
        <w:t>4</w:t>
      </w:r>
      <w:r w:rsidR="008A4F51" w:rsidRPr="005B7A17">
        <w:rPr>
          <w:rFonts w:ascii="Arial" w:hAnsi="Arial" w:cs="Arial"/>
          <w:sz w:val="16"/>
          <w:szCs w:val="16"/>
          <w:lang w:eastAsia="en-US"/>
        </w:rPr>
        <w:t xml:space="preserve"> </w:t>
      </w:r>
      <w:r w:rsidR="0082636A" w:rsidRPr="005B7A17">
        <w:rPr>
          <w:rFonts w:ascii="Arial" w:hAnsi="Arial" w:cs="Arial"/>
          <w:sz w:val="16"/>
          <w:szCs w:val="16"/>
          <w:lang w:eastAsia="en-US"/>
        </w:rPr>
        <w:t>b</w:t>
      </w:r>
      <w:r w:rsidR="00863D48" w:rsidRPr="005B7A17">
        <w:rPr>
          <w:rFonts w:ascii="Arial" w:hAnsi="Arial" w:cs="Arial"/>
          <w:sz w:val="16"/>
          <w:szCs w:val="16"/>
          <w:lang w:eastAsia="en-US"/>
        </w:rPr>
        <w:t>)</w:t>
      </w:r>
      <w:r w:rsidRPr="005B7A17">
        <w:rPr>
          <w:rFonts w:ascii="Arial" w:hAnsi="Arial" w:cs="Arial"/>
          <w:sz w:val="16"/>
          <w:szCs w:val="16"/>
          <w:lang w:eastAsia="en-US"/>
        </w:rPr>
        <w:t xml:space="preserve"> </w:t>
      </w:r>
      <w:r w:rsidR="00836F6E" w:rsidRPr="005B7A17">
        <w:rPr>
          <w:rFonts w:ascii="Arial" w:hAnsi="Arial" w:cs="Arial"/>
          <w:sz w:val="16"/>
          <w:szCs w:val="16"/>
          <w:lang w:eastAsia="en-US"/>
        </w:rPr>
        <w:t>der</w:t>
      </w:r>
      <w:r w:rsidRPr="005B7A17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3BE9129F" w14:textId="77777777" w:rsidR="0082636A" w:rsidRPr="005B7A17" w:rsidRDefault="0082636A" w:rsidP="0082636A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5B7A17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002D392D" w14:textId="31BD59B0" w:rsidR="00277F70" w:rsidRDefault="00277F70" w:rsidP="00724E6F">
      <w:pPr>
        <w:widowControl/>
        <w:tabs>
          <w:tab w:val="left" w:pos="2977"/>
          <w:tab w:val="left" w:pos="5230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48268ACE" w14:textId="77777777" w:rsidR="005B7A17" w:rsidRPr="005B7A17" w:rsidRDefault="005B7A17" w:rsidP="00724E6F">
      <w:pPr>
        <w:widowControl/>
        <w:tabs>
          <w:tab w:val="left" w:pos="2977"/>
          <w:tab w:val="left" w:pos="5230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4114535C" w14:textId="77777777" w:rsidR="000E12CF" w:rsidRPr="005B7A17" w:rsidRDefault="000E12CF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6208137D" w14:textId="10E6A81E" w:rsidR="000671E2" w:rsidRPr="005B7A17" w:rsidRDefault="0082636A" w:rsidP="000671E2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bCs/>
          <w:sz w:val="28"/>
          <w:szCs w:val="24"/>
        </w:rPr>
      </w:pPr>
      <w:r w:rsidRPr="005B7A17">
        <w:rPr>
          <w:b/>
          <w:bCs/>
          <w:sz w:val="28"/>
          <w:szCs w:val="24"/>
        </w:rPr>
        <w:t>Änderungsvorschläge</w:t>
      </w:r>
    </w:p>
    <w:p w14:paraId="4182DA61" w14:textId="57A71BDD" w:rsidR="00277F70" w:rsidRPr="005B7A17" w:rsidRDefault="00277F70" w:rsidP="00E727CB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 w:rsidRPr="005B7A17">
        <w:rPr>
          <w:b/>
          <w:sz w:val="24"/>
        </w:rPr>
        <w:t xml:space="preserve">Vorgelegt von </w:t>
      </w:r>
      <w:r w:rsidR="0082636A" w:rsidRPr="005B7A17">
        <w:rPr>
          <w:b/>
          <w:sz w:val="24"/>
        </w:rPr>
        <w:t>der Donaukommission</w:t>
      </w:r>
      <w:r w:rsidRPr="005B7A17">
        <w:rPr>
          <w:b/>
          <w:sz w:val="18"/>
          <w:vertAlign w:val="superscript"/>
        </w:rPr>
        <w:footnoteReference w:id="1"/>
      </w:r>
      <w:r w:rsidRPr="005B7A17">
        <w:rPr>
          <w:b/>
          <w:sz w:val="18"/>
          <w:vertAlign w:val="superscript"/>
        </w:rPr>
        <w:t>,</w:t>
      </w:r>
      <w:r w:rsidRPr="005B7A17">
        <w:rPr>
          <w:b/>
          <w:sz w:val="18"/>
          <w:vertAlign w:val="superscript"/>
        </w:rPr>
        <w:footnoteReference w:id="2"/>
      </w:r>
    </w:p>
    <w:p w14:paraId="71786A0E" w14:textId="792E056A" w:rsidR="0082636A" w:rsidRPr="005B7A17" w:rsidRDefault="0082636A" w:rsidP="0082636A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270" w:lineRule="exact"/>
        <w:ind w:right="1134"/>
        <w:jc w:val="left"/>
        <w:textAlignment w:val="auto"/>
        <w:rPr>
          <w:b/>
          <w:sz w:val="24"/>
          <w:lang w:eastAsia="zh-CN"/>
        </w:rPr>
      </w:pPr>
      <w:bookmarkStart w:id="0" w:name="_Hlk33099984"/>
      <w:r w:rsidRPr="005B7A17">
        <w:rPr>
          <w:b/>
          <w:sz w:val="24"/>
          <w:lang w:eastAsia="zh-CN"/>
        </w:rPr>
        <w:tab/>
        <w:t>I.</w:t>
      </w:r>
      <w:r w:rsidRPr="005B7A17">
        <w:rPr>
          <w:b/>
          <w:sz w:val="24"/>
          <w:lang w:eastAsia="zh-CN"/>
        </w:rPr>
        <w:tab/>
        <w:t>Änderungsvorschläge</w:t>
      </w:r>
    </w:p>
    <w:p w14:paraId="4F15159A" w14:textId="4885A65F" w:rsidR="00173DD7" w:rsidRPr="005B7A17" w:rsidRDefault="0082636A" w:rsidP="00574349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5B7A17">
        <w:rPr>
          <w:lang w:eastAsia="zh-CN"/>
        </w:rPr>
        <w:t>1.</w:t>
      </w:r>
      <w:r w:rsidRPr="005B7A17">
        <w:rPr>
          <w:lang w:eastAsia="zh-CN"/>
        </w:rPr>
        <w:tab/>
      </w:r>
      <w:r w:rsidR="00173DD7" w:rsidRPr="005B7A17">
        <w:rPr>
          <w:lang w:eastAsia="zh-CN"/>
        </w:rPr>
        <w:t>Vorgeschlagene Änderungen sind fettgedruckt, kursiv und unterstrichen und gestrichener Text ist durchgestrichen.</w:t>
      </w:r>
    </w:p>
    <w:p w14:paraId="3D1DA569" w14:textId="584A97D2" w:rsidR="0082636A" w:rsidRPr="005B7A17" w:rsidRDefault="0082636A" w:rsidP="0082636A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lang w:eastAsia="zh-CN"/>
        </w:rPr>
      </w:pPr>
      <w:r w:rsidRPr="005B7A17">
        <w:rPr>
          <w:b/>
          <w:lang w:eastAsia="zh-CN"/>
        </w:rPr>
        <w:tab/>
        <w:t>a)</w:t>
      </w:r>
      <w:r w:rsidRPr="005B7A17">
        <w:rPr>
          <w:b/>
          <w:lang w:eastAsia="zh-CN"/>
        </w:rPr>
        <w:tab/>
        <w:t xml:space="preserve">1.2.1 d): </w:t>
      </w:r>
    </w:p>
    <w:p w14:paraId="355F8E8D" w14:textId="30254F6F" w:rsidR="0082636A" w:rsidRPr="005B7A17" w:rsidRDefault="00F234B3" w:rsidP="008A7569">
      <w:pPr>
        <w:widowControl/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5B7A17">
        <w:rPr>
          <w:lang w:eastAsia="zh-CN"/>
        </w:rPr>
        <w:t>„</w:t>
      </w:r>
      <w:r w:rsidRPr="005B7A17">
        <w:rPr>
          <w:b/>
          <w:bCs/>
          <w:i/>
          <w:iCs/>
        </w:rPr>
        <w:t>Membrantank</w:t>
      </w:r>
      <w:r w:rsidRPr="005B7A17">
        <w:t xml:space="preserve">: Ein </w:t>
      </w:r>
      <w:proofErr w:type="spellStart"/>
      <w:r w:rsidRPr="005B7A17">
        <w:t>Ladetank</w:t>
      </w:r>
      <w:proofErr w:type="spellEnd"/>
      <w:r w:rsidRPr="005B7A17">
        <w:t xml:space="preserve">, der aus einer dünnen, flüssigkeits- und gasdichten Schicht (Membran) und einer Isolierung besteht, die </w:t>
      </w:r>
      <w:r w:rsidRPr="005B7A17">
        <w:rPr>
          <w:b/>
          <w:bCs/>
          <w:i/>
          <w:iCs/>
          <w:u w:val="single"/>
        </w:rPr>
        <w:t>bei einem Schiff mit Doppel</w:t>
      </w:r>
      <w:r w:rsidR="00A61678" w:rsidRPr="005B7A17">
        <w:rPr>
          <w:b/>
          <w:bCs/>
          <w:i/>
          <w:iCs/>
          <w:u w:val="single"/>
        </w:rPr>
        <w:t>wänden</w:t>
      </w:r>
      <w:r w:rsidRPr="005B7A17">
        <w:rPr>
          <w:b/>
          <w:bCs/>
          <w:i/>
          <w:iCs/>
          <w:u w:val="single"/>
        </w:rPr>
        <w:t xml:space="preserve"> und Doppelboden</w:t>
      </w:r>
      <w:r w:rsidRPr="005B7A17">
        <w:t xml:space="preserve"> durch </w:t>
      </w:r>
      <w:r w:rsidRPr="005B7A17">
        <w:rPr>
          <w:b/>
          <w:bCs/>
          <w:i/>
          <w:iCs/>
          <w:u w:val="single"/>
        </w:rPr>
        <w:t>den angrenzenden Innenrumpf</w:t>
      </w:r>
      <w:r w:rsidRPr="005B7A17">
        <w:t xml:space="preserve"> </w:t>
      </w:r>
      <w:r w:rsidRPr="005B7A17">
        <w:rPr>
          <w:strike/>
        </w:rPr>
        <w:t xml:space="preserve">die angrenzende innere Rumpf- und Bodenkonstruktion eines Doppelhüllenschiffes </w:t>
      </w:r>
      <w:r w:rsidRPr="005B7A17">
        <w:t>gestützt werden.“.</w:t>
      </w:r>
    </w:p>
    <w:p w14:paraId="2DEC9629" w14:textId="63F3FE05" w:rsidR="0082636A" w:rsidRPr="005B7A17" w:rsidRDefault="00F234B3" w:rsidP="008A7569">
      <w:pPr>
        <w:widowControl/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iCs/>
          <w:lang w:eastAsia="zh-CN"/>
        </w:rPr>
      </w:pPr>
      <w:r w:rsidRPr="005B7A17">
        <w:rPr>
          <w:iCs/>
          <w:lang w:eastAsia="zh-CN"/>
        </w:rPr>
        <w:t>Begründung:</w:t>
      </w:r>
      <w:r w:rsidR="0082636A" w:rsidRPr="005B7A17">
        <w:rPr>
          <w:iCs/>
          <w:lang w:eastAsia="zh-CN"/>
        </w:rPr>
        <w:t xml:space="preserve"> </w:t>
      </w:r>
      <w:r w:rsidR="00A61678" w:rsidRPr="005B7A17">
        <w:rPr>
          <w:iCs/>
          <w:lang w:eastAsia="zh-CN"/>
        </w:rPr>
        <w:t xml:space="preserve">Gemäß den Vorschriften der Klassifikationsgesellschaften (z. B. </w:t>
      </w:r>
      <w:proofErr w:type="spellStart"/>
      <w:r w:rsidR="00A61678" w:rsidRPr="005B7A17">
        <w:rPr>
          <w:iCs/>
          <w:lang w:eastAsia="zh-CN"/>
        </w:rPr>
        <w:t>Russian</w:t>
      </w:r>
      <w:proofErr w:type="spellEnd"/>
      <w:r w:rsidR="00A61678" w:rsidRPr="005B7A17">
        <w:rPr>
          <w:iCs/>
          <w:lang w:eastAsia="zh-CN"/>
        </w:rPr>
        <w:t xml:space="preserve"> River Register) sieht der Aufbau eines Schiffes Doppelwände und einen Doppelboden vor.</w:t>
      </w:r>
      <w:r w:rsidR="0082636A" w:rsidRPr="005B7A17">
        <w:rPr>
          <w:iCs/>
          <w:lang w:eastAsia="zh-CN"/>
        </w:rPr>
        <w:t xml:space="preserve"> </w:t>
      </w:r>
      <w:r w:rsidR="00D82CDD" w:rsidRPr="005B7A17">
        <w:rPr>
          <w:iCs/>
          <w:lang w:eastAsia="zh-CN"/>
        </w:rPr>
        <w:t>Gegebenenfalls sollte der Begriff „Doppelhülle“ in Abschnitt 1.2.1 Buchstabe d</w:t>
      </w:r>
      <w:r w:rsidR="005B7A17" w:rsidRPr="005B7A17">
        <w:rPr>
          <w:iCs/>
          <w:lang w:eastAsia="zh-CN"/>
        </w:rPr>
        <w:t>)</w:t>
      </w:r>
      <w:r w:rsidR="00D82CDD" w:rsidRPr="005B7A17">
        <w:rPr>
          <w:iCs/>
          <w:lang w:eastAsia="zh-CN"/>
        </w:rPr>
        <w:t xml:space="preserve"> aus technischer Sicht gesondert erläutert werden.</w:t>
      </w:r>
    </w:p>
    <w:p w14:paraId="77BEF0BF" w14:textId="77777777" w:rsidR="005B7A17" w:rsidRDefault="005B7A17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lang w:eastAsia="zh-CN"/>
        </w:rPr>
      </w:pPr>
      <w:r>
        <w:rPr>
          <w:b/>
          <w:lang w:eastAsia="zh-CN"/>
        </w:rPr>
        <w:br w:type="page"/>
      </w:r>
    </w:p>
    <w:p w14:paraId="68495BB0" w14:textId="02E71FE3" w:rsidR="0082636A" w:rsidRPr="005B7A17" w:rsidRDefault="0082636A" w:rsidP="0082636A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lang w:eastAsia="zh-CN"/>
        </w:rPr>
      </w:pPr>
      <w:r w:rsidRPr="005B7A17">
        <w:rPr>
          <w:b/>
          <w:lang w:eastAsia="zh-CN"/>
        </w:rPr>
        <w:lastRenderedPageBreak/>
        <w:tab/>
        <w:t>b)</w:t>
      </w:r>
      <w:r w:rsidRPr="005B7A17">
        <w:rPr>
          <w:b/>
          <w:lang w:eastAsia="zh-CN"/>
        </w:rPr>
        <w:tab/>
        <w:t xml:space="preserve">9.3.1.18.1, </w:t>
      </w:r>
      <w:r w:rsidR="00E063DA" w:rsidRPr="005B7A17">
        <w:rPr>
          <w:b/>
          <w:lang w:eastAsia="zh-CN"/>
        </w:rPr>
        <w:t>letzter Absatz</w:t>
      </w:r>
      <w:r w:rsidRPr="005B7A17">
        <w:rPr>
          <w:b/>
          <w:lang w:eastAsia="zh-CN"/>
        </w:rPr>
        <w:t>:</w:t>
      </w:r>
    </w:p>
    <w:p w14:paraId="6C37BCB2" w14:textId="07040B98" w:rsidR="00E063DA" w:rsidRPr="005B7A17" w:rsidRDefault="00E063DA" w:rsidP="00E063DA">
      <w:pPr>
        <w:keepNext/>
        <w:keepLines/>
        <w:widowControl/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5B7A17">
        <w:rPr>
          <w:iCs/>
          <w:lang w:eastAsia="zh-CN"/>
        </w:rPr>
        <w:t xml:space="preserve">„Die Kontrolleinrichtungen müssen beim Unterschreiten eines vorgegebenen Druckes oder einer vorgegebenen </w:t>
      </w:r>
      <w:proofErr w:type="spellStart"/>
      <w:r w:rsidRPr="005B7A17">
        <w:rPr>
          <w:iCs/>
          <w:lang w:eastAsia="zh-CN"/>
        </w:rPr>
        <w:t>Inertgaskonzentration</w:t>
      </w:r>
      <w:proofErr w:type="spellEnd"/>
      <w:r w:rsidRPr="005B7A17">
        <w:rPr>
          <w:iCs/>
          <w:lang w:eastAsia="zh-CN"/>
        </w:rPr>
        <w:t xml:space="preserve"> im Dampfraum einen optischen und akustischen Alarm </w:t>
      </w:r>
      <w:r w:rsidR="00BB43A1" w:rsidRPr="005B7A17">
        <w:rPr>
          <w:b/>
          <w:i/>
          <w:u w:val="single"/>
          <w:lang w:eastAsia="zh-CN"/>
        </w:rPr>
        <w:t>an der Bedienungsstelle im Maschinenraum (oder an der örtlichen Bedienungsstelle)</w:t>
      </w:r>
      <w:r w:rsidRPr="005B7A17">
        <w:rPr>
          <w:b/>
          <w:i/>
          <w:u w:val="single"/>
          <w:lang w:eastAsia="zh-CN"/>
        </w:rPr>
        <w:t xml:space="preserve"> </w:t>
      </w:r>
      <w:r w:rsidRPr="005B7A17">
        <w:rPr>
          <w:iCs/>
          <w:strike/>
          <w:lang w:eastAsia="zh-CN"/>
        </w:rPr>
        <w:t>im Steuerhaus</w:t>
      </w:r>
      <w:r w:rsidRPr="005B7A17">
        <w:rPr>
          <w:iCs/>
          <w:lang w:eastAsia="zh-CN"/>
        </w:rPr>
        <w:t xml:space="preserve"> auslösen. </w:t>
      </w:r>
      <w:r w:rsidRPr="005B7A17">
        <w:rPr>
          <w:iCs/>
          <w:strike/>
          <w:lang w:eastAsia="zh-CN"/>
        </w:rPr>
        <w:t>Wenn das Steuerhaus nicht besetzt ist, muss der Alarm zusätzlich an einer von einem Besatzungsmitglied besetzten Stelle wahrnehmbar sein</w:t>
      </w:r>
      <w:r w:rsidRPr="005B7A17">
        <w:rPr>
          <w:iCs/>
          <w:lang w:eastAsia="zh-CN"/>
        </w:rPr>
        <w:t>.</w:t>
      </w:r>
      <w:r w:rsidRPr="005B7A17">
        <w:rPr>
          <w:b/>
          <w:i/>
          <w:u w:val="single"/>
          <w:lang w:eastAsia="zh-CN"/>
        </w:rPr>
        <w:t xml:space="preserve"> </w:t>
      </w:r>
      <w:r w:rsidR="00FC1E27" w:rsidRPr="005B7A17">
        <w:rPr>
          <w:b/>
          <w:i/>
          <w:u w:val="single"/>
          <w:lang w:eastAsia="zh-CN"/>
        </w:rPr>
        <w:t>Für den Fall, dass die Besatzung an der Bedienungsstelle nicht reagiert, muss der Alarm im Steuerhaus wahrnehmbar sein.</w:t>
      </w:r>
      <w:r w:rsidR="00FC1E27" w:rsidRPr="005B7A17">
        <w:rPr>
          <w:lang w:eastAsia="zh-CN"/>
        </w:rPr>
        <w:t>“</w:t>
      </w:r>
    </w:p>
    <w:p w14:paraId="3D95DEB4" w14:textId="3757FABB" w:rsidR="0082636A" w:rsidRPr="005B7A17" w:rsidRDefault="00493A40" w:rsidP="00B4424C">
      <w:pPr>
        <w:widowControl/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iCs/>
          <w:lang w:eastAsia="zh-CN"/>
        </w:rPr>
      </w:pPr>
      <w:r w:rsidRPr="005B7A17">
        <w:rPr>
          <w:iCs/>
          <w:lang w:eastAsia="zh-CN"/>
        </w:rPr>
        <w:t>Begründung:</w:t>
      </w:r>
      <w:r w:rsidR="0082636A" w:rsidRPr="005B7A17">
        <w:rPr>
          <w:iCs/>
          <w:lang w:eastAsia="zh-CN"/>
        </w:rPr>
        <w:t xml:space="preserve"> </w:t>
      </w:r>
      <w:r w:rsidRPr="005B7A17">
        <w:rPr>
          <w:iCs/>
          <w:lang w:eastAsia="zh-CN"/>
        </w:rPr>
        <w:t xml:space="preserve">Im Steuerhaus laufen viele Informationen zusammen, die vor allem die </w:t>
      </w:r>
      <w:r w:rsidR="005D238A" w:rsidRPr="005B7A17">
        <w:rPr>
          <w:iCs/>
          <w:lang w:eastAsia="zh-CN"/>
        </w:rPr>
        <w:t>Wasserverdrän</w:t>
      </w:r>
      <w:r w:rsidR="00405C20" w:rsidRPr="005B7A17">
        <w:rPr>
          <w:iCs/>
          <w:lang w:eastAsia="zh-CN"/>
        </w:rPr>
        <w:t>g</w:t>
      </w:r>
      <w:r w:rsidR="005D238A" w:rsidRPr="005B7A17">
        <w:rPr>
          <w:iCs/>
          <w:lang w:eastAsia="zh-CN"/>
        </w:rPr>
        <w:t>ung</w:t>
      </w:r>
      <w:r w:rsidRPr="005B7A17">
        <w:rPr>
          <w:iCs/>
          <w:lang w:eastAsia="zh-CN"/>
        </w:rPr>
        <w:t xml:space="preserve"> des Schiffes und die Steuerung de</w:t>
      </w:r>
      <w:r w:rsidR="00405C20" w:rsidRPr="005B7A17">
        <w:rPr>
          <w:iCs/>
          <w:lang w:eastAsia="zh-CN"/>
        </w:rPr>
        <w:t>r</w:t>
      </w:r>
      <w:r w:rsidRPr="005B7A17">
        <w:rPr>
          <w:iCs/>
          <w:lang w:eastAsia="zh-CN"/>
        </w:rPr>
        <w:t xml:space="preserve"> </w:t>
      </w:r>
      <w:r w:rsidR="00405C20" w:rsidRPr="005B7A17">
        <w:rPr>
          <w:iCs/>
          <w:lang w:eastAsia="zh-CN"/>
        </w:rPr>
        <w:t>Betonnung</w:t>
      </w:r>
      <w:r w:rsidRPr="005B7A17">
        <w:rPr>
          <w:iCs/>
          <w:lang w:eastAsia="zh-CN"/>
        </w:rPr>
        <w:t xml:space="preserve"> </w:t>
      </w:r>
      <w:r w:rsidR="00BE25FE" w:rsidRPr="005B7A17">
        <w:rPr>
          <w:iCs/>
          <w:lang w:eastAsia="zh-CN"/>
        </w:rPr>
        <w:t>betreffen</w:t>
      </w:r>
      <w:r w:rsidRPr="005B7A17">
        <w:rPr>
          <w:iCs/>
          <w:lang w:eastAsia="zh-CN"/>
        </w:rPr>
        <w:t>.</w:t>
      </w:r>
      <w:r w:rsidR="0082636A" w:rsidRPr="005B7A17">
        <w:rPr>
          <w:iCs/>
          <w:lang w:eastAsia="zh-CN"/>
        </w:rPr>
        <w:t xml:space="preserve"> </w:t>
      </w:r>
      <w:r w:rsidR="004B1F08" w:rsidRPr="005B7A17">
        <w:rPr>
          <w:iCs/>
          <w:lang w:eastAsia="zh-CN"/>
        </w:rPr>
        <w:t>D</w:t>
      </w:r>
      <w:r w:rsidR="007F7513" w:rsidRPr="005B7A17">
        <w:rPr>
          <w:iCs/>
          <w:lang w:eastAsia="zh-CN"/>
        </w:rPr>
        <w:t>ie</w:t>
      </w:r>
      <w:r w:rsidR="004B1F08" w:rsidRPr="005B7A17">
        <w:rPr>
          <w:iCs/>
          <w:lang w:eastAsia="zh-CN"/>
        </w:rPr>
        <w:t xml:space="preserve"> Kontroll</w:t>
      </w:r>
      <w:r w:rsidR="007F7513" w:rsidRPr="005B7A17">
        <w:rPr>
          <w:iCs/>
          <w:lang w:eastAsia="zh-CN"/>
        </w:rPr>
        <w:t>einrichtung</w:t>
      </w:r>
      <w:r w:rsidR="004B1F08" w:rsidRPr="005B7A17">
        <w:rPr>
          <w:iCs/>
          <w:lang w:eastAsia="zh-CN"/>
        </w:rPr>
        <w:t xml:space="preserve"> sollte nach Ansicht des Sekretariats der Donaukommission einen Alarm auslösen, wenn der Druck oder die Konzentration des Inertgases abfällt, und zwar zunächst an der </w:t>
      </w:r>
      <w:r w:rsidR="00FD023A" w:rsidRPr="005B7A17">
        <w:rPr>
          <w:iCs/>
          <w:lang w:eastAsia="zh-CN"/>
        </w:rPr>
        <w:t>örtlichen</w:t>
      </w:r>
      <w:r w:rsidR="004B1F08" w:rsidRPr="005B7A17">
        <w:rPr>
          <w:iCs/>
          <w:lang w:eastAsia="zh-CN"/>
        </w:rPr>
        <w:t xml:space="preserve"> </w:t>
      </w:r>
      <w:bookmarkStart w:id="1" w:name="_Hlk69464076"/>
      <w:r w:rsidR="00FD023A" w:rsidRPr="005B7A17">
        <w:rPr>
          <w:iCs/>
          <w:lang w:eastAsia="zh-CN"/>
        </w:rPr>
        <w:t>Bedienungsstelle</w:t>
      </w:r>
      <w:r w:rsidR="004B1F08" w:rsidRPr="005B7A17">
        <w:rPr>
          <w:iCs/>
          <w:lang w:eastAsia="zh-CN"/>
        </w:rPr>
        <w:t xml:space="preserve"> </w:t>
      </w:r>
      <w:bookmarkEnd w:id="1"/>
      <w:r w:rsidR="004B1F08" w:rsidRPr="005B7A17">
        <w:rPr>
          <w:iCs/>
          <w:lang w:eastAsia="zh-CN"/>
        </w:rPr>
        <w:t>(oder</w:t>
      </w:r>
      <w:r w:rsidR="00FD023A" w:rsidRPr="005B7A17">
        <w:rPr>
          <w:iCs/>
          <w:lang w:eastAsia="zh-CN"/>
        </w:rPr>
        <w:t>, je nach Bauart des Schiffes,</w:t>
      </w:r>
      <w:r w:rsidR="004B1F08" w:rsidRPr="005B7A17">
        <w:rPr>
          <w:iCs/>
          <w:lang w:eastAsia="zh-CN"/>
        </w:rPr>
        <w:t xml:space="preserve"> an der zentralen </w:t>
      </w:r>
      <w:r w:rsidR="00FD023A" w:rsidRPr="005B7A17">
        <w:rPr>
          <w:iCs/>
          <w:lang w:eastAsia="zh-CN"/>
        </w:rPr>
        <w:t xml:space="preserve">Bedienungsstelle </w:t>
      </w:r>
      <w:r w:rsidR="004B1F08" w:rsidRPr="005B7A17">
        <w:rPr>
          <w:iCs/>
          <w:lang w:eastAsia="zh-CN"/>
        </w:rPr>
        <w:t>im Maschinenraum) und dann im Steuerhaus.</w:t>
      </w:r>
    </w:p>
    <w:p w14:paraId="398D61DA" w14:textId="63CDBA6A" w:rsidR="0082636A" w:rsidRPr="005B7A17" w:rsidRDefault="0082636A" w:rsidP="0082636A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240" w:after="120" w:line="240" w:lineRule="exact"/>
        <w:ind w:right="1134"/>
        <w:jc w:val="left"/>
        <w:textAlignment w:val="auto"/>
        <w:rPr>
          <w:b/>
          <w:lang w:eastAsia="zh-CN"/>
        </w:rPr>
      </w:pPr>
      <w:r w:rsidRPr="005B7A17">
        <w:rPr>
          <w:b/>
          <w:lang w:eastAsia="zh-CN"/>
        </w:rPr>
        <w:tab/>
        <w:t>c)</w:t>
      </w:r>
      <w:r w:rsidRPr="005B7A17">
        <w:rPr>
          <w:b/>
          <w:lang w:eastAsia="zh-CN"/>
        </w:rPr>
        <w:tab/>
        <w:t xml:space="preserve">9.3.1.18.2, </w:t>
      </w:r>
      <w:r w:rsidR="00173DD7" w:rsidRPr="005B7A17">
        <w:rPr>
          <w:b/>
          <w:lang w:eastAsia="zh-CN"/>
        </w:rPr>
        <w:t>letzter Absatz</w:t>
      </w:r>
      <w:r w:rsidRPr="005B7A17">
        <w:rPr>
          <w:b/>
          <w:lang w:eastAsia="zh-CN"/>
        </w:rPr>
        <w:t>:</w:t>
      </w:r>
    </w:p>
    <w:p w14:paraId="06476969" w14:textId="716A8421" w:rsidR="00173DD7" w:rsidRPr="005B7A17" w:rsidRDefault="00173DD7" w:rsidP="00173DD7">
      <w:pPr>
        <w:widowControl/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i/>
          <w:lang w:eastAsia="zh-CN"/>
        </w:rPr>
      </w:pPr>
      <w:r w:rsidRPr="005B7A17">
        <w:rPr>
          <w:iCs/>
          <w:lang w:eastAsia="zh-CN"/>
        </w:rPr>
        <w:t xml:space="preserve">Beim Unterschreiten eines vorgegebenen Druckes, einer vorgegebenen Temperatur oder einer vorgegebenen Konzentration des Inertgases müssen diese Kontrolleinrichtungen einen optischen und akustischen Alarm </w:t>
      </w:r>
      <w:r w:rsidRPr="005B7A17">
        <w:rPr>
          <w:iCs/>
          <w:strike/>
          <w:lang w:eastAsia="zh-CN"/>
        </w:rPr>
        <w:t>im Steuerhaus</w:t>
      </w:r>
      <w:r w:rsidRPr="005B7A17">
        <w:rPr>
          <w:b/>
          <w:i/>
          <w:u w:val="single"/>
          <w:lang w:eastAsia="zh-CN"/>
        </w:rPr>
        <w:t xml:space="preserve"> </w:t>
      </w:r>
      <w:r w:rsidR="00E87B9A" w:rsidRPr="005B7A17">
        <w:rPr>
          <w:b/>
          <w:i/>
          <w:u w:val="single"/>
          <w:lang w:eastAsia="zh-CN"/>
        </w:rPr>
        <w:t xml:space="preserve">an der Bedienungsstelle im Maschinenraum (oder an der örtlichen Bedienungsstelle) </w:t>
      </w:r>
      <w:r w:rsidRPr="005B7A17">
        <w:rPr>
          <w:iCs/>
          <w:lang w:eastAsia="zh-CN"/>
        </w:rPr>
        <w:t xml:space="preserve">auslösen. </w:t>
      </w:r>
      <w:r w:rsidRPr="005B7A17">
        <w:rPr>
          <w:iCs/>
          <w:strike/>
          <w:lang w:eastAsia="zh-CN"/>
        </w:rPr>
        <w:t xml:space="preserve">Wenn das Steuerhaus nicht besetzt ist, muss der Alarm zusätzlich an einer von einem Besatzungsmitglied besetzten Stelle wahrnehmbar sein. </w:t>
      </w:r>
      <w:bookmarkStart w:id="2" w:name="_Hlk69481431"/>
      <w:r w:rsidR="00DE53D4" w:rsidRPr="005B7A17">
        <w:rPr>
          <w:b/>
          <w:i/>
          <w:u w:val="single"/>
          <w:lang w:eastAsia="zh-CN"/>
        </w:rPr>
        <w:t xml:space="preserve">Für den Fall, dass die Besatzung an der Bedienungsstelle nicht reagiert, </w:t>
      </w:r>
      <w:bookmarkEnd w:id="2"/>
      <w:r w:rsidR="00DE53D4" w:rsidRPr="005B7A17">
        <w:rPr>
          <w:b/>
          <w:i/>
          <w:u w:val="single"/>
          <w:lang w:eastAsia="zh-CN"/>
        </w:rPr>
        <w:t>muss der Alarm im Steuerhaus wahrnehmbar sein</w:t>
      </w:r>
      <w:r w:rsidRPr="005B7A17">
        <w:rPr>
          <w:b/>
          <w:i/>
          <w:u w:val="single"/>
          <w:lang w:eastAsia="zh-CN"/>
        </w:rPr>
        <w:t>.</w:t>
      </w:r>
    </w:p>
    <w:p w14:paraId="2C9D3D50" w14:textId="315924E8" w:rsidR="0082636A" w:rsidRPr="005B7A17" w:rsidRDefault="00DE53D4" w:rsidP="00A03B61">
      <w:pPr>
        <w:widowControl/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iCs/>
          <w:lang w:eastAsia="zh-CN"/>
        </w:rPr>
      </w:pPr>
      <w:r w:rsidRPr="005B7A17">
        <w:rPr>
          <w:iCs/>
          <w:lang w:eastAsia="zh-CN"/>
        </w:rPr>
        <w:t>Begründung:</w:t>
      </w:r>
      <w:r w:rsidR="0082636A" w:rsidRPr="005B7A17">
        <w:rPr>
          <w:iCs/>
          <w:lang w:eastAsia="zh-CN"/>
        </w:rPr>
        <w:t xml:space="preserve"> </w:t>
      </w:r>
      <w:r w:rsidR="00D813F2" w:rsidRPr="005B7A17">
        <w:rPr>
          <w:iCs/>
          <w:lang w:eastAsia="zh-CN"/>
        </w:rPr>
        <w:t>D</w:t>
      </w:r>
      <w:r w:rsidR="00194D43" w:rsidRPr="005B7A17">
        <w:rPr>
          <w:iCs/>
          <w:lang w:eastAsia="zh-CN"/>
        </w:rPr>
        <w:t>e</w:t>
      </w:r>
      <w:r w:rsidR="00D813F2" w:rsidRPr="005B7A17">
        <w:rPr>
          <w:iCs/>
          <w:lang w:eastAsia="zh-CN"/>
        </w:rPr>
        <w:t>r</w:t>
      </w:r>
      <w:r w:rsidR="00194D43" w:rsidRPr="005B7A17">
        <w:rPr>
          <w:iCs/>
          <w:lang w:eastAsia="zh-CN"/>
        </w:rPr>
        <w:t xml:space="preserve"> letzte Satz der </w:t>
      </w:r>
      <w:r w:rsidR="00724FD7" w:rsidRPr="005B7A17">
        <w:rPr>
          <w:iCs/>
          <w:lang w:eastAsia="zh-CN"/>
        </w:rPr>
        <w:t>Absätze</w:t>
      </w:r>
      <w:r w:rsidR="00194D43" w:rsidRPr="005B7A17">
        <w:rPr>
          <w:iCs/>
          <w:lang w:eastAsia="zh-CN"/>
        </w:rPr>
        <w:t xml:space="preserve"> 9.3.1.18.1 und 9.3.1.18.2 </w:t>
      </w:r>
      <w:r w:rsidR="00D813F2" w:rsidRPr="005B7A17">
        <w:rPr>
          <w:iCs/>
          <w:lang w:eastAsia="zh-CN"/>
        </w:rPr>
        <w:t>enthält die Anforderung, dass</w:t>
      </w:r>
      <w:r w:rsidR="00194D43" w:rsidRPr="005B7A17">
        <w:rPr>
          <w:iCs/>
          <w:lang w:eastAsia="zh-CN"/>
        </w:rPr>
        <w:t xml:space="preserve"> an allen </w:t>
      </w:r>
      <w:r w:rsidR="00C67DBE" w:rsidRPr="005B7A17">
        <w:rPr>
          <w:iCs/>
          <w:lang w:eastAsia="zh-CN"/>
        </w:rPr>
        <w:t>Stellen</w:t>
      </w:r>
      <w:r w:rsidR="00D813F2" w:rsidRPr="005B7A17">
        <w:rPr>
          <w:iCs/>
          <w:lang w:eastAsia="zh-CN"/>
        </w:rPr>
        <w:t>, an denen sich Besatzungsmitglied</w:t>
      </w:r>
      <w:r w:rsidR="00A03B61" w:rsidRPr="005B7A17">
        <w:rPr>
          <w:iCs/>
          <w:lang w:eastAsia="zh-CN"/>
        </w:rPr>
        <w:t>er</w:t>
      </w:r>
      <w:r w:rsidR="00D813F2" w:rsidRPr="005B7A17">
        <w:rPr>
          <w:iCs/>
          <w:lang w:eastAsia="zh-CN"/>
        </w:rPr>
        <w:t xml:space="preserve"> </w:t>
      </w:r>
      <w:r w:rsidR="00A03B61" w:rsidRPr="005B7A17">
        <w:rPr>
          <w:iCs/>
          <w:lang w:eastAsia="zh-CN"/>
        </w:rPr>
        <w:t>befinden</w:t>
      </w:r>
      <w:r w:rsidR="00D813F2" w:rsidRPr="005B7A17">
        <w:rPr>
          <w:iCs/>
          <w:lang w:eastAsia="zh-CN"/>
        </w:rPr>
        <w:t xml:space="preserve">, </w:t>
      </w:r>
      <w:r w:rsidR="00194D43" w:rsidRPr="005B7A17">
        <w:rPr>
          <w:iCs/>
          <w:lang w:eastAsia="zh-CN"/>
        </w:rPr>
        <w:t xml:space="preserve">ein Signal </w:t>
      </w:r>
      <w:r w:rsidR="00CF33FD" w:rsidRPr="005B7A17">
        <w:rPr>
          <w:iCs/>
          <w:lang w:eastAsia="zh-CN"/>
        </w:rPr>
        <w:t>eingerichtet</w:t>
      </w:r>
      <w:r w:rsidR="00194D43" w:rsidRPr="005B7A17">
        <w:rPr>
          <w:iCs/>
          <w:lang w:eastAsia="zh-CN"/>
        </w:rPr>
        <w:t xml:space="preserve"> werden </w:t>
      </w:r>
      <w:r w:rsidR="00D813F2" w:rsidRPr="005B7A17">
        <w:rPr>
          <w:iCs/>
          <w:lang w:eastAsia="zh-CN"/>
        </w:rPr>
        <w:t>muss</w:t>
      </w:r>
      <w:r w:rsidR="00194D43" w:rsidRPr="005B7A17">
        <w:rPr>
          <w:iCs/>
          <w:lang w:eastAsia="zh-CN"/>
        </w:rPr>
        <w:t>.</w:t>
      </w:r>
      <w:r w:rsidR="0082636A" w:rsidRPr="005B7A17">
        <w:rPr>
          <w:iCs/>
          <w:lang w:eastAsia="zh-CN"/>
        </w:rPr>
        <w:t xml:space="preserve"> </w:t>
      </w:r>
      <w:r w:rsidR="00F60DDF" w:rsidRPr="005B7A17">
        <w:rPr>
          <w:iCs/>
          <w:lang w:eastAsia="zh-CN"/>
        </w:rPr>
        <w:t>Um diese Situation zu beseitigen, wird</w:t>
      </w:r>
      <w:r w:rsidR="004C5A4B" w:rsidRPr="005B7A17">
        <w:rPr>
          <w:iCs/>
          <w:lang w:eastAsia="zh-CN"/>
        </w:rPr>
        <w:t xml:space="preserve"> vorge</w:t>
      </w:r>
      <w:r w:rsidR="00114024" w:rsidRPr="005B7A17">
        <w:rPr>
          <w:iCs/>
          <w:lang w:eastAsia="zh-CN"/>
        </w:rPr>
        <w:softHyphen/>
      </w:r>
      <w:r w:rsidR="004C5A4B" w:rsidRPr="005B7A17">
        <w:rPr>
          <w:iCs/>
          <w:lang w:eastAsia="zh-CN"/>
        </w:rPr>
        <w:t>schlagen, dass</w:t>
      </w:r>
      <w:r w:rsidR="00F60DDF" w:rsidRPr="005B7A17">
        <w:rPr>
          <w:iCs/>
          <w:lang w:eastAsia="zh-CN"/>
        </w:rPr>
        <w:t xml:space="preserve"> bei</w:t>
      </w:r>
      <w:r w:rsidR="008B32C8" w:rsidRPr="005B7A17">
        <w:rPr>
          <w:iCs/>
          <w:lang w:eastAsia="zh-CN"/>
        </w:rPr>
        <w:t xml:space="preserve"> einem</w:t>
      </w:r>
      <w:r w:rsidR="00F60DDF" w:rsidRPr="005B7A17">
        <w:rPr>
          <w:iCs/>
          <w:lang w:eastAsia="zh-CN"/>
        </w:rPr>
        <w:t xml:space="preserve"> Druck- oder Temperaturabfall durch die </w:t>
      </w:r>
      <w:r w:rsidR="00E20EDC" w:rsidRPr="005B7A17">
        <w:rPr>
          <w:iCs/>
          <w:lang w:eastAsia="zh-CN"/>
        </w:rPr>
        <w:t>Kontrolleinrichtung</w:t>
      </w:r>
      <w:r w:rsidR="008B32C8" w:rsidRPr="005B7A17">
        <w:rPr>
          <w:iCs/>
          <w:lang w:eastAsia="zh-CN"/>
        </w:rPr>
        <w:t xml:space="preserve"> ein Alarm</w:t>
      </w:r>
      <w:r w:rsidR="00F60DDF" w:rsidRPr="005B7A17">
        <w:rPr>
          <w:iCs/>
          <w:lang w:eastAsia="zh-CN"/>
        </w:rPr>
        <w:t xml:space="preserve"> in der </w:t>
      </w:r>
      <w:r w:rsidR="006672D7" w:rsidRPr="005B7A17">
        <w:rPr>
          <w:iCs/>
          <w:lang w:eastAsia="zh-CN"/>
        </w:rPr>
        <w:t xml:space="preserve">örtlichen Bedienungsstelle </w:t>
      </w:r>
      <w:r w:rsidR="008B32C8" w:rsidRPr="005B7A17">
        <w:rPr>
          <w:iCs/>
          <w:lang w:eastAsia="zh-CN"/>
        </w:rPr>
        <w:t xml:space="preserve">ausgelöst wird </w:t>
      </w:r>
      <w:r w:rsidR="00F60DDF" w:rsidRPr="005B7A17">
        <w:rPr>
          <w:iCs/>
          <w:lang w:eastAsia="zh-CN"/>
        </w:rPr>
        <w:t xml:space="preserve">und </w:t>
      </w:r>
      <w:r w:rsidR="008B32C8" w:rsidRPr="005B7A17">
        <w:rPr>
          <w:iCs/>
          <w:lang w:eastAsia="zh-CN"/>
        </w:rPr>
        <w:t>erst</w:t>
      </w:r>
      <w:r w:rsidR="0082314C" w:rsidRPr="005B7A17">
        <w:rPr>
          <w:iCs/>
          <w:lang w:eastAsia="zh-CN"/>
        </w:rPr>
        <w:t xml:space="preserve"> </w:t>
      </w:r>
      <w:r w:rsidR="008B32C8" w:rsidRPr="005B7A17">
        <w:rPr>
          <w:iCs/>
          <w:lang w:eastAsia="zh-CN"/>
        </w:rPr>
        <w:t>wenn</w:t>
      </w:r>
      <w:r w:rsidR="0082314C" w:rsidRPr="005B7A17">
        <w:rPr>
          <w:iCs/>
          <w:lang w:eastAsia="zh-CN"/>
        </w:rPr>
        <w:t xml:space="preserve"> die Besatzung an der Bedienungsstelle</w:t>
      </w:r>
      <w:r w:rsidR="0076310E" w:rsidRPr="005B7A17">
        <w:rPr>
          <w:iCs/>
          <w:lang w:eastAsia="zh-CN"/>
        </w:rPr>
        <w:t xml:space="preserve"> </w:t>
      </w:r>
      <w:r w:rsidR="0082314C" w:rsidRPr="005B7A17">
        <w:rPr>
          <w:iCs/>
          <w:lang w:eastAsia="zh-CN"/>
        </w:rPr>
        <w:t xml:space="preserve">nicht </w:t>
      </w:r>
      <w:r w:rsidR="00A03B61" w:rsidRPr="005B7A17">
        <w:rPr>
          <w:iCs/>
          <w:lang w:eastAsia="zh-CN"/>
        </w:rPr>
        <w:t xml:space="preserve">darauf </w:t>
      </w:r>
      <w:r w:rsidR="0082314C" w:rsidRPr="005B7A17">
        <w:rPr>
          <w:iCs/>
          <w:lang w:eastAsia="zh-CN"/>
        </w:rPr>
        <w:t xml:space="preserve">reagiert, </w:t>
      </w:r>
      <w:r w:rsidR="00197A65" w:rsidRPr="005B7A17">
        <w:rPr>
          <w:iCs/>
          <w:lang w:eastAsia="zh-CN"/>
        </w:rPr>
        <w:t>d</w:t>
      </w:r>
      <w:r w:rsidR="00AC15CE" w:rsidRPr="005B7A17">
        <w:rPr>
          <w:iCs/>
          <w:lang w:eastAsia="zh-CN"/>
        </w:rPr>
        <w:t>er Alarm p</w:t>
      </w:r>
      <w:r w:rsidR="00F60DDF" w:rsidRPr="005B7A17">
        <w:rPr>
          <w:iCs/>
          <w:lang w:eastAsia="zh-CN"/>
        </w:rPr>
        <w:t xml:space="preserve">arallel im Steuerhaus </w:t>
      </w:r>
      <w:r w:rsidR="009643C6" w:rsidRPr="005B7A17">
        <w:rPr>
          <w:iCs/>
          <w:lang w:eastAsia="zh-CN"/>
        </w:rPr>
        <w:t>ausgelöst wird</w:t>
      </w:r>
      <w:r w:rsidR="00F60DDF" w:rsidRPr="005B7A17">
        <w:rPr>
          <w:iCs/>
          <w:lang w:eastAsia="zh-CN"/>
        </w:rPr>
        <w:t>.</w:t>
      </w:r>
    </w:p>
    <w:p w14:paraId="2745F291" w14:textId="2E661DF5" w:rsidR="0082636A" w:rsidRPr="005B7A17" w:rsidRDefault="005D56E2" w:rsidP="00C52EB3">
      <w:pPr>
        <w:widowControl/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iCs/>
          <w:lang w:eastAsia="zh-CN"/>
        </w:rPr>
      </w:pPr>
      <w:r w:rsidRPr="005B7A17">
        <w:rPr>
          <w:iCs/>
          <w:lang w:eastAsia="zh-CN"/>
        </w:rPr>
        <w:t>Eventuell wäre es zum besseren Verständnis ratsam, die letzten Absätze der Absätze 9.3.1.18.1 und 9.3.1.18.2 in einem</w:t>
      </w:r>
      <w:r w:rsidR="00A03B61" w:rsidRPr="005B7A17">
        <w:rPr>
          <w:iCs/>
          <w:lang w:eastAsia="zh-CN"/>
        </w:rPr>
        <w:t xml:space="preserve"> Absatz</w:t>
      </w:r>
      <w:r w:rsidRPr="005B7A17">
        <w:rPr>
          <w:iCs/>
          <w:lang w:eastAsia="zh-CN"/>
        </w:rPr>
        <w:t xml:space="preserve"> zusammenzufassen.</w:t>
      </w:r>
    </w:p>
    <w:p w14:paraId="4177699C" w14:textId="66DE0701" w:rsidR="0082636A" w:rsidRPr="005B7A17" w:rsidRDefault="0082636A" w:rsidP="00C52EB3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270" w:lineRule="exact"/>
        <w:ind w:right="1134"/>
        <w:jc w:val="left"/>
        <w:textAlignment w:val="auto"/>
        <w:rPr>
          <w:b/>
          <w:sz w:val="24"/>
          <w:lang w:eastAsia="zh-CN"/>
        </w:rPr>
      </w:pPr>
      <w:r w:rsidRPr="005B7A17">
        <w:rPr>
          <w:b/>
          <w:sz w:val="24"/>
          <w:lang w:eastAsia="zh-CN"/>
        </w:rPr>
        <w:tab/>
      </w:r>
      <w:r w:rsidR="000D2922" w:rsidRPr="005B7A17">
        <w:rPr>
          <w:b/>
          <w:sz w:val="24"/>
          <w:lang w:eastAsia="zh-CN"/>
        </w:rPr>
        <w:t>II.</w:t>
      </w:r>
      <w:r w:rsidRPr="005B7A17">
        <w:rPr>
          <w:b/>
          <w:sz w:val="24"/>
          <w:lang w:eastAsia="zh-CN"/>
        </w:rPr>
        <w:tab/>
      </w:r>
      <w:r w:rsidR="000D2922" w:rsidRPr="005B7A17">
        <w:rPr>
          <w:b/>
          <w:sz w:val="24"/>
          <w:lang w:eastAsia="zh-CN"/>
        </w:rPr>
        <w:t>Weiteres Vorgehen</w:t>
      </w:r>
    </w:p>
    <w:p w14:paraId="1D1B63B6" w14:textId="46155282" w:rsidR="0082636A" w:rsidRPr="005B7A17" w:rsidRDefault="0082636A" w:rsidP="002E759A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5B7A17">
        <w:rPr>
          <w:lang w:eastAsia="zh-CN"/>
        </w:rPr>
        <w:t>2.</w:t>
      </w:r>
      <w:r w:rsidRPr="005B7A17">
        <w:rPr>
          <w:lang w:eastAsia="zh-CN"/>
        </w:rPr>
        <w:tab/>
      </w:r>
      <w:r w:rsidR="006B2794" w:rsidRPr="005B7A17">
        <w:rPr>
          <w:lang w:eastAsia="zh-CN"/>
        </w:rPr>
        <w:t>Das Sekretariat der Donaukommission bittet den ADN-Sicherheitsausschuss, die oben genannten Änderungs</w:t>
      </w:r>
      <w:r w:rsidR="00124AC9" w:rsidRPr="005B7A17">
        <w:rPr>
          <w:lang w:eastAsia="zh-CN"/>
        </w:rPr>
        <w:t>vorschlä</w:t>
      </w:r>
      <w:r w:rsidR="006B2794" w:rsidRPr="005B7A17">
        <w:rPr>
          <w:lang w:eastAsia="zh-CN"/>
        </w:rPr>
        <w:t xml:space="preserve">ge zusammen mit den Begründungen zu prüfen und die </w:t>
      </w:r>
      <w:r w:rsidR="00B33872" w:rsidRPr="005B7A17">
        <w:rPr>
          <w:lang w:eastAsia="zh-CN"/>
        </w:rPr>
        <w:t xml:space="preserve">von ihm </w:t>
      </w:r>
      <w:r w:rsidR="00B92D4C" w:rsidRPr="005B7A17">
        <w:rPr>
          <w:lang w:eastAsia="zh-CN"/>
        </w:rPr>
        <w:t>als</w:t>
      </w:r>
      <w:r w:rsidR="003C0141" w:rsidRPr="005B7A17">
        <w:rPr>
          <w:lang w:eastAsia="zh-CN"/>
        </w:rPr>
        <w:t xml:space="preserve"> angemessen</w:t>
      </w:r>
      <w:r w:rsidR="002B7A8C" w:rsidRPr="005B7A17">
        <w:rPr>
          <w:lang w:eastAsia="zh-CN"/>
        </w:rPr>
        <w:t xml:space="preserve"> erachteten</w:t>
      </w:r>
      <w:r w:rsidR="003C0141" w:rsidRPr="005B7A17">
        <w:rPr>
          <w:lang w:eastAsia="zh-CN"/>
        </w:rPr>
        <w:t xml:space="preserve"> </w:t>
      </w:r>
      <w:r w:rsidR="006B2794" w:rsidRPr="005B7A17">
        <w:rPr>
          <w:lang w:eastAsia="zh-CN"/>
        </w:rPr>
        <w:t xml:space="preserve">Maßnahmen zu </w:t>
      </w:r>
      <w:r w:rsidR="008B1195" w:rsidRPr="005B7A17">
        <w:rPr>
          <w:lang w:eastAsia="zh-CN"/>
        </w:rPr>
        <w:t>ergreifen</w:t>
      </w:r>
      <w:r w:rsidR="006B2794" w:rsidRPr="005B7A17">
        <w:rPr>
          <w:lang w:eastAsia="zh-CN"/>
        </w:rPr>
        <w:t>.</w:t>
      </w:r>
    </w:p>
    <w:p w14:paraId="12800585" w14:textId="77777777" w:rsidR="00830501" w:rsidRPr="005B7A17" w:rsidRDefault="00830501" w:rsidP="00830501">
      <w:pPr>
        <w:widowControl/>
        <w:overflowPunct/>
        <w:autoSpaceDE/>
        <w:autoSpaceDN/>
        <w:adjustRightInd/>
        <w:spacing w:line="240" w:lineRule="atLeast"/>
        <w:ind w:firstLine="0"/>
        <w:textAlignment w:val="auto"/>
        <w:rPr>
          <w:rFonts w:eastAsia="Corbel"/>
          <w:b/>
          <w:lang w:eastAsia="en-US"/>
          <w14:numForm w14:val="lining"/>
        </w:rPr>
      </w:pPr>
    </w:p>
    <w:p w14:paraId="46C05A50" w14:textId="5B2996BE" w:rsidR="0063076E" w:rsidRPr="00173DD7" w:rsidRDefault="0063076E" w:rsidP="00830501">
      <w:pPr>
        <w:tabs>
          <w:tab w:val="left" w:pos="1418"/>
        </w:tabs>
        <w:spacing w:line="240" w:lineRule="atLeast"/>
        <w:ind w:firstLine="0"/>
        <w:jc w:val="center"/>
      </w:pPr>
      <w:r w:rsidRPr="005B7A17">
        <w:t>***</w:t>
      </w:r>
      <w:bookmarkEnd w:id="0"/>
    </w:p>
    <w:sectPr w:rsidR="0063076E" w:rsidRPr="00173DD7" w:rsidSect="00D3674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AA26" w14:textId="3F2FD0ED" w:rsidR="00D36741" w:rsidRPr="000671E2" w:rsidRDefault="000671E2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m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30501" w:rsidRPr="000671E2">
      <w:rPr>
        <w:rFonts w:ascii="Arial" w:hAnsi="Arial"/>
        <w:noProof/>
        <w:snapToGrid w:val="0"/>
        <w:sz w:val="12"/>
        <w:szCs w:val="24"/>
        <w:lang w:val="fr-FR"/>
      </w:rPr>
      <w:t>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1</w:t>
    </w:r>
    <w:r w:rsidR="005B7A17">
      <w:rPr>
        <w:rFonts w:ascii="Arial" w:hAnsi="Arial"/>
        <w:noProof/>
        <w:snapToGrid w:val="0"/>
        <w:sz w:val="12"/>
        <w:szCs w:val="24"/>
        <w:lang w:val="fr-FR"/>
      </w:rPr>
      <w:t>6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762" w14:textId="0D7CD179" w:rsidR="00D36741" w:rsidRPr="000671E2" w:rsidRDefault="000671E2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0671E2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m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30501" w:rsidRPr="000671E2">
      <w:rPr>
        <w:rFonts w:ascii="Arial" w:hAnsi="Arial"/>
        <w:noProof/>
        <w:snapToGrid w:val="0"/>
        <w:sz w:val="12"/>
        <w:szCs w:val="24"/>
        <w:lang w:val="fr-FR"/>
      </w:rPr>
      <w:t>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254551">
      <w:rPr>
        <w:rFonts w:ascii="Arial" w:hAnsi="Arial"/>
        <w:noProof/>
        <w:snapToGrid w:val="0"/>
        <w:sz w:val="12"/>
        <w:szCs w:val="24"/>
        <w:lang w:val="fr-FR"/>
      </w:rPr>
      <w:t>15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0A16825C" w14:textId="47A6C52F" w:rsidR="00277F70" w:rsidRPr="005B7A17" w:rsidRDefault="00277F70" w:rsidP="00277F70">
      <w:pPr>
        <w:pStyle w:val="FootnoteText"/>
        <w:ind w:left="284" w:hanging="284"/>
        <w:rPr>
          <w:sz w:val="16"/>
          <w:szCs w:val="16"/>
        </w:rPr>
      </w:pPr>
      <w:r w:rsidRPr="005B7A17">
        <w:rPr>
          <w:rStyle w:val="FootnoteReference"/>
          <w:sz w:val="16"/>
          <w:szCs w:val="16"/>
        </w:rPr>
        <w:footnoteRef/>
      </w:r>
      <w:r w:rsidRPr="005B7A17">
        <w:rPr>
          <w:sz w:val="16"/>
          <w:szCs w:val="16"/>
        </w:rPr>
        <w:t xml:space="preserve"> </w:t>
      </w:r>
      <w:r w:rsidRPr="005B7A17">
        <w:rPr>
          <w:sz w:val="16"/>
          <w:szCs w:val="16"/>
        </w:rPr>
        <w:tab/>
        <w:t>Von der UNECE in Englisch, Französisch und Russisch unter dem Aktenzeichen ECE/TRANS/WP.15/AC.2/202</w:t>
      </w:r>
      <w:r w:rsidR="00AE0AFB" w:rsidRPr="005B7A17">
        <w:rPr>
          <w:sz w:val="16"/>
          <w:szCs w:val="16"/>
        </w:rPr>
        <w:t>1</w:t>
      </w:r>
      <w:r w:rsidRPr="005B7A17">
        <w:rPr>
          <w:sz w:val="16"/>
          <w:szCs w:val="16"/>
        </w:rPr>
        <w:t>/</w:t>
      </w:r>
      <w:r w:rsidR="005E13D8" w:rsidRPr="005B7A17">
        <w:rPr>
          <w:sz w:val="16"/>
          <w:szCs w:val="16"/>
        </w:rPr>
        <w:t>1</w:t>
      </w:r>
      <w:r w:rsidR="0082636A" w:rsidRPr="005B7A17">
        <w:rPr>
          <w:sz w:val="16"/>
          <w:szCs w:val="16"/>
        </w:rPr>
        <w:t>6</w:t>
      </w:r>
      <w:r w:rsidRPr="005B7A17">
        <w:rPr>
          <w:sz w:val="16"/>
          <w:szCs w:val="16"/>
        </w:rPr>
        <w:t xml:space="preserve"> verteilt.</w:t>
      </w:r>
    </w:p>
  </w:footnote>
  <w:footnote w:id="2">
    <w:p w14:paraId="1C93A7FD" w14:textId="03091D33" w:rsidR="00277F70" w:rsidRPr="00B041A6" w:rsidRDefault="00277F70" w:rsidP="009D5560">
      <w:pPr>
        <w:pStyle w:val="FootnoteText"/>
        <w:ind w:left="284" w:hanging="284"/>
        <w:rPr>
          <w:sz w:val="16"/>
          <w:szCs w:val="16"/>
        </w:rPr>
      </w:pPr>
      <w:r w:rsidRPr="005B7A17">
        <w:rPr>
          <w:rStyle w:val="FootnoteReference"/>
          <w:sz w:val="16"/>
          <w:szCs w:val="16"/>
        </w:rPr>
        <w:footnoteRef/>
      </w:r>
      <w:r w:rsidRPr="005B7A17">
        <w:rPr>
          <w:sz w:val="16"/>
          <w:szCs w:val="16"/>
        </w:rPr>
        <w:t xml:space="preserve"> </w:t>
      </w:r>
      <w:r w:rsidRPr="005B7A17">
        <w:rPr>
          <w:sz w:val="16"/>
          <w:szCs w:val="16"/>
        </w:rPr>
        <w:tab/>
      </w:r>
      <w:r w:rsidR="009D5560" w:rsidRPr="005B7A17">
        <w:rPr>
          <w:sz w:val="16"/>
          <w:szCs w:val="16"/>
        </w:rPr>
        <w:t xml:space="preserve">Entsprechend dem Arbeitsprogramm des Binnenverkehrsausschusses für </w:t>
      </w:r>
      <w:r w:rsidR="008B0942" w:rsidRPr="005B7A17">
        <w:rPr>
          <w:sz w:val="16"/>
          <w:szCs w:val="16"/>
        </w:rPr>
        <w:t>2021</w:t>
      </w:r>
      <w:r w:rsidR="009D5560" w:rsidRPr="005B7A17">
        <w:rPr>
          <w:sz w:val="16"/>
          <w:szCs w:val="16"/>
        </w:rPr>
        <w:t xml:space="preserve"> gemäß dem Entwurf des Programmhaushalts für </w:t>
      </w:r>
      <w:r w:rsidR="008B0942" w:rsidRPr="005B7A17">
        <w:rPr>
          <w:sz w:val="16"/>
          <w:szCs w:val="16"/>
        </w:rPr>
        <w:t>2021</w:t>
      </w:r>
      <w:r w:rsidR="009D5560" w:rsidRPr="005B7A17">
        <w:rPr>
          <w:sz w:val="16"/>
          <w:szCs w:val="16"/>
        </w:rPr>
        <w:t xml:space="preserve"> (A/7</w:t>
      </w:r>
      <w:r w:rsidR="008B0942" w:rsidRPr="005B7A17">
        <w:rPr>
          <w:sz w:val="16"/>
          <w:szCs w:val="16"/>
        </w:rPr>
        <w:t>5</w:t>
      </w:r>
      <w:r w:rsidR="009D5560" w:rsidRPr="005B7A17">
        <w:rPr>
          <w:sz w:val="16"/>
          <w:szCs w:val="16"/>
        </w:rPr>
        <w:t>/6 (</w:t>
      </w:r>
      <w:r w:rsidR="00493A40" w:rsidRPr="005B7A17">
        <w:rPr>
          <w:sz w:val="16"/>
          <w:szCs w:val="16"/>
        </w:rPr>
        <w:t xml:space="preserve">Kap. </w:t>
      </w:r>
      <w:r w:rsidR="008B0942" w:rsidRPr="005B7A17">
        <w:rPr>
          <w:sz w:val="16"/>
          <w:szCs w:val="16"/>
        </w:rPr>
        <w:t>.</w:t>
      </w:r>
      <w:r w:rsidR="009D5560" w:rsidRPr="005B7A17">
        <w:rPr>
          <w:sz w:val="16"/>
          <w:szCs w:val="16"/>
        </w:rPr>
        <w:t>20), Abs. 20.</w:t>
      </w:r>
      <w:r w:rsidR="008B0942" w:rsidRPr="005B7A17">
        <w:rPr>
          <w:sz w:val="16"/>
          <w:szCs w:val="16"/>
        </w:rPr>
        <w:t>51</w:t>
      </w:r>
      <w:r w:rsidR="009D5560" w:rsidRPr="005B7A17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395E" w14:textId="396402D2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5E13D8">
      <w:rPr>
        <w:rFonts w:ascii="Arial" w:hAnsi="Arial"/>
        <w:snapToGrid w:val="0"/>
        <w:sz w:val="16"/>
        <w:szCs w:val="16"/>
        <w:lang w:val="en-US"/>
      </w:rPr>
      <w:t>1</w:t>
    </w:r>
    <w:r w:rsidR="00173DD7">
      <w:rPr>
        <w:rFonts w:ascii="Arial" w:hAnsi="Arial"/>
        <w:snapToGrid w:val="0"/>
        <w:sz w:val="16"/>
        <w:szCs w:val="16"/>
        <w:lang w:val="en-US"/>
      </w:rPr>
      <w:t>6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E64" w14:textId="09734189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3" w:name="_Hlk19605293"/>
    <w:bookmarkStart w:id="4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5E13D8">
      <w:rPr>
        <w:rFonts w:ascii="Arial" w:hAnsi="Arial"/>
        <w:snapToGrid w:val="0"/>
        <w:sz w:val="16"/>
        <w:szCs w:val="16"/>
        <w:lang w:val="en-US"/>
      </w:rPr>
      <w:t>1</w:t>
    </w:r>
    <w:r w:rsidR="000671E2">
      <w:rPr>
        <w:rFonts w:ascii="Arial" w:hAnsi="Arial"/>
        <w:snapToGrid w:val="0"/>
        <w:sz w:val="16"/>
        <w:szCs w:val="16"/>
        <w:lang w:val="en-US"/>
      </w:rPr>
      <w:t>5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671E2"/>
    <w:rsid w:val="00081764"/>
    <w:rsid w:val="0009215A"/>
    <w:rsid w:val="00094A98"/>
    <w:rsid w:val="000A563B"/>
    <w:rsid w:val="000B2B01"/>
    <w:rsid w:val="000C6E63"/>
    <w:rsid w:val="000D2922"/>
    <w:rsid w:val="000D45A5"/>
    <w:rsid w:val="000E12CF"/>
    <w:rsid w:val="00105090"/>
    <w:rsid w:val="00114024"/>
    <w:rsid w:val="00124AC9"/>
    <w:rsid w:val="00131A8F"/>
    <w:rsid w:val="00155C7C"/>
    <w:rsid w:val="00160AF1"/>
    <w:rsid w:val="00173DD7"/>
    <w:rsid w:val="00194D43"/>
    <w:rsid w:val="00197A65"/>
    <w:rsid w:val="001C60D6"/>
    <w:rsid w:val="00222245"/>
    <w:rsid w:val="00225E1F"/>
    <w:rsid w:val="0023573E"/>
    <w:rsid w:val="00254551"/>
    <w:rsid w:val="00277F70"/>
    <w:rsid w:val="002B7A8C"/>
    <w:rsid w:val="002E6F67"/>
    <w:rsid w:val="002E759A"/>
    <w:rsid w:val="00342E4B"/>
    <w:rsid w:val="00386F46"/>
    <w:rsid w:val="00387BCB"/>
    <w:rsid w:val="003B3B76"/>
    <w:rsid w:val="003C0141"/>
    <w:rsid w:val="003E12AD"/>
    <w:rsid w:val="003E6913"/>
    <w:rsid w:val="003F5E68"/>
    <w:rsid w:val="003F6C66"/>
    <w:rsid w:val="00405C20"/>
    <w:rsid w:val="004076CE"/>
    <w:rsid w:val="004448E3"/>
    <w:rsid w:val="00446B6D"/>
    <w:rsid w:val="00454F9B"/>
    <w:rsid w:val="00483782"/>
    <w:rsid w:val="00493A40"/>
    <w:rsid w:val="004A7663"/>
    <w:rsid w:val="004B1F08"/>
    <w:rsid w:val="004C1F19"/>
    <w:rsid w:val="004C5A4B"/>
    <w:rsid w:val="004E2AEF"/>
    <w:rsid w:val="004E64FE"/>
    <w:rsid w:val="004F06F2"/>
    <w:rsid w:val="00510C03"/>
    <w:rsid w:val="00574349"/>
    <w:rsid w:val="00591A7D"/>
    <w:rsid w:val="005B7A17"/>
    <w:rsid w:val="005C2135"/>
    <w:rsid w:val="005D238A"/>
    <w:rsid w:val="005D56E2"/>
    <w:rsid w:val="005E13D8"/>
    <w:rsid w:val="005F4151"/>
    <w:rsid w:val="006257E8"/>
    <w:rsid w:val="0063076E"/>
    <w:rsid w:val="00635226"/>
    <w:rsid w:val="00643AEA"/>
    <w:rsid w:val="006672D7"/>
    <w:rsid w:val="00685194"/>
    <w:rsid w:val="0069704F"/>
    <w:rsid w:val="006B10A8"/>
    <w:rsid w:val="006B2794"/>
    <w:rsid w:val="006B4FAE"/>
    <w:rsid w:val="006E493E"/>
    <w:rsid w:val="00720516"/>
    <w:rsid w:val="00724A3F"/>
    <w:rsid w:val="00724E6F"/>
    <w:rsid w:val="00724FD7"/>
    <w:rsid w:val="00744FFD"/>
    <w:rsid w:val="00751575"/>
    <w:rsid w:val="0076310E"/>
    <w:rsid w:val="007C4366"/>
    <w:rsid w:val="007C72B0"/>
    <w:rsid w:val="007D2C1E"/>
    <w:rsid w:val="007F7513"/>
    <w:rsid w:val="00816FB9"/>
    <w:rsid w:val="0082314C"/>
    <w:rsid w:val="0082636A"/>
    <w:rsid w:val="00827D8E"/>
    <w:rsid w:val="00830501"/>
    <w:rsid w:val="00836F6E"/>
    <w:rsid w:val="00863D48"/>
    <w:rsid w:val="008915C3"/>
    <w:rsid w:val="00895F87"/>
    <w:rsid w:val="008A4F51"/>
    <w:rsid w:val="008A7569"/>
    <w:rsid w:val="008B0942"/>
    <w:rsid w:val="008B1195"/>
    <w:rsid w:val="008B32C8"/>
    <w:rsid w:val="008C6675"/>
    <w:rsid w:val="008E0E25"/>
    <w:rsid w:val="008F4F6A"/>
    <w:rsid w:val="009545CD"/>
    <w:rsid w:val="009643C6"/>
    <w:rsid w:val="009873A1"/>
    <w:rsid w:val="009A5ADD"/>
    <w:rsid w:val="009C033F"/>
    <w:rsid w:val="009D5560"/>
    <w:rsid w:val="009E2B4D"/>
    <w:rsid w:val="00A0258A"/>
    <w:rsid w:val="00A02FB6"/>
    <w:rsid w:val="00A03B61"/>
    <w:rsid w:val="00A55BE0"/>
    <w:rsid w:val="00A61678"/>
    <w:rsid w:val="00A857CC"/>
    <w:rsid w:val="00A97CEA"/>
    <w:rsid w:val="00AC15CE"/>
    <w:rsid w:val="00AC78AF"/>
    <w:rsid w:val="00AC7F3E"/>
    <w:rsid w:val="00AE0AFB"/>
    <w:rsid w:val="00AE5AF2"/>
    <w:rsid w:val="00B302EA"/>
    <w:rsid w:val="00B33872"/>
    <w:rsid w:val="00B4424C"/>
    <w:rsid w:val="00B4533C"/>
    <w:rsid w:val="00B72BC1"/>
    <w:rsid w:val="00B92D4C"/>
    <w:rsid w:val="00BB0DBC"/>
    <w:rsid w:val="00BB43A1"/>
    <w:rsid w:val="00BE25FE"/>
    <w:rsid w:val="00C125FE"/>
    <w:rsid w:val="00C52EB3"/>
    <w:rsid w:val="00C67DBE"/>
    <w:rsid w:val="00C94048"/>
    <w:rsid w:val="00CA03D5"/>
    <w:rsid w:val="00CF1246"/>
    <w:rsid w:val="00CF33FD"/>
    <w:rsid w:val="00D12776"/>
    <w:rsid w:val="00D15348"/>
    <w:rsid w:val="00D25F16"/>
    <w:rsid w:val="00D36741"/>
    <w:rsid w:val="00D45DD4"/>
    <w:rsid w:val="00D4726C"/>
    <w:rsid w:val="00D63E14"/>
    <w:rsid w:val="00D813F2"/>
    <w:rsid w:val="00D82CDD"/>
    <w:rsid w:val="00D95D26"/>
    <w:rsid w:val="00DA42D3"/>
    <w:rsid w:val="00DB1DF7"/>
    <w:rsid w:val="00DB57E7"/>
    <w:rsid w:val="00DE53D4"/>
    <w:rsid w:val="00E03BF3"/>
    <w:rsid w:val="00E04049"/>
    <w:rsid w:val="00E063DA"/>
    <w:rsid w:val="00E20EDC"/>
    <w:rsid w:val="00E37FFD"/>
    <w:rsid w:val="00E41049"/>
    <w:rsid w:val="00E565DE"/>
    <w:rsid w:val="00E569AC"/>
    <w:rsid w:val="00E727CB"/>
    <w:rsid w:val="00E83D57"/>
    <w:rsid w:val="00E87B9A"/>
    <w:rsid w:val="00EC3467"/>
    <w:rsid w:val="00ED557F"/>
    <w:rsid w:val="00EE0339"/>
    <w:rsid w:val="00EE66ED"/>
    <w:rsid w:val="00F11FC0"/>
    <w:rsid w:val="00F234B3"/>
    <w:rsid w:val="00F60DDF"/>
    <w:rsid w:val="00F70737"/>
    <w:rsid w:val="00FA20A1"/>
    <w:rsid w:val="00FC1E27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character" w:styleId="CommentReference">
    <w:name w:val="annotation reference"/>
    <w:basedOn w:val="DefaultParagraphFont"/>
    <w:semiHidden/>
    <w:unhideWhenUsed/>
    <w:rsid w:val="00173D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DD7"/>
  </w:style>
  <w:style w:type="character" w:customStyle="1" w:styleId="CommentTextChar">
    <w:name w:val="Comment Text Char"/>
    <w:basedOn w:val="DefaultParagraphFont"/>
    <w:link w:val="CommentText"/>
    <w:semiHidden/>
    <w:rsid w:val="00173DD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DD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E46A-36DB-4B8E-93AF-9AE62EAB370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acccb6d4-dbe5-46d2-b4d3-5733603d8cc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662649-D09B-4281-A662-DF0713EFB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March 2021 amend</cp:lastModifiedBy>
  <cp:revision>2</cp:revision>
  <cp:lastPrinted>2019-11-12T10:07:00Z</cp:lastPrinted>
  <dcterms:created xsi:type="dcterms:W3CDTF">2021-05-03T08:20:00Z</dcterms:created>
  <dcterms:modified xsi:type="dcterms:W3CDTF">2021-05-03T08:20:00Z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