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C432F70" w14:textId="77777777" w:rsidTr="00B20551">
        <w:trPr>
          <w:cantSplit/>
          <w:trHeight w:hRule="exact" w:val="851"/>
        </w:trPr>
        <w:tc>
          <w:tcPr>
            <w:tcW w:w="1276" w:type="dxa"/>
            <w:tcBorders>
              <w:bottom w:val="single" w:sz="4" w:space="0" w:color="auto"/>
            </w:tcBorders>
            <w:vAlign w:val="bottom"/>
          </w:tcPr>
          <w:p w14:paraId="2F0B2171" w14:textId="77777777" w:rsidR="009E6CB7" w:rsidRDefault="009E6CB7" w:rsidP="00B20551">
            <w:pPr>
              <w:spacing w:after="80"/>
            </w:pPr>
          </w:p>
        </w:tc>
        <w:tc>
          <w:tcPr>
            <w:tcW w:w="2268" w:type="dxa"/>
            <w:tcBorders>
              <w:bottom w:val="single" w:sz="4" w:space="0" w:color="auto"/>
            </w:tcBorders>
            <w:vAlign w:val="bottom"/>
          </w:tcPr>
          <w:p w14:paraId="590EC58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6BC2E26" w14:textId="05A538D9" w:rsidR="009E6CB7" w:rsidRPr="00D47EEA" w:rsidRDefault="002926F7" w:rsidP="002926F7">
            <w:pPr>
              <w:jc w:val="right"/>
            </w:pPr>
            <w:r w:rsidRPr="002926F7">
              <w:rPr>
                <w:sz w:val="40"/>
              </w:rPr>
              <w:t>ECE</w:t>
            </w:r>
            <w:r>
              <w:t>/TRANS/WP.15/253</w:t>
            </w:r>
          </w:p>
        </w:tc>
      </w:tr>
      <w:tr w:rsidR="009E6CB7" w14:paraId="7719DABC" w14:textId="77777777" w:rsidTr="00B20551">
        <w:trPr>
          <w:cantSplit/>
          <w:trHeight w:hRule="exact" w:val="2835"/>
        </w:trPr>
        <w:tc>
          <w:tcPr>
            <w:tcW w:w="1276" w:type="dxa"/>
            <w:tcBorders>
              <w:top w:val="single" w:sz="4" w:space="0" w:color="auto"/>
              <w:bottom w:val="single" w:sz="12" w:space="0" w:color="auto"/>
            </w:tcBorders>
          </w:tcPr>
          <w:p w14:paraId="587FA80A" w14:textId="77777777" w:rsidR="009E6CB7" w:rsidRDefault="00686A48" w:rsidP="00B20551">
            <w:pPr>
              <w:spacing w:before="120"/>
            </w:pPr>
            <w:r>
              <w:rPr>
                <w:noProof/>
                <w:lang w:val="fr-CH" w:eastAsia="fr-CH"/>
              </w:rPr>
              <w:drawing>
                <wp:inline distT="0" distB="0" distL="0" distR="0" wp14:anchorId="55C11BE6" wp14:editId="6C58367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5E64F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7708EE6" w14:textId="77777777" w:rsidR="009E6CB7" w:rsidRDefault="002926F7" w:rsidP="002926F7">
            <w:pPr>
              <w:spacing w:before="240" w:line="240" w:lineRule="exact"/>
            </w:pPr>
            <w:r>
              <w:t>Distr.: General</w:t>
            </w:r>
          </w:p>
          <w:p w14:paraId="4829A394" w14:textId="68CEC392" w:rsidR="002926F7" w:rsidRDefault="004F3D57" w:rsidP="002926F7">
            <w:pPr>
              <w:spacing w:line="240" w:lineRule="exact"/>
            </w:pPr>
            <w:r>
              <w:t>26</w:t>
            </w:r>
            <w:r w:rsidR="002926F7">
              <w:t xml:space="preserve"> May 2021</w:t>
            </w:r>
          </w:p>
          <w:p w14:paraId="2A772E6F" w14:textId="56DFEAE6" w:rsidR="002926F7" w:rsidRDefault="009A50CA" w:rsidP="002926F7">
            <w:pPr>
              <w:spacing w:line="240" w:lineRule="exact"/>
            </w:pPr>
            <w:r>
              <w:t>English</w:t>
            </w:r>
          </w:p>
          <w:p w14:paraId="24554A8D" w14:textId="619E3C6A" w:rsidR="002926F7" w:rsidRDefault="002926F7" w:rsidP="002926F7">
            <w:pPr>
              <w:spacing w:line="240" w:lineRule="exact"/>
            </w:pPr>
            <w:r>
              <w:t>Original: English</w:t>
            </w:r>
            <w:r w:rsidR="009A50CA">
              <w:t xml:space="preserve"> and French</w:t>
            </w:r>
          </w:p>
        </w:tc>
      </w:tr>
    </w:tbl>
    <w:p w14:paraId="070CAE95" w14:textId="77777777" w:rsidR="0002030C" w:rsidRDefault="0002030C" w:rsidP="00C411EB">
      <w:pPr>
        <w:spacing w:before="120"/>
        <w:rPr>
          <w:b/>
          <w:sz w:val="28"/>
          <w:szCs w:val="28"/>
        </w:rPr>
      </w:pPr>
      <w:r>
        <w:rPr>
          <w:b/>
          <w:sz w:val="28"/>
          <w:szCs w:val="28"/>
        </w:rPr>
        <w:t>Economic Commission for Europe</w:t>
      </w:r>
    </w:p>
    <w:p w14:paraId="0C923537" w14:textId="77777777" w:rsidR="0002030C" w:rsidRDefault="0002030C" w:rsidP="00C411EB">
      <w:pPr>
        <w:spacing w:before="120"/>
        <w:rPr>
          <w:sz w:val="28"/>
          <w:szCs w:val="28"/>
        </w:rPr>
      </w:pPr>
      <w:r>
        <w:rPr>
          <w:sz w:val="28"/>
          <w:szCs w:val="28"/>
        </w:rPr>
        <w:t>Inland Transport Committee</w:t>
      </w:r>
    </w:p>
    <w:p w14:paraId="60104377" w14:textId="77777777" w:rsidR="0002030C" w:rsidRPr="001330DE" w:rsidRDefault="0002030C" w:rsidP="00C411EB">
      <w:pPr>
        <w:spacing w:before="120"/>
        <w:rPr>
          <w:b/>
          <w:sz w:val="24"/>
          <w:szCs w:val="24"/>
        </w:rPr>
      </w:pPr>
      <w:r>
        <w:rPr>
          <w:b/>
          <w:sz w:val="24"/>
          <w:szCs w:val="24"/>
        </w:rPr>
        <w:t xml:space="preserve">Working Party on the Transport </w:t>
      </w:r>
      <w:r w:rsidRPr="001330DE">
        <w:rPr>
          <w:b/>
          <w:sz w:val="24"/>
          <w:szCs w:val="24"/>
        </w:rPr>
        <w:t>of Dangerous Goods</w:t>
      </w:r>
    </w:p>
    <w:p w14:paraId="098F6886" w14:textId="77777777" w:rsidR="00DC448E" w:rsidRPr="00DC448E" w:rsidRDefault="00DC448E" w:rsidP="00DC448E">
      <w:pPr>
        <w:spacing w:before="120"/>
        <w:rPr>
          <w:rFonts w:eastAsia="SimSun"/>
          <w:b/>
          <w:lang w:eastAsia="en-US"/>
        </w:rPr>
      </w:pPr>
      <w:r w:rsidRPr="00DC448E">
        <w:rPr>
          <w:b/>
          <w:bCs/>
          <w:lang w:eastAsia="en-US"/>
        </w:rPr>
        <w:t>109th session</w:t>
      </w:r>
    </w:p>
    <w:p w14:paraId="5DA98584" w14:textId="77777777" w:rsidR="00DC448E" w:rsidRPr="00DC448E" w:rsidRDefault="00DC448E" w:rsidP="00DC448E">
      <w:pPr>
        <w:rPr>
          <w:rFonts w:eastAsia="SimSun"/>
          <w:lang w:eastAsia="en-US"/>
        </w:rPr>
      </w:pPr>
      <w:r w:rsidRPr="00DC448E">
        <w:rPr>
          <w:lang w:eastAsia="en-US"/>
        </w:rPr>
        <w:t>Geneva, 4–7 May 2021</w:t>
      </w:r>
    </w:p>
    <w:p w14:paraId="032148F1" w14:textId="4DE5C3EE" w:rsidR="007159AB" w:rsidRPr="00171714" w:rsidRDefault="007159AB" w:rsidP="007159AB">
      <w:pPr>
        <w:keepNext/>
        <w:keepLines/>
        <w:tabs>
          <w:tab w:val="right" w:pos="851"/>
        </w:tabs>
        <w:spacing w:before="360" w:after="240" w:line="300" w:lineRule="exact"/>
        <w:ind w:left="1134" w:right="1134" w:hanging="1134"/>
        <w:rPr>
          <w:b/>
          <w:sz w:val="28"/>
          <w:lang w:eastAsia="en-US"/>
        </w:rPr>
      </w:pPr>
      <w:r w:rsidRPr="00171714">
        <w:rPr>
          <w:b/>
          <w:sz w:val="28"/>
          <w:lang w:eastAsia="en-US"/>
        </w:rPr>
        <w:tab/>
      </w:r>
      <w:r w:rsidRPr="00171714">
        <w:rPr>
          <w:b/>
          <w:sz w:val="28"/>
          <w:lang w:eastAsia="en-US"/>
        </w:rPr>
        <w:tab/>
      </w:r>
      <w:bookmarkStart w:id="0" w:name="_Toc26263904"/>
      <w:r w:rsidRPr="00171714">
        <w:rPr>
          <w:b/>
          <w:sz w:val="28"/>
          <w:lang w:eastAsia="en-US"/>
        </w:rPr>
        <w:t>Report of the Working Party on its 10</w:t>
      </w:r>
      <w:r>
        <w:rPr>
          <w:b/>
          <w:sz w:val="28"/>
          <w:lang w:eastAsia="en-US"/>
        </w:rPr>
        <w:t>9</w:t>
      </w:r>
      <w:r w:rsidRPr="00171714">
        <w:rPr>
          <w:b/>
          <w:sz w:val="28"/>
          <w:lang w:eastAsia="en-US"/>
        </w:rPr>
        <w:t>th session</w:t>
      </w:r>
      <w:bookmarkStart w:id="1" w:name="_Toc499903628"/>
      <w:bookmarkEnd w:id="0"/>
      <w:bookmarkEnd w:id="1"/>
    </w:p>
    <w:p w14:paraId="2EF7EFE3" w14:textId="0F051BB0" w:rsidR="007159AB" w:rsidRDefault="007159AB" w:rsidP="007159AB">
      <w:pPr>
        <w:keepNext/>
        <w:keepLines/>
        <w:tabs>
          <w:tab w:val="right" w:pos="851"/>
        </w:tabs>
        <w:spacing w:before="240" w:after="120" w:line="240" w:lineRule="exact"/>
        <w:ind w:left="1134" w:right="1134" w:hanging="1134"/>
        <w:rPr>
          <w:lang w:eastAsia="en-US"/>
        </w:rPr>
      </w:pPr>
      <w:r w:rsidRPr="00171714">
        <w:rPr>
          <w:lang w:eastAsia="en-US"/>
        </w:rPr>
        <w:tab/>
      </w:r>
      <w:r w:rsidRPr="00171714">
        <w:rPr>
          <w:lang w:eastAsia="en-US"/>
        </w:rPr>
        <w:tab/>
        <w:t xml:space="preserve">Held in Geneva from </w:t>
      </w:r>
      <w:r>
        <w:rPr>
          <w:lang w:eastAsia="en-US"/>
        </w:rPr>
        <w:t>4</w:t>
      </w:r>
      <w:r w:rsidRPr="00171714">
        <w:rPr>
          <w:lang w:eastAsia="en-US"/>
        </w:rPr>
        <w:t xml:space="preserve"> to </w:t>
      </w:r>
      <w:r>
        <w:rPr>
          <w:lang w:eastAsia="en-US"/>
        </w:rPr>
        <w:t>7</w:t>
      </w:r>
      <w:r w:rsidRPr="00171714">
        <w:rPr>
          <w:lang w:eastAsia="en-US"/>
        </w:rPr>
        <w:t xml:space="preserve"> </w:t>
      </w:r>
      <w:r>
        <w:rPr>
          <w:lang w:eastAsia="en-US"/>
        </w:rPr>
        <w:t>May</w:t>
      </w:r>
      <w:r w:rsidRPr="00171714">
        <w:rPr>
          <w:lang w:eastAsia="en-US"/>
        </w:rPr>
        <w:t xml:space="preserve"> 20</w:t>
      </w:r>
      <w:r>
        <w:rPr>
          <w:lang w:eastAsia="en-US"/>
        </w:rPr>
        <w:t>21</w:t>
      </w:r>
    </w:p>
    <w:p w14:paraId="78BAA2FE" w14:textId="54ED48DD" w:rsidR="007159AB" w:rsidRDefault="007159AB" w:rsidP="007159AB">
      <w:pPr>
        <w:spacing w:after="120"/>
        <w:rPr>
          <w:sz w:val="28"/>
        </w:rPr>
      </w:pPr>
      <w:r>
        <w:rPr>
          <w:sz w:val="28"/>
        </w:rPr>
        <w:t>Contents</w:t>
      </w:r>
    </w:p>
    <w:p w14:paraId="42107E4A" w14:textId="77777777" w:rsidR="003901D4" w:rsidRDefault="003901D4" w:rsidP="003901D4">
      <w:pPr>
        <w:tabs>
          <w:tab w:val="right" w:pos="8929"/>
          <w:tab w:val="right" w:pos="9638"/>
        </w:tabs>
        <w:spacing w:after="120"/>
        <w:ind w:left="283"/>
      </w:pPr>
      <w:r>
        <w:rPr>
          <w:i/>
          <w:sz w:val="18"/>
        </w:rPr>
        <w:tab/>
        <w:t>Paragraphs</w:t>
      </w:r>
      <w:r>
        <w:rPr>
          <w:i/>
          <w:sz w:val="18"/>
        </w:rPr>
        <w:tab/>
        <w:t>Page</w:t>
      </w:r>
    </w:p>
    <w:p w14:paraId="0DC9BED1" w14:textId="77777777" w:rsidR="003901D4" w:rsidRDefault="003901D4" w:rsidP="003901D4">
      <w:pPr>
        <w:tabs>
          <w:tab w:val="right" w:pos="850"/>
          <w:tab w:val="left" w:pos="1134"/>
          <w:tab w:val="left" w:pos="1559"/>
          <w:tab w:val="left" w:pos="1984"/>
          <w:tab w:val="left" w:leader="dot" w:pos="7654"/>
          <w:tab w:val="right" w:pos="8929"/>
          <w:tab w:val="right" w:pos="9638"/>
        </w:tabs>
        <w:spacing w:after="120"/>
      </w:pPr>
      <w:r>
        <w:tab/>
        <w:t>I.</w:t>
      </w:r>
      <w:r>
        <w:tab/>
      </w:r>
      <w:r w:rsidRPr="003818F5">
        <w:t>Organizational matters and attendance</w:t>
      </w:r>
      <w:r>
        <w:tab/>
      </w:r>
      <w:r>
        <w:tab/>
        <w:t>1</w:t>
      </w:r>
      <w:r>
        <w:tab/>
        <w:t>3</w:t>
      </w:r>
    </w:p>
    <w:p w14:paraId="0FAA1AEA" w14:textId="77777777" w:rsidR="003901D4" w:rsidRDefault="003901D4" w:rsidP="003901D4">
      <w:pPr>
        <w:tabs>
          <w:tab w:val="right" w:pos="850"/>
          <w:tab w:val="left" w:pos="1134"/>
          <w:tab w:val="left" w:pos="1559"/>
          <w:tab w:val="left" w:pos="1984"/>
          <w:tab w:val="left" w:leader="dot" w:pos="7654"/>
          <w:tab w:val="right" w:pos="8929"/>
          <w:tab w:val="right" w:pos="9638"/>
        </w:tabs>
        <w:spacing w:after="120"/>
      </w:pPr>
      <w:r>
        <w:tab/>
      </w:r>
      <w:r>
        <w:tab/>
        <w:t>A.</w:t>
      </w:r>
      <w:r>
        <w:tab/>
      </w:r>
      <w:r w:rsidRPr="00C84C54">
        <w:t>Organizational matters</w:t>
      </w:r>
      <w:r>
        <w:tab/>
      </w:r>
      <w:r>
        <w:tab/>
        <w:t>2-4</w:t>
      </w:r>
      <w:r>
        <w:tab/>
        <w:t>3</w:t>
      </w:r>
    </w:p>
    <w:p w14:paraId="0BD74553" w14:textId="77777777" w:rsidR="003901D4" w:rsidRDefault="003901D4" w:rsidP="003901D4">
      <w:pPr>
        <w:tabs>
          <w:tab w:val="right" w:pos="850"/>
          <w:tab w:val="left" w:pos="1134"/>
          <w:tab w:val="left" w:pos="1559"/>
          <w:tab w:val="left" w:pos="1984"/>
          <w:tab w:val="left" w:leader="dot" w:pos="7654"/>
          <w:tab w:val="right" w:pos="8929"/>
          <w:tab w:val="right" w:pos="9638"/>
        </w:tabs>
        <w:spacing w:after="120"/>
      </w:pPr>
      <w:r>
        <w:tab/>
      </w:r>
      <w:r>
        <w:tab/>
        <w:t>B.</w:t>
      </w:r>
      <w:r>
        <w:tab/>
      </w:r>
      <w:r w:rsidRPr="00096B7E">
        <w:t>Attendance</w:t>
      </w:r>
      <w:r>
        <w:tab/>
      </w:r>
      <w:r>
        <w:tab/>
        <w:t>5-8</w:t>
      </w:r>
      <w:r>
        <w:tab/>
        <w:t>3</w:t>
      </w:r>
    </w:p>
    <w:p w14:paraId="5C8B2B1C" w14:textId="219E1C54" w:rsidR="003901D4" w:rsidRDefault="003901D4" w:rsidP="003901D4">
      <w:pPr>
        <w:tabs>
          <w:tab w:val="right" w:pos="850"/>
          <w:tab w:val="left" w:pos="1134"/>
          <w:tab w:val="left" w:pos="1559"/>
          <w:tab w:val="left" w:pos="1984"/>
          <w:tab w:val="left" w:leader="dot" w:pos="7654"/>
          <w:tab w:val="right" w:pos="8929"/>
          <w:tab w:val="right" w:pos="9638"/>
        </w:tabs>
        <w:spacing w:after="120"/>
      </w:pPr>
      <w:r>
        <w:tab/>
        <w:t>II.</w:t>
      </w:r>
      <w:r>
        <w:tab/>
      </w:r>
      <w:r w:rsidRPr="00BA7519">
        <w:t>Opening of the session</w:t>
      </w:r>
      <w:r>
        <w:tab/>
      </w:r>
      <w:r>
        <w:tab/>
        <w:t>9</w:t>
      </w:r>
      <w:r>
        <w:tab/>
      </w:r>
      <w:r w:rsidR="00363FC2">
        <w:t>3</w:t>
      </w:r>
    </w:p>
    <w:p w14:paraId="6201C695" w14:textId="0C8EDA1B" w:rsidR="003901D4" w:rsidRDefault="003901D4" w:rsidP="003901D4">
      <w:pPr>
        <w:tabs>
          <w:tab w:val="right" w:pos="850"/>
          <w:tab w:val="left" w:pos="1134"/>
          <w:tab w:val="left" w:pos="1559"/>
          <w:tab w:val="left" w:pos="1984"/>
          <w:tab w:val="left" w:leader="dot" w:pos="7654"/>
          <w:tab w:val="right" w:pos="8929"/>
          <w:tab w:val="right" w:pos="9638"/>
        </w:tabs>
        <w:spacing w:after="120"/>
      </w:pPr>
      <w:r>
        <w:tab/>
        <w:t>III.</w:t>
      </w:r>
      <w:r>
        <w:tab/>
      </w:r>
      <w:r w:rsidRPr="00EA4B9E">
        <w:t>Adoption of the agenda (agenda item 1)</w:t>
      </w:r>
      <w:r>
        <w:tab/>
      </w:r>
      <w:r>
        <w:tab/>
        <w:t>10</w:t>
      </w:r>
      <w:r>
        <w:tab/>
      </w:r>
      <w:r w:rsidR="00363FC2">
        <w:t>4</w:t>
      </w:r>
    </w:p>
    <w:p w14:paraId="792C342B" w14:textId="5DB2550D" w:rsidR="003901D4" w:rsidRDefault="003901D4" w:rsidP="003901D4">
      <w:pPr>
        <w:tabs>
          <w:tab w:val="right" w:pos="850"/>
          <w:tab w:val="left" w:pos="1134"/>
          <w:tab w:val="left" w:pos="1559"/>
          <w:tab w:val="left" w:pos="1984"/>
          <w:tab w:val="left" w:leader="dot" w:pos="7654"/>
          <w:tab w:val="right" w:pos="8929"/>
          <w:tab w:val="right" w:pos="9638"/>
        </w:tabs>
        <w:spacing w:after="120"/>
      </w:pPr>
      <w:r>
        <w:tab/>
        <w:t>IV.</w:t>
      </w:r>
      <w:r>
        <w:tab/>
      </w:r>
      <w:r w:rsidRPr="005A6A76">
        <w:t>Eighty-third session of the Inland Transport Committee (agenda item 2)</w:t>
      </w:r>
      <w:r>
        <w:tab/>
      </w:r>
      <w:r>
        <w:tab/>
        <w:t>11-13</w:t>
      </w:r>
      <w:r>
        <w:tab/>
      </w:r>
      <w:r w:rsidR="00363FC2">
        <w:t>4</w:t>
      </w:r>
    </w:p>
    <w:p w14:paraId="2FDA40FF" w14:textId="1CCE3A31" w:rsidR="003901D4" w:rsidRDefault="003901D4" w:rsidP="003901D4">
      <w:pPr>
        <w:tabs>
          <w:tab w:val="right" w:pos="850"/>
          <w:tab w:val="left" w:pos="1134"/>
          <w:tab w:val="left" w:pos="1559"/>
          <w:tab w:val="left" w:pos="1984"/>
          <w:tab w:val="left" w:leader="dot" w:pos="7654"/>
          <w:tab w:val="right" w:pos="8929"/>
          <w:tab w:val="right" w:pos="9638"/>
        </w:tabs>
        <w:spacing w:after="120"/>
      </w:pPr>
      <w:r>
        <w:tab/>
        <w:t>V.</w:t>
      </w:r>
      <w:r>
        <w:tab/>
      </w:r>
      <w:r w:rsidRPr="00913321">
        <w:t xml:space="preserve">Status of the Agreement concerning the International Carriage of Dangerous </w:t>
      </w:r>
      <w:r>
        <w:br/>
      </w:r>
      <w:r>
        <w:tab/>
      </w:r>
      <w:r>
        <w:tab/>
      </w:r>
      <w:r w:rsidRPr="00913321">
        <w:t>Goods by Road (ADR) and related issues (agenda item 3)</w:t>
      </w:r>
      <w:r>
        <w:tab/>
      </w:r>
      <w:r>
        <w:tab/>
        <w:t>14</w:t>
      </w:r>
      <w:r>
        <w:tab/>
      </w:r>
      <w:r w:rsidR="00363FC2">
        <w:t>4</w:t>
      </w:r>
    </w:p>
    <w:p w14:paraId="62FC355A" w14:textId="620CE411" w:rsidR="003901D4" w:rsidRDefault="00363FC2" w:rsidP="003901D4">
      <w:pPr>
        <w:tabs>
          <w:tab w:val="right" w:pos="850"/>
          <w:tab w:val="left" w:pos="1134"/>
          <w:tab w:val="left" w:pos="1559"/>
          <w:tab w:val="left" w:pos="1984"/>
          <w:tab w:val="left" w:leader="dot" w:pos="7654"/>
          <w:tab w:val="right" w:pos="8929"/>
          <w:tab w:val="right" w:pos="9638"/>
        </w:tabs>
        <w:spacing w:after="120"/>
      </w:pPr>
      <w:r>
        <w:tab/>
      </w:r>
      <w:r w:rsidR="003901D4">
        <w:t>VI.</w:t>
      </w:r>
      <w:r w:rsidR="003901D4">
        <w:tab/>
      </w:r>
      <w:r w:rsidR="003901D4" w:rsidRPr="007513A5">
        <w:t>Work of the RID/ADR/ADN Joint Meeting (agenda item 4)</w:t>
      </w:r>
      <w:r w:rsidR="003901D4">
        <w:tab/>
      </w:r>
      <w:r w:rsidR="003901D4">
        <w:tab/>
        <w:t>15-18</w:t>
      </w:r>
      <w:r w:rsidR="003901D4">
        <w:tab/>
      </w:r>
      <w:r>
        <w:t>5</w:t>
      </w:r>
    </w:p>
    <w:p w14:paraId="009798D0" w14:textId="1AA04A0E" w:rsidR="003901D4" w:rsidRDefault="003901D4" w:rsidP="003901D4">
      <w:pPr>
        <w:tabs>
          <w:tab w:val="right" w:pos="850"/>
          <w:tab w:val="left" w:pos="1134"/>
          <w:tab w:val="left" w:pos="1559"/>
          <w:tab w:val="left" w:pos="1984"/>
          <w:tab w:val="left" w:leader="dot" w:pos="7654"/>
          <w:tab w:val="right" w:pos="8929"/>
          <w:tab w:val="right" w:pos="9638"/>
        </w:tabs>
        <w:spacing w:after="120"/>
      </w:pPr>
      <w:r>
        <w:tab/>
        <w:t>VII.</w:t>
      </w:r>
      <w:r>
        <w:tab/>
      </w:r>
      <w:r w:rsidRPr="00D316FD">
        <w:t>Proposed amendments to annexes A and B of ADR (agenda item 5)</w:t>
      </w:r>
      <w:r>
        <w:tab/>
      </w:r>
      <w:r>
        <w:tab/>
        <w:t>19-43</w:t>
      </w:r>
      <w:r>
        <w:tab/>
      </w:r>
      <w:r w:rsidR="003C54F3">
        <w:t>5</w:t>
      </w:r>
    </w:p>
    <w:p w14:paraId="52CE123E" w14:textId="3560D0E2" w:rsidR="003901D4" w:rsidRDefault="003901D4" w:rsidP="003901D4">
      <w:pPr>
        <w:tabs>
          <w:tab w:val="right" w:pos="850"/>
          <w:tab w:val="left" w:pos="1134"/>
          <w:tab w:val="left" w:pos="1559"/>
          <w:tab w:val="left" w:pos="1984"/>
          <w:tab w:val="left" w:leader="dot" w:pos="7654"/>
          <w:tab w:val="right" w:pos="8929"/>
          <w:tab w:val="right" w:pos="9638"/>
        </w:tabs>
        <w:spacing w:after="120"/>
      </w:pPr>
      <w:r>
        <w:tab/>
      </w:r>
      <w:r>
        <w:tab/>
        <w:t>A.</w:t>
      </w:r>
      <w:r>
        <w:tab/>
      </w:r>
      <w:r w:rsidRPr="003F5DFE">
        <w:t>Construction and approval of vehicles</w:t>
      </w:r>
      <w:r>
        <w:tab/>
      </w:r>
      <w:r>
        <w:tab/>
        <w:t>19-33</w:t>
      </w:r>
      <w:r>
        <w:tab/>
      </w:r>
      <w:r w:rsidR="001778AE">
        <w:t>5</w:t>
      </w:r>
    </w:p>
    <w:p w14:paraId="469EB495" w14:textId="584CFF80" w:rsidR="003901D4" w:rsidRDefault="003901D4" w:rsidP="003901D4">
      <w:pPr>
        <w:tabs>
          <w:tab w:val="right" w:pos="850"/>
          <w:tab w:val="left" w:pos="1134"/>
          <w:tab w:val="left" w:pos="1559"/>
          <w:tab w:val="left" w:pos="1984"/>
          <w:tab w:val="left" w:leader="dot" w:pos="7654"/>
          <w:tab w:val="right" w:pos="8929"/>
          <w:tab w:val="right" w:pos="9638"/>
        </w:tabs>
        <w:spacing w:after="120"/>
      </w:pPr>
      <w:r>
        <w:tab/>
      </w:r>
      <w:r>
        <w:tab/>
      </w:r>
      <w:r>
        <w:tab/>
        <w:t>1.</w:t>
      </w:r>
      <w:r>
        <w:tab/>
      </w:r>
      <w:r w:rsidRPr="00B37E72">
        <w:t>Rear protection of vehicles</w:t>
      </w:r>
      <w:r>
        <w:tab/>
      </w:r>
      <w:r>
        <w:tab/>
        <w:t>19-22</w:t>
      </w:r>
      <w:r>
        <w:tab/>
      </w:r>
      <w:r w:rsidR="002D0708">
        <w:t>5</w:t>
      </w:r>
    </w:p>
    <w:p w14:paraId="51829830" w14:textId="25713ECB" w:rsidR="003901D4" w:rsidRDefault="003901D4" w:rsidP="003901D4">
      <w:pPr>
        <w:tabs>
          <w:tab w:val="right" w:pos="850"/>
          <w:tab w:val="left" w:pos="1134"/>
          <w:tab w:val="left" w:pos="1559"/>
          <w:tab w:val="left" w:pos="1984"/>
          <w:tab w:val="left" w:leader="dot" w:pos="7654"/>
          <w:tab w:val="right" w:pos="8929"/>
          <w:tab w:val="right" w:pos="9638"/>
        </w:tabs>
        <w:spacing w:after="120"/>
      </w:pPr>
      <w:r>
        <w:tab/>
      </w:r>
      <w:r>
        <w:tab/>
      </w:r>
      <w:r>
        <w:tab/>
        <w:t>2.</w:t>
      </w:r>
      <w:r>
        <w:tab/>
      </w:r>
      <w:r w:rsidRPr="00AE4402">
        <w:t>Tyre pressure monitoring system</w:t>
      </w:r>
      <w:r w:rsidRPr="00AE4402">
        <w:tab/>
      </w:r>
      <w:r>
        <w:tab/>
        <w:t>23-25</w:t>
      </w:r>
      <w:r>
        <w:tab/>
      </w:r>
      <w:r w:rsidR="002D0708">
        <w:t>6</w:t>
      </w:r>
    </w:p>
    <w:p w14:paraId="1A153E09" w14:textId="3E289490" w:rsidR="003901D4" w:rsidRDefault="003901D4" w:rsidP="003901D4">
      <w:pPr>
        <w:tabs>
          <w:tab w:val="right" w:pos="850"/>
          <w:tab w:val="left" w:pos="1134"/>
          <w:tab w:val="left" w:pos="1559"/>
          <w:tab w:val="left" w:pos="1984"/>
          <w:tab w:val="left" w:leader="dot" w:pos="7654"/>
          <w:tab w:val="right" w:pos="8929"/>
          <w:tab w:val="right" w:pos="9638"/>
        </w:tabs>
        <w:spacing w:after="120"/>
      </w:pPr>
      <w:r>
        <w:tab/>
      </w:r>
      <w:r>
        <w:tab/>
      </w:r>
      <w:r>
        <w:tab/>
        <w:t>3.</w:t>
      </w:r>
      <w:r>
        <w:tab/>
      </w:r>
      <w:r w:rsidRPr="00E71085">
        <w:t xml:space="preserve">Engine fire suppression systems and tyre fire protection systems </w:t>
      </w:r>
      <w:r>
        <w:br/>
      </w:r>
      <w:r>
        <w:tab/>
      </w:r>
      <w:r>
        <w:tab/>
      </w:r>
      <w:r>
        <w:tab/>
      </w:r>
      <w:r>
        <w:tab/>
      </w:r>
      <w:r w:rsidRPr="00E71085">
        <w:t>to reduce the likelihood of a BLEVE</w:t>
      </w:r>
      <w:r>
        <w:tab/>
      </w:r>
      <w:r>
        <w:tab/>
        <w:t>26-29</w:t>
      </w:r>
      <w:r>
        <w:tab/>
      </w:r>
      <w:r w:rsidR="002D0708">
        <w:t>6</w:t>
      </w:r>
    </w:p>
    <w:p w14:paraId="3BF99585" w14:textId="20CD600F" w:rsidR="003901D4" w:rsidRDefault="003901D4" w:rsidP="003901D4">
      <w:pPr>
        <w:tabs>
          <w:tab w:val="right" w:pos="850"/>
          <w:tab w:val="left" w:pos="1134"/>
          <w:tab w:val="left" w:pos="1559"/>
          <w:tab w:val="left" w:pos="1984"/>
          <w:tab w:val="left" w:leader="dot" w:pos="7654"/>
          <w:tab w:val="right" w:pos="8929"/>
          <w:tab w:val="right" w:pos="9638"/>
        </w:tabs>
        <w:spacing w:after="120"/>
      </w:pPr>
      <w:r>
        <w:tab/>
      </w:r>
      <w:r>
        <w:tab/>
      </w:r>
      <w:r>
        <w:tab/>
        <w:t>4.</w:t>
      </w:r>
      <w:r>
        <w:tab/>
      </w:r>
      <w:r w:rsidRPr="001E0ED0">
        <w:t>Stability of tank-vehicles</w:t>
      </w:r>
      <w:r>
        <w:tab/>
      </w:r>
      <w:r>
        <w:tab/>
        <w:t>30</w:t>
      </w:r>
      <w:r>
        <w:tab/>
      </w:r>
      <w:r w:rsidR="002D0708">
        <w:t>6</w:t>
      </w:r>
    </w:p>
    <w:p w14:paraId="70E9D645" w14:textId="1A7212BE" w:rsidR="003901D4" w:rsidRDefault="003901D4" w:rsidP="003901D4">
      <w:pPr>
        <w:tabs>
          <w:tab w:val="right" w:pos="850"/>
          <w:tab w:val="left" w:pos="1134"/>
          <w:tab w:val="left" w:pos="1559"/>
          <w:tab w:val="left" w:pos="1984"/>
          <w:tab w:val="left" w:leader="dot" w:pos="7654"/>
          <w:tab w:val="right" w:pos="8929"/>
          <w:tab w:val="right" w:pos="9638"/>
        </w:tabs>
        <w:spacing w:after="120"/>
      </w:pPr>
      <w:r>
        <w:tab/>
      </w:r>
      <w:r>
        <w:tab/>
      </w:r>
      <w:r>
        <w:tab/>
        <w:t>5.</w:t>
      </w:r>
      <w:r>
        <w:tab/>
      </w:r>
      <w:r w:rsidRPr="00153C5B">
        <w:t xml:space="preserve">Use of battery electric vehicles and hydrogen fuel cell vehicles for </w:t>
      </w:r>
      <w:r>
        <w:br/>
      </w:r>
      <w:r>
        <w:tab/>
      </w:r>
      <w:r>
        <w:tab/>
      </w:r>
      <w:r>
        <w:tab/>
      </w:r>
      <w:r>
        <w:tab/>
      </w:r>
      <w:r w:rsidRPr="00153C5B">
        <w:t>the transport of dangerous goods</w:t>
      </w:r>
      <w:r>
        <w:tab/>
      </w:r>
      <w:r>
        <w:tab/>
        <w:t>31-33</w:t>
      </w:r>
      <w:r>
        <w:tab/>
      </w:r>
      <w:r w:rsidR="002D0708">
        <w:t>6</w:t>
      </w:r>
    </w:p>
    <w:p w14:paraId="55CE15CB" w14:textId="06053192" w:rsidR="003901D4" w:rsidRDefault="003901D4" w:rsidP="003901D4">
      <w:pPr>
        <w:tabs>
          <w:tab w:val="right" w:pos="850"/>
          <w:tab w:val="left" w:pos="1134"/>
          <w:tab w:val="left" w:pos="1559"/>
          <w:tab w:val="left" w:pos="1984"/>
          <w:tab w:val="left" w:leader="dot" w:pos="7654"/>
          <w:tab w:val="right" w:pos="8929"/>
          <w:tab w:val="right" w:pos="9638"/>
        </w:tabs>
        <w:spacing w:after="120"/>
      </w:pPr>
      <w:r>
        <w:tab/>
      </w:r>
      <w:r>
        <w:tab/>
        <w:t>B.</w:t>
      </w:r>
      <w:r>
        <w:tab/>
      </w:r>
      <w:r w:rsidRPr="00BA134D">
        <w:t>Miscellaneous proposals</w:t>
      </w:r>
      <w:r>
        <w:tab/>
      </w:r>
      <w:r>
        <w:tab/>
        <w:t>34-43</w:t>
      </w:r>
      <w:r>
        <w:tab/>
      </w:r>
      <w:r w:rsidR="00B4436B">
        <w:t>7</w:t>
      </w:r>
    </w:p>
    <w:p w14:paraId="5E26E8FB" w14:textId="2D53FD2B" w:rsidR="003901D4" w:rsidRDefault="003901D4" w:rsidP="003901D4">
      <w:pPr>
        <w:tabs>
          <w:tab w:val="right" w:pos="850"/>
          <w:tab w:val="left" w:pos="1134"/>
          <w:tab w:val="left" w:pos="1559"/>
          <w:tab w:val="left" w:pos="1984"/>
          <w:tab w:val="left" w:leader="dot" w:pos="7654"/>
          <w:tab w:val="right" w:pos="8929"/>
          <w:tab w:val="right" w:pos="9638"/>
        </w:tabs>
        <w:spacing w:after="120"/>
      </w:pPr>
      <w:r>
        <w:tab/>
      </w:r>
      <w:r>
        <w:tab/>
      </w:r>
      <w:r>
        <w:tab/>
        <w:t>1.</w:t>
      </w:r>
      <w:r>
        <w:tab/>
      </w:r>
      <w:r w:rsidRPr="00572CFB">
        <w:t xml:space="preserve">Addition of a reference to MEMUs in the Model for report </w:t>
      </w:r>
      <w:r>
        <w:br/>
      </w:r>
      <w:r>
        <w:tab/>
      </w:r>
      <w:r>
        <w:tab/>
      </w:r>
      <w:r>
        <w:tab/>
      </w:r>
      <w:r>
        <w:tab/>
      </w:r>
      <w:r w:rsidRPr="00572CFB">
        <w:t>on occurrences during the carriage of dangerous goods</w:t>
      </w:r>
      <w:r>
        <w:tab/>
      </w:r>
      <w:r>
        <w:tab/>
        <w:t>34</w:t>
      </w:r>
      <w:r>
        <w:tab/>
      </w:r>
      <w:r w:rsidR="0038096E">
        <w:t>7</w:t>
      </w:r>
    </w:p>
    <w:p w14:paraId="15C4D607" w14:textId="34C215CB" w:rsidR="003901D4" w:rsidRDefault="003901D4" w:rsidP="003901D4">
      <w:pPr>
        <w:tabs>
          <w:tab w:val="right" w:pos="850"/>
          <w:tab w:val="left" w:pos="1134"/>
          <w:tab w:val="left" w:pos="1559"/>
          <w:tab w:val="left" w:pos="1984"/>
          <w:tab w:val="left" w:leader="dot" w:pos="7654"/>
          <w:tab w:val="right" w:pos="8929"/>
          <w:tab w:val="right" w:pos="9638"/>
        </w:tabs>
        <w:spacing w:after="120"/>
      </w:pPr>
      <w:r>
        <w:tab/>
      </w:r>
      <w:r>
        <w:tab/>
      </w:r>
      <w:r>
        <w:tab/>
        <w:t>2.</w:t>
      </w:r>
      <w:r>
        <w:tab/>
      </w:r>
      <w:r w:rsidRPr="00E36132">
        <w:t>Supervision requirements for detonators</w:t>
      </w:r>
      <w:r>
        <w:tab/>
      </w:r>
      <w:r>
        <w:tab/>
        <w:t>35</w:t>
      </w:r>
      <w:r>
        <w:tab/>
      </w:r>
      <w:r w:rsidR="0038096E">
        <w:t>7</w:t>
      </w:r>
    </w:p>
    <w:p w14:paraId="3B539326" w14:textId="79CBB4FD" w:rsidR="003901D4" w:rsidRDefault="003901D4" w:rsidP="003901D4">
      <w:pPr>
        <w:tabs>
          <w:tab w:val="right" w:pos="850"/>
          <w:tab w:val="left" w:pos="1134"/>
          <w:tab w:val="left" w:pos="1559"/>
          <w:tab w:val="left" w:pos="1984"/>
          <w:tab w:val="left" w:leader="dot" w:pos="7654"/>
          <w:tab w:val="right" w:pos="8929"/>
          <w:tab w:val="right" w:pos="9638"/>
        </w:tabs>
        <w:spacing w:after="120"/>
      </w:pPr>
      <w:r>
        <w:tab/>
      </w:r>
      <w:r>
        <w:tab/>
      </w:r>
      <w:r>
        <w:tab/>
        <w:t>3.</w:t>
      </w:r>
      <w:r>
        <w:tab/>
      </w:r>
      <w:r w:rsidRPr="00276CB4">
        <w:t>References to competent authorities in Parts 8 and 9</w:t>
      </w:r>
      <w:r>
        <w:tab/>
      </w:r>
      <w:r>
        <w:tab/>
        <w:t>36-39</w:t>
      </w:r>
      <w:r>
        <w:tab/>
      </w:r>
      <w:r w:rsidR="0038096E">
        <w:t>7</w:t>
      </w:r>
    </w:p>
    <w:p w14:paraId="1040F306" w14:textId="131A0545" w:rsidR="003901D4" w:rsidRDefault="003901D4" w:rsidP="003901D4">
      <w:pPr>
        <w:tabs>
          <w:tab w:val="right" w:pos="850"/>
          <w:tab w:val="left" w:pos="1134"/>
          <w:tab w:val="left" w:pos="1559"/>
          <w:tab w:val="left" w:pos="1984"/>
          <w:tab w:val="left" w:leader="dot" w:pos="7654"/>
          <w:tab w:val="right" w:pos="8929"/>
          <w:tab w:val="right" w:pos="9638"/>
        </w:tabs>
        <w:spacing w:after="120"/>
      </w:pPr>
      <w:r>
        <w:lastRenderedPageBreak/>
        <w:tab/>
      </w:r>
      <w:r>
        <w:tab/>
      </w:r>
      <w:r>
        <w:tab/>
        <w:t>4.</w:t>
      </w:r>
      <w:r>
        <w:tab/>
      </w:r>
      <w:r w:rsidRPr="00553362">
        <w:t>Temperature controlled transport</w:t>
      </w:r>
      <w:r>
        <w:tab/>
      </w:r>
      <w:r>
        <w:tab/>
        <w:t>40</w:t>
      </w:r>
      <w:r>
        <w:tab/>
      </w:r>
      <w:r w:rsidR="0038096E">
        <w:t>7</w:t>
      </w:r>
    </w:p>
    <w:p w14:paraId="26B7D4F8" w14:textId="7113F4BA" w:rsidR="003901D4" w:rsidRDefault="003901D4" w:rsidP="003901D4">
      <w:pPr>
        <w:tabs>
          <w:tab w:val="right" w:pos="850"/>
          <w:tab w:val="left" w:pos="1134"/>
          <w:tab w:val="left" w:pos="1559"/>
          <w:tab w:val="left" w:pos="1984"/>
          <w:tab w:val="left" w:leader="dot" w:pos="7654"/>
          <w:tab w:val="right" w:pos="8929"/>
          <w:tab w:val="right" w:pos="9638"/>
        </w:tabs>
        <w:spacing w:after="120"/>
      </w:pPr>
      <w:r>
        <w:tab/>
      </w:r>
      <w:r>
        <w:tab/>
      </w:r>
      <w:r>
        <w:tab/>
        <w:t>5.</w:t>
      </w:r>
      <w:r>
        <w:tab/>
      </w:r>
      <w:r w:rsidRPr="004005FA">
        <w:t>Editorial amendments</w:t>
      </w:r>
      <w:r>
        <w:tab/>
      </w:r>
      <w:r>
        <w:tab/>
        <w:t>41</w:t>
      </w:r>
      <w:r>
        <w:tab/>
      </w:r>
      <w:r w:rsidR="0038096E">
        <w:t>8</w:t>
      </w:r>
    </w:p>
    <w:p w14:paraId="7571F2E0" w14:textId="6984DF9F" w:rsidR="003901D4" w:rsidRDefault="003901D4" w:rsidP="003901D4">
      <w:pPr>
        <w:tabs>
          <w:tab w:val="right" w:pos="850"/>
          <w:tab w:val="left" w:pos="1134"/>
          <w:tab w:val="left" w:pos="1559"/>
          <w:tab w:val="left" w:pos="1984"/>
          <w:tab w:val="left" w:leader="dot" w:pos="7654"/>
          <w:tab w:val="right" w:pos="8929"/>
          <w:tab w:val="right" w:pos="9638"/>
        </w:tabs>
        <w:spacing w:after="120"/>
      </w:pPr>
      <w:r>
        <w:tab/>
      </w:r>
      <w:r>
        <w:tab/>
      </w:r>
      <w:r>
        <w:tab/>
        <w:t>6.</w:t>
      </w:r>
      <w:r>
        <w:tab/>
      </w:r>
      <w:r w:rsidRPr="00506767">
        <w:t>Tunnel restriction code for excepted packages</w:t>
      </w:r>
      <w:r>
        <w:br/>
      </w:r>
      <w:r>
        <w:tab/>
      </w:r>
      <w:r>
        <w:tab/>
      </w:r>
      <w:r>
        <w:tab/>
      </w:r>
      <w:r>
        <w:tab/>
      </w:r>
      <w:r w:rsidRPr="00506767">
        <w:t>(UN Nos. 2908 to 2911)</w:t>
      </w:r>
      <w:r>
        <w:tab/>
      </w:r>
      <w:r>
        <w:tab/>
        <w:t>42-43</w:t>
      </w:r>
      <w:r>
        <w:tab/>
      </w:r>
      <w:r w:rsidR="0038096E">
        <w:t>8</w:t>
      </w:r>
    </w:p>
    <w:p w14:paraId="2F7F71D7" w14:textId="2A83BA30" w:rsidR="003901D4" w:rsidRDefault="003901D4" w:rsidP="003901D4">
      <w:pPr>
        <w:tabs>
          <w:tab w:val="right" w:pos="850"/>
          <w:tab w:val="left" w:pos="1134"/>
          <w:tab w:val="left" w:pos="1559"/>
          <w:tab w:val="left" w:pos="1984"/>
          <w:tab w:val="left" w:leader="dot" w:pos="7654"/>
          <w:tab w:val="right" w:pos="8929"/>
          <w:tab w:val="right" w:pos="9638"/>
        </w:tabs>
        <w:spacing w:after="120"/>
      </w:pPr>
      <w:r>
        <w:tab/>
        <w:t>VIII.</w:t>
      </w:r>
      <w:r>
        <w:tab/>
      </w:r>
      <w:r w:rsidRPr="00EC0FBD">
        <w:t>Interpretation of ADR (agenda item 6)</w:t>
      </w:r>
      <w:r>
        <w:tab/>
      </w:r>
      <w:r>
        <w:tab/>
        <w:t>44-52</w:t>
      </w:r>
      <w:r>
        <w:tab/>
      </w:r>
      <w:r w:rsidR="00581B2D">
        <w:t>8</w:t>
      </w:r>
    </w:p>
    <w:p w14:paraId="473EFF53" w14:textId="2042364C" w:rsidR="003901D4" w:rsidRDefault="003901D4" w:rsidP="003901D4">
      <w:pPr>
        <w:tabs>
          <w:tab w:val="right" w:pos="850"/>
          <w:tab w:val="left" w:pos="1134"/>
          <w:tab w:val="left" w:pos="1559"/>
          <w:tab w:val="left" w:pos="1984"/>
          <w:tab w:val="left" w:leader="dot" w:pos="7654"/>
          <w:tab w:val="right" w:pos="8929"/>
          <w:tab w:val="right" w:pos="9638"/>
        </w:tabs>
        <w:spacing w:after="120"/>
      </w:pPr>
      <w:r>
        <w:tab/>
      </w:r>
      <w:r>
        <w:tab/>
        <w:t>A.</w:t>
      </w:r>
      <w:r>
        <w:tab/>
      </w:r>
      <w:r w:rsidRPr="00BF1723">
        <w:t xml:space="preserve">Application of the requirements concerning the electrical equipment </w:t>
      </w:r>
      <w:r>
        <w:br/>
      </w:r>
      <w:r>
        <w:tab/>
      </w:r>
      <w:r>
        <w:tab/>
      </w:r>
      <w:r>
        <w:tab/>
      </w:r>
      <w:r w:rsidRPr="00BF1723">
        <w:t>of vehicles in accordance with 9.2.1.1</w:t>
      </w:r>
      <w:r>
        <w:tab/>
      </w:r>
      <w:r>
        <w:tab/>
        <w:t>44-46</w:t>
      </w:r>
      <w:r>
        <w:tab/>
      </w:r>
      <w:r w:rsidR="00581B2D">
        <w:t>8</w:t>
      </w:r>
    </w:p>
    <w:p w14:paraId="56D5F229" w14:textId="38610675" w:rsidR="003901D4" w:rsidRDefault="003901D4" w:rsidP="003901D4">
      <w:pPr>
        <w:tabs>
          <w:tab w:val="right" w:pos="850"/>
          <w:tab w:val="left" w:pos="1134"/>
          <w:tab w:val="left" w:pos="1559"/>
          <w:tab w:val="left" w:pos="1984"/>
          <w:tab w:val="left" w:leader="dot" w:pos="7654"/>
          <w:tab w:val="right" w:pos="8929"/>
          <w:tab w:val="right" w:pos="9638"/>
        </w:tabs>
        <w:spacing w:after="120"/>
      </w:pPr>
      <w:r>
        <w:tab/>
      </w:r>
      <w:r>
        <w:tab/>
        <w:t>B.</w:t>
      </w:r>
      <w:r>
        <w:tab/>
      </w:r>
      <w:r w:rsidRPr="00D96B1A">
        <w:t>Application of multilateral agreements</w:t>
      </w:r>
      <w:r>
        <w:tab/>
      </w:r>
      <w:r>
        <w:tab/>
        <w:t>47-50</w:t>
      </w:r>
      <w:r>
        <w:tab/>
      </w:r>
      <w:r w:rsidR="00AA63B7">
        <w:t>8</w:t>
      </w:r>
    </w:p>
    <w:p w14:paraId="68B7F505" w14:textId="2501076F" w:rsidR="003901D4" w:rsidRDefault="003901D4" w:rsidP="003901D4">
      <w:pPr>
        <w:tabs>
          <w:tab w:val="right" w:pos="850"/>
          <w:tab w:val="left" w:pos="1134"/>
          <w:tab w:val="left" w:pos="1559"/>
          <w:tab w:val="left" w:pos="1984"/>
          <w:tab w:val="left" w:leader="dot" w:pos="7654"/>
          <w:tab w:val="right" w:pos="8929"/>
          <w:tab w:val="right" w:pos="9638"/>
        </w:tabs>
        <w:spacing w:after="120"/>
      </w:pPr>
      <w:r>
        <w:tab/>
      </w:r>
      <w:r>
        <w:tab/>
        <w:t>C.</w:t>
      </w:r>
      <w:r>
        <w:tab/>
      </w:r>
      <w:r w:rsidRPr="005119CA">
        <w:t>Clarification of 5.3.2.2.1</w:t>
      </w:r>
      <w:r>
        <w:tab/>
      </w:r>
      <w:r>
        <w:tab/>
        <w:t>51-52</w:t>
      </w:r>
      <w:r>
        <w:tab/>
      </w:r>
      <w:r w:rsidR="00AA63B7">
        <w:t>9</w:t>
      </w:r>
    </w:p>
    <w:p w14:paraId="743FB0C2" w14:textId="2BC96C94" w:rsidR="003901D4" w:rsidRDefault="003901D4" w:rsidP="003901D4">
      <w:pPr>
        <w:tabs>
          <w:tab w:val="right" w:pos="850"/>
          <w:tab w:val="left" w:pos="1134"/>
          <w:tab w:val="left" w:pos="1559"/>
          <w:tab w:val="left" w:pos="1984"/>
          <w:tab w:val="left" w:leader="dot" w:pos="7654"/>
          <w:tab w:val="right" w:pos="8929"/>
          <w:tab w:val="right" w:pos="9638"/>
        </w:tabs>
        <w:spacing w:after="120"/>
      </w:pPr>
      <w:r>
        <w:tab/>
        <w:t>IX.</w:t>
      </w:r>
      <w:r>
        <w:tab/>
      </w:r>
      <w:r w:rsidRPr="00FE1D27">
        <w:t>Programme of work (agenda item 7)</w:t>
      </w:r>
      <w:r>
        <w:tab/>
      </w:r>
      <w:r>
        <w:tab/>
        <w:t>53-55</w:t>
      </w:r>
      <w:r>
        <w:tab/>
      </w:r>
      <w:r w:rsidR="00AA63B7">
        <w:t>9</w:t>
      </w:r>
    </w:p>
    <w:p w14:paraId="4A6CEA8D" w14:textId="7C4CB31E" w:rsidR="003901D4" w:rsidRDefault="003901D4" w:rsidP="003901D4">
      <w:pPr>
        <w:tabs>
          <w:tab w:val="right" w:pos="850"/>
          <w:tab w:val="left" w:pos="1134"/>
          <w:tab w:val="left" w:pos="1559"/>
          <w:tab w:val="left" w:pos="1984"/>
          <w:tab w:val="left" w:leader="dot" w:pos="7654"/>
          <w:tab w:val="right" w:pos="8929"/>
          <w:tab w:val="right" w:pos="9638"/>
        </w:tabs>
        <w:spacing w:after="120"/>
      </w:pPr>
      <w:r>
        <w:tab/>
        <w:t>X.</w:t>
      </w:r>
      <w:r>
        <w:tab/>
      </w:r>
      <w:r w:rsidRPr="0020352D">
        <w:t>Any other business (agenda item 8)</w:t>
      </w:r>
      <w:r>
        <w:tab/>
      </w:r>
      <w:r>
        <w:tab/>
        <w:t>56-59</w:t>
      </w:r>
      <w:r>
        <w:tab/>
      </w:r>
      <w:r w:rsidR="00FA1F4D">
        <w:t>9</w:t>
      </w:r>
    </w:p>
    <w:p w14:paraId="4F6F089A" w14:textId="304AFD64" w:rsidR="003901D4" w:rsidRDefault="003901D4" w:rsidP="003901D4">
      <w:pPr>
        <w:tabs>
          <w:tab w:val="right" w:pos="850"/>
          <w:tab w:val="left" w:pos="1134"/>
          <w:tab w:val="left" w:pos="1559"/>
          <w:tab w:val="left" w:pos="1984"/>
          <w:tab w:val="left" w:leader="dot" w:pos="7654"/>
          <w:tab w:val="right" w:pos="8929"/>
          <w:tab w:val="right" w:pos="9638"/>
        </w:tabs>
        <w:spacing w:after="120"/>
      </w:pPr>
      <w:r>
        <w:tab/>
      </w:r>
      <w:r>
        <w:tab/>
        <w:t>A.</w:t>
      </w:r>
      <w:r>
        <w:tab/>
      </w:r>
      <w:r w:rsidRPr="00582DD9">
        <w:t>Discrepancies between high consequence dangerous goods, table 1.10.3.1.2,</w:t>
      </w:r>
      <w:r>
        <w:br/>
      </w:r>
      <w:r>
        <w:tab/>
      </w:r>
      <w:r>
        <w:tab/>
      </w:r>
      <w:r>
        <w:tab/>
      </w:r>
      <w:r w:rsidRPr="00582DD9">
        <w:t>in relation to Chapter 8.5, special provision S1 (6), and subsection 1.1.3.6</w:t>
      </w:r>
      <w:r>
        <w:tab/>
      </w:r>
      <w:r>
        <w:tab/>
        <w:t>56-57</w:t>
      </w:r>
      <w:r>
        <w:tab/>
      </w:r>
      <w:r w:rsidR="00FA1F4D">
        <w:t>9</w:t>
      </w:r>
    </w:p>
    <w:p w14:paraId="71A9CC91" w14:textId="6CDB08E9" w:rsidR="003901D4" w:rsidRDefault="003901D4" w:rsidP="003901D4">
      <w:pPr>
        <w:tabs>
          <w:tab w:val="right" w:pos="850"/>
          <w:tab w:val="left" w:pos="1134"/>
          <w:tab w:val="left" w:pos="1559"/>
          <w:tab w:val="left" w:pos="1984"/>
          <w:tab w:val="left" w:leader="dot" w:pos="7654"/>
          <w:tab w:val="right" w:pos="8929"/>
          <w:tab w:val="right" w:pos="9638"/>
        </w:tabs>
        <w:spacing w:after="120"/>
      </w:pPr>
      <w:r>
        <w:tab/>
      </w:r>
      <w:r>
        <w:tab/>
        <w:t>B.</w:t>
      </w:r>
      <w:r>
        <w:tab/>
      </w:r>
      <w:r w:rsidRPr="007A111F">
        <w:t>Rules of Procedure of the Working Party</w:t>
      </w:r>
      <w:r>
        <w:tab/>
      </w:r>
      <w:r>
        <w:tab/>
        <w:t>58</w:t>
      </w:r>
      <w:r>
        <w:tab/>
      </w:r>
      <w:r w:rsidR="00FA1F4D">
        <w:t>10</w:t>
      </w:r>
    </w:p>
    <w:p w14:paraId="1A19C19A" w14:textId="453FC5FA" w:rsidR="003901D4" w:rsidRDefault="003901D4" w:rsidP="003901D4">
      <w:pPr>
        <w:tabs>
          <w:tab w:val="right" w:pos="850"/>
          <w:tab w:val="left" w:pos="1134"/>
          <w:tab w:val="left" w:pos="1559"/>
          <w:tab w:val="left" w:pos="1984"/>
          <w:tab w:val="left" w:leader="dot" w:pos="7654"/>
          <w:tab w:val="right" w:pos="8929"/>
          <w:tab w:val="right" w:pos="9638"/>
        </w:tabs>
        <w:spacing w:after="120"/>
      </w:pPr>
      <w:r>
        <w:tab/>
      </w:r>
      <w:r>
        <w:tab/>
        <w:t>C.</w:t>
      </w:r>
      <w:r>
        <w:tab/>
      </w:r>
      <w:r w:rsidRPr="00654AFB">
        <w:t xml:space="preserve">Methodology and systems used for the assignment of tunnel codes for </w:t>
      </w:r>
      <w:r>
        <w:br/>
      </w:r>
      <w:r>
        <w:tab/>
      </w:r>
      <w:r>
        <w:tab/>
      </w:r>
      <w:r>
        <w:tab/>
      </w:r>
      <w:r w:rsidRPr="00654AFB">
        <w:t>Class 7 goods and for the assignment of code “(-)”</w:t>
      </w:r>
      <w:r>
        <w:tab/>
      </w:r>
      <w:r>
        <w:tab/>
        <w:t>59</w:t>
      </w:r>
      <w:r>
        <w:tab/>
      </w:r>
      <w:r w:rsidR="00FA1F4D">
        <w:t>10</w:t>
      </w:r>
    </w:p>
    <w:p w14:paraId="6924EC36" w14:textId="568D8AB4" w:rsidR="003901D4" w:rsidRDefault="003901D4" w:rsidP="003901D4">
      <w:pPr>
        <w:tabs>
          <w:tab w:val="right" w:pos="850"/>
          <w:tab w:val="left" w:pos="1134"/>
          <w:tab w:val="left" w:pos="1559"/>
          <w:tab w:val="left" w:pos="1984"/>
          <w:tab w:val="left" w:leader="dot" w:pos="7654"/>
          <w:tab w:val="right" w:pos="8929"/>
          <w:tab w:val="right" w:pos="9638"/>
        </w:tabs>
        <w:spacing w:after="120"/>
      </w:pPr>
      <w:r>
        <w:tab/>
        <w:t>XI.</w:t>
      </w:r>
      <w:r>
        <w:tab/>
      </w:r>
      <w:r w:rsidRPr="00261D01">
        <w:t xml:space="preserve">Adoption of the report (agenda item </w:t>
      </w:r>
      <w:r>
        <w:t>9</w:t>
      </w:r>
      <w:r w:rsidRPr="00261D01">
        <w:t>)</w:t>
      </w:r>
      <w:r>
        <w:tab/>
      </w:r>
      <w:r>
        <w:tab/>
        <w:t>60-61</w:t>
      </w:r>
      <w:r>
        <w:tab/>
      </w:r>
      <w:r w:rsidR="00FA1F4D">
        <w:t>10</w:t>
      </w:r>
    </w:p>
    <w:p w14:paraId="4886C775" w14:textId="77777777" w:rsidR="003901D4" w:rsidRDefault="003901D4" w:rsidP="003901D4">
      <w:pPr>
        <w:tabs>
          <w:tab w:val="right" w:pos="850"/>
          <w:tab w:val="left" w:pos="1134"/>
          <w:tab w:val="left" w:pos="1559"/>
          <w:tab w:val="left" w:pos="1984"/>
          <w:tab w:val="left" w:leader="dot" w:pos="7654"/>
          <w:tab w:val="right" w:pos="8929"/>
          <w:tab w:val="right" w:pos="9638"/>
        </w:tabs>
        <w:spacing w:after="120"/>
      </w:pPr>
      <w:r>
        <w:t>Annexes</w:t>
      </w:r>
    </w:p>
    <w:p w14:paraId="759EA64C" w14:textId="414026A8" w:rsidR="003901D4" w:rsidRDefault="003901D4" w:rsidP="003901D4">
      <w:pPr>
        <w:tabs>
          <w:tab w:val="right" w:pos="850"/>
          <w:tab w:val="left" w:pos="1134"/>
          <w:tab w:val="left" w:pos="1559"/>
          <w:tab w:val="left" w:pos="1984"/>
          <w:tab w:val="left" w:leader="dot" w:pos="7654"/>
          <w:tab w:val="right" w:pos="8929"/>
          <w:tab w:val="right" w:pos="9638"/>
        </w:tabs>
        <w:spacing w:after="120"/>
      </w:pPr>
      <w:r>
        <w:tab/>
        <w:t>I.</w:t>
      </w:r>
      <w:r>
        <w:tab/>
        <w:t>Draft amendments to annexes A and B of ADR for entry into force on 1 January 2023</w:t>
      </w:r>
      <w:r>
        <w:tab/>
      </w:r>
      <w:r>
        <w:tab/>
      </w:r>
      <w:r w:rsidR="00FA1F4D">
        <w:t>11</w:t>
      </w:r>
    </w:p>
    <w:p w14:paraId="625EA6CC" w14:textId="3B8B9C73" w:rsidR="003901D4" w:rsidRDefault="003901D4" w:rsidP="003901D4">
      <w:pPr>
        <w:tabs>
          <w:tab w:val="right" w:pos="850"/>
          <w:tab w:val="left" w:pos="1134"/>
          <w:tab w:val="left" w:pos="1559"/>
          <w:tab w:val="left" w:pos="1984"/>
          <w:tab w:val="left" w:leader="dot" w:pos="7654"/>
          <w:tab w:val="right" w:pos="8929"/>
          <w:tab w:val="right" w:pos="9638"/>
        </w:tabs>
        <w:spacing w:after="120"/>
      </w:pPr>
      <w:r>
        <w:tab/>
        <w:t>II.</w:t>
      </w:r>
      <w:r>
        <w:tab/>
        <w:t>Corrections to the English version of ADR 2021</w:t>
      </w:r>
      <w:r>
        <w:tab/>
      </w:r>
      <w:r>
        <w:tab/>
      </w:r>
      <w:r>
        <w:tab/>
      </w:r>
      <w:r w:rsidR="00970AD4">
        <w:t>23</w:t>
      </w:r>
    </w:p>
    <w:p w14:paraId="6431BD3E" w14:textId="6069FFEA" w:rsidR="003901D4" w:rsidRPr="0060322E" w:rsidRDefault="003901D4" w:rsidP="003901D4">
      <w:pPr>
        <w:tabs>
          <w:tab w:val="right" w:pos="850"/>
          <w:tab w:val="left" w:pos="1134"/>
          <w:tab w:val="left" w:pos="1559"/>
          <w:tab w:val="left" w:pos="1984"/>
          <w:tab w:val="left" w:leader="dot" w:pos="7654"/>
          <w:tab w:val="right" w:pos="8929"/>
          <w:tab w:val="right" w:pos="9638"/>
        </w:tabs>
        <w:spacing w:after="120"/>
      </w:pPr>
      <w:r>
        <w:tab/>
        <w:t>III.</w:t>
      </w:r>
      <w:r>
        <w:tab/>
        <w:t>List of decisions</w:t>
      </w:r>
      <w:r>
        <w:tab/>
      </w:r>
      <w:r>
        <w:tab/>
      </w:r>
      <w:r>
        <w:tab/>
      </w:r>
      <w:r w:rsidR="00970AD4">
        <w:t>24</w:t>
      </w:r>
    </w:p>
    <w:p w14:paraId="2E112CB7" w14:textId="77777777" w:rsidR="003901D4" w:rsidRDefault="003901D4" w:rsidP="007159AB">
      <w:pPr>
        <w:spacing w:after="120"/>
        <w:rPr>
          <w:sz w:val="28"/>
        </w:rPr>
      </w:pPr>
    </w:p>
    <w:p w14:paraId="7B597F6F" w14:textId="337ABBA3" w:rsidR="007159AB" w:rsidRDefault="007159AB">
      <w:pPr>
        <w:suppressAutoHyphens w:val="0"/>
        <w:spacing w:line="240" w:lineRule="auto"/>
        <w:rPr>
          <w:sz w:val="28"/>
        </w:rPr>
      </w:pPr>
      <w:r>
        <w:rPr>
          <w:sz w:val="28"/>
        </w:rPr>
        <w:br w:type="page"/>
      </w:r>
    </w:p>
    <w:p w14:paraId="587C7BA0" w14:textId="77777777" w:rsidR="00B93615" w:rsidRPr="00B93615" w:rsidRDefault="00B93615" w:rsidP="008A3DAD">
      <w:pPr>
        <w:pStyle w:val="HChG"/>
        <w:rPr>
          <w:lang w:eastAsia="en-US"/>
        </w:rPr>
      </w:pPr>
      <w:r w:rsidRPr="00B93615">
        <w:rPr>
          <w:lang w:eastAsia="en-US"/>
        </w:rPr>
        <w:lastRenderedPageBreak/>
        <w:tab/>
        <w:t>I.</w:t>
      </w:r>
      <w:r w:rsidRPr="00B93615">
        <w:rPr>
          <w:lang w:eastAsia="en-US"/>
        </w:rPr>
        <w:tab/>
        <w:t>Organizational matters and attendance</w:t>
      </w:r>
    </w:p>
    <w:p w14:paraId="3A9F8C41" w14:textId="77777777" w:rsidR="00B93615" w:rsidRPr="00B93615" w:rsidRDefault="00B93615" w:rsidP="00B93615">
      <w:pPr>
        <w:tabs>
          <w:tab w:val="left" w:pos="1701"/>
          <w:tab w:val="left" w:pos="2268"/>
        </w:tabs>
        <w:spacing w:after="120"/>
        <w:ind w:left="1134" w:right="1134"/>
        <w:jc w:val="both"/>
        <w:rPr>
          <w:rFonts w:eastAsia="SimSun"/>
          <w:lang w:eastAsia="zh-CN"/>
        </w:rPr>
      </w:pPr>
      <w:r w:rsidRPr="00B93615">
        <w:rPr>
          <w:rFonts w:eastAsia="SimSun"/>
          <w:lang w:eastAsia="zh-CN"/>
        </w:rPr>
        <w:t>1.</w:t>
      </w:r>
      <w:r w:rsidRPr="00B93615">
        <w:rPr>
          <w:rFonts w:eastAsia="SimSun"/>
          <w:lang w:eastAsia="zh-CN"/>
        </w:rPr>
        <w:tab/>
        <w:t>The Working Party on the Transport of Dangerous Goods held its 109th session from 4 to 7 May 2021, with Ms. A. Roumier (France) as Chair and Mr. A. Simoni (Italy) as Vice-Chair.</w:t>
      </w:r>
    </w:p>
    <w:p w14:paraId="15D47F5E" w14:textId="77777777" w:rsidR="00B93615" w:rsidRPr="00B93615" w:rsidRDefault="00B93615" w:rsidP="008A3DAD">
      <w:pPr>
        <w:pStyle w:val="H1G"/>
        <w:rPr>
          <w:lang w:eastAsia="en-US"/>
        </w:rPr>
      </w:pPr>
      <w:r w:rsidRPr="00B93615">
        <w:rPr>
          <w:lang w:eastAsia="en-US"/>
        </w:rPr>
        <w:tab/>
        <w:t>A.</w:t>
      </w:r>
      <w:r w:rsidRPr="00B93615">
        <w:rPr>
          <w:lang w:eastAsia="en-US"/>
        </w:rPr>
        <w:tab/>
        <w:t>Organizational matters</w:t>
      </w:r>
    </w:p>
    <w:p w14:paraId="14270641" w14:textId="7FC5B535" w:rsidR="00B93615" w:rsidRPr="00B93615" w:rsidRDefault="00B93615" w:rsidP="00B93615">
      <w:pPr>
        <w:tabs>
          <w:tab w:val="left" w:pos="1701"/>
          <w:tab w:val="left" w:pos="2268"/>
        </w:tabs>
        <w:spacing w:after="120"/>
        <w:ind w:left="1134" w:right="1134"/>
        <w:jc w:val="both"/>
        <w:rPr>
          <w:rFonts w:eastAsia="SimSun"/>
          <w:lang w:eastAsia="zh-CN"/>
        </w:rPr>
      </w:pPr>
      <w:r w:rsidRPr="00B93615">
        <w:rPr>
          <w:rFonts w:eastAsia="SimSun"/>
          <w:lang w:eastAsia="zh-CN"/>
        </w:rPr>
        <w:t>2.</w:t>
      </w:r>
      <w:r w:rsidRPr="00B93615">
        <w:rPr>
          <w:rFonts w:eastAsia="SimSun"/>
          <w:lang w:eastAsia="zh-CN"/>
        </w:rPr>
        <w:tab/>
        <w:t xml:space="preserve">Owing to a combination of COVID-19 response measures, financial constraints triggered by the United Nations liquidity crisis, ongoing renovation work at the Palais des Nations under the strategic heritage plan and technical constraints related to the number of meeting rooms available for hybrid meetings, the share of meetings with interpretation allocated to the Economic Commission for Europe was reduced from three meetings per day to just one per day for the first </w:t>
      </w:r>
      <w:r w:rsidR="0074134B">
        <w:rPr>
          <w:rFonts w:eastAsia="SimSun"/>
          <w:lang w:eastAsia="zh-CN"/>
        </w:rPr>
        <w:t>half</w:t>
      </w:r>
      <w:r w:rsidR="00597599" w:rsidRPr="00B93615">
        <w:rPr>
          <w:rFonts w:eastAsia="SimSun"/>
          <w:lang w:eastAsia="zh-CN"/>
        </w:rPr>
        <w:t xml:space="preserve"> </w:t>
      </w:r>
      <w:r w:rsidRPr="00B93615">
        <w:rPr>
          <w:rFonts w:eastAsia="SimSun"/>
          <w:lang w:eastAsia="zh-CN"/>
        </w:rPr>
        <w:t>of 2021. Taking into account those factors and the quarantine and travel restrictions in force, and after consultation with the secretariat and conference services of the United Nations Office at Geneva, the officers of the Working Party agreed to adapt the format of the 109th session.</w:t>
      </w:r>
    </w:p>
    <w:p w14:paraId="38279B91" w14:textId="77777777" w:rsidR="00B93615" w:rsidRPr="00B93615" w:rsidRDefault="00B93615" w:rsidP="00B93615">
      <w:pPr>
        <w:tabs>
          <w:tab w:val="left" w:pos="1701"/>
          <w:tab w:val="left" w:pos="2268"/>
        </w:tabs>
        <w:spacing w:after="120"/>
        <w:ind w:left="1134" w:right="1134"/>
        <w:jc w:val="both"/>
        <w:rPr>
          <w:rFonts w:eastAsia="SimSun"/>
          <w:lang w:eastAsia="zh-CN"/>
        </w:rPr>
      </w:pPr>
      <w:r w:rsidRPr="00B93615">
        <w:rPr>
          <w:rFonts w:eastAsia="SimSun"/>
          <w:lang w:eastAsia="zh-CN"/>
        </w:rPr>
        <w:t>3.</w:t>
      </w:r>
      <w:r w:rsidRPr="00B93615">
        <w:rPr>
          <w:rFonts w:eastAsia="SimSun"/>
          <w:lang w:eastAsia="zh-CN"/>
        </w:rPr>
        <w:tab/>
        <w:t>Accordingly and taking into account that some documents could not be discussed in informal meetings, the session initially scheduled from 3 to 7 May 2021 was held from 4 to 7 May 2021, in a hybrid format, with the possibility of participation online or in person. The Working Party met in informal meetings without interpretation and in formal hybrid meetings according to the schedule presented in informal document INF.14. During hybrid formal meetings, the Working Party was able to take decisions on the proposals and adopt the draft report of the meeting.</w:t>
      </w:r>
    </w:p>
    <w:p w14:paraId="6287ED1B" w14:textId="5EC5B59A" w:rsidR="00B93615" w:rsidRPr="00B93615" w:rsidRDefault="00B93615" w:rsidP="00B93615">
      <w:pPr>
        <w:tabs>
          <w:tab w:val="left" w:pos="1701"/>
          <w:tab w:val="left" w:pos="2268"/>
        </w:tabs>
        <w:spacing w:after="120"/>
        <w:ind w:left="1134" w:right="1134"/>
        <w:jc w:val="both"/>
        <w:rPr>
          <w:rFonts w:eastAsia="SimSun"/>
          <w:lang w:eastAsia="zh-CN"/>
        </w:rPr>
      </w:pPr>
      <w:r w:rsidRPr="00B93615">
        <w:rPr>
          <w:rFonts w:eastAsia="SimSun"/>
          <w:lang w:eastAsia="zh-CN"/>
        </w:rPr>
        <w:t>4.</w:t>
      </w:r>
      <w:r w:rsidRPr="00B93615">
        <w:rPr>
          <w:rFonts w:eastAsia="SimSun"/>
          <w:lang w:eastAsia="zh-CN"/>
        </w:rPr>
        <w:tab/>
        <w:t xml:space="preserve">Several non-English-speaking delegations expressed their regret that only a limited number of formal meetings with interpretation were available. The Working </w:t>
      </w:r>
      <w:r w:rsidR="0074134B">
        <w:rPr>
          <w:rFonts w:eastAsia="SimSun"/>
          <w:lang w:eastAsia="zh-CN"/>
        </w:rPr>
        <w:t>Party</w:t>
      </w:r>
      <w:r w:rsidR="0074134B" w:rsidRPr="00B93615">
        <w:rPr>
          <w:rFonts w:eastAsia="SimSun"/>
          <w:lang w:eastAsia="zh-CN"/>
        </w:rPr>
        <w:t xml:space="preserve"> </w:t>
      </w:r>
      <w:r w:rsidRPr="00B93615">
        <w:rPr>
          <w:rFonts w:eastAsia="SimSun"/>
          <w:lang w:eastAsia="zh-CN"/>
        </w:rPr>
        <w:t>agreed that this situation had an impact on the effectiveness of its work. The Working Party wished to recall that the autumn session of the Joint Meeting and the 110th session of the Working Party would be the last sessions of the biennium during which the complete list of amendments to enter into force on 1 January 2023 would be finalized and adopted. It will be necessary to have available for these meetings all the official meetings with interpretation, as planned in the draft programme of work of the Transport subprogramme for 2021 (ECE/TRANS/2021/8) adopted by the Inland Transport Committee and approved by the Executive Committee at its 115th session (see EXCOM/CONCLU/115).</w:t>
      </w:r>
    </w:p>
    <w:p w14:paraId="13A00013" w14:textId="77777777" w:rsidR="00B93615" w:rsidRPr="00B93615" w:rsidRDefault="00B93615" w:rsidP="008A3DAD">
      <w:pPr>
        <w:pStyle w:val="H1G"/>
        <w:rPr>
          <w:bCs/>
          <w:szCs w:val="24"/>
          <w:lang w:eastAsia="en-US"/>
        </w:rPr>
      </w:pPr>
      <w:r w:rsidRPr="00B93615">
        <w:rPr>
          <w:bCs/>
          <w:szCs w:val="24"/>
          <w:lang w:eastAsia="en-US"/>
        </w:rPr>
        <w:tab/>
        <w:t>B.</w:t>
      </w:r>
      <w:r w:rsidRPr="00B93615">
        <w:rPr>
          <w:bCs/>
          <w:szCs w:val="24"/>
          <w:lang w:eastAsia="en-US"/>
        </w:rPr>
        <w:tab/>
      </w:r>
      <w:r w:rsidRPr="00B93615">
        <w:rPr>
          <w:lang w:eastAsia="en-US"/>
        </w:rPr>
        <w:t>Attendance</w:t>
      </w:r>
    </w:p>
    <w:p w14:paraId="7C2F9584" w14:textId="39A94B04" w:rsidR="00B93615" w:rsidRPr="00B93615" w:rsidRDefault="00B93615" w:rsidP="00B93615">
      <w:pPr>
        <w:tabs>
          <w:tab w:val="left" w:pos="1701"/>
          <w:tab w:val="left" w:pos="2268"/>
        </w:tabs>
        <w:spacing w:after="120"/>
        <w:ind w:left="1134" w:right="1134"/>
        <w:jc w:val="both"/>
        <w:rPr>
          <w:rFonts w:eastAsia="SimSun"/>
          <w:lang w:eastAsia="zh-CN"/>
        </w:rPr>
      </w:pPr>
      <w:r w:rsidRPr="00B93615">
        <w:rPr>
          <w:rFonts w:eastAsia="SimSun"/>
          <w:lang w:eastAsia="zh-CN"/>
        </w:rPr>
        <w:t>5.</w:t>
      </w:r>
      <w:r w:rsidRPr="00B93615">
        <w:rPr>
          <w:rFonts w:eastAsia="SimSun"/>
          <w:lang w:eastAsia="zh-CN"/>
        </w:rPr>
        <w:tab/>
        <w:t xml:space="preserve">Representatives of the following countries took part in the session: Austria, Belarus, Belgium, Denmark, Finland, France, Germany, Italy, Latvia, Netherlands, Norway, Poland, Portugal, Republic of Moldova, Romania, Russian Federation, </w:t>
      </w:r>
      <w:r w:rsidR="007263E1">
        <w:rPr>
          <w:rFonts w:eastAsia="SimSun"/>
          <w:lang w:eastAsia="zh-CN"/>
        </w:rPr>
        <w:t xml:space="preserve">Slovakia, </w:t>
      </w:r>
      <w:r w:rsidRPr="00B93615">
        <w:rPr>
          <w:rFonts w:eastAsia="SimSun"/>
          <w:lang w:eastAsia="zh-CN"/>
        </w:rPr>
        <w:t>Slovenia, Spain, Sweden, Switzerland, Turkey and United Kingdom.</w:t>
      </w:r>
    </w:p>
    <w:p w14:paraId="20BAD8B2" w14:textId="56ED1883" w:rsidR="00B93615" w:rsidRPr="00B93615" w:rsidRDefault="007263E1" w:rsidP="00B93615">
      <w:pPr>
        <w:tabs>
          <w:tab w:val="left" w:pos="1701"/>
          <w:tab w:val="left" w:pos="2268"/>
        </w:tabs>
        <w:spacing w:after="120"/>
        <w:ind w:left="1134" w:right="1134"/>
        <w:jc w:val="both"/>
        <w:rPr>
          <w:rFonts w:eastAsia="SimSun"/>
          <w:lang w:eastAsia="zh-CN"/>
        </w:rPr>
      </w:pPr>
      <w:r>
        <w:rPr>
          <w:rFonts w:eastAsia="SimSun"/>
          <w:lang w:eastAsia="zh-CN"/>
        </w:rPr>
        <w:t>6</w:t>
      </w:r>
      <w:r w:rsidR="00B93615" w:rsidRPr="00B93615">
        <w:rPr>
          <w:rFonts w:eastAsia="SimSun"/>
          <w:lang w:eastAsia="zh-CN"/>
        </w:rPr>
        <w:t>.</w:t>
      </w:r>
      <w:r w:rsidR="00B93615" w:rsidRPr="00B93615">
        <w:rPr>
          <w:rFonts w:eastAsia="SimSun"/>
          <w:lang w:eastAsia="zh-CN"/>
        </w:rPr>
        <w:tab/>
        <w:t>The European Union was represented.</w:t>
      </w:r>
    </w:p>
    <w:p w14:paraId="3B17FA3C" w14:textId="60D24170" w:rsidR="00B93615" w:rsidRPr="00B93615" w:rsidRDefault="007263E1" w:rsidP="00B93615">
      <w:pPr>
        <w:tabs>
          <w:tab w:val="left" w:pos="1701"/>
          <w:tab w:val="left" w:pos="2268"/>
        </w:tabs>
        <w:spacing w:after="120"/>
        <w:ind w:left="1134" w:right="1134"/>
        <w:jc w:val="both"/>
        <w:rPr>
          <w:rFonts w:eastAsia="SimSun"/>
          <w:lang w:eastAsia="zh-CN"/>
        </w:rPr>
      </w:pPr>
      <w:r>
        <w:rPr>
          <w:rFonts w:eastAsia="SimSun"/>
          <w:lang w:eastAsia="zh-CN"/>
        </w:rPr>
        <w:t>7</w:t>
      </w:r>
      <w:r w:rsidR="00B93615" w:rsidRPr="00B93615">
        <w:rPr>
          <w:rFonts w:eastAsia="SimSun"/>
          <w:lang w:eastAsia="zh-CN"/>
        </w:rPr>
        <w:t>.</w:t>
      </w:r>
      <w:r w:rsidR="00B93615" w:rsidRPr="00B93615">
        <w:rPr>
          <w:rFonts w:eastAsia="SimSun"/>
          <w:lang w:eastAsia="zh-CN"/>
        </w:rPr>
        <w:tab/>
        <w:t>The following intergovernmental organization was represented: Intergovernmental Organisation for International Carriage by Rail (OTIF).</w:t>
      </w:r>
    </w:p>
    <w:p w14:paraId="21E793E9" w14:textId="66DEC2AA" w:rsidR="00B93615" w:rsidRPr="00B93615" w:rsidRDefault="007263E1" w:rsidP="00B93615">
      <w:pPr>
        <w:tabs>
          <w:tab w:val="left" w:pos="1701"/>
          <w:tab w:val="left" w:pos="2268"/>
        </w:tabs>
        <w:spacing w:after="120"/>
        <w:ind w:left="1134" w:right="1134"/>
        <w:jc w:val="both"/>
        <w:rPr>
          <w:rFonts w:eastAsia="SimSun"/>
          <w:lang w:eastAsia="zh-CN"/>
        </w:rPr>
      </w:pPr>
      <w:r>
        <w:rPr>
          <w:rFonts w:eastAsia="SimSun"/>
          <w:lang w:eastAsia="zh-CN"/>
        </w:rPr>
        <w:t>8</w:t>
      </w:r>
      <w:r w:rsidR="00B93615" w:rsidRPr="00B93615">
        <w:rPr>
          <w:rFonts w:eastAsia="SimSun"/>
          <w:lang w:eastAsia="zh-CN"/>
        </w:rPr>
        <w:t>.</w:t>
      </w:r>
      <w:r w:rsidR="00B93615" w:rsidRPr="00B93615">
        <w:rPr>
          <w:rFonts w:eastAsia="SimSun"/>
          <w:lang w:eastAsia="zh-CN"/>
        </w:rPr>
        <w:tab/>
        <w:t>The following non-gove</w:t>
      </w:r>
      <w:r w:rsidR="00B93615" w:rsidRPr="008A3DAD">
        <w:rPr>
          <w:rFonts w:eastAsia="SimSun"/>
          <w:lang w:eastAsia="zh-CN"/>
        </w:rPr>
        <w:t xml:space="preserve">rnmental organizations were represented: European Chemical Industry Council (Cefic); European Conference of Fuel Distributors (ECFD); European Industrial Gases Association (EIGA); FuelsEurope; International Organization of Motor Vehicle Manufacturers (OICA); International Road Union (IRU) </w:t>
      </w:r>
      <w:r w:rsidR="00075CC2" w:rsidRPr="008A3DAD">
        <w:rPr>
          <w:rFonts w:eastAsia="SimSun"/>
          <w:lang w:eastAsia="zh-CN"/>
        </w:rPr>
        <w:t>and</w:t>
      </w:r>
      <w:r w:rsidR="00B93615" w:rsidRPr="008A3DAD">
        <w:rPr>
          <w:rFonts w:eastAsia="SimSun"/>
          <w:lang w:eastAsia="zh-CN"/>
        </w:rPr>
        <w:t xml:space="preserve"> Liquid Gas Europe.</w:t>
      </w:r>
    </w:p>
    <w:p w14:paraId="4C220964" w14:textId="77777777" w:rsidR="00B93615" w:rsidRPr="00B93615" w:rsidRDefault="00B93615" w:rsidP="008A3DAD">
      <w:pPr>
        <w:pStyle w:val="HChG"/>
        <w:rPr>
          <w:lang w:eastAsia="en-US"/>
        </w:rPr>
      </w:pPr>
      <w:r w:rsidRPr="00B93615">
        <w:rPr>
          <w:lang w:eastAsia="en-US"/>
        </w:rPr>
        <w:tab/>
        <w:t>II.</w:t>
      </w:r>
      <w:r w:rsidRPr="00B93615">
        <w:rPr>
          <w:lang w:eastAsia="en-US"/>
        </w:rPr>
        <w:tab/>
        <w:t>Opening of the session</w:t>
      </w:r>
    </w:p>
    <w:p w14:paraId="50CF2090" w14:textId="0ADEDF82" w:rsidR="00B93615" w:rsidRPr="00B93615" w:rsidRDefault="00B519A4" w:rsidP="00B93615">
      <w:pPr>
        <w:tabs>
          <w:tab w:val="left" w:pos="1701"/>
          <w:tab w:val="left" w:pos="2268"/>
        </w:tabs>
        <w:spacing w:after="120"/>
        <w:ind w:left="1134" w:right="1134"/>
        <w:jc w:val="both"/>
        <w:rPr>
          <w:rFonts w:eastAsia="SimSun"/>
          <w:lang w:eastAsia="zh-CN"/>
        </w:rPr>
      </w:pPr>
      <w:r>
        <w:rPr>
          <w:rFonts w:eastAsia="SimSun"/>
          <w:lang w:eastAsia="zh-CN"/>
        </w:rPr>
        <w:t>9</w:t>
      </w:r>
      <w:r w:rsidR="00B93615" w:rsidRPr="00B93615">
        <w:rPr>
          <w:rFonts w:eastAsia="SimSun"/>
          <w:lang w:eastAsia="zh-CN"/>
        </w:rPr>
        <w:t>.</w:t>
      </w:r>
      <w:r w:rsidR="00B93615" w:rsidRPr="00B93615">
        <w:rPr>
          <w:rFonts w:eastAsia="SimSun"/>
          <w:lang w:eastAsia="zh-CN"/>
        </w:rPr>
        <w:tab/>
        <w:t xml:space="preserve">Mr. Dmitry Mariyasin, Deputy Executive Secretary of ECE, opened the session and welcomed all participants. He stressed the importance of ADR, particularly at a time of the coronavirus disease (COVID-19) pandemic when transport of dangerous goods for medical </w:t>
      </w:r>
      <w:r w:rsidR="00B93615" w:rsidRPr="00B93615">
        <w:rPr>
          <w:rFonts w:eastAsia="SimSun"/>
          <w:lang w:eastAsia="zh-CN"/>
        </w:rPr>
        <w:lastRenderedPageBreak/>
        <w:t>use must continue to be ensured under the best possible conditions. He welcomed the measures taken by the competent authorities in this regard, including the signing of multilateral agreements with a view to ensuring continuity of service within a legal and institutional framework and with sufficient security guarantees. He also emphasized the importance of the work on the use of battery electric vehicles and hydrogen fuel cell vehicles for the transport of dangerous goods within the framework of energy transition.</w:t>
      </w:r>
    </w:p>
    <w:p w14:paraId="352108FC" w14:textId="77777777" w:rsidR="00B93615" w:rsidRPr="00B93615" w:rsidRDefault="00B93615" w:rsidP="008A3DAD">
      <w:pPr>
        <w:pStyle w:val="HChG"/>
        <w:rPr>
          <w:lang w:eastAsia="en-US"/>
        </w:rPr>
      </w:pPr>
      <w:r w:rsidRPr="00B93615">
        <w:rPr>
          <w:lang w:eastAsia="en-US"/>
        </w:rPr>
        <w:tab/>
        <w:t>III.</w:t>
      </w:r>
      <w:r w:rsidRPr="00B93615">
        <w:rPr>
          <w:lang w:eastAsia="en-US"/>
        </w:rPr>
        <w:tab/>
        <w:t>Adoption of the agenda (agenda item 1)</w:t>
      </w:r>
      <w:bookmarkStart w:id="2" w:name="_Hlk6316889"/>
      <w:bookmarkStart w:id="3" w:name="_Toc499903630"/>
      <w:bookmarkEnd w:id="2"/>
      <w:bookmarkEnd w:id="3"/>
    </w:p>
    <w:p w14:paraId="4F6268C3" w14:textId="77777777" w:rsidR="00B93615" w:rsidRPr="00B93615" w:rsidRDefault="00B93615" w:rsidP="00B93615">
      <w:pPr>
        <w:tabs>
          <w:tab w:val="left" w:pos="1701"/>
          <w:tab w:val="left" w:pos="2268"/>
          <w:tab w:val="left" w:pos="3402"/>
        </w:tabs>
        <w:spacing w:after="120"/>
        <w:ind w:left="3402" w:right="1134" w:hanging="2268"/>
        <w:jc w:val="both"/>
        <w:rPr>
          <w:rFonts w:eastAsia="SimSun"/>
          <w:lang w:eastAsia="zh-CN"/>
        </w:rPr>
      </w:pPr>
      <w:r w:rsidRPr="00B93615">
        <w:rPr>
          <w:rFonts w:eastAsia="SimSun"/>
          <w:i/>
          <w:iCs/>
          <w:lang w:eastAsia="zh-CN"/>
        </w:rPr>
        <w:t>Documents</w:t>
      </w:r>
      <w:r w:rsidRPr="00B93615">
        <w:rPr>
          <w:rFonts w:eastAsia="SimSun"/>
          <w:lang w:eastAsia="zh-CN"/>
        </w:rPr>
        <w:t>:</w:t>
      </w:r>
      <w:r w:rsidRPr="00B93615">
        <w:rPr>
          <w:rFonts w:eastAsia="SimSun"/>
          <w:lang w:eastAsia="zh-CN"/>
        </w:rPr>
        <w:tab/>
      </w:r>
      <w:r w:rsidRPr="00B93615">
        <w:rPr>
          <w:rFonts w:eastAsia="SimSun"/>
          <w:lang w:eastAsia="zh-CN"/>
        </w:rPr>
        <w:tab/>
        <w:t>ECE/TRANS/WP.15/252 and ECE/TRANS/WP.15/252/Add.1 (Secretariat)</w:t>
      </w:r>
    </w:p>
    <w:p w14:paraId="0D59EA0B" w14:textId="77777777" w:rsidR="00B93615" w:rsidRPr="00B93615" w:rsidRDefault="00B93615" w:rsidP="00B93615">
      <w:pPr>
        <w:tabs>
          <w:tab w:val="left" w:pos="1701"/>
          <w:tab w:val="left" w:pos="2268"/>
          <w:tab w:val="left" w:pos="3402"/>
        </w:tabs>
        <w:spacing w:after="120"/>
        <w:ind w:left="3402" w:right="1134" w:hanging="2268"/>
        <w:jc w:val="both"/>
        <w:rPr>
          <w:rFonts w:eastAsia="SimSun"/>
          <w:lang w:eastAsia="zh-CN"/>
        </w:rPr>
      </w:pPr>
      <w:r w:rsidRPr="00B93615">
        <w:rPr>
          <w:rFonts w:eastAsia="SimSun"/>
          <w:i/>
          <w:iCs/>
          <w:lang w:eastAsia="zh-CN"/>
        </w:rPr>
        <w:t>Informal documents</w:t>
      </w:r>
      <w:r w:rsidRPr="00B93615">
        <w:rPr>
          <w:rFonts w:eastAsia="SimSun"/>
          <w:lang w:eastAsia="zh-CN"/>
        </w:rPr>
        <w:t>:</w:t>
      </w:r>
      <w:r w:rsidRPr="00B93615">
        <w:rPr>
          <w:rFonts w:eastAsia="SimSun"/>
          <w:lang w:eastAsia="zh-CN"/>
        </w:rPr>
        <w:tab/>
        <w:t>INF.1, INF.2, INF.14 and INF.15 (Secretariat)</w:t>
      </w:r>
    </w:p>
    <w:p w14:paraId="4D745C5F" w14:textId="3271CADF" w:rsidR="00B93615" w:rsidRPr="00B93615" w:rsidRDefault="00F87546" w:rsidP="00B93615">
      <w:pPr>
        <w:tabs>
          <w:tab w:val="left" w:pos="1701"/>
          <w:tab w:val="left" w:pos="2268"/>
        </w:tabs>
        <w:spacing w:after="120"/>
        <w:ind w:left="1134" w:right="1134"/>
        <w:jc w:val="both"/>
        <w:rPr>
          <w:rFonts w:eastAsia="SimSun"/>
          <w:lang w:eastAsia="zh-CN"/>
        </w:rPr>
      </w:pPr>
      <w:r>
        <w:rPr>
          <w:rFonts w:eastAsia="SimSun"/>
          <w:lang w:eastAsia="zh-CN"/>
        </w:rPr>
        <w:t>10</w:t>
      </w:r>
      <w:r w:rsidR="00B93615" w:rsidRPr="00B93615">
        <w:rPr>
          <w:rFonts w:eastAsia="SimSun"/>
          <w:lang w:eastAsia="zh-CN"/>
        </w:rPr>
        <w:t>.</w:t>
      </w:r>
      <w:r w:rsidR="00B93615" w:rsidRPr="00B93615">
        <w:rPr>
          <w:rFonts w:eastAsia="SimSun"/>
          <w:lang w:eastAsia="zh-CN"/>
        </w:rPr>
        <w:tab/>
        <w:t>The Working Party adopted the provisional agenda prepared by the secretariat, as amended by informal document INF.2 to take account of informal documents INF.1 to INF.20. The Working Party noted that informal document INF.3 had been withdrawn, as it had been published in error.</w:t>
      </w:r>
    </w:p>
    <w:p w14:paraId="04088115" w14:textId="77777777" w:rsidR="00B93615" w:rsidRPr="00B93615" w:rsidRDefault="00B93615" w:rsidP="008A3DAD">
      <w:pPr>
        <w:pStyle w:val="HChG"/>
        <w:rPr>
          <w:lang w:eastAsia="en-US"/>
        </w:rPr>
      </w:pPr>
      <w:r w:rsidRPr="00B93615">
        <w:rPr>
          <w:lang w:eastAsia="en-US"/>
        </w:rPr>
        <w:tab/>
        <w:t>IV.</w:t>
      </w:r>
      <w:r w:rsidRPr="00B93615">
        <w:rPr>
          <w:lang w:eastAsia="en-US"/>
        </w:rPr>
        <w:tab/>
        <w:t>Eighty-third session of the Inland Transport Committee (agenda item 2)</w:t>
      </w:r>
    </w:p>
    <w:p w14:paraId="58A57080" w14:textId="77777777" w:rsidR="00C64983" w:rsidRPr="00C64983" w:rsidRDefault="00C64983" w:rsidP="00C64983">
      <w:pPr>
        <w:tabs>
          <w:tab w:val="left" w:pos="3402"/>
        </w:tabs>
        <w:ind w:left="1134" w:right="1134"/>
        <w:jc w:val="both"/>
        <w:rPr>
          <w:rFonts w:eastAsia="SimSun"/>
          <w:lang w:eastAsia="zh-CN"/>
        </w:rPr>
      </w:pPr>
      <w:r w:rsidRPr="00C64983">
        <w:rPr>
          <w:rFonts w:eastAsia="SimSun"/>
          <w:i/>
          <w:iCs/>
          <w:lang w:eastAsia="zh-CN"/>
        </w:rPr>
        <w:t>Document</w:t>
      </w:r>
      <w:r w:rsidRPr="00C64983">
        <w:rPr>
          <w:rFonts w:eastAsia="SimSun"/>
          <w:lang w:eastAsia="zh-CN"/>
        </w:rPr>
        <w:t>:</w:t>
      </w:r>
      <w:r w:rsidRPr="00C64983">
        <w:rPr>
          <w:rFonts w:eastAsia="SimSun"/>
          <w:lang w:eastAsia="zh-CN"/>
        </w:rPr>
        <w:tab/>
      </w:r>
      <w:r w:rsidRPr="00C64983">
        <w:rPr>
          <w:rFonts w:eastAsia="SimSun"/>
          <w:lang w:eastAsia="zh-CN"/>
        </w:rPr>
        <w:tab/>
        <w:t xml:space="preserve">ECE/TRANS/2021/3 (Implementation of the ITC Strategy until </w:t>
      </w:r>
      <w:r w:rsidRPr="00C64983">
        <w:rPr>
          <w:rFonts w:eastAsia="SimSun"/>
          <w:lang w:eastAsia="zh-CN"/>
        </w:rPr>
        <w:tab/>
        <w:t>2030)</w:t>
      </w:r>
    </w:p>
    <w:p w14:paraId="5DD9CCCB" w14:textId="77777777" w:rsidR="00C64983" w:rsidRPr="00C64983" w:rsidRDefault="00C64983" w:rsidP="00C64983">
      <w:pPr>
        <w:tabs>
          <w:tab w:val="left" w:pos="3402"/>
        </w:tabs>
        <w:spacing w:after="120"/>
        <w:ind w:left="3402" w:right="1134" w:hanging="2268"/>
        <w:jc w:val="both"/>
        <w:rPr>
          <w:rFonts w:eastAsia="SimSun"/>
          <w:lang w:eastAsia="zh-CN"/>
        </w:rPr>
      </w:pPr>
      <w:r w:rsidRPr="00C64983">
        <w:rPr>
          <w:rFonts w:eastAsia="SimSun"/>
          <w:i/>
          <w:iCs/>
          <w:lang w:eastAsia="zh-CN"/>
        </w:rPr>
        <w:t>Informal documents</w:t>
      </w:r>
      <w:r w:rsidRPr="00C64983">
        <w:rPr>
          <w:rFonts w:eastAsia="SimSun"/>
          <w:lang w:eastAsia="zh-CN"/>
        </w:rPr>
        <w:t>:</w:t>
      </w:r>
      <w:r w:rsidRPr="00C64983">
        <w:rPr>
          <w:rFonts w:eastAsia="SimSun"/>
          <w:lang w:eastAsia="zh-CN"/>
        </w:rPr>
        <w:tab/>
        <w:t>Informal document No. 8/Rev.5 of the eighty-third session of the Inland Transport Committee</w:t>
      </w:r>
    </w:p>
    <w:p w14:paraId="07926FFA" w14:textId="77777777" w:rsidR="00C64983" w:rsidRPr="00C64983" w:rsidRDefault="00C64983" w:rsidP="00C64983">
      <w:pPr>
        <w:tabs>
          <w:tab w:val="left" w:pos="3402"/>
        </w:tabs>
        <w:spacing w:after="120"/>
        <w:ind w:left="1134" w:right="1134"/>
        <w:jc w:val="both"/>
        <w:rPr>
          <w:rFonts w:eastAsia="SimSun"/>
          <w:lang w:eastAsia="zh-CN"/>
        </w:rPr>
      </w:pPr>
      <w:r w:rsidRPr="00C64983">
        <w:rPr>
          <w:rFonts w:eastAsia="SimSun"/>
          <w:lang w:eastAsia="zh-CN"/>
        </w:rPr>
        <w:tab/>
        <w:t>Informal document INF.20</w:t>
      </w:r>
    </w:p>
    <w:p w14:paraId="17DE7056" w14:textId="5280A80C" w:rsidR="00C64983" w:rsidRPr="00C64983" w:rsidRDefault="00F87546" w:rsidP="00C64983">
      <w:pPr>
        <w:tabs>
          <w:tab w:val="left" w:pos="1701"/>
          <w:tab w:val="left" w:pos="2268"/>
        </w:tabs>
        <w:spacing w:after="120"/>
        <w:ind w:left="1134" w:right="1134"/>
        <w:jc w:val="both"/>
        <w:rPr>
          <w:rFonts w:eastAsia="SimSun"/>
          <w:lang w:eastAsia="zh-CN"/>
        </w:rPr>
      </w:pPr>
      <w:r>
        <w:rPr>
          <w:rFonts w:eastAsia="SimSun"/>
          <w:lang w:eastAsia="zh-CN"/>
        </w:rPr>
        <w:t>11</w:t>
      </w:r>
      <w:r w:rsidR="00C64983" w:rsidRPr="00C64983">
        <w:rPr>
          <w:rFonts w:eastAsia="SimSun"/>
          <w:lang w:eastAsia="zh-CN"/>
        </w:rPr>
        <w:t>.</w:t>
      </w:r>
      <w:r w:rsidR="00C64983" w:rsidRPr="00C64983">
        <w:rPr>
          <w:rFonts w:eastAsia="SimSun"/>
          <w:lang w:eastAsia="zh-CN"/>
        </w:rPr>
        <w:tab/>
        <w:t>The Working Party took note of the ITC decisions on its eighty-third session (Geneva, 23–26 February 2021), in particular decisions 50–55 concerning activities relating to the transport of dangerous goods and the work of the Working Party.</w:t>
      </w:r>
    </w:p>
    <w:p w14:paraId="4B8854A7" w14:textId="2CBBC8CD" w:rsidR="00C64983" w:rsidRPr="00C64983" w:rsidRDefault="00F87546" w:rsidP="00C64983">
      <w:pPr>
        <w:tabs>
          <w:tab w:val="left" w:pos="1701"/>
          <w:tab w:val="left" w:pos="2268"/>
        </w:tabs>
        <w:spacing w:after="120"/>
        <w:ind w:left="1134" w:right="1134"/>
        <w:jc w:val="both"/>
        <w:rPr>
          <w:rFonts w:eastAsia="SimSun"/>
          <w:lang w:eastAsia="zh-CN"/>
        </w:rPr>
      </w:pPr>
      <w:r>
        <w:rPr>
          <w:rFonts w:eastAsia="SimSun"/>
          <w:lang w:eastAsia="zh-CN"/>
        </w:rPr>
        <w:t>12</w:t>
      </w:r>
      <w:r w:rsidR="00C64983" w:rsidRPr="00C64983">
        <w:rPr>
          <w:rFonts w:eastAsia="SimSun"/>
          <w:lang w:eastAsia="zh-CN"/>
        </w:rPr>
        <w:t>.</w:t>
      </w:r>
      <w:r w:rsidR="00C64983" w:rsidRPr="00C64983">
        <w:rPr>
          <w:rFonts w:eastAsia="SimSun"/>
          <w:lang w:eastAsia="zh-CN"/>
        </w:rPr>
        <w:tab/>
        <w:t xml:space="preserve">The Working Party noted with interest the work on the implementation of the Committee’s strategy until 2030 and the required actions listed in document ECE/TRANS/2021/3. </w:t>
      </w:r>
    </w:p>
    <w:p w14:paraId="48247A76" w14:textId="677DD11A" w:rsidR="00C64983" w:rsidRPr="00C64983" w:rsidRDefault="00F87546" w:rsidP="00C64983">
      <w:pPr>
        <w:tabs>
          <w:tab w:val="left" w:pos="1701"/>
          <w:tab w:val="left" w:pos="2268"/>
        </w:tabs>
        <w:spacing w:after="120"/>
        <w:ind w:left="1134" w:right="1134"/>
        <w:jc w:val="both"/>
        <w:rPr>
          <w:rFonts w:eastAsia="SimSun"/>
          <w:lang w:eastAsia="zh-CN"/>
        </w:rPr>
      </w:pPr>
      <w:r>
        <w:rPr>
          <w:rFonts w:eastAsia="SimSun"/>
          <w:lang w:eastAsia="zh-CN"/>
        </w:rPr>
        <w:t>13</w:t>
      </w:r>
      <w:r w:rsidR="00C64983" w:rsidRPr="00C64983">
        <w:rPr>
          <w:rFonts w:eastAsia="SimSun"/>
          <w:lang w:eastAsia="zh-CN"/>
        </w:rPr>
        <w:t>.</w:t>
      </w:r>
      <w:r w:rsidR="00C64983" w:rsidRPr="00C64983">
        <w:rPr>
          <w:rFonts w:eastAsia="SimSun"/>
          <w:lang w:eastAsia="zh-CN"/>
        </w:rPr>
        <w:tab/>
        <w:t xml:space="preserve">The Chair of the Working Party stated that she would transmit a progress report to the ITC secretariat on the status of implementation of the strategy in the Working Party and on any necessary additions and amendments to the “Status and next steps” table contained in document ECE/TRANS/2021/3. Delegations wishing to do so may send their comments and proposals for additions and amendments to the Chair of the Working Party before 1 July 2021 so that they can be reported to the Bureau of ITC at its November 2021 session. </w:t>
      </w:r>
    </w:p>
    <w:p w14:paraId="2A6B2D6F" w14:textId="77777777" w:rsidR="00FF587A" w:rsidRPr="00FF587A" w:rsidRDefault="00FF587A" w:rsidP="008A3DAD">
      <w:pPr>
        <w:pStyle w:val="HChG"/>
        <w:rPr>
          <w:lang w:eastAsia="en-US"/>
        </w:rPr>
      </w:pPr>
      <w:r w:rsidRPr="00FF587A">
        <w:rPr>
          <w:lang w:eastAsia="en-US"/>
        </w:rPr>
        <w:tab/>
        <w:t>V.</w:t>
      </w:r>
      <w:r w:rsidRPr="00FF587A">
        <w:rPr>
          <w:lang w:eastAsia="en-US"/>
        </w:rPr>
        <w:tab/>
        <w:t>Status of the Agreement concerning the International Carriage of Dangerous Goods by Road (ADR) and related issues (agenda item 3)</w:t>
      </w:r>
    </w:p>
    <w:p w14:paraId="6CBAD0F7" w14:textId="018EB355" w:rsidR="00FF587A" w:rsidRPr="00FF587A" w:rsidRDefault="006F64D2" w:rsidP="00FF587A">
      <w:pPr>
        <w:tabs>
          <w:tab w:val="left" w:pos="1701"/>
          <w:tab w:val="left" w:pos="2268"/>
        </w:tabs>
        <w:spacing w:after="120"/>
        <w:ind w:left="1134" w:right="1134"/>
        <w:jc w:val="both"/>
        <w:rPr>
          <w:rFonts w:eastAsia="SimSun"/>
          <w:lang w:eastAsia="zh-CN"/>
        </w:rPr>
      </w:pPr>
      <w:r>
        <w:rPr>
          <w:rFonts w:eastAsia="SimSun"/>
          <w:lang w:eastAsia="zh-CN"/>
        </w:rPr>
        <w:t>14</w:t>
      </w:r>
      <w:r w:rsidR="00FF587A" w:rsidRPr="00FF587A">
        <w:rPr>
          <w:rFonts w:eastAsia="SimSun"/>
          <w:lang w:eastAsia="zh-CN"/>
        </w:rPr>
        <w:t>.</w:t>
      </w:r>
      <w:r w:rsidR="00FF587A" w:rsidRPr="00FF587A">
        <w:rPr>
          <w:rFonts w:eastAsia="SimSun"/>
          <w:lang w:eastAsia="zh-CN"/>
        </w:rPr>
        <w:tab/>
        <w:t>The Working Party noted that 13 countries (Azerbaijan, Belarus, Bosnia and Herzegovina, Croatia, Georgia, Iceland, Kazakhstan, Montenegro, Morocco, Nigeria, North Macedonia, San Marino and Tajikistan) had not yet deposited the required instruments for the Protocol of 1993 amending article 1 (a), article 14 (1) and article 14 (3) (b) of ADR to enter into force and encouraged them to take the necessary measures to ratify or accede to it so that it could do so.</w:t>
      </w:r>
    </w:p>
    <w:p w14:paraId="55EF852C" w14:textId="77777777" w:rsidR="00FF587A" w:rsidRPr="00FF587A" w:rsidRDefault="00FF587A" w:rsidP="008A3DAD">
      <w:pPr>
        <w:pStyle w:val="HChG"/>
        <w:rPr>
          <w:lang w:eastAsia="en-US"/>
        </w:rPr>
      </w:pPr>
      <w:r w:rsidRPr="00FF587A">
        <w:rPr>
          <w:lang w:eastAsia="en-US"/>
        </w:rPr>
        <w:lastRenderedPageBreak/>
        <w:tab/>
        <w:t>VI.</w:t>
      </w:r>
      <w:r w:rsidRPr="00FF587A">
        <w:rPr>
          <w:lang w:eastAsia="en-US"/>
        </w:rPr>
        <w:tab/>
        <w:t>Work of the RID/ADR/ADN Joint Meeting (agenda item 4)</w:t>
      </w:r>
    </w:p>
    <w:p w14:paraId="60D4C31F" w14:textId="77777777" w:rsidR="00FF587A" w:rsidRPr="00FF587A" w:rsidRDefault="00FF587A" w:rsidP="00FF587A">
      <w:pPr>
        <w:tabs>
          <w:tab w:val="left" w:pos="1701"/>
          <w:tab w:val="left" w:pos="2268"/>
          <w:tab w:val="left" w:pos="3402"/>
        </w:tabs>
        <w:spacing w:after="120"/>
        <w:ind w:left="3402" w:right="1134" w:hanging="2268"/>
        <w:jc w:val="both"/>
        <w:rPr>
          <w:rFonts w:eastAsia="SimSun"/>
          <w:lang w:eastAsia="zh-CN"/>
        </w:rPr>
      </w:pPr>
      <w:r w:rsidRPr="00FF587A">
        <w:rPr>
          <w:rFonts w:eastAsia="SimSun"/>
          <w:i/>
          <w:iCs/>
          <w:lang w:eastAsia="zh-CN"/>
        </w:rPr>
        <w:t>Document</w:t>
      </w:r>
      <w:r w:rsidRPr="00FF587A">
        <w:rPr>
          <w:rFonts w:eastAsia="SimSun"/>
          <w:lang w:eastAsia="zh-CN"/>
        </w:rPr>
        <w:t>:</w:t>
      </w:r>
      <w:r w:rsidRPr="00FF587A">
        <w:rPr>
          <w:rFonts w:eastAsia="SimSun"/>
          <w:lang w:eastAsia="zh-CN"/>
        </w:rPr>
        <w:tab/>
      </w:r>
      <w:r w:rsidRPr="00FF587A">
        <w:rPr>
          <w:rFonts w:eastAsia="SimSun"/>
          <w:lang w:eastAsia="zh-CN"/>
        </w:rPr>
        <w:tab/>
        <w:t>ECE/TRANS/WP.15/AC.1/158 (Report of the Joint Meeting on its autumn 2020 session)</w:t>
      </w:r>
    </w:p>
    <w:p w14:paraId="5D4E69CE" w14:textId="77777777" w:rsidR="00FF587A" w:rsidRPr="00FF587A" w:rsidRDefault="00FF587A" w:rsidP="00FF587A">
      <w:pPr>
        <w:tabs>
          <w:tab w:val="left" w:pos="1701"/>
          <w:tab w:val="left" w:pos="2268"/>
        </w:tabs>
        <w:spacing w:after="120"/>
        <w:ind w:left="1134" w:right="1134"/>
        <w:jc w:val="both"/>
        <w:rPr>
          <w:rFonts w:eastAsia="SimSun"/>
          <w:szCs w:val="24"/>
          <w:lang w:eastAsia="zh-CN"/>
        </w:rPr>
      </w:pPr>
      <w:r w:rsidRPr="00FF587A">
        <w:rPr>
          <w:rFonts w:eastAsia="SimSun"/>
          <w:i/>
          <w:iCs/>
          <w:lang w:eastAsia="zh-CN"/>
        </w:rPr>
        <w:t>Informal document</w:t>
      </w:r>
      <w:r w:rsidRPr="00FF587A">
        <w:rPr>
          <w:rFonts w:eastAsia="SimSun"/>
          <w:lang w:eastAsia="zh-CN"/>
        </w:rPr>
        <w:t>:</w:t>
      </w:r>
      <w:r w:rsidRPr="00FF587A">
        <w:rPr>
          <w:rFonts w:eastAsia="SimSun"/>
          <w:lang w:eastAsia="zh-CN"/>
        </w:rPr>
        <w:tab/>
      </w:r>
      <w:r w:rsidRPr="00FF587A">
        <w:rPr>
          <w:rFonts w:eastAsia="SimSun"/>
          <w:lang w:eastAsia="zh-CN"/>
        </w:rPr>
        <w:tab/>
        <w:t>INF.11 (Secretariat)</w:t>
      </w:r>
    </w:p>
    <w:p w14:paraId="243DF31B" w14:textId="59F5F20F" w:rsidR="00FF587A" w:rsidRPr="00FF587A" w:rsidRDefault="0078545D" w:rsidP="00FF587A">
      <w:pPr>
        <w:tabs>
          <w:tab w:val="left" w:pos="1701"/>
          <w:tab w:val="left" w:pos="2268"/>
        </w:tabs>
        <w:spacing w:after="120"/>
        <w:ind w:left="1134" w:right="1134"/>
        <w:jc w:val="both"/>
        <w:rPr>
          <w:rFonts w:eastAsia="SimSun"/>
          <w:lang w:eastAsia="zh-CN"/>
        </w:rPr>
      </w:pPr>
      <w:r>
        <w:rPr>
          <w:rFonts w:eastAsia="SimSun"/>
          <w:lang w:eastAsia="zh-CN"/>
        </w:rPr>
        <w:t>15</w:t>
      </w:r>
      <w:r w:rsidR="00FF587A" w:rsidRPr="00FF587A">
        <w:rPr>
          <w:rFonts w:eastAsia="SimSun"/>
          <w:lang w:eastAsia="zh-CN"/>
        </w:rPr>
        <w:t>.</w:t>
      </w:r>
      <w:r w:rsidR="00FF587A" w:rsidRPr="00FF587A">
        <w:rPr>
          <w:rFonts w:eastAsia="SimSun"/>
          <w:lang w:eastAsia="zh-CN"/>
        </w:rPr>
        <w:tab/>
        <w:t xml:space="preserve">At the previous session, several delegations wished to have more time to study the European Union’s multimodal guidelines (Inland TDG Risk Management Framework) before adopting the addition of a non-binding reference to those guidelines in 1.9.4. Some delegations reiterated that they considered it premature to add this reference in ADR, as these guidelines were still being developed and would need to be updated with new data. It was recalled that the use of these guidelines would be non-binding. The Working Party adopted the amendment to 1.9.4 contained in annex II to document ECE/TRANS/WP.15/AC.1/158 (see annex </w:t>
      </w:r>
      <w:r>
        <w:rPr>
          <w:rFonts w:eastAsia="SimSun"/>
          <w:lang w:eastAsia="zh-CN"/>
        </w:rPr>
        <w:t>I</w:t>
      </w:r>
      <w:r w:rsidRPr="00FF587A">
        <w:rPr>
          <w:rFonts w:eastAsia="SimSun"/>
          <w:lang w:eastAsia="zh-CN"/>
        </w:rPr>
        <w:t xml:space="preserve">) </w:t>
      </w:r>
      <w:r w:rsidR="00FF587A" w:rsidRPr="00FF587A">
        <w:rPr>
          <w:rFonts w:eastAsia="SimSun"/>
          <w:lang w:eastAsia="zh-CN"/>
        </w:rPr>
        <w:t>and invited delegations wishing to reconsider this amendment to transmit their comments to the Joint Meeting.</w:t>
      </w:r>
      <w:bookmarkStart w:id="4" w:name="_Hlk71029095"/>
      <w:bookmarkStart w:id="5" w:name="_Hlk71029049"/>
      <w:bookmarkEnd w:id="4"/>
      <w:bookmarkEnd w:id="5"/>
    </w:p>
    <w:p w14:paraId="6ECD9F6F" w14:textId="2489B4B9" w:rsidR="00FF587A" w:rsidRPr="00FF587A" w:rsidRDefault="007D4A19" w:rsidP="00FF587A">
      <w:pPr>
        <w:tabs>
          <w:tab w:val="left" w:pos="1701"/>
          <w:tab w:val="left" w:pos="2268"/>
        </w:tabs>
        <w:spacing w:after="120"/>
        <w:ind w:left="1134" w:right="1134"/>
        <w:jc w:val="both"/>
        <w:rPr>
          <w:rFonts w:eastAsia="SimSun"/>
          <w:lang w:eastAsia="zh-CN"/>
        </w:rPr>
      </w:pPr>
      <w:r>
        <w:rPr>
          <w:rFonts w:eastAsia="SimSun"/>
          <w:lang w:eastAsia="zh-CN"/>
        </w:rPr>
        <w:t>16</w:t>
      </w:r>
      <w:r w:rsidR="00FF587A" w:rsidRPr="00FF587A">
        <w:rPr>
          <w:rFonts w:eastAsia="SimSun"/>
          <w:lang w:eastAsia="zh-CN"/>
        </w:rPr>
        <w:t>.</w:t>
      </w:r>
      <w:r w:rsidR="00FF587A" w:rsidRPr="00FF587A">
        <w:rPr>
          <w:rFonts w:eastAsia="SimSun"/>
          <w:lang w:eastAsia="zh-CN"/>
        </w:rPr>
        <w:tab/>
        <w:t xml:space="preserve">The Working Party endorsed the amendments adopted by the Joint Meeting at its spring 2021 session, as contained in informal document INF.11 in English, French and Russian with some editorial changes (see annex </w:t>
      </w:r>
      <w:r w:rsidR="008659D9">
        <w:rPr>
          <w:rFonts w:eastAsia="SimSun"/>
          <w:lang w:eastAsia="zh-CN"/>
        </w:rPr>
        <w:t>I</w:t>
      </w:r>
      <w:r w:rsidR="008659D9" w:rsidRPr="00FF587A">
        <w:rPr>
          <w:rFonts w:eastAsia="SimSun"/>
          <w:lang w:eastAsia="zh-CN"/>
        </w:rPr>
        <w:t xml:space="preserve">). </w:t>
      </w:r>
      <w:r w:rsidR="00FF587A" w:rsidRPr="00FF587A">
        <w:rPr>
          <w:rFonts w:eastAsia="SimSun"/>
          <w:lang w:eastAsia="zh-CN"/>
        </w:rPr>
        <w:t>The amendments in square brackets will be confirmed at the 110th session after further discussion at the next session of the Joint Meeting.</w:t>
      </w:r>
    </w:p>
    <w:p w14:paraId="7A2FA608" w14:textId="3EF185BB" w:rsidR="009A65AD" w:rsidRPr="009A65AD" w:rsidRDefault="008659D9" w:rsidP="009A65AD">
      <w:pPr>
        <w:tabs>
          <w:tab w:val="left" w:pos="1701"/>
          <w:tab w:val="left" w:pos="2268"/>
        </w:tabs>
        <w:spacing w:after="120"/>
        <w:ind w:left="1134" w:right="1134"/>
        <w:jc w:val="both"/>
        <w:rPr>
          <w:rFonts w:eastAsia="SimSun"/>
          <w:lang w:eastAsia="zh-CN"/>
        </w:rPr>
      </w:pPr>
      <w:r>
        <w:rPr>
          <w:rFonts w:eastAsia="SimSun"/>
          <w:lang w:eastAsia="zh-CN"/>
        </w:rPr>
        <w:t>17</w:t>
      </w:r>
      <w:r w:rsidR="009A65AD" w:rsidRPr="009A65AD">
        <w:rPr>
          <w:rFonts w:eastAsia="SimSun"/>
          <w:lang w:eastAsia="zh-CN"/>
        </w:rPr>
        <w:t>.</w:t>
      </w:r>
      <w:r w:rsidR="009A65AD" w:rsidRPr="009A65AD">
        <w:rPr>
          <w:rFonts w:eastAsia="SimSun"/>
          <w:lang w:eastAsia="zh-CN"/>
        </w:rPr>
        <w:tab/>
        <w:t xml:space="preserve">The Working Party noted that the terms “consignor for the ADR carriage” still needed to be clarified in new 1.1.4.7 and that the OTIF secretariat would prepare a document on this point for consideration by the Joint Meeting at its next session. </w:t>
      </w:r>
    </w:p>
    <w:p w14:paraId="11017A98" w14:textId="52A41B7E" w:rsidR="009A65AD" w:rsidRPr="009A65AD" w:rsidRDefault="0033670F" w:rsidP="009A65AD">
      <w:pPr>
        <w:tabs>
          <w:tab w:val="left" w:pos="1701"/>
          <w:tab w:val="left" w:pos="2268"/>
        </w:tabs>
        <w:spacing w:after="120"/>
        <w:ind w:left="1134" w:right="1134"/>
        <w:jc w:val="both"/>
        <w:rPr>
          <w:rFonts w:eastAsia="SimSun"/>
          <w:lang w:eastAsia="zh-CN"/>
        </w:rPr>
      </w:pPr>
      <w:r>
        <w:rPr>
          <w:rFonts w:eastAsia="SimSun"/>
          <w:lang w:eastAsia="zh-CN"/>
        </w:rPr>
        <w:t>18</w:t>
      </w:r>
      <w:r w:rsidR="009A65AD" w:rsidRPr="009A65AD">
        <w:rPr>
          <w:rFonts w:eastAsia="SimSun"/>
          <w:lang w:eastAsia="zh-CN"/>
        </w:rPr>
        <w:t>.</w:t>
      </w:r>
      <w:r w:rsidR="009A65AD" w:rsidRPr="009A65AD">
        <w:rPr>
          <w:rFonts w:eastAsia="SimSun"/>
          <w:lang w:eastAsia="zh-CN"/>
        </w:rPr>
        <w:tab/>
        <w:t>The Working Party also recommended that some acronyms corresponding to French terms, included in the English version of the new section 1.2.3, could be accompanied with a reference to the corresponding French term as is done in the French version, for example for the acronym CSI. This would include the terms ADN, UIC and RID. The Working Party asked the secretariat to study the acronyms that might be involved in cooperation with the OTIF secretariat.</w:t>
      </w:r>
    </w:p>
    <w:p w14:paraId="4594327A" w14:textId="7F12FC46" w:rsidR="00E74235" w:rsidRDefault="00E74235" w:rsidP="008A3DAD">
      <w:pPr>
        <w:pStyle w:val="HChG"/>
        <w:rPr>
          <w:lang w:eastAsia="en-US"/>
        </w:rPr>
      </w:pPr>
      <w:r w:rsidRPr="00E74235">
        <w:rPr>
          <w:lang w:eastAsia="en-US"/>
        </w:rPr>
        <w:tab/>
        <w:t>VII.</w:t>
      </w:r>
      <w:r w:rsidRPr="00E74235">
        <w:rPr>
          <w:lang w:eastAsia="en-US"/>
        </w:rPr>
        <w:tab/>
        <w:t xml:space="preserve">Proposed amendments to annexes A and B of ADR (agenda item 5) </w:t>
      </w:r>
    </w:p>
    <w:p w14:paraId="6D3DC1B0" w14:textId="77777777" w:rsidR="00106909" w:rsidRPr="00106909" w:rsidRDefault="00106909" w:rsidP="008A3DAD">
      <w:pPr>
        <w:pStyle w:val="H1G"/>
        <w:rPr>
          <w:lang w:eastAsia="en-US"/>
        </w:rPr>
      </w:pPr>
      <w:r w:rsidRPr="00106909">
        <w:rPr>
          <w:lang w:eastAsia="en-US"/>
        </w:rPr>
        <w:tab/>
        <w:t>A.</w:t>
      </w:r>
      <w:r w:rsidRPr="00106909">
        <w:rPr>
          <w:lang w:eastAsia="en-US"/>
        </w:rPr>
        <w:tab/>
        <w:t>Construction and approval of vehicles</w:t>
      </w:r>
    </w:p>
    <w:p w14:paraId="753C7F03" w14:textId="77777777" w:rsidR="00106909" w:rsidRPr="00106909" w:rsidRDefault="00106909" w:rsidP="008A3DAD">
      <w:pPr>
        <w:pStyle w:val="H23G"/>
        <w:rPr>
          <w:lang w:eastAsia="en-US"/>
        </w:rPr>
      </w:pPr>
      <w:r w:rsidRPr="00106909">
        <w:rPr>
          <w:lang w:eastAsia="en-US"/>
        </w:rPr>
        <w:tab/>
        <w:t>1.</w:t>
      </w:r>
      <w:r w:rsidRPr="00106909">
        <w:rPr>
          <w:lang w:eastAsia="en-US"/>
        </w:rPr>
        <w:tab/>
        <w:t>Rear protection of vehicles</w:t>
      </w:r>
    </w:p>
    <w:p w14:paraId="2CE17C85" w14:textId="77777777" w:rsidR="00106909" w:rsidRPr="00106909" w:rsidRDefault="00106909" w:rsidP="00106909">
      <w:pPr>
        <w:tabs>
          <w:tab w:val="left" w:pos="1701"/>
          <w:tab w:val="left" w:pos="2268"/>
        </w:tabs>
        <w:ind w:left="1134" w:right="1134"/>
        <w:jc w:val="both"/>
        <w:rPr>
          <w:rFonts w:eastAsia="SimSun"/>
          <w:lang w:eastAsia="zh-CN"/>
        </w:rPr>
      </w:pPr>
      <w:r w:rsidRPr="00106909">
        <w:rPr>
          <w:rFonts w:eastAsia="SimSun"/>
          <w:i/>
          <w:iCs/>
          <w:lang w:eastAsia="zh-CN"/>
        </w:rPr>
        <w:t>Document</w:t>
      </w:r>
      <w:r w:rsidRPr="00106909">
        <w:rPr>
          <w:rFonts w:eastAsia="SimSun"/>
          <w:lang w:eastAsia="zh-CN"/>
        </w:rPr>
        <w:t>:</w:t>
      </w:r>
      <w:r w:rsidRPr="00106909">
        <w:rPr>
          <w:rFonts w:eastAsia="SimSun"/>
          <w:lang w:eastAsia="zh-CN"/>
        </w:rPr>
        <w:tab/>
      </w:r>
      <w:r w:rsidRPr="00106909">
        <w:rPr>
          <w:rFonts w:eastAsia="SimSun"/>
          <w:lang w:eastAsia="zh-CN"/>
        </w:rPr>
        <w:tab/>
      </w:r>
      <w:r w:rsidRPr="00106909">
        <w:rPr>
          <w:rFonts w:eastAsia="SimSun"/>
          <w:lang w:eastAsia="zh-CN"/>
        </w:rPr>
        <w:tab/>
        <w:t>ECE/TRANS/WP.15/2021/7 (France)</w:t>
      </w:r>
    </w:p>
    <w:p w14:paraId="6172B97B" w14:textId="77777777" w:rsidR="00106909" w:rsidRPr="00106909" w:rsidRDefault="00106909" w:rsidP="00106909">
      <w:pPr>
        <w:tabs>
          <w:tab w:val="left" w:pos="1701"/>
          <w:tab w:val="left" w:pos="2268"/>
        </w:tabs>
        <w:spacing w:after="120"/>
        <w:ind w:left="1134" w:right="1134"/>
        <w:jc w:val="both"/>
        <w:rPr>
          <w:rFonts w:eastAsia="SimSun"/>
          <w:lang w:eastAsia="zh-CN"/>
        </w:rPr>
      </w:pPr>
      <w:r w:rsidRPr="00106909">
        <w:rPr>
          <w:rFonts w:eastAsia="SimSun"/>
          <w:i/>
          <w:iCs/>
          <w:lang w:eastAsia="zh-CN"/>
        </w:rPr>
        <w:t>Informal document</w:t>
      </w:r>
      <w:r w:rsidRPr="00106909">
        <w:rPr>
          <w:rFonts w:eastAsia="SimSun"/>
          <w:lang w:eastAsia="zh-CN"/>
        </w:rPr>
        <w:t>:</w:t>
      </w:r>
      <w:r w:rsidRPr="00106909">
        <w:rPr>
          <w:rFonts w:eastAsia="SimSun"/>
          <w:lang w:eastAsia="zh-CN"/>
        </w:rPr>
        <w:tab/>
        <w:t>INF.5 (Netherlands)</w:t>
      </w:r>
    </w:p>
    <w:p w14:paraId="0942823F" w14:textId="7CBF9254" w:rsidR="00106909" w:rsidRPr="00106909" w:rsidRDefault="00AA7B7C" w:rsidP="00106909">
      <w:pPr>
        <w:tabs>
          <w:tab w:val="left" w:pos="1701"/>
          <w:tab w:val="left" w:pos="2268"/>
        </w:tabs>
        <w:spacing w:after="120"/>
        <w:ind w:left="1134" w:right="1134"/>
        <w:jc w:val="both"/>
        <w:rPr>
          <w:rFonts w:eastAsia="SimSun"/>
          <w:lang w:eastAsia="zh-CN"/>
        </w:rPr>
      </w:pPr>
      <w:r>
        <w:rPr>
          <w:rFonts w:eastAsia="SimSun"/>
          <w:lang w:eastAsia="zh-CN"/>
        </w:rPr>
        <w:t>19</w:t>
      </w:r>
      <w:r w:rsidR="00106909" w:rsidRPr="00106909">
        <w:rPr>
          <w:rFonts w:eastAsia="SimSun"/>
          <w:lang w:eastAsia="zh-CN"/>
        </w:rPr>
        <w:t>.</w:t>
      </w:r>
      <w:r w:rsidR="00106909" w:rsidRPr="00106909">
        <w:rPr>
          <w:rFonts w:eastAsia="SimSun"/>
          <w:lang w:eastAsia="zh-CN"/>
        </w:rPr>
        <w:tab/>
        <w:t>The proposal contained in ECE/TRANS/WP.15/2021/7 aimed to ensure a uniform interpretation of how to measure the required 100 mm clearance between the rear wall of the tank and the rear bumper.</w:t>
      </w:r>
    </w:p>
    <w:p w14:paraId="578B6734" w14:textId="5953BD6C" w:rsidR="00106909" w:rsidRPr="00106909" w:rsidRDefault="00E2097D" w:rsidP="00106909">
      <w:pPr>
        <w:tabs>
          <w:tab w:val="left" w:pos="1701"/>
          <w:tab w:val="left" w:pos="2268"/>
        </w:tabs>
        <w:spacing w:after="120"/>
        <w:ind w:left="1134" w:right="1134"/>
        <w:jc w:val="both"/>
        <w:rPr>
          <w:rFonts w:eastAsia="SimSun"/>
          <w:lang w:eastAsia="zh-CN"/>
        </w:rPr>
      </w:pPr>
      <w:r>
        <w:rPr>
          <w:rFonts w:eastAsia="SimSun"/>
          <w:lang w:eastAsia="zh-CN"/>
        </w:rPr>
        <w:t>20</w:t>
      </w:r>
      <w:r w:rsidR="00106909" w:rsidRPr="00106909">
        <w:rPr>
          <w:rFonts w:eastAsia="SimSun"/>
          <w:lang w:eastAsia="zh-CN"/>
        </w:rPr>
        <w:t>.</w:t>
      </w:r>
      <w:r w:rsidR="00106909" w:rsidRPr="00106909">
        <w:rPr>
          <w:rFonts w:eastAsia="SimSun"/>
          <w:lang w:eastAsia="zh-CN"/>
        </w:rPr>
        <w:tab/>
        <w:t xml:space="preserve">The majority of the delegations that expressed their views came down in favour of the proposal. There were some proposals to modify the figure. It was also proposed to extend the envisaged transitional measure to tank-vehicles registered before 1 January 2025 in order to allow sufficient time for manufacturers in countries with a different interpretation to make the adjustment. </w:t>
      </w:r>
    </w:p>
    <w:p w14:paraId="1A031833" w14:textId="7C96B4C4" w:rsidR="00106909" w:rsidRPr="00106909" w:rsidRDefault="00E2097D" w:rsidP="00106909">
      <w:pPr>
        <w:tabs>
          <w:tab w:val="left" w:pos="1701"/>
          <w:tab w:val="left" w:pos="2268"/>
        </w:tabs>
        <w:spacing w:after="120"/>
        <w:ind w:left="1134" w:right="1134"/>
        <w:jc w:val="both"/>
        <w:rPr>
          <w:rFonts w:eastAsia="SimSun"/>
          <w:lang w:eastAsia="zh-CN"/>
        </w:rPr>
      </w:pPr>
      <w:r>
        <w:rPr>
          <w:rFonts w:eastAsia="SimSun"/>
          <w:lang w:eastAsia="zh-CN"/>
        </w:rPr>
        <w:t>21</w:t>
      </w:r>
      <w:r w:rsidR="00106909" w:rsidRPr="00106909">
        <w:rPr>
          <w:rFonts w:eastAsia="SimSun"/>
          <w:lang w:eastAsia="zh-CN"/>
        </w:rPr>
        <w:t>.</w:t>
      </w:r>
      <w:r w:rsidR="00106909" w:rsidRPr="00106909">
        <w:rPr>
          <w:rFonts w:eastAsia="SimSun"/>
          <w:lang w:eastAsia="zh-CN"/>
        </w:rPr>
        <w:tab/>
        <w:t>The representative of France will present a revised proposal at a next session.</w:t>
      </w:r>
    </w:p>
    <w:p w14:paraId="03C41BFF" w14:textId="3CA1CFEB" w:rsidR="00106909" w:rsidRPr="00106909" w:rsidRDefault="00E2097D" w:rsidP="00106909">
      <w:pPr>
        <w:tabs>
          <w:tab w:val="left" w:pos="1701"/>
          <w:tab w:val="left" w:pos="2268"/>
        </w:tabs>
        <w:spacing w:after="120"/>
        <w:ind w:left="1134" w:right="1134"/>
        <w:jc w:val="both"/>
        <w:rPr>
          <w:rFonts w:eastAsia="SimSun"/>
          <w:lang w:eastAsia="zh-CN"/>
        </w:rPr>
      </w:pPr>
      <w:r>
        <w:rPr>
          <w:rFonts w:eastAsia="SimSun"/>
          <w:lang w:eastAsia="zh-CN"/>
        </w:rPr>
        <w:t>22</w:t>
      </w:r>
      <w:r w:rsidR="00106909" w:rsidRPr="00106909">
        <w:rPr>
          <w:rFonts w:eastAsia="SimSun"/>
          <w:lang w:eastAsia="zh-CN"/>
        </w:rPr>
        <w:t>.</w:t>
      </w:r>
      <w:r w:rsidR="00106909" w:rsidRPr="00106909">
        <w:rPr>
          <w:rFonts w:eastAsia="SimSun"/>
          <w:lang w:eastAsia="zh-CN"/>
        </w:rPr>
        <w:tab/>
        <w:t>The Working Party welcomed the comments from the Netherlands and agreed that it might be necessary to define specific requirements for the different types of tank construction and additional equipment and protections in future work.</w:t>
      </w:r>
    </w:p>
    <w:p w14:paraId="2832DC01" w14:textId="77777777" w:rsidR="00997205" w:rsidRPr="00997205" w:rsidRDefault="00997205" w:rsidP="008A3DAD">
      <w:pPr>
        <w:pStyle w:val="H23G"/>
        <w:rPr>
          <w:lang w:eastAsia="en-US"/>
        </w:rPr>
      </w:pPr>
      <w:r w:rsidRPr="00997205">
        <w:rPr>
          <w:lang w:eastAsia="en-US"/>
        </w:rPr>
        <w:lastRenderedPageBreak/>
        <w:tab/>
        <w:t>2.</w:t>
      </w:r>
      <w:r w:rsidRPr="00997205">
        <w:rPr>
          <w:lang w:eastAsia="en-US"/>
        </w:rPr>
        <w:tab/>
        <w:t>Tyre pressure monitoring system</w:t>
      </w:r>
      <w:r w:rsidRPr="00997205">
        <w:rPr>
          <w:lang w:eastAsia="en-US"/>
        </w:rPr>
        <w:tab/>
      </w:r>
    </w:p>
    <w:p w14:paraId="422ECD2F" w14:textId="77777777" w:rsidR="00997205" w:rsidRPr="00997205" w:rsidRDefault="00997205" w:rsidP="008A3DAD">
      <w:pPr>
        <w:keepNext/>
        <w:keepLines/>
        <w:tabs>
          <w:tab w:val="left" w:pos="1701"/>
          <w:tab w:val="left" w:pos="3402"/>
        </w:tabs>
        <w:spacing w:after="120"/>
        <w:ind w:left="1134" w:right="1134"/>
        <w:jc w:val="both"/>
        <w:rPr>
          <w:rFonts w:eastAsia="SimSun"/>
          <w:lang w:eastAsia="zh-CN"/>
        </w:rPr>
      </w:pPr>
      <w:r w:rsidRPr="00997205">
        <w:rPr>
          <w:rFonts w:eastAsia="SimSun"/>
          <w:i/>
          <w:iCs/>
          <w:lang w:eastAsia="zh-CN"/>
        </w:rPr>
        <w:t>Informal documents</w:t>
      </w:r>
      <w:r w:rsidRPr="00997205">
        <w:rPr>
          <w:rFonts w:eastAsia="SimSun"/>
          <w:lang w:eastAsia="zh-CN"/>
        </w:rPr>
        <w:t>:</w:t>
      </w:r>
      <w:r w:rsidRPr="00997205">
        <w:rPr>
          <w:rFonts w:eastAsia="SimSun"/>
          <w:lang w:eastAsia="zh-CN"/>
        </w:rPr>
        <w:tab/>
        <w:t>INF.6 (Netherlands), INF.18 (OICA)</w:t>
      </w:r>
    </w:p>
    <w:p w14:paraId="18824E1B" w14:textId="26B24902" w:rsidR="00997205" w:rsidRPr="00997205" w:rsidRDefault="001D39D4" w:rsidP="008A3DAD">
      <w:pPr>
        <w:keepNext/>
        <w:keepLines/>
        <w:tabs>
          <w:tab w:val="left" w:pos="1701"/>
          <w:tab w:val="left" w:pos="2268"/>
        </w:tabs>
        <w:spacing w:after="120"/>
        <w:ind w:left="1134" w:right="1134"/>
        <w:jc w:val="both"/>
        <w:rPr>
          <w:rFonts w:eastAsia="SimSun"/>
          <w:lang w:eastAsia="zh-CN"/>
        </w:rPr>
      </w:pPr>
      <w:r>
        <w:rPr>
          <w:rFonts w:eastAsia="SimSun"/>
          <w:lang w:eastAsia="zh-CN"/>
        </w:rPr>
        <w:t>23</w:t>
      </w:r>
      <w:r w:rsidR="00997205" w:rsidRPr="00997205">
        <w:rPr>
          <w:rFonts w:eastAsia="SimSun"/>
          <w:lang w:eastAsia="zh-CN"/>
        </w:rPr>
        <w:t>.</w:t>
      </w:r>
      <w:r w:rsidR="00997205" w:rsidRPr="00997205">
        <w:rPr>
          <w:rFonts w:eastAsia="SimSun"/>
          <w:lang w:eastAsia="zh-CN"/>
        </w:rPr>
        <w:tab/>
        <w:t xml:space="preserve">The Working Party noted that the World Forum for Harmonization of Vehicle Regulations (WP.29) had adopted, at its 183rd session (9–11 March 2021), amendments to the Uniform provisions concerning the approval of vehicles with regard to their Tyre Pressure Monitoring Systems (UN Regulation No. 141) with the aim of extending the application of these provisions to heavy-duty vehicles. </w:t>
      </w:r>
    </w:p>
    <w:p w14:paraId="59FB26F7" w14:textId="20A79504" w:rsidR="00997205" w:rsidRPr="00997205" w:rsidRDefault="00DE57D0" w:rsidP="00997205">
      <w:pPr>
        <w:tabs>
          <w:tab w:val="left" w:pos="1701"/>
          <w:tab w:val="left" w:pos="2268"/>
        </w:tabs>
        <w:spacing w:after="120"/>
        <w:ind w:left="1134" w:right="1134"/>
        <w:jc w:val="both"/>
        <w:rPr>
          <w:rFonts w:eastAsia="SimSun"/>
          <w:lang w:eastAsia="zh-CN"/>
        </w:rPr>
      </w:pPr>
      <w:r>
        <w:rPr>
          <w:rFonts w:eastAsia="SimSun"/>
          <w:lang w:eastAsia="zh-CN"/>
        </w:rPr>
        <w:t>24</w:t>
      </w:r>
      <w:r w:rsidR="00997205" w:rsidRPr="00997205">
        <w:rPr>
          <w:rFonts w:eastAsia="SimSun"/>
          <w:lang w:eastAsia="zh-CN"/>
        </w:rPr>
        <w:t>.</w:t>
      </w:r>
      <w:r w:rsidR="00997205" w:rsidRPr="00997205">
        <w:rPr>
          <w:rFonts w:eastAsia="SimSun"/>
          <w:lang w:eastAsia="zh-CN"/>
        </w:rPr>
        <w:tab/>
        <w:t xml:space="preserve">Several delegations considered that a reference to these Regulations in ADR could improve the safety of the transport of dangerous goods, in particular by preventing bursts. </w:t>
      </w:r>
    </w:p>
    <w:p w14:paraId="1312C4AC" w14:textId="580C7246" w:rsidR="00997205" w:rsidRPr="00997205" w:rsidRDefault="001E6EDF" w:rsidP="00997205">
      <w:pPr>
        <w:tabs>
          <w:tab w:val="left" w:pos="1701"/>
          <w:tab w:val="left" w:pos="2268"/>
        </w:tabs>
        <w:spacing w:after="120"/>
        <w:ind w:left="1134" w:right="1134"/>
        <w:jc w:val="both"/>
        <w:rPr>
          <w:rFonts w:eastAsia="SimSun"/>
          <w:lang w:eastAsia="zh-CN"/>
        </w:rPr>
      </w:pPr>
      <w:r>
        <w:rPr>
          <w:rFonts w:eastAsia="SimSun"/>
          <w:lang w:eastAsia="zh-CN"/>
        </w:rPr>
        <w:t>25</w:t>
      </w:r>
      <w:r w:rsidR="00997205" w:rsidRPr="00997205">
        <w:rPr>
          <w:rFonts w:eastAsia="SimSun"/>
          <w:lang w:eastAsia="zh-CN"/>
        </w:rPr>
        <w:t>.</w:t>
      </w:r>
      <w:r w:rsidR="00997205" w:rsidRPr="00997205">
        <w:rPr>
          <w:rFonts w:eastAsia="SimSun"/>
          <w:lang w:eastAsia="zh-CN"/>
        </w:rPr>
        <w:tab/>
        <w:t xml:space="preserve">The representative of the Netherlands took note of the comments of OICA in informal document INF.18 and the comments made at the session. He also invited delegations wishing to do so to send him their comments in writing and stated that he could present a formal document at the next session. </w:t>
      </w:r>
    </w:p>
    <w:p w14:paraId="520FC663" w14:textId="77777777" w:rsidR="00997205" w:rsidRPr="00997205" w:rsidRDefault="00997205" w:rsidP="008A3DAD">
      <w:pPr>
        <w:pStyle w:val="H23G"/>
        <w:rPr>
          <w:lang w:eastAsia="en-US"/>
        </w:rPr>
      </w:pPr>
      <w:r w:rsidRPr="00997205">
        <w:rPr>
          <w:lang w:eastAsia="en-US"/>
        </w:rPr>
        <w:tab/>
        <w:t>3.</w:t>
      </w:r>
      <w:r w:rsidRPr="00997205">
        <w:rPr>
          <w:lang w:eastAsia="en-US"/>
        </w:rPr>
        <w:tab/>
        <w:t>Engine fire suppression systems and tyre fire protection systems to reduce the likelihood of a BLEVE</w:t>
      </w:r>
    </w:p>
    <w:p w14:paraId="423A9DE1" w14:textId="77777777" w:rsidR="00997205" w:rsidRPr="00997205" w:rsidRDefault="00997205" w:rsidP="00997205">
      <w:pPr>
        <w:tabs>
          <w:tab w:val="left" w:pos="1701"/>
          <w:tab w:val="left" w:pos="3402"/>
        </w:tabs>
        <w:spacing w:after="120"/>
        <w:ind w:left="1134" w:right="1134"/>
        <w:jc w:val="both"/>
        <w:rPr>
          <w:rFonts w:eastAsia="SimSun"/>
          <w:lang w:eastAsia="zh-CN"/>
        </w:rPr>
      </w:pPr>
      <w:r w:rsidRPr="00997205">
        <w:rPr>
          <w:rFonts w:eastAsia="SimSun"/>
          <w:i/>
          <w:iCs/>
          <w:lang w:eastAsia="zh-CN"/>
        </w:rPr>
        <w:t>Informal documents</w:t>
      </w:r>
      <w:r w:rsidRPr="00997205">
        <w:rPr>
          <w:rFonts w:eastAsia="SimSun"/>
          <w:lang w:eastAsia="zh-CN"/>
        </w:rPr>
        <w:t>:</w:t>
      </w:r>
      <w:r w:rsidRPr="00997205">
        <w:rPr>
          <w:rFonts w:eastAsia="SimSun"/>
          <w:lang w:eastAsia="zh-CN"/>
        </w:rPr>
        <w:tab/>
        <w:t>INF.7 (Spain), INF.19 (OICA)</w:t>
      </w:r>
    </w:p>
    <w:p w14:paraId="5DC79961" w14:textId="7088CDA1" w:rsidR="00997205" w:rsidRPr="00997205" w:rsidRDefault="00D52B02" w:rsidP="00997205">
      <w:pPr>
        <w:tabs>
          <w:tab w:val="left" w:pos="1701"/>
          <w:tab w:val="left" w:pos="2268"/>
        </w:tabs>
        <w:spacing w:after="120"/>
        <w:ind w:left="1134" w:right="1134"/>
        <w:jc w:val="both"/>
        <w:rPr>
          <w:rFonts w:eastAsia="SimSun"/>
          <w:lang w:eastAsia="zh-CN"/>
        </w:rPr>
      </w:pPr>
      <w:r>
        <w:rPr>
          <w:rFonts w:eastAsia="SimSun"/>
          <w:lang w:eastAsia="zh-CN"/>
        </w:rPr>
        <w:t>26</w:t>
      </w:r>
      <w:r w:rsidR="00997205" w:rsidRPr="00997205">
        <w:rPr>
          <w:rFonts w:eastAsia="SimSun"/>
          <w:lang w:eastAsia="zh-CN"/>
        </w:rPr>
        <w:t>.</w:t>
      </w:r>
      <w:r w:rsidR="00997205" w:rsidRPr="00997205">
        <w:rPr>
          <w:rFonts w:eastAsia="SimSun"/>
          <w:lang w:eastAsia="zh-CN"/>
        </w:rPr>
        <w:tab/>
        <w:t xml:space="preserve">The representative of Spain presented to the Working Party the proposals of the BLEVE working group of the Joint Meeting to equip vehicles with engine fire suppression and tyre fire protection systems. </w:t>
      </w:r>
    </w:p>
    <w:p w14:paraId="4D53F382" w14:textId="4B459066" w:rsidR="00997205" w:rsidRPr="00997205" w:rsidRDefault="00D52B02" w:rsidP="00997205">
      <w:pPr>
        <w:tabs>
          <w:tab w:val="left" w:pos="1701"/>
          <w:tab w:val="left" w:pos="2268"/>
        </w:tabs>
        <w:spacing w:after="120"/>
        <w:ind w:left="1134" w:right="1134"/>
        <w:jc w:val="both"/>
        <w:rPr>
          <w:rFonts w:eastAsia="SimSun"/>
          <w:lang w:eastAsia="zh-CN"/>
        </w:rPr>
      </w:pPr>
      <w:r>
        <w:rPr>
          <w:rFonts w:eastAsia="SimSun"/>
          <w:lang w:eastAsia="zh-CN"/>
        </w:rPr>
        <w:t>27</w:t>
      </w:r>
      <w:r w:rsidR="00997205" w:rsidRPr="00997205">
        <w:rPr>
          <w:rFonts w:eastAsia="SimSun"/>
          <w:lang w:eastAsia="zh-CN"/>
        </w:rPr>
        <w:t>.</w:t>
      </w:r>
      <w:r w:rsidR="00997205" w:rsidRPr="00997205">
        <w:rPr>
          <w:rFonts w:eastAsia="SimSun"/>
          <w:lang w:eastAsia="zh-CN"/>
        </w:rPr>
        <w:tab/>
        <w:t>The representative of Spain took note of the comments made during the session and the preferences regarding the different options proposed. There were mixed views on the best option.</w:t>
      </w:r>
    </w:p>
    <w:p w14:paraId="28B190D4" w14:textId="46C17D15" w:rsidR="00997205" w:rsidRPr="00997205" w:rsidRDefault="00D52B02" w:rsidP="00997205">
      <w:pPr>
        <w:tabs>
          <w:tab w:val="left" w:pos="1701"/>
          <w:tab w:val="left" w:pos="2268"/>
        </w:tabs>
        <w:spacing w:after="120"/>
        <w:ind w:left="1134" w:right="1134"/>
        <w:jc w:val="both"/>
        <w:rPr>
          <w:rFonts w:eastAsia="SimSun"/>
          <w:lang w:eastAsia="zh-CN"/>
        </w:rPr>
      </w:pPr>
      <w:r>
        <w:rPr>
          <w:rFonts w:eastAsia="SimSun"/>
          <w:lang w:eastAsia="zh-CN"/>
        </w:rPr>
        <w:t>28</w:t>
      </w:r>
      <w:r w:rsidR="00997205" w:rsidRPr="00997205">
        <w:rPr>
          <w:rFonts w:eastAsia="SimSun"/>
          <w:lang w:eastAsia="zh-CN"/>
        </w:rPr>
        <w:t>.</w:t>
      </w:r>
      <w:r w:rsidR="00997205" w:rsidRPr="00997205">
        <w:rPr>
          <w:rFonts w:eastAsia="SimSun"/>
          <w:lang w:eastAsia="zh-CN"/>
        </w:rPr>
        <w:tab/>
        <w:t>The representative of Spain invited those delegations that wished to do so to study the various options and to send her their comments, if possible before the next meeting of the informal group scheduled for 27 May 2021. She also invited delegations interested in participating in this informal group to contact her.</w:t>
      </w:r>
    </w:p>
    <w:p w14:paraId="3F0DDD3F" w14:textId="07E87B47" w:rsidR="00997205" w:rsidRPr="00997205" w:rsidRDefault="00D52B02" w:rsidP="00997205">
      <w:pPr>
        <w:tabs>
          <w:tab w:val="left" w:pos="1701"/>
          <w:tab w:val="left" w:pos="2268"/>
        </w:tabs>
        <w:spacing w:after="120"/>
        <w:ind w:left="1134" w:right="1134"/>
        <w:jc w:val="both"/>
        <w:rPr>
          <w:rFonts w:eastAsia="SimSun"/>
          <w:lang w:eastAsia="zh-CN"/>
        </w:rPr>
      </w:pPr>
      <w:r>
        <w:rPr>
          <w:rFonts w:eastAsia="SimSun"/>
          <w:lang w:eastAsia="zh-CN"/>
        </w:rPr>
        <w:t>29</w:t>
      </w:r>
      <w:r w:rsidR="00997205" w:rsidRPr="00997205">
        <w:rPr>
          <w:rFonts w:eastAsia="SimSun"/>
          <w:lang w:eastAsia="zh-CN"/>
        </w:rPr>
        <w:t>.</w:t>
      </w:r>
      <w:r w:rsidR="00997205" w:rsidRPr="00997205">
        <w:rPr>
          <w:rFonts w:eastAsia="SimSun"/>
          <w:lang w:eastAsia="zh-CN"/>
        </w:rPr>
        <w:tab/>
        <w:t>The Working Party noted that the BLEVE working group would submit an official document concerning the fitting of vehicles with engine fire suppression and tyre fire protection systems at the next session. The Working Party also noted that proposals on safety valves would be presented separately to the Joint Meeting, as they were applicable to all land transport modes.</w:t>
      </w:r>
    </w:p>
    <w:p w14:paraId="11ED97A0" w14:textId="77777777" w:rsidR="00997205" w:rsidRPr="00997205" w:rsidRDefault="00997205" w:rsidP="008A3DAD">
      <w:pPr>
        <w:pStyle w:val="H23G"/>
        <w:rPr>
          <w:lang w:eastAsia="en-US"/>
        </w:rPr>
      </w:pPr>
      <w:r w:rsidRPr="00997205">
        <w:rPr>
          <w:lang w:eastAsia="en-US"/>
        </w:rPr>
        <w:tab/>
        <w:t>4.</w:t>
      </w:r>
      <w:r w:rsidRPr="00997205">
        <w:rPr>
          <w:lang w:eastAsia="en-US"/>
        </w:rPr>
        <w:tab/>
        <w:t>Stability of tank-vehicles</w:t>
      </w:r>
    </w:p>
    <w:p w14:paraId="62DE9184" w14:textId="0900FDA7" w:rsidR="00997205" w:rsidRPr="00997205" w:rsidRDefault="00997205" w:rsidP="00997205">
      <w:pPr>
        <w:tabs>
          <w:tab w:val="left" w:pos="1701"/>
          <w:tab w:val="left" w:pos="3402"/>
        </w:tabs>
        <w:spacing w:after="120"/>
        <w:ind w:left="1134" w:right="1134"/>
        <w:jc w:val="both"/>
        <w:rPr>
          <w:rFonts w:eastAsia="SimSun"/>
          <w:lang w:eastAsia="zh-CN"/>
        </w:rPr>
      </w:pPr>
      <w:r w:rsidRPr="00997205">
        <w:rPr>
          <w:rFonts w:eastAsia="SimSun"/>
          <w:i/>
          <w:iCs/>
          <w:lang w:eastAsia="zh-CN"/>
        </w:rPr>
        <w:t>Informal document</w:t>
      </w:r>
      <w:r w:rsidRPr="00997205">
        <w:rPr>
          <w:rFonts w:eastAsia="SimSun"/>
          <w:lang w:eastAsia="zh-CN"/>
        </w:rPr>
        <w:t>:</w:t>
      </w:r>
      <w:r w:rsidRPr="00997205">
        <w:rPr>
          <w:rFonts w:eastAsia="SimSun"/>
          <w:lang w:eastAsia="zh-CN"/>
        </w:rPr>
        <w:tab/>
        <w:t>INF.12 (Cefic)</w:t>
      </w:r>
    </w:p>
    <w:p w14:paraId="0F815E3B" w14:textId="060FA8D8" w:rsidR="00997205" w:rsidRPr="00997205" w:rsidRDefault="00D52B02" w:rsidP="00997205">
      <w:pPr>
        <w:tabs>
          <w:tab w:val="left" w:pos="1701"/>
          <w:tab w:val="left" w:pos="2268"/>
        </w:tabs>
        <w:spacing w:after="120"/>
        <w:ind w:left="1134" w:right="1134"/>
        <w:jc w:val="both"/>
        <w:rPr>
          <w:rFonts w:eastAsia="SimSun"/>
          <w:lang w:eastAsia="zh-CN"/>
        </w:rPr>
      </w:pPr>
      <w:r>
        <w:rPr>
          <w:rFonts w:eastAsia="SimSun"/>
          <w:lang w:eastAsia="zh-CN"/>
        </w:rPr>
        <w:t>30</w:t>
      </w:r>
      <w:r w:rsidR="00997205" w:rsidRPr="00997205">
        <w:rPr>
          <w:rFonts w:eastAsia="SimSun"/>
          <w:lang w:eastAsia="zh-CN"/>
        </w:rPr>
        <w:t>.</w:t>
      </w:r>
      <w:r w:rsidR="00997205" w:rsidRPr="00997205">
        <w:rPr>
          <w:rFonts w:eastAsia="SimSun"/>
          <w:lang w:eastAsia="zh-CN"/>
        </w:rPr>
        <w:tab/>
        <w:t>The Working Party noted the results of the informal working group on vehicle stability and the next steps of work planned with a view to preparing amendments to 9.7.5.1 for consideration at a future session.</w:t>
      </w:r>
    </w:p>
    <w:p w14:paraId="7108B8C6" w14:textId="77777777" w:rsidR="00997205" w:rsidRPr="00997205" w:rsidRDefault="00997205" w:rsidP="008A3DAD">
      <w:pPr>
        <w:pStyle w:val="H23G"/>
        <w:rPr>
          <w:lang w:eastAsia="en-US"/>
        </w:rPr>
      </w:pPr>
      <w:r w:rsidRPr="00997205">
        <w:rPr>
          <w:lang w:eastAsia="en-US"/>
        </w:rPr>
        <w:tab/>
        <w:t>5.</w:t>
      </w:r>
      <w:r w:rsidRPr="00997205">
        <w:rPr>
          <w:lang w:eastAsia="en-US"/>
        </w:rPr>
        <w:tab/>
        <w:t>Use of battery electric vehicles and hydrogen fuel cell vehicles for the transport of dangerous goods</w:t>
      </w:r>
    </w:p>
    <w:p w14:paraId="76A57EBC" w14:textId="77777777" w:rsidR="00997205" w:rsidRPr="00997205" w:rsidRDefault="00997205" w:rsidP="00997205">
      <w:pPr>
        <w:tabs>
          <w:tab w:val="left" w:pos="1701"/>
          <w:tab w:val="left" w:pos="3402"/>
        </w:tabs>
        <w:spacing w:after="120"/>
        <w:ind w:left="1134" w:right="1134"/>
        <w:jc w:val="both"/>
        <w:rPr>
          <w:rFonts w:eastAsia="SimSun"/>
          <w:lang w:eastAsia="zh-CN"/>
        </w:rPr>
      </w:pPr>
      <w:r w:rsidRPr="00997205">
        <w:rPr>
          <w:rFonts w:eastAsia="SimSun"/>
          <w:i/>
          <w:iCs/>
          <w:lang w:eastAsia="zh-CN"/>
        </w:rPr>
        <w:t>Informal documents</w:t>
      </w:r>
      <w:r w:rsidRPr="00997205">
        <w:rPr>
          <w:rFonts w:eastAsia="SimSun"/>
          <w:lang w:eastAsia="zh-CN"/>
        </w:rPr>
        <w:t>:</w:t>
      </w:r>
      <w:r w:rsidRPr="00997205">
        <w:rPr>
          <w:rFonts w:eastAsia="SimSun"/>
          <w:lang w:eastAsia="zh-CN"/>
        </w:rPr>
        <w:tab/>
        <w:t>INF.16 (OICA), INF.17 (Netherlands)</w:t>
      </w:r>
    </w:p>
    <w:p w14:paraId="45FBE769" w14:textId="21CD0A49" w:rsidR="00997205" w:rsidRPr="00997205" w:rsidRDefault="00D52B02" w:rsidP="00997205">
      <w:pPr>
        <w:tabs>
          <w:tab w:val="left" w:pos="1701"/>
          <w:tab w:val="left" w:pos="2268"/>
        </w:tabs>
        <w:spacing w:after="120"/>
        <w:ind w:left="1134" w:right="1134"/>
        <w:jc w:val="both"/>
        <w:rPr>
          <w:rFonts w:eastAsia="SimSun"/>
          <w:lang w:eastAsia="zh-CN"/>
        </w:rPr>
      </w:pPr>
      <w:r>
        <w:rPr>
          <w:rFonts w:eastAsia="SimSun"/>
          <w:lang w:eastAsia="zh-CN"/>
        </w:rPr>
        <w:t>31</w:t>
      </w:r>
      <w:r w:rsidR="00997205" w:rsidRPr="00997205">
        <w:rPr>
          <w:rFonts w:eastAsia="SimSun"/>
          <w:lang w:eastAsia="zh-CN"/>
        </w:rPr>
        <w:t>.</w:t>
      </w:r>
      <w:r w:rsidR="00997205" w:rsidRPr="00997205">
        <w:rPr>
          <w:rFonts w:eastAsia="SimSun"/>
          <w:lang w:eastAsia="zh-CN"/>
        </w:rPr>
        <w:tab/>
        <w:t xml:space="preserve">The representative of the Netherlands informed the Working Party about the results of the work of the task force on the use of battery electric vehicles and hydrogen fuel cell vehicles for the transport of dangerous goods, which met on two occasions since the last session of the Working Party at the initiative of the Netherlands. </w:t>
      </w:r>
    </w:p>
    <w:p w14:paraId="6BE97D62" w14:textId="5A1722BB" w:rsidR="00997205" w:rsidRPr="00997205" w:rsidRDefault="00D52B02" w:rsidP="00997205">
      <w:pPr>
        <w:tabs>
          <w:tab w:val="left" w:pos="1701"/>
          <w:tab w:val="left" w:pos="2268"/>
        </w:tabs>
        <w:spacing w:after="120"/>
        <w:ind w:left="1134" w:right="1134"/>
        <w:jc w:val="both"/>
        <w:rPr>
          <w:rFonts w:eastAsia="SimSun"/>
          <w:lang w:eastAsia="zh-CN"/>
        </w:rPr>
      </w:pPr>
      <w:r>
        <w:rPr>
          <w:rFonts w:eastAsia="SimSun"/>
          <w:lang w:eastAsia="zh-CN"/>
        </w:rPr>
        <w:t>32</w:t>
      </w:r>
      <w:r w:rsidR="00997205" w:rsidRPr="00997205">
        <w:rPr>
          <w:rFonts w:eastAsia="SimSun"/>
          <w:lang w:eastAsia="zh-CN"/>
        </w:rPr>
        <w:t>.</w:t>
      </w:r>
      <w:r w:rsidR="00997205" w:rsidRPr="00997205">
        <w:rPr>
          <w:rFonts w:eastAsia="SimSun"/>
          <w:lang w:eastAsia="zh-CN"/>
        </w:rPr>
        <w:tab/>
        <w:t xml:space="preserve">The Working Party welcomed the work carried out under the auspices of the delegation of the Netherlands. </w:t>
      </w:r>
    </w:p>
    <w:p w14:paraId="777C1B6C" w14:textId="449C52F3" w:rsidR="00997205" w:rsidRPr="00997205" w:rsidRDefault="00D52B02" w:rsidP="00997205">
      <w:pPr>
        <w:tabs>
          <w:tab w:val="left" w:pos="1701"/>
          <w:tab w:val="left" w:pos="2268"/>
        </w:tabs>
        <w:spacing w:after="120"/>
        <w:ind w:left="1134" w:right="1134"/>
        <w:jc w:val="both"/>
        <w:rPr>
          <w:rFonts w:eastAsia="SimSun"/>
          <w:lang w:eastAsia="zh-CN"/>
        </w:rPr>
      </w:pPr>
      <w:r>
        <w:rPr>
          <w:rFonts w:eastAsia="SimSun"/>
          <w:lang w:eastAsia="zh-CN"/>
        </w:rPr>
        <w:t>33</w:t>
      </w:r>
      <w:r w:rsidR="00997205" w:rsidRPr="00997205">
        <w:rPr>
          <w:rFonts w:eastAsia="SimSun"/>
          <w:lang w:eastAsia="zh-CN"/>
        </w:rPr>
        <w:t>.</w:t>
      </w:r>
      <w:r w:rsidR="00997205" w:rsidRPr="00997205">
        <w:rPr>
          <w:rFonts w:eastAsia="SimSun"/>
          <w:lang w:eastAsia="zh-CN"/>
        </w:rPr>
        <w:tab/>
        <w:t xml:space="preserve">The Working Party wished to continue the work in an informal group led by the Netherlands, with OICA as its secretariat. On the basis of the proposal contained in informal document INF.16, the Working Party adopted the following terms of reference for this informal working group: </w:t>
      </w:r>
    </w:p>
    <w:p w14:paraId="6F350421" w14:textId="77777777" w:rsidR="00997205" w:rsidRPr="00997205" w:rsidRDefault="00997205" w:rsidP="00997205">
      <w:pPr>
        <w:tabs>
          <w:tab w:val="left" w:pos="1701"/>
          <w:tab w:val="left" w:pos="2268"/>
        </w:tabs>
        <w:spacing w:after="120"/>
        <w:ind w:left="1701" w:right="1134" w:hanging="567"/>
        <w:jc w:val="both"/>
        <w:rPr>
          <w:rFonts w:eastAsia="SimSun"/>
          <w:lang w:eastAsia="zh-CN"/>
        </w:rPr>
      </w:pPr>
      <w:r w:rsidRPr="00997205">
        <w:rPr>
          <w:rFonts w:eastAsia="SimSun"/>
          <w:lang w:eastAsia="zh-CN"/>
        </w:rPr>
        <w:lastRenderedPageBreak/>
        <w:tab/>
        <w:t>(a)</w:t>
      </w:r>
      <w:r w:rsidRPr="00997205">
        <w:rPr>
          <w:rFonts w:eastAsia="SimSun"/>
          <w:lang w:eastAsia="zh-CN"/>
        </w:rPr>
        <w:tab/>
        <w:t>The informal working group will develop appropriate ADR provisions for the construction of the battery electric vehicles (BEV) and hydrogen fuel cell vehicles (HFCV) and their trailers with a view to ensuring the safe transport of dangerous goods in these vehicles. The provisions will concern in particular:</w:t>
      </w:r>
    </w:p>
    <w:p w14:paraId="5FEC569B" w14:textId="77777777" w:rsidR="00997205" w:rsidRPr="00997205" w:rsidRDefault="00997205" w:rsidP="00997205">
      <w:pPr>
        <w:tabs>
          <w:tab w:val="num" w:pos="2268"/>
        </w:tabs>
        <w:spacing w:after="120"/>
        <w:ind w:left="2268" w:right="1134" w:hanging="170"/>
        <w:jc w:val="both"/>
        <w:rPr>
          <w:lang w:eastAsia="en-US"/>
        </w:rPr>
      </w:pPr>
      <w:r w:rsidRPr="00997205">
        <w:rPr>
          <w:lang w:eastAsia="en-US"/>
        </w:rPr>
        <w:t>The electrical equipment of these vehicles;</w:t>
      </w:r>
    </w:p>
    <w:p w14:paraId="08C35273" w14:textId="77777777" w:rsidR="00997205" w:rsidRPr="00997205" w:rsidRDefault="00997205" w:rsidP="00997205">
      <w:pPr>
        <w:tabs>
          <w:tab w:val="num" w:pos="2268"/>
        </w:tabs>
        <w:spacing w:after="120"/>
        <w:ind w:left="2268" w:right="1134" w:hanging="170"/>
        <w:jc w:val="both"/>
        <w:rPr>
          <w:lang w:eastAsia="en-US"/>
        </w:rPr>
      </w:pPr>
      <w:r w:rsidRPr="00997205">
        <w:rPr>
          <w:lang w:eastAsia="en-US"/>
        </w:rPr>
        <w:t>The prevention of fire risks; and</w:t>
      </w:r>
    </w:p>
    <w:p w14:paraId="483ECCF6" w14:textId="77777777" w:rsidR="00997205" w:rsidRPr="00997205" w:rsidRDefault="00997205" w:rsidP="00997205">
      <w:pPr>
        <w:tabs>
          <w:tab w:val="num" w:pos="2268"/>
        </w:tabs>
        <w:spacing w:after="120"/>
        <w:ind w:left="2268" w:right="1134" w:hanging="170"/>
        <w:jc w:val="both"/>
        <w:rPr>
          <w:lang w:eastAsia="en-US"/>
        </w:rPr>
      </w:pPr>
      <w:r w:rsidRPr="00997205">
        <w:rPr>
          <w:lang w:eastAsia="en-US"/>
        </w:rPr>
        <w:t>The prevention of other risks caused by fuels.</w:t>
      </w:r>
    </w:p>
    <w:p w14:paraId="2C49C246" w14:textId="77777777" w:rsidR="00997205" w:rsidRPr="00997205" w:rsidRDefault="00997205" w:rsidP="00997205">
      <w:pPr>
        <w:tabs>
          <w:tab w:val="left" w:pos="1701"/>
          <w:tab w:val="left" w:pos="2268"/>
        </w:tabs>
        <w:spacing w:after="120"/>
        <w:ind w:left="1701" w:right="1134" w:hanging="567"/>
        <w:jc w:val="both"/>
        <w:rPr>
          <w:rFonts w:eastAsia="SimSun"/>
          <w:lang w:eastAsia="zh-CN"/>
        </w:rPr>
      </w:pPr>
      <w:r w:rsidRPr="00997205">
        <w:rPr>
          <w:rFonts w:eastAsia="SimSun"/>
          <w:lang w:eastAsia="zh-CN"/>
        </w:rPr>
        <w:tab/>
        <w:t>(b)</w:t>
      </w:r>
      <w:r w:rsidRPr="00997205">
        <w:rPr>
          <w:rFonts w:eastAsia="SimSun"/>
          <w:lang w:eastAsia="zh-CN"/>
        </w:rPr>
        <w:tab/>
        <w:t>The informal working group will take full account of the developments and will work in full cooperation with other working parties (e.g. WP.29).</w:t>
      </w:r>
    </w:p>
    <w:p w14:paraId="24AEC728" w14:textId="77777777" w:rsidR="00997205" w:rsidRPr="00997205" w:rsidRDefault="00997205" w:rsidP="00997205">
      <w:pPr>
        <w:tabs>
          <w:tab w:val="left" w:pos="1701"/>
          <w:tab w:val="left" w:pos="2268"/>
        </w:tabs>
        <w:spacing w:after="120"/>
        <w:ind w:left="1701" w:right="1134" w:hanging="567"/>
        <w:jc w:val="both"/>
        <w:rPr>
          <w:rFonts w:eastAsia="SimSun"/>
          <w:lang w:eastAsia="zh-CN"/>
        </w:rPr>
      </w:pPr>
      <w:r w:rsidRPr="00997205">
        <w:rPr>
          <w:rFonts w:eastAsia="SimSun"/>
          <w:lang w:eastAsia="zh-CN"/>
        </w:rPr>
        <w:tab/>
        <w:t>(c)</w:t>
      </w:r>
      <w:r w:rsidRPr="00997205">
        <w:rPr>
          <w:rFonts w:eastAsia="SimSun"/>
          <w:lang w:eastAsia="zh-CN"/>
        </w:rPr>
        <w:tab/>
        <w:t>In developing its proposals, the informal working group should take into account existing UN Regulations (in particular UN Regulations No. 13, No. 100, No. 122 and No. 134), data, research and voluntary standards available to the contracting parties.</w:t>
      </w:r>
    </w:p>
    <w:p w14:paraId="15B30618" w14:textId="77777777" w:rsidR="00DE1EF8" w:rsidRPr="00DE1EF8" w:rsidRDefault="00DE1EF8" w:rsidP="008A3DAD">
      <w:pPr>
        <w:pStyle w:val="H1G"/>
        <w:rPr>
          <w:lang w:eastAsia="en-US"/>
        </w:rPr>
      </w:pPr>
      <w:r w:rsidRPr="00DE1EF8">
        <w:rPr>
          <w:lang w:eastAsia="en-US"/>
        </w:rPr>
        <w:tab/>
        <w:t>B.</w:t>
      </w:r>
      <w:r w:rsidRPr="00DE1EF8">
        <w:rPr>
          <w:lang w:eastAsia="en-US"/>
        </w:rPr>
        <w:tab/>
        <w:t>Miscellaneous proposals</w:t>
      </w:r>
    </w:p>
    <w:p w14:paraId="0FFD77CD" w14:textId="77777777" w:rsidR="00DE1EF8" w:rsidRPr="00DE1EF8" w:rsidRDefault="00DE1EF8" w:rsidP="008A3DAD">
      <w:pPr>
        <w:pStyle w:val="H23G"/>
        <w:rPr>
          <w:lang w:eastAsia="en-US"/>
        </w:rPr>
      </w:pPr>
      <w:r w:rsidRPr="00DE1EF8">
        <w:rPr>
          <w:lang w:eastAsia="en-US"/>
        </w:rPr>
        <w:tab/>
        <w:t>1.</w:t>
      </w:r>
      <w:r w:rsidRPr="00DE1EF8">
        <w:rPr>
          <w:lang w:eastAsia="en-US"/>
        </w:rPr>
        <w:tab/>
        <w:t>Addition of a reference to MEMUs in the Model for report on occurrences during the carriage of dangerous goods</w:t>
      </w:r>
    </w:p>
    <w:p w14:paraId="09E9A5FA" w14:textId="77777777" w:rsidR="00DE1EF8" w:rsidRPr="00DE1EF8" w:rsidRDefault="00DE1EF8" w:rsidP="00DE1EF8">
      <w:pPr>
        <w:tabs>
          <w:tab w:val="left" w:pos="1701"/>
          <w:tab w:val="left" w:pos="2268"/>
          <w:tab w:val="left" w:pos="3402"/>
        </w:tabs>
        <w:spacing w:after="120"/>
        <w:ind w:left="3402" w:right="1134" w:hanging="2268"/>
        <w:jc w:val="both"/>
        <w:rPr>
          <w:rFonts w:eastAsia="SimSun"/>
          <w:lang w:eastAsia="zh-CN"/>
        </w:rPr>
      </w:pPr>
      <w:r w:rsidRPr="00DE1EF8">
        <w:rPr>
          <w:rFonts w:eastAsia="SimSun"/>
          <w:i/>
          <w:iCs/>
          <w:lang w:eastAsia="zh-CN"/>
        </w:rPr>
        <w:t>Document</w:t>
      </w:r>
      <w:r w:rsidRPr="00DE1EF8">
        <w:rPr>
          <w:rFonts w:eastAsia="SimSun"/>
          <w:lang w:eastAsia="zh-CN"/>
        </w:rPr>
        <w:t>:</w:t>
      </w:r>
      <w:r w:rsidRPr="00DE1EF8">
        <w:rPr>
          <w:rFonts w:eastAsia="SimSun"/>
          <w:lang w:eastAsia="zh-CN"/>
        </w:rPr>
        <w:tab/>
      </w:r>
      <w:r w:rsidRPr="00DE1EF8">
        <w:rPr>
          <w:rFonts w:eastAsia="SimSun"/>
          <w:lang w:eastAsia="zh-CN"/>
        </w:rPr>
        <w:tab/>
        <w:t>ECE/TRANS/WP.15/2021/1 (Sweden)</w:t>
      </w:r>
    </w:p>
    <w:p w14:paraId="63912BA1" w14:textId="404A1299" w:rsidR="00DE1EF8" w:rsidRPr="00DE1EF8" w:rsidRDefault="00D52B02" w:rsidP="00DE1EF8">
      <w:pPr>
        <w:tabs>
          <w:tab w:val="left" w:pos="1701"/>
          <w:tab w:val="left" w:pos="2268"/>
        </w:tabs>
        <w:spacing w:after="120"/>
        <w:ind w:left="1134" w:right="1134"/>
        <w:jc w:val="both"/>
        <w:rPr>
          <w:rFonts w:eastAsia="SimSun"/>
          <w:lang w:eastAsia="zh-CN"/>
        </w:rPr>
      </w:pPr>
      <w:r>
        <w:rPr>
          <w:rFonts w:eastAsia="SimSun"/>
          <w:lang w:eastAsia="zh-CN"/>
        </w:rPr>
        <w:t>34</w:t>
      </w:r>
      <w:r w:rsidR="00DE1EF8" w:rsidRPr="00DE1EF8">
        <w:rPr>
          <w:rFonts w:eastAsia="SimSun"/>
          <w:lang w:eastAsia="zh-CN"/>
        </w:rPr>
        <w:t>.</w:t>
      </w:r>
      <w:r w:rsidR="00DE1EF8" w:rsidRPr="00DE1EF8">
        <w:rPr>
          <w:rFonts w:eastAsia="SimSun"/>
          <w:lang w:eastAsia="zh-CN"/>
        </w:rPr>
        <w:tab/>
        <w:t xml:space="preserve">The Working Party adopted the proposal (see annex </w:t>
      </w:r>
      <w:r w:rsidR="00496212">
        <w:rPr>
          <w:rFonts w:eastAsia="SimSun"/>
          <w:lang w:eastAsia="zh-CN"/>
        </w:rPr>
        <w:t>I</w:t>
      </w:r>
      <w:r w:rsidR="00496212" w:rsidRPr="00DE1EF8">
        <w:rPr>
          <w:rFonts w:eastAsia="SimSun"/>
          <w:lang w:eastAsia="zh-CN"/>
        </w:rPr>
        <w:t xml:space="preserve">). </w:t>
      </w:r>
    </w:p>
    <w:p w14:paraId="4D1520AF" w14:textId="77777777" w:rsidR="0026618C" w:rsidRPr="008A3DAD" w:rsidRDefault="0026618C" w:rsidP="008A3DAD">
      <w:pPr>
        <w:pStyle w:val="H23G"/>
        <w:rPr>
          <w:lang w:eastAsia="en-US"/>
        </w:rPr>
      </w:pPr>
      <w:r w:rsidRPr="0026618C">
        <w:rPr>
          <w:lang w:eastAsia="en-US"/>
        </w:rPr>
        <w:tab/>
        <w:t>2.</w:t>
      </w:r>
      <w:r w:rsidRPr="0026618C">
        <w:rPr>
          <w:lang w:eastAsia="en-US"/>
        </w:rPr>
        <w:tab/>
        <w:t>Supervision requirements for detonators</w:t>
      </w:r>
    </w:p>
    <w:p w14:paraId="3E93BDC1" w14:textId="77777777" w:rsidR="0026618C" w:rsidRPr="0026618C" w:rsidRDefault="0026618C" w:rsidP="0026618C">
      <w:pPr>
        <w:tabs>
          <w:tab w:val="left" w:pos="1701"/>
          <w:tab w:val="left" w:pos="2977"/>
        </w:tabs>
        <w:spacing w:after="120"/>
        <w:ind w:left="1134" w:right="1134"/>
        <w:jc w:val="both"/>
        <w:rPr>
          <w:rFonts w:eastAsia="SimSun"/>
          <w:lang w:eastAsia="zh-CN"/>
        </w:rPr>
      </w:pPr>
      <w:r w:rsidRPr="0026618C">
        <w:rPr>
          <w:rFonts w:eastAsia="SimSun"/>
          <w:i/>
          <w:iCs/>
          <w:lang w:eastAsia="zh-CN"/>
        </w:rPr>
        <w:t>Document</w:t>
      </w:r>
      <w:r w:rsidRPr="0026618C">
        <w:rPr>
          <w:rFonts w:eastAsia="SimSun"/>
          <w:lang w:eastAsia="zh-CN"/>
        </w:rPr>
        <w:t>:</w:t>
      </w:r>
      <w:r w:rsidRPr="0026618C">
        <w:rPr>
          <w:rFonts w:eastAsia="SimSun"/>
          <w:lang w:eastAsia="zh-CN"/>
        </w:rPr>
        <w:tab/>
        <w:t>ECE/TRANS/WP.15/2021/3 (Secretariat)</w:t>
      </w:r>
    </w:p>
    <w:p w14:paraId="44E36955" w14:textId="6DD35176" w:rsidR="0026618C" w:rsidRPr="0026618C" w:rsidRDefault="00496212" w:rsidP="0026618C">
      <w:pPr>
        <w:tabs>
          <w:tab w:val="left" w:pos="1701"/>
          <w:tab w:val="left" w:pos="2268"/>
        </w:tabs>
        <w:spacing w:after="120"/>
        <w:ind w:left="1134" w:right="1134"/>
        <w:jc w:val="both"/>
        <w:rPr>
          <w:rFonts w:eastAsia="SimSun"/>
          <w:lang w:eastAsia="zh-CN"/>
        </w:rPr>
      </w:pPr>
      <w:r>
        <w:rPr>
          <w:rFonts w:eastAsia="SimSun"/>
          <w:lang w:eastAsia="zh-CN"/>
        </w:rPr>
        <w:t>35</w:t>
      </w:r>
      <w:r w:rsidR="0026618C" w:rsidRPr="0026618C">
        <w:rPr>
          <w:rFonts w:eastAsia="SimSun"/>
          <w:lang w:eastAsia="zh-CN"/>
        </w:rPr>
        <w:t>.</w:t>
      </w:r>
      <w:r w:rsidR="0026618C" w:rsidRPr="0026618C">
        <w:rPr>
          <w:rFonts w:eastAsia="SimSun"/>
          <w:lang w:eastAsia="zh-CN"/>
        </w:rPr>
        <w:tab/>
        <w:t xml:space="preserve">The Working Party adopted the proposal (see annex </w:t>
      </w:r>
      <w:r>
        <w:rPr>
          <w:rFonts w:eastAsia="SimSun"/>
          <w:lang w:eastAsia="zh-CN"/>
        </w:rPr>
        <w:t>I</w:t>
      </w:r>
      <w:r w:rsidRPr="0026618C">
        <w:rPr>
          <w:rFonts w:eastAsia="SimSun"/>
          <w:lang w:eastAsia="zh-CN"/>
        </w:rPr>
        <w:t>).</w:t>
      </w:r>
    </w:p>
    <w:p w14:paraId="12BBC8A8" w14:textId="77777777" w:rsidR="0026618C" w:rsidRPr="008A3DAD" w:rsidRDefault="0026618C" w:rsidP="008A3DAD">
      <w:pPr>
        <w:pStyle w:val="H23G"/>
        <w:rPr>
          <w:lang w:eastAsia="en-US"/>
        </w:rPr>
      </w:pPr>
      <w:r w:rsidRPr="0026618C">
        <w:rPr>
          <w:lang w:eastAsia="en-US"/>
        </w:rPr>
        <w:tab/>
        <w:t>3.</w:t>
      </w:r>
      <w:r w:rsidRPr="0026618C">
        <w:rPr>
          <w:lang w:eastAsia="en-US"/>
        </w:rPr>
        <w:tab/>
        <w:t>References to competent authorities in Parts 8 and 9</w:t>
      </w:r>
    </w:p>
    <w:p w14:paraId="490D8728" w14:textId="77777777" w:rsidR="0026618C" w:rsidRPr="0026618C" w:rsidRDefault="0026618C" w:rsidP="0026618C">
      <w:pPr>
        <w:tabs>
          <w:tab w:val="left" w:pos="1701"/>
          <w:tab w:val="left" w:pos="2977"/>
        </w:tabs>
        <w:spacing w:after="120"/>
        <w:ind w:left="1134" w:right="1134"/>
        <w:jc w:val="both"/>
        <w:rPr>
          <w:rFonts w:eastAsia="SimSun"/>
          <w:lang w:eastAsia="zh-CN"/>
        </w:rPr>
      </w:pPr>
      <w:r w:rsidRPr="0026618C">
        <w:rPr>
          <w:rFonts w:eastAsia="SimSun"/>
          <w:i/>
          <w:iCs/>
          <w:lang w:eastAsia="zh-CN"/>
        </w:rPr>
        <w:t>Document</w:t>
      </w:r>
      <w:r w:rsidRPr="0026618C">
        <w:rPr>
          <w:rFonts w:eastAsia="SimSun"/>
          <w:lang w:eastAsia="zh-CN"/>
        </w:rPr>
        <w:t>:</w:t>
      </w:r>
      <w:r w:rsidRPr="0026618C">
        <w:rPr>
          <w:rFonts w:eastAsia="SimSun"/>
          <w:lang w:eastAsia="zh-CN"/>
        </w:rPr>
        <w:tab/>
        <w:t>ECE/TRANS/WP.15/2021/5 (Secretariat)</w:t>
      </w:r>
    </w:p>
    <w:p w14:paraId="2706F73A" w14:textId="186100F6" w:rsidR="0026618C" w:rsidRPr="0026618C" w:rsidRDefault="0039539F" w:rsidP="0026618C">
      <w:pPr>
        <w:tabs>
          <w:tab w:val="left" w:pos="1701"/>
          <w:tab w:val="left" w:pos="2268"/>
        </w:tabs>
        <w:spacing w:after="120"/>
        <w:ind w:left="1134" w:right="1134"/>
        <w:jc w:val="both"/>
        <w:rPr>
          <w:rFonts w:eastAsia="SimSun"/>
          <w:lang w:eastAsia="zh-CN"/>
        </w:rPr>
      </w:pPr>
      <w:r>
        <w:rPr>
          <w:rFonts w:eastAsia="SimSun"/>
          <w:lang w:eastAsia="zh-CN"/>
        </w:rPr>
        <w:t>36</w:t>
      </w:r>
      <w:r w:rsidR="0026618C" w:rsidRPr="0026618C">
        <w:rPr>
          <w:rFonts w:eastAsia="SimSun"/>
          <w:lang w:eastAsia="zh-CN"/>
        </w:rPr>
        <w:t>.</w:t>
      </w:r>
      <w:r w:rsidR="0026618C" w:rsidRPr="0026618C">
        <w:rPr>
          <w:rFonts w:eastAsia="SimSun"/>
          <w:lang w:eastAsia="zh-CN"/>
        </w:rPr>
        <w:tab/>
        <w:t>The Working Party confirmed the interpretations proposed in paragraphs 8, 9, 12 and 14 of document ECE/TRANS/WP.15/2021/5. These interpretations will be published on the ECE website.</w:t>
      </w:r>
      <w:bookmarkStart w:id="6" w:name="_Hlk71054472"/>
      <w:bookmarkEnd w:id="6"/>
    </w:p>
    <w:p w14:paraId="35DED27E" w14:textId="2535A1A5" w:rsidR="0026618C" w:rsidRPr="0026618C" w:rsidRDefault="0039539F" w:rsidP="0026618C">
      <w:pPr>
        <w:tabs>
          <w:tab w:val="left" w:pos="1701"/>
          <w:tab w:val="left" w:pos="2268"/>
        </w:tabs>
        <w:spacing w:after="120"/>
        <w:ind w:left="1134" w:right="1134"/>
        <w:jc w:val="both"/>
        <w:rPr>
          <w:rFonts w:eastAsia="SimSun"/>
          <w:lang w:eastAsia="zh-CN"/>
        </w:rPr>
      </w:pPr>
      <w:r>
        <w:rPr>
          <w:rFonts w:eastAsia="SimSun"/>
          <w:lang w:eastAsia="zh-CN"/>
        </w:rPr>
        <w:t>37</w:t>
      </w:r>
      <w:r w:rsidR="0026618C" w:rsidRPr="0026618C">
        <w:rPr>
          <w:rFonts w:eastAsia="SimSun"/>
          <w:lang w:eastAsia="zh-CN"/>
        </w:rPr>
        <w:t>.</w:t>
      </w:r>
      <w:r w:rsidR="0026618C" w:rsidRPr="0026618C">
        <w:rPr>
          <w:rFonts w:eastAsia="SimSun"/>
          <w:lang w:eastAsia="zh-CN"/>
        </w:rPr>
        <w:tab/>
        <w:t>With regard to 9.1.2.1 (ECE/TRANS/WP.15/2021/5, para. 13), the delegations that expressed their views considered that the term “competent authority” in this subsection referred to the competent authority of the country of registration. The Working Party confirmed this interpretation.</w:t>
      </w:r>
    </w:p>
    <w:p w14:paraId="224E190B" w14:textId="09207CE5" w:rsidR="0026618C" w:rsidRPr="0026618C" w:rsidRDefault="0039539F" w:rsidP="0026618C">
      <w:pPr>
        <w:tabs>
          <w:tab w:val="left" w:pos="1701"/>
          <w:tab w:val="left" w:pos="2268"/>
        </w:tabs>
        <w:spacing w:after="120"/>
        <w:ind w:left="1134" w:right="1134"/>
        <w:jc w:val="both"/>
        <w:rPr>
          <w:rFonts w:eastAsia="SimSun"/>
          <w:lang w:eastAsia="zh-CN"/>
        </w:rPr>
      </w:pPr>
      <w:r>
        <w:rPr>
          <w:rFonts w:eastAsia="SimSun"/>
          <w:lang w:eastAsia="zh-CN"/>
        </w:rPr>
        <w:t>38</w:t>
      </w:r>
      <w:r w:rsidR="0026618C" w:rsidRPr="0026618C">
        <w:rPr>
          <w:rFonts w:eastAsia="SimSun"/>
          <w:lang w:eastAsia="zh-CN"/>
        </w:rPr>
        <w:t>.</w:t>
      </w:r>
      <w:r w:rsidR="0026618C" w:rsidRPr="0026618C">
        <w:rPr>
          <w:rFonts w:eastAsia="SimSun"/>
          <w:lang w:eastAsia="zh-CN"/>
        </w:rPr>
        <w:tab/>
        <w:t>The Working Party agreed that the reference to “the competent authority(ies)” should be retained in 8.6.3.1, as different competent authorities could be involved and not just the competent authority for Class 7. Proposal 1 was withdrawn.</w:t>
      </w:r>
    </w:p>
    <w:p w14:paraId="29237A2A" w14:textId="3E64152A" w:rsidR="0026618C" w:rsidRPr="0026618C" w:rsidRDefault="00DD3B22" w:rsidP="0026618C">
      <w:pPr>
        <w:tabs>
          <w:tab w:val="left" w:pos="1701"/>
          <w:tab w:val="left" w:pos="2268"/>
        </w:tabs>
        <w:spacing w:after="120"/>
        <w:ind w:left="1134" w:right="1134"/>
        <w:jc w:val="both"/>
        <w:rPr>
          <w:rFonts w:eastAsia="SimSun"/>
          <w:lang w:eastAsia="zh-CN"/>
        </w:rPr>
      </w:pPr>
      <w:r>
        <w:rPr>
          <w:rFonts w:eastAsia="SimSun"/>
          <w:lang w:eastAsia="zh-CN"/>
        </w:rPr>
        <w:t>39</w:t>
      </w:r>
      <w:r w:rsidR="0026618C" w:rsidRPr="0026618C">
        <w:rPr>
          <w:rFonts w:eastAsia="SimSun"/>
          <w:lang w:eastAsia="zh-CN"/>
        </w:rPr>
        <w:t>.</w:t>
      </w:r>
      <w:r w:rsidR="0026618C" w:rsidRPr="0026618C">
        <w:rPr>
          <w:rFonts w:eastAsia="SimSun"/>
          <w:lang w:eastAsia="zh-CN"/>
        </w:rPr>
        <w:tab/>
        <w:t>Several delegations considered that the term “local authority” was not appropriate for provisions S8 and S9 of Chapter 8.5 because, according to the definition of competent authority in 1.2.1, the implementation of these provisions could fall under different levels of authority depending on what was specified in national law. Proposal 2 was withdrawn.</w:t>
      </w:r>
    </w:p>
    <w:p w14:paraId="51125574" w14:textId="77777777" w:rsidR="0026618C" w:rsidRPr="008A3DAD" w:rsidRDefault="0026618C" w:rsidP="008A3DAD">
      <w:pPr>
        <w:pStyle w:val="H23G"/>
        <w:rPr>
          <w:lang w:eastAsia="en-US"/>
        </w:rPr>
      </w:pPr>
      <w:r w:rsidRPr="0026618C">
        <w:rPr>
          <w:lang w:eastAsia="en-US"/>
        </w:rPr>
        <w:tab/>
        <w:t>4.</w:t>
      </w:r>
      <w:r w:rsidRPr="0026618C">
        <w:rPr>
          <w:lang w:eastAsia="en-US"/>
        </w:rPr>
        <w:tab/>
        <w:t>Temperature controlled transport</w:t>
      </w:r>
    </w:p>
    <w:p w14:paraId="476525D2" w14:textId="208CBA09" w:rsidR="0026618C" w:rsidRPr="0026618C" w:rsidRDefault="0026618C" w:rsidP="0026618C">
      <w:pPr>
        <w:tabs>
          <w:tab w:val="left" w:pos="1701"/>
          <w:tab w:val="left" w:pos="3402"/>
        </w:tabs>
        <w:spacing w:after="120"/>
        <w:ind w:left="1134" w:right="1134"/>
        <w:jc w:val="both"/>
        <w:rPr>
          <w:rFonts w:eastAsia="SimSun"/>
          <w:lang w:eastAsia="zh-CN"/>
        </w:rPr>
      </w:pPr>
      <w:r w:rsidRPr="0026618C">
        <w:rPr>
          <w:rFonts w:eastAsia="SimSun"/>
          <w:i/>
          <w:iCs/>
          <w:lang w:eastAsia="zh-CN"/>
        </w:rPr>
        <w:t>Informal document</w:t>
      </w:r>
      <w:r w:rsidRPr="0026618C">
        <w:rPr>
          <w:rFonts w:eastAsia="SimSun"/>
          <w:lang w:eastAsia="zh-CN"/>
        </w:rPr>
        <w:t>:</w:t>
      </w:r>
      <w:r w:rsidRPr="0026618C">
        <w:rPr>
          <w:rFonts w:eastAsia="SimSun"/>
          <w:lang w:eastAsia="zh-CN"/>
        </w:rPr>
        <w:tab/>
        <w:t>INF.4/Rev.1 (Netherlands and Cefic)</w:t>
      </w:r>
    </w:p>
    <w:p w14:paraId="0E68CB99" w14:textId="41FAF31B" w:rsidR="0026618C" w:rsidRPr="0026618C" w:rsidRDefault="00DD3B22" w:rsidP="0026618C">
      <w:pPr>
        <w:tabs>
          <w:tab w:val="left" w:pos="1701"/>
          <w:tab w:val="left" w:pos="2268"/>
        </w:tabs>
        <w:spacing w:after="120"/>
        <w:ind w:left="1134" w:right="1134"/>
        <w:jc w:val="both"/>
        <w:rPr>
          <w:rFonts w:eastAsia="SimSun"/>
          <w:lang w:eastAsia="zh-CN"/>
        </w:rPr>
      </w:pPr>
      <w:r>
        <w:rPr>
          <w:rFonts w:eastAsia="SimSun"/>
          <w:lang w:eastAsia="zh-CN"/>
        </w:rPr>
        <w:t>40</w:t>
      </w:r>
      <w:r w:rsidR="0026618C" w:rsidRPr="0026618C">
        <w:rPr>
          <w:rFonts w:eastAsia="SimSun"/>
          <w:lang w:eastAsia="zh-CN"/>
        </w:rPr>
        <w:t>.</w:t>
      </w:r>
      <w:r w:rsidR="0026618C" w:rsidRPr="0026618C">
        <w:rPr>
          <w:rFonts w:eastAsia="SimSun"/>
          <w:lang w:eastAsia="zh-CN"/>
        </w:rPr>
        <w:tab/>
        <w:t>The representatives of the Netherlands and Cefic invited delegations wishing to make comments on their draft amendment proposal to submit them by mid-July 2021 with a view to preparing an official document for the next session.</w:t>
      </w:r>
    </w:p>
    <w:p w14:paraId="65576C0B" w14:textId="77777777" w:rsidR="0026618C" w:rsidRPr="008A3DAD" w:rsidRDefault="0026618C" w:rsidP="008A3DAD">
      <w:pPr>
        <w:pStyle w:val="H23G"/>
        <w:rPr>
          <w:lang w:eastAsia="en-US"/>
        </w:rPr>
      </w:pPr>
      <w:r w:rsidRPr="0026618C">
        <w:rPr>
          <w:lang w:eastAsia="en-US"/>
        </w:rPr>
        <w:lastRenderedPageBreak/>
        <w:tab/>
        <w:t>5.</w:t>
      </w:r>
      <w:r w:rsidRPr="0026618C">
        <w:rPr>
          <w:lang w:eastAsia="en-US"/>
        </w:rPr>
        <w:tab/>
        <w:t>Editorial amendments</w:t>
      </w:r>
    </w:p>
    <w:p w14:paraId="65D8DC6D" w14:textId="77777777" w:rsidR="0026618C" w:rsidRPr="0026618C" w:rsidRDefault="0026618C" w:rsidP="0026618C">
      <w:pPr>
        <w:keepNext/>
        <w:tabs>
          <w:tab w:val="left" w:pos="1701"/>
          <w:tab w:val="left" w:pos="3402"/>
        </w:tabs>
        <w:spacing w:after="120"/>
        <w:ind w:left="1134" w:right="1134"/>
        <w:jc w:val="both"/>
        <w:rPr>
          <w:rFonts w:eastAsia="SimSun"/>
          <w:lang w:eastAsia="zh-CN"/>
        </w:rPr>
      </w:pPr>
      <w:r w:rsidRPr="0026618C">
        <w:rPr>
          <w:rFonts w:eastAsia="SimSun"/>
          <w:i/>
          <w:iCs/>
          <w:lang w:eastAsia="zh-CN"/>
        </w:rPr>
        <w:t>Informal document</w:t>
      </w:r>
      <w:r w:rsidRPr="0026618C">
        <w:rPr>
          <w:rFonts w:eastAsia="SimSun"/>
          <w:lang w:eastAsia="zh-CN"/>
        </w:rPr>
        <w:t>:</w:t>
      </w:r>
      <w:r w:rsidRPr="0026618C">
        <w:rPr>
          <w:rFonts w:eastAsia="SimSun"/>
          <w:lang w:eastAsia="zh-CN"/>
        </w:rPr>
        <w:tab/>
        <w:t>INF.10 (United Kingdom)</w:t>
      </w:r>
    </w:p>
    <w:p w14:paraId="4B8D3A28" w14:textId="534D3171" w:rsidR="0026618C" w:rsidRDefault="00DD3B22" w:rsidP="0026618C">
      <w:pPr>
        <w:keepLines/>
        <w:tabs>
          <w:tab w:val="left" w:pos="1701"/>
          <w:tab w:val="left" w:pos="2268"/>
        </w:tabs>
        <w:spacing w:after="120"/>
        <w:ind w:left="1134" w:right="1134"/>
        <w:jc w:val="both"/>
        <w:rPr>
          <w:rFonts w:eastAsia="SimSun"/>
          <w:lang w:eastAsia="zh-CN"/>
        </w:rPr>
      </w:pPr>
      <w:r>
        <w:rPr>
          <w:rFonts w:eastAsia="SimSun"/>
          <w:lang w:eastAsia="zh-CN"/>
        </w:rPr>
        <w:t>41</w:t>
      </w:r>
      <w:r w:rsidR="0026618C" w:rsidRPr="0026618C">
        <w:rPr>
          <w:rFonts w:eastAsia="SimSun"/>
          <w:lang w:eastAsia="zh-CN"/>
        </w:rPr>
        <w:t>.</w:t>
      </w:r>
      <w:r w:rsidR="0026618C" w:rsidRPr="0026618C">
        <w:rPr>
          <w:rFonts w:eastAsia="SimSun"/>
          <w:lang w:eastAsia="zh-CN"/>
        </w:rPr>
        <w:tab/>
        <w:t>The Working Party confirmed that the wording of special provision S3 and the numbering of the second figure at 5.2.1.10.1.2 should be corrected in the English version. A member of the secretariat confirmed that these points were correct in the French and Russian versions of ADR and that these corrections would be reflected in a forthcoming corrigendum to the published English version of ADR</w:t>
      </w:r>
      <w:r w:rsidR="0082035B">
        <w:rPr>
          <w:rFonts w:eastAsia="SimSun"/>
          <w:lang w:eastAsia="zh-CN"/>
        </w:rPr>
        <w:t xml:space="preserve"> (see annex II)</w:t>
      </w:r>
      <w:r w:rsidR="0026618C" w:rsidRPr="0026618C">
        <w:rPr>
          <w:rFonts w:eastAsia="SimSun"/>
          <w:lang w:eastAsia="zh-CN"/>
        </w:rPr>
        <w:t>.</w:t>
      </w:r>
    </w:p>
    <w:p w14:paraId="2DE70A69" w14:textId="63C0000D" w:rsidR="008F738E" w:rsidRPr="008A3DAD" w:rsidRDefault="008F738E" w:rsidP="008A3DAD">
      <w:pPr>
        <w:pStyle w:val="H23G"/>
        <w:rPr>
          <w:lang w:eastAsia="en-US"/>
        </w:rPr>
      </w:pPr>
      <w:r>
        <w:rPr>
          <w:lang w:eastAsia="en-US"/>
        </w:rPr>
        <w:tab/>
      </w:r>
      <w:r w:rsidRPr="008F738E">
        <w:rPr>
          <w:lang w:eastAsia="en-US"/>
        </w:rPr>
        <w:t>6.</w:t>
      </w:r>
      <w:r w:rsidRPr="008F738E">
        <w:rPr>
          <w:lang w:eastAsia="en-US"/>
        </w:rPr>
        <w:tab/>
        <w:t>Tunnel restriction code for excepted packages (UN Nos. 2908 to 2911)</w:t>
      </w:r>
    </w:p>
    <w:p w14:paraId="13873597" w14:textId="77777777" w:rsidR="008F738E" w:rsidRPr="008F738E" w:rsidRDefault="008F738E" w:rsidP="008F738E">
      <w:pPr>
        <w:tabs>
          <w:tab w:val="left" w:pos="1701"/>
          <w:tab w:val="left" w:pos="2268"/>
        </w:tabs>
        <w:ind w:left="1134" w:right="1134"/>
        <w:jc w:val="both"/>
        <w:rPr>
          <w:rFonts w:eastAsia="SimSun"/>
          <w:lang w:eastAsia="zh-CN"/>
        </w:rPr>
      </w:pPr>
      <w:r w:rsidRPr="008F738E">
        <w:rPr>
          <w:rFonts w:eastAsia="SimSun"/>
          <w:i/>
          <w:iCs/>
          <w:lang w:eastAsia="zh-CN"/>
        </w:rPr>
        <w:t>Documents</w:t>
      </w:r>
      <w:r w:rsidRPr="008F738E">
        <w:rPr>
          <w:rFonts w:eastAsia="SimSun"/>
          <w:lang w:eastAsia="zh-CN"/>
        </w:rPr>
        <w:t>:</w:t>
      </w:r>
      <w:r w:rsidRPr="008F738E">
        <w:rPr>
          <w:rFonts w:eastAsia="SimSun"/>
          <w:lang w:eastAsia="zh-CN"/>
        </w:rPr>
        <w:tab/>
      </w:r>
      <w:r w:rsidRPr="008F738E">
        <w:rPr>
          <w:rFonts w:eastAsia="SimSun"/>
          <w:lang w:eastAsia="zh-CN"/>
        </w:rPr>
        <w:tab/>
        <w:t>ECE/TRANS/WP.15/2020/4 (Germany),</w:t>
      </w:r>
    </w:p>
    <w:p w14:paraId="451F9FDC" w14:textId="77777777" w:rsidR="008F738E" w:rsidRPr="008F738E" w:rsidRDefault="008F738E" w:rsidP="008F738E">
      <w:pPr>
        <w:tabs>
          <w:tab w:val="left" w:pos="1701"/>
          <w:tab w:val="left" w:pos="2268"/>
        </w:tabs>
        <w:spacing w:after="120"/>
        <w:ind w:left="1134" w:right="1134"/>
        <w:jc w:val="both"/>
        <w:rPr>
          <w:rFonts w:eastAsia="SimSun"/>
          <w:lang w:eastAsia="zh-CN"/>
        </w:rPr>
      </w:pPr>
      <w:r w:rsidRPr="008F738E">
        <w:rPr>
          <w:rFonts w:eastAsia="SimSun"/>
          <w:lang w:eastAsia="zh-CN"/>
        </w:rPr>
        <w:tab/>
      </w:r>
      <w:r w:rsidRPr="008F738E">
        <w:rPr>
          <w:rFonts w:eastAsia="SimSun"/>
          <w:lang w:eastAsia="zh-CN"/>
        </w:rPr>
        <w:tab/>
        <w:t>ECE/TRANS/WP.15/2021/4 (Secretariat)</w:t>
      </w:r>
    </w:p>
    <w:p w14:paraId="69448D61" w14:textId="536EA5B3" w:rsidR="008F738E" w:rsidRPr="008F738E" w:rsidRDefault="009E7856" w:rsidP="008F738E">
      <w:pPr>
        <w:tabs>
          <w:tab w:val="left" w:pos="1701"/>
          <w:tab w:val="left" w:pos="2268"/>
        </w:tabs>
        <w:spacing w:after="120"/>
        <w:ind w:left="1134" w:right="1134"/>
        <w:jc w:val="both"/>
        <w:rPr>
          <w:rFonts w:eastAsia="SimSun"/>
          <w:lang w:eastAsia="zh-CN"/>
        </w:rPr>
      </w:pPr>
      <w:r>
        <w:rPr>
          <w:rFonts w:eastAsia="SimSun"/>
          <w:lang w:eastAsia="zh-CN"/>
        </w:rPr>
        <w:t>42</w:t>
      </w:r>
      <w:r w:rsidR="008F738E" w:rsidRPr="008F738E">
        <w:rPr>
          <w:rFonts w:eastAsia="SimSun"/>
          <w:lang w:eastAsia="zh-CN"/>
        </w:rPr>
        <w:t>.</w:t>
      </w:r>
      <w:r w:rsidR="008F738E" w:rsidRPr="008F738E">
        <w:rPr>
          <w:rFonts w:eastAsia="SimSun"/>
          <w:lang w:eastAsia="zh-CN"/>
        </w:rPr>
        <w:tab/>
        <w:t>The representative of Germany wished to continue the discussion on that document in the light of the information on the methodology and system for assigning tunnel codes to the goods concerned, as compiled by the secretariat.</w:t>
      </w:r>
    </w:p>
    <w:p w14:paraId="05F0AB4B" w14:textId="2976D7D2" w:rsidR="008F738E" w:rsidRPr="008F738E" w:rsidRDefault="009E7856" w:rsidP="008F738E">
      <w:pPr>
        <w:tabs>
          <w:tab w:val="left" w:pos="1701"/>
          <w:tab w:val="left" w:pos="2268"/>
        </w:tabs>
        <w:spacing w:after="120"/>
        <w:ind w:left="1134" w:right="1134"/>
        <w:jc w:val="both"/>
        <w:rPr>
          <w:rFonts w:eastAsia="SimSun"/>
          <w:lang w:eastAsia="zh-CN"/>
        </w:rPr>
      </w:pPr>
      <w:r>
        <w:rPr>
          <w:rFonts w:eastAsia="SimSun"/>
          <w:lang w:eastAsia="zh-CN"/>
        </w:rPr>
        <w:t>43</w:t>
      </w:r>
      <w:r w:rsidR="008F738E" w:rsidRPr="008F738E">
        <w:rPr>
          <w:rFonts w:eastAsia="SimSun"/>
          <w:lang w:eastAsia="zh-CN"/>
        </w:rPr>
        <w:t>.</w:t>
      </w:r>
      <w:r w:rsidR="008F738E" w:rsidRPr="008F738E">
        <w:rPr>
          <w:rFonts w:eastAsia="SimSun"/>
          <w:lang w:eastAsia="zh-CN"/>
        </w:rPr>
        <w:tab/>
        <w:t xml:space="preserve">The proposal by Germany in document ECE/TRANS/WP.15/2020/4 was adopted (see annex </w:t>
      </w:r>
      <w:r>
        <w:rPr>
          <w:rFonts w:eastAsia="SimSun"/>
          <w:lang w:eastAsia="zh-CN"/>
        </w:rPr>
        <w:t>I</w:t>
      </w:r>
      <w:r w:rsidRPr="008F738E">
        <w:rPr>
          <w:rFonts w:eastAsia="SimSun"/>
          <w:lang w:eastAsia="zh-CN"/>
        </w:rPr>
        <w:t>).</w:t>
      </w:r>
    </w:p>
    <w:p w14:paraId="063BF4AF" w14:textId="77777777" w:rsidR="00E23B06" w:rsidRPr="00E23B06" w:rsidRDefault="00E23B06" w:rsidP="008A3DAD">
      <w:pPr>
        <w:pStyle w:val="HChG"/>
        <w:rPr>
          <w:lang w:eastAsia="en-US"/>
        </w:rPr>
      </w:pPr>
      <w:r w:rsidRPr="00E23B06">
        <w:rPr>
          <w:lang w:eastAsia="en-US"/>
        </w:rPr>
        <w:tab/>
        <w:t>VIII.</w:t>
      </w:r>
      <w:r w:rsidRPr="00E23B06">
        <w:rPr>
          <w:lang w:eastAsia="en-US"/>
        </w:rPr>
        <w:tab/>
        <w:t xml:space="preserve">Interpretation of ADR (agenda item 6) </w:t>
      </w:r>
    </w:p>
    <w:p w14:paraId="45268DD4" w14:textId="2CF74C1A" w:rsidR="00E23B06" w:rsidRPr="00E23B06" w:rsidRDefault="00E23B06" w:rsidP="008A3DAD">
      <w:pPr>
        <w:pStyle w:val="H1G"/>
        <w:rPr>
          <w:lang w:eastAsia="en-US"/>
        </w:rPr>
      </w:pPr>
      <w:r w:rsidRPr="00E23B06">
        <w:rPr>
          <w:lang w:eastAsia="en-US"/>
        </w:rPr>
        <w:tab/>
      </w:r>
      <w:r w:rsidR="00C27888">
        <w:rPr>
          <w:lang w:eastAsia="en-US"/>
        </w:rPr>
        <w:t>A</w:t>
      </w:r>
      <w:r w:rsidRPr="00E23B06">
        <w:rPr>
          <w:lang w:eastAsia="en-US"/>
        </w:rPr>
        <w:t>.</w:t>
      </w:r>
      <w:r w:rsidRPr="00E23B06">
        <w:rPr>
          <w:lang w:eastAsia="en-US"/>
        </w:rPr>
        <w:tab/>
        <w:t>Application of the requirements concerning the electrical equipment of vehicles in accordance with 9.2.1.1</w:t>
      </w:r>
    </w:p>
    <w:p w14:paraId="731BD6F4" w14:textId="77777777" w:rsidR="00E23B06" w:rsidRPr="00E23B06" w:rsidRDefault="00E23B06" w:rsidP="00E23B06">
      <w:pPr>
        <w:tabs>
          <w:tab w:val="left" w:pos="1701"/>
          <w:tab w:val="left" w:pos="2268"/>
        </w:tabs>
        <w:spacing w:after="120"/>
        <w:ind w:left="1134" w:right="1134"/>
        <w:jc w:val="both"/>
        <w:rPr>
          <w:rFonts w:eastAsia="SimSun"/>
          <w:lang w:eastAsia="zh-CN"/>
        </w:rPr>
      </w:pPr>
      <w:r w:rsidRPr="00E23B06">
        <w:rPr>
          <w:rFonts w:eastAsia="SimSun"/>
          <w:i/>
          <w:iCs/>
          <w:lang w:eastAsia="zh-CN"/>
        </w:rPr>
        <w:t>Document</w:t>
      </w:r>
      <w:r w:rsidRPr="00E23B06">
        <w:rPr>
          <w:rFonts w:eastAsia="SimSun"/>
          <w:lang w:eastAsia="zh-CN"/>
        </w:rPr>
        <w:t>:</w:t>
      </w:r>
      <w:r w:rsidRPr="00E23B06">
        <w:rPr>
          <w:rFonts w:eastAsia="SimSun"/>
          <w:lang w:eastAsia="zh-CN"/>
        </w:rPr>
        <w:tab/>
      </w:r>
      <w:r w:rsidRPr="00E23B06">
        <w:rPr>
          <w:rFonts w:eastAsia="SimSun"/>
          <w:lang w:eastAsia="zh-CN"/>
        </w:rPr>
        <w:tab/>
        <w:t>ECE/TRANS/WP.15/2021/6 (Netherlands and Germany)</w:t>
      </w:r>
    </w:p>
    <w:p w14:paraId="0E123FC9" w14:textId="262F5BE3" w:rsidR="00E23B06" w:rsidRPr="00E23B06" w:rsidRDefault="009003B9" w:rsidP="00E23B06">
      <w:pPr>
        <w:tabs>
          <w:tab w:val="left" w:pos="1701"/>
          <w:tab w:val="left" w:pos="2268"/>
        </w:tabs>
        <w:spacing w:after="120"/>
        <w:ind w:left="1134" w:right="1134"/>
        <w:jc w:val="both"/>
        <w:rPr>
          <w:rFonts w:eastAsia="SimSun"/>
          <w:lang w:eastAsia="zh-CN"/>
        </w:rPr>
      </w:pPr>
      <w:r>
        <w:rPr>
          <w:rFonts w:eastAsia="SimSun"/>
          <w:lang w:eastAsia="zh-CN"/>
        </w:rPr>
        <w:t>44</w:t>
      </w:r>
      <w:r w:rsidR="00E23B06" w:rsidRPr="00E23B06">
        <w:rPr>
          <w:rFonts w:eastAsia="SimSun"/>
          <w:lang w:eastAsia="zh-CN"/>
        </w:rPr>
        <w:t>.</w:t>
      </w:r>
      <w:r w:rsidR="00E23B06" w:rsidRPr="00E23B06">
        <w:rPr>
          <w:rFonts w:eastAsia="SimSun"/>
          <w:lang w:eastAsia="zh-CN"/>
        </w:rPr>
        <w:tab/>
        <w:t>At the previous session, the Netherlands had provided replies to questions raised by Germany. The two countries have jointly prepared an official position paper on the subject.</w:t>
      </w:r>
    </w:p>
    <w:p w14:paraId="5C4E882F" w14:textId="01E4D029" w:rsidR="00E23B06" w:rsidRPr="00E23B06" w:rsidRDefault="00466263" w:rsidP="00E23B06">
      <w:pPr>
        <w:tabs>
          <w:tab w:val="left" w:pos="1701"/>
          <w:tab w:val="left" w:pos="2268"/>
        </w:tabs>
        <w:spacing w:after="120"/>
        <w:ind w:left="1134" w:right="1134"/>
        <w:jc w:val="both"/>
        <w:rPr>
          <w:rFonts w:eastAsia="SimSun"/>
          <w:lang w:eastAsia="zh-CN"/>
        </w:rPr>
      </w:pPr>
      <w:r>
        <w:rPr>
          <w:rFonts w:eastAsia="SimSun"/>
          <w:lang w:eastAsia="zh-CN"/>
        </w:rPr>
        <w:t>45</w:t>
      </w:r>
      <w:r w:rsidR="00E23B06" w:rsidRPr="00E23B06">
        <w:rPr>
          <w:rFonts w:eastAsia="SimSun"/>
          <w:lang w:eastAsia="zh-CN"/>
        </w:rPr>
        <w:t>.</w:t>
      </w:r>
      <w:r w:rsidR="00E23B06" w:rsidRPr="00E23B06">
        <w:rPr>
          <w:rFonts w:eastAsia="SimSun"/>
          <w:lang w:eastAsia="zh-CN"/>
        </w:rPr>
        <w:tab/>
        <w:t>With regard to the first question, the Working Party endorsed the replies of the representative of the Netherlands and requested the secretariat to make reference to them on the page concerning the interpretation of ADR on the ECE website.</w:t>
      </w:r>
    </w:p>
    <w:p w14:paraId="5454DC05" w14:textId="42126D51" w:rsidR="00E23B06" w:rsidRPr="00E23B06" w:rsidRDefault="00466263" w:rsidP="00E23B06">
      <w:pPr>
        <w:tabs>
          <w:tab w:val="left" w:pos="1701"/>
          <w:tab w:val="left" w:pos="2268"/>
        </w:tabs>
        <w:spacing w:after="120"/>
        <w:ind w:left="1134" w:right="1134"/>
        <w:jc w:val="both"/>
        <w:rPr>
          <w:rFonts w:eastAsia="SimSun"/>
          <w:lang w:eastAsia="zh-CN"/>
        </w:rPr>
      </w:pPr>
      <w:r>
        <w:rPr>
          <w:rFonts w:eastAsia="SimSun"/>
          <w:lang w:eastAsia="zh-CN"/>
        </w:rPr>
        <w:t>46</w:t>
      </w:r>
      <w:r w:rsidR="00E23B06" w:rsidRPr="00E23B06">
        <w:rPr>
          <w:rFonts w:eastAsia="SimSun"/>
          <w:lang w:eastAsia="zh-CN"/>
        </w:rPr>
        <w:t>.</w:t>
      </w:r>
      <w:r w:rsidR="00E23B06" w:rsidRPr="00E23B06">
        <w:rPr>
          <w:rFonts w:eastAsia="SimSun"/>
          <w:lang w:eastAsia="zh-CN"/>
        </w:rPr>
        <w:tab/>
        <w:t>With regard to the second question, the Working Party wished to have a revised proposal differentiating between the various possible cases according to the dates of registration and any approval for the carriage of dangerous goods. The representative of Germany indicated that she would present a revised proposal at the next session.</w:t>
      </w:r>
    </w:p>
    <w:p w14:paraId="56898D4C" w14:textId="57F88DA6" w:rsidR="00E23B06" w:rsidRPr="00E23B06" w:rsidRDefault="00E23B06" w:rsidP="008A3DAD">
      <w:pPr>
        <w:pStyle w:val="H1G"/>
        <w:rPr>
          <w:lang w:eastAsia="en-US"/>
        </w:rPr>
      </w:pPr>
      <w:r w:rsidRPr="00E23B06">
        <w:rPr>
          <w:lang w:eastAsia="en-US"/>
        </w:rPr>
        <w:tab/>
      </w:r>
      <w:r w:rsidR="00C27888">
        <w:rPr>
          <w:lang w:eastAsia="en-US"/>
        </w:rPr>
        <w:t>B</w:t>
      </w:r>
      <w:r w:rsidRPr="00E23B06">
        <w:rPr>
          <w:lang w:eastAsia="en-US"/>
        </w:rPr>
        <w:t>.</w:t>
      </w:r>
      <w:r w:rsidRPr="00E23B06">
        <w:rPr>
          <w:lang w:eastAsia="en-US"/>
        </w:rPr>
        <w:tab/>
        <w:t xml:space="preserve">Application of multilateral agreements </w:t>
      </w:r>
    </w:p>
    <w:p w14:paraId="75FE8282" w14:textId="77777777" w:rsidR="00E23B06" w:rsidRPr="00E23B06" w:rsidRDefault="00E23B06" w:rsidP="00E23B06">
      <w:pPr>
        <w:tabs>
          <w:tab w:val="left" w:pos="1701"/>
          <w:tab w:val="left" w:pos="2268"/>
        </w:tabs>
        <w:spacing w:after="120"/>
        <w:ind w:left="1134" w:right="1134"/>
        <w:jc w:val="both"/>
        <w:rPr>
          <w:rFonts w:eastAsia="SimSun"/>
          <w:lang w:eastAsia="zh-CN"/>
        </w:rPr>
      </w:pPr>
      <w:r w:rsidRPr="00E23B06">
        <w:rPr>
          <w:rFonts w:eastAsia="SimSun"/>
          <w:i/>
          <w:iCs/>
          <w:lang w:eastAsia="zh-CN"/>
        </w:rPr>
        <w:t>Informal document</w:t>
      </w:r>
      <w:r w:rsidRPr="00E23B06">
        <w:rPr>
          <w:rFonts w:eastAsia="SimSun"/>
          <w:lang w:eastAsia="zh-CN"/>
        </w:rPr>
        <w:t>:</w:t>
      </w:r>
      <w:r w:rsidRPr="00E23B06">
        <w:rPr>
          <w:rFonts w:eastAsia="SimSun"/>
          <w:lang w:eastAsia="zh-CN"/>
        </w:rPr>
        <w:tab/>
        <w:t>INF.9 (Sweden)</w:t>
      </w:r>
    </w:p>
    <w:p w14:paraId="3FE1B6A1" w14:textId="755F063F" w:rsidR="00E23B06" w:rsidRPr="00E23B06" w:rsidRDefault="00466263" w:rsidP="00E23B06">
      <w:pPr>
        <w:tabs>
          <w:tab w:val="left" w:pos="1701"/>
          <w:tab w:val="left" w:pos="2268"/>
        </w:tabs>
        <w:spacing w:after="120"/>
        <w:ind w:left="1134" w:right="1134"/>
        <w:jc w:val="both"/>
        <w:rPr>
          <w:rFonts w:eastAsia="SimSun"/>
          <w:lang w:eastAsia="zh-CN"/>
        </w:rPr>
      </w:pPr>
      <w:r>
        <w:rPr>
          <w:rFonts w:eastAsia="SimSun"/>
          <w:lang w:eastAsia="zh-CN"/>
        </w:rPr>
        <w:t>47</w:t>
      </w:r>
      <w:r w:rsidR="00E23B06" w:rsidRPr="00E23B06">
        <w:rPr>
          <w:rFonts w:eastAsia="SimSun"/>
          <w:lang w:eastAsia="zh-CN"/>
        </w:rPr>
        <w:t>.</w:t>
      </w:r>
      <w:r w:rsidR="00E23B06" w:rsidRPr="00E23B06">
        <w:rPr>
          <w:rFonts w:eastAsia="SimSun"/>
          <w:lang w:eastAsia="zh-CN"/>
        </w:rPr>
        <w:tab/>
        <w:t>There were differing views on the interpretation of multilateral agreements M333 and M334.</w:t>
      </w:r>
    </w:p>
    <w:p w14:paraId="51280CA3" w14:textId="597FA322" w:rsidR="00E23B06" w:rsidRPr="00E23B06" w:rsidRDefault="00466263" w:rsidP="00E23B06">
      <w:pPr>
        <w:tabs>
          <w:tab w:val="left" w:pos="1701"/>
          <w:tab w:val="left" w:pos="2268"/>
        </w:tabs>
        <w:spacing w:after="120"/>
        <w:ind w:left="1134" w:right="1134"/>
        <w:jc w:val="both"/>
        <w:rPr>
          <w:rFonts w:eastAsia="SimSun"/>
          <w:lang w:eastAsia="zh-CN"/>
        </w:rPr>
      </w:pPr>
      <w:r>
        <w:rPr>
          <w:rFonts w:eastAsia="SimSun"/>
          <w:lang w:eastAsia="zh-CN"/>
        </w:rPr>
        <w:t>48</w:t>
      </w:r>
      <w:r w:rsidR="00E23B06" w:rsidRPr="00E23B06">
        <w:rPr>
          <w:rFonts w:eastAsia="SimSun"/>
          <w:lang w:eastAsia="zh-CN"/>
        </w:rPr>
        <w:t>.</w:t>
      </w:r>
      <w:r w:rsidR="00E23B06" w:rsidRPr="00E23B06">
        <w:rPr>
          <w:rFonts w:eastAsia="SimSun"/>
          <w:lang w:eastAsia="zh-CN"/>
        </w:rPr>
        <w:tab/>
        <w:t>Some delegations considered that it was not possible for a driver holding an ADR certificate issued in a country that had not signed the M333 agreement to continue to carry dangerous goods in countries that had signed that agreement after the expiry of the validity date of that certificate. Similarly, they considered that a safety adviser holding a training certificate issued in a country that had not signed the M334 agreement could not continue to work for companies located in countries that had signed that agreement after the expiry of the validity date of that certificate.</w:t>
      </w:r>
    </w:p>
    <w:p w14:paraId="0879B45E" w14:textId="10A2401F" w:rsidR="00E23B06" w:rsidRPr="00E23B06" w:rsidRDefault="00466263" w:rsidP="00E23B06">
      <w:pPr>
        <w:tabs>
          <w:tab w:val="left" w:pos="1701"/>
          <w:tab w:val="left" w:pos="2268"/>
        </w:tabs>
        <w:spacing w:after="120"/>
        <w:ind w:left="1134" w:right="1134"/>
        <w:jc w:val="both"/>
        <w:rPr>
          <w:rFonts w:eastAsia="SimSun"/>
          <w:lang w:eastAsia="zh-CN"/>
        </w:rPr>
      </w:pPr>
      <w:r>
        <w:rPr>
          <w:rFonts w:eastAsia="SimSun"/>
          <w:lang w:eastAsia="zh-CN"/>
        </w:rPr>
        <w:t>49</w:t>
      </w:r>
      <w:r w:rsidR="00E23B06" w:rsidRPr="00E23B06">
        <w:rPr>
          <w:rFonts w:eastAsia="SimSun"/>
          <w:lang w:eastAsia="zh-CN"/>
        </w:rPr>
        <w:t>.</w:t>
      </w:r>
      <w:r w:rsidR="00E23B06" w:rsidRPr="00E23B06">
        <w:rPr>
          <w:rFonts w:eastAsia="SimSun"/>
          <w:lang w:eastAsia="zh-CN"/>
        </w:rPr>
        <w:tab/>
        <w:t xml:space="preserve">On the contrary, other countries pointed out that the M333 and M334 agreements did not mention the country of issue of the certificates and therefore considered that a driver holding an ADR certificate issued in a country that had not signed M333 could continue to carry dangerous goods in the countries that had signed that agreement after the expiry of the validity date of that certificate. Similarly, they considered that a safety adviser holding a training certificate issued in a country that had not signed the M334 agreement could continue </w:t>
      </w:r>
      <w:r w:rsidR="00E23B06" w:rsidRPr="00E23B06">
        <w:rPr>
          <w:rFonts w:eastAsia="SimSun"/>
          <w:lang w:eastAsia="zh-CN"/>
        </w:rPr>
        <w:lastRenderedPageBreak/>
        <w:t>to work for companies located in countries that had signed that agreement after the expiry of the validity date of that certificate.</w:t>
      </w:r>
    </w:p>
    <w:p w14:paraId="400923E2" w14:textId="3B82A6E6" w:rsidR="00E23B06" w:rsidRPr="00E23B06" w:rsidRDefault="00466263" w:rsidP="00E23B06">
      <w:pPr>
        <w:tabs>
          <w:tab w:val="left" w:pos="1701"/>
          <w:tab w:val="left" w:pos="2268"/>
        </w:tabs>
        <w:spacing w:after="120"/>
        <w:ind w:left="1134" w:right="1134"/>
        <w:jc w:val="both"/>
        <w:rPr>
          <w:rFonts w:eastAsia="SimSun"/>
          <w:lang w:eastAsia="zh-CN"/>
        </w:rPr>
      </w:pPr>
      <w:r>
        <w:rPr>
          <w:rFonts w:eastAsia="SimSun"/>
          <w:lang w:eastAsia="zh-CN"/>
        </w:rPr>
        <w:t>50</w:t>
      </w:r>
      <w:r w:rsidR="00E23B06" w:rsidRPr="00E23B06">
        <w:rPr>
          <w:rFonts w:eastAsia="SimSun"/>
          <w:lang w:eastAsia="zh-CN"/>
        </w:rPr>
        <w:t>.</w:t>
      </w:r>
      <w:r w:rsidR="00E23B06" w:rsidRPr="00E23B06">
        <w:rPr>
          <w:rFonts w:eastAsia="SimSun"/>
          <w:lang w:eastAsia="zh-CN"/>
        </w:rPr>
        <w:tab/>
        <w:t>The Working Party noted those differences in interpretation and added that, if training sessions and examinations remained difficult to organize after 30 September 2021 and new agreements had to be put in place, their drafting should take account of those differences. However, the Working Party very much hoped that that exceptional situation caused by the outbreak of COVID-19 would not continue.</w:t>
      </w:r>
    </w:p>
    <w:p w14:paraId="39B2759C" w14:textId="1E49A3E4" w:rsidR="00E23B06" w:rsidRPr="00E23B06" w:rsidRDefault="00E23B06" w:rsidP="008A3DAD">
      <w:pPr>
        <w:pStyle w:val="H1G"/>
        <w:rPr>
          <w:lang w:eastAsia="en-US"/>
        </w:rPr>
      </w:pPr>
      <w:r w:rsidRPr="00E23B06">
        <w:rPr>
          <w:lang w:eastAsia="en-US"/>
        </w:rPr>
        <w:tab/>
      </w:r>
      <w:r w:rsidR="00C27888">
        <w:rPr>
          <w:lang w:eastAsia="en-US"/>
        </w:rPr>
        <w:t>C</w:t>
      </w:r>
      <w:r w:rsidRPr="00E23B06">
        <w:rPr>
          <w:lang w:eastAsia="en-US"/>
        </w:rPr>
        <w:t>.</w:t>
      </w:r>
      <w:r w:rsidRPr="00E23B06">
        <w:rPr>
          <w:lang w:eastAsia="en-US"/>
        </w:rPr>
        <w:tab/>
        <w:t>Clarification of 5.3.2.2.1</w:t>
      </w:r>
    </w:p>
    <w:p w14:paraId="0E56B9B7" w14:textId="77777777" w:rsidR="00E23B06" w:rsidRPr="00E23B06" w:rsidRDefault="00E23B06" w:rsidP="00E23B06">
      <w:pPr>
        <w:tabs>
          <w:tab w:val="left" w:pos="1701"/>
          <w:tab w:val="left" w:pos="2268"/>
        </w:tabs>
        <w:spacing w:after="120"/>
        <w:ind w:left="1134" w:right="1134"/>
        <w:jc w:val="both"/>
        <w:rPr>
          <w:rFonts w:eastAsia="SimSun"/>
          <w:lang w:eastAsia="zh-CN"/>
        </w:rPr>
      </w:pPr>
      <w:r w:rsidRPr="00E23B06">
        <w:rPr>
          <w:rFonts w:eastAsia="SimSun"/>
          <w:i/>
          <w:iCs/>
          <w:lang w:eastAsia="zh-CN"/>
        </w:rPr>
        <w:t>Informal document</w:t>
      </w:r>
      <w:r w:rsidRPr="00E23B06">
        <w:rPr>
          <w:rFonts w:eastAsia="SimSun"/>
          <w:lang w:eastAsia="zh-CN"/>
        </w:rPr>
        <w:t>:</w:t>
      </w:r>
      <w:r w:rsidRPr="00E23B06">
        <w:rPr>
          <w:rFonts w:eastAsia="SimSun"/>
          <w:lang w:eastAsia="zh-CN"/>
        </w:rPr>
        <w:tab/>
        <w:t>INF.13 (United Kingdom)</w:t>
      </w:r>
    </w:p>
    <w:p w14:paraId="301F655E" w14:textId="0A212F9B" w:rsidR="00E23B06" w:rsidRPr="00E23B06" w:rsidRDefault="0013176C" w:rsidP="00E23B06">
      <w:pPr>
        <w:tabs>
          <w:tab w:val="left" w:pos="1701"/>
          <w:tab w:val="left" w:pos="2268"/>
        </w:tabs>
        <w:spacing w:after="120"/>
        <w:ind w:left="1134" w:right="1134"/>
        <w:jc w:val="both"/>
        <w:rPr>
          <w:rFonts w:eastAsia="SimSun"/>
          <w:lang w:eastAsia="zh-CN"/>
        </w:rPr>
      </w:pPr>
      <w:r>
        <w:rPr>
          <w:rFonts w:eastAsia="SimSun"/>
          <w:lang w:eastAsia="zh-CN"/>
        </w:rPr>
        <w:t>51</w:t>
      </w:r>
      <w:r w:rsidR="00E23B06" w:rsidRPr="00E23B06">
        <w:rPr>
          <w:rFonts w:eastAsia="SimSun"/>
          <w:lang w:eastAsia="zh-CN"/>
        </w:rPr>
        <w:t>.</w:t>
      </w:r>
      <w:r w:rsidR="00E23B06" w:rsidRPr="00E23B06">
        <w:rPr>
          <w:rFonts w:eastAsia="SimSun"/>
          <w:lang w:eastAsia="zh-CN"/>
        </w:rPr>
        <w:tab/>
        <w:t xml:space="preserve">The representative of the United Kingdom noted the comments of the delegations that expressed their views. </w:t>
      </w:r>
    </w:p>
    <w:p w14:paraId="3F80905B" w14:textId="362C159E" w:rsidR="00E23B06" w:rsidRPr="00E23B06" w:rsidRDefault="00756088" w:rsidP="00E23B06">
      <w:pPr>
        <w:tabs>
          <w:tab w:val="left" w:pos="1701"/>
          <w:tab w:val="left" w:pos="2268"/>
        </w:tabs>
        <w:spacing w:after="120"/>
        <w:ind w:left="1134" w:right="1134"/>
        <w:jc w:val="both"/>
        <w:rPr>
          <w:rFonts w:eastAsia="SimSun"/>
          <w:lang w:eastAsia="zh-CN"/>
        </w:rPr>
      </w:pPr>
      <w:r>
        <w:rPr>
          <w:rFonts w:eastAsia="SimSun"/>
          <w:lang w:eastAsia="zh-CN"/>
        </w:rPr>
        <w:t>52</w:t>
      </w:r>
      <w:r w:rsidR="00E23B06" w:rsidRPr="00E23B06">
        <w:rPr>
          <w:rFonts w:eastAsia="SimSun"/>
          <w:lang w:eastAsia="zh-CN"/>
        </w:rPr>
        <w:t>.</w:t>
      </w:r>
      <w:r w:rsidR="00E23B06" w:rsidRPr="00E23B06">
        <w:rPr>
          <w:rFonts w:eastAsia="SimSun"/>
          <w:lang w:eastAsia="zh-CN"/>
        </w:rPr>
        <w:tab/>
        <w:t>It was recalled that the orange-coloured plate marking requirements had been harmonized between RID, ADR and ADN and that common specifications had been adopted by the Joint Meeting at its autumn 2005 session (see TRANS/WP.15/AC.1/100). The Working Party wished to bring up that issue up for discussion at the Joint Meeting if there turned out to be problems with implementation.</w:t>
      </w:r>
    </w:p>
    <w:p w14:paraId="7747A65C" w14:textId="77777777" w:rsidR="00F90D03" w:rsidRPr="00F90D03" w:rsidRDefault="00F90D03" w:rsidP="008A3DAD">
      <w:pPr>
        <w:pStyle w:val="HChG"/>
        <w:rPr>
          <w:lang w:eastAsia="en-US"/>
        </w:rPr>
      </w:pPr>
      <w:r w:rsidRPr="00F90D03">
        <w:rPr>
          <w:lang w:eastAsia="en-US"/>
        </w:rPr>
        <w:tab/>
        <w:t>IX.</w:t>
      </w:r>
      <w:r w:rsidRPr="00F90D03">
        <w:rPr>
          <w:lang w:eastAsia="en-US"/>
        </w:rPr>
        <w:tab/>
        <w:t xml:space="preserve">Programme of work (agenda item 7) </w:t>
      </w:r>
    </w:p>
    <w:p w14:paraId="12C607D1" w14:textId="54460CBD" w:rsidR="00F90D03" w:rsidRPr="00F90D03" w:rsidRDefault="00147A9C" w:rsidP="00F90D03">
      <w:pPr>
        <w:tabs>
          <w:tab w:val="left" w:pos="1701"/>
          <w:tab w:val="left" w:pos="2268"/>
        </w:tabs>
        <w:spacing w:after="120"/>
        <w:ind w:left="1134" w:right="1134"/>
        <w:jc w:val="both"/>
        <w:rPr>
          <w:rFonts w:eastAsia="SimSun"/>
          <w:lang w:eastAsia="zh-CN"/>
        </w:rPr>
      </w:pPr>
      <w:r>
        <w:rPr>
          <w:rFonts w:eastAsia="SimSun"/>
          <w:lang w:eastAsia="zh-CN"/>
        </w:rPr>
        <w:t>53</w:t>
      </w:r>
      <w:r w:rsidR="00F90D03" w:rsidRPr="00F90D03">
        <w:rPr>
          <w:rFonts w:eastAsia="SimSun"/>
          <w:lang w:eastAsia="zh-CN"/>
        </w:rPr>
        <w:t>.</w:t>
      </w:r>
      <w:r w:rsidR="00F90D03" w:rsidRPr="00F90D03">
        <w:rPr>
          <w:rFonts w:eastAsia="SimSun"/>
          <w:lang w:eastAsia="zh-CN"/>
        </w:rPr>
        <w:tab/>
        <w:t xml:space="preserve">The agenda items for the next session (tentatively scheduled for 8–12 November 2021) would be: </w:t>
      </w:r>
    </w:p>
    <w:p w14:paraId="5226A215" w14:textId="77777777" w:rsidR="00F90D03" w:rsidRPr="00F90D03" w:rsidRDefault="00F90D03" w:rsidP="00147A9C">
      <w:pPr>
        <w:pStyle w:val="Bullet1G"/>
        <w:rPr>
          <w:lang w:eastAsia="en-US"/>
        </w:rPr>
      </w:pPr>
      <w:r w:rsidRPr="00F90D03">
        <w:rPr>
          <w:lang w:eastAsia="en-US"/>
        </w:rPr>
        <w:t>Adoption of the agenda;</w:t>
      </w:r>
    </w:p>
    <w:p w14:paraId="2F24F292" w14:textId="77777777" w:rsidR="00F90D03" w:rsidRPr="00F90D03" w:rsidRDefault="00F90D03" w:rsidP="00147A9C">
      <w:pPr>
        <w:pStyle w:val="Bullet1G"/>
        <w:rPr>
          <w:lang w:eastAsia="en-US"/>
        </w:rPr>
      </w:pPr>
      <w:r w:rsidRPr="00F90D03">
        <w:rPr>
          <w:lang w:eastAsia="en-US"/>
        </w:rPr>
        <w:t>Eighty-third session of the Inland Transport Committee;</w:t>
      </w:r>
    </w:p>
    <w:p w14:paraId="377A96F1" w14:textId="1E638D4C" w:rsidR="00F90D03" w:rsidRPr="00F90D03" w:rsidRDefault="00F90D03" w:rsidP="00147A9C">
      <w:pPr>
        <w:pStyle w:val="Bullet1G"/>
        <w:rPr>
          <w:lang w:eastAsia="en-US"/>
        </w:rPr>
      </w:pPr>
      <w:r w:rsidRPr="00F90D03">
        <w:rPr>
          <w:lang w:eastAsia="en-US"/>
        </w:rPr>
        <w:t>Status of the Agreement concerning the International Carriage of Dangerous Goods by Road (ADR) and related issues;</w:t>
      </w:r>
    </w:p>
    <w:p w14:paraId="74FD7576" w14:textId="77777777" w:rsidR="00F90D03" w:rsidRPr="00F90D03" w:rsidRDefault="00F90D03" w:rsidP="00147A9C">
      <w:pPr>
        <w:pStyle w:val="Bullet1G"/>
        <w:rPr>
          <w:lang w:eastAsia="en-US"/>
        </w:rPr>
      </w:pPr>
      <w:r w:rsidRPr="00F90D03">
        <w:rPr>
          <w:lang w:eastAsia="en-US"/>
        </w:rPr>
        <w:t>Work of the RID/ADR/ADN Joint Meeting;</w:t>
      </w:r>
    </w:p>
    <w:p w14:paraId="3A902EDF" w14:textId="77777777" w:rsidR="00F90D03" w:rsidRPr="00F90D03" w:rsidRDefault="00F90D03" w:rsidP="00147A9C">
      <w:pPr>
        <w:pStyle w:val="Bullet1G"/>
        <w:rPr>
          <w:lang w:eastAsia="en-US"/>
        </w:rPr>
      </w:pPr>
      <w:r w:rsidRPr="00F90D03">
        <w:rPr>
          <w:lang w:eastAsia="en-US"/>
        </w:rPr>
        <w:t>Proposals for amendments to annexes A and B of ADR;</w:t>
      </w:r>
    </w:p>
    <w:p w14:paraId="4862F65B" w14:textId="77777777" w:rsidR="00F90D03" w:rsidRPr="00F90D03" w:rsidRDefault="00F90D03" w:rsidP="00147A9C">
      <w:pPr>
        <w:pStyle w:val="Bullet1G"/>
        <w:rPr>
          <w:lang w:eastAsia="en-US"/>
        </w:rPr>
      </w:pPr>
      <w:r w:rsidRPr="00F90D03">
        <w:rPr>
          <w:lang w:eastAsia="en-US"/>
        </w:rPr>
        <w:t>Interpretation of ADR;</w:t>
      </w:r>
    </w:p>
    <w:p w14:paraId="1791D6A1" w14:textId="77777777" w:rsidR="00F90D03" w:rsidRPr="00F90D03" w:rsidRDefault="00F90D03" w:rsidP="00147A9C">
      <w:pPr>
        <w:pStyle w:val="Bullet1G"/>
        <w:rPr>
          <w:lang w:eastAsia="en-US"/>
        </w:rPr>
      </w:pPr>
      <w:r w:rsidRPr="00F90D03">
        <w:rPr>
          <w:lang w:eastAsia="en-US"/>
        </w:rPr>
        <w:t>Programme of work;</w:t>
      </w:r>
    </w:p>
    <w:p w14:paraId="50E3A299" w14:textId="77777777" w:rsidR="00F90D03" w:rsidRPr="00F90D03" w:rsidRDefault="00F90D03" w:rsidP="00147A9C">
      <w:pPr>
        <w:pStyle w:val="Bullet1G"/>
        <w:rPr>
          <w:lang w:eastAsia="en-US"/>
        </w:rPr>
      </w:pPr>
      <w:r w:rsidRPr="00F90D03">
        <w:rPr>
          <w:lang w:eastAsia="en-US"/>
        </w:rPr>
        <w:t>Any other business:</w:t>
      </w:r>
    </w:p>
    <w:p w14:paraId="47E1A5B1" w14:textId="77777777" w:rsidR="00F90D03" w:rsidRPr="00F90D03" w:rsidRDefault="00F90D03" w:rsidP="00147A9C">
      <w:pPr>
        <w:pStyle w:val="Bullet1G"/>
        <w:rPr>
          <w:lang w:eastAsia="en-US"/>
        </w:rPr>
      </w:pPr>
      <w:r w:rsidRPr="00F90D03">
        <w:rPr>
          <w:lang w:eastAsia="en-US"/>
        </w:rPr>
        <w:t>Election of officers for 2022;</w:t>
      </w:r>
    </w:p>
    <w:p w14:paraId="369E5689" w14:textId="77777777" w:rsidR="00F90D03" w:rsidRPr="00F90D03" w:rsidRDefault="00F90D03" w:rsidP="00147A9C">
      <w:pPr>
        <w:pStyle w:val="Bullet1G"/>
        <w:rPr>
          <w:lang w:eastAsia="en-US"/>
        </w:rPr>
      </w:pPr>
      <w:r w:rsidRPr="00F90D03">
        <w:rPr>
          <w:lang w:eastAsia="en-US"/>
        </w:rPr>
        <w:t>Adoption of the report.</w:t>
      </w:r>
    </w:p>
    <w:p w14:paraId="736A9A70" w14:textId="6C305FE5" w:rsidR="00F90D03" w:rsidRPr="00F90D03" w:rsidRDefault="001C05CA" w:rsidP="00F90D03">
      <w:pPr>
        <w:tabs>
          <w:tab w:val="left" w:pos="1701"/>
          <w:tab w:val="left" w:pos="2268"/>
        </w:tabs>
        <w:spacing w:after="120"/>
        <w:ind w:left="1134" w:right="1134"/>
        <w:jc w:val="both"/>
        <w:rPr>
          <w:rFonts w:eastAsia="SimSun"/>
          <w:lang w:eastAsia="zh-CN"/>
        </w:rPr>
      </w:pPr>
      <w:r>
        <w:rPr>
          <w:rFonts w:eastAsia="SimSun"/>
          <w:lang w:eastAsia="zh-CN"/>
        </w:rPr>
        <w:t>54</w:t>
      </w:r>
      <w:r w:rsidR="00F90D03" w:rsidRPr="00F90D03">
        <w:rPr>
          <w:rFonts w:eastAsia="SimSun"/>
          <w:lang w:eastAsia="zh-CN"/>
        </w:rPr>
        <w:t>.</w:t>
      </w:r>
      <w:r w:rsidR="00F90D03" w:rsidRPr="00F90D03">
        <w:rPr>
          <w:rFonts w:eastAsia="SimSun"/>
          <w:lang w:eastAsia="zh-CN"/>
        </w:rPr>
        <w:tab/>
        <w:t>The deadline for submission of formal documents for that session was 16 August 2021.</w:t>
      </w:r>
    </w:p>
    <w:p w14:paraId="5BB39E44" w14:textId="16DBB261" w:rsidR="00F90D03" w:rsidRPr="00F90D03" w:rsidRDefault="00BE09B3" w:rsidP="00F90D03">
      <w:pPr>
        <w:tabs>
          <w:tab w:val="left" w:pos="1701"/>
          <w:tab w:val="left" w:pos="2268"/>
        </w:tabs>
        <w:spacing w:after="120"/>
        <w:ind w:left="1134" w:right="1134"/>
        <w:jc w:val="both"/>
        <w:rPr>
          <w:rFonts w:eastAsia="SimSun"/>
          <w:lang w:eastAsia="zh-CN"/>
        </w:rPr>
      </w:pPr>
      <w:r>
        <w:rPr>
          <w:rFonts w:eastAsia="SimSun"/>
          <w:lang w:eastAsia="zh-CN"/>
        </w:rPr>
        <w:t>55</w:t>
      </w:r>
      <w:r w:rsidR="00F90D03" w:rsidRPr="00F90D03">
        <w:rPr>
          <w:rFonts w:eastAsia="SimSun"/>
          <w:lang w:eastAsia="zh-CN"/>
        </w:rPr>
        <w:t>.</w:t>
      </w:r>
      <w:r w:rsidR="00F90D03" w:rsidRPr="00F90D03">
        <w:rPr>
          <w:rFonts w:eastAsia="SimSun"/>
          <w:lang w:eastAsia="zh-CN"/>
        </w:rPr>
        <w:tab/>
        <w:t xml:space="preserve">The Working Party noted that that would be the last session of the period for amendments. At that session, the Working Party would mainly consider the text of all amendments adopted at previous sessions of the Working Party and the Joint Meeting. </w:t>
      </w:r>
    </w:p>
    <w:p w14:paraId="5C919473" w14:textId="77777777" w:rsidR="002C1B32" w:rsidRPr="002C1B32" w:rsidRDefault="002C1B32" w:rsidP="008A3DAD">
      <w:pPr>
        <w:pStyle w:val="HChG"/>
        <w:rPr>
          <w:lang w:eastAsia="en-US"/>
        </w:rPr>
      </w:pPr>
      <w:r w:rsidRPr="002C1B32">
        <w:rPr>
          <w:lang w:eastAsia="en-US"/>
        </w:rPr>
        <w:tab/>
        <w:t>X.</w:t>
      </w:r>
      <w:r w:rsidRPr="002C1B32">
        <w:rPr>
          <w:lang w:eastAsia="en-US"/>
        </w:rPr>
        <w:tab/>
        <w:t xml:space="preserve">Any other business (agenda item 8) </w:t>
      </w:r>
    </w:p>
    <w:p w14:paraId="57F8E741" w14:textId="77777777" w:rsidR="002C1B32" w:rsidRPr="002C1B32" w:rsidRDefault="002C1B32" w:rsidP="008A3DAD">
      <w:pPr>
        <w:pStyle w:val="H1G"/>
        <w:rPr>
          <w:lang w:eastAsia="en-US"/>
        </w:rPr>
      </w:pPr>
      <w:r w:rsidRPr="002C1B32">
        <w:rPr>
          <w:lang w:eastAsia="en-US"/>
        </w:rPr>
        <w:tab/>
        <w:t>A.</w:t>
      </w:r>
      <w:r w:rsidRPr="002C1B32">
        <w:rPr>
          <w:lang w:eastAsia="en-US"/>
        </w:rPr>
        <w:tab/>
        <w:t>Discrepancies between high consequence dangerous goods, table 1.10.3.1.2, in relation to Chapter 8.5, special provision S1 (6), and subsection 1.1.3.6</w:t>
      </w:r>
    </w:p>
    <w:p w14:paraId="02CC7C89" w14:textId="77777777" w:rsidR="002C1B32" w:rsidRPr="002C1B32" w:rsidRDefault="002C1B32" w:rsidP="002C1B32">
      <w:pPr>
        <w:tabs>
          <w:tab w:val="left" w:pos="1701"/>
          <w:tab w:val="left" w:pos="2268"/>
        </w:tabs>
        <w:spacing w:after="120"/>
        <w:ind w:left="1134" w:right="1134"/>
        <w:jc w:val="both"/>
        <w:rPr>
          <w:rFonts w:eastAsia="SimSun"/>
          <w:lang w:eastAsia="zh-CN"/>
        </w:rPr>
      </w:pPr>
      <w:r w:rsidRPr="002C1B32">
        <w:rPr>
          <w:rFonts w:eastAsia="SimSun"/>
          <w:i/>
          <w:iCs/>
          <w:lang w:eastAsia="zh-CN"/>
        </w:rPr>
        <w:t>Informal document</w:t>
      </w:r>
      <w:r w:rsidRPr="002C1B32">
        <w:rPr>
          <w:rFonts w:eastAsia="SimSun"/>
          <w:lang w:eastAsia="zh-CN"/>
        </w:rPr>
        <w:t>:</w:t>
      </w:r>
      <w:r w:rsidRPr="002C1B32">
        <w:rPr>
          <w:rFonts w:eastAsia="SimSun"/>
          <w:lang w:eastAsia="zh-CN"/>
        </w:rPr>
        <w:tab/>
        <w:t>INF.8 and Add.1-2 (Sweden and Norway)</w:t>
      </w:r>
    </w:p>
    <w:p w14:paraId="79D25807" w14:textId="0556F328" w:rsidR="002C1B32" w:rsidRPr="002C1B32" w:rsidRDefault="00BE09B3" w:rsidP="002C1B32">
      <w:pPr>
        <w:tabs>
          <w:tab w:val="left" w:pos="1701"/>
          <w:tab w:val="left" w:pos="2268"/>
        </w:tabs>
        <w:spacing w:after="120"/>
        <w:ind w:left="1134" w:right="1134"/>
        <w:jc w:val="both"/>
        <w:rPr>
          <w:rFonts w:eastAsia="SimSun"/>
          <w:lang w:eastAsia="zh-CN"/>
        </w:rPr>
      </w:pPr>
      <w:r>
        <w:rPr>
          <w:rFonts w:eastAsia="SimSun"/>
          <w:lang w:eastAsia="zh-CN"/>
        </w:rPr>
        <w:lastRenderedPageBreak/>
        <w:t>56</w:t>
      </w:r>
      <w:r w:rsidR="002C1B32" w:rsidRPr="002C1B32">
        <w:rPr>
          <w:rFonts w:eastAsia="SimSun"/>
          <w:lang w:eastAsia="zh-CN"/>
        </w:rPr>
        <w:t>.</w:t>
      </w:r>
      <w:r w:rsidR="002C1B32" w:rsidRPr="002C1B32">
        <w:rPr>
          <w:rFonts w:eastAsia="SimSun"/>
          <w:lang w:eastAsia="zh-CN"/>
        </w:rPr>
        <w:tab/>
        <w:t>The Working Party confirmed the need to clarify inconsistencies between Chapter 8.5 and 1.1.3.6 in the case of goods covered by Chapter 1.10. The Working Party invited the participants to examine the inconsistencies presented in addenda 1 and 2 to informal document INF.8 and to transmit their comments to the representatives of Sweden and Norway with a view to preparing proposals for amendments for consideration at the next session.</w:t>
      </w:r>
    </w:p>
    <w:p w14:paraId="1587F098" w14:textId="73BAF6AE" w:rsidR="002C1B32" w:rsidRPr="002C1B32" w:rsidRDefault="00BE09B3" w:rsidP="002C1B32">
      <w:pPr>
        <w:tabs>
          <w:tab w:val="left" w:pos="1701"/>
          <w:tab w:val="left" w:pos="2268"/>
        </w:tabs>
        <w:spacing w:after="120"/>
        <w:ind w:left="1134" w:right="1134"/>
        <w:jc w:val="both"/>
        <w:rPr>
          <w:rFonts w:eastAsia="SimSun"/>
          <w:lang w:eastAsia="zh-CN"/>
        </w:rPr>
      </w:pPr>
      <w:r>
        <w:rPr>
          <w:rFonts w:eastAsia="SimSun"/>
          <w:lang w:eastAsia="zh-CN"/>
        </w:rPr>
        <w:t>57</w:t>
      </w:r>
      <w:r w:rsidR="002C1B32" w:rsidRPr="002C1B32">
        <w:rPr>
          <w:rFonts w:eastAsia="SimSun"/>
          <w:lang w:eastAsia="zh-CN"/>
        </w:rPr>
        <w:t>.</w:t>
      </w:r>
      <w:r w:rsidR="002C1B32" w:rsidRPr="002C1B32">
        <w:rPr>
          <w:rFonts w:eastAsia="SimSun"/>
          <w:lang w:eastAsia="zh-CN"/>
        </w:rPr>
        <w:tab/>
        <w:t>The Working Party also confirmed that table 1.10.3.1.2, list of high consequence dangerous goods, is the result of harmonization of ADR with the Model Regulations. The list of goods concerned may be modified according to the regional situation or the perceived level of threat at a given moment for a given mode of transport. However, the Working Party invited delegations wishing to propose amendments to this list to do so first to the Subcommittee of Experts on the Transport of Dangerous Goods. As a possible option, the representative from Norway suggested to consider replacement of the list in Chapter 8.5 S1 (6) with the list of high consequence dangerous goods under Class 1 in Table 1.10.3.1.2.</w:t>
      </w:r>
    </w:p>
    <w:p w14:paraId="231FD7F2" w14:textId="77777777" w:rsidR="00D65F4B" w:rsidRPr="00D65F4B" w:rsidRDefault="00D65F4B" w:rsidP="008A3DAD">
      <w:pPr>
        <w:pStyle w:val="H1G"/>
        <w:rPr>
          <w:lang w:eastAsia="en-US"/>
        </w:rPr>
      </w:pPr>
      <w:r w:rsidRPr="00D65F4B">
        <w:rPr>
          <w:lang w:eastAsia="en-US"/>
        </w:rPr>
        <w:tab/>
        <w:t>B.</w:t>
      </w:r>
      <w:r w:rsidRPr="00D65F4B">
        <w:rPr>
          <w:lang w:eastAsia="en-US"/>
        </w:rPr>
        <w:tab/>
        <w:t>Rules of Procedure of the Working Party</w:t>
      </w:r>
    </w:p>
    <w:p w14:paraId="17AC1F21" w14:textId="77777777" w:rsidR="00D65F4B" w:rsidRPr="00D65F4B" w:rsidRDefault="00D65F4B" w:rsidP="00D65F4B">
      <w:pPr>
        <w:tabs>
          <w:tab w:val="left" w:pos="1701"/>
          <w:tab w:val="left" w:pos="2268"/>
        </w:tabs>
        <w:spacing w:after="120"/>
        <w:ind w:left="1134" w:right="1134"/>
        <w:jc w:val="both"/>
        <w:rPr>
          <w:rFonts w:eastAsia="SimSun"/>
          <w:lang w:eastAsia="zh-CN"/>
        </w:rPr>
      </w:pPr>
      <w:r w:rsidRPr="00D65F4B">
        <w:rPr>
          <w:rFonts w:eastAsia="SimSun"/>
          <w:i/>
          <w:iCs/>
          <w:lang w:eastAsia="zh-CN"/>
        </w:rPr>
        <w:t>Document</w:t>
      </w:r>
      <w:r w:rsidRPr="00D65F4B">
        <w:rPr>
          <w:rFonts w:eastAsia="SimSun"/>
          <w:lang w:eastAsia="zh-CN"/>
        </w:rPr>
        <w:t>:</w:t>
      </w:r>
      <w:r w:rsidRPr="00D65F4B">
        <w:rPr>
          <w:rFonts w:eastAsia="SimSun"/>
          <w:lang w:eastAsia="zh-CN"/>
        </w:rPr>
        <w:tab/>
      </w:r>
      <w:r w:rsidRPr="00D65F4B">
        <w:rPr>
          <w:rFonts w:eastAsia="SimSun"/>
          <w:lang w:eastAsia="zh-CN"/>
        </w:rPr>
        <w:tab/>
        <w:t>ECE/TRANS/WP.15/2021/2 (Secretariat)</w:t>
      </w:r>
    </w:p>
    <w:p w14:paraId="41330204" w14:textId="356FB6E9" w:rsidR="00D65F4B" w:rsidRPr="00D65F4B" w:rsidRDefault="00505E5B" w:rsidP="00D65F4B">
      <w:pPr>
        <w:tabs>
          <w:tab w:val="left" w:pos="1701"/>
          <w:tab w:val="left" w:pos="2268"/>
        </w:tabs>
        <w:spacing w:after="120"/>
        <w:ind w:left="1134" w:right="1134"/>
        <w:jc w:val="both"/>
        <w:rPr>
          <w:rFonts w:eastAsia="SimSun"/>
          <w:lang w:eastAsia="zh-CN"/>
        </w:rPr>
      </w:pPr>
      <w:r>
        <w:rPr>
          <w:rFonts w:eastAsia="SimSun"/>
          <w:lang w:eastAsia="zh-CN"/>
        </w:rPr>
        <w:t>58</w:t>
      </w:r>
      <w:r w:rsidR="00D65F4B" w:rsidRPr="00D65F4B">
        <w:rPr>
          <w:rFonts w:eastAsia="SimSun"/>
          <w:lang w:eastAsia="zh-CN"/>
        </w:rPr>
        <w:t>.</w:t>
      </w:r>
      <w:r w:rsidR="00D65F4B" w:rsidRPr="00D65F4B">
        <w:rPr>
          <w:rFonts w:eastAsia="SimSun"/>
          <w:lang w:eastAsia="zh-CN"/>
        </w:rPr>
        <w:tab/>
        <w:t>After discussion on the basis of the comparison prepared by the secretariat, the Working Party agreed that there was no need to amend its Rules of Procedure immediately. It may be useful to review the quorum and voting rules in the future. Delegations wishing to do so may present proposals for modification on the basis of the Rules of Procedure of the ITC.</w:t>
      </w:r>
    </w:p>
    <w:p w14:paraId="5CE122CD" w14:textId="77777777" w:rsidR="00D65F4B" w:rsidRPr="00D65F4B" w:rsidRDefault="00D65F4B" w:rsidP="008A3DAD">
      <w:pPr>
        <w:pStyle w:val="H1G"/>
        <w:rPr>
          <w:lang w:eastAsia="en-US"/>
        </w:rPr>
      </w:pPr>
      <w:r w:rsidRPr="00D65F4B">
        <w:rPr>
          <w:lang w:eastAsia="en-US"/>
        </w:rPr>
        <w:tab/>
        <w:t>C.</w:t>
      </w:r>
      <w:r w:rsidRPr="00D65F4B">
        <w:rPr>
          <w:lang w:eastAsia="en-US"/>
        </w:rPr>
        <w:tab/>
        <w:t>Methodology and systems used for the assignment of tunnel codes for Class 7 goods and for the assignment of code “(-)”</w:t>
      </w:r>
    </w:p>
    <w:p w14:paraId="4400FA06" w14:textId="77777777" w:rsidR="00D65F4B" w:rsidRPr="00D65F4B" w:rsidRDefault="00D65F4B" w:rsidP="00D65F4B">
      <w:pPr>
        <w:tabs>
          <w:tab w:val="left" w:pos="1701"/>
          <w:tab w:val="left" w:pos="2268"/>
        </w:tabs>
        <w:spacing w:after="120"/>
        <w:ind w:left="1134" w:right="1134"/>
        <w:jc w:val="both"/>
        <w:rPr>
          <w:rFonts w:eastAsia="SimSun"/>
          <w:lang w:eastAsia="zh-CN"/>
        </w:rPr>
      </w:pPr>
      <w:r w:rsidRPr="00D65F4B">
        <w:rPr>
          <w:rFonts w:eastAsia="SimSun"/>
          <w:i/>
          <w:iCs/>
          <w:lang w:eastAsia="zh-CN"/>
        </w:rPr>
        <w:t>Document</w:t>
      </w:r>
      <w:r w:rsidRPr="00D65F4B">
        <w:rPr>
          <w:rFonts w:eastAsia="SimSun"/>
          <w:lang w:eastAsia="zh-CN"/>
        </w:rPr>
        <w:t>:</w:t>
      </w:r>
      <w:r w:rsidRPr="00D65F4B">
        <w:rPr>
          <w:rFonts w:eastAsia="SimSun"/>
          <w:lang w:eastAsia="zh-CN"/>
        </w:rPr>
        <w:tab/>
      </w:r>
      <w:r w:rsidRPr="00D65F4B">
        <w:rPr>
          <w:rFonts w:eastAsia="SimSun"/>
          <w:lang w:eastAsia="zh-CN"/>
        </w:rPr>
        <w:tab/>
        <w:t>ECE/TRANS/WP.15/2021/4 (Secretariat)</w:t>
      </w:r>
    </w:p>
    <w:p w14:paraId="74849311" w14:textId="4835BCC8" w:rsidR="00D65F4B" w:rsidRPr="00D65F4B" w:rsidRDefault="00505E5B" w:rsidP="00D65F4B">
      <w:pPr>
        <w:tabs>
          <w:tab w:val="left" w:pos="1701"/>
          <w:tab w:val="left" w:pos="2268"/>
        </w:tabs>
        <w:spacing w:after="120"/>
        <w:ind w:left="1134" w:right="1134"/>
        <w:jc w:val="both"/>
        <w:rPr>
          <w:rFonts w:eastAsia="SimSun"/>
          <w:lang w:eastAsia="zh-CN"/>
        </w:rPr>
      </w:pPr>
      <w:r>
        <w:rPr>
          <w:rFonts w:eastAsia="SimSun"/>
          <w:lang w:eastAsia="zh-CN"/>
        </w:rPr>
        <w:t>59</w:t>
      </w:r>
      <w:r w:rsidR="00D65F4B" w:rsidRPr="00D65F4B">
        <w:rPr>
          <w:rFonts w:eastAsia="SimSun"/>
          <w:lang w:eastAsia="zh-CN"/>
        </w:rPr>
        <w:t>.</w:t>
      </w:r>
      <w:r w:rsidR="00D65F4B" w:rsidRPr="00D65F4B">
        <w:rPr>
          <w:rFonts w:eastAsia="SimSun"/>
          <w:lang w:eastAsia="zh-CN"/>
        </w:rPr>
        <w:tab/>
        <w:t xml:space="preserve">See paragraphs </w:t>
      </w:r>
      <w:r>
        <w:rPr>
          <w:rFonts w:eastAsia="SimSun"/>
          <w:lang w:eastAsia="zh-CN"/>
        </w:rPr>
        <w:t>42 and 43</w:t>
      </w:r>
      <w:r w:rsidR="00D65F4B" w:rsidRPr="00D65F4B">
        <w:rPr>
          <w:rFonts w:eastAsia="SimSun"/>
          <w:lang w:eastAsia="zh-CN"/>
        </w:rPr>
        <w:t xml:space="preserve"> under agenda item 5 (b).</w:t>
      </w:r>
    </w:p>
    <w:p w14:paraId="1D0AD9AE" w14:textId="77777777" w:rsidR="00D65F4B" w:rsidRPr="00D65F4B" w:rsidRDefault="00D65F4B" w:rsidP="008A3DAD">
      <w:pPr>
        <w:pStyle w:val="HChG"/>
        <w:rPr>
          <w:lang w:eastAsia="en-US"/>
        </w:rPr>
      </w:pPr>
      <w:r w:rsidRPr="00D65F4B">
        <w:rPr>
          <w:lang w:eastAsia="en-US"/>
        </w:rPr>
        <w:tab/>
        <w:t>XI.</w:t>
      </w:r>
      <w:r w:rsidRPr="00D65F4B">
        <w:rPr>
          <w:lang w:eastAsia="en-US"/>
        </w:rPr>
        <w:tab/>
        <w:t>Adoption of the report (agenda item 10)</w:t>
      </w:r>
    </w:p>
    <w:p w14:paraId="444DAE45" w14:textId="509829F5" w:rsidR="00D65F4B" w:rsidRPr="00D65F4B" w:rsidRDefault="00505E5B" w:rsidP="00D65F4B">
      <w:pPr>
        <w:tabs>
          <w:tab w:val="left" w:pos="1701"/>
          <w:tab w:val="left" w:pos="2268"/>
        </w:tabs>
        <w:spacing w:after="120"/>
        <w:ind w:left="1134" w:right="1134"/>
        <w:jc w:val="both"/>
        <w:rPr>
          <w:rFonts w:eastAsia="SimSun"/>
          <w:lang w:eastAsia="zh-CN"/>
        </w:rPr>
      </w:pPr>
      <w:r>
        <w:rPr>
          <w:rFonts w:eastAsia="SimSun"/>
          <w:lang w:eastAsia="zh-CN"/>
        </w:rPr>
        <w:t>60</w:t>
      </w:r>
      <w:r w:rsidR="00D65F4B" w:rsidRPr="00D65F4B">
        <w:rPr>
          <w:rFonts w:eastAsia="SimSun"/>
          <w:lang w:eastAsia="zh-CN"/>
        </w:rPr>
        <w:t>.</w:t>
      </w:r>
      <w:r w:rsidR="00D65F4B" w:rsidRPr="00D65F4B">
        <w:rPr>
          <w:rFonts w:eastAsia="SimSun"/>
          <w:lang w:eastAsia="zh-CN"/>
        </w:rPr>
        <w:tab/>
        <w:t>The Working Party adopted the report on its 109th session and its annexes on the basis of a draft prepared by the secretariat.</w:t>
      </w:r>
    </w:p>
    <w:p w14:paraId="73236089" w14:textId="0E50C495" w:rsidR="00D65F4B" w:rsidRPr="00D65F4B" w:rsidRDefault="00505E5B" w:rsidP="00D65F4B">
      <w:pPr>
        <w:tabs>
          <w:tab w:val="left" w:pos="1701"/>
          <w:tab w:val="left" w:pos="2268"/>
        </w:tabs>
        <w:spacing w:after="120"/>
        <w:ind w:left="1134" w:right="1134"/>
        <w:jc w:val="both"/>
        <w:rPr>
          <w:rFonts w:eastAsia="SimSun"/>
          <w:lang w:eastAsia="zh-CN"/>
        </w:rPr>
      </w:pPr>
      <w:r>
        <w:rPr>
          <w:rFonts w:eastAsia="SimSun"/>
          <w:lang w:eastAsia="zh-CN"/>
        </w:rPr>
        <w:t>61</w:t>
      </w:r>
      <w:r w:rsidR="00D65F4B" w:rsidRPr="00D65F4B">
        <w:rPr>
          <w:rFonts w:eastAsia="SimSun"/>
          <w:lang w:eastAsia="zh-CN"/>
        </w:rPr>
        <w:t>.</w:t>
      </w:r>
      <w:r w:rsidR="00D65F4B" w:rsidRPr="00D65F4B">
        <w:rPr>
          <w:rFonts w:eastAsia="SimSun"/>
          <w:lang w:eastAsia="zh-CN"/>
        </w:rPr>
        <w:tab/>
        <w:t xml:space="preserve">In accordance with the special procedures on decision-making for formal meetings with remote participation adopted by the Executive Committee (ECE/EX/2020/L.12), the decisions contained in annex </w:t>
      </w:r>
      <w:r>
        <w:rPr>
          <w:rFonts w:eastAsia="SimSun"/>
          <w:lang w:eastAsia="zh-CN"/>
        </w:rPr>
        <w:t>III</w:t>
      </w:r>
      <w:r w:rsidRPr="00D65F4B">
        <w:rPr>
          <w:rFonts w:eastAsia="SimSun"/>
          <w:lang w:eastAsia="zh-CN"/>
        </w:rPr>
        <w:t xml:space="preserve"> </w:t>
      </w:r>
      <w:r w:rsidR="00D65F4B" w:rsidRPr="00D65F4B">
        <w:rPr>
          <w:rFonts w:eastAsia="SimSun"/>
          <w:lang w:eastAsia="zh-CN"/>
        </w:rPr>
        <w:t>were published and notified to all the permanent missions in Geneva. After publication, no objections were received. The decisions are deemed adopted.</w:t>
      </w:r>
    </w:p>
    <w:p w14:paraId="4E46926D" w14:textId="77777777" w:rsidR="0026618C" w:rsidRPr="00DE1EF8" w:rsidRDefault="0026618C" w:rsidP="00DE1EF8">
      <w:pPr>
        <w:tabs>
          <w:tab w:val="left" w:pos="1701"/>
          <w:tab w:val="left" w:pos="2268"/>
        </w:tabs>
        <w:spacing w:after="120"/>
        <w:ind w:left="1134" w:right="1134"/>
        <w:jc w:val="both"/>
        <w:rPr>
          <w:rFonts w:eastAsia="SimSun"/>
          <w:b/>
          <w:bCs/>
          <w:lang w:eastAsia="zh-CN"/>
        </w:rPr>
      </w:pPr>
    </w:p>
    <w:p w14:paraId="3BB3DC8B" w14:textId="57EAA352" w:rsidR="006D6116" w:rsidRDefault="006D6116">
      <w:pPr>
        <w:suppressAutoHyphens w:val="0"/>
        <w:spacing w:line="240" w:lineRule="auto"/>
      </w:pPr>
      <w:r>
        <w:br w:type="page"/>
      </w:r>
    </w:p>
    <w:p w14:paraId="5F88651E" w14:textId="1EF13E96" w:rsidR="001C6663" w:rsidRDefault="006D6116" w:rsidP="003E566D">
      <w:pPr>
        <w:pStyle w:val="HChG"/>
      </w:pPr>
      <w:r>
        <w:lastRenderedPageBreak/>
        <w:t>Annex I</w:t>
      </w:r>
    </w:p>
    <w:p w14:paraId="27FAD517" w14:textId="11257E8A" w:rsidR="003E566D" w:rsidRDefault="003E566D" w:rsidP="00DA6A30">
      <w:pPr>
        <w:pStyle w:val="HChG"/>
      </w:pPr>
      <w:r>
        <w:tab/>
      </w:r>
      <w:r>
        <w:tab/>
      </w:r>
      <w:r w:rsidR="00DA6A30">
        <w:t>Draft amendments to annexes A and B of ADR for entry into force on 1 January 2023</w:t>
      </w:r>
    </w:p>
    <w:p w14:paraId="01414ECF" w14:textId="77777777" w:rsidR="00970AD4" w:rsidRPr="00970AD4" w:rsidRDefault="00970AD4" w:rsidP="00970AD4">
      <w:pPr>
        <w:keepNext/>
        <w:keepLines/>
        <w:tabs>
          <w:tab w:val="right" w:pos="851"/>
        </w:tabs>
        <w:spacing w:before="360" w:after="240" w:line="270" w:lineRule="exact"/>
        <w:ind w:left="1134" w:right="1134" w:hanging="1134"/>
        <w:rPr>
          <w:b/>
          <w:sz w:val="24"/>
          <w:lang w:eastAsia="en-US"/>
        </w:rPr>
      </w:pPr>
      <w:r w:rsidRPr="00970AD4">
        <w:rPr>
          <w:b/>
          <w:sz w:val="24"/>
          <w:lang w:eastAsia="en-US"/>
        </w:rPr>
        <w:tab/>
      </w:r>
      <w:r w:rsidRPr="00970AD4">
        <w:rPr>
          <w:b/>
          <w:sz w:val="24"/>
          <w:lang w:eastAsia="en-US"/>
        </w:rPr>
        <w:tab/>
        <w:t>Chapter 1.1</w:t>
      </w:r>
    </w:p>
    <w:p w14:paraId="417907B5" w14:textId="77777777" w:rsidR="00970AD4" w:rsidRPr="00970AD4" w:rsidRDefault="00970AD4" w:rsidP="00970AD4">
      <w:pPr>
        <w:spacing w:after="120"/>
        <w:ind w:left="1134" w:right="1134"/>
        <w:jc w:val="both"/>
        <w:rPr>
          <w:lang w:eastAsia="en-US"/>
        </w:rPr>
      </w:pPr>
      <w:r w:rsidRPr="00970AD4">
        <w:rPr>
          <w:b/>
          <w:lang w:eastAsia="en-US"/>
        </w:rPr>
        <w:tab/>
      </w:r>
      <w:r w:rsidRPr="00970AD4">
        <w:rPr>
          <w:lang w:eastAsia="en-US"/>
        </w:rPr>
        <w:t>1.1.3.6.2</w:t>
      </w:r>
      <w:r w:rsidRPr="00970AD4">
        <w:rPr>
          <w:lang w:eastAsia="en-US"/>
        </w:rPr>
        <w:tab/>
        <w:t>In the first indent, after “0500,” add “0511,”.</w:t>
      </w:r>
    </w:p>
    <w:p w14:paraId="5B29808C"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62355F56" w14:textId="77777777" w:rsidR="00970AD4" w:rsidRPr="00970AD4" w:rsidRDefault="00970AD4" w:rsidP="00970AD4">
      <w:pPr>
        <w:spacing w:after="120"/>
        <w:ind w:left="1134" w:right="1134"/>
        <w:jc w:val="both"/>
        <w:rPr>
          <w:lang w:eastAsia="en-US"/>
        </w:rPr>
      </w:pPr>
      <w:r w:rsidRPr="00970AD4">
        <w:rPr>
          <w:lang w:eastAsia="en-US"/>
        </w:rPr>
        <w:tab/>
        <w:t>1.1.4</w:t>
      </w:r>
      <w:r w:rsidRPr="00970AD4">
        <w:rPr>
          <w:lang w:eastAsia="en-US"/>
        </w:rPr>
        <w:tab/>
      </w:r>
      <w:r w:rsidRPr="00970AD4">
        <w:rPr>
          <w:lang w:eastAsia="en-US"/>
        </w:rPr>
        <w:tab/>
        <w:t>Insert the following new 1.1.4.6:</w:t>
      </w:r>
    </w:p>
    <w:p w14:paraId="34975656" w14:textId="77777777" w:rsidR="00970AD4" w:rsidRPr="00970AD4" w:rsidRDefault="00970AD4" w:rsidP="00970AD4">
      <w:pPr>
        <w:spacing w:after="120"/>
        <w:ind w:left="2268" w:right="1134"/>
        <w:jc w:val="both"/>
        <w:rPr>
          <w:lang w:eastAsia="en-US"/>
        </w:rPr>
      </w:pPr>
      <w:r w:rsidRPr="00970AD4">
        <w:rPr>
          <w:lang w:eastAsia="en-US"/>
        </w:rPr>
        <w:t>“1.1.4.6</w:t>
      </w:r>
      <w:r w:rsidRPr="00970AD4">
        <w:rPr>
          <w:lang w:eastAsia="en-US"/>
        </w:rPr>
        <w:tab/>
      </w:r>
      <w:r w:rsidRPr="00970AD4">
        <w:rPr>
          <w:i/>
          <w:iCs/>
          <w:lang w:eastAsia="en-US"/>
        </w:rPr>
        <w:t>(Reserved)</w:t>
      </w:r>
      <w:r w:rsidRPr="00970AD4">
        <w:rPr>
          <w:lang w:eastAsia="en-US"/>
        </w:rPr>
        <w:t>”</w:t>
      </w:r>
    </w:p>
    <w:p w14:paraId="2CD7F0E4"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734137E3" w14:textId="77777777" w:rsidR="00970AD4" w:rsidRPr="00970AD4" w:rsidRDefault="00970AD4" w:rsidP="00970AD4">
      <w:pPr>
        <w:spacing w:after="120"/>
        <w:ind w:left="1134" w:right="1134"/>
        <w:jc w:val="both"/>
        <w:rPr>
          <w:lang w:eastAsia="en-US"/>
        </w:rPr>
      </w:pPr>
      <w:r w:rsidRPr="00970AD4">
        <w:rPr>
          <w:lang w:eastAsia="en-US"/>
        </w:rPr>
        <w:tab/>
        <w:t>1.1.4</w:t>
      </w:r>
      <w:r w:rsidRPr="00970AD4">
        <w:rPr>
          <w:lang w:eastAsia="en-US"/>
        </w:rPr>
        <w:tab/>
      </w:r>
      <w:r w:rsidRPr="00970AD4">
        <w:rPr>
          <w:lang w:eastAsia="en-US"/>
        </w:rPr>
        <w:tab/>
        <w:t>Insert the following new 1.1.4.7:</w:t>
      </w:r>
    </w:p>
    <w:p w14:paraId="2809F03C" w14:textId="77777777" w:rsidR="00970AD4" w:rsidRPr="00970AD4" w:rsidRDefault="00970AD4" w:rsidP="00970AD4">
      <w:pPr>
        <w:spacing w:after="120"/>
        <w:ind w:left="2268" w:right="1134"/>
        <w:jc w:val="both"/>
        <w:rPr>
          <w:b/>
          <w:bCs/>
          <w:lang w:eastAsia="en-US"/>
        </w:rPr>
      </w:pPr>
      <w:r w:rsidRPr="00970AD4">
        <w:rPr>
          <w:lang w:eastAsia="en-US"/>
        </w:rPr>
        <w:t>“</w:t>
      </w:r>
      <w:r w:rsidRPr="00970AD4">
        <w:rPr>
          <w:b/>
          <w:bCs/>
          <w:lang w:eastAsia="en-US"/>
        </w:rPr>
        <w:t>1.1.4.7</w:t>
      </w:r>
      <w:r w:rsidRPr="00970AD4">
        <w:rPr>
          <w:b/>
          <w:bCs/>
          <w:lang w:eastAsia="en-US"/>
        </w:rPr>
        <w:tab/>
      </w:r>
      <w:r w:rsidRPr="00970AD4">
        <w:rPr>
          <w:b/>
          <w:bCs/>
          <w:i/>
          <w:iCs/>
          <w:lang w:eastAsia="en-US"/>
        </w:rPr>
        <w:t xml:space="preserve">Refillable pressure receptacles authorized </w:t>
      </w:r>
      <w:bookmarkStart w:id="7" w:name="_Hlk525131534"/>
      <w:r w:rsidRPr="00970AD4">
        <w:rPr>
          <w:b/>
          <w:bCs/>
          <w:i/>
          <w:iCs/>
          <w:lang w:eastAsia="en-US"/>
        </w:rPr>
        <w:t>by the United States of America Department of Transportation</w:t>
      </w:r>
    </w:p>
    <w:p w14:paraId="2051EF83" w14:textId="77777777" w:rsidR="00970AD4" w:rsidRPr="00970AD4" w:rsidRDefault="00970AD4" w:rsidP="00970AD4">
      <w:pPr>
        <w:spacing w:after="120"/>
        <w:ind w:left="2268" w:right="1134"/>
        <w:jc w:val="both"/>
        <w:rPr>
          <w:i/>
          <w:iCs/>
          <w:lang w:eastAsia="en-US"/>
        </w:rPr>
      </w:pPr>
      <w:r w:rsidRPr="00970AD4">
        <w:rPr>
          <w:lang w:eastAsia="en-US"/>
        </w:rPr>
        <w:t>1.1.4.7.1</w:t>
      </w:r>
      <w:r w:rsidRPr="00970AD4">
        <w:rPr>
          <w:lang w:eastAsia="en-US"/>
        </w:rPr>
        <w:tab/>
      </w:r>
      <w:r w:rsidRPr="00970AD4">
        <w:rPr>
          <w:i/>
          <w:iCs/>
          <w:lang w:eastAsia="en-US"/>
        </w:rPr>
        <w:t>Import of gases</w:t>
      </w:r>
    </w:p>
    <w:p w14:paraId="025E3389" w14:textId="77777777" w:rsidR="00970AD4" w:rsidRPr="00970AD4" w:rsidRDefault="00970AD4" w:rsidP="00970AD4">
      <w:pPr>
        <w:tabs>
          <w:tab w:val="left" w:pos="2268"/>
        </w:tabs>
        <w:spacing w:after="120"/>
        <w:ind w:left="2268" w:right="1134"/>
        <w:jc w:val="both"/>
        <w:rPr>
          <w:lang w:eastAsia="en-US"/>
        </w:rPr>
      </w:pPr>
      <w:r w:rsidRPr="00970AD4">
        <w:rPr>
          <w:lang w:eastAsia="en-US"/>
        </w:rPr>
        <w:tab/>
      </w:r>
      <w:r w:rsidRPr="00970AD4">
        <w:rPr>
          <w:lang w:eastAsia="en-US"/>
        </w:rPr>
        <w:tab/>
        <w:t xml:space="preserve">Refillable pressure receptacles authorised by the United States of America Department of Transportation and constructed and tested in accordance with standards listed in Part 178, Specifications for Packagings of Title 49, Transportation, of the Code of Federal Regulations </w:t>
      </w:r>
      <w:bookmarkEnd w:id="7"/>
      <w:r w:rsidRPr="00970AD4">
        <w:rPr>
          <w:lang w:eastAsia="en-US"/>
        </w:rPr>
        <w:t xml:space="preserve">accepted for carriage in a transport chain in accordance with 1.1.4.2 may be carried from the location of the temporary storage at the end point of the transport chain to the end user. </w:t>
      </w:r>
    </w:p>
    <w:p w14:paraId="72EBB20F" w14:textId="77777777" w:rsidR="00970AD4" w:rsidRPr="00970AD4" w:rsidRDefault="00970AD4" w:rsidP="00970AD4">
      <w:pPr>
        <w:tabs>
          <w:tab w:val="left" w:pos="2268"/>
        </w:tabs>
        <w:spacing w:after="120"/>
        <w:ind w:left="2268" w:right="1134"/>
        <w:jc w:val="both"/>
        <w:rPr>
          <w:lang w:eastAsia="en-US"/>
        </w:rPr>
      </w:pPr>
      <w:bookmarkStart w:id="8" w:name="_Hlk525132507"/>
      <w:r w:rsidRPr="00970AD4">
        <w:rPr>
          <w:lang w:eastAsia="en-US"/>
        </w:rPr>
        <w:tab/>
      </w:r>
      <w:r w:rsidRPr="00970AD4">
        <w:rPr>
          <w:lang w:eastAsia="en-US"/>
        </w:rPr>
        <w:tab/>
        <w:t>[The consignor for the ADR carriage] shall include the following entry in the transport document:</w:t>
      </w:r>
    </w:p>
    <w:p w14:paraId="571AD87F" w14:textId="77777777" w:rsidR="00970AD4" w:rsidRPr="00970AD4" w:rsidRDefault="00970AD4" w:rsidP="00970AD4">
      <w:pPr>
        <w:spacing w:after="120"/>
        <w:ind w:left="2268" w:right="1134"/>
        <w:jc w:val="center"/>
        <w:rPr>
          <w:lang w:eastAsia="en-US"/>
        </w:rPr>
      </w:pPr>
      <w:r w:rsidRPr="00970AD4">
        <w:rPr>
          <w:lang w:eastAsia="en-US"/>
        </w:rPr>
        <w:t>“Carriage in accordance with 1.1.4.7.1”.</w:t>
      </w:r>
    </w:p>
    <w:bookmarkEnd w:id="8"/>
    <w:p w14:paraId="3BF05209" w14:textId="77777777" w:rsidR="00970AD4" w:rsidRPr="00970AD4" w:rsidRDefault="00970AD4" w:rsidP="00970AD4">
      <w:pPr>
        <w:spacing w:after="120"/>
        <w:ind w:left="2268" w:right="1134"/>
        <w:jc w:val="both"/>
        <w:rPr>
          <w:i/>
          <w:iCs/>
          <w:lang w:eastAsia="en-US"/>
        </w:rPr>
      </w:pPr>
      <w:r w:rsidRPr="00970AD4">
        <w:rPr>
          <w:lang w:eastAsia="en-US"/>
        </w:rPr>
        <w:t>1.1.4.7.2</w:t>
      </w:r>
      <w:r w:rsidRPr="00970AD4">
        <w:rPr>
          <w:lang w:eastAsia="en-US"/>
        </w:rPr>
        <w:tab/>
      </w:r>
      <w:r w:rsidRPr="00970AD4">
        <w:rPr>
          <w:i/>
          <w:iCs/>
          <w:lang w:eastAsia="en-US"/>
        </w:rPr>
        <w:t>Export of gases and empty uncleaned pressure receptacles</w:t>
      </w:r>
    </w:p>
    <w:p w14:paraId="0D87EB34" w14:textId="77777777" w:rsidR="00970AD4" w:rsidRPr="00970AD4" w:rsidRDefault="00970AD4" w:rsidP="00970AD4">
      <w:pPr>
        <w:tabs>
          <w:tab w:val="left" w:pos="2268"/>
        </w:tabs>
        <w:spacing w:after="120"/>
        <w:ind w:left="2268" w:right="1134"/>
        <w:jc w:val="both"/>
        <w:rPr>
          <w:lang w:eastAsia="en-US"/>
        </w:rPr>
      </w:pPr>
      <w:r w:rsidRPr="00970AD4">
        <w:rPr>
          <w:lang w:eastAsia="en-US"/>
        </w:rPr>
        <w:tab/>
      </w:r>
      <w:r w:rsidRPr="00970AD4">
        <w:rPr>
          <w:lang w:eastAsia="en-US"/>
        </w:rPr>
        <w:tab/>
        <w:t>Refillable pressure receptacles authorised by the United States of America Department of Transportation and constructed in accordance with standards listed in Part 178, Specifications for Packagings of Title 49, Transportation, of the Code of Federal Regulations may be filled and carried only for the purpose of exporting to countries which are not Contracting Parties to ADR provided the following provisions are met:</w:t>
      </w:r>
    </w:p>
    <w:p w14:paraId="3256EBC1" w14:textId="77777777" w:rsidR="00970AD4" w:rsidRPr="00970AD4" w:rsidRDefault="00970AD4" w:rsidP="00970AD4">
      <w:pPr>
        <w:spacing w:after="120"/>
        <w:ind w:left="3969" w:right="1134" w:hanging="567"/>
        <w:jc w:val="both"/>
        <w:rPr>
          <w:lang w:eastAsia="en-US"/>
        </w:rPr>
      </w:pPr>
      <w:r w:rsidRPr="00970AD4">
        <w:rPr>
          <w:lang w:eastAsia="en-US"/>
        </w:rPr>
        <w:t>(a)</w:t>
      </w:r>
      <w:r w:rsidRPr="00970AD4">
        <w:rPr>
          <w:lang w:eastAsia="en-US"/>
        </w:rPr>
        <w:tab/>
        <w:t>The filling of the pressure receptacle is in accordance with the relevant requirements of the Code of Federal Regulations of the United States of America.</w:t>
      </w:r>
    </w:p>
    <w:p w14:paraId="4B9F17FD" w14:textId="77777777" w:rsidR="00970AD4" w:rsidRPr="00970AD4" w:rsidRDefault="00970AD4" w:rsidP="00970AD4">
      <w:pPr>
        <w:spacing w:after="120"/>
        <w:ind w:left="3969" w:right="1134" w:hanging="567"/>
        <w:jc w:val="both"/>
        <w:rPr>
          <w:lang w:eastAsia="en-US"/>
        </w:rPr>
      </w:pPr>
      <w:r w:rsidRPr="00970AD4">
        <w:rPr>
          <w:lang w:eastAsia="en-US"/>
        </w:rPr>
        <w:t>(b)</w:t>
      </w:r>
      <w:r w:rsidRPr="00970AD4">
        <w:rPr>
          <w:lang w:eastAsia="en-US"/>
        </w:rPr>
        <w:tab/>
        <w:t>The pressure receptacles shall be marked and labelled in accordance with Chapter 5.2.</w:t>
      </w:r>
    </w:p>
    <w:p w14:paraId="31682CB0" w14:textId="77777777" w:rsidR="00970AD4" w:rsidRPr="00970AD4" w:rsidRDefault="00970AD4" w:rsidP="00970AD4">
      <w:pPr>
        <w:spacing w:after="120"/>
        <w:ind w:left="3969" w:right="1134" w:hanging="567"/>
        <w:jc w:val="both"/>
        <w:rPr>
          <w:lang w:eastAsia="en-US"/>
        </w:rPr>
      </w:pPr>
      <w:r w:rsidRPr="00970AD4">
        <w:rPr>
          <w:lang w:eastAsia="en-US"/>
        </w:rPr>
        <w:t>(c)</w:t>
      </w:r>
      <w:r w:rsidRPr="00970AD4">
        <w:rPr>
          <w:lang w:eastAsia="en-US"/>
        </w:rPr>
        <w:tab/>
        <w:t>The provisions of 4.1.6.12 and 4.1.6.13 shall apply to pressure receptacles. Pressure receptacles shall not be filled after they become due for periodic inspection but may be carried after the expiry of the time-limit for purposes of performing inspection, including the intermediate carriage operations.</w:t>
      </w:r>
    </w:p>
    <w:p w14:paraId="0487255F" w14:textId="77777777" w:rsidR="00970AD4" w:rsidRPr="00970AD4" w:rsidRDefault="00970AD4" w:rsidP="00970AD4">
      <w:pPr>
        <w:spacing w:after="120"/>
        <w:ind w:left="3969" w:right="1134" w:hanging="567"/>
        <w:jc w:val="both"/>
        <w:rPr>
          <w:lang w:eastAsia="en-US"/>
        </w:rPr>
      </w:pPr>
      <w:r w:rsidRPr="00970AD4">
        <w:rPr>
          <w:lang w:eastAsia="en-US"/>
        </w:rPr>
        <w:t>(d)</w:t>
      </w:r>
      <w:r w:rsidRPr="00970AD4">
        <w:rPr>
          <w:lang w:eastAsia="en-US"/>
        </w:rPr>
        <w:tab/>
        <w:t>[The consignor for the ADR carriage] shall include the following entry in the transport document:</w:t>
      </w:r>
    </w:p>
    <w:p w14:paraId="4FB16149" w14:textId="77777777" w:rsidR="00970AD4" w:rsidRPr="00970AD4" w:rsidRDefault="00970AD4" w:rsidP="00970AD4">
      <w:pPr>
        <w:spacing w:after="120"/>
        <w:ind w:left="3969" w:right="1134" w:hanging="567"/>
        <w:jc w:val="center"/>
        <w:rPr>
          <w:lang w:eastAsia="en-US"/>
        </w:rPr>
      </w:pPr>
      <w:r w:rsidRPr="00970AD4">
        <w:rPr>
          <w:lang w:eastAsia="en-US"/>
        </w:rPr>
        <w:t>“Carriage in accordance with 1.1.4.7.2” ”</w:t>
      </w:r>
    </w:p>
    <w:p w14:paraId="62EE1B10" w14:textId="77777777" w:rsidR="00970AD4" w:rsidRPr="00970AD4" w:rsidRDefault="00970AD4" w:rsidP="00970AD4">
      <w:pPr>
        <w:spacing w:after="120"/>
        <w:ind w:left="1134" w:right="1134"/>
        <w:jc w:val="both"/>
        <w:rPr>
          <w:i/>
          <w:iCs/>
          <w:lang w:eastAsia="en-US"/>
        </w:rPr>
      </w:pPr>
      <w:r w:rsidRPr="00970AD4">
        <w:rPr>
          <w:i/>
          <w:iCs/>
          <w:lang w:eastAsia="en-US"/>
        </w:rPr>
        <w:lastRenderedPageBreak/>
        <w:t>(Reference documents: ECE/TRANS/WP.15/AC.1/160, Annex II and informal document INF.11, as amended)</w:t>
      </w:r>
    </w:p>
    <w:p w14:paraId="63912414" w14:textId="77777777" w:rsidR="00970AD4" w:rsidRPr="00970AD4" w:rsidRDefault="00970AD4" w:rsidP="00970AD4">
      <w:pPr>
        <w:spacing w:after="120"/>
        <w:ind w:left="1134" w:right="1134"/>
        <w:jc w:val="both"/>
        <w:rPr>
          <w:lang w:eastAsia="en-US"/>
        </w:rPr>
      </w:pPr>
      <w:r w:rsidRPr="00970AD4">
        <w:rPr>
          <w:lang w:eastAsia="en-US"/>
        </w:rPr>
        <w:t>1.1.5</w:t>
      </w:r>
      <w:r w:rsidRPr="00970AD4">
        <w:rPr>
          <w:lang w:eastAsia="en-US"/>
        </w:rPr>
        <w:tab/>
      </w:r>
      <w:r w:rsidRPr="00970AD4">
        <w:rPr>
          <w:lang w:eastAsia="en-US"/>
        </w:rPr>
        <w:tab/>
        <w:t>Add the following Note:</w:t>
      </w:r>
    </w:p>
    <w:p w14:paraId="5222095A" w14:textId="77777777" w:rsidR="00970AD4" w:rsidRPr="00970AD4" w:rsidRDefault="00970AD4" w:rsidP="00970AD4">
      <w:pPr>
        <w:spacing w:after="120"/>
        <w:ind w:left="2268" w:right="1134"/>
        <w:jc w:val="both"/>
        <w:rPr>
          <w:i/>
          <w:iCs/>
          <w:lang w:eastAsia="en-US"/>
        </w:rPr>
      </w:pPr>
      <w:r w:rsidRPr="00970AD4">
        <w:rPr>
          <w:i/>
          <w:iCs/>
          <w:lang w:eastAsia="en-US"/>
        </w:rPr>
        <w:t>“</w:t>
      </w:r>
      <w:r w:rsidRPr="00970AD4">
        <w:rPr>
          <w:b/>
          <w:i/>
          <w:iCs/>
          <w:lang w:eastAsia="en-US"/>
        </w:rPr>
        <w:t>NOTE:</w:t>
      </w:r>
      <w:r w:rsidRPr="00970AD4">
        <w:rPr>
          <w:i/>
          <w:iCs/>
          <w:lang w:eastAsia="en-US"/>
        </w:rPr>
        <w:tab/>
        <w:t>A standard provides details on how to meet the provisions of ADR and may include requirements in addition to those set out in ADR.”</w:t>
      </w:r>
    </w:p>
    <w:p w14:paraId="7ECDA5B9"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325B96DB" w14:textId="77777777" w:rsidR="00970AD4" w:rsidRPr="00970AD4" w:rsidRDefault="00970AD4" w:rsidP="00970AD4">
      <w:pPr>
        <w:keepNext/>
        <w:keepLines/>
        <w:tabs>
          <w:tab w:val="right" w:pos="851"/>
        </w:tabs>
        <w:spacing w:before="360" w:after="240" w:line="270" w:lineRule="exact"/>
        <w:ind w:left="1134" w:right="1134" w:hanging="1134"/>
        <w:rPr>
          <w:b/>
          <w:bCs/>
          <w:sz w:val="24"/>
          <w:lang w:eastAsia="en-US"/>
        </w:rPr>
      </w:pPr>
      <w:r w:rsidRPr="00970AD4">
        <w:rPr>
          <w:b/>
          <w:sz w:val="24"/>
          <w:lang w:eastAsia="en-US"/>
        </w:rPr>
        <w:tab/>
      </w:r>
      <w:r w:rsidRPr="00970AD4">
        <w:rPr>
          <w:b/>
          <w:sz w:val="24"/>
          <w:lang w:eastAsia="en-US"/>
        </w:rPr>
        <w:tab/>
        <w:t>Chapter 1.2</w:t>
      </w:r>
    </w:p>
    <w:p w14:paraId="7EB711B7" w14:textId="77777777" w:rsidR="00970AD4" w:rsidRPr="00970AD4" w:rsidRDefault="00970AD4" w:rsidP="00970AD4">
      <w:pPr>
        <w:tabs>
          <w:tab w:val="left" w:pos="2268"/>
        </w:tabs>
        <w:spacing w:after="120"/>
        <w:ind w:left="2268" w:right="1134" w:hanging="1134"/>
        <w:jc w:val="both"/>
        <w:rPr>
          <w:lang w:eastAsia="en-US"/>
        </w:rPr>
      </w:pPr>
      <w:r w:rsidRPr="00970AD4">
        <w:rPr>
          <w:lang w:eastAsia="en-US"/>
        </w:rPr>
        <w:t>1.2</w:t>
      </w:r>
      <w:r w:rsidRPr="00970AD4">
        <w:rPr>
          <w:lang w:eastAsia="en-US"/>
        </w:rPr>
        <w:tab/>
        <w:t>Amend the title to read “</w:t>
      </w:r>
      <w:r w:rsidRPr="00970AD4">
        <w:rPr>
          <w:b/>
          <w:bCs/>
          <w:lang w:eastAsia="en-US"/>
        </w:rPr>
        <w:t>DEFINITIONS, UNITS OF MEASUREMENT AND ABBREVIATIONS</w:t>
      </w:r>
      <w:r w:rsidRPr="00970AD4">
        <w:rPr>
          <w:lang w:eastAsia="en-US"/>
        </w:rPr>
        <w:t>”.</w:t>
      </w:r>
    </w:p>
    <w:p w14:paraId="502FA898"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4F63A6A9" w14:textId="77777777" w:rsidR="00970AD4" w:rsidRPr="00970AD4" w:rsidRDefault="00970AD4" w:rsidP="00970AD4">
      <w:pPr>
        <w:tabs>
          <w:tab w:val="left" w:pos="2268"/>
        </w:tabs>
        <w:spacing w:after="120"/>
        <w:ind w:left="1134" w:right="1134"/>
        <w:jc w:val="both"/>
        <w:rPr>
          <w:lang w:eastAsia="en-US"/>
        </w:rPr>
      </w:pPr>
      <w:r w:rsidRPr="00970AD4">
        <w:rPr>
          <w:lang w:eastAsia="en-US"/>
        </w:rPr>
        <w:t>1.2.1</w:t>
      </w:r>
      <w:r w:rsidRPr="00970AD4">
        <w:rPr>
          <w:lang w:eastAsia="en-US"/>
        </w:rPr>
        <w:tab/>
        <w:t>Delete the following definitions:</w:t>
      </w:r>
    </w:p>
    <w:p w14:paraId="3CFD7A43" w14:textId="77777777" w:rsidR="00970AD4" w:rsidRPr="00970AD4" w:rsidRDefault="00970AD4" w:rsidP="00970AD4">
      <w:pPr>
        <w:spacing w:after="120"/>
        <w:ind w:left="2268" w:right="1134"/>
        <w:jc w:val="both"/>
        <w:rPr>
          <w:lang w:eastAsia="en-US"/>
        </w:rPr>
      </w:pPr>
      <w:r w:rsidRPr="00970AD4">
        <w:rPr>
          <w:lang w:eastAsia="en-US"/>
        </w:rPr>
        <w:t>“ADN”, “ASTM”, “CGA”, “CIM”, “CMR”, “CSC”, “CTU”, “EN (standard)”, “IAEA”, “IBC”, “ICAO”, “IMDG”, “IMO”, “ISO (standard)”, “MEGC”, “MEMU”, “RID”, “SADT”, “SAPT”, “UIC”, “UNECE”.</w:t>
      </w:r>
    </w:p>
    <w:p w14:paraId="63482026" w14:textId="0BCA462A" w:rsidR="00970AD4" w:rsidRPr="00970AD4" w:rsidRDefault="00970AD4" w:rsidP="00970AD4">
      <w:pPr>
        <w:spacing w:after="120"/>
        <w:ind w:left="2268" w:right="1134"/>
        <w:jc w:val="both"/>
        <w:rPr>
          <w:lang w:eastAsia="en-US"/>
        </w:rPr>
      </w:pPr>
      <w:r w:rsidRPr="00970AD4">
        <w:rPr>
          <w:lang w:eastAsia="en-US"/>
        </w:rPr>
        <w:t>In the definition of “Compressed Natural Gas”, delete “(CNG)”.</w:t>
      </w:r>
    </w:p>
    <w:p w14:paraId="61063A67" w14:textId="69F27918" w:rsidR="00970AD4" w:rsidRPr="00970AD4" w:rsidRDefault="00970AD4" w:rsidP="00970AD4">
      <w:pPr>
        <w:spacing w:after="120"/>
        <w:ind w:left="2268" w:right="1134"/>
        <w:jc w:val="both"/>
        <w:rPr>
          <w:lang w:eastAsia="en-US"/>
        </w:rPr>
      </w:pPr>
      <w:r w:rsidRPr="00970AD4">
        <w:rPr>
          <w:lang w:eastAsia="en-US"/>
        </w:rPr>
        <w:t>In the definition of “Criticality safety index”, delete “(CSI)”.</w:t>
      </w:r>
    </w:p>
    <w:p w14:paraId="46FB7123" w14:textId="77777777" w:rsidR="00970AD4" w:rsidRPr="00970AD4" w:rsidRDefault="00970AD4" w:rsidP="00970AD4">
      <w:pPr>
        <w:spacing w:after="120"/>
        <w:ind w:left="2268" w:right="1134"/>
        <w:jc w:val="both"/>
        <w:rPr>
          <w:lang w:eastAsia="en-US"/>
        </w:rPr>
      </w:pPr>
      <w:r w:rsidRPr="00970AD4">
        <w:rPr>
          <w:lang w:eastAsia="en-US"/>
        </w:rPr>
        <w:t>Amend the definition of “GHS” to read:</w:t>
      </w:r>
    </w:p>
    <w:p w14:paraId="37301EE3" w14:textId="77777777" w:rsidR="00970AD4" w:rsidRPr="00970AD4" w:rsidRDefault="00970AD4" w:rsidP="00970AD4">
      <w:pPr>
        <w:spacing w:after="120"/>
        <w:ind w:left="2268" w:right="1134"/>
        <w:jc w:val="both"/>
        <w:rPr>
          <w:lang w:eastAsia="en-US"/>
        </w:rPr>
      </w:pPr>
      <w:r w:rsidRPr="00970AD4">
        <w:rPr>
          <w:lang w:eastAsia="en-US"/>
        </w:rPr>
        <w:t>“</w:t>
      </w:r>
      <w:r w:rsidRPr="00970AD4">
        <w:rPr>
          <w:i/>
          <w:iCs/>
          <w:lang w:eastAsia="en-US"/>
        </w:rPr>
        <w:t xml:space="preserve">"Globally Harmonized System of Classification and Labelling of Chemicals" </w:t>
      </w:r>
      <w:r w:rsidRPr="00970AD4">
        <w:rPr>
          <w:lang w:eastAsia="en-US"/>
        </w:rPr>
        <w:t>means the ninth revised edition of United Nations publication bearing this title (ST/SG/AC.10/30/Rev.9);”</w:t>
      </w:r>
    </w:p>
    <w:p w14:paraId="4C1DB5C4" w14:textId="77777777" w:rsidR="00970AD4" w:rsidRPr="00970AD4" w:rsidRDefault="00970AD4" w:rsidP="00970AD4">
      <w:pPr>
        <w:spacing w:after="120"/>
        <w:ind w:left="2268" w:right="1134"/>
        <w:jc w:val="both"/>
        <w:rPr>
          <w:lang w:eastAsia="en-US"/>
        </w:rPr>
      </w:pPr>
      <w:r w:rsidRPr="00970AD4">
        <w:rPr>
          <w:lang w:eastAsia="en-US"/>
        </w:rPr>
        <w:t>In the definition of “Liquefied Natural Gas”, delete “(LNG)”.</w:t>
      </w:r>
    </w:p>
    <w:p w14:paraId="2AD30F19" w14:textId="77777777" w:rsidR="00970AD4" w:rsidRPr="00970AD4" w:rsidRDefault="00970AD4" w:rsidP="00970AD4">
      <w:pPr>
        <w:spacing w:after="120"/>
        <w:ind w:left="2268" w:right="1134"/>
        <w:jc w:val="both"/>
        <w:rPr>
          <w:lang w:eastAsia="en-US"/>
        </w:rPr>
      </w:pPr>
      <w:r w:rsidRPr="00970AD4">
        <w:rPr>
          <w:lang w:eastAsia="en-US"/>
        </w:rPr>
        <w:t>In the definition of “Liquefied Petroleum Gas”, delete “(LPG)”.</w:t>
      </w:r>
    </w:p>
    <w:p w14:paraId="7DF70553" w14:textId="77777777" w:rsidR="00970AD4" w:rsidRPr="00970AD4" w:rsidRDefault="00970AD4" w:rsidP="00970AD4">
      <w:pPr>
        <w:spacing w:after="120"/>
        <w:ind w:left="2268" w:right="1134"/>
        <w:jc w:val="both"/>
        <w:rPr>
          <w:lang w:eastAsia="en-US"/>
        </w:rPr>
      </w:pPr>
      <w:r w:rsidRPr="00970AD4">
        <w:rPr>
          <w:lang w:eastAsia="en-US"/>
        </w:rPr>
        <w:t>In the definition of “Multiple-element gas container”, delete “(MEGC)”.</w:t>
      </w:r>
    </w:p>
    <w:p w14:paraId="089439CA" w14:textId="77777777" w:rsidR="00970AD4" w:rsidRPr="00970AD4" w:rsidRDefault="00970AD4" w:rsidP="00970AD4">
      <w:pPr>
        <w:spacing w:after="120"/>
        <w:ind w:left="2268" w:right="1134"/>
        <w:jc w:val="both"/>
        <w:rPr>
          <w:lang w:eastAsia="en-US"/>
        </w:rPr>
      </w:pPr>
      <w:r w:rsidRPr="00970AD4">
        <w:rPr>
          <w:lang w:eastAsia="en-US"/>
        </w:rPr>
        <w:t>In the definition of “Mobile explosives manufacturing unit”, delete “(MEMU)”.</w:t>
      </w:r>
    </w:p>
    <w:p w14:paraId="3979BEF1" w14:textId="77777777" w:rsidR="00970AD4" w:rsidRPr="00970AD4" w:rsidRDefault="00970AD4" w:rsidP="00970AD4">
      <w:pPr>
        <w:spacing w:after="120"/>
        <w:ind w:left="2268" w:right="1134"/>
        <w:jc w:val="both"/>
        <w:rPr>
          <w:lang w:eastAsia="en-US"/>
        </w:rPr>
      </w:pPr>
      <w:r w:rsidRPr="00970AD4">
        <w:rPr>
          <w:lang w:eastAsia="en-US"/>
        </w:rPr>
        <w:t>In the definition of “Net explosive mass”, delete “(NEM)”.</w:t>
      </w:r>
    </w:p>
    <w:p w14:paraId="0E9F051C" w14:textId="77777777" w:rsidR="00970AD4" w:rsidRPr="00970AD4" w:rsidRDefault="00970AD4" w:rsidP="00970AD4">
      <w:pPr>
        <w:spacing w:after="120"/>
        <w:ind w:left="2268" w:right="1134"/>
        <w:jc w:val="both"/>
        <w:rPr>
          <w:lang w:eastAsia="en-US"/>
        </w:rPr>
      </w:pPr>
      <w:r w:rsidRPr="00970AD4">
        <w:rPr>
          <w:lang w:eastAsia="en-US"/>
        </w:rPr>
        <w:t>In the definition of “Self-accelerating decomposition temperature”, delete “(SADT)”.</w:t>
      </w:r>
    </w:p>
    <w:p w14:paraId="0593C9AF" w14:textId="77777777" w:rsidR="00970AD4" w:rsidRPr="00970AD4" w:rsidRDefault="00970AD4" w:rsidP="00970AD4">
      <w:pPr>
        <w:spacing w:after="120"/>
        <w:ind w:left="2268" w:right="1134"/>
        <w:jc w:val="both"/>
        <w:rPr>
          <w:lang w:eastAsia="en-US"/>
        </w:rPr>
      </w:pPr>
      <w:r w:rsidRPr="00970AD4">
        <w:rPr>
          <w:lang w:eastAsia="en-US"/>
        </w:rPr>
        <w:t>In the definition of “Self-accelerating polymerization temperature”, delete “(SAPT)”.</w:t>
      </w:r>
    </w:p>
    <w:p w14:paraId="11ACEF22" w14:textId="77777777" w:rsidR="00970AD4" w:rsidRPr="00970AD4" w:rsidRDefault="00970AD4" w:rsidP="00970AD4">
      <w:pPr>
        <w:spacing w:after="120"/>
        <w:ind w:left="2268" w:right="1134"/>
        <w:jc w:val="both"/>
        <w:rPr>
          <w:lang w:eastAsia="en-US"/>
        </w:rPr>
      </w:pPr>
      <w:r w:rsidRPr="00970AD4">
        <w:rPr>
          <w:lang w:eastAsia="en-US"/>
        </w:rPr>
        <w:t>In the definition of “Transport index”, delete “TI”.</w:t>
      </w:r>
    </w:p>
    <w:p w14:paraId="325E9370"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714B1058" w14:textId="77777777" w:rsidR="00970AD4" w:rsidRPr="00970AD4" w:rsidRDefault="00970AD4" w:rsidP="00970AD4">
      <w:pPr>
        <w:spacing w:after="120"/>
        <w:ind w:left="1134" w:right="1134"/>
        <w:jc w:val="both"/>
        <w:rPr>
          <w:lang w:eastAsia="en-US"/>
        </w:rPr>
      </w:pPr>
      <w:r w:rsidRPr="00970AD4">
        <w:rPr>
          <w:lang w:eastAsia="en-US"/>
        </w:rPr>
        <w:t>Add a new section 1.2.3 to read as follows:</w:t>
      </w:r>
    </w:p>
    <w:p w14:paraId="67BEE5F2" w14:textId="77777777" w:rsidR="00970AD4" w:rsidRPr="00970AD4" w:rsidRDefault="00970AD4" w:rsidP="00970AD4">
      <w:pPr>
        <w:tabs>
          <w:tab w:val="left" w:pos="2268"/>
        </w:tabs>
        <w:spacing w:after="120"/>
        <w:ind w:left="2268" w:right="1134"/>
        <w:jc w:val="both"/>
        <w:rPr>
          <w:lang w:eastAsia="en-US"/>
        </w:rPr>
      </w:pPr>
      <w:bookmarkStart w:id="9" w:name="_Hlk68180519"/>
      <w:r w:rsidRPr="00970AD4">
        <w:rPr>
          <w:lang w:eastAsia="en-US"/>
        </w:rPr>
        <w:t>“</w:t>
      </w:r>
      <w:bookmarkEnd w:id="9"/>
      <w:r w:rsidRPr="00970AD4">
        <w:rPr>
          <w:b/>
          <w:bCs/>
          <w:lang w:eastAsia="en-US"/>
        </w:rPr>
        <w:t>1.2.3</w:t>
      </w:r>
      <w:r w:rsidRPr="00970AD4">
        <w:rPr>
          <w:b/>
          <w:bCs/>
          <w:lang w:eastAsia="en-US"/>
        </w:rPr>
        <w:tab/>
        <w:t>List of abbreviations</w:t>
      </w:r>
    </w:p>
    <w:p w14:paraId="218856FF" w14:textId="77777777" w:rsidR="00970AD4" w:rsidRPr="00970AD4" w:rsidRDefault="00970AD4" w:rsidP="00970AD4">
      <w:pPr>
        <w:tabs>
          <w:tab w:val="left" w:pos="2268"/>
        </w:tabs>
        <w:spacing w:after="120"/>
        <w:ind w:left="2268" w:right="1134"/>
        <w:jc w:val="both"/>
        <w:rPr>
          <w:lang w:eastAsia="en-US"/>
        </w:rPr>
      </w:pPr>
      <w:r w:rsidRPr="00970AD4">
        <w:rPr>
          <w:lang w:eastAsia="en-US"/>
        </w:rPr>
        <w:tab/>
      </w:r>
      <w:r w:rsidRPr="00970AD4">
        <w:rPr>
          <w:lang w:eastAsia="en-US"/>
        </w:rPr>
        <w:tab/>
        <w:t>In ADR, abbreviations, acronyms and abbreviated designations of regulatory texts are used, with the following meaning:</w:t>
      </w:r>
    </w:p>
    <w:p w14:paraId="067E4590" w14:textId="77777777" w:rsidR="00970AD4" w:rsidRPr="00970AD4" w:rsidRDefault="00970AD4" w:rsidP="00970AD4">
      <w:pPr>
        <w:tabs>
          <w:tab w:val="left" w:pos="2268"/>
        </w:tabs>
        <w:spacing w:after="120"/>
        <w:ind w:left="2268" w:right="1134"/>
        <w:jc w:val="both"/>
        <w:rPr>
          <w:b/>
          <w:bCs/>
          <w:lang w:eastAsia="en-US"/>
        </w:rPr>
      </w:pPr>
      <w:r w:rsidRPr="00970AD4">
        <w:rPr>
          <w:b/>
          <w:bCs/>
          <w:lang w:eastAsia="en-US"/>
        </w:rPr>
        <w:t>A</w:t>
      </w:r>
    </w:p>
    <w:p w14:paraId="353F5F62"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"ADN"</w:t>
      </w:r>
      <w:r w:rsidRPr="00970AD4">
        <w:rPr>
          <w:lang w:eastAsia="en-US"/>
        </w:rPr>
        <w:t xml:space="preserve"> means the European Agreement concerning the International Carriage of Dangerous Goods by Inland Waterways;</w:t>
      </w:r>
    </w:p>
    <w:p w14:paraId="5B3B03AC"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lastRenderedPageBreak/>
        <w:t xml:space="preserve">"ASTM" </w:t>
      </w:r>
      <w:r w:rsidRPr="00970AD4">
        <w:rPr>
          <w:lang w:eastAsia="en-US"/>
        </w:rPr>
        <w:t xml:space="preserve">means the American Society for Testing and Materials (ASTM International, 100 Barr Harbor Drive, PO Box C700, West Conshohocken, PA, 19428-2959, United States of America), </w:t>
      </w:r>
      <w:hyperlink r:id="rId12" w:history="1">
        <w:r w:rsidRPr="00970AD4">
          <w:rPr>
            <w:lang w:eastAsia="en-US"/>
          </w:rPr>
          <w:t>www.astm.org</w:t>
        </w:r>
      </w:hyperlink>
      <w:r w:rsidRPr="00970AD4">
        <w:rPr>
          <w:lang w:eastAsia="en-US"/>
        </w:rPr>
        <w:t>;</w:t>
      </w:r>
    </w:p>
    <w:p w14:paraId="0208CBDC" w14:textId="77777777" w:rsidR="00970AD4" w:rsidRPr="00970AD4" w:rsidRDefault="00970AD4" w:rsidP="00970AD4">
      <w:pPr>
        <w:tabs>
          <w:tab w:val="left" w:pos="2268"/>
        </w:tabs>
        <w:spacing w:after="120"/>
        <w:ind w:left="2268" w:right="1134"/>
        <w:jc w:val="both"/>
        <w:rPr>
          <w:b/>
          <w:bCs/>
          <w:lang w:eastAsia="en-US"/>
        </w:rPr>
      </w:pPr>
      <w:r w:rsidRPr="00970AD4">
        <w:rPr>
          <w:b/>
          <w:bCs/>
          <w:lang w:eastAsia="en-US"/>
        </w:rPr>
        <w:t>C</w:t>
      </w:r>
    </w:p>
    <w:p w14:paraId="26815964"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 xml:space="preserve">"CGA" </w:t>
      </w:r>
      <w:r w:rsidRPr="00970AD4">
        <w:rPr>
          <w:lang w:eastAsia="en-US"/>
        </w:rPr>
        <w:t>means the Compressed Gas Association, 14501 George Carter Way, Suite 103, Chantilly, VA 20151, United States of America, www.cganet.com;</w:t>
      </w:r>
    </w:p>
    <w:p w14:paraId="4B4F1A16"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 xml:space="preserve">"CIM" </w:t>
      </w:r>
      <w:r w:rsidRPr="00970AD4">
        <w:rPr>
          <w:lang w:eastAsia="en-US"/>
        </w:rPr>
        <w:t>means the Uniform Rules Concerning the Contract of International Carriage of Goods by Rail (Appendix B to the Convention concerning International Carriage by Rail (COTIF)), as amended;</w:t>
      </w:r>
    </w:p>
    <w:p w14:paraId="34A896C9"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"CMR"</w:t>
      </w:r>
      <w:r w:rsidRPr="00970AD4">
        <w:rPr>
          <w:lang w:eastAsia="en-US"/>
        </w:rPr>
        <w:t xml:space="preserve"> means the Convention on the Contract for the International Carriage of Goods by Road (Geneva, 19 May 1956), as amended;</w:t>
      </w:r>
    </w:p>
    <w:p w14:paraId="42AD59DD"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"CNG"</w:t>
      </w:r>
      <w:r w:rsidRPr="00970AD4">
        <w:rPr>
          <w:lang w:eastAsia="en-US"/>
        </w:rPr>
        <w:t xml:space="preserve"> means compressed natural gas (see 1.2.1);</w:t>
      </w:r>
    </w:p>
    <w:p w14:paraId="0F5D39A5"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 xml:space="preserve">"CSC" </w:t>
      </w:r>
      <w:r w:rsidRPr="00970AD4">
        <w:rPr>
          <w:lang w:eastAsia="en-US"/>
        </w:rPr>
        <w:t>means the International Convention for Safe Containers (Geneva, 1972) as amended and published by the International Maritime Organization (IMO), London;</w:t>
      </w:r>
    </w:p>
    <w:p w14:paraId="067937ED"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 xml:space="preserve">"CSI" </w:t>
      </w:r>
      <w:r w:rsidRPr="00970AD4">
        <w:rPr>
          <w:lang w:eastAsia="en-US"/>
        </w:rPr>
        <w:t>means criticality safety index (see 1.2.1);</w:t>
      </w:r>
    </w:p>
    <w:p w14:paraId="73632F6C" w14:textId="77777777" w:rsidR="00970AD4" w:rsidRPr="00970AD4" w:rsidRDefault="00970AD4" w:rsidP="00970AD4">
      <w:pPr>
        <w:tabs>
          <w:tab w:val="left" w:pos="2268"/>
        </w:tabs>
        <w:spacing w:after="120"/>
        <w:ind w:left="2268" w:right="1134"/>
        <w:jc w:val="both"/>
        <w:rPr>
          <w:b/>
          <w:bCs/>
          <w:lang w:eastAsia="en-US"/>
        </w:rPr>
      </w:pPr>
      <w:r w:rsidRPr="00970AD4">
        <w:rPr>
          <w:b/>
          <w:bCs/>
          <w:lang w:eastAsia="en-US"/>
        </w:rPr>
        <w:t>E</w:t>
      </w:r>
    </w:p>
    <w:p w14:paraId="3F1F4882"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 xml:space="preserve">"EIGA" </w:t>
      </w:r>
      <w:r w:rsidRPr="00970AD4">
        <w:rPr>
          <w:lang w:eastAsia="en-US"/>
        </w:rPr>
        <w:t>means European Industrial Gas Association, 30 Avenue de l'Astronomie, 1210 Brussels (Belgium), www.eiga.eu;</w:t>
      </w:r>
    </w:p>
    <w:p w14:paraId="2E2D69E3"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 xml:space="preserve">"EN" </w:t>
      </w:r>
      <w:r w:rsidRPr="00970AD4">
        <w:rPr>
          <w:lang w:eastAsia="en-US"/>
        </w:rPr>
        <w:t xml:space="preserve">(standard) means a European standard published by the European Committee for Standardization (CEN) (CEN, Avenue Marnix 17, B-1000 Brussels, Belgium), </w:t>
      </w:r>
      <w:hyperlink r:id="rId13" w:history="1">
        <w:r w:rsidRPr="00970AD4">
          <w:rPr>
            <w:lang w:eastAsia="en-US"/>
          </w:rPr>
          <w:t>www.cen.eu</w:t>
        </w:r>
      </w:hyperlink>
      <w:r w:rsidRPr="00970AD4">
        <w:rPr>
          <w:lang w:eastAsia="en-US"/>
        </w:rPr>
        <w:t>;</w:t>
      </w:r>
    </w:p>
    <w:p w14:paraId="1F43E7F5" w14:textId="77777777" w:rsidR="00970AD4" w:rsidRPr="00970AD4" w:rsidRDefault="00970AD4" w:rsidP="00970AD4">
      <w:pPr>
        <w:tabs>
          <w:tab w:val="left" w:pos="2268"/>
        </w:tabs>
        <w:spacing w:after="120"/>
        <w:ind w:left="2268" w:right="1134"/>
        <w:jc w:val="both"/>
        <w:rPr>
          <w:b/>
          <w:bCs/>
          <w:lang w:eastAsia="en-US"/>
        </w:rPr>
      </w:pPr>
      <w:r w:rsidRPr="00970AD4">
        <w:rPr>
          <w:b/>
          <w:bCs/>
          <w:lang w:eastAsia="en-US"/>
        </w:rPr>
        <w:t>G</w:t>
      </w:r>
    </w:p>
    <w:p w14:paraId="0B266837"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 xml:space="preserve">"GHS" </w:t>
      </w:r>
      <w:r w:rsidRPr="00970AD4">
        <w:rPr>
          <w:lang w:eastAsia="en-US"/>
        </w:rPr>
        <w:t>means Globally Harmonized System of Classification and Labelling of Chemicals (see 1.2.1);</w:t>
      </w:r>
    </w:p>
    <w:p w14:paraId="5B78C106" w14:textId="77777777" w:rsidR="00970AD4" w:rsidRPr="00970AD4" w:rsidRDefault="00970AD4" w:rsidP="00970AD4">
      <w:pPr>
        <w:tabs>
          <w:tab w:val="left" w:pos="2268"/>
        </w:tabs>
        <w:spacing w:after="120"/>
        <w:ind w:left="2268" w:right="1134"/>
        <w:jc w:val="both"/>
        <w:rPr>
          <w:b/>
          <w:bCs/>
          <w:lang w:eastAsia="en-US"/>
        </w:rPr>
      </w:pPr>
      <w:r w:rsidRPr="00970AD4">
        <w:rPr>
          <w:b/>
          <w:bCs/>
          <w:lang w:eastAsia="en-US"/>
        </w:rPr>
        <w:t>I</w:t>
      </w:r>
    </w:p>
    <w:p w14:paraId="4291E21D"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 xml:space="preserve">"IAEA" </w:t>
      </w:r>
      <w:r w:rsidRPr="00970AD4">
        <w:rPr>
          <w:lang w:eastAsia="en-US"/>
        </w:rPr>
        <w:t>means the International Atomic Energy Agency, P.O. Box 100, 1400 Vienna, Austria, www.iaea.org;</w:t>
      </w:r>
    </w:p>
    <w:p w14:paraId="719C51B1"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 xml:space="preserve">"IBC" </w:t>
      </w:r>
      <w:r w:rsidRPr="00970AD4">
        <w:rPr>
          <w:lang w:eastAsia="en-US"/>
        </w:rPr>
        <w:t>means intermediate bulk container (see 1.2.1);</w:t>
      </w:r>
    </w:p>
    <w:p w14:paraId="14F6E75E"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"ICAO"</w:t>
      </w:r>
      <w:r w:rsidRPr="00970AD4">
        <w:rPr>
          <w:lang w:eastAsia="en-US"/>
        </w:rPr>
        <w:t xml:space="preserve"> means the International Civil Aviation Organization, 999 University Street, Montreal, Quebec H3C 5H7, Canada, www.icao.org;</w:t>
      </w:r>
    </w:p>
    <w:p w14:paraId="5F16C28F"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"IMDG"</w:t>
      </w:r>
      <w:r w:rsidRPr="00970AD4">
        <w:rPr>
          <w:lang w:eastAsia="en-US"/>
        </w:rPr>
        <w:t xml:space="preserve"> means IMDG Code (see 1.2.1);</w:t>
      </w:r>
    </w:p>
    <w:p w14:paraId="0732D7BF"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"IMO"</w:t>
      </w:r>
      <w:r w:rsidRPr="00970AD4">
        <w:rPr>
          <w:lang w:eastAsia="en-US"/>
        </w:rPr>
        <w:t xml:space="preserve"> means the International Maritime Organization, 4 Albert Embankment, London SE1 7SR, United Kingdom, </w:t>
      </w:r>
      <w:hyperlink r:id="rId14" w:history="1">
        <w:r w:rsidRPr="00970AD4">
          <w:rPr>
            <w:lang w:eastAsia="en-US"/>
          </w:rPr>
          <w:t>www.imo.org</w:t>
        </w:r>
      </w:hyperlink>
      <w:r w:rsidRPr="00970AD4">
        <w:rPr>
          <w:lang w:eastAsia="en-US"/>
        </w:rPr>
        <w:t>;</w:t>
      </w:r>
    </w:p>
    <w:p w14:paraId="448B6E2A"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"ISO"</w:t>
      </w:r>
      <w:r w:rsidRPr="00970AD4">
        <w:rPr>
          <w:lang w:eastAsia="en-US"/>
        </w:rPr>
        <w:t xml:space="preserve"> (standard) means an international standard published by the International Organization for Standardization, 1, rue de Varembé, 1204 Geneva 20, Switzerland, </w:t>
      </w:r>
      <w:hyperlink r:id="rId15" w:history="1">
        <w:r w:rsidRPr="00970AD4">
          <w:rPr>
            <w:lang w:eastAsia="en-US"/>
          </w:rPr>
          <w:t>www.iso.org</w:t>
        </w:r>
      </w:hyperlink>
      <w:r w:rsidRPr="00970AD4">
        <w:rPr>
          <w:lang w:eastAsia="en-US"/>
        </w:rPr>
        <w:t>;</w:t>
      </w:r>
    </w:p>
    <w:p w14:paraId="340E0871" w14:textId="77777777" w:rsidR="00970AD4" w:rsidRPr="00970AD4" w:rsidRDefault="00970AD4" w:rsidP="00970AD4">
      <w:pPr>
        <w:tabs>
          <w:tab w:val="left" w:pos="2268"/>
        </w:tabs>
        <w:spacing w:after="120"/>
        <w:ind w:left="2268" w:right="1134"/>
        <w:jc w:val="both"/>
        <w:rPr>
          <w:b/>
          <w:bCs/>
          <w:lang w:eastAsia="en-US"/>
        </w:rPr>
      </w:pPr>
      <w:r w:rsidRPr="00970AD4">
        <w:rPr>
          <w:b/>
          <w:bCs/>
          <w:lang w:eastAsia="en-US"/>
        </w:rPr>
        <w:t>L</w:t>
      </w:r>
    </w:p>
    <w:p w14:paraId="19669FF5"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 xml:space="preserve">"LNG" </w:t>
      </w:r>
      <w:r w:rsidRPr="00970AD4">
        <w:rPr>
          <w:lang w:eastAsia="en-US"/>
        </w:rPr>
        <w:t>means liquefied natural gas (see 1.2.1);</w:t>
      </w:r>
    </w:p>
    <w:p w14:paraId="111349BB"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 xml:space="preserve">"LPG" </w:t>
      </w:r>
      <w:r w:rsidRPr="00970AD4">
        <w:rPr>
          <w:lang w:eastAsia="en-US"/>
        </w:rPr>
        <w:t>means liquefied petroleum gas (see 1.2.1);</w:t>
      </w:r>
    </w:p>
    <w:p w14:paraId="2C00489A"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 xml:space="preserve">"LSA" </w:t>
      </w:r>
      <w:r w:rsidRPr="00970AD4">
        <w:rPr>
          <w:lang w:eastAsia="en-US"/>
        </w:rPr>
        <w:t>(material) means low specific activity material (see 2.2.7.1.3);</w:t>
      </w:r>
    </w:p>
    <w:p w14:paraId="21EE023B" w14:textId="77777777" w:rsidR="00970AD4" w:rsidRPr="00970AD4" w:rsidRDefault="00970AD4" w:rsidP="00970AD4">
      <w:pPr>
        <w:tabs>
          <w:tab w:val="left" w:pos="2268"/>
        </w:tabs>
        <w:spacing w:after="120"/>
        <w:ind w:left="2268" w:right="1134"/>
        <w:jc w:val="both"/>
        <w:rPr>
          <w:b/>
          <w:bCs/>
          <w:lang w:eastAsia="en-US"/>
        </w:rPr>
      </w:pPr>
      <w:r w:rsidRPr="00970AD4">
        <w:rPr>
          <w:b/>
          <w:bCs/>
          <w:lang w:eastAsia="en-US"/>
        </w:rPr>
        <w:t>M</w:t>
      </w:r>
    </w:p>
    <w:p w14:paraId="42D85372"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 xml:space="preserve">"MEGC" </w:t>
      </w:r>
      <w:r w:rsidRPr="00970AD4">
        <w:rPr>
          <w:lang w:eastAsia="en-US"/>
        </w:rPr>
        <w:t>means multiple-element gas container (see 1.2.1);</w:t>
      </w:r>
    </w:p>
    <w:p w14:paraId="0006173B"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"MEMU"</w:t>
      </w:r>
      <w:r w:rsidRPr="00970AD4">
        <w:rPr>
          <w:lang w:eastAsia="en-US"/>
        </w:rPr>
        <w:t xml:space="preserve"> means mobile explosives manufacturing unit (see 1.2.1);</w:t>
      </w:r>
    </w:p>
    <w:p w14:paraId="04B5EB9C" w14:textId="77777777" w:rsidR="00970AD4" w:rsidRPr="00970AD4" w:rsidRDefault="00970AD4" w:rsidP="00970AD4">
      <w:pPr>
        <w:tabs>
          <w:tab w:val="left" w:pos="2268"/>
        </w:tabs>
        <w:spacing w:after="120"/>
        <w:ind w:left="2268" w:right="1134"/>
        <w:jc w:val="both"/>
        <w:rPr>
          <w:b/>
          <w:bCs/>
          <w:lang w:eastAsia="en-US"/>
        </w:rPr>
      </w:pPr>
      <w:r w:rsidRPr="00970AD4">
        <w:rPr>
          <w:b/>
          <w:bCs/>
          <w:lang w:eastAsia="en-US"/>
        </w:rPr>
        <w:t>N</w:t>
      </w:r>
    </w:p>
    <w:p w14:paraId="521C637D"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lastRenderedPageBreak/>
        <w:t xml:space="preserve">"N.O.S. " </w:t>
      </w:r>
      <w:r w:rsidRPr="00970AD4">
        <w:rPr>
          <w:lang w:eastAsia="en-US"/>
        </w:rPr>
        <w:t>means not otherwise specified entry (see 1.2.1);</w:t>
      </w:r>
    </w:p>
    <w:p w14:paraId="2621932A" w14:textId="77777777" w:rsidR="00970AD4" w:rsidRPr="00970AD4" w:rsidRDefault="00970AD4" w:rsidP="00970AD4">
      <w:pPr>
        <w:tabs>
          <w:tab w:val="left" w:pos="2268"/>
        </w:tabs>
        <w:spacing w:after="120"/>
        <w:ind w:left="2268" w:right="1134"/>
        <w:jc w:val="both"/>
        <w:rPr>
          <w:b/>
          <w:bCs/>
          <w:lang w:eastAsia="en-US"/>
        </w:rPr>
      </w:pPr>
      <w:r w:rsidRPr="00970AD4">
        <w:rPr>
          <w:b/>
          <w:bCs/>
          <w:lang w:eastAsia="en-US"/>
        </w:rPr>
        <w:t>R</w:t>
      </w:r>
    </w:p>
    <w:p w14:paraId="711770F8"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"RID"</w:t>
      </w:r>
      <w:r w:rsidRPr="00970AD4">
        <w:rPr>
          <w:lang w:eastAsia="en-US"/>
        </w:rPr>
        <w:t xml:space="preserve"> means Regulations concerning the International Carriage of Dangerous Goods by Rail (Appendix C of COTIF (Convention concerning international carriage by rail));</w:t>
      </w:r>
    </w:p>
    <w:p w14:paraId="2B55DB92" w14:textId="77777777" w:rsidR="00970AD4" w:rsidRPr="00970AD4" w:rsidRDefault="00970AD4" w:rsidP="00970AD4">
      <w:pPr>
        <w:tabs>
          <w:tab w:val="left" w:pos="2268"/>
        </w:tabs>
        <w:spacing w:after="120"/>
        <w:ind w:left="2268" w:right="1134"/>
        <w:jc w:val="both"/>
        <w:rPr>
          <w:b/>
          <w:bCs/>
          <w:lang w:eastAsia="en-US"/>
        </w:rPr>
      </w:pPr>
      <w:r w:rsidRPr="00970AD4">
        <w:rPr>
          <w:b/>
          <w:bCs/>
          <w:lang w:eastAsia="en-US"/>
        </w:rPr>
        <w:t>S</w:t>
      </w:r>
    </w:p>
    <w:p w14:paraId="17D54516"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"SADT"</w:t>
      </w:r>
      <w:r w:rsidRPr="00970AD4">
        <w:rPr>
          <w:lang w:eastAsia="en-US"/>
        </w:rPr>
        <w:t xml:space="preserve"> means self-accelerating decomposition temperature (see 1.2.1);</w:t>
      </w:r>
    </w:p>
    <w:p w14:paraId="6BC816AF"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"SAPT"</w:t>
      </w:r>
      <w:r w:rsidRPr="00970AD4">
        <w:rPr>
          <w:lang w:eastAsia="en-US"/>
        </w:rPr>
        <w:t xml:space="preserve"> means self-accelerating polymerization temperature (see 1.2.1);</w:t>
      </w:r>
    </w:p>
    <w:p w14:paraId="761B3287"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"SCO"</w:t>
      </w:r>
      <w:r w:rsidRPr="00970AD4">
        <w:rPr>
          <w:lang w:eastAsia="en-US"/>
        </w:rPr>
        <w:t xml:space="preserve"> means surface contaminated object (see 2.2.7.1.3);</w:t>
      </w:r>
    </w:p>
    <w:p w14:paraId="0C6E6819" w14:textId="77777777" w:rsidR="00970AD4" w:rsidRPr="00970AD4" w:rsidRDefault="00970AD4" w:rsidP="00970AD4">
      <w:pPr>
        <w:tabs>
          <w:tab w:val="left" w:pos="2268"/>
        </w:tabs>
        <w:spacing w:after="120"/>
        <w:ind w:left="2268" w:right="1134"/>
        <w:jc w:val="both"/>
        <w:rPr>
          <w:b/>
          <w:bCs/>
          <w:lang w:eastAsia="en-US"/>
        </w:rPr>
      </w:pPr>
      <w:r w:rsidRPr="00970AD4">
        <w:rPr>
          <w:b/>
          <w:bCs/>
          <w:lang w:eastAsia="en-US"/>
        </w:rPr>
        <w:t>T</w:t>
      </w:r>
    </w:p>
    <w:p w14:paraId="029C2EB9"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 xml:space="preserve">"TI" </w:t>
      </w:r>
      <w:r w:rsidRPr="00970AD4">
        <w:rPr>
          <w:lang w:eastAsia="en-US"/>
        </w:rPr>
        <w:t>means transport index (see 1.2.1);</w:t>
      </w:r>
    </w:p>
    <w:p w14:paraId="3CB9260E" w14:textId="77777777" w:rsidR="00970AD4" w:rsidRPr="00970AD4" w:rsidRDefault="00970AD4" w:rsidP="00970AD4">
      <w:pPr>
        <w:tabs>
          <w:tab w:val="left" w:pos="2268"/>
        </w:tabs>
        <w:spacing w:after="120"/>
        <w:ind w:left="2268" w:right="1134"/>
        <w:jc w:val="both"/>
        <w:rPr>
          <w:b/>
          <w:bCs/>
          <w:lang w:eastAsia="en-US"/>
        </w:rPr>
      </w:pPr>
      <w:r w:rsidRPr="00970AD4">
        <w:rPr>
          <w:b/>
          <w:bCs/>
          <w:lang w:eastAsia="en-US"/>
        </w:rPr>
        <w:t>U</w:t>
      </w:r>
    </w:p>
    <w:p w14:paraId="25F5BF6E"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 xml:space="preserve">"UIC" </w:t>
      </w:r>
      <w:r w:rsidRPr="00970AD4">
        <w:rPr>
          <w:lang w:eastAsia="en-US"/>
        </w:rPr>
        <w:t xml:space="preserve">means the International Union of Railways, 16 rue Jean Rey, 75015 Paris, France, </w:t>
      </w:r>
      <w:hyperlink r:id="rId16" w:history="1">
        <w:r w:rsidRPr="00970AD4">
          <w:rPr>
            <w:lang w:eastAsia="en-US"/>
          </w:rPr>
          <w:t>www.uic.org</w:t>
        </w:r>
      </w:hyperlink>
      <w:r w:rsidRPr="00970AD4">
        <w:rPr>
          <w:lang w:eastAsia="en-US"/>
        </w:rPr>
        <w:t>;</w:t>
      </w:r>
    </w:p>
    <w:p w14:paraId="5FBDAF5B" w14:textId="77777777" w:rsidR="00970AD4" w:rsidRPr="00970AD4" w:rsidRDefault="00970AD4" w:rsidP="00970AD4">
      <w:pPr>
        <w:tabs>
          <w:tab w:val="left" w:pos="2268"/>
        </w:tabs>
        <w:spacing w:after="120"/>
        <w:ind w:left="2268" w:right="1134"/>
        <w:jc w:val="both"/>
        <w:rPr>
          <w:lang w:eastAsia="en-US"/>
        </w:rPr>
      </w:pPr>
      <w:r w:rsidRPr="00970AD4">
        <w:rPr>
          <w:i/>
          <w:iCs/>
          <w:lang w:eastAsia="en-US"/>
        </w:rPr>
        <w:t>"UNECE"</w:t>
      </w:r>
      <w:r w:rsidRPr="00970AD4">
        <w:rPr>
          <w:lang w:eastAsia="en-US"/>
        </w:rPr>
        <w:t xml:space="preserve"> means the United Nations Economic Commission for Europe, Palais des Nations, 8-14 avenue de la Paix, 1211 Geneva 10, Switzerland, </w:t>
      </w:r>
      <w:hyperlink r:id="rId17" w:history="1">
        <w:r w:rsidRPr="00970AD4">
          <w:rPr>
            <w:lang w:eastAsia="en-US"/>
          </w:rPr>
          <w:t>www.unece.org</w:t>
        </w:r>
      </w:hyperlink>
      <w:r w:rsidRPr="00970AD4">
        <w:rPr>
          <w:lang w:eastAsia="en-US"/>
        </w:rPr>
        <w:t>; ”</w:t>
      </w:r>
    </w:p>
    <w:p w14:paraId="0AFD3271"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2E84E09C" w14:textId="77777777" w:rsidR="00970AD4" w:rsidRPr="00970AD4" w:rsidRDefault="00970AD4" w:rsidP="00970AD4">
      <w:pPr>
        <w:keepNext/>
        <w:keepLines/>
        <w:tabs>
          <w:tab w:val="right" w:pos="851"/>
        </w:tabs>
        <w:spacing w:before="360" w:after="240" w:line="270" w:lineRule="exact"/>
        <w:ind w:left="1134" w:right="1134" w:hanging="1134"/>
        <w:rPr>
          <w:b/>
          <w:sz w:val="24"/>
          <w:lang w:eastAsia="en-US"/>
        </w:rPr>
      </w:pPr>
      <w:r w:rsidRPr="00970AD4">
        <w:rPr>
          <w:b/>
          <w:sz w:val="24"/>
          <w:lang w:eastAsia="en-US"/>
        </w:rPr>
        <w:tab/>
      </w:r>
      <w:r w:rsidRPr="00970AD4">
        <w:rPr>
          <w:b/>
          <w:sz w:val="24"/>
          <w:lang w:eastAsia="en-US"/>
        </w:rPr>
        <w:tab/>
      </w:r>
      <w:r w:rsidRPr="00970AD4">
        <w:rPr>
          <w:b/>
          <w:sz w:val="24"/>
          <w:lang w:eastAsia="en-US"/>
        </w:rPr>
        <w:tab/>
        <w:t>Chapter 1.6</w:t>
      </w:r>
    </w:p>
    <w:p w14:paraId="3AA9860E" w14:textId="77777777" w:rsidR="00970AD4" w:rsidRPr="00970AD4" w:rsidRDefault="00970AD4" w:rsidP="00970AD4">
      <w:pPr>
        <w:spacing w:after="120"/>
        <w:ind w:left="1134" w:right="1134"/>
        <w:jc w:val="both"/>
        <w:rPr>
          <w:b/>
          <w:lang w:eastAsia="en-US"/>
        </w:rPr>
      </w:pPr>
      <w:r w:rsidRPr="00970AD4">
        <w:rPr>
          <w:lang w:eastAsia="en-US"/>
        </w:rPr>
        <w:t>[1.6.4</w:t>
      </w:r>
      <w:r w:rsidRPr="00970AD4">
        <w:rPr>
          <w:lang w:eastAsia="en-US"/>
        </w:rPr>
        <w:tab/>
      </w:r>
      <w:r w:rsidRPr="00970AD4">
        <w:rPr>
          <w:lang w:eastAsia="en-US"/>
        </w:rPr>
        <w:tab/>
        <w:t>Insert the following new transitional provision:</w:t>
      </w:r>
    </w:p>
    <w:p w14:paraId="1488A892" w14:textId="77777777" w:rsidR="00970AD4" w:rsidRPr="00970AD4" w:rsidRDefault="00970AD4" w:rsidP="00970AD4">
      <w:pPr>
        <w:spacing w:after="120"/>
        <w:ind w:left="2268" w:right="1134"/>
        <w:jc w:val="both"/>
        <w:rPr>
          <w:lang w:eastAsia="en-US"/>
        </w:rPr>
      </w:pPr>
      <w:r w:rsidRPr="00970AD4">
        <w:rPr>
          <w:lang w:eastAsia="en-US"/>
        </w:rPr>
        <w:t>“1.6.4.56</w:t>
      </w:r>
      <w:r w:rsidRPr="00970AD4">
        <w:rPr>
          <w:lang w:eastAsia="en-US"/>
        </w:rPr>
        <w:tab/>
        <w:t>Tank-containers constructed before 1 July 2023 in accordance with the requirements in force up to 31 December 2022, but which do not conform to the requirements of 6.8.2.2.4 second paragraph applicable from 1 January 2023 may still be used.”]</w:t>
      </w:r>
    </w:p>
    <w:p w14:paraId="59B7A894"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 as amended)</w:t>
      </w:r>
    </w:p>
    <w:p w14:paraId="75CB10CD" w14:textId="77777777" w:rsidR="00970AD4" w:rsidRPr="00970AD4" w:rsidRDefault="00970AD4" w:rsidP="00970AD4">
      <w:pPr>
        <w:keepNext/>
        <w:keepLines/>
        <w:tabs>
          <w:tab w:val="right" w:pos="851"/>
        </w:tabs>
        <w:spacing w:before="360" w:after="240" w:line="270" w:lineRule="exact"/>
        <w:ind w:left="1134" w:right="1134" w:hanging="1134"/>
        <w:rPr>
          <w:b/>
          <w:sz w:val="24"/>
          <w:lang w:eastAsia="en-US"/>
        </w:rPr>
      </w:pPr>
      <w:r w:rsidRPr="00970AD4">
        <w:rPr>
          <w:b/>
          <w:sz w:val="24"/>
          <w:lang w:eastAsia="en-US"/>
        </w:rPr>
        <w:tab/>
      </w:r>
      <w:r w:rsidRPr="00970AD4">
        <w:rPr>
          <w:b/>
          <w:sz w:val="24"/>
          <w:lang w:eastAsia="en-US"/>
        </w:rPr>
        <w:tab/>
        <w:t>Chapter 1.8</w:t>
      </w:r>
    </w:p>
    <w:p w14:paraId="0A507CEA" w14:textId="77777777" w:rsidR="00970AD4" w:rsidRPr="00970AD4" w:rsidRDefault="00970AD4" w:rsidP="00970AD4">
      <w:pPr>
        <w:spacing w:after="120"/>
        <w:ind w:left="2268" w:right="1134" w:hanging="1134"/>
        <w:jc w:val="both"/>
        <w:rPr>
          <w:lang w:eastAsia="en-US"/>
        </w:rPr>
      </w:pPr>
      <w:r w:rsidRPr="00970AD4">
        <w:rPr>
          <w:lang w:eastAsia="en-US"/>
        </w:rPr>
        <w:t>1.8.5.4</w:t>
      </w:r>
      <w:r w:rsidRPr="00970AD4">
        <w:rPr>
          <w:lang w:eastAsia="en-US"/>
        </w:rPr>
        <w:tab/>
        <w:t>In the third page of the “Model for report on occurrences during the carriage of dangerous goods”, in the cell for note (3), add a new entry at the end to read “17 MEMU”.</w:t>
      </w:r>
    </w:p>
    <w:p w14:paraId="4CD4DAF9" w14:textId="77777777" w:rsidR="00970AD4" w:rsidRPr="00970AD4" w:rsidRDefault="00970AD4" w:rsidP="00970AD4">
      <w:pPr>
        <w:spacing w:after="120"/>
        <w:ind w:left="1134" w:right="1134"/>
        <w:jc w:val="both"/>
        <w:rPr>
          <w:i/>
          <w:iCs/>
          <w:lang w:eastAsia="en-US"/>
        </w:rPr>
      </w:pPr>
      <w:r w:rsidRPr="00970AD4">
        <w:rPr>
          <w:i/>
          <w:iCs/>
          <w:lang w:eastAsia="en-US"/>
        </w:rPr>
        <w:t>(Reference document: ECE/TRANS/WP.15/2021/1)</w:t>
      </w:r>
    </w:p>
    <w:p w14:paraId="1CE1649E" w14:textId="77777777" w:rsidR="00970AD4" w:rsidRPr="00970AD4" w:rsidRDefault="00970AD4" w:rsidP="00970AD4">
      <w:pPr>
        <w:keepNext/>
        <w:keepLines/>
        <w:tabs>
          <w:tab w:val="right" w:pos="851"/>
        </w:tabs>
        <w:spacing w:before="360" w:after="240" w:line="270" w:lineRule="exact"/>
        <w:ind w:left="1134" w:right="1134" w:hanging="1134"/>
        <w:rPr>
          <w:b/>
          <w:sz w:val="24"/>
          <w:lang w:eastAsia="en-US"/>
        </w:rPr>
      </w:pPr>
      <w:r w:rsidRPr="00970AD4">
        <w:rPr>
          <w:b/>
          <w:sz w:val="24"/>
          <w:lang w:eastAsia="en-US"/>
        </w:rPr>
        <w:tab/>
      </w:r>
      <w:r w:rsidRPr="00970AD4">
        <w:rPr>
          <w:b/>
          <w:sz w:val="24"/>
          <w:lang w:eastAsia="en-US"/>
        </w:rPr>
        <w:tab/>
        <w:t>Chapter 1.9</w:t>
      </w:r>
    </w:p>
    <w:p w14:paraId="0DDDB2EE" w14:textId="77777777" w:rsidR="00970AD4" w:rsidRPr="00970AD4" w:rsidRDefault="00970AD4" w:rsidP="00970AD4">
      <w:pPr>
        <w:spacing w:after="120"/>
        <w:ind w:left="2268" w:right="1134" w:hanging="1134"/>
        <w:jc w:val="both"/>
        <w:rPr>
          <w:lang w:eastAsia="en-US"/>
        </w:rPr>
      </w:pPr>
      <w:r w:rsidRPr="00970AD4">
        <w:rPr>
          <w:lang w:eastAsia="en-US"/>
        </w:rPr>
        <w:t>1.9.4</w:t>
      </w:r>
      <w:r w:rsidRPr="00970AD4">
        <w:rPr>
          <w:lang w:eastAsia="en-US"/>
        </w:rPr>
        <w:tab/>
        <w:t>After the reference to footnote 1, add a reference to a new footnote 2 to read as follows:</w:t>
      </w:r>
    </w:p>
    <w:p w14:paraId="0D260A6A" w14:textId="77777777" w:rsidR="00970AD4" w:rsidRPr="00970AD4" w:rsidRDefault="00970AD4" w:rsidP="00970AD4">
      <w:pPr>
        <w:spacing w:after="120"/>
        <w:ind w:left="2268" w:right="1134"/>
        <w:jc w:val="both"/>
        <w:rPr>
          <w:lang w:eastAsia="en-US"/>
        </w:rPr>
      </w:pPr>
      <w:r w:rsidRPr="00970AD4">
        <w:rPr>
          <w:lang w:eastAsia="en-US"/>
        </w:rPr>
        <w:t>“</w:t>
      </w:r>
      <w:r w:rsidRPr="00970AD4">
        <w:rPr>
          <w:b/>
          <w:bCs/>
          <w:vertAlign w:val="superscript"/>
          <w:lang w:eastAsia="en-US"/>
        </w:rPr>
        <w:t>2</w:t>
      </w:r>
      <w:r w:rsidRPr="00970AD4">
        <w:rPr>
          <w:lang w:eastAsia="en-US"/>
        </w:rPr>
        <w:tab/>
      </w:r>
      <w:r w:rsidRPr="00970AD4">
        <w:rPr>
          <w:i/>
          <w:iCs/>
          <w:spacing w:val="-4"/>
          <w:lang w:eastAsia="en-US"/>
        </w:rPr>
        <w:t>Multimodal guidelines (Inland TDG Risk Management Framework) may be consulted on the website of the Directorate General for Mobility and Transport of the European Commission (</w:t>
      </w:r>
      <w:hyperlink r:id="rId18" w:history="1">
        <w:r w:rsidRPr="00970AD4">
          <w:rPr>
            <w:i/>
            <w:iCs/>
            <w:spacing w:val="-4"/>
            <w:lang w:eastAsia="en-US"/>
          </w:rPr>
          <w:t>https://ec.europa.eu/transport/themes/dangerous_good/risk_management_framework_en)</w:t>
        </w:r>
      </w:hyperlink>
      <w:r w:rsidRPr="00970AD4">
        <w:rPr>
          <w:i/>
          <w:iCs/>
          <w:spacing w:val="-4"/>
          <w:lang w:eastAsia="en-US"/>
        </w:rPr>
        <w:t>.</w:t>
      </w:r>
      <w:r w:rsidRPr="00970AD4">
        <w:rPr>
          <w:lang w:eastAsia="en-US"/>
        </w:rPr>
        <w:t>”</w:t>
      </w:r>
    </w:p>
    <w:p w14:paraId="076A2F98" w14:textId="77777777" w:rsidR="00970AD4" w:rsidRPr="00970AD4" w:rsidRDefault="00970AD4" w:rsidP="00970AD4">
      <w:pPr>
        <w:spacing w:after="120"/>
        <w:ind w:left="1134" w:right="1134"/>
        <w:jc w:val="both"/>
        <w:rPr>
          <w:i/>
          <w:iCs/>
          <w:lang w:eastAsia="en-US"/>
        </w:rPr>
      </w:pPr>
      <w:r w:rsidRPr="00970AD4">
        <w:rPr>
          <w:i/>
          <w:iCs/>
          <w:lang w:eastAsia="en-US"/>
        </w:rPr>
        <w:t>(Reference document: ECE/TRANS/WP.15/AC.1/158, Annex II)</w:t>
      </w:r>
    </w:p>
    <w:p w14:paraId="0FB09EB5" w14:textId="77777777" w:rsidR="00970AD4" w:rsidRPr="00970AD4" w:rsidRDefault="00970AD4" w:rsidP="00970AD4">
      <w:pPr>
        <w:keepNext/>
        <w:keepLines/>
        <w:tabs>
          <w:tab w:val="right" w:pos="851"/>
        </w:tabs>
        <w:spacing w:before="360" w:after="240" w:line="270" w:lineRule="exact"/>
        <w:ind w:left="1134" w:right="1134" w:hanging="1134"/>
        <w:rPr>
          <w:b/>
          <w:sz w:val="24"/>
          <w:lang w:eastAsia="en-US"/>
        </w:rPr>
      </w:pPr>
      <w:r w:rsidRPr="00970AD4">
        <w:rPr>
          <w:b/>
          <w:sz w:val="24"/>
          <w:lang w:eastAsia="en-US"/>
        </w:rPr>
        <w:lastRenderedPageBreak/>
        <w:tab/>
      </w:r>
      <w:r w:rsidRPr="00970AD4">
        <w:rPr>
          <w:b/>
          <w:sz w:val="24"/>
          <w:lang w:eastAsia="en-US"/>
        </w:rPr>
        <w:tab/>
        <w:t>Chapter 1.10</w:t>
      </w:r>
    </w:p>
    <w:p w14:paraId="05C539FC" w14:textId="161C84A2" w:rsidR="00970AD4" w:rsidRPr="00970AD4" w:rsidRDefault="00970AD4" w:rsidP="00970AD4">
      <w:pPr>
        <w:spacing w:after="120"/>
        <w:ind w:left="1134" w:right="1134"/>
        <w:jc w:val="both"/>
        <w:rPr>
          <w:lang w:eastAsia="en-US"/>
        </w:rPr>
      </w:pPr>
      <w:r w:rsidRPr="00970AD4">
        <w:rPr>
          <w:bCs/>
          <w:lang w:eastAsia="en-US"/>
        </w:rPr>
        <w:t>1.10.4</w:t>
      </w:r>
      <w:r w:rsidRPr="00970AD4">
        <w:rPr>
          <w:bCs/>
          <w:lang w:eastAsia="en-US"/>
        </w:rPr>
        <w:tab/>
      </w:r>
      <w:r w:rsidRPr="00970AD4">
        <w:rPr>
          <w:lang w:eastAsia="en-US"/>
        </w:rPr>
        <w:tab/>
        <w:t xml:space="preserve">In the first sentence, after </w:t>
      </w:r>
      <w:r w:rsidRPr="00970AD4">
        <w:rPr>
          <w:bCs/>
          <w:lang w:eastAsia="en-US"/>
        </w:rPr>
        <w:t>“</w:t>
      </w:r>
      <w:r w:rsidRPr="00970AD4">
        <w:rPr>
          <w:lang w:eastAsia="en-US"/>
        </w:rPr>
        <w:t>0500,</w:t>
      </w:r>
      <w:r w:rsidRPr="00970AD4">
        <w:rPr>
          <w:bCs/>
          <w:lang w:eastAsia="en-US"/>
        </w:rPr>
        <w:t>”</w:t>
      </w:r>
      <w:r w:rsidRPr="00970AD4">
        <w:rPr>
          <w:lang w:eastAsia="en-US"/>
        </w:rPr>
        <w:t xml:space="preserve"> add</w:t>
      </w:r>
      <w:r w:rsidRPr="00970AD4">
        <w:rPr>
          <w:bCs/>
          <w:lang w:eastAsia="en-US"/>
        </w:rPr>
        <w:t xml:space="preserve"> “</w:t>
      </w:r>
      <w:r w:rsidRPr="00970AD4">
        <w:rPr>
          <w:lang w:eastAsia="en-US"/>
        </w:rPr>
        <w:t>0511,</w:t>
      </w:r>
      <w:r w:rsidRPr="00970AD4">
        <w:rPr>
          <w:bCs/>
          <w:lang w:eastAsia="en-US"/>
        </w:rPr>
        <w:t>”</w:t>
      </w:r>
      <w:r w:rsidRPr="00970AD4">
        <w:rPr>
          <w:lang w:eastAsia="en-US"/>
        </w:rPr>
        <w:t>.</w:t>
      </w:r>
    </w:p>
    <w:p w14:paraId="7A4E1CCF"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21B42E1B" w14:textId="77777777" w:rsidR="00970AD4" w:rsidRPr="00970AD4" w:rsidRDefault="00970AD4" w:rsidP="00970AD4">
      <w:pPr>
        <w:keepNext/>
        <w:keepLines/>
        <w:tabs>
          <w:tab w:val="right" w:pos="851"/>
        </w:tabs>
        <w:spacing w:before="360" w:after="240" w:line="270" w:lineRule="exact"/>
        <w:ind w:left="1134" w:right="1134" w:hanging="1134"/>
        <w:rPr>
          <w:b/>
          <w:sz w:val="24"/>
          <w:lang w:eastAsia="en-US"/>
        </w:rPr>
      </w:pPr>
      <w:r w:rsidRPr="00970AD4">
        <w:rPr>
          <w:b/>
          <w:sz w:val="24"/>
          <w:lang w:eastAsia="en-US"/>
        </w:rPr>
        <w:tab/>
      </w:r>
      <w:r w:rsidRPr="00970AD4">
        <w:rPr>
          <w:b/>
          <w:sz w:val="24"/>
          <w:lang w:eastAsia="en-US"/>
        </w:rPr>
        <w:tab/>
        <w:t>Chapter 3.2, Table A</w:t>
      </w:r>
    </w:p>
    <w:p w14:paraId="185993DC" w14:textId="77777777" w:rsidR="00970AD4" w:rsidRPr="00970AD4" w:rsidRDefault="00970AD4" w:rsidP="00970AD4">
      <w:pPr>
        <w:snapToGrid w:val="0"/>
        <w:spacing w:before="120" w:after="120" w:line="240" w:lineRule="auto"/>
        <w:ind w:left="2268" w:right="1134" w:hanging="1134"/>
        <w:rPr>
          <w:lang w:eastAsia="en-US"/>
        </w:rPr>
      </w:pPr>
      <w:r w:rsidRPr="00970AD4">
        <w:rPr>
          <w:lang w:eastAsia="en-US"/>
        </w:rPr>
        <w:t>For UN No. 2426, amend the name and description in column (2) to read “AMMONIUM NITRATE, LIQUID (hot concentrated solution)”.</w:t>
      </w:r>
    </w:p>
    <w:p w14:paraId="04FFE87C"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68868FEC" w14:textId="2B09CEE6" w:rsidR="00970AD4" w:rsidRPr="00970AD4" w:rsidRDefault="00970AD4" w:rsidP="00970AD4">
      <w:pPr>
        <w:spacing w:after="120"/>
        <w:ind w:left="2268" w:right="1134" w:hanging="1134"/>
        <w:jc w:val="both"/>
        <w:rPr>
          <w:lang w:eastAsia="en-US"/>
        </w:rPr>
      </w:pPr>
      <w:r w:rsidRPr="00970AD4">
        <w:rPr>
          <w:lang w:eastAsia="en-US"/>
        </w:rPr>
        <w:t>For UN Nos. 2908 to 2911, in Column (15), replace the entry for the tunnel restriction code by the mention “(─)”.</w:t>
      </w:r>
    </w:p>
    <w:p w14:paraId="0D4C3764" w14:textId="77777777" w:rsidR="00970AD4" w:rsidRPr="00970AD4" w:rsidRDefault="00970AD4" w:rsidP="00970AD4">
      <w:pPr>
        <w:spacing w:after="120"/>
        <w:ind w:left="1134" w:right="1134"/>
        <w:jc w:val="both"/>
        <w:rPr>
          <w:i/>
          <w:iCs/>
          <w:lang w:eastAsia="en-US"/>
        </w:rPr>
      </w:pPr>
      <w:r w:rsidRPr="00970AD4">
        <w:rPr>
          <w:i/>
          <w:iCs/>
          <w:lang w:eastAsia="en-US"/>
        </w:rPr>
        <w:t>(Reference document: ECE/TRANS/WP.15/2020/4)</w:t>
      </w:r>
    </w:p>
    <w:p w14:paraId="3FF5A4F6" w14:textId="2F095219" w:rsidR="00970AD4" w:rsidRPr="00970AD4" w:rsidRDefault="00970AD4" w:rsidP="00970AD4">
      <w:pPr>
        <w:spacing w:after="120"/>
        <w:ind w:left="2268" w:right="1134" w:hanging="1134"/>
        <w:jc w:val="both"/>
        <w:rPr>
          <w:lang w:eastAsia="en-US"/>
        </w:rPr>
      </w:pPr>
      <w:r w:rsidRPr="00970AD4">
        <w:rPr>
          <w:lang w:eastAsia="en-US"/>
        </w:rPr>
        <w:t xml:space="preserve">For all UN numbers to which special provision 386 is assigned in column (6), insert in column (6) </w:t>
      </w:r>
      <w:r w:rsidRPr="00970AD4">
        <w:rPr>
          <w:bCs/>
          <w:lang w:eastAsia="en-US"/>
        </w:rPr>
        <w:t>“</w:t>
      </w:r>
      <w:r w:rsidRPr="00970AD4">
        <w:rPr>
          <w:lang w:eastAsia="en-US"/>
        </w:rPr>
        <w:t>676</w:t>
      </w:r>
      <w:r w:rsidRPr="00970AD4">
        <w:rPr>
          <w:bCs/>
          <w:lang w:eastAsia="en-US"/>
        </w:rPr>
        <w:t>”</w:t>
      </w:r>
      <w:r w:rsidRPr="00970AD4">
        <w:rPr>
          <w:lang w:eastAsia="en-US"/>
        </w:rPr>
        <w:t>. Applies to UN Nos. 1010, 1051, 1060, 1081, 1082, 1085, 1086, 1087, 1092, 1093, 1143, 1167, 1185, 1218, 1246, 1247, 1251, 1301, 1302, 1303, 1304, 1545, 1589, 1614, 1724, 1829, 1860, 1917, 1919, 1921, 1991, 2055, 2200, 2218, 2227, 2251, 2277, 2283, 2348, 2352, 2396, 2452, 2521, 2522, 2527, 2531, 2607, 2618, 2838, 3022, 3073, 3079, 3302, 3531, 3532, 3533 and 3534.</w:t>
      </w:r>
    </w:p>
    <w:p w14:paraId="4DC63C98"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490F7B25" w14:textId="77777777" w:rsidR="00970AD4" w:rsidRPr="00970AD4" w:rsidRDefault="00970AD4" w:rsidP="00970AD4">
      <w:pPr>
        <w:keepNext/>
        <w:keepLines/>
        <w:tabs>
          <w:tab w:val="right" w:pos="851"/>
        </w:tabs>
        <w:spacing w:before="360" w:after="240" w:line="270" w:lineRule="exact"/>
        <w:ind w:left="1134" w:right="1134" w:hanging="1134"/>
        <w:rPr>
          <w:b/>
          <w:sz w:val="24"/>
          <w:lang w:eastAsia="en-US"/>
        </w:rPr>
      </w:pPr>
      <w:r w:rsidRPr="00970AD4">
        <w:rPr>
          <w:b/>
          <w:sz w:val="24"/>
          <w:lang w:eastAsia="en-US"/>
        </w:rPr>
        <w:tab/>
      </w:r>
      <w:r w:rsidRPr="00970AD4">
        <w:rPr>
          <w:b/>
          <w:sz w:val="24"/>
          <w:lang w:eastAsia="en-US"/>
        </w:rPr>
        <w:tab/>
        <w:t>Chapter 3.2, Table B</w:t>
      </w:r>
    </w:p>
    <w:p w14:paraId="71F411CE" w14:textId="77777777" w:rsidR="00970AD4" w:rsidRPr="00970AD4" w:rsidRDefault="00970AD4" w:rsidP="00970AD4">
      <w:pPr>
        <w:spacing w:after="120"/>
        <w:ind w:left="1134" w:right="1134"/>
        <w:jc w:val="both"/>
        <w:rPr>
          <w:rFonts w:eastAsia="Calibri" w:cs="Arial"/>
          <w:szCs w:val="22"/>
          <w:lang w:eastAsia="en-US"/>
        </w:rPr>
      </w:pPr>
      <w:r w:rsidRPr="00970AD4">
        <w:rPr>
          <w:rFonts w:eastAsia="Calibri"/>
          <w:lang w:eastAsia="en-US"/>
        </w:rPr>
        <w:t>In the entry for “AMMONIUM NITRATE, LIQUID, hot concentrated solution, in a concentration of more than 80% but not more than 93%”, amend</w:t>
      </w:r>
      <w:r w:rsidRPr="00970AD4">
        <w:rPr>
          <w:lang w:eastAsia="en-US"/>
        </w:rPr>
        <w:t xml:space="preserve"> </w:t>
      </w:r>
      <w:r w:rsidRPr="00970AD4">
        <w:rPr>
          <w:rFonts w:eastAsia="Calibri"/>
          <w:lang w:eastAsia="en-US"/>
        </w:rPr>
        <w:t xml:space="preserve">column “Name and description” to read: </w:t>
      </w:r>
      <w:r w:rsidRPr="00970AD4">
        <w:rPr>
          <w:rFonts w:eastAsia="Calibri" w:cs="Arial"/>
          <w:szCs w:val="22"/>
          <w:lang w:eastAsia="en-US"/>
        </w:rPr>
        <w:t>“AMMONIUM NITRATE, LIQUID (hot concentrated solution)”.</w:t>
      </w:r>
    </w:p>
    <w:p w14:paraId="495AAAC3"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3655DC2C" w14:textId="77777777" w:rsidR="00970AD4" w:rsidRPr="00970AD4" w:rsidRDefault="00970AD4" w:rsidP="00970AD4">
      <w:pPr>
        <w:keepNext/>
        <w:keepLines/>
        <w:tabs>
          <w:tab w:val="right" w:pos="851"/>
        </w:tabs>
        <w:spacing w:before="360" w:after="240" w:line="270" w:lineRule="exact"/>
        <w:ind w:left="1134" w:right="1134" w:hanging="1134"/>
        <w:rPr>
          <w:b/>
          <w:sz w:val="24"/>
          <w:lang w:eastAsia="en-US"/>
        </w:rPr>
      </w:pPr>
      <w:r w:rsidRPr="00970AD4">
        <w:rPr>
          <w:b/>
          <w:sz w:val="24"/>
          <w:lang w:eastAsia="en-US"/>
        </w:rPr>
        <w:tab/>
      </w:r>
      <w:r w:rsidRPr="00970AD4">
        <w:rPr>
          <w:b/>
          <w:sz w:val="24"/>
          <w:lang w:eastAsia="en-US"/>
        </w:rPr>
        <w:tab/>
        <w:t>Chapter 3.3</w:t>
      </w:r>
    </w:p>
    <w:p w14:paraId="16EC5BF4" w14:textId="65FCE1FB" w:rsidR="00970AD4" w:rsidRPr="00970AD4" w:rsidRDefault="00970AD4" w:rsidP="00970AD4">
      <w:pPr>
        <w:spacing w:after="120"/>
        <w:ind w:left="1134" w:right="1134"/>
        <w:jc w:val="both"/>
        <w:rPr>
          <w:lang w:eastAsia="en-US"/>
        </w:rPr>
      </w:pPr>
      <w:r w:rsidRPr="00970AD4">
        <w:rPr>
          <w:lang w:eastAsia="en-US"/>
        </w:rPr>
        <w:t>Special provision (SP) 327</w:t>
      </w:r>
      <w:r w:rsidRPr="00970AD4">
        <w:rPr>
          <w:lang w:eastAsia="en-US"/>
        </w:rPr>
        <w:tab/>
        <w:t>In the first sentence, replace “5.4.1.1.3” by “5.4.1.1.3.1”.</w:t>
      </w:r>
    </w:p>
    <w:p w14:paraId="04905C90"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313BA747" w14:textId="77777777" w:rsidR="00970AD4" w:rsidRPr="00970AD4" w:rsidRDefault="00970AD4" w:rsidP="00970AD4">
      <w:pPr>
        <w:spacing w:after="120"/>
        <w:ind w:left="1134" w:right="1134"/>
        <w:jc w:val="both"/>
        <w:rPr>
          <w:lang w:eastAsia="en-US"/>
        </w:rPr>
      </w:pPr>
      <w:r w:rsidRPr="00970AD4">
        <w:rPr>
          <w:lang w:eastAsia="en-US"/>
        </w:rPr>
        <w:tab/>
        <w:t>SP 363</w:t>
      </w:r>
      <w:r w:rsidRPr="00970AD4">
        <w:rPr>
          <w:lang w:eastAsia="en-US"/>
        </w:rPr>
        <w:tab/>
        <w:t>At the end of paragraph (j), insert the following Note:</w:t>
      </w:r>
    </w:p>
    <w:p w14:paraId="588D13A7" w14:textId="317657C4" w:rsidR="00970AD4" w:rsidRPr="00970AD4" w:rsidRDefault="00970AD4" w:rsidP="00970AD4">
      <w:pPr>
        <w:spacing w:after="120"/>
        <w:ind w:left="2268" w:right="1134"/>
        <w:jc w:val="both"/>
        <w:rPr>
          <w:lang w:eastAsia="en-US"/>
        </w:rPr>
      </w:pPr>
      <w:r w:rsidRPr="00970AD4">
        <w:rPr>
          <w:lang w:eastAsia="en-US"/>
        </w:rPr>
        <w:t>“</w:t>
      </w:r>
      <w:r w:rsidRPr="00970AD4">
        <w:rPr>
          <w:b/>
          <w:i/>
          <w:iCs/>
          <w:lang w:eastAsia="en-US"/>
        </w:rPr>
        <w:t>NOTE</w:t>
      </w:r>
      <w:r w:rsidRPr="00970AD4">
        <w:rPr>
          <w:b/>
          <w:bCs/>
          <w:i/>
          <w:iCs/>
          <w:lang w:eastAsia="en-US"/>
        </w:rPr>
        <w:t>:</w:t>
      </w:r>
      <w:r w:rsidRPr="00970AD4">
        <w:rPr>
          <w:i/>
          <w:iCs/>
          <w:lang w:eastAsia="en-US"/>
        </w:rPr>
        <w:tab/>
        <w:t>On engines and machinery with a capacity of more than 450 l but containing 60 l of liquid fuel or less, labelling and placarding compliant with the above requirements are permitted.</w:t>
      </w:r>
      <w:r w:rsidRPr="00970AD4">
        <w:rPr>
          <w:lang w:eastAsia="en-US"/>
        </w:rPr>
        <w:t>”</w:t>
      </w:r>
    </w:p>
    <w:p w14:paraId="3737C4BC"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 as amended)</w:t>
      </w:r>
    </w:p>
    <w:p w14:paraId="71833CAE" w14:textId="77777777" w:rsidR="00970AD4" w:rsidRPr="00970AD4" w:rsidRDefault="00970AD4" w:rsidP="00970AD4">
      <w:pPr>
        <w:spacing w:after="120"/>
        <w:ind w:left="1134" w:right="1134"/>
        <w:jc w:val="both"/>
        <w:rPr>
          <w:lang w:eastAsia="en-US"/>
        </w:rPr>
      </w:pPr>
      <w:r w:rsidRPr="00970AD4">
        <w:rPr>
          <w:lang w:eastAsia="en-US"/>
        </w:rPr>
        <w:tab/>
        <w:t>SP 593</w:t>
      </w:r>
      <w:r w:rsidRPr="00970AD4">
        <w:rPr>
          <w:lang w:eastAsia="en-US"/>
        </w:rPr>
        <w:tab/>
        <w:t>Amend to read as follows:</w:t>
      </w:r>
    </w:p>
    <w:p w14:paraId="52BBDDFD" w14:textId="77777777" w:rsidR="00970AD4" w:rsidRPr="00970AD4" w:rsidRDefault="00970AD4" w:rsidP="00970AD4">
      <w:pPr>
        <w:spacing w:after="120"/>
        <w:ind w:left="2268" w:right="1134"/>
        <w:jc w:val="both"/>
        <w:rPr>
          <w:lang w:eastAsia="en-US"/>
        </w:rPr>
      </w:pPr>
      <w:r w:rsidRPr="00970AD4">
        <w:rPr>
          <w:lang w:eastAsia="en-US"/>
        </w:rPr>
        <w:t>“593</w:t>
      </w:r>
      <w:r w:rsidRPr="00970AD4">
        <w:rPr>
          <w:lang w:eastAsia="en-US"/>
        </w:rPr>
        <w:tab/>
        <w:t>This gas, when used for cooling goods not fulfilling the criteria of any class, e.g. medical or biological specimens, if contained in double wall receptacles which comply with the provisions of packing instruction P203, paragraph (6) for open cryogenic receptacles of 4.1.4.1, is not subject to the requirements of ADR except as specified in 5.5.3.”</w:t>
      </w:r>
    </w:p>
    <w:p w14:paraId="0C4019A4" w14:textId="77777777" w:rsidR="00970AD4" w:rsidRPr="00970AD4" w:rsidRDefault="00970AD4" w:rsidP="00970AD4">
      <w:pPr>
        <w:spacing w:after="120"/>
        <w:ind w:left="1134" w:right="1134"/>
        <w:jc w:val="both"/>
        <w:rPr>
          <w:i/>
          <w:iCs/>
          <w:lang w:eastAsia="en-US"/>
        </w:rPr>
      </w:pPr>
      <w:r w:rsidRPr="00970AD4">
        <w:rPr>
          <w:i/>
          <w:iCs/>
          <w:lang w:eastAsia="en-US"/>
        </w:rPr>
        <w:lastRenderedPageBreak/>
        <w:t>(Reference documents: ECE/TRANS/WP.15/AC.1/160, Annex II and informal document INF.11)</w:t>
      </w:r>
    </w:p>
    <w:p w14:paraId="12245D2E" w14:textId="77777777" w:rsidR="00970AD4" w:rsidRPr="00970AD4" w:rsidRDefault="00970AD4" w:rsidP="00970AD4">
      <w:pPr>
        <w:spacing w:after="120"/>
        <w:ind w:left="1134" w:right="1134"/>
        <w:jc w:val="both"/>
        <w:rPr>
          <w:b/>
          <w:lang w:eastAsia="en-US"/>
        </w:rPr>
      </w:pPr>
      <w:r w:rsidRPr="00970AD4">
        <w:rPr>
          <w:lang w:eastAsia="en-US"/>
        </w:rPr>
        <w:t>SP 644</w:t>
      </w:r>
      <w:r w:rsidRPr="00970AD4">
        <w:rPr>
          <w:lang w:eastAsia="en-US"/>
        </w:rPr>
        <w:tab/>
        <w:t>Insert the following new second indent:</w:t>
      </w:r>
    </w:p>
    <w:p w14:paraId="181774D2" w14:textId="77777777" w:rsidR="00970AD4" w:rsidRPr="00970AD4" w:rsidRDefault="00970AD4" w:rsidP="00970AD4">
      <w:pPr>
        <w:spacing w:after="120"/>
        <w:ind w:left="2268" w:right="1134"/>
        <w:jc w:val="both"/>
        <w:rPr>
          <w:lang w:eastAsia="en-US"/>
        </w:rPr>
      </w:pPr>
      <w:r w:rsidRPr="00970AD4">
        <w:rPr>
          <w:lang w:eastAsia="en-US"/>
        </w:rPr>
        <w:t>“–</w:t>
      </w:r>
      <w:r w:rsidRPr="00970AD4">
        <w:rPr>
          <w:lang w:eastAsia="en-US"/>
        </w:rPr>
        <w:tab/>
        <w:t>The solution does not contain more than 93% ammonium nitrate;”</w:t>
      </w:r>
    </w:p>
    <w:p w14:paraId="56E95E3A"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51D0AAEA" w14:textId="2411BE2A" w:rsidR="00970AD4" w:rsidRPr="00970AD4" w:rsidRDefault="00970AD4" w:rsidP="00970AD4">
      <w:pPr>
        <w:spacing w:after="120"/>
        <w:ind w:left="1134" w:right="1134"/>
        <w:jc w:val="both"/>
        <w:rPr>
          <w:u w:val="single"/>
          <w:lang w:eastAsia="en-US"/>
        </w:rPr>
      </w:pPr>
      <w:r w:rsidRPr="00970AD4">
        <w:rPr>
          <w:lang w:eastAsia="en-US"/>
        </w:rPr>
        <w:t>SP 650</w:t>
      </w:r>
      <w:r w:rsidRPr="00970AD4">
        <w:rPr>
          <w:lang w:eastAsia="en-US"/>
        </w:rPr>
        <w:tab/>
        <w:t>In paragraph (e), replace “5.4.1.1.3” by “5.4.1.1.3.1”.</w:t>
      </w:r>
    </w:p>
    <w:p w14:paraId="4D39B6A9"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3A216190" w14:textId="57B9216E" w:rsidR="00970AD4" w:rsidRPr="00970AD4" w:rsidRDefault="00970AD4" w:rsidP="00970AD4">
      <w:pPr>
        <w:spacing w:after="120"/>
        <w:ind w:left="1134" w:right="1134"/>
        <w:jc w:val="both"/>
        <w:rPr>
          <w:u w:val="single"/>
          <w:lang w:eastAsia="en-US"/>
        </w:rPr>
      </w:pPr>
      <w:r w:rsidRPr="00970AD4">
        <w:rPr>
          <w:lang w:eastAsia="en-US"/>
        </w:rPr>
        <w:t>SP 654</w:t>
      </w:r>
      <w:r w:rsidRPr="00970AD4">
        <w:rPr>
          <w:lang w:eastAsia="en-US"/>
        </w:rPr>
        <w:tab/>
        <w:t>In the first sentence, replace “5.4.1.1.3” by “5.4.1.1.3.1”.</w:t>
      </w:r>
    </w:p>
    <w:p w14:paraId="2DA8A7EE"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3A3F2E67" w14:textId="77777777" w:rsidR="00970AD4" w:rsidRPr="00970AD4" w:rsidRDefault="00970AD4" w:rsidP="00970AD4">
      <w:pPr>
        <w:spacing w:after="120"/>
        <w:ind w:left="1134" w:right="1134"/>
        <w:jc w:val="both"/>
        <w:rPr>
          <w:lang w:eastAsia="en-US"/>
        </w:rPr>
      </w:pPr>
      <w:r w:rsidRPr="00970AD4">
        <w:rPr>
          <w:lang w:eastAsia="en-US"/>
        </w:rPr>
        <w:t>Add the following new special provision:</w:t>
      </w:r>
    </w:p>
    <w:p w14:paraId="24E3F033" w14:textId="77777777" w:rsidR="00970AD4" w:rsidRPr="00970AD4" w:rsidRDefault="00970AD4" w:rsidP="00970AD4">
      <w:pPr>
        <w:spacing w:after="120"/>
        <w:ind w:left="2268" w:right="1134"/>
        <w:jc w:val="both"/>
        <w:rPr>
          <w:lang w:eastAsia="en-US"/>
        </w:rPr>
      </w:pPr>
      <w:r w:rsidRPr="00970AD4">
        <w:rPr>
          <w:lang w:eastAsia="en-US"/>
        </w:rPr>
        <w:t>“676</w:t>
      </w:r>
      <w:r w:rsidRPr="00970AD4">
        <w:rPr>
          <w:b/>
          <w:lang w:eastAsia="en-US"/>
        </w:rPr>
        <w:tab/>
      </w:r>
      <w:r w:rsidRPr="00970AD4">
        <w:rPr>
          <w:lang w:eastAsia="en-US"/>
        </w:rPr>
        <w:t>For the carriage of packages containing polymerizing substances the provisions of special provision 386, in conjunction with 7.1.7.3, 7.1.7.4, 5.4.1.1.15 and 5.4.1.2.3.1, need not be applied, when carried for disposal or recycling provided the following conditions are met:</w:t>
      </w:r>
    </w:p>
    <w:p w14:paraId="578292A4" w14:textId="77777777" w:rsidR="00970AD4" w:rsidRPr="00970AD4" w:rsidRDefault="00970AD4" w:rsidP="00970AD4">
      <w:pPr>
        <w:spacing w:after="120"/>
        <w:ind w:left="3828" w:right="1134" w:hanging="426"/>
        <w:jc w:val="both"/>
        <w:rPr>
          <w:lang w:eastAsia="en-US"/>
        </w:rPr>
      </w:pPr>
      <w:r w:rsidRPr="00970AD4">
        <w:rPr>
          <w:lang w:eastAsia="en-US"/>
        </w:rPr>
        <w:t>(a)</w:t>
      </w:r>
      <w:r w:rsidRPr="00970AD4">
        <w:rPr>
          <w:lang w:eastAsia="en-US"/>
        </w:rPr>
        <w:tab/>
        <w:t>Before loading an examination has shown that there is no significant deviation between the outside temperature of the package and the ambient temperature;</w:t>
      </w:r>
    </w:p>
    <w:p w14:paraId="47408DAC" w14:textId="77777777" w:rsidR="00970AD4" w:rsidRPr="00970AD4" w:rsidRDefault="00970AD4" w:rsidP="00970AD4">
      <w:pPr>
        <w:spacing w:after="120"/>
        <w:ind w:left="3828" w:right="1134" w:hanging="426"/>
        <w:jc w:val="both"/>
        <w:rPr>
          <w:lang w:eastAsia="en-US"/>
        </w:rPr>
      </w:pPr>
      <w:r w:rsidRPr="00970AD4">
        <w:rPr>
          <w:lang w:eastAsia="en-US"/>
        </w:rPr>
        <w:t>(b)</w:t>
      </w:r>
      <w:r w:rsidRPr="00970AD4">
        <w:rPr>
          <w:lang w:eastAsia="en-US"/>
        </w:rPr>
        <w:tab/>
        <w:t>The carriage is effected within a period of not more than 24 hours from that examination;</w:t>
      </w:r>
    </w:p>
    <w:p w14:paraId="1287CF23" w14:textId="77777777" w:rsidR="00970AD4" w:rsidRPr="00970AD4" w:rsidRDefault="00970AD4" w:rsidP="00970AD4">
      <w:pPr>
        <w:spacing w:after="120"/>
        <w:ind w:left="3828" w:right="1134" w:hanging="426"/>
        <w:jc w:val="both"/>
        <w:rPr>
          <w:lang w:eastAsia="en-US"/>
        </w:rPr>
      </w:pPr>
      <w:r w:rsidRPr="00970AD4">
        <w:rPr>
          <w:lang w:eastAsia="en-US"/>
        </w:rPr>
        <w:t>(c)</w:t>
      </w:r>
      <w:r w:rsidRPr="00970AD4">
        <w:rPr>
          <w:lang w:eastAsia="en-US"/>
        </w:rPr>
        <w:tab/>
        <w:t>The packages are protected from direct sunlight and from the impact of other sources of heat (e.g. additional loads that are being carried above ambient temperature) during carriage;</w:t>
      </w:r>
    </w:p>
    <w:p w14:paraId="7F222869" w14:textId="77777777" w:rsidR="00970AD4" w:rsidRPr="00970AD4" w:rsidRDefault="00970AD4" w:rsidP="00970AD4">
      <w:pPr>
        <w:spacing w:after="120"/>
        <w:ind w:left="3828" w:right="1134" w:hanging="426"/>
        <w:jc w:val="both"/>
        <w:rPr>
          <w:lang w:eastAsia="en-US"/>
        </w:rPr>
      </w:pPr>
      <w:r w:rsidRPr="00970AD4">
        <w:rPr>
          <w:lang w:eastAsia="en-US"/>
        </w:rPr>
        <w:t>(d)</w:t>
      </w:r>
      <w:r w:rsidRPr="00970AD4">
        <w:rPr>
          <w:lang w:eastAsia="en-US"/>
        </w:rPr>
        <w:tab/>
        <w:t>The ambient temperatures during the carriage are below 45 °C;</w:t>
      </w:r>
    </w:p>
    <w:p w14:paraId="5C7534E9" w14:textId="77777777" w:rsidR="00970AD4" w:rsidRPr="00970AD4" w:rsidRDefault="00970AD4" w:rsidP="00970AD4">
      <w:pPr>
        <w:spacing w:after="120"/>
        <w:ind w:left="3828" w:right="1134" w:hanging="426"/>
        <w:jc w:val="both"/>
        <w:rPr>
          <w:lang w:eastAsia="en-US"/>
        </w:rPr>
      </w:pPr>
      <w:r w:rsidRPr="00970AD4">
        <w:rPr>
          <w:lang w:eastAsia="en-US"/>
        </w:rPr>
        <w:t>(e)</w:t>
      </w:r>
      <w:r w:rsidRPr="00970AD4">
        <w:rPr>
          <w:lang w:eastAsia="en-US"/>
        </w:rPr>
        <w:tab/>
        <w:t xml:space="preserve">Vehicles and containers are adequately ventilated; </w:t>
      </w:r>
    </w:p>
    <w:p w14:paraId="177BB6B9" w14:textId="77777777" w:rsidR="00970AD4" w:rsidRPr="00970AD4" w:rsidRDefault="00970AD4" w:rsidP="00970AD4">
      <w:pPr>
        <w:spacing w:after="120"/>
        <w:ind w:left="3828" w:right="1134" w:hanging="426"/>
        <w:jc w:val="both"/>
        <w:rPr>
          <w:lang w:eastAsia="en-US"/>
        </w:rPr>
      </w:pPr>
      <w:r w:rsidRPr="00970AD4">
        <w:rPr>
          <w:lang w:eastAsia="en-US"/>
        </w:rPr>
        <w:t>(f)</w:t>
      </w:r>
      <w:r w:rsidRPr="00970AD4">
        <w:rPr>
          <w:lang w:eastAsia="en-US"/>
        </w:rPr>
        <w:tab/>
        <w:t>The substances are packed in packages with a maximum capacity of 1000 litres.</w:t>
      </w:r>
    </w:p>
    <w:p w14:paraId="001D9627" w14:textId="77777777" w:rsidR="00970AD4" w:rsidRPr="00970AD4" w:rsidRDefault="00970AD4" w:rsidP="00970AD4">
      <w:pPr>
        <w:tabs>
          <w:tab w:val="left" w:pos="2268"/>
        </w:tabs>
        <w:spacing w:after="120"/>
        <w:ind w:left="2268" w:right="1134"/>
        <w:jc w:val="both"/>
        <w:rPr>
          <w:lang w:eastAsia="en-US"/>
        </w:rPr>
      </w:pPr>
      <w:r w:rsidRPr="00970AD4">
        <w:rPr>
          <w:lang w:eastAsia="en-US"/>
        </w:rPr>
        <w:tab/>
      </w:r>
      <w:r w:rsidRPr="00970AD4">
        <w:rPr>
          <w:lang w:eastAsia="en-US"/>
        </w:rPr>
        <w:tab/>
        <w:t>In assessing the substances for carriage under the conditions of this special provision, additional measures to prevent dangerous polymerization may be considered, for example the addition of inhibitors.”</w:t>
      </w:r>
    </w:p>
    <w:p w14:paraId="0A15F976"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080FEC8E" w14:textId="77777777" w:rsidR="00970AD4" w:rsidRPr="00970AD4" w:rsidRDefault="00970AD4" w:rsidP="00970AD4">
      <w:pPr>
        <w:keepNext/>
        <w:keepLines/>
        <w:tabs>
          <w:tab w:val="right" w:pos="851"/>
        </w:tabs>
        <w:spacing w:before="360" w:after="240" w:line="270" w:lineRule="exact"/>
        <w:ind w:left="1134" w:right="1134" w:hanging="1134"/>
        <w:rPr>
          <w:b/>
          <w:sz w:val="24"/>
          <w:lang w:eastAsia="en-US"/>
        </w:rPr>
      </w:pPr>
      <w:r w:rsidRPr="00970AD4">
        <w:rPr>
          <w:b/>
          <w:sz w:val="24"/>
          <w:lang w:eastAsia="en-US"/>
        </w:rPr>
        <w:tab/>
      </w:r>
      <w:r w:rsidRPr="00970AD4">
        <w:rPr>
          <w:b/>
          <w:sz w:val="24"/>
          <w:lang w:eastAsia="en-US"/>
        </w:rPr>
        <w:tab/>
        <w:t>Chapter 4.1</w:t>
      </w:r>
    </w:p>
    <w:p w14:paraId="65F2A66B" w14:textId="77777777" w:rsidR="00970AD4" w:rsidRPr="00970AD4" w:rsidRDefault="00970AD4" w:rsidP="00970AD4">
      <w:pPr>
        <w:snapToGrid w:val="0"/>
        <w:spacing w:before="120" w:after="120" w:line="240" w:lineRule="auto"/>
        <w:ind w:left="567" w:firstLine="567"/>
        <w:rPr>
          <w:bCs/>
          <w:lang w:eastAsia="en-US"/>
        </w:rPr>
      </w:pPr>
      <w:r w:rsidRPr="00970AD4">
        <w:rPr>
          <w:bCs/>
          <w:lang w:eastAsia="en-US"/>
        </w:rPr>
        <w:t>4.1.6.8</w:t>
      </w:r>
      <w:r w:rsidRPr="00970AD4">
        <w:rPr>
          <w:bCs/>
          <w:lang w:eastAsia="en-US"/>
        </w:rPr>
        <w:tab/>
      </w:r>
      <w:r w:rsidRPr="00970AD4">
        <w:rPr>
          <w:bCs/>
          <w:lang w:eastAsia="en-US"/>
        </w:rPr>
        <w:tab/>
        <w:t>Amend sub-paragraphs (b) and (c) to read as follows:</w:t>
      </w:r>
    </w:p>
    <w:p w14:paraId="28E73336" w14:textId="77777777" w:rsidR="00970AD4" w:rsidRPr="00970AD4" w:rsidRDefault="00970AD4" w:rsidP="00970AD4">
      <w:pPr>
        <w:tabs>
          <w:tab w:val="left" w:pos="2835"/>
        </w:tabs>
        <w:snapToGrid w:val="0"/>
        <w:spacing w:before="120" w:after="120" w:line="240" w:lineRule="auto"/>
        <w:ind w:left="2835" w:right="1134" w:hanging="567"/>
        <w:jc w:val="both"/>
        <w:rPr>
          <w:bCs/>
          <w:lang w:eastAsia="en-US"/>
        </w:rPr>
      </w:pPr>
      <w:r w:rsidRPr="00970AD4">
        <w:rPr>
          <w:bCs/>
          <w:lang w:eastAsia="en-US"/>
        </w:rPr>
        <w:t xml:space="preserve">“(b) </w:t>
      </w:r>
      <w:r w:rsidRPr="00970AD4">
        <w:rPr>
          <w:bCs/>
          <w:lang w:eastAsia="en-US"/>
        </w:rPr>
        <w:tab/>
        <w:t>Valves are protected by caps or guards. Caps shall possess vent-holes of sufficient cross-sectional area to evacuate the gas if leakage occurs at the valves;</w:t>
      </w:r>
    </w:p>
    <w:p w14:paraId="48A4777B" w14:textId="77777777" w:rsidR="00970AD4" w:rsidRPr="00970AD4" w:rsidRDefault="00970AD4" w:rsidP="00970AD4">
      <w:pPr>
        <w:tabs>
          <w:tab w:val="left" w:pos="2835"/>
        </w:tabs>
        <w:snapToGrid w:val="0"/>
        <w:spacing w:before="120" w:after="120" w:line="240" w:lineRule="auto"/>
        <w:ind w:left="2835" w:right="1134" w:hanging="567"/>
        <w:jc w:val="both"/>
        <w:rPr>
          <w:bCs/>
          <w:lang w:eastAsia="en-US"/>
        </w:rPr>
      </w:pPr>
      <w:r w:rsidRPr="00970AD4">
        <w:rPr>
          <w:bCs/>
          <w:lang w:eastAsia="en-US"/>
        </w:rPr>
        <w:t xml:space="preserve">(c) </w:t>
      </w:r>
      <w:r w:rsidRPr="00970AD4">
        <w:rPr>
          <w:bCs/>
          <w:lang w:eastAsia="en-US"/>
        </w:rPr>
        <w:tab/>
        <w:t>Valves are protected by shrouds or permanent protection attachments;”</w:t>
      </w:r>
    </w:p>
    <w:p w14:paraId="590DEB40"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0606C96D" w14:textId="1375ADE7" w:rsidR="00970AD4" w:rsidRPr="00970AD4" w:rsidRDefault="00970AD4" w:rsidP="00970AD4">
      <w:pPr>
        <w:snapToGrid w:val="0"/>
        <w:spacing w:before="120" w:after="120" w:line="240" w:lineRule="auto"/>
        <w:ind w:left="2268" w:right="1134" w:hanging="1134"/>
        <w:rPr>
          <w:bCs/>
          <w:lang w:eastAsia="en-US"/>
        </w:rPr>
      </w:pPr>
      <w:r w:rsidRPr="00970AD4">
        <w:rPr>
          <w:bCs/>
          <w:lang w:eastAsia="en-US"/>
        </w:rPr>
        <w:t>4.1.6.15</w:t>
      </w:r>
      <w:r w:rsidRPr="00970AD4">
        <w:rPr>
          <w:bCs/>
          <w:lang w:eastAsia="en-US"/>
        </w:rPr>
        <w:tab/>
        <w:t>In ECE/TRANS/WP.15/251, Annex I, replace Table 1 to read as follows:</w:t>
      </w:r>
    </w:p>
    <w:p w14:paraId="4D69FF89" w14:textId="77777777" w:rsidR="00970AD4" w:rsidRPr="00970AD4" w:rsidRDefault="00970AD4" w:rsidP="00970AD4">
      <w:pPr>
        <w:tabs>
          <w:tab w:val="left" w:pos="2977"/>
          <w:tab w:val="left" w:pos="4395"/>
        </w:tabs>
        <w:snapToGrid w:val="0"/>
        <w:spacing w:before="120" w:after="120" w:line="240" w:lineRule="auto"/>
        <w:ind w:left="2836" w:hanging="1702"/>
        <w:rPr>
          <w:bCs/>
          <w:lang w:eastAsia="en-US"/>
        </w:rPr>
      </w:pPr>
      <w:r w:rsidRPr="00970AD4">
        <w:rPr>
          <w:bCs/>
          <w:lang w:eastAsia="en-US"/>
        </w:rPr>
        <w:t>“Table 1: Standards for UN and non-UN pressure receptacles</w:t>
      </w:r>
    </w:p>
    <w:tbl>
      <w:tblPr>
        <w:tblW w:w="864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9"/>
        <w:gridCol w:w="1767"/>
        <w:gridCol w:w="5669"/>
      </w:tblGrid>
      <w:tr w:rsidR="00970AD4" w:rsidRPr="00970AD4" w14:paraId="0D931B80" w14:textId="77777777" w:rsidTr="003D2F4B">
        <w:trPr>
          <w:cantSplit/>
          <w:tblHeader/>
        </w:trPr>
        <w:tc>
          <w:tcPr>
            <w:tcW w:w="1209" w:type="dxa"/>
          </w:tcPr>
          <w:p w14:paraId="767D19A9" w14:textId="77777777" w:rsidR="00970AD4" w:rsidRPr="00970AD4" w:rsidRDefault="00970AD4" w:rsidP="00970AD4">
            <w:pPr>
              <w:ind w:right="55"/>
              <w:rPr>
                <w:bCs/>
                <w:lang w:eastAsia="en-US"/>
              </w:rPr>
            </w:pPr>
            <w:r w:rsidRPr="00970AD4">
              <w:rPr>
                <w:bCs/>
                <w:lang w:eastAsia="en-US"/>
              </w:rPr>
              <w:lastRenderedPageBreak/>
              <w:t>Applicable</w:t>
            </w:r>
            <w:r w:rsidRPr="00970AD4">
              <w:rPr>
                <w:bCs/>
                <w:lang w:eastAsia="en-US"/>
              </w:rPr>
              <w:br/>
              <w:t>paragraphs</w:t>
            </w:r>
          </w:p>
        </w:tc>
        <w:tc>
          <w:tcPr>
            <w:tcW w:w="1767" w:type="dxa"/>
          </w:tcPr>
          <w:p w14:paraId="384E6201" w14:textId="77777777" w:rsidR="00970AD4" w:rsidRPr="00970AD4" w:rsidRDefault="00970AD4" w:rsidP="00970AD4">
            <w:pPr>
              <w:ind w:right="55"/>
              <w:rPr>
                <w:bCs/>
                <w:lang w:eastAsia="en-US"/>
              </w:rPr>
            </w:pPr>
            <w:r w:rsidRPr="00970AD4">
              <w:rPr>
                <w:bCs/>
                <w:lang w:eastAsia="en-US"/>
              </w:rPr>
              <w:t>Reference</w:t>
            </w:r>
          </w:p>
        </w:tc>
        <w:tc>
          <w:tcPr>
            <w:tcW w:w="5669" w:type="dxa"/>
          </w:tcPr>
          <w:p w14:paraId="321292B6" w14:textId="77777777" w:rsidR="00970AD4" w:rsidRPr="00970AD4" w:rsidRDefault="00970AD4" w:rsidP="00970AD4">
            <w:pPr>
              <w:ind w:right="55"/>
              <w:rPr>
                <w:bCs/>
                <w:lang w:eastAsia="en-US"/>
              </w:rPr>
            </w:pPr>
            <w:r w:rsidRPr="00970AD4">
              <w:rPr>
                <w:bCs/>
                <w:lang w:eastAsia="en-US"/>
              </w:rPr>
              <w:t>Title of document</w:t>
            </w:r>
          </w:p>
        </w:tc>
      </w:tr>
      <w:tr w:rsidR="00970AD4" w:rsidRPr="00970AD4" w14:paraId="1D38C481" w14:textId="77777777" w:rsidTr="003D2F4B">
        <w:trPr>
          <w:cantSplit/>
        </w:trPr>
        <w:tc>
          <w:tcPr>
            <w:tcW w:w="1209" w:type="dxa"/>
            <w:vMerge w:val="restart"/>
          </w:tcPr>
          <w:p w14:paraId="5F92A6A2" w14:textId="77777777" w:rsidR="00970AD4" w:rsidRPr="00970AD4" w:rsidRDefault="00970AD4" w:rsidP="00970AD4">
            <w:pPr>
              <w:widowControl w:val="0"/>
              <w:tabs>
                <w:tab w:val="left" w:pos="1418"/>
                <w:tab w:val="left" w:pos="1843"/>
              </w:tabs>
              <w:rPr>
                <w:lang w:eastAsia="en-US"/>
              </w:rPr>
            </w:pPr>
            <w:r w:rsidRPr="00970AD4">
              <w:rPr>
                <w:lang w:eastAsia="en-US"/>
              </w:rPr>
              <w:t>4.1.6.2</w:t>
            </w:r>
          </w:p>
        </w:tc>
        <w:tc>
          <w:tcPr>
            <w:tcW w:w="1767" w:type="dxa"/>
          </w:tcPr>
          <w:p w14:paraId="180F8A58" w14:textId="77777777" w:rsidR="00970AD4" w:rsidRPr="00970AD4" w:rsidRDefault="00970AD4" w:rsidP="00970AD4">
            <w:pPr>
              <w:widowControl w:val="0"/>
              <w:tabs>
                <w:tab w:val="left" w:pos="1418"/>
                <w:tab w:val="left" w:pos="1843"/>
              </w:tabs>
              <w:rPr>
                <w:lang w:eastAsia="en-US"/>
              </w:rPr>
            </w:pPr>
            <w:r w:rsidRPr="00970AD4">
              <w:rPr>
                <w:lang w:eastAsia="en-US"/>
              </w:rPr>
              <w:t>EN ISO 11114-1:2020</w:t>
            </w:r>
          </w:p>
        </w:tc>
        <w:tc>
          <w:tcPr>
            <w:tcW w:w="5669" w:type="dxa"/>
          </w:tcPr>
          <w:p w14:paraId="273AFE41" w14:textId="77777777" w:rsidR="00970AD4" w:rsidRPr="00970AD4" w:rsidRDefault="00970AD4" w:rsidP="00970AD4">
            <w:pPr>
              <w:rPr>
                <w:lang w:eastAsia="en-US"/>
              </w:rPr>
            </w:pPr>
            <w:r w:rsidRPr="00970AD4">
              <w:rPr>
                <w:lang w:eastAsia="en-US"/>
              </w:rPr>
              <w:t>Gas cylinders – Compatibility of cylinder and valve materials with gas contents – Part 1: Metallic materials</w:t>
            </w:r>
          </w:p>
        </w:tc>
      </w:tr>
      <w:tr w:rsidR="00970AD4" w:rsidRPr="00970AD4" w14:paraId="0622A087" w14:textId="77777777" w:rsidTr="003D2F4B">
        <w:trPr>
          <w:cantSplit/>
        </w:trPr>
        <w:tc>
          <w:tcPr>
            <w:tcW w:w="1209" w:type="dxa"/>
            <w:vMerge/>
          </w:tcPr>
          <w:p w14:paraId="25D747E1" w14:textId="77777777" w:rsidR="00970AD4" w:rsidRPr="00970AD4" w:rsidRDefault="00970AD4" w:rsidP="00970AD4">
            <w:pPr>
              <w:widowControl w:val="0"/>
              <w:tabs>
                <w:tab w:val="left" w:pos="1418"/>
                <w:tab w:val="left" w:pos="1843"/>
              </w:tabs>
              <w:rPr>
                <w:lang w:eastAsia="en-US"/>
              </w:rPr>
            </w:pPr>
          </w:p>
        </w:tc>
        <w:tc>
          <w:tcPr>
            <w:tcW w:w="1767" w:type="dxa"/>
          </w:tcPr>
          <w:p w14:paraId="4EED535C" w14:textId="77777777" w:rsidR="00970AD4" w:rsidRPr="00970AD4" w:rsidRDefault="00970AD4" w:rsidP="00970AD4">
            <w:pPr>
              <w:widowControl w:val="0"/>
              <w:tabs>
                <w:tab w:val="left" w:pos="1418"/>
                <w:tab w:val="left" w:pos="1843"/>
              </w:tabs>
              <w:rPr>
                <w:lang w:eastAsia="en-US"/>
              </w:rPr>
            </w:pPr>
            <w:r w:rsidRPr="00970AD4">
              <w:rPr>
                <w:lang w:eastAsia="en-US"/>
              </w:rPr>
              <w:t>EN ISO 11114-2:2013</w:t>
            </w:r>
          </w:p>
        </w:tc>
        <w:tc>
          <w:tcPr>
            <w:tcW w:w="5669" w:type="dxa"/>
          </w:tcPr>
          <w:p w14:paraId="01A3DB59" w14:textId="77777777" w:rsidR="00970AD4" w:rsidRPr="00970AD4" w:rsidRDefault="00970AD4" w:rsidP="00970AD4">
            <w:pPr>
              <w:rPr>
                <w:lang w:eastAsia="en-US"/>
              </w:rPr>
            </w:pPr>
            <w:r w:rsidRPr="00970AD4">
              <w:rPr>
                <w:lang w:eastAsia="en-US"/>
              </w:rPr>
              <w:t>Gas cylinders – Compatibility of cylinder and valve materials with gas contents – Part 2: Non-metallic materials</w:t>
            </w:r>
          </w:p>
        </w:tc>
      </w:tr>
      <w:tr w:rsidR="00970AD4" w:rsidRPr="00970AD4" w14:paraId="3A79FD42" w14:textId="77777777" w:rsidTr="003D2F4B">
        <w:trPr>
          <w:cantSplit/>
        </w:trPr>
        <w:tc>
          <w:tcPr>
            <w:tcW w:w="1209" w:type="dxa"/>
          </w:tcPr>
          <w:p w14:paraId="7975218C" w14:textId="77777777" w:rsidR="00970AD4" w:rsidRPr="00970AD4" w:rsidRDefault="00970AD4" w:rsidP="00970AD4">
            <w:pPr>
              <w:widowControl w:val="0"/>
              <w:tabs>
                <w:tab w:val="left" w:pos="1418"/>
                <w:tab w:val="left" w:pos="1843"/>
              </w:tabs>
              <w:rPr>
                <w:lang w:eastAsia="en-US"/>
              </w:rPr>
            </w:pPr>
            <w:r w:rsidRPr="00970AD4">
              <w:rPr>
                <w:lang w:eastAsia="en-US"/>
              </w:rPr>
              <w:t>4.1.6.4</w:t>
            </w:r>
          </w:p>
        </w:tc>
        <w:tc>
          <w:tcPr>
            <w:tcW w:w="1767" w:type="dxa"/>
          </w:tcPr>
          <w:p w14:paraId="1D9500A4" w14:textId="77777777" w:rsidR="00970AD4" w:rsidRPr="00970AD4" w:rsidRDefault="00970AD4" w:rsidP="00970AD4">
            <w:pPr>
              <w:widowControl w:val="0"/>
              <w:tabs>
                <w:tab w:val="left" w:pos="1418"/>
                <w:tab w:val="left" w:pos="1843"/>
              </w:tabs>
              <w:rPr>
                <w:rFonts w:cs="Arial"/>
                <w:szCs w:val="22"/>
                <w:lang w:eastAsia="en-US"/>
              </w:rPr>
            </w:pPr>
            <w:r w:rsidRPr="00970AD4">
              <w:rPr>
                <w:lang w:eastAsia="en-US"/>
              </w:rPr>
              <w:t>ISO 11621:1997 or EN ISO 11621:2005</w:t>
            </w:r>
          </w:p>
        </w:tc>
        <w:tc>
          <w:tcPr>
            <w:tcW w:w="5669" w:type="dxa"/>
          </w:tcPr>
          <w:p w14:paraId="784642B4" w14:textId="77777777" w:rsidR="00970AD4" w:rsidRPr="00970AD4" w:rsidRDefault="00970AD4" w:rsidP="00970AD4">
            <w:pPr>
              <w:widowControl w:val="0"/>
              <w:tabs>
                <w:tab w:val="left" w:pos="1418"/>
                <w:tab w:val="left" w:pos="1843"/>
              </w:tabs>
              <w:rPr>
                <w:lang w:eastAsia="en-US"/>
              </w:rPr>
            </w:pPr>
            <w:r w:rsidRPr="00970AD4">
              <w:rPr>
                <w:lang w:eastAsia="en-US"/>
              </w:rPr>
              <w:t>Gas cylinders – Procedures for change of gas service</w:t>
            </w:r>
          </w:p>
        </w:tc>
      </w:tr>
      <w:tr w:rsidR="00970AD4" w:rsidRPr="00970AD4" w14:paraId="108AA370" w14:textId="77777777" w:rsidTr="003D2F4B">
        <w:trPr>
          <w:cantSplit/>
        </w:trPr>
        <w:tc>
          <w:tcPr>
            <w:tcW w:w="1209" w:type="dxa"/>
            <w:vMerge w:val="restart"/>
          </w:tcPr>
          <w:p w14:paraId="74F5AF34" w14:textId="77777777" w:rsidR="00970AD4" w:rsidRPr="00970AD4" w:rsidRDefault="00970AD4" w:rsidP="00970AD4">
            <w:pPr>
              <w:widowControl w:val="0"/>
              <w:tabs>
                <w:tab w:val="left" w:pos="1418"/>
                <w:tab w:val="left" w:pos="1843"/>
              </w:tabs>
              <w:rPr>
                <w:lang w:eastAsia="en-US"/>
              </w:rPr>
            </w:pPr>
            <w:r w:rsidRPr="00970AD4">
              <w:rPr>
                <w:lang w:eastAsia="en-US"/>
              </w:rPr>
              <w:t>4.1.6.8</w:t>
            </w:r>
          </w:p>
          <w:p w14:paraId="104F631E" w14:textId="77777777" w:rsidR="00970AD4" w:rsidRPr="00970AD4" w:rsidRDefault="00970AD4" w:rsidP="00970AD4">
            <w:pPr>
              <w:ind w:right="55"/>
              <w:rPr>
                <w:lang w:eastAsia="en-US"/>
              </w:rPr>
            </w:pPr>
            <w:r w:rsidRPr="00970AD4">
              <w:rPr>
                <w:lang w:eastAsia="en-US"/>
              </w:rPr>
              <w:t>Valves with inherent protection</w:t>
            </w:r>
          </w:p>
        </w:tc>
        <w:tc>
          <w:tcPr>
            <w:tcW w:w="1767" w:type="dxa"/>
          </w:tcPr>
          <w:p w14:paraId="509A27E0" w14:textId="77777777" w:rsidR="00970AD4" w:rsidRPr="00970AD4" w:rsidRDefault="00970AD4" w:rsidP="00970AD4">
            <w:pPr>
              <w:ind w:right="55"/>
              <w:rPr>
                <w:lang w:eastAsia="en-US"/>
              </w:rPr>
            </w:pPr>
            <w:r w:rsidRPr="00970AD4">
              <w:rPr>
                <w:lang w:eastAsia="en-US"/>
              </w:rPr>
              <w:t>Clause 4.6.2 of EN ISO 10297:2006 or clause 5.5.2 of EN ISO 10297:2014 or clause 5.5.2 of EN ISO 10297:2014 + A1:2017</w:t>
            </w:r>
          </w:p>
        </w:tc>
        <w:tc>
          <w:tcPr>
            <w:tcW w:w="5669" w:type="dxa"/>
          </w:tcPr>
          <w:p w14:paraId="44F89C22" w14:textId="77777777" w:rsidR="00970AD4" w:rsidRPr="00970AD4" w:rsidRDefault="00970AD4" w:rsidP="00970AD4">
            <w:pPr>
              <w:ind w:right="55"/>
              <w:rPr>
                <w:lang w:eastAsia="en-US"/>
              </w:rPr>
            </w:pPr>
            <w:r w:rsidRPr="00970AD4">
              <w:rPr>
                <w:lang w:eastAsia="en-US"/>
              </w:rPr>
              <w:t>Gas cylinders – Cylinder valves – Specification and type testing</w:t>
            </w:r>
          </w:p>
        </w:tc>
      </w:tr>
      <w:tr w:rsidR="00970AD4" w:rsidRPr="00970AD4" w14:paraId="2DC00F88" w14:textId="77777777" w:rsidTr="003D2F4B">
        <w:trPr>
          <w:cantSplit/>
        </w:trPr>
        <w:tc>
          <w:tcPr>
            <w:tcW w:w="1209" w:type="dxa"/>
            <w:vMerge/>
          </w:tcPr>
          <w:p w14:paraId="31ACC66C" w14:textId="77777777" w:rsidR="00970AD4" w:rsidRPr="00970AD4" w:rsidRDefault="00970AD4" w:rsidP="00970AD4">
            <w:pPr>
              <w:widowControl w:val="0"/>
              <w:tabs>
                <w:tab w:val="left" w:pos="1418"/>
                <w:tab w:val="left" w:pos="1843"/>
              </w:tabs>
              <w:rPr>
                <w:lang w:eastAsia="en-US"/>
              </w:rPr>
            </w:pPr>
          </w:p>
        </w:tc>
        <w:tc>
          <w:tcPr>
            <w:tcW w:w="1767" w:type="dxa"/>
          </w:tcPr>
          <w:p w14:paraId="4C44E2B1" w14:textId="77777777" w:rsidR="00970AD4" w:rsidRPr="00970AD4" w:rsidRDefault="00970AD4" w:rsidP="00970AD4">
            <w:pPr>
              <w:ind w:right="55"/>
              <w:rPr>
                <w:lang w:eastAsia="en-US"/>
              </w:rPr>
            </w:pPr>
            <w:r w:rsidRPr="00970AD4">
              <w:rPr>
                <w:lang w:eastAsia="en-US"/>
              </w:rPr>
              <w:t>Clause 5.3.8 of EN 13152:2001 + A1:2003</w:t>
            </w:r>
          </w:p>
        </w:tc>
        <w:tc>
          <w:tcPr>
            <w:tcW w:w="5669" w:type="dxa"/>
          </w:tcPr>
          <w:p w14:paraId="09B988C1" w14:textId="77777777" w:rsidR="00970AD4" w:rsidRPr="00970AD4" w:rsidRDefault="00970AD4" w:rsidP="00970AD4">
            <w:pPr>
              <w:ind w:right="55"/>
              <w:rPr>
                <w:lang w:eastAsia="en-US"/>
              </w:rPr>
            </w:pPr>
            <w:r w:rsidRPr="00970AD4">
              <w:rPr>
                <w:lang w:eastAsia="en-US"/>
              </w:rPr>
              <w:t>Testing and specifications of LPG cylinder valves – Self-closing</w:t>
            </w:r>
          </w:p>
        </w:tc>
      </w:tr>
      <w:tr w:rsidR="00970AD4" w:rsidRPr="00970AD4" w14:paraId="62216F16" w14:textId="77777777" w:rsidTr="003D2F4B">
        <w:trPr>
          <w:cantSplit/>
        </w:trPr>
        <w:tc>
          <w:tcPr>
            <w:tcW w:w="1209" w:type="dxa"/>
            <w:vMerge/>
          </w:tcPr>
          <w:p w14:paraId="3C20AFD2" w14:textId="77777777" w:rsidR="00970AD4" w:rsidRPr="00970AD4" w:rsidRDefault="00970AD4" w:rsidP="00970AD4">
            <w:pPr>
              <w:widowControl w:val="0"/>
              <w:tabs>
                <w:tab w:val="left" w:pos="1418"/>
                <w:tab w:val="left" w:pos="1843"/>
              </w:tabs>
              <w:rPr>
                <w:lang w:eastAsia="en-US"/>
              </w:rPr>
            </w:pPr>
          </w:p>
        </w:tc>
        <w:tc>
          <w:tcPr>
            <w:tcW w:w="1767" w:type="dxa"/>
          </w:tcPr>
          <w:p w14:paraId="4D05D5D8" w14:textId="77777777" w:rsidR="00970AD4" w:rsidRPr="00970AD4" w:rsidRDefault="00970AD4" w:rsidP="00970AD4">
            <w:pPr>
              <w:ind w:right="55"/>
              <w:rPr>
                <w:lang w:eastAsia="en-US"/>
              </w:rPr>
            </w:pPr>
            <w:r w:rsidRPr="00970AD4">
              <w:rPr>
                <w:lang w:eastAsia="en-US"/>
              </w:rPr>
              <w:t>Clause 5.3.7 of EN 13153:2001 + A1:2003</w:t>
            </w:r>
          </w:p>
        </w:tc>
        <w:tc>
          <w:tcPr>
            <w:tcW w:w="5669" w:type="dxa"/>
          </w:tcPr>
          <w:p w14:paraId="73E98F0A" w14:textId="77777777" w:rsidR="00970AD4" w:rsidRPr="00970AD4" w:rsidRDefault="00970AD4" w:rsidP="00970AD4">
            <w:pPr>
              <w:ind w:right="55"/>
              <w:rPr>
                <w:lang w:eastAsia="en-US"/>
              </w:rPr>
            </w:pPr>
            <w:r w:rsidRPr="00970AD4">
              <w:rPr>
                <w:lang w:eastAsia="en-US"/>
              </w:rPr>
              <w:t>Specifications and testing of LPG cylinder valves – Manually operated</w:t>
            </w:r>
          </w:p>
        </w:tc>
      </w:tr>
      <w:tr w:rsidR="00970AD4" w:rsidRPr="00970AD4" w14:paraId="40796929" w14:textId="77777777" w:rsidTr="003D2F4B">
        <w:trPr>
          <w:cantSplit/>
        </w:trPr>
        <w:tc>
          <w:tcPr>
            <w:tcW w:w="1209" w:type="dxa"/>
            <w:vMerge/>
          </w:tcPr>
          <w:p w14:paraId="37AF93F5" w14:textId="77777777" w:rsidR="00970AD4" w:rsidRPr="00970AD4" w:rsidRDefault="00970AD4" w:rsidP="00970AD4">
            <w:pPr>
              <w:widowControl w:val="0"/>
              <w:tabs>
                <w:tab w:val="left" w:pos="1418"/>
                <w:tab w:val="left" w:pos="1843"/>
              </w:tabs>
              <w:rPr>
                <w:lang w:eastAsia="en-US"/>
              </w:rPr>
            </w:pPr>
          </w:p>
        </w:tc>
        <w:tc>
          <w:tcPr>
            <w:tcW w:w="1767" w:type="dxa"/>
          </w:tcPr>
          <w:p w14:paraId="65CBE63C" w14:textId="77777777" w:rsidR="00970AD4" w:rsidRPr="00970AD4" w:rsidRDefault="00970AD4" w:rsidP="00970AD4">
            <w:pPr>
              <w:ind w:right="55"/>
              <w:rPr>
                <w:lang w:eastAsia="en-US"/>
              </w:rPr>
            </w:pPr>
            <w:r w:rsidRPr="00970AD4">
              <w:rPr>
                <w:lang w:eastAsia="en-US"/>
              </w:rPr>
              <w:t>Clause 5.9 of EN ISO 14245:2010 or clause 5</w:t>
            </w:r>
            <w:r w:rsidRPr="00970AD4">
              <w:rPr>
                <w:bCs/>
                <w:lang w:eastAsia="en-US"/>
              </w:rPr>
              <w:t>.</w:t>
            </w:r>
            <w:r w:rsidRPr="00970AD4">
              <w:rPr>
                <w:lang w:eastAsia="en-US"/>
              </w:rPr>
              <w:t>9 of EN ISO 14245:2019</w:t>
            </w:r>
          </w:p>
        </w:tc>
        <w:tc>
          <w:tcPr>
            <w:tcW w:w="5669" w:type="dxa"/>
          </w:tcPr>
          <w:p w14:paraId="5A4C6988" w14:textId="77777777" w:rsidR="00970AD4" w:rsidRPr="00970AD4" w:rsidRDefault="00970AD4" w:rsidP="00970AD4">
            <w:pPr>
              <w:ind w:right="55"/>
              <w:rPr>
                <w:lang w:eastAsia="en-US"/>
              </w:rPr>
            </w:pPr>
            <w:r w:rsidRPr="00970AD4">
              <w:rPr>
                <w:lang w:eastAsia="en-US"/>
              </w:rPr>
              <w:t>Gas cylinders – Specifications and testing of LPG cylinder valves – Self-closing</w:t>
            </w:r>
          </w:p>
        </w:tc>
      </w:tr>
      <w:tr w:rsidR="00970AD4" w:rsidRPr="00970AD4" w14:paraId="3D49580B" w14:textId="77777777" w:rsidTr="003D2F4B">
        <w:trPr>
          <w:cantSplit/>
        </w:trPr>
        <w:tc>
          <w:tcPr>
            <w:tcW w:w="1209" w:type="dxa"/>
            <w:vMerge/>
          </w:tcPr>
          <w:p w14:paraId="0CC4332C" w14:textId="77777777" w:rsidR="00970AD4" w:rsidRPr="00970AD4" w:rsidRDefault="00970AD4" w:rsidP="00970AD4">
            <w:pPr>
              <w:widowControl w:val="0"/>
              <w:tabs>
                <w:tab w:val="left" w:pos="1418"/>
                <w:tab w:val="left" w:pos="1843"/>
              </w:tabs>
              <w:rPr>
                <w:lang w:eastAsia="en-US"/>
              </w:rPr>
            </w:pPr>
          </w:p>
        </w:tc>
        <w:tc>
          <w:tcPr>
            <w:tcW w:w="1767" w:type="dxa"/>
          </w:tcPr>
          <w:p w14:paraId="5DEBDA53" w14:textId="77777777" w:rsidR="00970AD4" w:rsidRPr="00970AD4" w:rsidRDefault="00970AD4" w:rsidP="00970AD4">
            <w:pPr>
              <w:ind w:right="55"/>
              <w:rPr>
                <w:lang w:eastAsia="en-US"/>
              </w:rPr>
            </w:pPr>
            <w:r w:rsidRPr="00970AD4">
              <w:rPr>
                <w:lang w:eastAsia="en-US"/>
              </w:rPr>
              <w:t>Clause 5.10 of EN ISO 15995:2010 or clause 5.10 of EN ISO 15995:2019</w:t>
            </w:r>
          </w:p>
        </w:tc>
        <w:tc>
          <w:tcPr>
            <w:tcW w:w="5669" w:type="dxa"/>
          </w:tcPr>
          <w:p w14:paraId="3C239CF6" w14:textId="77777777" w:rsidR="00970AD4" w:rsidRPr="00970AD4" w:rsidRDefault="00970AD4" w:rsidP="00970AD4">
            <w:pPr>
              <w:ind w:right="55"/>
              <w:rPr>
                <w:lang w:eastAsia="en-US"/>
              </w:rPr>
            </w:pPr>
            <w:r w:rsidRPr="00970AD4">
              <w:rPr>
                <w:lang w:eastAsia="en-US"/>
              </w:rPr>
              <w:t>Gas cylinders – Specifications and testing of LPG cylinder valves – Manually operated</w:t>
            </w:r>
          </w:p>
        </w:tc>
      </w:tr>
      <w:tr w:rsidR="00970AD4" w:rsidRPr="00970AD4" w14:paraId="4DAB45FD" w14:textId="77777777" w:rsidTr="003D2F4B">
        <w:trPr>
          <w:cantSplit/>
        </w:trPr>
        <w:tc>
          <w:tcPr>
            <w:tcW w:w="1209" w:type="dxa"/>
            <w:vMerge/>
            <w:tcBorders>
              <w:bottom w:val="nil"/>
            </w:tcBorders>
          </w:tcPr>
          <w:p w14:paraId="41C36D32" w14:textId="77777777" w:rsidR="00970AD4" w:rsidRPr="00970AD4" w:rsidRDefault="00970AD4" w:rsidP="00970AD4">
            <w:pPr>
              <w:widowControl w:val="0"/>
              <w:tabs>
                <w:tab w:val="left" w:pos="1418"/>
                <w:tab w:val="left" w:pos="1843"/>
              </w:tabs>
              <w:rPr>
                <w:lang w:eastAsia="en-US"/>
              </w:rPr>
            </w:pPr>
          </w:p>
        </w:tc>
        <w:tc>
          <w:tcPr>
            <w:tcW w:w="1767" w:type="dxa"/>
          </w:tcPr>
          <w:p w14:paraId="0140F0C8" w14:textId="77777777" w:rsidR="00970AD4" w:rsidRPr="00970AD4" w:rsidRDefault="00970AD4" w:rsidP="00970AD4">
            <w:pPr>
              <w:ind w:right="55"/>
              <w:rPr>
                <w:lang w:eastAsia="en-US"/>
              </w:rPr>
            </w:pPr>
            <w:r w:rsidRPr="00970AD4">
              <w:rPr>
                <w:lang w:eastAsia="en-US"/>
              </w:rPr>
              <w:t>Clause 5.4.2 of EN ISO 17879:2017</w:t>
            </w:r>
          </w:p>
        </w:tc>
        <w:tc>
          <w:tcPr>
            <w:tcW w:w="5669" w:type="dxa"/>
          </w:tcPr>
          <w:p w14:paraId="3361E56D" w14:textId="77777777" w:rsidR="00970AD4" w:rsidRPr="00970AD4" w:rsidRDefault="00970AD4" w:rsidP="00970AD4">
            <w:pPr>
              <w:ind w:right="55"/>
              <w:rPr>
                <w:lang w:eastAsia="en-US"/>
              </w:rPr>
            </w:pPr>
            <w:r w:rsidRPr="00970AD4">
              <w:rPr>
                <w:lang w:eastAsia="en-US"/>
              </w:rPr>
              <w:t xml:space="preserve">Gas cylinders – Self-closing cylinder valves </w:t>
            </w:r>
            <w:r w:rsidRPr="00970AD4">
              <w:rPr>
                <w:b/>
                <w:bCs/>
                <w:lang w:eastAsia="en-US"/>
              </w:rPr>
              <w:t>–</w:t>
            </w:r>
            <w:r w:rsidRPr="00970AD4">
              <w:rPr>
                <w:lang w:eastAsia="en-US"/>
              </w:rPr>
              <w:t xml:space="preserve"> Specification and type testing</w:t>
            </w:r>
          </w:p>
        </w:tc>
      </w:tr>
      <w:tr w:rsidR="00970AD4" w:rsidRPr="00970AD4" w14:paraId="10A76D07" w14:textId="77777777" w:rsidTr="003D2F4B">
        <w:trPr>
          <w:cantSplit/>
        </w:trPr>
        <w:tc>
          <w:tcPr>
            <w:tcW w:w="1209" w:type="dxa"/>
            <w:tcBorders>
              <w:top w:val="nil"/>
            </w:tcBorders>
          </w:tcPr>
          <w:p w14:paraId="3EA8D383" w14:textId="77777777" w:rsidR="00970AD4" w:rsidRPr="00970AD4" w:rsidRDefault="00970AD4" w:rsidP="00970AD4">
            <w:pPr>
              <w:widowControl w:val="0"/>
              <w:tabs>
                <w:tab w:val="left" w:pos="1418"/>
                <w:tab w:val="left" w:pos="1843"/>
              </w:tabs>
              <w:rPr>
                <w:lang w:eastAsia="en-US"/>
              </w:rPr>
            </w:pPr>
          </w:p>
        </w:tc>
        <w:tc>
          <w:tcPr>
            <w:tcW w:w="1767" w:type="dxa"/>
          </w:tcPr>
          <w:p w14:paraId="6DC72D97" w14:textId="77777777" w:rsidR="00970AD4" w:rsidRPr="00970AD4" w:rsidRDefault="00970AD4" w:rsidP="00970AD4">
            <w:pPr>
              <w:ind w:right="55"/>
              <w:rPr>
                <w:iCs/>
                <w:lang w:eastAsia="en-US"/>
              </w:rPr>
            </w:pPr>
            <w:r w:rsidRPr="00970AD4">
              <w:rPr>
                <w:iCs/>
                <w:lang w:eastAsia="en-US"/>
              </w:rPr>
              <w:t>Clause 7.4 of EN 12205:2001 or clause 9.2.5 of EN ISO 11118:2015 or clause 9.2.5 of EN ISO 11118:2015 + A1:2020</w:t>
            </w:r>
          </w:p>
        </w:tc>
        <w:tc>
          <w:tcPr>
            <w:tcW w:w="5669" w:type="dxa"/>
          </w:tcPr>
          <w:p w14:paraId="0D2CF45E" w14:textId="77777777" w:rsidR="00970AD4" w:rsidRPr="00970AD4" w:rsidRDefault="00970AD4" w:rsidP="00970AD4">
            <w:pPr>
              <w:ind w:right="55"/>
              <w:rPr>
                <w:iCs/>
                <w:lang w:eastAsia="en-US"/>
              </w:rPr>
            </w:pPr>
            <w:r w:rsidRPr="00970AD4">
              <w:rPr>
                <w:iCs/>
                <w:lang w:eastAsia="en-US"/>
              </w:rPr>
              <w:t>Gas cylinders – Non-refillable metallic gas cylinders – Specification and test methods</w:t>
            </w:r>
          </w:p>
        </w:tc>
      </w:tr>
      <w:tr w:rsidR="00970AD4" w:rsidRPr="00970AD4" w14:paraId="65198A72" w14:textId="77777777" w:rsidTr="003D2F4B">
        <w:trPr>
          <w:cantSplit/>
        </w:trPr>
        <w:tc>
          <w:tcPr>
            <w:tcW w:w="1209" w:type="dxa"/>
            <w:vMerge w:val="restart"/>
          </w:tcPr>
          <w:p w14:paraId="020E65D6" w14:textId="77777777" w:rsidR="00970AD4" w:rsidRPr="00970AD4" w:rsidRDefault="00970AD4" w:rsidP="00970AD4">
            <w:pPr>
              <w:widowControl w:val="0"/>
              <w:tabs>
                <w:tab w:val="left" w:pos="1418"/>
                <w:tab w:val="left" w:pos="1843"/>
              </w:tabs>
              <w:rPr>
                <w:lang w:eastAsia="en-US"/>
              </w:rPr>
            </w:pPr>
            <w:r w:rsidRPr="00970AD4">
              <w:rPr>
                <w:lang w:eastAsia="en-US"/>
              </w:rPr>
              <w:t>4.1.6.8 (b)</w:t>
            </w:r>
          </w:p>
        </w:tc>
        <w:tc>
          <w:tcPr>
            <w:tcW w:w="1767" w:type="dxa"/>
          </w:tcPr>
          <w:p w14:paraId="7D65705F" w14:textId="77777777" w:rsidR="00970AD4" w:rsidRPr="00970AD4" w:rsidRDefault="00970AD4" w:rsidP="00970AD4">
            <w:pPr>
              <w:widowControl w:val="0"/>
              <w:tabs>
                <w:tab w:val="left" w:pos="1418"/>
                <w:tab w:val="left" w:pos="1843"/>
              </w:tabs>
              <w:rPr>
                <w:lang w:eastAsia="en-US"/>
              </w:rPr>
            </w:pPr>
            <w:r w:rsidRPr="00970AD4">
              <w:rPr>
                <w:lang w:eastAsia="en-US"/>
              </w:rPr>
              <w:t>ISO 11117:1998 or EN ISO 11117:2008 + Cor 1:2009 or EN ISO 11117:2019</w:t>
            </w:r>
          </w:p>
        </w:tc>
        <w:tc>
          <w:tcPr>
            <w:tcW w:w="5669" w:type="dxa"/>
          </w:tcPr>
          <w:p w14:paraId="3794DE1B" w14:textId="77777777" w:rsidR="00970AD4" w:rsidRPr="00970AD4" w:rsidRDefault="00970AD4" w:rsidP="00970AD4">
            <w:pPr>
              <w:spacing w:line="240" w:lineRule="auto"/>
              <w:outlineLvl w:val="1"/>
              <w:rPr>
                <w:lang w:eastAsia="en-US"/>
              </w:rPr>
            </w:pPr>
            <w:r w:rsidRPr="00970AD4">
              <w:rPr>
                <w:rFonts w:ascii="ZWAdobeF" w:hAnsi="ZWAdobeF" w:cs="ZWAdobeF"/>
                <w:sz w:val="2"/>
                <w:szCs w:val="2"/>
                <w:lang w:eastAsia="en-US"/>
              </w:rPr>
              <w:t>0B</w:t>
            </w:r>
            <w:r w:rsidRPr="00970AD4">
              <w:rPr>
                <w:lang w:eastAsia="en-US"/>
              </w:rPr>
              <w:t>Gas cylinders – Valve protection caps and guards – Design, construction and tests</w:t>
            </w:r>
          </w:p>
        </w:tc>
      </w:tr>
      <w:tr w:rsidR="00970AD4" w:rsidRPr="00970AD4" w14:paraId="5F11A551" w14:textId="77777777" w:rsidTr="003D2F4B">
        <w:trPr>
          <w:cantSplit/>
        </w:trPr>
        <w:tc>
          <w:tcPr>
            <w:tcW w:w="1209" w:type="dxa"/>
            <w:vMerge/>
          </w:tcPr>
          <w:p w14:paraId="1FE1330C" w14:textId="77777777" w:rsidR="00970AD4" w:rsidRPr="00970AD4" w:rsidRDefault="00970AD4" w:rsidP="00970AD4">
            <w:pPr>
              <w:widowControl w:val="0"/>
              <w:tabs>
                <w:tab w:val="left" w:pos="1418"/>
                <w:tab w:val="left" w:pos="1843"/>
              </w:tabs>
              <w:rPr>
                <w:lang w:eastAsia="en-US"/>
              </w:rPr>
            </w:pPr>
          </w:p>
        </w:tc>
        <w:tc>
          <w:tcPr>
            <w:tcW w:w="1767" w:type="dxa"/>
          </w:tcPr>
          <w:p w14:paraId="1D7021F6" w14:textId="77777777" w:rsidR="00970AD4" w:rsidRPr="00970AD4" w:rsidRDefault="00970AD4" w:rsidP="00970AD4">
            <w:pPr>
              <w:widowControl w:val="0"/>
              <w:tabs>
                <w:tab w:val="left" w:pos="1418"/>
                <w:tab w:val="left" w:pos="1843"/>
              </w:tabs>
              <w:rPr>
                <w:lang w:eastAsia="en-US"/>
              </w:rPr>
            </w:pPr>
            <w:r w:rsidRPr="00970AD4">
              <w:rPr>
                <w:lang w:eastAsia="en-US"/>
              </w:rPr>
              <w:t>EN 962:1996 +</w:t>
            </w:r>
            <w:r w:rsidRPr="00970AD4">
              <w:rPr>
                <w:lang w:eastAsia="en-US"/>
              </w:rPr>
              <w:br/>
              <w:t>A2:2000</w:t>
            </w:r>
          </w:p>
        </w:tc>
        <w:tc>
          <w:tcPr>
            <w:tcW w:w="5669" w:type="dxa"/>
          </w:tcPr>
          <w:p w14:paraId="71D3A298" w14:textId="77777777" w:rsidR="00970AD4" w:rsidRPr="00970AD4" w:rsidRDefault="00970AD4" w:rsidP="00970AD4">
            <w:pPr>
              <w:ind w:right="55"/>
              <w:rPr>
                <w:iCs/>
                <w:lang w:eastAsia="en-US"/>
              </w:rPr>
            </w:pPr>
            <w:r w:rsidRPr="00970AD4">
              <w:rPr>
                <w:iCs/>
                <w:lang w:eastAsia="en-US"/>
              </w:rPr>
              <w:t>Transportable gas cylinders – Valve protection caps and valve guards for industrial and medical gas cylinders – Design, construction and tests</w:t>
            </w:r>
          </w:p>
        </w:tc>
      </w:tr>
      <w:tr w:rsidR="00970AD4" w:rsidRPr="00970AD4" w14:paraId="2D6C7725" w14:textId="77777777" w:rsidTr="003D2F4B">
        <w:trPr>
          <w:cantSplit/>
        </w:trPr>
        <w:tc>
          <w:tcPr>
            <w:tcW w:w="1209" w:type="dxa"/>
          </w:tcPr>
          <w:p w14:paraId="42FFF742" w14:textId="77777777" w:rsidR="00970AD4" w:rsidRPr="00970AD4" w:rsidRDefault="00970AD4" w:rsidP="00970AD4">
            <w:pPr>
              <w:widowControl w:val="0"/>
              <w:tabs>
                <w:tab w:val="left" w:pos="1418"/>
                <w:tab w:val="left" w:pos="1843"/>
              </w:tabs>
              <w:rPr>
                <w:lang w:eastAsia="en-US"/>
              </w:rPr>
            </w:pPr>
            <w:r w:rsidRPr="00970AD4">
              <w:rPr>
                <w:lang w:eastAsia="en-US"/>
              </w:rPr>
              <w:t>4.1.6.8 (c)</w:t>
            </w:r>
          </w:p>
        </w:tc>
        <w:tc>
          <w:tcPr>
            <w:tcW w:w="7436" w:type="dxa"/>
            <w:gridSpan w:val="2"/>
          </w:tcPr>
          <w:p w14:paraId="70BD68DA" w14:textId="77777777" w:rsidR="00970AD4" w:rsidRPr="00970AD4" w:rsidRDefault="00970AD4" w:rsidP="00970AD4">
            <w:pPr>
              <w:tabs>
                <w:tab w:val="left" w:pos="1418"/>
              </w:tabs>
              <w:rPr>
                <w:lang w:eastAsia="en-US"/>
              </w:rPr>
            </w:pPr>
            <w:r w:rsidRPr="00970AD4">
              <w:rPr>
                <w:iCs/>
                <w:lang w:eastAsia="en-US"/>
              </w:rPr>
              <w:t>Requirements for shrouds and permanent protection attachments used as valve protection under 4.1.6.8 (c) are given in the relevant pressure receptacle shell design standards (see 6.2.2.3 for UN pressure receptacles and 6.2.4.1 for non-UN pressure receptacles).</w:t>
            </w:r>
          </w:p>
        </w:tc>
      </w:tr>
      <w:tr w:rsidR="00970AD4" w:rsidRPr="00970AD4" w14:paraId="56C2EF9F" w14:textId="77777777" w:rsidTr="003D2F4B">
        <w:trPr>
          <w:cantSplit/>
        </w:trPr>
        <w:tc>
          <w:tcPr>
            <w:tcW w:w="1209" w:type="dxa"/>
          </w:tcPr>
          <w:p w14:paraId="35239B56" w14:textId="77777777" w:rsidR="00970AD4" w:rsidRPr="00970AD4" w:rsidRDefault="00970AD4" w:rsidP="00970AD4">
            <w:pPr>
              <w:widowControl w:val="0"/>
              <w:tabs>
                <w:tab w:val="left" w:pos="1418"/>
                <w:tab w:val="left" w:pos="1843"/>
              </w:tabs>
              <w:rPr>
                <w:lang w:eastAsia="en-US"/>
              </w:rPr>
            </w:pPr>
            <w:r w:rsidRPr="00970AD4">
              <w:rPr>
                <w:lang w:eastAsia="en-US"/>
              </w:rPr>
              <w:t>4.1.6.8 (b) and (c)</w:t>
            </w:r>
          </w:p>
        </w:tc>
        <w:tc>
          <w:tcPr>
            <w:tcW w:w="1767" w:type="dxa"/>
          </w:tcPr>
          <w:p w14:paraId="320B045D" w14:textId="77777777" w:rsidR="00970AD4" w:rsidRPr="00970AD4" w:rsidRDefault="00970AD4" w:rsidP="00970AD4">
            <w:pPr>
              <w:tabs>
                <w:tab w:val="left" w:pos="1418"/>
                <w:tab w:val="left" w:pos="1800"/>
              </w:tabs>
              <w:rPr>
                <w:lang w:eastAsia="en-US"/>
              </w:rPr>
            </w:pPr>
            <w:r w:rsidRPr="00970AD4">
              <w:rPr>
                <w:lang w:eastAsia="en-US"/>
              </w:rPr>
              <w:t>ISO 16111:2008 or ISO 16111:2018</w:t>
            </w:r>
          </w:p>
        </w:tc>
        <w:tc>
          <w:tcPr>
            <w:tcW w:w="5669" w:type="dxa"/>
          </w:tcPr>
          <w:p w14:paraId="6BB3409E" w14:textId="77777777" w:rsidR="00970AD4" w:rsidRPr="00970AD4" w:rsidRDefault="00970AD4" w:rsidP="00970AD4">
            <w:pPr>
              <w:tabs>
                <w:tab w:val="left" w:pos="1418"/>
                <w:tab w:val="left" w:pos="1800"/>
              </w:tabs>
              <w:rPr>
                <w:lang w:eastAsia="en-US"/>
              </w:rPr>
            </w:pPr>
            <w:r w:rsidRPr="00970AD4">
              <w:rPr>
                <w:lang w:eastAsia="en-US"/>
              </w:rPr>
              <w:t>Transportable gas storage devices – Hydrogen absorbed in reversible metal hydride</w:t>
            </w:r>
          </w:p>
        </w:tc>
      </w:tr>
    </w:tbl>
    <w:p w14:paraId="0F6F9B47" w14:textId="77777777" w:rsidR="00970AD4" w:rsidRPr="00970AD4" w:rsidRDefault="00970AD4" w:rsidP="00970AD4">
      <w:pPr>
        <w:tabs>
          <w:tab w:val="left" w:pos="1418"/>
          <w:tab w:val="left" w:pos="2977"/>
          <w:tab w:val="left" w:pos="4395"/>
        </w:tabs>
        <w:snapToGrid w:val="0"/>
        <w:spacing w:before="120" w:after="120" w:line="240" w:lineRule="auto"/>
        <w:ind w:left="1418" w:right="1134"/>
        <w:jc w:val="right"/>
        <w:rPr>
          <w:lang w:eastAsia="en-US"/>
        </w:rPr>
      </w:pPr>
      <w:r w:rsidRPr="00970AD4">
        <w:rPr>
          <w:bCs/>
          <w:lang w:eastAsia="en-US"/>
        </w:rPr>
        <w:t>”</w:t>
      </w:r>
    </w:p>
    <w:p w14:paraId="47A4B794"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152378DE" w14:textId="3C845575" w:rsidR="00970AD4" w:rsidRPr="00970AD4" w:rsidRDefault="00970AD4" w:rsidP="00970AD4">
      <w:pPr>
        <w:spacing w:after="120"/>
        <w:ind w:left="1134" w:right="1134"/>
        <w:jc w:val="both"/>
        <w:rPr>
          <w:i/>
          <w:iCs/>
          <w:lang w:eastAsia="en-US"/>
        </w:rPr>
      </w:pPr>
      <w:r w:rsidRPr="00970AD4">
        <w:rPr>
          <w:i/>
          <w:iCs/>
          <w:lang w:eastAsia="en-US"/>
        </w:rPr>
        <w:t>(Replaces Table 1 of 4.1.6.15 in ECE/TRANS/WP.15/251, Annex I)</w:t>
      </w:r>
    </w:p>
    <w:p w14:paraId="0CE096CC" w14:textId="77777777" w:rsidR="00970AD4" w:rsidRPr="00970AD4" w:rsidRDefault="00970AD4" w:rsidP="00970AD4">
      <w:pPr>
        <w:keepNext/>
        <w:keepLines/>
        <w:tabs>
          <w:tab w:val="right" w:pos="851"/>
        </w:tabs>
        <w:spacing w:before="360" w:after="240" w:line="270" w:lineRule="exact"/>
        <w:ind w:left="1134" w:right="1134" w:hanging="1134"/>
        <w:rPr>
          <w:b/>
          <w:sz w:val="24"/>
          <w:lang w:eastAsia="en-US"/>
        </w:rPr>
      </w:pPr>
      <w:r w:rsidRPr="00970AD4">
        <w:rPr>
          <w:b/>
          <w:sz w:val="24"/>
          <w:lang w:eastAsia="en-US"/>
        </w:rPr>
        <w:lastRenderedPageBreak/>
        <w:tab/>
      </w:r>
      <w:r w:rsidRPr="00970AD4">
        <w:rPr>
          <w:b/>
          <w:sz w:val="24"/>
          <w:lang w:eastAsia="en-US"/>
        </w:rPr>
        <w:tab/>
        <w:t>Chapter 4.3</w:t>
      </w:r>
    </w:p>
    <w:p w14:paraId="1F05C1CA" w14:textId="77777777" w:rsidR="00970AD4" w:rsidRPr="00970AD4" w:rsidRDefault="00970AD4" w:rsidP="00970AD4">
      <w:pPr>
        <w:tabs>
          <w:tab w:val="left" w:pos="2268"/>
        </w:tabs>
        <w:spacing w:after="120"/>
        <w:ind w:left="2268" w:right="1134" w:hanging="1134"/>
        <w:jc w:val="both"/>
        <w:rPr>
          <w:lang w:eastAsia="en-US"/>
        </w:rPr>
      </w:pPr>
      <w:r w:rsidRPr="00970AD4">
        <w:rPr>
          <w:lang w:eastAsia="en-US"/>
        </w:rPr>
        <w:t>4.3.4.1.3</w:t>
      </w:r>
      <w:r w:rsidRPr="00970AD4">
        <w:rPr>
          <w:lang w:eastAsia="en-US"/>
        </w:rPr>
        <w:tab/>
        <w:t>In the Table, under class 5.1, amend the name and description for UN number 2426 to read as follows: “AMMONIUM NITRATE, LIQUID (hot concentrated solution)”.</w:t>
      </w:r>
    </w:p>
    <w:p w14:paraId="3AE82645"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7710EE45" w14:textId="77777777" w:rsidR="00970AD4" w:rsidRPr="00970AD4" w:rsidRDefault="00970AD4" w:rsidP="00970AD4">
      <w:pPr>
        <w:keepNext/>
        <w:keepLines/>
        <w:tabs>
          <w:tab w:val="right" w:pos="851"/>
        </w:tabs>
        <w:spacing w:before="360" w:after="240" w:line="270" w:lineRule="exact"/>
        <w:ind w:left="1134" w:right="1134" w:hanging="1134"/>
        <w:rPr>
          <w:b/>
          <w:sz w:val="24"/>
          <w:lang w:eastAsia="en-US"/>
        </w:rPr>
      </w:pPr>
      <w:r w:rsidRPr="00970AD4">
        <w:rPr>
          <w:b/>
          <w:sz w:val="24"/>
          <w:lang w:eastAsia="en-US"/>
        </w:rPr>
        <w:tab/>
      </w:r>
      <w:r w:rsidRPr="00970AD4">
        <w:rPr>
          <w:b/>
          <w:sz w:val="24"/>
          <w:lang w:eastAsia="en-US"/>
        </w:rPr>
        <w:tab/>
        <w:t>Chapter 5.4</w:t>
      </w:r>
    </w:p>
    <w:p w14:paraId="5F91B8A9" w14:textId="77777777" w:rsidR="00970AD4" w:rsidRPr="00970AD4" w:rsidRDefault="00970AD4" w:rsidP="00970AD4">
      <w:pPr>
        <w:spacing w:after="120"/>
        <w:ind w:left="1134" w:right="1134"/>
        <w:jc w:val="both"/>
        <w:rPr>
          <w:lang w:eastAsia="en-US"/>
        </w:rPr>
      </w:pPr>
      <w:r w:rsidRPr="00970AD4">
        <w:rPr>
          <w:lang w:eastAsia="en-US"/>
        </w:rPr>
        <w:t>5.4.1.1.3</w:t>
      </w:r>
      <w:r w:rsidRPr="00970AD4">
        <w:rPr>
          <w:lang w:eastAsia="en-US"/>
        </w:rPr>
        <w:tab/>
        <w:t>Becomes 5.4.1.1.3.1.</w:t>
      </w:r>
    </w:p>
    <w:p w14:paraId="7466254D"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0DB1E91F" w14:textId="77777777" w:rsidR="00970AD4" w:rsidRPr="00970AD4" w:rsidRDefault="00970AD4" w:rsidP="00970AD4">
      <w:pPr>
        <w:spacing w:after="120"/>
        <w:ind w:left="1134" w:right="1134"/>
        <w:jc w:val="both"/>
        <w:rPr>
          <w:lang w:eastAsia="en-US"/>
        </w:rPr>
      </w:pPr>
      <w:r w:rsidRPr="00970AD4">
        <w:rPr>
          <w:lang w:eastAsia="en-US"/>
        </w:rPr>
        <w:tab/>
        <w:t>Insert a new 5.4.1.1.3.2 to read as follows:</w:t>
      </w:r>
    </w:p>
    <w:p w14:paraId="7D48FE55" w14:textId="77777777" w:rsidR="00970AD4" w:rsidRPr="00970AD4" w:rsidRDefault="00970AD4" w:rsidP="00970AD4">
      <w:pPr>
        <w:tabs>
          <w:tab w:val="left" w:pos="3402"/>
        </w:tabs>
        <w:spacing w:after="120"/>
        <w:ind w:left="3402" w:right="1134" w:hanging="1134"/>
        <w:jc w:val="both"/>
        <w:rPr>
          <w:lang w:eastAsia="en-US"/>
        </w:rPr>
      </w:pPr>
      <w:r w:rsidRPr="00970AD4">
        <w:rPr>
          <w:lang w:eastAsia="en-US"/>
        </w:rPr>
        <w:t>“5.4.1.1.3.2</w:t>
      </w:r>
      <w:r w:rsidRPr="00970AD4">
        <w:rPr>
          <w:lang w:eastAsia="en-US"/>
        </w:rPr>
        <w:tab/>
        <w:t>If there is no possibility to measure the exact quantity of the waste at the place of loading, the quantity according to 5.4.1.1.1 (f) may be estimated for the following cases under the following conditions:</w:t>
      </w:r>
    </w:p>
    <w:p w14:paraId="74520C4B" w14:textId="77777777" w:rsidR="00970AD4" w:rsidRPr="00970AD4" w:rsidRDefault="00970AD4" w:rsidP="00970AD4">
      <w:pPr>
        <w:spacing w:after="120"/>
        <w:ind w:left="3969" w:right="1134" w:hanging="567"/>
        <w:jc w:val="both"/>
        <w:rPr>
          <w:lang w:eastAsia="en-US"/>
        </w:rPr>
      </w:pPr>
      <w:r w:rsidRPr="00970AD4">
        <w:rPr>
          <w:lang w:eastAsia="en-US"/>
        </w:rPr>
        <w:t>(a)</w:t>
      </w:r>
      <w:r w:rsidRPr="00970AD4">
        <w:rPr>
          <w:lang w:eastAsia="en-US"/>
        </w:rPr>
        <w:tab/>
        <w:t>For packagings, a list of packagings including the type and the nominal volume will be added to the transport document;</w:t>
      </w:r>
    </w:p>
    <w:p w14:paraId="0AAE9E8C" w14:textId="77777777" w:rsidR="00970AD4" w:rsidRPr="00970AD4" w:rsidRDefault="00970AD4" w:rsidP="00970AD4">
      <w:pPr>
        <w:spacing w:after="120"/>
        <w:ind w:left="3969" w:right="1134" w:hanging="567"/>
        <w:jc w:val="both"/>
        <w:rPr>
          <w:lang w:eastAsia="en-US"/>
        </w:rPr>
      </w:pPr>
      <w:r w:rsidRPr="00970AD4">
        <w:rPr>
          <w:lang w:eastAsia="en-US"/>
        </w:rPr>
        <w:t>(b)</w:t>
      </w:r>
      <w:r w:rsidRPr="00970AD4">
        <w:rPr>
          <w:lang w:eastAsia="en-US"/>
        </w:rPr>
        <w:tab/>
        <w:t>For containers, the estimation will be based on their nominal volume and other available information (e.g. type of waste, average density, degree of filling);</w:t>
      </w:r>
    </w:p>
    <w:p w14:paraId="680519BA" w14:textId="77777777" w:rsidR="00970AD4" w:rsidRPr="00970AD4" w:rsidRDefault="00970AD4" w:rsidP="00970AD4">
      <w:pPr>
        <w:spacing w:after="120"/>
        <w:ind w:left="3969" w:right="1134" w:hanging="567"/>
        <w:jc w:val="both"/>
        <w:rPr>
          <w:lang w:eastAsia="en-US"/>
        </w:rPr>
      </w:pPr>
      <w:r w:rsidRPr="00970AD4">
        <w:rPr>
          <w:lang w:eastAsia="en-US"/>
        </w:rPr>
        <w:t>(c)</w:t>
      </w:r>
      <w:r w:rsidRPr="00970AD4">
        <w:rPr>
          <w:lang w:eastAsia="en-US"/>
        </w:rPr>
        <w:tab/>
        <w:t>For vacuum operated waste tanks, the estimation shall be justified (e.g. by means of an estimation provided by the consigner or by vehicle equipment).</w:t>
      </w:r>
    </w:p>
    <w:p w14:paraId="26B8EF9B" w14:textId="77777777" w:rsidR="00970AD4" w:rsidRPr="00970AD4" w:rsidRDefault="00970AD4" w:rsidP="00970AD4">
      <w:pPr>
        <w:tabs>
          <w:tab w:val="left" w:pos="2268"/>
        </w:tabs>
        <w:spacing w:after="120"/>
        <w:ind w:left="3402" w:right="1134" w:hanging="1134"/>
        <w:jc w:val="both"/>
        <w:rPr>
          <w:lang w:eastAsia="en-US"/>
        </w:rPr>
      </w:pPr>
      <w:r w:rsidRPr="00970AD4">
        <w:rPr>
          <w:lang w:eastAsia="en-US"/>
        </w:rPr>
        <w:tab/>
      </w:r>
      <w:r w:rsidRPr="00970AD4">
        <w:rPr>
          <w:lang w:eastAsia="en-US"/>
        </w:rPr>
        <w:tab/>
        <w:t>Such estimation of the quantity is not allowed for:</w:t>
      </w:r>
    </w:p>
    <w:p w14:paraId="1FCCCA87" w14:textId="77777777" w:rsidR="00970AD4" w:rsidRPr="00970AD4" w:rsidRDefault="00970AD4" w:rsidP="00970AD4">
      <w:pPr>
        <w:spacing w:after="120"/>
        <w:ind w:left="3969" w:right="1134" w:hanging="567"/>
        <w:jc w:val="both"/>
        <w:rPr>
          <w:lang w:eastAsia="en-US"/>
        </w:rPr>
      </w:pPr>
      <w:r w:rsidRPr="00970AD4">
        <w:rPr>
          <w:lang w:eastAsia="en-US"/>
        </w:rPr>
        <w:t>–</w:t>
      </w:r>
      <w:r w:rsidRPr="00970AD4">
        <w:rPr>
          <w:lang w:eastAsia="en-US"/>
        </w:rPr>
        <w:tab/>
        <w:t>Exemptions for which the exact quantity is essential (e.g. 1.1.3.6);</w:t>
      </w:r>
    </w:p>
    <w:p w14:paraId="0E825FE2" w14:textId="77777777" w:rsidR="00970AD4" w:rsidRPr="00970AD4" w:rsidRDefault="00970AD4" w:rsidP="00970AD4">
      <w:pPr>
        <w:spacing w:after="120"/>
        <w:ind w:left="3969" w:right="1134" w:hanging="567"/>
        <w:jc w:val="both"/>
        <w:rPr>
          <w:lang w:eastAsia="en-US"/>
        </w:rPr>
      </w:pPr>
      <w:r w:rsidRPr="00970AD4">
        <w:rPr>
          <w:lang w:eastAsia="en-US"/>
        </w:rPr>
        <w:t>–</w:t>
      </w:r>
      <w:r w:rsidRPr="00970AD4">
        <w:rPr>
          <w:lang w:eastAsia="en-US"/>
        </w:rPr>
        <w:tab/>
        <w:t>Waste containing substances mentioned in 2.1.3.5.3 or substances of Class 4.3;</w:t>
      </w:r>
    </w:p>
    <w:p w14:paraId="3AA5157A" w14:textId="77777777" w:rsidR="00970AD4" w:rsidRPr="00970AD4" w:rsidRDefault="00970AD4" w:rsidP="00970AD4">
      <w:pPr>
        <w:spacing w:after="120"/>
        <w:ind w:left="3969" w:right="1134" w:hanging="567"/>
        <w:jc w:val="both"/>
        <w:rPr>
          <w:lang w:eastAsia="en-US"/>
        </w:rPr>
      </w:pPr>
      <w:r w:rsidRPr="00970AD4">
        <w:rPr>
          <w:lang w:eastAsia="en-US"/>
        </w:rPr>
        <w:t>–</w:t>
      </w:r>
      <w:r w:rsidRPr="00970AD4">
        <w:rPr>
          <w:lang w:eastAsia="en-US"/>
        </w:rPr>
        <w:tab/>
        <w:t>Tanks other than vacuum operated waste tanks.</w:t>
      </w:r>
    </w:p>
    <w:p w14:paraId="6A35C1E2" w14:textId="77777777" w:rsidR="00970AD4" w:rsidRPr="00970AD4" w:rsidRDefault="00970AD4" w:rsidP="00970AD4">
      <w:pPr>
        <w:tabs>
          <w:tab w:val="left" w:pos="3402"/>
        </w:tabs>
        <w:spacing w:after="120"/>
        <w:ind w:left="3402" w:right="1134" w:hanging="1134"/>
        <w:jc w:val="both"/>
        <w:rPr>
          <w:lang w:eastAsia="en-US"/>
        </w:rPr>
      </w:pPr>
      <w:r w:rsidRPr="00970AD4">
        <w:rPr>
          <w:lang w:eastAsia="en-US"/>
        </w:rPr>
        <w:tab/>
        <w:t>[A statement shall be included in the transport document, as follows:</w:t>
      </w:r>
    </w:p>
    <w:p w14:paraId="2B5BEFC4" w14:textId="77777777" w:rsidR="00970AD4" w:rsidRPr="00970AD4" w:rsidRDefault="00970AD4" w:rsidP="00970AD4">
      <w:pPr>
        <w:tabs>
          <w:tab w:val="left" w:pos="3402"/>
        </w:tabs>
        <w:spacing w:after="120"/>
        <w:ind w:left="3402" w:right="1134"/>
        <w:jc w:val="center"/>
        <w:rPr>
          <w:lang w:eastAsia="en-US"/>
        </w:rPr>
      </w:pPr>
      <w:r w:rsidRPr="00970AD4">
        <w:rPr>
          <w:lang w:eastAsia="en-US"/>
        </w:rPr>
        <w:t>“QUANTITY ESTIMATED IN ACCORDANCE WITH 5.4.1.1.3.2”.]”</w:t>
      </w:r>
    </w:p>
    <w:p w14:paraId="010A04EE"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786BBFF3" w14:textId="3BCF4C69" w:rsidR="00970AD4" w:rsidRPr="00970AD4" w:rsidRDefault="00970AD4" w:rsidP="00970AD4">
      <w:pPr>
        <w:tabs>
          <w:tab w:val="left" w:pos="2268"/>
        </w:tabs>
        <w:spacing w:after="120"/>
        <w:ind w:left="2268" w:right="1134" w:hanging="1134"/>
        <w:jc w:val="both"/>
        <w:rPr>
          <w:lang w:eastAsia="en-US"/>
        </w:rPr>
      </w:pPr>
      <w:r w:rsidRPr="00970AD4">
        <w:rPr>
          <w:lang w:eastAsia="en-US"/>
        </w:rPr>
        <w:t>5.4.2</w:t>
      </w:r>
      <w:r w:rsidRPr="00970AD4">
        <w:rPr>
          <w:lang w:eastAsia="en-US"/>
        </w:rPr>
        <w:tab/>
        <w:t>In the first sub-paragraph, replace “with the transport document” by “to the maritime carrier by those responsible for packing the container”.</w:t>
      </w:r>
    </w:p>
    <w:p w14:paraId="58AFD4E6" w14:textId="1AB328FF" w:rsidR="00970AD4" w:rsidRPr="00970AD4" w:rsidRDefault="00970AD4" w:rsidP="00970AD4">
      <w:pPr>
        <w:tabs>
          <w:tab w:val="left" w:pos="2268"/>
        </w:tabs>
        <w:spacing w:after="120"/>
        <w:ind w:left="2268" w:right="1134" w:hanging="1134"/>
        <w:jc w:val="both"/>
        <w:rPr>
          <w:lang w:eastAsia="en-US"/>
        </w:rPr>
      </w:pPr>
      <w:r w:rsidRPr="00970AD4">
        <w:rPr>
          <w:lang w:eastAsia="en-US"/>
        </w:rPr>
        <w:tab/>
        <w:t>In the second sub-paragraph, in the first sentence, replace “; if not, these documents shall be attached” by “(see for example 5.4.5)”.</w:t>
      </w:r>
    </w:p>
    <w:p w14:paraId="6C875817" w14:textId="77777777" w:rsidR="00970AD4" w:rsidRPr="00970AD4" w:rsidRDefault="00970AD4" w:rsidP="00970AD4">
      <w:pPr>
        <w:tabs>
          <w:tab w:val="left" w:pos="2268"/>
        </w:tabs>
        <w:spacing w:after="120"/>
        <w:ind w:left="2268" w:right="1134" w:hanging="1134"/>
        <w:jc w:val="both"/>
        <w:rPr>
          <w:lang w:eastAsia="en-US"/>
        </w:rPr>
      </w:pPr>
      <w:r w:rsidRPr="00970AD4">
        <w:rPr>
          <w:lang w:eastAsia="en-US"/>
        </w:rPr>
        <w:tab/>
        <w:t>The third amendment to the French version does not apply to the English version.</w:t>
      </w:r>
    </w:p>
    <w:p w14:paraId="1F4B50B6" w14:textId="77777777" w:rsidR="00970AD4" w:rsidRPr="00970AD4" w:rsidRDefault="00970AD4" w:rsidP="00970AD4">
      <w:pPr>
        <w:tabs>
          <w:tab w:val="left" w:pos="2268"/>
        </w:tabs>
        <w:spacing w:after="120"/>
        <w:ind w:left="2268" w:right="1134" w:hanging="1134"/>
        <w:jc w:val="both"/>
        <w:rPr>
          <w:lang w:eastAsia="en-US"/>
        </w:rPr>
      </w:pPr>
      <w:r w:rsidRPr="00970AD4">
        <w:rPr>
          <w:lang w:eastAsia="en-US"/>
        </w:rPr>
        <w:tab/>
        <w:t>Delete the Note after the second sub-paragraph.</w:t>
      </w:r>
    </w:p>
    <w:p w14:paraId="27640E64" w14:textId="663871BC" w:rsidR="00970AD4" w:rsidRPr="00970AD4" w:rsidRDefault="00970AD4" w:rsidP="00970AD4">
      <w:pPr>
        <w:tabs>
          <w:tab w:val="left" w:pos="2268"/>
        </w:tabs>
        <w:spacing w:after="120"/>
        <w:ind w:left="2268" w:right="1134" w:hanging="1134"/>
        <w:jc w:val="both"/>
        <w:rPr>
          <w:lang w:eastAsia="en-US"/>
        </w:rPr>
      </w:pPr>
      <w:r w:rsidRPr="00970AD4">
        <w:rPr>
          <w:lang w:eastAsia="en-US"/>
        </w:rPr>
        <w:tab/>
        <w:t>In the third sub-paragraph, after “may”, insert “also”.</w:t>
      </w:r>
    </w:p>
    <w:p w14:paraId="4488D59D" w14:textId="77777777" w:rsidR="00970AD4" w:rsidRPr="00970AD4" w:rsidRDefault="00970AD4" w:rsidP="00970AD4">
      <w:pPr>
        <w:spacing w:after="120"/>
        <w:ind w:left="1134" w:right="1134"/>
        <w:jc w:val="both"/>
        <w:rPr>
          <w:i/>
          <w:iCs/>
          <w:lang w:eastAsia="en-US"/>
        </w:rPr>
      </w:pPr>
      <w:r w:rsidRPr="00970AD4">
        <w:rPr>
          <w:i/>
          <w:iCs/>
          <w:lang w:eastAsia="en-US"/>
        </w:rPr>
        <w:lastRenderedPageBreak/>
        <w:t>(Reference documents: ECE/TRANS/WP.15/AC.1/160, Annex II and informal document INF.11)</w:t>
      </w:r>
    </w:p>
    <w:p w14:paraId="5077C638" w14:textId="77777777" w:rsidR="00970AD4" w:rsidRPr="00970AD4" w:rsidRDefault="00970AD4" w:rsidP="00970AD4">
      <w:pPr>
        <w:keepNext/>
        <w:keepLines/>
        <w:tabs>
          <w:tab w:val="right" w:pos="851"/>
        </w:tabs>
        <w:spacing w:before="360" w:after="240" w:line="270" w:lineRule="exact"/>
        <w:ind w:left="1134" w:right="1134" w:hanging="1134"/>
        <w:rPr>
          <w:b/>
          <w:sz w:val="24"/>
          <w:lang w:eastAsia="en-US"/>
        </w:rPr>
      </w:pPr>
      <w:r w:rsidRPr="00970AD4">
        <w:rPr>
          <w:b/>
          <w:sz w:val="24"/>
          <w:lang w:eastAsia="en-US"/>
        </w:rPr>
        <w:tab/>
      </w:r>
      <w:r w:rsidRPr="00970AD4">
        <w:rPr>
          <w:b/>
          <w:sz w:val="24"/>
          <w:lang w:eastAsia="en-US"/>
        </w:rPr>
        <w:tab/>
        <w:t>Chapter 6.2</w:t>
      </w:r>
    </w:p>
    <w:p w14:paraId="1DFC388C" w14:textId="77777777" w:rsidR="00970AD4" w:rsidRPr="00970AD4" w:rsidRDefault="00970AD4" w:rsidP="00970AD4">
      <w:pPr>
        <w:spacing w:after="120"/>
        <w:ind w:left="1134" w:right="1134"/>
        <w:jc w:val="both"/>
        <w:rPr>
          <w:lang w:eastAsia="en-US"/>
        </w:rPr>
      </w:pPr>
      <w:r w:rsidRPr="00970AD4">
        <w:rPr>
          <w:bCs/>
          <w:lang w:eastAsia="en-US"/>
        </w:rPr>
        <w:t>6.2.3.1.5</w:t>
      </w:r>
      <w:r w:rsidRPr="00970AD4">
        <w:rPr>
          <w:bCs/>
          <w:lang w:eastAsia="en-US"/>
        </w:rPr>
        <w:tab/>
      </w:r>
      <w:r w:rsidRPr="00970AD4">
        <w:rPr>
          <w:lang w:eastAsia="en-US"/>
        </w:rPr>
        <w:t>Amend to read as follows:</w:t>
      </w:r>
    </w:p>
    <w:p w14:paraId="70122368" w14:textId="77777777" w:rsidR="00970AD4" w:rsidRPr="00970AD4" w:rsidRDefault="00970AD4" w:rsidP="00970AD4">
      <w:pPr>
        <w:spacing w:after="120"/>
        <w:ind w:left="2268" w:right="1134"/>
        <w:jc w:val="both"/>
        <w:rPr>
          <w:lang w:eastAsia="en-US"/>
        </w:rPr>
      </w:pPr>
      <w:r w:rsidRPr="00970AD4">
        <w:rPr>
          <w:lang w:eastAsia="en-US"/>
        </w:rPr>
        <w:t>“6.2.3.1.5</w:t>
      </w:r>
      <w:r w:rsidRPr="00970AD4">
        <w:rPr>
          <w:lang w:eastAsia="en-US"/>
        </w:rPr>
        <w:tab/>
        <w:t>Acetylene cylinders shall not be fitted with fusible plugs or any other pressure relief devices.”</w:t>
      </w:r>
    </w:p>
    <w:p w14:paraId="02E530BD"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2D8B8220" w14:textId="77777777" w:rsidR="00970AD4" w:rsidRPr="00970AD4" w:rsidRDefault="00970AD4" w:rsidP="00970AD4">
      <w:pPr>
        <w:spacing w:after="120"/>
        <w:ind w:left="1134" w:right="1134"/>
        <w:jc w:val="both"/>
        <w:rPr>
          <w:rFonts w:cs="Arial"/>
          <w:szCs w:val="22"/>
          <w:lang w:eastAsia="en-US"/>
        </w:rPr>
      </w:pPr>
      <w:r w:rsidRPr="00970AD4">
        <w:rPr>
          <w:rFonts w:cs="Arial"/>
          <w:szCs w:val="22"/>
          <w:lang w:eastAsia="en-US"/>
        </w:rPr>
        <w:t>6.2.4.1</w:t>
      </w:r>
      <w:r w:rsidRPr="00970AD4">
        <w:rPr>
          <w:rFonts w:cs="Arial"/>
          <w:szCs w:val="22"/>
          <w:lang w:eastAsia="en-US"/>
        </w:rPr>
        <w:tab/>
      </w:r>
      <w:r w:rsidRPr="00970AD4">
        <w:rPr>
          <w:rFonts w:cs="Arial"/>
          <w:szCs w:val="22"/>
          <w:lang w:eastAsia="en-US"/>
        </w:rPr>
        <w:tab/>
        <w:t xml:space="preserve">Amend the Table, under </w:t>
      </w:r>
      <w:r w:rsidRPr="00970AD4">
        <w:rPr>
          <w:bCs/>
          <w:lang w:eastAsia="en-US"/>
        </w:rPr>
        <w:t>“</w:t>
      </w:r>
      <w:r w:rsidRPr="00970AD4">
        <w:rPr>
          <w:rFonts w:cs="Arial"/>
          <w:szCs w:val="22"/>
          <w:lang w:eastAsia="en-US"/>
        </w:rPr>
        <w:t>for design and construction</w:t>
      </w:r>
      <w:r w:rsidRPr="00970AD4">
        <w:rPr>
          <w:bCs/>
          <w:lang w:eastAsia="en-US"/>
        </w:rPr>
        <w:t>”</w:t>
      </w:r>
      <w:r w:rsidRPr="00970AD4">
        <w:rPr>
          <w:rFonts w:cs="Arial"/>
          <w:szCs w:val="22"/>
          <w:lang w:eastAsia="en-US"/>
        </w:rPr>
        <w:t xml:space="preserve"> as follows:</w:t>
      </w:r>
    </w:p>
    <w:p w14:paraId="5C0BD9B2" w14:textId="1E7034DB" w:rsidR="00970AD4" w:rsidRPr="00970AD4" w:rsidRDefault="00970AD4" w:rsidP="00970AD4">
      <w:pPr>
        <w:spacing w:after="120"/>
        <w:ind w:left="2268" w:right="1134"/>
        <w:jc w:val="both"/>
        <w:rPr>
          <w:rFonts w:cs="Arial"/>
          <w:szCs w:val="22"/>
          <w:lang w:eastAsia="en-US"/>
        </w:rPr>
      </w:pPr>
      <w:r w:rsidRPr="00970AD4">
        <w:rPr>
          <w:rFonts w:cs="Arial"/>
          <w:szCs w:val="22"/>
          <w:lang w:eastAsia="en-US"/>
        </w:rPr>
        <w:tab/>
        <w:t xml:space="preserve">For </w:t>
      </w:r>
      <w:r w:rsidRPr="00970AD4">
        <w:rPr>
          <w:bCs/>
          <w:lang w:eastAsia="en-US"/>
        </w:rPr>
        <w:t>“</w:t>
      </w:r>
      <w:r w:rsidRPr="00970AD4">
        <w:rPr>
          <w:lang w:eastAsia="en-US"/>
        </w:rPr>
        <w:t>EN ISO 7866:2012 + AC:2014</w:t>
      </w:r>
      <w:r w:rsidRPr="00970AD4">
        <w:rPr>
          <w:bCs/>
          <w:lang w:eastAsia="en-US"/>
        </w:rPr>
        <w:t>”</w:t>
      </w:r>
      <w:r w:rsidRPr="00970AD4">
        <w:rPr>
          <w:rFonts w:cs="Arial"/>
          <w:szCs w:val="22"/>
          <w:lang w:eastAsia="en-US"/>
        </w:rPr>
        <w:t xml:space="preserve">, in column (4), replace </w:t>
      </w:r>
      <w:r w:rsidRPr="00970AD4">
        <w:rPr>
          <w:bCs/>
          <w:lang w:eastAsia="en-US"/>
        </w:rPr>
        <w:t>“</w:t>
      </w:r>
      <w:r w:rsidRPr="00970AD4">
        <w:rPr>
          <w:lang w:eastAsia="en-US"/>
        </w:rPr>
        <w:t>Until further notice</w:t>
      </w:r>
      <w:r w:rsidRPr="00970AD4">
        <w:rPr>
          <w:bCs/>
          <w:lang w:eastAsia="en-US"/>
        </w:rPr>
        <w:t>”</w:t>
      </w:r>
      <w:r w:rsidRPr="00970AD4">
        <w:rPr>
          <w:lang w:eastAsia="en-US"/>
        </w:rPr>
        <w:t xml:space="preserve"> </w:t>
      </w:r>
      <w:r w:rsidRPr="00970AD4">
        <w:rPr>
          <w:rFonts w:cs="Arial"/>
          <w:szCs w:val="22"/>
          <w:lang w:eastAsia="en-US"/>
        </w:rPr>
        <w:t xml:space="preserve">by </w:t>
      </w:r>
      <w:r w:rsidRPr="00970AD4">
        <w:rPr>
          <w:bCs/>
          <w:lang w:eastAsia="en-US"/>
        </w:rPr>
        <w:t>“</w:t>
      </w:r>
      <w:r w:rsidRPr="00970AD4">
        <w:rPr>
          <w:rFonts w:cs="Arial"/>
          <w:szCs w:val="22"/>
          <w:lang w:eastAsia="en-US"/>
        </w:rPr>
        <w:t>Between 1 January 2015 and 31 December 2024</w:t>
      </w:r>
      <w:r w:rsidRPr="00970AD4">
        <w:rPr>
          <w:bCs/>
          <w:lang w:eastAsia="en-US"/>
        </w:rPr>
        <w:t>”</w:t>
      </w:r>
      <w:r w:rsidRPr="00970AD4">
        <w:rPr>
          <w:rFonts w:cs="Arial"/>
          <w:szCs w:val="22"/>
          <w:lang w:eastAsia="en-US"/>
        </w:rPr>
        <w:t>.</w:t>
      </w:r>
    </w:p>
    <w:p w14:paraId="4DAB6ADD" w14:textId="77777777" w:rsidR="00970AD4" w:rsidRPr="00970AD4" w:rsidRDefault="00970AD4" w:rsidP="00970AD4">
      <w:pPr>
        <w:spacing w:after="120"/>
        <w:ind w:left="2268" w:right="1134"/>
        <w:jc w:val="both"/>
        <w:rPr>
          <w:rFonts w:cs="Arial"/>
          <w:szCs w:val="22"/>
          <w:lang w:eastAsia="en-US"/>
        </w:rPr>
      </w:pPr>
      <w:r w:rsidRPr="00970AD4">
        <w:rPr>
          <w:rFonts w:cs="Arial"/>
          <w:szCs w:val="22"/>
          <w:lang w:eastAsia="en-US"/>
        </w:rPr>
        <w:tab/>
        <w:t xml:space="preserve">After the row for </w:t>
      </w:r>
      <w:r w:rsidRPr="00970AD4">
        <w:rPr>
          <w:bCs/>
          <w:lang w:eastAsia="en-US"/>
        </w:rPr>
        <w:t>“</w:t>
      </w:r>
      <w:r w:rsidRPr="00970AD4">
        <w:rPr>
          <w:lang w:eastAsia="en-US"/>
        </w:rPr>
        <w:t>EN ISO 7866:2012 + AC:2014</w:t>
      </w:r>
      <w:r w:rsidRPr="00970AD4">
        <w:rPr>
          <w:bCs/>
          <w:lang w:eastAsia="en-US"/>
        </w:rPr>
        <w:t>”</w:t>
      </w:r>
      <w:r w:rsidRPr="00970AD4">
        <w:rPr>
          <w:rFonts w:cs="Arial"/>
          <w:szCs w:val="22"/>
          <w:lang w:eastAsia="en-US"/>
        </w:rPr>
        <w:t>, insert the following new row:</w:t>
      </w:r>
    </w:p>
    <w:tbl>
      <w:tblPr>
        <w:tblW w:w="774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402"/>
        <w:gridCol w:w="1012"/>
        <w:gridCol w:w="956"/>
        <w:gridCol w:w="664"/>
      </w:tblGrid>
      <w:tr w:rsidR="00970AD4" w:rsidRPr="00970AD4" w14:paraId="4FD11166" w14:textId="77777777" w:rsidTr="003D2F4B">
        <w:tc>
          <w:tcPr>
            <w:tcW w:w="1708" w:type="dxa"/>
          </w:tcPr>
          <w:p w14:paraId="442F7B06" w14:textId="77777777" w:rsidR="00970AD4" w:rsidRPr="00970AD4" w:rsidRDefault="00970AD4" w:rsidP="00970AD4">
            <w:pPr>
              <w:widowControl w:val="0"/>
              <w:jc w:val="center"/>
              <w:rPr>
                <w:rFonts w:cs="Arial"/>
                <w:sz w:val="18"/>
                <w:szCs w:val="18"/>
                <w:lang w:eastAsia="en-US"/>
              </w:rPr>
            </w:pPr>
            <w:r w:rsidRPr="00970AD4">
              <w:rPr>
                <w:rFonts w:cs="Arial"/>
                <w:sz w:val="18"/>
                <w:szCs w:val="18"/>
                <w:lang w:eastAsia="en-US"/>
              </w:rPr>
              <w:t>(1)</w:t>
            </w:r>
          </w:p>
        </w:tc>
        <w:tc>
          <w:tcPr>
            <w:tcW w:w="3402" w:type="dxa"/>
          </w:tcPr>
          <w:p w14:paraId="6C8F6DBE" w14:textId="77777777" w:rsidR="00970AD4" w:rsidRPr="00970AD4" w:rsidRDefault="00970AD4" w:rsidP="00970AD4">
            <w:pPr>
              <w:widowControl w:val="0"/>
              <w:jc w:val="center"/>
              <w:rPr>
                <w:rFonts w:cs="Arial"/>
                <w:sz w:val="18"/>
                <w:szCs w:val="18"/>
                <w:lang w:eastAsia="en-US"/>
              </w:rPr>
            </w:pPr>
            <w:r w:rsidRPr="00970AD4">
              <w:rPr>
                <w:rFonts w:cs="Arial"/>
                <w:sz w:val="18"/>
                <w:szCs w:val="18"/>
                <w:lang w:eastAsia="en-US"/>
              </w:rPr>
              <w:t>(2)</w:t>
            </w:r>
          </w:p>
        </w:tc>
        <w:tc>
          <w:tcPr>
            <w:tcW w:w="1012" w:type="dxa"/>
          </w:tcPr>
          <w:p w14:paraId="557206B0" w14:textId="77777777" w:rsidR="00970AD4" w:rsidRPr="00970AD4" w:rsidRDefault="00970AD4" w:rsidP="00970AD4">
            <w:pPr>
              <w:widowControl w:val="0"/>
              <w:jc w:val="center"/>
              <w:rPr>
                <w:rFonts w:cs="Arial"/>
                <w:sz w:val="18"/>
                <w:szCs w:val="18"/>
                <w:lang w:eastAsia="en-US"/>
              </w:rPr>
            </w:pPr>
            <w:r w:rsidRPr="00970AD4">
              <w:rPr>
                <w:rFonts w:cs="Arial"/>
                <w:sz w:val="18"/>
                <w:szCs w:val="18"/>
                <w:lang w:eastAsia="en-US"/>
              </w:rPr>
              <w:t>(3)</w:t>
            </w:r>
          </w:p>
        </w:tc>
        <w:tc>
          <w:tcPr>
            <w:tcW w:w="956" w:type="dxa"/>
          </w:tcPr>
          <w:p w14:paraId="127760BD" w14:textId="77777777" w:rsidR="00970AD4" w:rsidRPr="00970AD4" w:rsidRDefault="00970AD4" w:rsidP="00970AD4">
            <w:pPr>
              <w:widowControl w:val="0"/>
              <w:jc w:val="center"/>
              <w:rPr>
                <w:rFonts w:cs="Arial"/>
                <w:sz w:val="18"/>
                <w:szCs w:val="18"/>
                <w:lang w:eastAsia="en-US"/>
              </w:rPr>
            </w:pPr>
            <w:r w:rsidRPr="00970AD4">
              <w:rPr>
                <w:rFonts w:cs="Arial"/>
                <w:sz w:val="18"/>
                <w:szCs w:val="18"/>
                <w:lang w:eastAsia="en-US"/>
              </w:rPr>
              <w:t>(4)</w:t>
            </w:r>
          </w:p>
        </w:tc>
        <w:tc>
          <w:tcPr>
            <w:tcW w:w="664" w:type="dxa"/>
          </w:tcPr>
          <w:p w14:paraId="08C6DB20" w14:textId="77777777" w:rsidR="00970AD4" w:rsidRPr="00970AD4" w:rsidRDefault="00970AD4" w:rsidP="00970AD4">
            <w:pPr>
              <w:widowControl w:val="0"/>
              <w:jc w:val="center"/>
              <w:rPr>
                <w:rFonts w:cs="Arial"/>
                <w:sz w:val="18"/>
                <w:szCs w:val="18"/>
                <w:lang w:eastAsia="en-US"/>
              </w:rPr>
            </w:pPr>
            <w:r w:rsidRPr="00970AD4">
              <w:rPr>
                <w:rFonts w:cs="Arial"/>
                <w:sz w:val="18"/>
                <w:szCs w:val="18"/>
                <w:lang w:eastAsia="en-US"/>
              </w:rPr>
              <w:t>(5)</w:t>
            </w:r>
          </w:p>
        </w:tc>
      </w:tr>
      <w:tr w:rsidR="00970AD4" w:rsidRPr="00970AD4" w14:paraId="05C58F96" w14:textId="77777777" w:rsidTr="003D2F4B">
        <w:tc>
          <w:tcPr>
            <w:tcW w:w="1708" w:type="dxa"/>
            <w:vAlign w:val="center"/>
          </w:tcPr>
          <w:p w14:paraId="2295476E" w14:textId="77777777" w:rsidR="00970AD4" w:rsidRPr="00970AD4" w:rsidRDefault="00970AD4" w:rsidP="00970AD4">
            <w:pPr>
              <w:widowControl w:val="0"/>
              <w:rPr>
                <w:rFonts w:cs="Arial"/>
                <w:sz w:val="18"/>
                <w:szCs w:val="18"/>
                <w:lang w:eastAsia="en-US"/>
              </w:rPr>
            </w:pPr>
            <w:r w:rsidRPr="00970AD4">
              <w:rPr>
                <w:sz w:val="18"/>
                <w:szCs w:val="18"/>
                <w:lang w:eastAsia="en-US"/>
              </w:rPr>
              <w:t>EN ISO 7866:2012 + A1:2020</w:t>
            </w:r>
          </w:p>
        </w:tc>
        <w:tc>
          <w:tcPr>
            <w:tcW w:w="3402" w:type="dxa"/>
            <w:vAlign w:val="center"/>
          </w:tcPr>
          <w:p w14:paraId="53E2047A" w14:textId="77777777" w:rsidR="00970AD4" w:rsidRPr="00970AD4" w:rsidRDefault="00970AD4" w:rsidP="00970AD4">
            <w:pPr>
              <w:widowControl w:val="0"/>
              <w:rPr>
                <w:rFonts w:cs="Arial"/>
                <w:sz w:val="18"/>
                <w:szCs w:val="18"/>
                <w:lang w:eastAsia="en-US"/>
              </w:rPr>
            </w:pPr>
            <w:r w:rsidRPr="00970AD4">
              <w:rPr>
                <w:rFonts w:cs="Arial"/>
                <w:bCs/>
                <w:iCs/>
                <w:sz w:val="18"/>
                <w:szCs w:val="18"/>
                <w:lang w:eastAsia="en-US"/>
              </w:rPr>
              <w:t>Gas cylinders – Refillable seamless aluminium alloy gas cylinders – Design, construction and testing</w:t>
            </w:r>
          </w:p>
        </w:tc>
        <w:tc>
          <w:tcPr>
            <w:tcW w:w="1012" w:type="dxa"/>
            <w:vAlign w:val="center"/>
          </w:tcPr>
          <w:p w14:paraId="20D29B08" w14:textId="77777777" w:rsidR="00970AD4" w:rsidRPr="00970AD4" w:rsidRDefault="00970AD4" w:rsidP="00970AD4">
            <w:pPr>
              <w:widowControl w:val="0"/>
              <w:rPr>
                <w:rFonts w:cs="Arial"/>
                <w:sz w:val="18"/>
                <w:szCs w:val="18"/>
                <w:lang w:eastAsia="en-US"/>
              </w:rPr>
            </w:pPr>
            <w:r w:rsidRPr="00970AD4">
              <w:rPr>
                <w:rFonts w:cs="Arial"/>
                <w:sz w:val="18"/>
                <w:szCs w:val="18"/>
                <w:lang w:eastAsia="en-US"/>
              </w:rPr>
              <w:t>6.2.3.1 and 6.2.3.4</w:t>
            </w:r>
          </w:p>
        </w:tc>
        <w:tc>
          <w:tcPr>
            <w:tcW w:w="956" w:type="dxa"/>
            <w:vAlign w:val="center"/>
          </w:tcPr>
          <w:p w14:paraId="4A924C29" w14:textId="77777777" w:rsidR="00970AD4" w:rsidRPr="00970AD4" w:rsidRDefault="00970AD4" w:rsidP="00970AD4">
            <w:pPr>
              <w:widowControl w:val="0"/>
              <w:jc w:val="center"/>
              <w:rPr>
                <w:rFonts w:cs="Arial"/>
                <w:sz w:val="18"/>
                <w:szCs w:val="18"/>
                <w:lang w:eastAsia="en-US"/>
              </w:rPr>
            </w:pPr>
            <w:r w:rsidRPr="00970AD4">
              <w:rPr>
                <w:rFonts w:cs="Arial"/>
                <w:bCs/>
                <w:sz w:val="18"/>
                <w:szCs w:val="18"/>
                <w:lang w:eastAsia="en-US"/>
              </w:rPr>
              <w:t>Until further notice</w:t>
            </w:r>
          </w:p>
        </w:tc>
        <w:tc>
          <w:tcPr>
            <w:tcW w:w="664" w:type="dxa"/>
            <w:vAlign w:val="center"/>
          </w:tcPr>
          <w:p w14:paraId="69809AF5" w14:textId="77777777" w:rsidR="00970AD4" w:rsidRPr="00970AD4" w:rsidRDefault="00970AD4" w:rsidP="00970AD4">
            <w:pPr>
              <w:widowControl w:val="0"/>
              <w:rPr>
                <w:rFonts w:cs="Arial"/>
                <w:sz w:val="18"/>
                <w:szCs w:val="18"/>
                <w:lang w:eastAsia="en-US"/>
              </w:rPr>
            </w:pPr>
          </w:p>
        </w:tc>
      </w:tr>
    </w:tbl>
    <w:p w14:paraId="416C11E1" w14:textId="77777777" w:rsidR="00970AD4" w:rsidRPr="00970AD4" w:rsidRDefault="00970AD4" w:rsidP="00970AD4">
      <w:pPr>
        <w:spacing w:before="120" w:after="120"/>
        <w:ind w:left="2268" w:right="1134"/>
        <w:jc w:val="both"/>
        <w:rPr>
          <w:bCs/>
          <w:lang w:eastAsia="en-US"/>
        </w:rPr>
      </w:pPr>
      <w:r w:rsidRPr="00970AD4">
        <w:rPr>
          <w:bCs/>
          <w:lang w:eastAsia="en-US"/>
        </w:rPr>
        <w:t>[For “EN 12245:2002”, in column (2), insert the following Note:</w:t>
      </w:r>
    </w:p>
    <w:p w14:paraId="69F6CC49" w14:textId="77777777" w:rsidR="00970AD4" w:rsidRPr="00970AD4" w:rsidRDefault="00970AD4" w:rsidP="00970AD4">
      <w:pPr>
        <w:spacing w:after="120"/>
        <w:ind w:left="2268" w:right="1134"/>
        <w:jc w:val="both"/>
        <w:rPr>
          <w:bCs/>
          <w:lang w:eastAsia="en-US"/>
        </w:rPr>
      </w:pPr>
      <w:r w:rsidRPr="00970AD4">
        <w:rPr>
          <w:i/>
          <w:iCs/>
          <w:lang w:eastAsia="en-US"/>
        </w:rPr>
        <w:t>“</w:t>
      </w:r>
      <w:r w:rsidRPr="00970AD4">
        <w:rPr>
          <w:b/>
          <w:bCs/>
          <w:i/>
          <w:iCs/>
          <w:lang w:eastAsia="en-US"/>
        </w:rPr>
        <w:t>NOTE:</w:t>
      </w:r>
      <w:r w:rsidRPr="00970AD4">
        <w:rPr>
          <w:bCs/>
          <w:i/>
          <w:iCs/>
          <w:lang w:eastAsia="en-US"/>
        </w:rPr>
        <w:tab/>
        <w:t>This standard shall not be used for gases classified as LPG.”</w:t>
      </w:r>
      <w:r w:rsidRPr="00970AD4">
        <w:rPr>
          <w:bCs/>
          <w:lang w:eastAsia="en-US"/>
        </w:rPr>
        <w:t>]</w:t>
      </w:r>
    </w:p>
    <w:p w14:paraId="1C052512" w14:textId="0D1783AE" w:rsidR="00970AD4" w:rsidRPr="00970AD4" w:rsidRDefault="00970AD4" w:rsidP="00970AD4">
      <w:pPr>
        <w:spacing w:after="120"/>
        <w:ind w:left="2268" w:right="1134"/>
        <w:jc w:val="both"/>
        <w:rPr>
          <w:bCs/>
          <w:lang w:eastAsia="en-US"/>
        </w:rPr>
      </w:pPr>
      <w:r w:rsidRPr="00970AD4">
        <w:rPr>
          <w:b/>
          <w:bCs/>
          <w:lang w:val="x-none" w:eastAsia="en-US"/>
        </w:rPr>
        <w:t>[</w:t>
      </w:r>
      <w:r w:rsidRPr="00970AD4">
        <w:rPr>
          <w:lang w:val="x-none" w:eastAsia="en-US"/>
        </w:rPr>
        <w:t xml:space="preserve">For </w:t>
      </w:r>
      <w:r w:rsidRPr="00970AD4">
        <w:rPr>
          <w:bCs/>
          <w:lang w:val="x-none" w:eastAsia="en-US"/>
        </w:rPr>
        <w:t>“</w:t>
      </w:r>
      <w:r w:rsidRPr="00970AD4">
        <w:rPr>
          <w:lang w:val="x-none" w:eastAsia="en-US"/>
        </w:rPr>
        <w:t>EN 12245:2002</w:t>
      </w:r>
      <w:r w:rsidRPr="00970AD4">
        <w:rPr>
          <w:bCs/>
          <w:lang w:val="x-none" w:eastAsia="en-US"/>
        </w:rPr>
        <w:t>”</w:t>
      </w:r>
      <w:r w:rsidRPr="00970AD4">
        <w:rPr>
          <w:lang w:val="x-none" w:eastAsia="en-US"/>
        </w:rPr>
        <w:t>, in</w:t>
      </w:r>
      <w:r w:rsidRPr="00970AD4">
        <w:rPr>
          <w:bCs/>
          <w:lang w:val="x-none" w:eastAsia="en-US"/>
        </w:rPr>
        <w:t xml:space="preserve"> column (5), insert </w:t>
      </w:r>
      <w:r w:rsidRPr="00970AD4">
        <w:rPr>
          <w:bCs/>
          <w:lang w:eastAsia="en-US"/>
        </w:rPr>
        <w:t>“31 December 2023, for cylinders for LPG”.]</w:t>
      </w:r>
    </w:p>
    <w:p w14:paraId="0C6BE99A" w14:textId="77777777" w:rsidR="00970AD4" w:rsidRPr="00970AD4" w:rsidRDefault="00970AD4" w:rsidP="00970AD4">
      <w:pPr>
        <w:spacing w:after="120"/>
        <w:ind w:left="2268" w:right="1134"/>
        <w:jc w:val="both"/>
        <w:rPr>
          <w:bCs/>
          <w:lang w:eastAsia="en-US"/>
        </w:rPr>
      </w:pPr>
      <w:r w:rsidRPr="00970AD4">
        <w:rPr>
          <w:bCs/>
          <w:lang w:eastAsia="en-US"/>
        </w:rPr>
        <w:t>[For “EN 12245:2009 + A1:2011”, in column (2), number the existing Note to be “NOTE 1” and insert a new Note as follows:</w:t>
      </w:r>
    </w:p>
    <w:p w14:paraId="22ED660E" w14:textId="77777777" w:rsidR="00970AD4" w:rsidRPr="00970AD4" w:rsidRDefault="00970AD4" w:rsidP="00970AD4">
      <w:pPr>
        <w:spacing w:after="120"/>
        <w:ind w:left="1134" w:right="1134"/>
        <w:jc w:val="both"/>
        <w:rPr>
          <w:bCs/>
          <w:lang w:eastAsia="en-US"/>
        </w:rPr>
      </w:pPr>
      <w:r w:rsidRPr="00970AD4">
        <w:rPr>
          <w:bCs/>
          <w:lang w:eastAsia="en-US"/>
        </w:rPr>
        <w:t>“</w:t>
      </w:r>
      <w:r w:rsidRPr="00970AD4">
        <w:rPr>
          <w:b/>
          <w:bCs/>
          <w:i/>
          <w:iCs/>
          <w:lang w:eastAsia="en-US"/>
        </w:rPr>
        <w:t>NOTE 2:</w:t>
      </w:r>
      <w:r w:rsidRPr="00970AD4">
        <w:rPr>
          <w:bCs/>
          <w:i/>
          <w:iCs/>
          <w:lang w:eastAsia="en-US"/>
        </w:rPr>
        <w:tab/>
        <w:t>This standard shall not be used for gases classified as LPG.</w:t>
      </w:r>
      <w:r w:rsidRPr="00970AD4">
        <w:rPr>
          <w:bCs/>
          <w:lang w:eastAsia="en-US"/>
        </w:rPr>
        <w:t>”]</w:t>
      </w:r>
    </w:p>
    <w:p w14:paraId="6E7D40F6" w14:textId="283A9F6E" w:rsidR="00970AD4" w:rsidRPr="00970AD4" w:rsidRDefault="00970AD4" w:rsidP="00970AD4">
      <w:pPr>
        <w:spacing w:after="120"/>
        <w:ind w:left="2268" w:right="1134"/>
        <w:jc w:val="both"/>
        <w:rPr>
          <w:bCs/>
          <w:lang w:eastAsia="en-US"/>
        </w:rPr>
      </w:pPr>
      <w:r w:rsidRPr="00970AD4">
        <w:rPr>
          <w:bCs/>
          <w:lang w:val="x-none" w:eastAsia="en-US"/>
        </w:rPr>
        <w:t xml:space="preserve">[For “EN 12245:2009 + A1:2011”, in column (5), insert </w:t>
      </w:r>
      <w:r w:rsidRPr="00970AD4">
        <w:rPr>
          <w:bCs/>
          <w:lang w:eastAsia="en-US"/>
        </w:rPr>
        <w:t>“31 December 2023, for cylinders for LPG”.]</w:t>
      </w:r>
    </w:p>
    <w:p w14:paraId="5AE1C494" w14:textId="4F9405F2" w:rsidR="00970AD4" w:rsidRPr="00970AD4" w:rsidRDefault="00970AD4" w:rsidP="00970AD4">
      <w:pPr>
        <w:spacing w:after="120"/>
        <w:ind w:left="2268" w:right="1134"/>
        <w:jc w:val="both"/>
        <w:rPr>
          <w:bCs/>
          <w:lang w:eastAsia="en-US"/>
        </w:rPr>
      </w:pPr>
      <w:r w:rsidRPr="00970AD4">
        <w:rPr>
          <w:bCs/>
          <w:lang w:val="x-none" w:eastAsia="en-US"/>
        </w:rPr>
        <w:t xml:space="preserve">For “EN ISO 11118:2015”, in column (4), replace “Until further notice” by </w:t>
      </w:r>
      <w:r w:rsidRPr="00970AD4">
        <w:rPr>
          <w:bCs/>
          <w:lang w:eastAsia="en-US"/>
        </w:rPr>
        <w:t>“Between 1 January 2017 and 31 December 2024”</w:t>
      </w:r>
    </w:p>
    <w:p w14:paraId="7198FB8D" w14:textId="66DDFCBE" w:rsidR="00970AD4" w:rsidRPr="00970AD4" w:rsidRDefault="00970AD4" w:rsidP="00970AD4">
      <w:pPr>
        <w:spacing w:after="120"/>
        <w:ind w:left="2268" w:right="1134"/>
        <w:jc w:val="both"/>
        <w:rPr>
          <w:rFonts w:cs="Arial"/>
          <w:szCs w:val="22"/>
          <w:lang w:eastAsia="en-US"/>
        </w:rPr>
      </w:pPr>
      <w:r w:rsidRPr="00970AD4">
        <w:rPr>
          <w:lang w:val="x-none" w:eastAsia="en-US"/>
        </w:rPr>
        <w:t xml:space="preserve">After the row for </w:t>
      </w:r>
      <w:r w:rsidRPr="00970AD4">
        <w:rPr>
          <w:bCs/>
          <w:lang w:val="x-none" w:eastAsia="en-US"/>
        </w:rPr>
        <w:t>“EN ISO 11118:2015”</w:t>
      </w:r>
      <w:r w:rsidRPr="00970AD4">
        <w:rPr>
          <w:lang w:val="x-none" w:eastAsia="en-US"/>
        </w:rPr>
        <w:t>, insert the following new row:</w:t>
      </w:r>
    </w:p>
    <w:tbl>
      <w:tblPr>
        <w:tblW w:w="774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402"/>
        <w:gridCol w:w="1012"/>
        <w:gridCol w:w="956"/>
        <w:gridCol w:w="664"/>
      </w:tblGrid>
      <w:tr w:rsidR="00970AD4" w:rsidRPr="00970AD4" w14:paraId="6972DE37" w14:textId="77777777" w:rsidTr="003D2F4B">
        <w:tc>
          <w:tcPr>
            <w:tcW w:w="1708" w:type="dxa"/>
          </w:tcPr>
          <w:p w14:paraId="14F74C02" w14:textId="77777777" w:rsidR="00970AD4" w:rsidRPr="00970AD4" w:rsidRDefault="00970AD4" w:rsidP="00970AD4">
            <w:pPr>
              <w:widowControl w:val="0"/>
              <w:jc w:val="center"/>
              <w:rPr>
                <w:rFonts w:cs="Arial"/>
                <w:sz w:val="18"/>
                <w:szCs w:val="18"/>
                <w:lang w:eastAsia="en-US"/>
              </w:rPr>
            </w:pPr>
            <w:r w:rsidRPr="00970AD4">
              <w:rPr>
                <w:rFonts w:cs="Arial"/>
                <w:sz w:val="18"/>
                <w:szCs w:val="18"/>
                <w:lang w:eastAsia="en-US"/>
              </w:rPr>
              <w:t>(1)</w:t>
            </w:r>
          </w:p>
        </w:tc>
        <w:tc>
          <w:tcPr>
            <w:tcW w:w="3402" w:type="dxa"/>
          </w:tcPr>
          <w:p w14:paraId="6E2B9EE6" w14:textId="77777777" w:rsidR="00970AD4" w:rsidRPr="00970AD4" w:rsidRDefault="00970AD4" w:rsidP="00970AD4">
            <w:pPr>
              <w:widowControl w:val="0"/>
              <w:jc w:val="center"/>
              <w:rPr>
                <w:rFonts w:cs="Arial"/>
                <w:sz w:val="18"/>
                <w:szCs w:val="18"/>
                <w:lang w:eastAsia="en-US"/>
              </w:rPr>
            </w:pPr>
            <w:r w:rsidRPr="00970AD4">
              <w:rPr>
                <w:rFonts w:cs="Arial"/>
                <w:sz w:val="18"/>
                <w:szCs w:val="18"/>
                <w:lang w:eastAsia="en-US"/>
              </w:rPr>
              <w:t>(2)</w:t>
            </w:r>
          </w:p>
        </w:tc>
        <w:tc>
          <w:tcPr>
            <w:tcW w:w="1012" w:type="dxa"/>
          </w:tcPr>
          <w:p w14:paraId="1A7BC3E9" w14:textId="77777777" w:rsidR="00970AD4" w:rsidRPr="00970AD4" w:rsidRDefault="00970AD4" w:rsidP="00970AD4">
            <w:pPr>
              <w:widowControl w:val="0"/>
              <w:jc w:val="center"/>
              <w:rPr>
                <w:rFonts w:cs="Arial"/>
                <w:sz w:val="18"/>
                <w:szCs w:val="18"/>
                <w:lang w:eastAsia="en-US"/>
              </w:rPr>
            </w:pPr>
            <w:r w:rsidRPr="00970AD4">
              <w:rPr>
                <w:rFonts w:cs="Arial"/>
                <w:sz w:val="18"/>
                <w:szCs w:val="18"/>
                <w:lang w:eastAsia="en-US"/>
              </w:rPr>
              <w:t>(3)</w:t>
            </w:r>
          </w:p>
        </w:tc>
        <w:tc>
          <w:tcPr>
            <w:tcW w:w="956" w:type="dxa"/>
          </w:tcPr>
          <w:p w14:paraId="191779EB" w14:textId="77777777" w:rsidR="00970AD4" w:rsidRPr="00970AD4" w:rsidRDefault="00970AD4" w:rsidP="00970AD4">
            <w:pPr>
              <w:widowControl w:val="0"/>
              <w:jc w:val="center"/>
              <w:rPr>
                <w:rFonts w:cs="Arial"/>
                <w:sz w:val="18"/>
                <w:szCs w:val="18"/>
                <w:lang w:eastAsia="en-US"/>
              </w:rPr>
            </w:pPr>
            <w:r w:rsidRPr="00970AD4">
              <w:rPr>
                <w:rFonts w:cs="Arial"/>
                <w:sz w:val="18"/>
                <w:szCs w:val="18"/>
                <w:lang w:eastAsia="en-US"/>
              </w:rPr>
              <w:t>(4)</w:t>
            </w:r>
          </w:p>
        </w:tc>
        <w:tc>
          <w:tcPr>
            <w:tcW w:w="664" w:type="dxa"/>
          </w:tcPr>
          <w:p w14:paraId="34ACEFA8" w14:textId="77777777" w:rsidR="00970AD4" w:rsidRPr="00970AD4" w:rsidRDefault="00970AD4" w:rsidP="00970AD4">
            <w:pPr>
              <w:widowControl w:val="0"/>
              <w:jc w:val="center"/>
              <w:rPr>
                <w:rFonts w:cs="Arial"/>
                <w:sz w:val="18"/>
                <w:szCs w:val="18"/>
                <w:lang w:eastAsia="en-US"/>
              </w:rPr>
            </w:pPr>
            <w:r w:rsidRPr="00970AD4">
              <w:rPr>
                <w:rFonts w:cs="Arial"/>
                <w:sz w:val="18"/>
                <w:szCs w:val="18"/>
                <w:lang w:eastAsia="en-US"/>
              </w:rPr>
              <w:t>(5)</w:t>
            </w:r>
          </w:p>
        </w:tc>
      </w:tr>
      <w:tr w:rsidR="00970AD4" w:rsidRPr="00970AD4" w14:paraId="13EA5830" w14:textId="77777777" w:rsidTr="003D2F4B">
        <w:tc>
          <w:tcPr>
            <w:tcW w:w="1708" w:type="dxa"/>
            <w:vAlign w:val="center"/>
          </w:tcPr>
          <w:p w14:paraId="76C3CA2E" w14:textId="77777777" w:rsidR="00970AD4" w:rsidRPr="00970AD4" w:rsidRDefault="00970AD4" w:rsidP="00970AD4">
            <w:pPr>
              <w:widowControl w:val="0"/>
              <w:rPr>
                <w:rFonts w:cs="Arial"/>
                <w:sz w:val="18"/>
                <w:szCs w:val="18"/>
                <w:lang w:eastAsia="en-US"/>
              </w:rPr>
            </w:pPr>
            <w:r w:rsidRPr="00970AD4">
              <w:rPr>
                <w:bCs/>
                <w:sz w:val="18"/>
                <w:szCs w:val="18"/>
                <w:lang w:eastAsia="en-US"/>
              </w:rPr>
              <w:t>EN ISO 11118:2015 + A1:2020</w:t>
            </w:r>
          </w:p>
        </w:tc>
        <w:tc>
          <w:tcPr>
            <w:tcW w:w="3402" w:type="dxa"/>
            <w:vAlign w:val="center"/>
          </w:tcPr>
          <w:p w14:paraId="50303D9F" w14:textId="77777777" w:rsidR="00970AD4" w:rsidRPr="00970AD4" w:rsidRDefault="00970AD4" w:rsidP="00970AD4">
            <w:pPr>
              <w:widowControl w:val="0"/>
              <w:rPr>
                <w:rFonts w:cs="Arial"/>
                <w:sz w:val="18"/>
                <w:szCs w:val="18"/>
                <w:lang w:eastAsia="en-US"/>
              </w:rPr>
            </w:pPr>
            <w:r w:rsidRPr="00970AD4">
              <w:rPr>
                <w:rFonts w:cs="Arial"/>
                <w:bCs/>
                <w:iCs/>
                <w:sz w:val="18"/>
                <w:szCs w:val="18"/>
                <w:lang w:eastAsia="en-US"/>
              </w:rPr>
              <w:t>Gas cylinders – Non-refillable metallic gas cylinders – Specification and test methods</w:t>
            </w:r>
          </w:p>
        </w:tc>
        <w:tc>
          <w:tcPr>
            <w:tcW w:w="1012" w:type="dxa"/>
            <w:vAlign w:val="center"/>
          </w:tcPr>
          <w:p w14:paraId="65B8E0CA" w14:textId="77777777" w:rsidR="00970AD4" w:rsidRPr="00970AD4" w:rsidRDefault="00970AD4" w:rsidP="00970AD4">
            <w:pPr>
              <w:widowControl w:val="0"/>
              <w:rPr>
                <w:rFonts w:cs="Arial"/>
                <w:sz w:val="18"/>
                <w:szCs w:val="18"/>
                <w:lang w:eastAsia="en-US"/>
              </w:rPr>
            </w:pPr>
            <w:r w:rsidRPr="00970AD4">
              <w:rPr>
                <w:rFonts w:cs="Arial"/>
                <w:sz w:val="18"/>
                <w:szCs w:val="18"/>
                <w:lang w:eastAsia="en-US"/>
              </w:rPr>
              <w:t>6.2.3.1, 6.2.3.3 and 6.2.3.4</w:t>
            </w:r>
          </w:p>
        </w:tc>
        <w:tc>
          <w:tcPr>
            <w:tcW w:w="956" w:type="dxa"/>
            <w:vAlign w:val="center"/>
          </w:tcPr>
          <w:p w14:paraId="00949208" w14:textId="77777777" w:rsidR="00970AD4" w:rsidRPr="00970AD4" w:rsidRDefault="00970AD4" w:rsidP="00970AD4">
            <w:pPr>
              <w:widowControl w:val="0"/>
              <w:jc w:val="center"/>
              <w:rPr>
                <w:rFonts w:cs="Arial"/>
                <w:sz w:val="18"/>
                <w:szCs w:val="18"/>
                <w:lang w:eastAsia="en-US"/>
              </w:rPr>
            </w:pPr>
            <w:r w:rsidRPr="00970AD4">
              <w:rPr>
                <w:rFonts w:cs="Arial"/>
                <w:bCs/>
                <w:sz w:val="18"/>
                <w:szCs w:val="18"/>
                <w:lang w:eastAsia="en-US"/>
              </w:rPr>
              <w:t>Until further notice</w:t>
            </w:r>
          </w:p>
        </w:tc>
        <w:tc>
          <w:tcPr>
            <w:tcW w:w="664" w:type="dxa"/>
            <w:vAlign w:val="center"/>
          </w:tcPr>
          <w:p w14:paraId="5EB2FEEB" w14:textId="77777777" w:rsidR="00970AD4" w:rsidRPr="00970AD4" w:rsidRDefault="00970AD4" w:rsidP="00970AD4">
            <w:pPr>
              <w:widowControl w:val="0"/>
              <w:rPr>
                <w:rFonts w:cs="Arial"/>
                <w:sz w:val="18"/>
                <w:szCs w:val="18"/>
                <w:lang w:eastAsia="en-US"/>
              </w:rPr>
            </w:pPr>
          </w:p>
        </w:tc>
      </w:tr>
    </w:tbl>
    <w:p w14:paraId="4A5A7B90" w14:textId="6C9FE87E" w:rsidR="00970AD4" w:rsidRPr="00970AD4" w:rsidRDefault="00970AD4" w:rsidP="00970AD4">
      <w:pPr>
        <w:spacing w:before="120" w:after="120"/>
        <w:ind w:left="2268" w:right="1134"/>
        <w:jc w:val="both"/>
        <w:rPr>
          <w:lang w:eastAsia="en-US"/>
        </w:rPr>
      </w:pPr>
      <w:r w:rsidRPr="00970AD4">
        <w:rPr>
          <w:lang w:val="x-none" w:eastAsia="en-US"/>
        </w:rPr>
        <w:t xml:space="preserve">For “EN 14427:2004 + A1:2005”, in column (5), insert </w:t>
      </w:r>
      <w:r w:rsidRPr="00970AD4">
        <w:rPr>
          <w:lang w:eastAsia="en-US"/>
        </w:rPr>
        <w:t>“31 December 2023, for cylinders without a liner, manufactured from two parts joined together”.</w:t>
      </w:r>
    </w:p>
    <w:p w14:paraId="0C431A9C" w14:textId="77777777" w:rsidR="00970AD4" w:rsidRPr="00970AD4" w:rsidRDefault="00970AD4" w:rsidP="00970AD4">
      <w:pPr>
        <w:tabs>
          <w:tab w:val="left" w:pos="2268"/>
        </w:tabs>
        <w:spacing w:after="120"/>
        <w:ind w:left="2268" w:right="1134"/>
        <w:jc w:val="both"/>
        <w:rPr>
          <w:lang w:eastAsia="en-US"/>
        </w:rPr>
      </w:pPr>
      <w:r w:rsidRPr="00970AD4">
        <w:rPr>
          <w:lang w:eastAsia="en-US"/>
        </w:rPr>
        <w:t>For “EN 14427:2014”, in column (2), add a new Note as follows:</w:t>
      </w:r>
    </w:p>
    <w:p w14:paraId="0560773E" w14:textId="77777777" w:rsidR="00970AD4" w:rsidRPr="00970AD4" w:rsidRDefault="00970AD4" w:rsidP="00970AD4">
      <w:pPr>
        <w:spacing w:after="120"/>
        <w:ind w:left="2268" w:right="1134"/>
        <w:jc w:val="both"/>
        <w:rPr>
          <w:lang w:eastAsia="en-US"/>
        </w:rPr>
      </w:pPr>
      <w:r w:rsidRPr="00970AD4">
        <w:rPr>
          <w:lang w:eastAsia="en-US"/>
        </w:rPr>
        <w:t>“</w:t>
      </w:r>
      <w:r w:rsidRPr="00970AD4">
        <w:rPr>
          <w:b/>
          <w:i/>
          <w:iCs/>
          <w:lang w:eastAsia="en-US"/>
        </w:rPr>
        <w:t>NOTE:</w:t>
      </w:r>
      <w:r w:rsidRPr="00970AD4">
        <w:rPr>
          <w:i/>
          <w:iCs/>
          <w:lang w:eastAsia="en-US"/>
        </w:rPr>
        <w:tab/>
        <w:t>This standard shall not be used for cylinders without a liner, manufactured from two parts joined together.</w:t>
      </w:r>
      <w:r w:rsidRPr="00970AD4">
        <w:rPr>
          <w:lang w:eastAsia="en-US"/>
        </w:rPr>
        <w:t>”</w:t>
      </w:r>
    </w:p>
    <w:p w14:paraId="6D459E77" w14:textId="037ED0C5" w:rsidR="00970AD4" w:rsidRPr="00970AD4" w:rsidRDefault="00970AD4" w:rsidP="00970AD4">
      <w:pPr>
        <w:tabs>
          <w:tab w:val="left" w:pos="2268"/>
        </w:tabs>
        <w:spacing w:after="120"/>
        <w:ind w:left="2268" w:right="1134"/>
        <w:jc w:val="both"/>
        <w:rPr>
          <w:lang w:eastAsia="en-US"/>
        </w:rPr>
      </w:pPr>
      <w:r w:rsidRPr="00970AD4">
        <w:rPr>
          <w:lang w:val="x-none" w:eastAsia="en-US"/>
        </w:rPr>
        <w:t xml:space="preserve">For “EN 14427:2014”, in column (5), insert </w:t>
      </w:r>
      <w:r w:rsidRPr="00970AD4">
        <w:rPr>
          <w:lang w:eastAsia="en-US"/>
        </w:rPr>
        <w:t>“31 December 2023, for cylinders without a liner, manufactured from two parts joined together”.</w:t>
      </w:r>
    </w:p>
    <w:p w14:paraId="22DD31FE"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1AD3B35E" w14:textId="77777777" w:rsidR="00970AD4" w:rsidRPr="00970AD4" w:rsidRDefault="00970AD4" w:rsidP="00970AD4">
      <w:pPr>
        <w:spacing w:after="120"/>
        <w:ind w:left="2268" w:right="1134" w:hanging="1134"/>
        <w:jc w:val="both"/>
        <w:rPr>
          <w:lang w:eastAsia="de-CH"/>
        </w:rPr>
      </w:pPr>
      <w:r w:rsidRPr="00970AD4">
        <w:rPr>
          <w:lang w:eastAsia="de-CH"/>
        </w:rPr>
        <w:t>6.2.5.4.2</w:t>
      </w:r>
      <w:r w:rsidRPr="00970AD4">
        <w:rPr>
          <w:lang w:eastAsia="de-CH"/>
        </w:rPr>
        <w:tab/>
        <w:t xml:space="preserve">At the end of the sentence, replace </w:t>
      </w:r>
      <w:r w:rsidRPr="00970AD4">
        <w:rPr>
          <w:lang w:eastAsia="en-US"/>
        </w:rPr>
        <w:t>“</w:t>
      </w:r>
      <w:r w:rsidRPr="00970AD4">
        <w:rPr>
          <w:lang w:eastAsia="de-CH"/>
        </w:rPr>
        <w:t>(see also EN 1975:1999 + A1:2003)</w:t>
      </w:r>
      <w:r w:rsidRPr="00970AD4">
        <w:rPr>
          <w:lang w:eastAsia="en-US"/>
        </w:rPr>
        <w:t>”</w:t>
      </w:r>
      <w:r w:rsidRPr="00970AD4">
        <w:rPr>
          <w:lang w:eastAsia="de-CH"/>
        </w:rPr>
        <w:t xml:space="preserve"> by </w:t>
      </w:r>
      <w:r w:rsidRPr="00970AD4">
        <w:rPr>
          <w:lang w:eastAsia="en-US"/>
        </w:rPr>
        <w:t>“</w:t>
      </w:r>
      <w:r w:rsidRPr="00970AD4">
        <w:rPr>
          <w:lang w:eastAsia="de-CH"/>
        </w:rPr>
        <w:t>(see also EN ISO 7866:2012 + A1:2020)</w:t>
      </w:r>
      <w:r w:rsidRPr="00970AD4">
        <w:rPr>
          <w:lang w:eastAsia="en-US"/>
        </w:rPr>
        <w:t>”</w:t>
      </w:r>
      <w:r w:rsidRPr="00970AD4">
        <w:rPr>
          <w:lang w:eastAsia="de-CH"/>
        </w:rPr>
        <w:t>.</w:t>
      </w:r>
    </w:p>
    <w:p w14:paraId="4694EBAC" w14:textId="77777777" w:rsidR="00970AD4" w:rsidRPr="00970AD4" w:rsidRDefault="00970AD4" w:rsidP="00970AD4">
      <w:pPr>
        <w:spacing w:after="120"/>
        <w:ind w:left="1134" w:right="1134"/>
        <w:jc w:val="both"/>
        <w:rPr>
          <w:i/>
          <w:iCs/>
          <w:lang w:eastAsia="en-US"/>
        </w:rPr>
      </w:pPr>
      <w:r w:rsidRPr="00970AD4">
        <w:rPr>
          <w:i/>
          <w:iCs/>
          <w:lang w:eastAsia="en-US"/>
        </w:rPr>
        <w:lastRenderedPageBreak/>
        <w:t>(Reference documents: ECE/TRANS/WP.15/AC.1/160, Annex II and informal document INF.11)</w:t>
      </w:r>
    </w:p>
    <w:p w14:paraId="5A220D1C" w14:textId="77777777" w:rsidR="00970AD4" w:rsidRPr="00970AD4" w:rsidRDefault="00970AD4" w:rsidP="00970AD4">
      <w:pPr>
        <w:spacing w:after="120"/>
        <w:ind w:left="1134" w:right="1134"/>
        <w:jc w:val="both"/>
        <w:rPr>
          <w:i/>
          <w:iCs/>
          <w:lang w:eastAsia="de-CH"/>
        </w:rPr>
      </w:pPr>
      <w:r w:rsidRPr="00970AD4">
        <w:rPr>
          <w:i/>
          <w:iCs/>
          <w:lang w:eastAsia="de-CH"/>
        </w:rPr>
        <w:t>(Replaces the amendment in ECE/TRANS/WP.15/251, Annex I)</w:t>
      </w:r>
    </w:p>
    <w:p w14:paraId="675DCD07" w14:textId="77777777" w:rsidR="00970AD4" w:rsidRPr="00970AD4" w:rsidRDefault="00970AD4" w:rsidP="00970AD4">
      <w:pPr>
        <w:keepNext/>
        <w:keepLines/>
        <w:tabs>
          <w:tab w:val="right" w:pos="851"/>
        </w:tabs>
        <w:spacing w:before="360" w:after="240" w:line="270" w:lineRule="exact"/>
        <w:ind w:left="1134" w:right="1134" w:hanging="1134"/>
        <w:rPr>
          <w:b/>
          <w:sz w:val="24"/>
          <w:lang w:eastAsia="en-US"/>
        </w:rPr>
      </w:pPr>
      <w:r w:rsidRPr="00970AD4">
        <w:rPr>
          <w:b/>
          <w:sz w:val="24"/>
          <w:lang w:eastAsia="en-US"/>
        </w:rPr>
        <w:tab/>
      </w:r>
      <w:r w:rsidRPr="00970AD4">
        <w:rPr>
          <w:b/>
          <w:sz w:val="24"/>
          <w:lang w:eastAsia="en-US"/>
        </w:rPr>
        <w:tab/>
        <w:t>Chapter 6.8</w:t>
      </w:r>
    </w:p>
    <w:p w14:paraId="148F67ED" w14:textId="4BC1CA27" w:rsidR="00970AD4" w:rsidRPr="00970AD4" w:rsidRDefault="00970AD4" w:rsidP="00970AD4">
      <w:pPr>
        <w:spacing w:after="120"/>
        <w:ind w:left="2268" w:right="1134" w:hanging="1134"/>
        <w:jc w:val="both"/>
        <w:rPr>
          <w:lang w:eastAsia="de-CH"/>
        </w:rPr>
      </w:pPr>
      <w:r w:rsidRPr="00970AD4">
        <w:rPr>
          <w:bCs/>
          <w:lang w:eastAsia="de-CH"/>
        </w:rPr>
        <w:t>6.8.2.1.23</w:t>
      </w:r>
      <w:r w:rsidRPr="00970AD4">
        <w:rPr>
          <w:bCs/>
          <w:lang w:eastAsia="de-CH"/>
        </w:rPr>
        <w:tab/>
      </w:r>
      <w:r w:rsidRPr="00970AD4">
        <w:rPr>
          <w:lang w:eastAsia="en-US"/>
        </w:rPr>
        <w:t>Move the last sentence of the first paragraph to the end of the second paragraph, replacing the colon at the end of the second paragraph with a full stop.</w:t>
      </w:r>
    </w:p>
    <w:p w14:paraId="5C92B587" w14:textId="7B9016C1" w:rsidR="00970AD4" w:rsidRPr="00970AD4" w:rsidRDefault="00970AD4" w:rsidP="00970AD4">
      <w:pPr>
        <w:tabs>
          <w:tab w:val="left" w:pos="2268"/>
        </w:tabs>
        <w:spacing w:after="120"/>
        <w:ind w:left="2268" w:right="1134" w:hanging="1134"/>
        <w:jc w:val="both"/>
        <w:rPr>
          <w:lang w:eastAsia="en-US"/>
        </w:rPr>
      </w:pPr>
      <w:r w:rsidRPr="00970AD4">
        <w:rPr>
          <w:lang w:eastAsia="en-US"/>
        </w:rPr>
        <w:tab/>
        <w:t>Insert the following new paragraph immediately before the last paragraph:</w:t>
      </w:r>
    </w:p>
    <w:p w14:paraId="034AF25C" w14:textId="77777777" w:rsidR="00970AD4" w:rsidRPr="00970AD4" w:rsidRDefault="00970AD4" w:rsidP="00970AD4">
      <w:pPr>
        <w:spacing w:after="120"/>
        <w:ind w:left="2268" w:right="1134"/>
        <w:jc w:val="both"/>
        <w:rPr>
          <w:lang w:eastAsia="en-US"/>
        </w:rPr>
      </w:pPr>
      <w:r w:rsidRPr="00970AD4">
        <w:rPr>
          <w:lang w:eastAsia="en-US"/>
        </w:rPr>
        <w:tab/>
        <w:t>“Welds made during repairs or alterations shall be assessed as above and in accordance with the non-destructive tests specified in the relevant standard(s) referenced in 6.8.2.6.2.”</w:t>
      </w:r>
    </w:p>
    <w:p w14:paraId="6D405FA1"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59A183C6" w14:textId="61C5F69A" w:rsidR="00970AD4" w:rsidRPr="00970AD4" w:rsidRDefault="00970AD4" w:rsidP="00970AD4">
      <w:pPr>
        <w:spacing w:after="120"/>
        <w:ind w:left="2268" w:right="1134" w:hanging="1134"/>
        <w:jc w:val="both"/>
        <w:rPr>
          <w:lang w:eastAsia="en-US"/>
        </w:rPr>
      </w:pPr>
      <w:r w:rsidRPr="00970AD4">
        <w:rPr>
          <w:lang w:eastAsia="en-US"/>
        </w:rPr>
        <w:t>6.8.2.2.2</w:t>
      </w:r>
      <w:r w:rsidRPr="00970AD4">
        <w:rPr>
          <w:lang w:eastAsia="en-US"/>
        </w:rPr>
        <w:tab/>
        <w:t>At the end of the seventh paragraph, after “clearly apparent” insert a reference 9 to the following footnote:</w:t>
      </w:r>
    </w:p>
    <w:p w14:paraId="24491D12" w14:textId="77777777" w:rsidR="00970AD4" w:rsidRPr="00970AD4" w:rsidRDefault="00970AD4" w:rsidP="00970AD4">
      <w:pPr>
        <w:spacing w:after="120"/>
        <w:ind w:left="2268" w:right="1134"/>
        <w:jc w:val="both"/>
        <w:rPr>
          <w:i/>
          <w:iCs/>
          <w:lang w:eastAsia="en-US"/>
        </w:rPr>
      </w:pPr>
      <w:r w:rsidRPr="00970AD4">
        <w:rPr>
          <w:iCs/>
          <w:lang w:eastAsia="en-US"/>
        </w:rPr>
        <w:t>“</w:t>
      </w:r>
      <w:r w:rsidRPr="00970AD4">
        <w:rPr>
          <w:b/>
          <w:bCs/>
          <w:vertAlign w:val="superscript"/>
          <w:lang w:eastAsia="en-US"/>
        </w:rPr>
        <w:t>9</w:t>
      </w:r>
      <w:r w:rsidRPr="00970AD4">
        <w:rPr>
          <w:i/>
          <w:iCs/>
          <w:vertAlign w:val="superscript"/>
          <w:lang w:eastAsia="en-US"/>
        </w:rPr>
        <w:tab/>
      </w:r>
      <w:r w:rsidRPr="00970AD4">
        <w:rPr>
          <w:i/>
          <w:iCs/>
          <w:lang w:eastAsia="en-US"/>
        </w:rPr>
        <w:t>The mode of operation of dry break couplings is self-closing. Consequently, an open/closed indicator is not necessary. This type of closure shall only be used as a second or third closure.</w:t>
      </w:r>
      <w:r w:rsidRPr="00970AD4">
        <w:rPr>
          <w:iCs/>
          <w:lang w:eastAsia="en-US"/>
        </w:rPr>
        <w:t>”</w:t>
      </w:r>
    </w:p>
    <w:p w14:paraId="23ED02B9"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568E3C1C" w14:textId="77777777" w:rsidR="00970AD4" w:rsidRPr="00970AD4" w:rsidRDefault="00970AD4" w:rsidP="00970AD4">
      <w:pPr>
        <w:spacing w:after="120"/>
        <w:ind w:left="1134" w:right="1134"/>
        <w:jc w:val="both"/>
        <w:rPr>
          <w:rFonts w:cs="Arial"/>
          <w:szCs w:val="22"/>
          <w:lang w:eastAsia="en-US"/>
        </w:rPr>
      </w:pPr>
      <w:r w:rsidRPr="00970AD4">
        <w:rPr>
          <w:rFonts w:cs="Arial"/>
          <w:szCs w:val="22"/>
          <w:lang w:eastAsia="en-US"/>
        </w:rPr>
        <w:t>6.8.2.2.4</w:t>
      </w:r>
      <w:r w:rsidRPr="00970AD4">
        <w:rPr>
          <w:rFonts w:cs="Arial"/>
          <w:szCs w:val="22"/>
          <w:lang w:eastAsia="en-US"/>
        </w:rPr>
        <w:tab/>
        <w:t>After the first sentence, insert in the right-hand column:</w:t>
      </w:r>
    </w:p>
    <w:tbl>
      <w:tblPr>
        <w:tblW w:w="8246" w:type="dxa"/>
        <w:tblInd w:w="993" w:type="dxa"/>
        <w:tblLayout w:type="fixed"/>
        <w:tblCellMar>
          <w:left w:w="71" w:type="dxa"/>
          <w:right w:w="71" w:type="dxa"/>
        </w:tblCellMar>
        <w:tblLook w:val="0000" w:firstRow="0" w:lastRow="0" w:firstColumn="0" w:lastColumn="0" w:noHBand="0" w:noVBand="0"/>
      </w:tblPr>
      <w:tblGrid>
        <w:gridCol w:w="3685"/>
        <w:gridCol w:w="4561"/>
      </w:tblGrid>
      <w:tr w:rsidR="00970AD4" w:rsidRPr="00970AD4" w14:paraId="5AAB4F02" w14:textId="77777777" w:rsidTr="003D2F4B">
        <w:trPr>
          <w:cantSplit/>
        </w:trPr>
        <w:tc>
          <w:tcPr>
            <w:tcW w:w="3685" w:type="dxa"/>
            <w:tcBorders>
              <w:right w:val="single" w:sz="4" w:space="0" w:color="auto"/>
            </w:tcBorders>
          </w:tcPr>
          <w:p w14:paraId="29A4F443" w14:textId="77777777" w:rsidR="00970AD4" w:rsidRPr="00970AD4" w:rsidRDefault="00970AD4" w:rsidP="00970AD4">
            <w:pPr>
              <w:rPr>
                <w:lang w:eastAsia="en-US"/>
              </w:rPr>
            </w:pPr>
          </w:p>
        </w:tc>
        <w:tc>
          <w:tcPr>
            <w:tcW w:w="4561" w:type="dxa"/>
            <w:tcBorders>
              <w:left w:val="single" w:sz="4" w:space="0" w:color="auto"/>
            </w:tcBorders>
          </w:tcPr>
          <w:p w14:paraId="383B6C02" w14:textId="77777777" w:rsidR="00970AD4" w:rsidRPr="00970AD4" w:rsidRDefault="00970AD4" w:rsidP="00970AD4">
            <w:pPr>
              <w:tabs>
                <w:tab w:val="left" w:pos="1418"/>
                <w:tab w:val="left" w:pos="2977"/>
                <w:tab w:val="left" w:pos="4395"/>
              </w:tabs>
              <w:ind w:right="665"/>
              <w:jc w:val="both"/>
              <w:rPr>
                <w:bCs/>
                <w:lang w:eastAsia="en-US"/>
              </w:rPr>
            </w:pPr>
            <w:r w:rsidRPr="00970AD4">
              <w:rPr>
                <w:rFonts w:cs="Arial"/>
                <w:bCs/>
                <w:szCs w:val="22"/>
                <w:lang w:eastAsia="en-US"/>
              </w:rPr>
              <w:t>[</w:t>
            </w:r>
            <w:r w:rsidRPr="00970AD4">
              <w:rPr>
                <w:bCs/>
                <w:iCs/>
                <w:lang w:eastAsia="en-US"/>
              </w:rPr>
              <w:t>“</w:t>
            </w:r>
            <w:r w:rsidRPr="00970AD4">
              <w:rPr>
                <w:rFonts w:cs="Arial"/>
                <w:bCs/>
                <w:szCs w:val="22"/>
                <w:lang w:eastAsia="en-US"/>
              </w:rPr>
              <w:t>These openings for tank-containers with [a capacity of more than 40 000 litres / a gross weight of more than 36 000 kg] intended for the carriage of [liquids] / [substances in the liquid state] which are not divided by partitions or surge plates into sections of not more than 7 500 litres capacity shall be provided with closures designed for a test pressure of at least 0.4 MPa (4 bar). Hinged dome covers for these tank-containers with a test pressure of more than 0.6 MPa (6 bar) shall not be permitted.</w:t>
            </w:r>
            <w:r w:rsidRPr="00970AD4">
              <w:rPr>
                <w:bCs/>
                <w:iCs/>
                <w:lang w:eastAsia="en-US"/>
              </w:rPr>
              <w:t>”</w:t>
            </w:r>
            <w:r w:rsidRPr="00970AD4">
              <w:rPr>
                <w:rFonts w:cs="Arial"/>
                <w:bCs/>
                <w:szCs w:val="22"/>
                <w:lang w:eastAsia="en-US"/>
              </w:rPr>
              <w:t>]</w:t>
            </w:r>
          </w:p>
        </w:tc>
      </w:tr>
    </w:tbl>
    <w:p w14:paraId="7902E819" w14:textId="77777777" w:rsidR="00970AD4" w:rsidRPr="00970AD4" w:rsidRDefault="00970AD4" w:rsidP="00970AD4">
      <w:pPr>
        <w:spacing w:before="120" w:after="120"/>
        <w:ind w:left="1134" w:right="1134"/>
        <w:jc w:val="both"/>
        <w:rPr>
          <w:i/>
          <w:iCs/>
          <w:lang w:eastAsia="en-US"/>
        </w:rPr>
      </w:pPr>
      <w:r w:rsidRPr="00970AD4">
        <w:rPr>
          <w:i/>
          <w:iCs/>
          <w:lang w:eastAsia="en-US"/>
        </w:rPr>
        <w:t>(Reference documents: ECE/TRANS/WP.15/AC.1/160, Annex II and informal document INF.11)</w:t>
      </w:r>
    </w:p>
    <w:p w14:paraId="7F8F0841" w14:textId="029261F8" w:rsidR="00970AD4" w:rsidRPr="00970AD4" w:rsidRDefault="00970AD4" w:rsidP="00970AD4">
      <w:pPr>
        <w:spacing w:after="120"/>
        <w:ind w:left="2268" w:right="1134" w:hanging="1134"/>
        <w:jc w:val="both"/>
        <w:rPr>
          <w:lang w:eastAsia="en-US"/>
        </w:rPr>
      </w:pPr>
      <w:r w:rsidRPr="00970AD4">
        <w:rPr>
          <w:lang w:eastAsia="en-US"/>
        </w:rPr>
        <w:t>6.8.2.4.3</w:t>
      </w:r>
      <w:r w:rsidRPr="00970AD4">
        <w:rPr>
          <w:lang w:eastAsia="en-US"/>
        </w:rPr>
        <w:tab/>
        <w:t>In the first sub-paragraph, in the first sentence, replace “at least every” by “no later than”.</w:t>
      </w:r>
    </w:p>
    <w:p w14:paraId="2D3CAB83" w14:textId="6125918C" w:rsidR="00970AD4" w:rsidRPr="00970AD4" w:rsidRDefault="00970AD4" w:rsidP="00970AD4">
      <w:pPr>
        <w:spacing w:after="120"/>
        <w:ind w:left="2268" w:right="1134" w:hanging="1134"/>
        <w:jc w:val="both"/>
        <w:rPr>
          <w:lang w:eastAsia="en-US"/>
        </w:rPr>
      </w:pPr>
      <w:r w:rsidRPr="00970AD4">
        <w:rPr>
          <w:lang w:eastAsia="en-US"/>
        </w:rPr>
        <w:tab/>
        <w:t>In the third sub-paragraph, replace “the due date” by “the specified date”. Replace “at the latest every” by “no later than”. Replace “after this date” by “after this earlier date”.</w:t>
      </w:r>
    </w:p>
    <w:p w14:paraId="0B8C8AD9"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29B75A89" w14:textId="77777777" w:rsidR="00970AD4" w:rsidRPr="00970AD4" w:rsidRDefault="00970AD4" w:rsidP="00970AD4">
      <w:pPr>
        <w:spacing w:after="120"/>
        <w:ind w:left="2268" w:right="1134" w:hanging="1134"/>
        <w:jc w:val="both"/>
        <w:rPr>
          <w:lang w:eastAsia="de-CH"/>
        </w:rPr>
      </w:pPr>
      <w:r w:rsidRPr="00970AD4">
        <w:rPr>
          <w:lang w:eastAsia="de-CH"/>
        </w:rPr>
        <w:t>[6.8.2.6.2</w:t>
      </w:r>
      <w:r w:rsidRPr="00970AD4">
        <w:rPr>
          <w:lang w:eastAsia="de-CH"/>
        </w:rPr>
        <w:tab/>
        <w:t xml:space="preserve">In the table, for </w:t>
      </w:r>
      <w:r w:rsidRPr="00970AD4">
        <w:rPr>
          <w:lang w:eastAsia="en-US"/>
        </w:rPr>
        <w:t>“</w:t>
      </w:r>
      <w:r w:rsidRPr="00970AD4">
        <w:rPr>
          <w:lang w:eastAsia="de-CH"/>
        </w:rPr>
        <w:t>EN 12972:2018</w:t>
      </w:r>
      <w:r w:rsidRPr="00970AD4">
        <w:rPr>
          <w:lang w:eastAsia="en-US"/>
        </w:rPr>
        <w:t>”</w:t>
      </w:r>
      <w:r w:rsidRPr="00970AD4">
        <w:rPr>
          <w:lang w:eastAsia="de-CH"/>
        </w:rPr>
        <w:t>, in column (3) before “6.8.2.4” insert “6.8.2.1.23”.]</w:t>
      </w:r>
    </w:p>
    <w:p w14:paraId="7A18F9FB"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2B3B0593" w14:textId="77777777" w:rsidR="00970AD4" w:rsidRPr="00970AD4" w:rsidRDefault="00970AD4" w:rsidP="00970AD4">
      <w:pPr>
        <w:spacing w:after="120"/>
        <w:ind w:left="1134" w:right="1134"/>
        <w:jc w:val="both"/>
        <w:rPr>
          <w:lang w:eastAsia="en-US"/>
        </w:rPr>
      </w:pPr>
      <w:r w:rsidRPr="00970AD4">
        <w:rPr>
          <w:lang w:eastAsia="en-US"/>
        </w:rPr>
        <w:t>6.8.3.4.6</w:t>
      </w:r>
      <w:r w:rsidRPr="00970AD4">
        <w:rPr>
          <w:lang w:eastAsia="en-US"/>
        </w:rPr>
        <w:tab/>
        <w:t>Amend to read as follows:</w:t>
      </w:r>
    </w:p>
    <w:p w14:paraId="1251A7C1" w14:textId="77777777" w:rsidR="00970AD4" w:rsidRPr="00970AD4" w:rsidRDefault="00970AD4" w:rsidP="00970AD4">
      <w:pPr>
        <w:spacing w:after="120"/>
        <w:ind w:left="2268" w:right="1134"/>
        <w:jc w:val="both"/>
        <w:rPr>
          <w:lang w:eastAsia="en-US"/>
        </w:rPr>
      </w:pPr>
      <w:r w:rsidRPr="00970AD4">
        <w:rPr>
          <w:lang w:eastAsia="en-US"/>
        </w:rPr>
        <w:tab/>
        <w:t>“6.8.3.4.6</w:t>
      </w:r>
      <w:r w:rsidRPr="00970AD4">
        <w:rPr>
          <w:lang w:eastAsia="en-US"/>
        </w:rPr>
        <w:tab/>
        <w:t>For tanks intended for the carriage of refrigerated liquefied gases:</w:t>
      </w:r>
    </w:p>
    <w:p w14:paraId="619D584D" w14:textId="77777777" w:rsidR="00970AD4" w:rsidRPr="00970AD4" w:rsidRDefault="00970AD4" w:rsidP="00970AD4">
      <w:pPr>
        <w:spacing w:after="120"/>
        <w:ind w:left="3969" w:right="1134" w:hanging="567"/>
        <w:jc w:val="both"/>
        <w:rPr>
          <w:lang w:eastAsia="en-US"/>
        </w:rPr>
      </w:pPr>
      <w:r w:rsidRPr="00970AD4">
        <w:rPr>
          <w:lang w:eastAsia="en-US"/>
        </w:rPr>
        <w:lastRenderedPageBreak/>
        <w:t>(a)</w:t>
      </w:r>
      <w:r w:rsidRPr="00970AD4">
        <w:rPr>
          <w:lang w:eastAsia="en-US"/>
        </w:rPr>
        <w:tab/>
        <w:t>By derogation from the requirements of 6.8.2.4.2, the periodic inspections shall be performed no later than</w:t>
      </w:r>
    </w:p>
    <w:tbl>
      <w:tblPr>
        <w:tblW w:w="4536" w:type="dxa"/>
        <w:tblInd w:w="3969" w:type="dxa"/>
        <w:tblLook w:val="01E0" w:firstRow="1" w:lastRow="1" w:firstColumn="1" w:lastColumn="1" w:noHBand="0" w:noVBand="0"/>
      </w:tblPr>
      <w:tblGrid>
        <w:gridCol w:w="2835"/>
        <w:gridCol w:w="1701"/>
      </w:tblGrid>
      <w:tr w:rsidR="00970AD4" w:rsidRPr="00970AD4" w14:paraId="0A87FDA9" w14:textId="77777777" w:rsidTr="003D2F4B">
        <w:tc>
          <w:tcPr>
            <w:tcW w:w="2835" w:type="dxa"/>
            <w:tcBorders>
              <w:right w:val="single" w:sz="4" w:space="0" w:color="auto"/>
            </w:tcBorders>
          </w:tcPr>
          <w:p w14:paraId="6C515CDC" w14:textId="77777777" w:rsidR="00970AD4" w:rsidRPr="00970AD4" w:rsidRDefault="00970AD4" w:rsidP="00970AD4">
            <w:pPr>
              <w:tabs>
                <w:tab w:val="left" w:pos="315"/>
                <w:tab w:val="left" w:pos="2977"/>
                <w:tab w:val="left" w:pos="4395"/>
              </w:tabs>
              <w:rPr>
                <w:rFonts w:cs="Arial"/>
                <w:szCs w:val="22"/>
                <w:lang w:eastAsia="en-US"/>
              </w:rPr>
            </w:pPr>
            <w:r w:rsidRPr="00970AD4">
              <w:rPr>
                <w:rFonts w:cs="Arial"/>
                <w:iCs/>
                <w:szCs w:val="22"/>
                <w:lang w:eastAsia="en-US"/>
              </w:rPr>
              <w:tab/>
            </w:r>
            <w:r w:rsidRPr="00970AD4">
              <w:rPr>
                <w:rFonts w:cs="Arial"/>
                <w:szCs w:val="22"/>
                <w:lang w:eastAsia="en-US"/>
              </w:rPr>
              <w:t>six years</w:t>
            </w:r>
          </w:p>
        </w:tc>
        <w:tc>
          <w:tcPr>
            <w:tcW w:w="1701" w:type="dxa"/>
            <w:tcBorders>
              <w:left w:val="single" w:sz="4" w:space="0" w:color="auto"/>
            </w:tcBorders>
          </w:tcPr>
          <w:p w14:paraId="08644A6D" w14:textId="77777777" w:rsidR="00970AD4" w:rsidRPr="00970AD4" w:rsidRDefault="00970AD4" w:rsidP="00970AD4">
            <w:pPr>
              <w:tabs>
                <w:tab w:val="left" w:pos="1416"/>
                <w:tab w:val="left" w:pos="2977"/>
                <w:tab w:val="left" w:pos="4395"/>
              </w:tabs>
              <w:rPr>
                <w:rFonts w:cs="Arial"/>
                <w:szCs w:val="22"/>
                <w:lang w:eastAsia="en-US"/>
              </w:rPr>
            </w:pPr>
            <w:r w:rsidRPr="00970AD4">
              <w:rPr>
                <w:rFonts w:cs="Arial"/>
                <w:szCs w:val="22"/>
                <w:lang w:eastAsia="en-US"/>
              </w:rPr>
              <w:t>eight years</w:t>
            </w:r>
          </w:p>
        </w:tc>
      </w:tr>
    </w:tbl>
    <w:p w14:paraId="1E1AE981" w14:textId="77777777" w:rsidR="00970AD4" w:rsidRPr="00970AD4" w:rsidRDefault="00970AD4" w:rsidP="00970AD4">
      <w:pPr>
        <w:spacing w:before="120" w:after="120"/>
        <w:ind w:left="3969" w:right="1134" w:hanging="567"/>
        <w:jc w:val="both"/>
        <w:rPr>
          <w:rFonts w:cs="Arial"/>
          <w:szCs w:val="22"/>
          <w:lang w:eastAsia="en-US"/>
        </w:rPr>
      </w:pPr>
      <w:r w:rsidRPr="00970AD4">
        <w:rPr>
          <w:rFonts w:cs="Arial"/>
          <w:szCs w:val="22"/>
          <w:lang w:eastAsia="en-US"/>
        </w:rPr>
        <w:tab/>
        <w:t>after the initial inspection and thereafter no later than every 12 years;</w:t>
      </w:r>
    </w:p>
    <w:p w14:paraId="097CBAAE" w14:textId="77777777" w:rsidR="00970AD4" w:rsidRPr="00970AD4" w:rsidRDefault="00970AD4" w:rsidP="00970AD4">
      <w:pPr>
        <w:spacing w:after="120"/>
        <w:ind w:left="3969" w:right="1134" w:hanging="567"/>
        <w:jc w:val="both"/>
        <w:rPr>
          <w:rFonts w:cs="Arial"/>
          <w:szCs w:val="22"/>
          <w:lang w:eastAsia="en-US"/>
        </w:rPr>
      </w:pPr>
      <w:r w:rsidRPr="00970AD4">
        <w:rPr>
          <w:rFonts w:cs="Arial"/>
          <w:szCs w:val="22"/>
          <w:lang w:eastAsia="en-US"/>
        </w:rPr>
        <w:t>(b)</w:t>
      </w:r>
      <w:r w:rsidRPr="00970AD4">
        <w:rPr>
          <w:rFonts w:cs="Arial"/>
          <w:szCs w:val="22"/>
          <w:lang w:eastAsia="en-US"/>
        </w:rPr>
        <w:tab/>
        <w:t>By derogation from the requirements of 6.8.2.4.3, the intermediate inspections shall be performed no later than six years after each periodic inspection.”.</w:t>
      </w:r>
    </w:p>
    <w:p w14:paraId="11125D43"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089081B9" w14:textId="77777777" w:rsidR="00970AD4" w:rsidRPr="00970AD4" w:rsidRDefault="00970AD4" w:rsidP="00970AD4">
      <w:pPr>
        <w:spacing w:after="120"/>
        <w:ind w:left="1134" w:right="1134"/>
        <w:jc w:val="both"/>
        <w:rPr>
          <w:i/>
          <w:iCs/>
          <w:lang w:eastAsia="en-US"/>
        </w:rPr>
      </w:pPr>
      <w:r w:rsidRPr="00970AD4">
        <w:rPr>
          <w:i/>
          <w:iCs/>
          <w:lang w:eastAsia="en-US"/>
        </w:rPr>
        <w:t>(Replaces the amendment in ECE/TRANS/WP.15/251, Annex I)</w:t>
      </w:r>
    </w:p>
    <w:p w14:paraId="23119369" w14:textId="07D8834A" w:rsidR="00970AD4" w:rsidRPr="00970AD4" w:rsidRDefault="00970AD4" w:rsidP="00970AD4">
      <w:pPr>
        <w:spacing w:after="120"/>
        <w:ind w:left="2268" w:right="1134" w:hanging="1134"/>
        <w:jc w:val="both"/>
        <w:rPr>
          <w:lang w:eastAsia="en-US"/>
        </w:rPr>
      </w:pPr>
      <w:r w:rsidRPr="00970AD4">
        <w:rPr>
          <w:szCs w:val="22"/>
          <w:lang w:eastAsia="en-US"/>
        </w:rPr>
        <w:t>6.8.4 (d)</w:t>
      </w:r>
      <w:r w:rsidRPr="00970AD4">
        <w:rPr>
          <w:lang w:eastAsia="en-US"/>
        </w:rPr>
        <w:t>, TT3</w:t>
      </w:r>
      <w:r w:rsidRPr="00970AD4">
        <w:rPr>
          <w:lang w:eastAsia="en-US"/>
        </w:rPr>
        <w:tab/>
      </w:r>
      <w:r w:rsidRPr="00970AD4">
        <w:rPr>
          <w:lang w:eastAsia="en-US"/>
        </w:rPr>
        <w:tab/>
      </w:r>
      <w:r w:rsidRPr="00970AD4">
        <w:rPr>
          <w:lang w:eastAsia="en-US"/>
        </w:rPr>
        <w:tab/>
        <w:t>Amend to read as follows:</w:t>
      </w:r>
    </w:p>
    <w:p w14:paraId="7450D7E4" w14:textId="3942DA2A" w:rsidR="00970AD4" w:rsidRPr="00970AD4" w:rsidRDefault="00970AD4" w:rsidP="00970AD4">
      <w:pPr>
        <w:spacing w:after="120"/>
        <w:ind w:left="3402" w:right="1134" w:hanging="1134"/>
        <w:jc w:val="both"/>
        <w:rPr>
          <w:lang w:eastAsia="en-US"/>
        </w:rPr>
      </w:pPr>
      <w:r w:rsidRPr="00970AD4">
        <w:rPr>
          <w:lang w:eastAsia="en-US"/>
        </w:rPr>
        <w:t>“TT3</w:t>
      </w:r>
      <w:r w:rsidRPr="00970AD4">
        <w:rPr>
          <w:lang w:eastAsia="en-US"/>
        </w:rPr>
        <w:tab/>
        <w:t>By derogation from the requirements of 6.8.2.4.2</w:t>
      </w:r>
      <w:r w:rsidRPr="00970AD4">
        <w:rPr>
          <w:lang w:eastAsia="en-US"/>
          <w14:shadow w14:blurRad="50800" w14:dist="38100" w14:dir="2700000" w14:sx="100000" w14:sy="100000" w14:kx="0" w14:ky="0" w14:algn="tl">
            <w14:srgbClr w14:val="000000">
              <w14:alpha w14:val="60000"/>
            </w14:srgbClr>
          </w14:shadow>
        </w:rPr>
        <w:t>,</w:t>
      </w:r>
      <w:r w:rsidRPr="00970AD4">
        <w:rPr>
          <w:lang w:eastAsia="en-US"/>
        </w:rPr>
        <w:t xml:space="preserve"> periodic inspections shall be performed no later than every eight years and shall include a thickness check using suitable instruments. For such tanks, the leakproofness test and check for which provision is made in 6.8.2.4.3 shall be performed no later than every four years.”</w:t>
      </w:r>
    </w:p>
    <w:p w14:paraId="548ED806"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070236AC" w14:textId="2793F310" w:rsidR="00970AD4" w:rsidRPr="00970AD4" w:rsidRDefault="00970AD4" w:rsidP="00970AD4">
      <w:pPr>
        <w:spacing w:after="120"/>
        <w:ind w:left="2268" w:right="1134" w:hanging="1134"/>
        <w:jc w:val="both"/>
        <w:rPr>
          <w:lang w:eastAsia="en-US"/>
        </w:rPr>
      </w:pPr>
      <w:r w:rsidRPr="00970AD4">
        <w:rPr>
          <w:lang w:eastAsia="en-US"/>
        </w:rPr>
        <w:t>6.8.4 (d), TT5</w:t>
      </w:r>
      <w:r w:rsidRPr="00970AD4">
        <w:rPr>
          <w:lang w:eastAsia="en-US"/>
        </w:rPr>
        <w:tab/>
      </w:r>
      <w:r w:rsidRPr="00970AD4">
        <w:rPr>
          <w:lang w:eastAsia="en-US"/>
        </w:rPr>
        <w:tab/>
      </w:r>
      <w:r w:rsidRPr="00970AD4">
        <w:rPr>
          <w:lang w:eastAsia="en-US"/>
        </w:rPr>
        <w:tab/>
        <w:t xml:space="preserve">Replace </w:t>
      </w:r>
      <w:r w:rsidRPr="00970AD4">
        <w:rPr>
          <w:bCs/>
          <w:lang w:eastAsia="en-US"/>
        </w:rPr>
        <w:t>“</w:t>
      </w:r>
      <w:r w:rsidRPr="00970AD4">
        <w:rPr>
          <w:lang w:eastAsia="en-US"/>
        </w:rPr>
        <w:t>shall take place at least</w:t>
      </w:r>
      <w:r w:rsidRPr="00970AD4">
        <w:rPr>
          <w:bCs/>
          <w:lang w:eastAsia="en-US"/>
        </w:rPr>
        <w:t>”</w:t>
      </w:r>
      <w:r w:rsidRPr="00970AD4">
        <w:rPr>
          <w:lang w:eastAsia="en-US"/>
        </w:rPr>
        <w:t xml:space="preserve"> by </w:t>
      </w:r>
      <w:r w:rsidRPr="00970AD4">
        <w:rPr>
          <w:bCs/>
          <w:lang w:eastAsia="en-US"/>
        </w:rPr>
        <w:t>“</w:t>
      </w:r>
      <w:r w:rsidRPr="00970AD4">
        <w:rPr>
          <w:lang w:eastAsia="en-US"/>
        </w:rPr>
        <w:t>shall be performed no later than</w:t>
      </w:r>
      <w:r w:rsidRPr="00970AD4">
        <w:rPr>
          <w:bCs/>
          <w:lang w:eastAsia="en-US"/>
        </w:rPr>
        <w:t>”</w:t>
      </w:r>
      <w:r w:rsidRPr="00970AD4">
        <w:rPr>
          <w:lang w:eastAsia="en-US"/>
        </w:rPr>
        <w:t>.</w:t>
      </w:r>
    </w:p>
    <w:p w14:paraId="7AF82BD0"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1DB5C7C5" w14:textId="49A0F41F" w:rsidR="00970AD4" w:rsidRPr="00970AD4" w:rsidRDefault="00970AD4" w:rsidP="00970AD4">
      <w:pPr>
        <w:spacing w:after="120"/>
        <w:ind w:left="2268" w:right="1134" w:hanging="1134"/>
        <w:jc w:val="both"/>
        <w:rPr>
          <w:lang w:eastAsia="en-US"/>
        </w:rPr>
      </w:pPr>
      <w:r w:rsidRPr="00970AD4">
        <w:rPr>
          <w:lang w:eastAsia="en-US"/>
        </w:rPr>
        <w:t>6.8.4 (d), TT6</w:t>
      </w:r>
      <w:r w:rsidRPr="00970AD4">
        <w:rPr>
          <w:lang w:eastAsia="en-US"/>
        </w:rPr>
        <w:tab/>
      </w:r>
      <w:r w:rsidRPr="00970AD4">
        <w:rPr>
          <w:lang w:eastAsia="en-US"/>
        </w:rPr>
        <w:tab/>
      </w:r>
      <w:r w:rsidRPr="00970AD4">
        <w:rPr>
          <w:lang w:eastAsia="en-US"/>
        </w:rPr>
        <w:tab/>
        <w:t xml:space="preserve">In the left-hand column, replace </w:t>
      </w:r>
      <w:r w:rsidRPr="00970AD4">
        <w:rPr>
          <w:bCs/>
          <w:lang w:eastAsia="en-US"/>
        </w:rPr>
        <w:t>“</w:t>
      </w:r>
      <w:r w:rsidRPr="00970AD4">
        <w:rPr>
          <w:lang w:eastAsia="en-US"/>
        </w:rPr>
        <w:t>shall be carried out at least</w:t>
      </w:r>
      <w:r w:rsidRPr="00970AD4">
        <w:rPr>
          <w:bCs/>
          <w:lang w:eastAsia="en-US"/>
        </w:rPr>
        <w:t>”</w:t>
      </w:r>
      <w:r w:rsidRPr="00970AD4">
        <w:rPr>
          <w:lang w:eastAsia="en-US"/>
        </w:rPr>
        <w:t xml:space="preserve"> by </w:t>
      </w:r>
      <w:r w:rsidRPr="00970AD4">
        <w:rPr>
          <w:bCs/>
          <w:lang w:eastAsia="en-US"/>
        </w:rPr>
        <w:t>“</w:t>
      </w:r>
      <w:r w:rsidRPr="00970AD4">
        <w:rPr>
          <w:lang w:eastAsia="en-US"/>
        </w:rPr>
        <w:t>shall be performed no later than</w:t>
      </w:r>
      <w:r w:rsidRPr="00970AD4">
        <w:rPr>
          <w:bCs/>
          <w:lang w:eastAsia="en-US"/>
        </w:rPr>
        <w:t>”</w:t>
      </w:r>
      <w:r w:rsidRPr="00970AD4">
        <w:rPr>
          <w:lang w:eastAsia="en-US"/>
        </w:rPr>
        <w:t>.</w:t>
      </w:r>
    </w:p>
    <w:p w14:paraId="61BD981F"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4181C902" w14:textId="38E06D15" w:rsidR="00970AD4" w:rsidRPr="00970AD4" w:rsidRDefault="00970AD4" w:rsidP="00970AD4">
      <w:pPr>
        <w:spacing w:after="120"/>
        <w:ind w:left="2268" w:right="1134" w:hanging="1134"/>
        <w:jc w:val="both"/>
        <w:rPr>
          <w:lang w:eastAsia="en-US"/>
        </w:rPr>
      </w:pPr>
      <w:r w:rsidRPr="00970AD4">
        <w:rPr>
          <w:lang w:eastAsia="en-US"/>
        </w:rPr>
        <w:t>6.8.4 (d), TT10</w:t>
      </w:r>
      <w:r w:rsidRPr="00970AD4">
        <w:rPr>
          <w:lang w:eastAsia="en-US"/>
        </w:rPr>
        <w:tab/>
        <w:t xml:space="preserve">Replace </w:t>
      </w:r>
      <w:r w:rsidRPr="00970AD4">
        <w:rPr>
          <w:bCs/>
          <w:lang w:eastAsia="en-US"/>
        </w:rPr>
        <w:t>“</w:t>
      </w:r>
      <w:r w:rsidRPr="00970AD4">
        <w:rPr>
          <w:lang w:eastAsia="en-US"/>
        </w:rPr>
        <w:t>shall take place at least</w:t>
      </w:r>
      <w:r w:rsidRPr="00970AD4">
        <w:rPr>
          <w:bCs/>
          <w:lang w:eastAsia="en-US"/>
        </w:rPr>
        <w:t>”</w:t>
      </w:r>
      <w:r w:rsidRPr="00970AD4">
        <w:rPr>
          <w:lang w:eastAsia="en-US"/>
        </w:rPr>
        <w:t xml:space="preserve"> by </w:t>
      </w:r>
      <w:r w:rsidRPr="00970AD4">
        <w:rPr>
          <w:bCs/>
          <w:lang w:eastAsia="en-US"/>
        </w:rPr>
        <w:t>“</w:t>
      </w:r>
      <w:r w:rsidRPr="00970AD4">
        <w:rPr>
          <w:lang w:eastAsia="en-US"/>
        </w:rPr>
        <w:t>shall be performed no later than</w:t>
      </w:r>
      <w:r w:rsidRPr="00970AD4">
        <w:rPr>
          <w:bCs/>
          <w:lang w:eastAsia="en-US"/>
        </w:rPr>
        <w:t>”</w:t>
      </w:r>
      <w:r w:rsidRPr="00970AD4">
        <w:rPr>
          <w:lang w:eastAsia="en-US"/>
        </w:rPr>
        <w:t>.</w:t>
      </w:r>
    </w:p>
    <w:p w14:paraId="2B093336"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1AFE5E29" w14:textId="14C59D6B" w:rsidR="00970AD4" w:rsidRPr="00970AD4" w:rsidRDefault="00970AD4" w:rsidP="00970AD4">
      <w:pPr>
        <w:tabs>
          <w:tab w:val="left" w:pos="2268"/>
        </w:tabs>
        <w:snapToGrid w:val="0"/>
        <w:spacing w:before="120" w:after="120" w:line="240" w:lineRule="auto"/>
        <w:ind w:left="1134" w:right="1134"/>
        <w:jc w:val="both"/>
        <w:rPr>
          <w:lang w:eastAsia="de-CH"/>
        </w:rPr>
      </w:pPr>
      <w:r w:rsidRPr="00970AD4">
        <w:rPr>
          <w:szCs w:val="22"/>
          <w:lang w:eastAsia="en-US"/>
        </w:rPr>
        <w:t>6.8.4 (d)</w:t>
      </w:r>
      <w:r w:rsidRPr="00970AD4">
        <w:rPr>
          <w:rFonts w:cs="Arial"/>
          <w:szCs w:val="22"/>
          <w:lang w:eastAsia="en-US"/>
        </w:rPr>
        <w:t xml:space="preserve">, </w:t>
      </w:r>
      <w:r w:rsidRPr="00970AD4">
        <w:rPr>
          <w:lang w:eastAsia="de-CH"/>
        </w:rPr>
        <w:t>TT11</w:t>
      </w:r>
      <w:r w:rsidRPr="00970AD4">
        <w:rPr>
          <w:lang w:eastAsia="de-CH"/>
        </w:rPr>
        <w:tab/>
        <w:t>In the list of standards after the second sentence:</w:t>
      </w:r>
    </w:p>
    <w:p w14:paraId="2B6EFF92" w14:textId="77777777" w:rsidR="00970AD4" w:rsidRPr="00970AD4" w:rsidRDefault="00970AD4" w:rsidP="00970AD4">
      <w:pPr>
        <w:tabs>
          <w:tab w:val="left" w:pos="2268"/>
        </w:tabs>
        <w:snapToGrid w:val="0"/>
        <w:spacing w:before="120" w:after="120" w:line="240" w:lineRule="auto"/>
        <w:ind w:left="1134" w:right="1134"/>
        <w:jc w:val="both"/>
        <w:rPr>
          <w:lang w:eastAsia="de-CH"/>
        </w:rPr>
      </w:pPr>
      <w:r w:rsidRPr="00970AD4">
        <w:rPr>
          <w:lang w:eastAsia="de-CH"/>
        </w:rPr>
        <w:tab/>
        <w:t xml:space="preserve">Replace </w:t>
      </w:r>
      <w:r w:rsidRPr="00970AD4">
        <w:rPr>
          <w:bCs/>
          <w:lang w:eastAsia="en-US"/>
        </w:rPr>
        <w:t>“</w:t>
      </w:r>
      <w:r w:rsidRPr="00970AD4">
        <w:rPr>
          <w:lang w:eastAsia="de-CH"/>
        </w:rPr>
        <w:t>EN ISO 17640:2010</w:t>
      </w:r>
      <w:r w:rsidRPr="00970AD4">
        <w:rPr>
          <w:bCs/>
          <w:lang w:eastAsia="en-US"/>
        </w:rPr>
        <w:t>”</w:t>
      </w:r>
      <w:r w:rsidRPr="00970AD4">
        <w:rPr>
          <w:lang w:eastAsia="de-CH"/>
        </w:rPr>
        <w:t xml:space="preserve"> by </w:t>
      </w:r>
      <w:r w:rsidRPr="00970AD4">
        <w:rPr>
          <w:lang w:eastAsia="de-CH"/>
        </w:rPr>
        <w:tab/>
      </w:r>
      <w:r w:rsidRPr="00970AD4">
        <w:rPr>
          <w:bCs/>
          <w:lang w:eastAsia="en-US"/>
        </w:rPr>
        <w:t>“</w:t>
      </w:r>
      <w:r w:rsidRPr="00970AD4">
        <w:rPr>
          <w:lang w:eastAsia="de-CH"/>
        </w:rPr>
        <w:t>EN ISO 17640:2018</w:t>
      </w:r>
      <w:r w:rsidRPr="00970AD4">
        <w:rPr>
          <w:bCs/>
          <w:lang w:eastAsia="en-US"/>
        </w:rPr>
        <w:t>”</w:t>
      </w:r>
      <w:r w:rsidRPr="00970AD4">
        <w:rPr>
          <w:lang w:eastAsia="de-CH"/>
        </w:rPr>
        <w:t>.</w:t>
      </w:r>
    </w:p>
    <w:p w14:paraId="5C4F521D" w14:textId="77777777" w:rsidR="00970AD4" w:rsidRPr="00970AD4" w:rsidRDefault="00970AD4" w:rsidP="00970AD4">
      <w:pPr>
        <w:tabs>
          <w:tab w:val="left" w:pos="2268"/>
        </w:tabs>
        <w:snapToGrid w:val="0"/>
        <w:spacing w:before="120" w:after="120" w:line="240" w:lineRule="auto"/>
        <w:ind w:left="1134" w:right="1134"/>
        <w:jc w:val="both"/>
        <w:rPr>
          <w:lang w:eastAsia="de-CH"/>
        </w:rPr>
      </w:pPr>
      <w:r w:rsidRPr="00970AD4">
        <w:rPr>
          <w:lang w:eastAsia="de-CH"/>
        </w:rPr>
        <w:tab/>
        <w:t xml:space="preserve">Replace </w:t>
      </w:r>
      <w:r w:rsidRPr="00970AD4">
        <w:rPr>
          <w:bCs/>
          <w:lang w:eastAsia="en-US"/>
        </w:rPr>
        <w:t>“</w:t>
      </w:r>
      <w:r w:rsidRPr="00970AD4">
        <w:rPr>
          <w:lang w:eastAsia="de-CH"/>
        </w:rPr>
        <w:t>EN ISO 17638:2009</w:t>
      </w:r>
      <w:r w:rsidRPr="00970AD4">
        <w:rPr>
          <w:bCs/>
          <w:lang w:eastAsia="en-US"/>
        </w:rPr>
        <w:t>”</w:t>
      </w:r>
      <w:r w:rsidRPr="00970AD4">
        <w:rPr>
          <w:lang w:eastAsia="de-CH"/>
        </w:rPr>
        <w:t xml:space="preserve"> by </w:t>
      </w:r>
      <w:r w:rsidRPr="00970AD4">
        <w:rPr>
          <w:lang w:eastAsia="de-CH"/>
        </w:rPr>
        <w:tab/>
      </w:r>
      <w:r w:rsidRPr="00970AD4">
        <w:rPr>
          <w:bCs/>
          <w:lang w:eastAsia="en-US"/>
        </w:rPr>
        <w:t>“</w:t>
      </w:r>
      <w:r w:rsidRPr="00970AD4">
        <w:rPr>
          <w:lang w:eastAsia="de-CH"/>
        </w:rPr>
        <w:t>EN ISO 17638:2016</w:t>
      </w:r>
      <w:r w:rsidRPr="00970AD4">
        <w:rPr>
          <w:bCs/>
          <w:lang w:eastAsia="en-US"/>
        </w:rPr>
        <w:t>”</w:t>
      </w:r>
      <w:r w:rsidRPr="00970AD4">
        <w:rPr>
          <w:lang w:eastAsia="de-CH"/>
        </w:rPr>
        <w:t>.</w:t>
      </w:r>
    </w:p>
    <w:p w14:paraId="6A0E06B6" w14:textId="77777777" w:rsidR="00970AD4" w:rsidRPr="00970AD4" w:rsidRDefault="00970AD4" w:rsidP="00970AD4">
      <w:pPr>
        <w:tabs>
          <w:tab w:val="left" w:pos="2268"/>
        </w:tabs>
        <w:snapToGrid w:val="0"/>
        <w:spacing w:before="120" w:after="120" w:line="240" w:lineRule="auto"/>
        <w:ind w:left="2268" w:right="1134" w:hanging="1134"/>
        <w:jc w:val="both"/>
        <w:rPr>
          <w:lang w:eastAsia="de-CH"/>
        </w:rPr>
      </w:pPr>
      <w:r w:rsidRPr="00970AD4">
        <w:rPr>
          <w:lang w:eastAsia="de-CH"/>
        </w:rPr>
        <w:tab/>
        <w:t xml:space="preserve">Replace </w:t>
      </w:r>
      <w:r w:rsidRPr="00970AD4">
        <w:rPr>
          <w:bCs/>
          <w:lang w:eastAsia="en-US"/>
        </w:rPr>
        <w:t>“</w:t>
      </w:r>
      <w:r w:rsidRPr="00970AD4">
        <w:rPr>
          <w:lang w:eastAsia="de-CH"/>
        </w:rPr>
        <w:t>EN ISO 23278:2009 – Magnetic particle testing of welds. Acceptance levels</w:t>
      </w:r>
      <w:r w:rsidRPr="00970AD4">
        <w:rPr>
          <w:bCs/>
          <w:lang w:eastAsia="en-US"/>
        </w:rPr>
        <w:t>”</w:t>
      </w:r>
      <w:r w:rsidRPr="00970AD4">
        <w:rPr>
          <w:lang w:eastAsia="de-CH"/>
        </w:rPr>
        <w:t xml:space="preserve"> by </w:t>
      </w:r>
      <w:r w:rsidRPr="00970AD4">
        <w:rPr>
          <w:bCs/>
          <w:lang w:eastAsia="en-US"/>
        </w:rPr>
        <w:t>“</w:t>
      </w:r>
      <w:r w:rsidRPr="00970AD4">
        <w:rPr>
          <w:lang w:eastAsia="de-CH"/>
        </w:rPr>
        <w:t>EN ISO 23278:2015 – Non-destructive testing of welds – Magnetic particle testing. Acceptance levels</w:t>
      </w:r>
      <w:r w:rsidRPr="00970AD4">
        <w:rPr>
          <w:bCs/>
          <w:lang w:eastAsia="en-US"/>
        </w:rPr>
        <w:t>”</w:t>
      </w:r>
      <w:r w:rsidRPr="00970AD4">
        <w:rPr>
          <w:lang w:eastAsia="de-CH"/>
        </w:rPr>
        <w:t>.</w:t>
      </w:r>
    </w:p>
    <w:p w14:paraId="37246EB3" w14:textId="77777777" w:rsidR="00970AD4" w:rsidRPr="00970AD4" w:rsidRDefault="00970AD4" w:rsidP="00970AD4">
      <w:pPr>
        <w:tabs>
          <w:tab w:val="left" w:pos="2268"/>
        </w:tabs>
        <w:snapToGrid w:val="0"/>
        <w:spacing w:before="120" w:after="120" w:line="240" w:lineRule="auto"/>
        <w:ind w:left="1134" w:right="1134"/>
        <w:jc w:val="both"/>
        <w:rPr>
          <w:lang w:eastAsia="de-CH"/>
        </w:rPr>
      </w:pPr>
      <w:r w:rsidRPr="00970AD4">
        <w:rPr>
          <w:lang w:eastAsia="de-CH"/>
        </w:rPr>
        <w:tab/>
        <w:t xml:space="preserve">Replace </w:t>
      </w:r>
      <w:r w:rsidRPr="00970AD4">
        <w:rPr>
          <w:bCs/>
          <w:lang w:eastAsia="en-US"/>
        </w:rPr>
        <w:t>“</w:t>
      </w:r>
      <w:r w:rsidRPr="00970AD4">
        <w:rPr>
          <w:lang w:eastAsia="de-CH"/>
        </w:rPr>
        <w:t>EN</w:t>
      </w:r>
      <w:r w:rsidRPr="00970AD4">
        <w:rPr>
          <w:lang w:eastAsia="en-US"/>
        </w:rPr>
        <w:t> </w:t>
      </w:r>
      <w:r w:rsidRPr="00970AD4">
        <w:rPr>
          <w:lang w:eastAsia="de-CH"/>
        </w:rPr>
        <w:t>1711:2000</w:t>
      </w:r>
      <w:r w:rsidRPr="00970AD4">
        <w:rPr>
          <w:bCs/>
          <w:lang w:eastAsia="en-US"/>
        </w:rPr>
        <w:t>”</w:t>
      </w:r>
      <w:r w:rsidRPr="00970AD4">
        <w:rPr>
          <w:lang w:eastAsia="de-CH"/>
        </w:rPr>
        <w:t xml:space="preserve"> by </w:t>
      </w:r>
      <w:r w:rsidRPr="00970AD4">
        <w:rPr>
          <w:bCs/>
          <w:lang w:eastAsia="en-US"/>
        </w:rPr>
        <w:t>“</w:t>
      </w:r>
      <w:r w:rsidRPr="00970AD4">
        <w:rPr>
          <w:lang w:eastAsia="de-CH"/>
        </w:rPr>
        <w:t>EN ISO 17643:2015</w:t>
      </w:r>
      <w:r w:rsidRPr="00970AD4">
        <w:rPr>
          <w:bCs/>
          <w:lang w:eastAsia="en-US"/>
        </w:rPr>
        <w:t>”</w:t>
      </w:r>
      <w:r w:rsidRPr="00970AD4">
        <w:rPr>
          <w:lang w:eastAsia="de-CH"/>
        </w:rPr>
        <w:t>.</w:t>
      </w:r>
    </w:p>
    <w:p w14:paraId="0BB7A92A" w14:textId="77777777" w:rsidR="00970AD4" w:rsidRPr="00970AD4" w:rsidRDefault="00970AD4" w:rsidP="00970AD4">
      <w:pPr>
        <w:tabs>
          <w:tab w:val="left" w:pos="2268"/>
        </w:tabs>
        <w:snapToGrid w:val="0"/>
        <w:spacing w:before="120" w:after="120" w:line="240" w:lineRule="auto"/>
        <w:ind w:left="1134" w:right="1134"/>
        <w:jc w:val="both"/>
        <w:rPr>
          <w:lang w:eastAsia="de-CH"/>
        </w:rPr>
      </w:pPr>
      <w:r w:rsidRPr="00970AD4">
        <w:rPr>
          <w:lang w:eastAsia="de-CH"/>
        </w:rPr>
        <w:tab/>
        <w:t xml:space="preserve">Replace </w:t>
      </w:r>
      <w:r w:rsidRPr="00970AD4">
        <w:rPr>
          <w:bCs/>
          <w:lang w:eastAsia="en-US"/>
        </w:rPr>
        <w:t>“</w:t>
      </w:r>
      <w:r w:rsidRPr="00970AD4">
        <w:rPr>
          <w:lang w:eastAsia="de-CH"/>
        </w:rPr>
        <w:t>EN 14127:2011</w:t>
      </w:r>
      <w:r w:rsidRPr="00970AD4">
        <w:rPr>
          <w:bCs/>
          <w:lang w:eastAsia="en-US"/>
        </w:rPr>
        <w:t>”</w:t>
      </w:r>
      <w:r w:rsidRPr="00970AD4">
        <w:rPr>
          <w:lang w:eastAsia="de-CH"/>
        </w:rPr>
        <w:t xml:space="preserve"> by </w:t>
      </w:r>
      <w:r w:rsidRPr="00970AD4">
        <w:rPr>
          <w:bCs/>
          <w:lang w:eastAsia="en-US"/>
        </w:rPr>
        <w:t>“</w:t>
      </w:r>
      <w:r w:rsidRPr="00970AD4">
        <w:rPr>
          <w:lang w:eastAsia="de-CH"/>
        </w:rPr>
        <w:t>EN ISO 16809:2019</w:t>
      </w:r>
      <w:r w:rsidRPr="00970AD4">
        <w:rPr>
          <w:bCs/>
          <w:lang w:eastAsia="en-US"/>
        </w:rPr>
        <w:t>”</w:t>
      </w:r>
      <w:r w:rsidRPr="00970AD4">
        <w:rPr>
          <w:lang w:eastAsia="de-CH"/>
        </w:rPr>
        <w:t>.</w:t>
      </w:r>
    </w:p>
    <w:p w14:paraId="1FE16576" w14:textId="77777777" w:rsidR="00970AD4" w:rsidRPr="00970AD4" w:rsidRDefault="00970AD4" w:rsidP="00970AD4">
      <w:pPr>
        <w:tabs>
          <w:tab w:val="left" w:pos="2268"/>
        </w:tabs>
        <w:snapToGrid w:val="0"/>
        <w:spacing w:before="120" w:after="120" w:line="240" w:lineRule="auto"/>
        <w:ind w:left="2268" w:right="1134" w:hanging="1134"/>
        <w:jc w:val="both"/>
        <w:rPr>
          <w:lang w:eastAsia="de-CH"/>
        </w:rPr>
      </w:pPr>
      <w:r w:rsidRPr="00970AD4">
        <w:rPr>
          <w:lang w:eastAsia="de-CH"/>
        </w:rPr>
        <w:tab/>
      </w:r>
      <w:r w:rsidRPr="00970AD4">
        <w:rPr>
          <w:lang w:eastAsia="de-CH"/>
        </w:rPr>
        <w:tab/>
        <w:t>In the paragraph after the table, replace EN ISO 23278:2009 – Magnetic particle testing of welds. Acceptance levels</w:t>
      </w:r>
      <w:r w:rsidRPr="00970AD4">
        <w:rPr>
          <w:bCs/>
          <w:lang w:eastAsia="en-US"/>
        </w:rPr>
        <w:t>”</w:t>
      </w:r>
      <w:r w:rsidRPr="00970AD4">
        <w:rPr>
          <w:lang w:eastAsia="de-CH"/>
        </w:rPr>
        <w:t xml:space="preserve"> by </w:t>
      </w:r>
      <w:r w:rsidRPr="00970AD4">
        <w:rPr>
          <w:bCs/>
          <w:lang w:eastAsia="en-US"/>
        </w:rPr>
        <w:t>“</w:t>
      </w:r>
      <w:r w:rsidRPr="00970AD4">
        <w:rPr>
          <w:lang w:eastAsia="de-CH"/>
        </w:rPr>
        <w:t>EN ISO 23278:2015 – Non-destructive testing of welds – Magnetic particle testing. Acceptance levels</w:t>
      </w:r>
      <w:r w:rsidRPr="00970AD4">
        <w:rPr>
          <w:bCs/>
          <w:lang w:eastAsia="en-US"/>
        </w:rPr>
        <w:t>”</w:t>
      </w:r>
      <w:r w:rsidRPr="00970AD4">
        <w:rPr>
          <w:lang w:eastAsia="de-CH"/>
        </w:rPr>
        <w:t>.</w:t>
      </w:r>
    </w:p>
    <w:p w14:paraId="24FE11FF"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42052AF8" w14:textId="77777777" w:rsidR="00970AD4" w:rsidRPr="00970AD4" w:rsidRDefault="00970AD4" w:rsidP="00970AD4">
      <w:pPr>
        <w:keepNext/>
        <w:keepLines/>
        <w:tabs>
          <w:tab w:val="right" w:pos="851"/>
        </w:tabs>
        <w:spacing w:before="360" w:after="240" w:line="270" w:lineRule="exact"/>
        <w:ind w:left="1134" w:right="1134" w:hanging="1134"/>
        <w:rPr>
          <w:b/>
          <w:sz w:val="24"/>
          <w:lang w:eastAsia="en-US"/>
        </w:rPr>
      </w:pPr>
      <w:r w:rsidRPr="00970AD4">
        <w:rPr>
          <w:b/>
          <w:sz w:val="24"/>
          <w:lang w:eastAsia="en-US"/>
        </w:rPr>
        <w:tab/>
      </w:r>
      <w:r w:rsidRPr="00970AD4">
        <w:rPr>
          <w:b/>
          <w:sz w:val="24"/>
          <w:lang w:eastAsia="en-US"/>
        </w:rPr>
        <w:tab/>
        <w:t>Chapter 6.10</w:t>
      </w:r>
    </w:p>
    <w:p w14:paraId="6D3B5CE6" w14:textId="2DBFA16F" w:rsidR="00970AD4" w:rsidRPr="00970AD4" w:rsidRDefault="00970AD4" w:rsidP="00970AD4">
      <w:pPr>
        <w:snapToGrid w:val="0"/>
        <w:spacing w:before="120" w:after="120"/>
        <w:ind w:left="2268" w:hanging="1134"/>
        <w:rPr>
          <w:bCs/>
          <w:szCs w:val="22"/>
          <w:lang w:eastAsia="en-US"/>
        </w:rPr>
      </w:pPr>
      <w:r w:rsidRPr="00970AD4">
        <w:rPr>
          <w:bCs/>
          <w:szCs w:val="22"/>
          <w:lang w:eastAsia="en-US"/>
        </w:rPr>
        <w:t>6.10.4</w:t>
      </w:r>
      <w:r w:rsidRPr="00970AD4">
        <w:rPr>
          <w:bCs/>
          <w:szCs w:val="22"/>
          <w:lang w:eastAsia="en-US"/>
        </w:rPr>
        <w:tab/>
      </w:r>
      <w:r w:rsidRPr="00970AD4">
        <w:rPr>
          <w:bCs/>
          <w:szCs w:val="22"/>
          <w:lang w:eastAsia="en-US"/>
        </w:rPr>
        <w:tab/>
        <w:t xml:space="preserve">Before </w:t>
      </w:r>
      <w:r w:rsidRPr="00970AD4">
        <w:rPr>
          <w:bCs/>
          <w:lang w:eastAsia="en-US"/>
        </w:rPr>
        <w:t>“</w:t>
      </w:r>
      <w:r w:rsidRPr="00970AD4">
        <w:rPr>
          <w:bCs/>
          <w:szCs w:val="22"/>
          <w:lang w:eastAsia="en-US"/>
        </w:rPr>
        <w:t>every three years</w:t>
      </w:r>
      <w:r w:rsidRPr="00970AD4">
        <w:rPr>
          <w:bCs/>
          <w:lang w:eastAsia="en-US"/>
        </w:rPr>
        <w:t>”</w:t>
      </w:r>
      <w:r w:rsidRPr="00970AD4">
        <w:rPr>
          <w:bCs/>
          <w:szCs w:val="22"/>
          <w:lang w:eastAsia="en-US"/>
        </w:rPr>
        <w:t xml:space="preserve">, insert </w:t>
      </w:r>
      <w:r w:rsidRPr="00970AD4">
        <w:rPr>
          <w:bCs/>
          <w:lang w:eastAsia="en-US"/>
        </w:rPr>
        <w:t>“</w:t>
      </w:r>
      <w:r w:rsidRPr="00970AD4">
        <w:rPr>
          <w:bCs/>
          <w:szCs w:val="22"/>
          <w:lang w:eastAsia="en-US"/>
        </w:rPr>
        <w:t>no later than</w:t>
      </w:r>
      <w:r w:rsidRPr="00970AD4">
        <w:rPr>
          <w:bCs/>
          <w:lang w:eastAsia="en-US"/>
        </w:rPr>
        <w:t>”</w:t>
      </w:r>
      <w:r w:rsidRPr="00970AD4">
        <w:rPr>
          <w:bCs/>
          <w:szCs w:val="22"/>
          <w:lang w:eastAsia="en-US"/>
        </w:rPr>
        <w:t>.</w:t>
      </w:r>
      <w:r w:rsidRPr="00970AD4">
        <w:rPr>
          <w:i/>
          <w:iCs/>
          <w:lang w:eastAsia="en-US"/>
        </w:rPr>
        <w:t xml:space="preserve"> </w:t>
      </w:r>
      <w:r w:rsidRPr="00970AD4">
        <w:rPr>
          <w:bCs/>
          <w:szCs w:val="22"/>
          <w:lang w:eastAsia="en-US"/>
        </w:rPr>
        <w:t xml:space="preserve">Before </w:t>
      </w:r>
      <w:r w:rsidRPr="00970AD4">
        <w:rPr>
          <w:bCs/>
          <w:lang w:eastAsia="en-US"/>
        </w:rPr>
        <w:t>“</w:t>
      </w:r>
      <w:r w:rsidRPr="00970AD4">
        <w:rPr>
          <w:bCs/>
          <w:szCs w:val="22"/>
          <w:lang w:eastAsia="en-US"/>
        </w:rPr>
        <w:t>every two and a half years</w:t>
      </w:r>
      <w:r w:rsidRPr="00970AD4">
        <w:rPr>
          <w:bCs/>
          <w:lang w:eastAsia="en-US"/>
        </w:rPr>
        <w:t>”</w:t>
      </w:r>
      <w:r w:rsidRPr="00970AD4">
        <w:rPr>
          <w:bCs/>
          <w:szCs w:val="22"/>
          <w:lang w:eastAsia="en-US"/>
        </w:rPr>
        <w:t xml:space="preserve">, replace </w:t>
      </w:r>
      <w:r w:rsidRPr="00970AD4">
        <w:rPr>
          <w:bCs/>
          <w:lang w:eastAsia="en-US"/>
        </w:rPr>
        <w:t>“</w:t>
      </w:r>
      <w:r w:rsidRPr="00970AD4">
        <w:rPr>
          <w:bCs/>
          <w:szCs w:val="22"/>
          <w:lang w:eastAsia="en-US"/>
        </w:rPr>
        <w:t>at least</w:t>
      </w:r>
      <w:r w:rsidRPr="00970AD4">
        <w:rPr>
          <w:bCs/>
          <w:lang w:eastAsia="en-US"/>
        </w:rPr>
        <w:t>”</w:t>
      </w:r>
      <w:r w:rsidRPr="00970AD4">
        <w:rPr>
          <w:bCs/>
          <w:szCs w:val="22"/>
          <w:lang w:eastAsia="en-US"/>
        </w:rPr>
        <w:t xml:space="preserve"> by </w:t>
      </w:r>
      <w:r w:rsidRPr="00970AD4">
        <w:rPr>
          <w:bCs/>
          <w:lang w:eastAsia="en-US"/>
        </w:rPr>
        <w:t>“</w:t>
      </w:r>
      <w:r w:rsidRPr="00970AD4">
        <w:rPr>
          <w:bCs/>
          <w:szCs w:val="22"/>
          <w:lang w:eastAsia="en-US"/>
        </w:rPr>
        <w:t>no later than</w:t>
      </w:r>
      <w:r w:rsidRPr="00970AD4">
        <w:rPr>
          <w:bCs/>
          <w:lang w:eastAsia="en-US"/>
        </w:rPr>
        <w:t>”</w:t>
      </w:r>
      <w:r w:rsidRPr="00970AD4">
        <w:rPr>
          <w:bCs/>
          <w:szCs w:val="22"/>
          <w:lang w:eastAsia="en-US"/>
        </w:rPr>
        <w:t>.</w:t>
      </w:r>
    </w:p>
    <w:p w14:paraId="1967C929" w14:textId="77777777" w:rsidR="00970AD4" w:rsidRPr="00970AD4" w:rsidRDefault="00970AD4" w:rsidP="00970AD4">
      <w:pPr>
        <w:spacing w:after="120"/>
        <w:ind w:left="1134" w:right="1134"/>
        <w:jc w:val="both"/>
        <w:rPr>
          <w:i/>
          <w:iCs/>
          <w:lang w:eastAsia="en-US"/>
        </w:rPr>
      </w:pPr>
      <w:r w:rsidRPr="00970AD4">
        <w:rPr>
          <w:i/>
          <w:iCs/>
          <w:lang w:eastAsia="en-US"/>
        </w:rPr>
        <w:lastRenderedPageBreak/>
        <w:t>(Reference documents: ECE/TRANS/WP.15/AC.1/160, Annex II and informal document INF.11)</w:t>
      </w:r>
    </w:p>
    <w:p w14:paraId="3D9CE90F" w14:textId="77777777" w:rsidR="00970AD4" w:rsidRPr="00970AD4" w:rsidRDefault="00970AD4" w:rsidP="00970AD4">
      <w:pPr>
        <w:keepNext/>
        <w:keepLines/>
        <w:tabs>
          <w:tab w:val="right" w:pos="851"/>
        </w:tabs>
        <w:spacing w:before="360" w:after="240" w:line="270" w:lineRule="exact"/>
        <w:ind w:left="1134" w:right="1134" w:hanging="1134"/>
        <w:rPr>
          <w:b/>
          <w:sz w:val="24"/>
          <w:lang w:eastAsia="en-US"/>
        </w:rPr>
      </w:pPr>
      <w:r w:rsidRPr="00970AD4">
        <w:rPr>
          <w:b/>
          <w:sz w:val="24"/>
          <w:lang w:eastAsia="en-US"/>
        </w:rPr>
        <w:tab/>
      </w:r>
      <w:r w:rsidRPr="00970AD4">
        <w:rPr>
          <w:b/>
          <w:sz w:val="24"/>
          <w:lang w:eastAsia="en-US"/>
        </w:rPr>
        <w:tab/>
        <w:t>Chapter 6.12</w:t>
      </w:r>
    </w:p>
    <w:p w14:paraId="47A5C302" w14:textId="2BA0E935" w:rsidR="00970AD4" w:rsidRPr="00970AD4" w:rsidRDefault="00970AD4" w:rsidP="00970AD4">
      <w:pPr>
        <w:snapToGrid w:val="0"/>
        <w:spacing w:before="120" w:after="120"/>
        <w:ind w:left="2268" w:hanging="1134"/>
        <w:rPr>
          <w:bCs/>
          <w:szCs w:val="22"/>
          <w:lang w:eastAsia="en-US"/>
        </w:rPr>
      </w:pPr>
      <w:r w:rsidRPr="00970AD4">
        <w:rPr>
          <w:bCs/>
          <w:szCs w:val="22"/>
          <w:lang w:eastAsia="en-US"/>
        </w:rPr>
        <w:t>6.12.3.2.6</w:t>
      </w:r>
      <w:r w:rsidRPr="00970AD4">
        <w:rPr>
          <w:bCs/>
          <w:szCs w:val="22"/>
          <w:lang w:eastAsia="en-US"/>
        </w:rPr>
        <w:tab/>
        <w:t xml:space="preserve">Replace </w:t>
      </w:r>
      <w:r w:rsidRPr="00970AD4">
        <w:rPr>
          <w:bCs/>
          <w:lang w:eastAsia="en-US"/>
        </w:rPr>
        <w:t>“</w:t>
      </w:r>
      <w:r w:rsidRPr="00970AD4">
        <w:rPr>
          <w:bCs/>
          <w:szCs w:val="22"/>
          <w:lang w:eastAsia="en-US"/>
        </w:rPr>
        <w:t>at least</w:t>
      </w:r>
      <w:r w:rsidRPr="00970AD4">
        <w:rPr>
          <w:bCs/>
          <w:lang w:eastAsia="en-US"/>
        </w:rPr>
        <w:t>”</w:t>
      </w:r>
      <w:r w:rsidRPr="00970AD4">
        <w:rPr>
          <w:bCs/>
          <w:szCs w:val="22"/>
          <w:lang w:eastAsia="en-US"/>
        </w:rPr>
        <w:t xml:space="preserve"> by </w:t>
      </w:r>
      <w:r w:rsidRPr="00970AD4">
        <w:rPr>
          <w:bCs/>
          <w:lang w:eastAsia="en-US"/>
        </w:rPr>
        <w:t>“</w:t>
      </w:r>
      <w:r w:rsidRPr="00970AD4">
        <w:rPr>
          <w:bCs/>
          <w:szCs w:val="22"/>
          <w:lang w:eastAsia="en-US"/>
        </w:rPr>
        <w:t>no later than</w:t>
      </w:r>
      <w:r w:rsidRPr="00970AD4">
        <w:rPr>
          <w:bCs/>
          <w:lang w:eastAsia="en-US"/>
        </w:rPr>
        <w:t>”</w:t>
      </w:r>
      <w:r w:rsidRPr="00970AD4">
        <w:rPr>
          <w:bCs/>
          <w:szCs w:val="22"/>
          <w:lang w:eastAsia="en-US"/>
        </w:rPr>
        <w:t>.</w:t>
      </w:r>
    </w:p>
    <w:p w14:paraId="3D370668"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02FDA617" w14:textId="77777777" w:rsidR="00970AD4" w:rsidRPr="00970AD4" w:rsidRDefault="00970AD4" w:rsidP="00970AD4">
      <w:pPr>
        <w:keepNext/>
        <w:keepLines/>
        <w:tabs>
          <w:tab w:val="right" w:pos="851"/>
        </w:tabs>
        <w:spacing w:before="360" w:after="240" w:line="270" w:lineRule="exact"/>
        <w:ind w:left="1134" w:right="1134" w:hanging="1134"/>
        <w:rPr>
          <w:b/>
          <w:sz w:val="24"/>
          <w:lang w:eastAsia="en-US"/>
        </w:rPr>
      </w:pPr>
      <w:r w:rsidRPr="00970AD4">
        <w:rPr>
          <w:b/>
          <w:sz w:val="24"/>
          <w:lang w:eastAsia="en-US"/>
        </w:rPr>
        <w:tab/>
      </w:r>
      <w:r w:rsidRPr="00970AD4">
        <w:rPr>
          <w:b/>
          <w:sz w:val="24"/>
          <w:lang w:eastAsia="en-US"/>
        </w:rPr>
        <w:tab/>
        <w:t>Chapter 7.4</w:t>
      </w:r>
    </w:p>
    <w:p w14:paraId="57D97FD2" w14:textId="77777777" w:rsidR="00970AD4" w:rsidRPr="00970AD4" w:rsidRDefault="00970AD4" w:rsidP="00970AD4">
      <w:pPr>
        <w:tabs>
          <w:tab w:val="left" w:pos="2268"/>
        </w:tabs>
        <w:spacing w:after="120"/>
        <w:ind w:left="2268" w:right="1134" w:hanging="1134"/>
        <w:jc w:val="both"/>
        <w:rPr>
          <w:bCs/>
          <w:lang w:eastAsia="en-US"/>
        </w:rPr>
      </w:pPr>
      <w:r w:rsidRPr="00970AD4">
        <w:rPr>
          <w:bCs/>
          <w:lang w:eastAsia="zh-CN"/>
        </w:rPr>
        <w:t>7.4.1</w:t>
      </w:r>
      <w:r w:rsidRPr="00970AD4">
        <w:rPr>
          <w:bCs/>
          <w:lang w:eastAsia="zh-CN"/>
        </w:rPr>
        <w:tab/>
        <w:t xml:space="preserve">Amend the first sentence to read as follows: </w:t>
      </w:r>
      <w:r w:rsidRPr="00970AD4">
        <w:rPr>
          <w:bCs/>
          <w:lang w:eastAsia="en-US"/>
        </w:rPr>
        <w:t>“Dangerous goods may only be carried in tanks when a portable tank instruction is shown in column (10) or when a tank code is shown in column (12) of Table A of Chapter 3.2, or when a competent authority has issued an authorisation in accordance with the conditions specified in 6.7.1.3.”</w:t>
      </w:r>
    </w:p>
    <w:p w14:paraId="4E096F5C"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5B02059F" w14:textId="77777777" w:rsidR="00970AD4" w:rsidRPr="00970AD4" w:rsidRDefault="00970AD4" w:rsidP="00970AD4">
      <w:pPr>
        <w:keepNext/>
        <w:keepLines/>
        <w:tabs>
          <w:tab w:val="right" w:pos="851"/>
        </w:tabs>
        <w:spacing w:before="360" w:after="240" w:line="270" w:lineRule="exact"/>
        <w:ind w:left="1134" w:right="1134" w:hanging="1134"/>
        <w:rPr>
          <w:b/>
          <w:sz w:val="24"/>
          <w:lang w:eastAsia="en-US"/>
        </w:rPr>
      </w:pPr>
      <w:r w:rsidRPr="00970AD4">
        <w:rPr>
          <w:b/>
          <w:sz w:val="24"/>
          <w:lang w:eastAsia="en-US"/>
        </w:rPr>
        <w:tab/>
      </w:r>
      <w:r w:rsidRPr="00970AD4">
        <w:rPr>
          <w:b/>
          <w:sz w:val="24"/>
          <w:lang w:eastAsia="en-US"/>
        </w:rPr>
        <w:tab/>
        <w:t>Chapter 8.1</w:t>
      </w:r>
    </w:p>
    <w:p w14:paraId="779E7F7F" w14:textId="571F4D7A" w:rsidR="00970AD4" w:rsidRPr="00970AD4" w:rsidRDefault="00970AD4" w:rsidP="00970AD4">
      <w:pPr>
        <w:tabs>
          <w:tab w:val="left" w:pos="2268"/>
        </w:tabs>
        <w:spacing w:after="120"/>
        <w:ind w:left="2268" w:right="1134" w:hanging="1134"/>
        <w:jc w:val="both"/>
        <w:rPr>
          <w:lang w:eastAsia="en-US"/>
        </w:rPr>
      </w:pPr>
      <w:r w:rsidRPr="00970AD4">
        <w:rPr>
          <w:lang w:eastAsia="en-US"/>
        </w:rPr>
        <w:t>8.1.2.1</w:t>
      </w:r>
      <w:r w:rsidRPr="00970AD4">
        <w:rPr>
          <w:lang w:eastAsia="en-US"/>
        </w:rPr>
        <w:tab/>
        <w:t>In paragraph (a), delete “and, when appropriate, the container/vehicle packing certificate prescribed in 5.4.2”.</w:t>
      </w:r>
    </w:p>
    <w:p w14:paraId="168E2A11" w14:textId="77777777" w:rsidR="00970AD4" w:rsidRPr="00970AD4" w:rsidRDefault="00970AD4" w:rsidP="00970AD4">
      <w:pPr>
        <w:spacing w:after="120"/>
        <w:ind w:left="1134" w:right="1134"/>
        <w:jc w:val="both"/>
        <w:rPr>
          <w:i/>
          <w:iCs/>
          <w:lang w:eastAsia="en-US"/>
        </w:rPr>
      </w:pPr>
      <w:r w:rsidRPr="00970AD4">
        <w:rPr>
          <w:i/>
          <w:iCs/>
          <w:lang w:eastAsia="en-US"/>
        </w:rPr>
        <w:t>(Reference documents: ECE/TRANS/WP.15/AC.1/160, Annex II and informal document INF.11)</w:t>
      </w:r>
    </w:p>
    <w:p w14:paraId="66F09CA0" w14:textId="77777777" w:rsidR="00970AD4" w:rsidRPr="00970AD4" w:rsidRDefault="00970AD4" w:rsidP="00970AD4">
      <w:pPr>
        <w:keepNext/>
        <w:keepLines/>
        <w:tabs>
          <w:tab w:val="right" w:pos="851"/>
        </w:tabs>
        <w:spacing w:before="360" w:after="240" w:line="270" w:lineRule="exact"/>
        <w:ind w:left="1134" w:right="1134" w:hanging="1134"/>
        <w:rPr>
          <w:b/>
          <w:sz w:val="24"/>
          <w:lang w:eastAsia="en-US"/>
        </w:rPr>
      </w:pPr>
      <w:r w:rsidRPr="00970AD4">
        <w:rPr>
          <w:b/>
          <w:sz w:val="24"/>
          <w:lang w:eastAsia="en-US"/>
        </w:rPr>
        <w:tab/>
      </w:r>
      <w:r w:rsidRPr="00970AD4">
        <w:rPr>
          <w:b/>
          <w:sz w:val="24"/>
          <w:lang w:eastAsia="en-US"/>
        </w:rPr>
        <w:tab/>
        <w:t>Chapter 8.5</w:t>
      </w:r>
    </w:p>
    <w:p w14:paraId="37B586C9" w14:textId="77777777" w:rsidR="00970AD4" w:rsidRPr="00970AD4" w:rsidRDefault="00970AD4" w:rsidP="00970AD4">
      <w:pPr>
        <w:spacing w:after="120"/>
        <w:ind w:left="2268" w:right="1134" w:hanging="1134"/>
        <w:jc w:val="both"/>
        <w:rPr>
          <w:lang w:eastAsia="en-US"/>
        </w:rPr>
      </w:pPr>
      <w:r w:rsidRPr="00970AD4">
        <w:rPr>
          <w:lang w:eastAsia="en-US"/>
        </w:rPr>
        <w:t>S1 (6)</w:t>
      </w:r>
      <w:r w:rsidRPr="00970AD4">
        <w:rPr>
          <w:lang w:eastAsia="en-US"/>
        </w:rPr>
        <w:tab/>
        <w:t>In the list in the first paragraph, replace “and 0500” by “, 0500, 0512 and 0513”.</w:t>
      </w:r>
    </w:p>
    <w:p w14:paraId="4A008CA2" w14:textId="77777777" w:rsidR="00970AD4" w:rsidRPr="00970AD4" w:rsidRDefault="00970AD4" w:rsidP="00970AD4">
      <w:pPr>
        <w:spacing w:after="120"/>
        <w:ind w:left="1134" w:right="1134"/>
        <w:jc w:val="both"/>
        <w:rPr>
          <w:i/>
          <w:iCs/>
          <w:lang w:eastAsia="en-US"/>
        </w:rPr>
      </w:pPr>
      <w:r w:rsidRPr="00970AD4">
        <w:rPr>
          <w:i/>
          <w:iCs/>
          <w:lang w:eastAsia="en-US"/>
        </w:rPr>
        <w:t>(Reference document: ECE/TRANS/WP.15/2021/3)</w:t>
      </w:r>
    </w:p>
    <w:p w14:paraId="28BB9B4F" w14:textId="4041F6C6" w:rsidR="00DA6A30" w:rsidRDefault="00DA6A30">
      <w:pPr>
        <w:suppressAutoHyphens w:val="0"/>
        <w:spacing w:line="240" w:lineRule="auto"/>
      </w:pPr>
      <w:r>
        <w:br w:type="page"/>
      </w:r>
    </w:p>
    <w:p w14:paraId="75312B94" w14:textId="11580201" w:rsidR="00DA6A30" w:rsidRDefault="00DA6A30" w:rsidP="00DA6A30">
      <w:pPr>
        <w:pStyle w:val="HChG"/>
      </w:pPr>
      <w:r>
        <w:lastRenderedPageBreak/>
        <w:t>Annex II</w:t>
      </w:r>
    </w:p>
    <w:p w14:paraId="7A61B48A" w14:textId="08B49EA8" w:rsidR="00DA6A30" w:rsidRDefault="00DA6A30" w:rsidP="00DA6A30">
      <w:pPr>
        <w:pStyle w:val="HChG"/>
      </w:pPr>
      <w:r>
        <w:tab/>
      </w:r>
      <w:r>
        <w:tab/>
      </w:r>
      <w:r w:rsidR="00DE6C1D">
        <w:t>Corrections to the English version of ADR 2021</w:t>
      </w:r>
    </w:p>
    <w:p w14:paraId="706F1CEB" w14:textId="77777777" w:rsidR="00BF3345" w:rsidRPr="00BF3345" w:rsidRDefault="00BF3345" w:rsidP="00BF3345">
      <w:pPr>
        <w:spacing w:after="120"/>
        <w:ind w:left="1134" w:right="1134"/>
        <w:jc w:val="both"/>
        <w:rPr>
          <w:b/>
          <w:bCs/>
          <w:lang w:eastAsia="en-US"/>
        </w:rPr>
      </w:pPr>
      <w:r w:rsidRPr="00BF3345">
        <w:rPr>
          <w:b/>
          <w:bCs/>
          <w:lang w:eastAsia="en-US"/>
        </w:rPr>
        <w:t>Chapter 5.2, figure 5.2.1.0.1.2, figure numbering</w:t>
      </w:r>
    </w:p>
    <w:p w14:paraId="71B55808" w14:textId="77777777" w:rsidR="00BF3345" w:rsidRPr="00BF3345" w:rsidRDefault="00BF3345" w:rsidP="00BF3345">
      <w:pPr>
        <w:spacing w:after="120"/>
        <w:ind w:left="1134" w:right="1134"/>
        <w:jc w:val="both"/>
        <w:rPr>
          <w:lang w:eastAsia="en-US"/>
        </w:rPr>
      </w:pPr>
      <w:r w:rsidRPr="00BF3345">
        <w:rPr>
          <w:i/>
          <w:iCs/>
          <w:lang w:eastAsia="en-US"/>
        </w:rPr>
        <w:t>For</w:t>
      </w:r>
      <w:r w:rsidRPr="00BF3345">
        <w:rPr>
          <w:lang w:eastAsia="en-US"/>
        </w:rPr>
        <w:t xml:space="preserve"> 5.2.1.0.1.2 </w:t>
      </w:r>
      <w:r w:rsidRPr="00BF3345">
        <w:rPr>
          <w:i/>
          <w:iCs/>
          <w:lang w:eastAsia="en-US"/>
        </w:rPr>
        <w:t>read</w:t>
      </w:r>
      <w:r w:rsidRPr="00BF3345">
        <w:rPr>
          <w:lang w:eastAsia="en-US"/>
        </w:rPr>
        <w:t xml:space="preserve"> 5.2.1.10.1.2</w:t>
      </w:r>
    </w:p>
    <w:p w14:paraId="54FF2410" w14:textId="77777777" w:rsidR="00BF3345" w:rsidRPr="00BF3345" w:rsidRDefault="00BF3345" w:rsidP="00BF3345">
      <w:pPr>
        <w:spacing w:after="120"/>
        <w:ind w:left="1134" w:right="1134"/>
        <w:jc w:val="both"/>
        <w:rPr>
          <w:i/>
          <w:iCs/>
          <w:lang w:eastAsia="en-US"/>
        </w:rPr>
      </w:pPr>
      <w:r w:rsidRPr="00BF3345">
        <w:rPr>
          <w:i/>
          <w:iCs/>
          <w:lang w:eastAsia="en-US"/>
        </w:rPr>
        <w:t>(Reference document: informal document INF.10, proposal 2)</w:t>
      </w:r>
    </w:p>
    <w:p w14:paraId="5B176F13" w14:textId="77777777" w:rsidR="00BF3345" w:rsidRPr="00BF3345" w:rsidRDefault="00BF3345" w:rsidP="00BF3345">
      <w:pPr>
        <w:spacing w:after="120"/>
        <w:ind w:left="1134" w:right="1134"/>
        <w:jc w:val="both"/>
        <w:rPr>
          <w:b/>
          <w:bCs/>
          <w:lang w:eastAsia="en-US"/>
        </w:rPr>
      </w:pPr>
      <w:r w:rsidRPr="00BF3345">
        <w:rPr>
          <w:b/>
          <w:bCs/>
          <w:lang w:eastAsia="en-US"/>
        </w:rPr>
        <w:t>Chapter 8.5, special provision S3, sentence under the heading</w:t>
      </w:r>
    </w:p>
    <w:p w14:paraId="2D0D1002" w14:textId="77777777" w:rsidR="00BF3345" w:rsidRPr="00BF3345" w:rsidRDefault="00BF3345" w:rsidP="00BF3345">
      <w:pPr>
        <w:spacing w:after="120"/>
        <w:ind w:left="1134" w:right="1134"/>
        <w:jc w:val="both"/>
        <w:rPr>
          <w:lang w:eastAsia="en-US"/>
        </w:rPr>
      </w:pPr>
      <w:r w:rsidRPr="00BF3345">
        <w:rPr>
          <w:i/>
          <w:iCs/>
          <w:lang w:eastAsia="en-US"/>
        </w:rPr>
        <w:t>For</w:t>
      </w:r>
      <w:r w:rsidRPr="00BF3345">
        <w:rPr>
          <w:lang w:eastAsia="en-US"/>
        </w:rPr>
        <w:t xml:space="preserve"> and 8.3.4 </w:t>
      </w:r>
      <w:r w:rsidRPr="00BF3345">
        <w:rPr>
          <w:i/>
          <w:iCs/>
          <w:lang w:eastAsia="en-US"/>
        </w:rPr>
        <w:t>read</w:t>
      </w:r>
      <w:r w:rsidRPr="00BF3345">
        <w:rPr>
          <w:lang w:eastAsia="en-US"/>
        </w:rPr>
        <w:t xml:space="preserve"> and the requirements in 8.3.4</w:t>
      </w:r>
    </w:p>
    <w:p w14:paraId="692BE9FA" w14:textId="77777777" w:rsidR="00BF3345" w:rsidRPr="00BF3345" w:rsidRDefault="00BF3345" w:rsidP="00BF3345">
      <w:pPr>
        <w:spacing w:after="120"/>
        <w:ind w:left="1134" w:right="1134"/>
        <w:jc w:val="both"/>
        <w:rPr>
          <w:i/>
          <w:iCs/>
          <w:lang w:eastAsia="en-US"/>
        </w:rPr>
      </w:pPr>
      <w:r w:rsidRPr="00BF3345">
        <w:rPr>
          <w:i/>
          <w:iCs/>
          <w:lang w:eastAsia="en-US"/>
        </w:rPr>
        <w:t>(Reference document: informal document INF.10, proposal 1, as amended)</w:t>
      </w:r>
    </w:p>
    <w:p w14:paraId="3DA4D1F0" w14:textId="24F0E4DC" w:rsidR="008A36DB" w:rsidRDefault="008A36DB">
      <w:pPr>
        <w:suppressAutoHyphens w:val="0"/>
        <w:spacing w:line="240" w:lineRule="auto"/>
      </w:pPr>
      <w:r>
        <w:br w:type="page"/>
      </w:r>
    </w:p>
    <w:p w14:paraId="052D9D84" w14:textId="2730554B" w:rsidR="008A36DB" w:rsidRDefault="008A36DB" w:rsidP="008A36DB">
      <w:pPr>
        <w:pStyle w:val="HChG"/>
      </w:pPr>
      <w:r>
        <w:lastRenderedPageBreak/>
        <w:t>Annex III</w:t>
      </w:r>
    </w:p>
    <w:p w14:paraId="4200790A" w14:textId="26EE58B8" w:rsidR="008A36DB" w:rsidRDefault="008A36DB" w:rsidP="008A36DB">
      <w:pPr>
        <w:pStyle w:val="HChG"/>
      </w:pPr>
      <w:r>
        <w:tab/>
      </w:r>
      <w:r>
        <w:tab/>
        <w:t>List of decisions</w:t>
      </w:r>
    </w:p>
    <w:p w14:paraId="07D2B8DD" w14:textId="456FAAAF" w:rsidR="00962AAA" w:rsidRPr="00962AAA" w:rsidRDefault="00962AAA" w:rsidP="00962AAA">
      <w:pPr>
        <w:tabs>
          <w:tab w:val="left" w:pos="1701"/>
          <w:tab w:val="left" w:pos="2268"/>
        </w:tabs>
        <w:spacing w:after="120"/>
        <w:ind w:left="1134" w:right="1134"/>
        <w:jc w:val="both"/>
        <w:rPr>
          <w:rFonts w:eastAsia="SimSun"/>
          <w:lang w:eastAsia="zh-CN"/>
        </w:rPr>
      </w:pPr>
      <w:r w:rsidRPr="00962AAA">
        <w:rPr>
          <w:rFonts w:eastAsia="SimSun"/>
          <w:lang w:eastAsia="zh-CN"/>
        </w:rPr>
        <w:t>Decision 1: The Working Party endorsed the amendment to 1.9.4 adopted by the Joint Meeting at its autumn 2020 session (ECE/TRANS/WP.15/AC.1/158, annex II).</w:t>
      </w:r>
    </w:p>
    <w:p w14:paraId="56386977" w14:textId="12E9F72E" w:rsidR="003609F1" w:rsidRPr="003609F1" w:rsidRDefault="003609F1" w:rsidP="003609F1">
      <w:pPr>
        <w:tabs>
          <w:tab w:val="left" w:pos="1701"/>
          <w:tab w:val="left" w:pos="2268"/>
        </w:tabs>
        <w:spacing w:after="120"/>
        <w:ind w:left="1134" w:right="1134"/>
        <w:jc w:val="both"/>
        <w:rPr>
          <w:rFonts w:eastAsia="SimSun"/>
          <w:lang w:eastAsia="zh-CN"/>
        </w:rPr>
      </w:pPr>
      <w:r w:rsidRPr="003609F1">
        <w:rPr>
          <w:rFonts w:eastAsia="SimSun"/>
          <w:lang w:eastAsia="zh-CN"/>
        </w:rPr>
        <w:t>Decision 2: The Working Party endorsed the draft amendment adopted by the Joint Meeting at its spring session in 2021, as contained in informal document INF.11 available in English, French and Russian.</w:t>
      </w:r>
    </w:p>
    <w:p w14:paraId="2E8EEE9E" w14:textId="6D465DD7" w:rsidR="00EB071E" w:rsidRPr="00EB071E" w:rsidRDefault="00EB071E" w:rsidP="00EB071E">
      <w:pPr>
        <w:tabs>
          <w:tab w:val="left" w:pos="1701"/>
          <w:tab w:val="left" w:pos="2268"/>
        </w:tabs>
        <w:spacing w:after="120"/>
        <w:ind w:left="1134" w:right="1134"/>
        <w:jc w:val="both"/>
        <w:rPr>
          <w:rFonts w:eastAsia="SimSun"/>
          <w:lang w:eastAsia="zh-CN"/>
        </w:rPr>
      </w:pPr>
      <w:r w:rsidRPr="00EB071E">
        <w:rPr>
          <w:rFonts w:eastAsia="SimSun"/>
          <w:lang w:eastAsia="zh-CN"/>
        </w:rPr>
        <w:t>Decision 3: The Working Party adopted the proposal contained in document ECE/TRANS/WP.15/2021/1.</w:t>
      </w:r>
    </w:p>
    <w:p w14:paraId="31347F40" w14:textId="52E92395" w:rsidR="007D225D" w:rsidRPr="007D225D" w:rsidRDefault="007D225D" w:rsidP="007D225D">
      <w:pPr>
        <w:tabs>
          <w:tab w:val="left" w:pos="1701"/>
          <w:tab w:val="left" w:pos="2268"/>
        </w:tabs>
        <w:spacing w:after="120"/>
        <w:ind w:left="1134" w:right="1134"/>
        <w:jc w:val="both"/>
        <w:rPr>
          <w:rFonts w:eastAsia="SimSun"/>
          <w:lang w:eastAsia="zh-CN"/>
        </w:rPr>
      </w:pPr>
      <w:r w:rsidRPr="007D225D">
        <w:rPr>
          <w:rFonts w:eastAsia="SimSun"/>
          <w:lang w:eastAsia="zh-CN"/>
        </w:rPr>
        <w:t>Decision 4: The Working Party adopted the proposal contained in document ECE/TRANS/WP.15/2021/3.</w:t>
      </w:r>
    </w:p>
    <w:p w14:paraId="532E19D6" w14:textId="030C80F8" w:rsidR="00923AAD" w:rsidRPr="00923AAD" w:rsidRDefault="00923AAD" w:rsidP="00923AAD">
      <w:pPr>
        <w:tabs>
          <w:tab w:val="left" w:pos="1701"/>
          <w:tab w:val="left" w:pos="2268"/>
        </w:tabs>
        <w:spacing w:after="120"/>
        <w:ind w:left="1134" w:right="1134"/>
        <w:jc w:val="both"/>
        <w:rPr>
          <w:rFonts w:eastAsia="SimSun"/>
          <w:lang w:eastAsia="zh-CN"/>
        </w:rPr>
      </w:pPr>
      <w:r w:rsidRPr="00923AAD">
        <w:rPr>
          <w:rFonts w:eastAsia="SimSun"/>
          <w:lang w:eastAsia="zh-CN"/>
        </w:rPr>
        <w:t>Decision 5: The Working Party confirmed the interpretations proposed in paragraphs 8, 9, 12 and 14 of document ECE/TRANS/WP.15/2021/5.</w:t>
      </w:r>
    </w:p>
    <w:p w14:paraId="5436B278" w14:textId="3A853818" w:rsidR="00B7514E" w:rsidRPr="00B7514E" w:rsidRDefault="00B7514E" w:rsidP="00B7514E">
      <w:pPr>
        <w:tabs>
          <w:tab w:val="left" w:pos="1701"/>
          <w:tab w:val="left" w:pos="2268"/>
        </w:tabs>
        <w:spacing w:after="120"/>
        <w:ind w:left="1134" w:right="1134"/>
        <w:jc w:val="both"/>
        <w:rPr>
          <w:rFonts w:eastAsia="SimSun"/>
          <w:lang w:eastAsia="zh-CN"/>
        </w:rPr>
      </w:pPr>
      <w:r w:rsidRPr="00B7514E">
        <w:rPr>
          <w:rFonts w:eastAsia="SimSun"/>
          <w:lang w:eastAsia="zh-CN"/>
        </w:rPr>
        <w:t>Decision 6: The Working Party confirmed that the term “competent authority” in subsection 9.1.2.1 referred to the competent authority of the country of registration.</w:t>
      </w:r>
    </w:p>
    <w:p w14:paraId="37804A32" w14:textId="750A0C5A" w:rsidR="005261DE" w:rsidRPr="005261DE" w:rsidRDefault="005261DE" w:rsidP="005261DE">
      <w:pPr>
        <w:tabs>
          <w:tab w:val="left" w:pos="1701"/>
          <w:tab w:val="left" w:pos="2268"/>
        </w:tabs>
        <w:spacing w:after="120"/>
        <w:ind w:left="1134" w:right="1134"/>
        <w:jc w:val="both"/>
        <w:rPr>
          <w:rFonts w:eastAsia="SimSun"/>
          <w:lang w:eastAsia="zh-CN"/>
        </w:rPr>
      </w:pPr>
      <w:r w:rsidRPr="005261DE">
        <w:rPr>
          <w:rFonts w:eastAsia="SimSun"/>
          <w:lang w:eastAsia="zh-CN"/>
        </w:rPr>
        <w:t>Decision 7: The Working Party adopted the proposal contained in document ECE/TRANS/WP.15/2020/4.</w:t>
      </w:r>
    </w:p>
    <w:p w14:paraId="21FCD608" w14:textId="329FCF0A" w:rsidR="00A462BE" w:rsidRPr="00A462BE" w:rsidRDefault="00A462BE" w:rsidP="00A462BE">
      <w:pPr>
        <w:tabs>
          <w:tab w:val="left" w:pos="1701"/>
          <w:tab w:val="left" w:pos="2268"/>
        </w:tabs>
        <w:spacing w:after="120"/>
        <w:ind w:left="1134" w:right="1134"/>
        <w:jc w:val="both"/>
        <w:rPr>
          <w:rFonts w:eastAsia="SimSun"/>
          <w:lang w:eastAsia="zh-CN"/>
        </w:rPr>
      </w:pPr>
      <w:bookmarkStart w:id="10" w:name="_Hlk71292913"/>
      <w:r w:rsidRPr="00A462BE">
        <w:rPr>
          <w:rFonts w:eastAsia="SimSun"/>
          <w:lang w:eastAsia="zh-CN"/>
        </w:rPr>
        <w:t xml:space="preserve">Decision 8: The Working Party endorsed the interpretation given by the representative of the Netherlands in paragraphs 3-5 of document ECE/TRANS/WP.15/2021/6 and requested the secretariat to make reference to </w:t>
      </w:r>
      <w:r w:rsidR="0065519E">
        <w:rPr>
          <w:rFonts w:eastAsia="SimSun"/>
          <w:lang w:eastAsia="zh-CN"/>
        </w:rPr>
        <w:t>these paragraphs</w:t>
      </w:r>
      <w:r w:rsidRPr="00A462BE">
        <w:rPr>
          <w:rFonts w:eastAsia="SimSun"/>
          <w:lang w:eastAsia="zh-CN"/>
        </w:rPr>
        <w:t xml:space="preserve"> on the page concerning the interpretation of ADR on the ECE website.</w:t>
      </w:r>
    </w:p>
    <w:bookmarkEnd w:id="10"/>
    <w:p w14:paraId="48889C8B" w14:textId="71B6C81F" w:rsidR="00DA6A30" w:rsidRPr="008A3DAD" w:rsidRDefault="008A3DAD" w:rsidP="008A3DAD">
      <w:pPr>
        <w:spacing w:before="240"/>
        <w:jc w:val="center"/>
        <w:rPr>
          <w:u w:val="single"/>
        </w:rPr>
      </w:pPr>
      <w:r>
        <w:rPr>
          <w:u w:val="single"/>
        </w:rPr>
        <w:tab/>
      </w:r>
      <w:r>
        <w:rPr>
          <w:u w:val="single"/>
        </w:rPr>
        <w:tab/>
      </w:r>
      <w:r>
        <w:rPr>
          <w:u w:val="single"/>
        </w:rPr>
        <w:tab/>
      </w:r>
    </w:p>
    <w:sectPr w:rsidR="00DA6A30" w:rsidRPr="008A3DAD" w:rsidSect="002926F7">
      <w:headerReference w:type="even" r:id="rId19"/>
      <w:headerReference w:type="default" r:id="rId20"/>
      <w:footerReference w:type="even" r:id="rId21"/>
      <w:footerReference w:type="default" r:id="rId22"/>
      <w:footerReference w:type="first" r:id="rId2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0BA92" w14:textId="77777777" w:rsidR="00F374BC" w:rsidRDefault="00F374BC"/>
  </w:endnote>
  <w:endnote w:type="continuationSeparator" w:id="0">
    <w:p w14:paraId="7F41F5B4" w14:textId="77777777" w:rsidR="00F374BC" w:rsidRDefault="00F374BC"/>
  </w:endnote>
  <w:endnote w:type="continuationNotice" w:id="1">
    <w:p w14:paraId="4C8C0A85" w14:textId="77777777" w:rsidR="00F374BC" w:rsidRDefault="00F37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1D9B5" w14:textId="1069C8E8" w:rsidR="002926F7" w:rsidRPr="002926F7" w:rsidRDefault="002926F7" w:rsidP="002926F7">
    <w:pPr>
      <w:pStyle w:val="Footer"/>
      <w:tabs>
        <w:tab w:val="right" w:pos="9638"/>
      </w:tabs>
      <w:rPr>
        <w:sz w:val="18"/>
      </w:rPr>
    </w:pPr>
    <w:r w:rsidRPr="002926F7">
      <w:rPr>
        <w:b/>
        <w:sz w:val="18"/>
      </w:rPr>
      <w:fldChar w:fldCharType="begin"/>
    </w:r>
    <w:r w:rsidRPr="002926F7">
      <w:rPr>
        <w:b/>
        <w:sz w:val="18"/>
      </w:rPr>
      <w:instrText xml:space="preserve"> PAGE  \* MERGEFORMAT </w:instrText>
    </w:r>
    <w:r w:rsidRPr="002926F7">
      <w:rPr>
        <w:b/>
        <w:sz w:val="18"/>
      </w:rPr>
      <w:fldChar w:fldCharType="separate"/>
    </w:r>
    <w:r w:rsidRPr="002926F7">
      <w:rPr>
        <w:b/>
        <w:noProof/>
        <w:sz w:val="18"/>
      </w:rPr>
      <w:t>2</w:t>
    </w:r>
    <w:r w:rsidRPr="002926F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9A03F" w14:textId="4AFDD57E" w:rsidR="002926F7" w:rsidRPr="002926F7" w:rsidRDefault="002926F7" w:rsidP="002926F7">
    <w:pPr>
      <w:pStyle w:val="Footer"/>
      <w:tabs>
        <w:tab w:val="right" w:pos="9638"/>
      </w:tabs>
      <w:rPr>
        <w:b/>
        <w:sz w:val="18"/>
      </w:rPr>
    </w:pPr>
    <w:r>
      <w:tab/>
    </w:r>
    <w:r w:rsidRPr="002926F7">
      <w:rPr>
        <w:b/>
        <w:sz w:val="18"/>
      </w:rPr>
      <w:fldChar w:fldCharType="begin"/>
    </w:r>
    <w:r w:rsidRPr="002926F7">
      <w:rPr>
        <w:b/>
        <w:sz w:val="18"/>
      </w:rPr>
      <w:instrText xml:space="preserve"> PAGE  \* MERGEFORMAT </w:instrText>
    </w:r>
    <w:r w:rsidRPr="002926F7">
      <w:rPr>
        <w:b/>
        <w:sz w:val="18"/>
      </w:rPr>
      <w:fldChar w:fldCharType="separate"/>
    </w:r>
    <w:r w:rsidRPr="002926F7">
      <w:rPr>
        <w:b/>
        <w:noProof/>
        <w:sz w:val="18"/>
      </w:rPr>
      <w:t>3</w:t>
    </w:r>
    <w:r w:rsidRPr="002926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4417B" w14:textId="77777777" w:rsidR="0035223F" w:rsidRPr="002926F7" w:rsidRDefault="00686A48">
    <w:pPr>
      <w:pStyle w:val="Footer"/>
      <w:rPr>
        <w:sz w:val="20"/>
      </w:rPr>
    </w:pPr>
    <w:r>
      <w:rPr>
        <w:noProof/>
        <w:lang w:val="fr-CH" w:eastAsia="fr-CH"/>
      </w:rPr>
      <w:drawing>
        <wp:anchor distT="0" distB="0" distL="114300" distR="114300" simplePos="0" relativeHeight="251657728" behindDoc="0" locked="1" layoutInCell="1" allowOverlap="1" wp14:anchorId="34979542" wp14:editId="3645D54D">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B87FF" w14:textId="77777777" w:rsidR="00F374BC" w:rsidRPr="000B175B" w:rsidRDefault="00F374BC" w:rsidP="000B175B">
      <w:pPr>
        <w:tabs>
          <w:tab w:val="right" w:pos="2155"/>
        </w:tabs>
        <w:spacing w:after="80"/>
        <w:ind w:left="680"/>
        <w:rPr>
          <w:u w:val="single"/>
        </w:rPr>
      </w:pPr>
      <w:r>
        <w:rPr>
          <w:u w:val="single"/>
        </w:rPr>
        <w:tab/>
      </w:r>
    </w:p>
  </w:footnote>
  <w:footnote w:type="continuationSeparator" w:id="0">
    <w:p w14:paraId="42F5FB9E" w14:textId="77777777" w:rsidR="00F374BC" w:rsidRPr="00FC68B7" w:rsidRDefault="00F374BC" w:rsidP="00FC68B7">
      <w:pPr>
        <w:tabs>
          <w:tab w:val="left" w:pos="2155"/>
        </w:tabs>
        <w:spacing w:after="80"/>
        <w:ind w:left="680"/>
        <w:rPr>
          <w:u w:val="single"/>
        </w:rPr>
      </w:pPr>
      <w:r>
        <w:rPr>
          <w:u w:val="single"/>
        </w:rPr>
        <w:tab/>
      </w:r>
    </w:p>
  </w:footnote>
  <w:footnote w:type="continuationNotice" w:id="1">
    <w:p w14:paraId="52BCB786" w14:textId="77777777" w:rsidR="00F374BC" w:rsidRDefault="00F374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7411E" w14:textId="255DFFB4" w:rsidR="002926F7" w:rsidRPr="002926F7" w:rsidRDefault="00F374BC">
    <w:pPr>
      <w:pStyle w:val="Header"/>
    </w:pPr>
    <w:r>
      <w:fldChar w:fldCharType="begin"/>
    </w:r>
    <w:r>
      <w:instrText xml:space="preserve"> TITLE  \* MERGEFORMAT </w:instrText>
    </w:r>
    <w:r>
      <w:fldChar w:fldCharType="separate"/>
    </w:r>
    <w:r w:rsidR="00EC1470">
      <w:t>ECE/TRANS/WP.15/253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61B04" w14:textId="5C3DA624" w:rsidR="002926F7" w:rsidRPr="002926F7" w:rsidRDefault="00F374BC" w:rsidP="002926F7">
    <w:pPr>
      <w:pStyle w:val="Header"/>
      <w:jc w:val="right"/>
    </w:pPr>
    <w:r>
      <w:fldChar w:fldCharType="begin"/>
    </w:r>
    <w:r>
      <w:instrText xml:space="preserve"> TITLE  \* MERGEFORMAT </w:instrText>
    </w:r>
    <w:r>
      <w:fldChar w:fldCharType="separate"/>
    </w:r>
    <w:r w:rsidR="00EC1470">
      <w:t>ECE/TRANS/WP.15/253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F7"/>
    <w:rsid w:val="00002A7D"/>
    <w:rsid w:val="000038A8"/>
    <w:rsid w:val="00006790"/>
    <w:rsid w:val="0002030C"/>
    <w:rsid w:val="00027624"/>
    <w:rsid w:val="00050F6B"/>
    <w:rsid w:val="000678CD"/>
    <w:rsid w:val="00072C8C"/>
    <w:rsid w:val="00075CC2"/>
    <w:rsid w:val="00081CE0"/>
    <w:rsid w:val="00084D30"/>
    <w:rsid w:val="00090320"/>
    <w:rsid w:val="000931C0"/>
    <w:rsid w:val="0009732C"/>
    <w:rsid w:val="000A01F9"/>
    <w:rsid w:val="000A2E09"/>
    <w:rsid w:val="000B175B"/>
    <w:rsid w:val="000B3A0F"/>
    <w:rsid w:val="000E0415"/>
    <w:rsid w:val="000F2473"/>
    <w:rsid w:val="000F7715"/>
    <w:rsid w:val="00106909"/>
    <w:rsid w:val="0013176C"/>
    <w:rsid w:val="00147A9C"/>
    <w:rsid w:val="00156B99"/>
    <w:rsid w:val="00166124"/>
    <w:rsid w:val="001778AE"/>
    <w:rsid w:val="00184DDA"/>
    <w:rsid w:val="001900CD"/>
    <w:rsid w:val="001A0452"/>
    <w:rsid w:val="001B4B04"/>
    <w:rsid w:val="001B5875"/>
    <w:rsid w:val="001C05CA"/>
    <w:rsid w:val="001C4B9C"/>
    <w:rsid w:val="001C6663"/>
    <w:rsid w:val="001C7895"/>
    <w:rsid w:val="001D26DF"/>
    <w:rsid w:val="001D39D4"/>
    <w:rsid w:val="001E6EDF"/>
    <w:rsid w:val="001F1599"/>
    <w:rsid w:val="001F19C4"/>
    <w:rsid w:val="002043F0"/>
    <w:rsid w:val="00211E0B"/>
    <w:rsid w:val="00232575"/>
    <w:rsid w:val="00247258"/>
    <w:rsid w:val="00257CAC"/>
    <w:rsid w:val="00264441"/>
    <w:rsid w:val="0026618C"/>
    <w:rsid w:val="0027237A"/>
    <w:rsid w:val="002926F7"/>
    <w:rsid w:val="002974E9"/>
    <w:rsid w:val="00297F16"/>
    <w:rsid w:val="002A7F94"/>
    <w:rsid w:val="002B109A"/>
    <w:rsid w:val="002C1B32"/>
    <w:rsid w:val="002C6D45"/>
    <w:rsid w:val="002D0708"/>
    <w:rsid w:val="002D6E53"/>
    <w:rsid w:val="002F046D"/>
    <w:rsid w:val="002F3023"/>
    <w:rsid w:val="00301764"/>
    <w:rsid w:val="003229D8"/>
    <w:rsid w:val="00331F10"/>
    <w:rsid w:val="0033670F"/>
    <w:rsid w:val="00336C97"/>
    <w:rsid w:val="00337F88"/>
    <w:rsid w:val="00342432"/>
    <w:rsid w:val="0035223F"/>
    <w:rsid w:val="00352D4B"/>
    <w:rsid w:val="0035638C"/>
    <w:rsid w:val="003609F1"/>
    <w:rsid w:val="00363FC2"/>
    <w:rsid w:val="0038096E"/>
    <w:rsid w:val="003901D4"/>
    <w:rsid w:val="00395077"/>
    <w:rsid w:val="0039539F"/>
    <w:rsid w:val="003A46BB"/>
    <w:rsid w:val="003A4EC7"/>
    <w:rsid w:val="003A7295"/>
    <w:rsid w:val="003B1F60"/>
    <w:rsid w:val="003C2CC4"/>
    <w:rsid w:val="003C54F3"/>
    <w:rsid w:val="003D4B23"/>
    <w:rsid w:val="003E278A"/>
    <w:rsid w:val="003E566D"/>
    <w:rsid w:val="00413520"/>
    <w:rsid w:val="004325CB"/>
    <w:rsid w:val="00440A07"/>
    <w:rsid w:val="00462880"/>
    <w:rsid w:val="00466263"/>
    <w:rsid w:val="00476F24"/>
    <w:rsid w:val="00496212"/>
    <w:rsid w:val="004C55B0"/>
    <w:rsid w:val="004F3D57"/>
    <w:rsid w:val="004F6BA0"/>
    <w:rsid w:val="00503BEA"/>
    <w:rsid w:val="00505E5B"/>
    <w:rsid w:val="005261DE"/>
    <w:rsid w:val="00533616"/>
    <w:rsid w:val="00535ABA"/>
    <w:rsid w:val="0053768B"/>
    <w:rsid w:val="005420F2"/>
    <w:rsid w:val="0054285C"/>
    <w:rsid w:val="00581B2D"/>
    <w:rsid w:val="00584173"/>
    <w:rsid w:val="00595520"/>
    <w:rsid w:val="00597599"/>
    <w:rsid w:val="005A0288"/>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519E"/>
    <w:rsid w:val="0065766B"/>
    <w:rsid w:val="006770B2"/>
    <w:rsid w:val="00686A48"/>
    <w:rsid w:val="006940E1"/>
    <w:rsid w:val="006A3C72"/>
    <w:rsid w:val="006A7392"/>
    <w:rsid w:val="006B03A1"/>
    <w:rsid w:val="006B67D9"/>
    <w:rsid w:val="006C5535"/>
    <w:rsid w:val="006D0589"/>
    <w:rsid w:val="006D6116"/>
    <w:rsid w:val="006E564B"/>
    <w:rsid w:val="006E7154"/>
    <w:rsid w:val="006F64D2"/>
    <w:rsid w:val="00700088"/>
    <w:rsid w:val="007003CD"/>
    <w:rsid w:val="0070701E"/>
    <w:rsid w:val="007159AB"/>
    <w:rsid w:val="0072632A"/>
    <w:rsid w:val="007263E1"/>
    <w:rsid w:val="007358E8"/>
    <w:rsid w:val="00736ECE"/>
    <w:rsid w:val="0074134B"/>
    <w:rsid w:val="0074533B"/>
    <w:rsid w:val="00754E5E"/>
    <w:rsid w:val="00756088"/>
    <w:rsid w:val="007643BC"/>
    <w:rsid w:val="00780C68"/>
    <w:rsid w:val="0078545D"/>
    <w:rsid w:val="007868B0"/>
    <w:rsid w:val="007959FE"/>
    <w:rsid w:val="007A0CF1"/>
    <w:rsid w:val="007A478E"/>
    <w:rsid w:val="007B6BA5"/>
    <w:rsid w:val="007C3390"/>
    <w:rsid w:val="007C42D8"/>
    <w:rsid w:val="007C4F4B"/>
    <w:rsid w:val="007D225D"/>
    <w:rsid w:val="007D4A19"/>
    <w:rsid w:val="007D7362"/>
    <w:rsid w:val="007F5CE2"/>
    <w:rsid w:val="007F6611"/>
    <w:rsid w:val="00800522"/>
    <w:rsid w:val="00802C6B"/>
    <w:rsid w:val="00810BAC"/>
    <w:rsid w:val="008175E9"/>
    <w:rsid w:val="0082035B"/>
    <w:rsid w:val="008242D7"/>
    <w:rsid w:val="0082577B"/>
    <w:rsid w:val="008272DD"/>
    <w:rsid w:val="008659D9"/>
    <w:rsid w:val="00866893"/>
    <w:rsid w:val="00866F02"/>
    <w:rsid w:val="00867D18"/>
    <w:rsid w:val="00871F9A"/>
    <w:rsid w:val="00871FD5"/>
    <w:rsid w:val="0088172E"/>
    <w:rsid w:val="00881EFA"/>
    <w:rsid w:val="008879CB"/>
    <w:rsid w:val="008979B1"/>
    <w:rsid w:val="008A36DB"/>
    <w:rsid w:val="008A3DAD"/>
    <w:rsid w:val="008A6B25"/>
    <w:rsid w:val="008A6C4F"/>
    <w:rsid w:val="008A77AE"/>
    <w:rsid w:val="008B389E"/>
    <w:rsid w:val="008C099D"/>
    <w:rsid w:val="008D045E"/>
    <w:rsid w:val="008D3F25"/>
    <w:rsid w:val="008D4D82"/>
    <w:rsid w:val="008E0E46"/>
    <w:rsid w:val="008E7116"/>
    <w:rsid w:val="008F143B"/>
    <w:rsid w:val="008F3882"/>
    <w:rsid w:val="008F4B7C"/>
    <w:rsid w:val="008F738E"/>
    <w:rsid w:val="009003B9"/>
    <w:rsid w:val="00923AAD"/>
    <w:rsid w:val="00926E47"/>
    <w:rsid w:val="00947162"/>
    <w:rsid w:val="009610D0"/>
    <w:rsid w:val="00962AAA"/>
    <w:rsid w:val="0096375C"/>
    <w:rsid w:val="009662E6"/>
    <w:rsid w:val="0097095E"/>
    <w:rsid w:val="00970AD4"/>
    <w:rsid w:val="0098592B"/>
    <w:rsid w:val="00985FC4"/>
    <w:rsid w:val="00990766"/>
    <w:rsid w:val="00991261"/>
    <w:rsid w:val="009964C4"/>
    <w:rsid w:val="00997205"/>
    <w:rsid w:val="009A50CA"/>
    <w:rsid w:val="009A65AD"/>
    <w:rsid w:val="009A7B81"/>
    <w:rsid w:val="009D01C0"/>
    <w:rsid w:val="009D6A08"/>
    <w:rsid w:val="009E0A16"/>
    <w:rsid w:val="009E6CB7"/>
    <w:rsid w:val="009E7856"/>
    <w:rsid w:val="009E7970"/>
    <w:rsid w:val="009F2EAC"/>
    <w:rsid w:val="009F57E3"/>
    <w:rsid w:val="00A10F4F"/>
    <w:rsid w:val="00A11067"/>
    <w:rsid w:val="00A1704A"/>
    <w:rsid w:val="00A425EB"/>
    <w:rsid w:val="00A462BE"/>
    <w:rsid w:val="00A72F22"/>
    <w:rsid w:val="00A733BC"/>
    <w:rsid w:val="00A748A6"/>
    <w:rsid w:val="00A76A69"/>
    <w:rsid w:val="00A879A4"/>
    <w:rsid w:val="00AA0FF8"/>
    <w:rsid w:val="00AA63B7"/>
    <w:rsid w:val="00AA7B7C"/>
    <w:rsid w:val="00AC0F2C"/>
    <w:rsid w:val="00AC502A"/>
    <w:rsid w:val="00AF58C1"/>
    <w:rsid w:val="00B04A3F"/>
    <w:rsid w:val="00B06643"/>
    <w:rsid w:val="00B15055"/>
    <w:rsid w:val="00B20551"/>
    <w:rsid w:val="00B30179"/>
    <w:rsid w:val="00B33FC7"/>
    <w:rsid w:val="00B37B15"/>
    <w:rsid w:val="00B4436B"/>
    <w:rsid w:val="00B45C02"/>
    <w:rsid w:val="00B519A4"/>
    <w:rsid w:val="00B70B63"/>
    <w:rsid w:val="00B72A1E"/>
    <w:rsid w:val="00B7514E"/>
    <w:rsid w:val="00B81E12"/>
    <w:rsid w:val="00B93615"/>
    <w:rsid w:val="00BA339B"/>
    <w:rsid w:val="00BB23CC"/>
    <w:rsid w:val="00BC1E7E"/>
    <w:rsid w:val="00BC74E9"/>
    <w:rsid w:val="00BE09B3"/>
    <w:rsid w:val="00BE36A9"/>
    <w:rsid w:val="00BE618E"/>
    <w:rsid w:val="00BE7BEC"/>
    <w:rsid w:val="00BF0A5A"/>
    <w:rsid w:val="00BF0E63"/>
    <w:rsid w:val="00BF12A3"/>
    <w:rsid w:val="00BF16D7"/>
    <w:rsid w:val="00BF2373"/>
    <w:rsid w:val="00BF3345"/>
    <w:rsid w:val="00C0294F"/>
    <w:rsid w:val="00C044E2"/>
    <w:rsid w:val="00C048CB"/>
    <w:rsid w:val="00C066F3"/>
    <w:rsid w:val="00C11BB2"/>
    <w:rsid w:val="00C27888"/>
    <w:rsid w:val="00C408B7"/>
    <w:rsid w:val="00C411EB"/>
    <w:rsid w:val="00C463DD"/>
    <w:rsid w:val="00C64983"/>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52B02"/>
    <w:rsid w:val="00D65F4B"/>
    <w:rsid w:val="00D704E5"/>
    <w:rsid w:val="00D72727"/>
    <w:rsid w:val="00D978C6"/>
    <w:rsid w:val="00DA0956"/>
    <w:rsid w:val="00DA357F"/>
    <w:rsid w:val="00DA3E12"/>
    <w:rsid w:val="00DA6A30"/>
    <w:rsid w:val="00DB1E32"/>
    <w:rsid w:val="00DC18AD"/>
    <w:rsid w:val="00DC448E"/>
    <w:rsid w:val="00DD3B22"/>
    <w:rsid w:val="00DE1EF8"/>
    <w:rsid w:val="00DE57D0"/>
    <w:rsid w:val="00DE6C1D"/>
    <w:rsid w:val="00DF7CAE"/>
    <w:rsid w:val="00E2097D"/>
    <w:rsid w:val="00E23B06"/>
    <w:rsid w:val="00E423C0"/>
    <w:rsid w:val="00E6414C"/>
    <w:rsid w:val="00E7260F"/>
    <w:rsid w:val="00E74235"/>
    <w:rsid w:val="00E8702D"/>
    <w:rsid w:val="00E905F4"/>
    <w:rsid w:val="00E916A9"/>
    <w:rsid w:val="00E916DE"/>
    <w:rsid w:val="00E925AD"/>
    <w:rsid w:val="00E96630"/>
    <w:rsid w:val="00EB071E"/>
    <w:rsid w:val="00EC1470"/>
    <w:rsid w:val="00ED18DC"/>
    <w:rsid w:val="00ED6201"/>
    <w:rsid w:val="00ED7A2A"/>
    <w:rsid w:val="00EF1D7F"/>
    <w:rsid w:val="00F0137E"/>
    <w:rsid w:val="00F21786"/>
    <w:rsid w:val="00F31090"/>
    <w:rsid w:val="00F3742B"/>
    <w:rsid w:val="00F374BC"/>
    <w:rsid w:val="00F41FDB"/>
    <w:rsid w:val="00F50596"/>
    <w:rsid w:val="00F56D63"/>
    <w:rsid w:val="00F609A9"/>
    <w:rsid w:val="00F80C99"/>
    <w:rsid w:val="00F867EC"/>
    <w:rsid w:val="00F87546"/>
    <w:rsid w:val="00F90D03"/>
    <w:rsid w:val="00F91B2B"/>
    <w:rsid w:val="00FA1F4D"/>
    <w:rsid w:val="00FC03CD"/>
    <w:rsid w:val="00FC0646"/>
    <w:rsid w:val="00FC68B7"/>
    <w:rsid w:val="00FE6985"/>
    <w:rsid w:val="00FE7021"/>
    <w:rsid w:val="00FF587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143DC"/>
  <w15:docId w15:val="{7F82D2FE-D8F3-45A2-BC61-D6309D6E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styleId="CommentReference">
    <w:name w:val="annotation reference"/>
    <w:basedOn w:val="DefaultParagraphFont"/>
    <w:uiPriority w:val="99"/>
    <w:semiHidden/>
    <w:unhideWhenUsed/>
    <w:rsid w:val="00B93615"/>
    <w:rPr>
      <w:sz w:val="16"/>
      <w:szCs w:val="16"/>
    </w:rPr>
  </w:style>
  <w:style w:type="paragraph" w:styleId="CommentText">
    <w:name w:val="annotation text"/>
    <w:basedOn w:val="Normal"/>
    <w:link w:val="CommentTextChar"/>
    <w:semiHidden/>
    <w:unhideWhenUsed/>
    <w:rsid w:val="00B93615"/>
    <w:pPr>
      <w:spacing w:line="240" w:lineRule="auto"/>
    </w:pPr>
  </w:style>
  <w:style w:type="character" w:customStyle="1" w:styleId="CommentTextChar">
    <w:name w:val="Comment Text Char"/>
    <w:basedOn w:val="DefaultParagraphFont"/>
    <w:link w:val="CommentText"/>
    <w:semiHidden/>
    <w:rsid w:val="00B93615"/>
    <w:rPr>
      <w:lang w:val="en-GB"/>
    </w:rPr>
  </w:style>
  <w:style w:type="paragraph" w:styleId="CommentSubject">
    <w:name w:val="annotation subject"/>
    <w:basedOn w:val="CommentText"/>
    <w:next w:val="CommentText"/>
    <w:link w:val="CommentSubjectChar"/>
    <w:semiHidden/>
    <w:unhideWhenUsed/>
    <w:rsid w:val="00B93615"/>
    <w:rPr>
      <w:b/>
      <w:bCs/>
    </w:rPr>
  </w:style>
  <w:style w:type="character" w:customStyle="1" w:styleId="CommentSubjectChar">
    <w:name w:val="Comment Subject Char"/>
    <w:basedOn w:val="CommentTextChar"/>
    <w:link w:val="CommentSubject"/>
    <w:semiHidden/>
    <w:rsid w:val="00B9361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eu" TargetMode="External"/><Relationship Id="rId18" Type="http://schemas.openxmlformats.org/officeDocument/2006/relationships/hyperlink" Target="https://ec.europa.eu/transport/themes/dangerous_good/risk_management_framework_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stm.org" TargetMode="External"/><Relationship Id="rId17" Type="http://schemas.openxmlformats.org/officeDocument/2006/relationships/hyperlink" Target="http://www.unec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ic.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so.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o.org"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4335D4-3B8A-4D4F-B553-04C68F6A5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72BADB03-90C4-4A9D-8E78-6EEE5EFA09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D22726-E24C-4870-956C-D50DE8642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68</TotalTime>
  <Pages>24</Pages>
  <Words>8111</Words>
  <Characters>46235</Characters>
  <Application>Microsoft Office Word</Application>
  <DocSecurity>0</DocSecurity>
  <Lines>385</Lines>
  <Paragraphs>108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ECE/TRANS/WP.15/253</dc:title>
  <dc:creator>Editorial</dc:creator>
  <cp:lastModifiedBy>Laurence Berthet</cp:lastModifiedBy>
  <cp:revision>90</cp:revision>
  <cp:lastPrinted>2021-05-26T12:44:00Z</cp:lastPrinted>
  <dcterms:created xsi:type="dcterms:W3CDTF">2021-05-20T12:49:00Z</dcterms:created>
  <dcterms:modified xsi:type="dcterms:W3CDTF">2021-05-26T12:44:00Z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