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8AFCD" w14:textId="77777777" w:rsidR="00CB6CF4" w:rsidRPr="00E53B23" w:rsidRDefault="00CB6CF4" w:rsidP="00CB6CF4">
      <w:pPr>
        <w:spacing w:before="120"/>
        <w:rPr>
          <w:b/>
          <w:sz w:val="28"/>
          <w:szCs w:val="28"/>
        </w:rPr>
      </w:pPr>
      <w:r w:rsidRPr="00E53B23">
        <w:rPr>
          <w:b/>
          <w:sz w:val="28"/>
          <w:szCs w:val="28"/>
        </w:rPr>
        <w:t>Economic Commission for Europe</w:t>
      </w:r>
    </w:p>
    <w:p w14:paraId="3ADD3D70" w14:textId="77777777" w:rsidR="00CB6CF4" w:rsidRPr="00E53B23" w:rsidRDefault="00CB6CF4" w:rsidP="00CB6CF4">
      <w:pPr>
        <w:spacing w:before="120"/>
        <w:rPr>
          <w:sz w:val="28"/>
          <w:szCs w:val="28"/>
        </w:rPr>
      </w:pPr>
      <w:r w:rsidRPr="00E53B23">
        <w:rPr>
          <w:sz w:val="28"/>
          <w:szCs w:val="28"/>
        </w:rPr>
        <w:t>Inland Transport Committee</w:t>
      </w:r>
    </w:p>
    <w:p w14:paraId="548AD617" w14:textId="77777777" w:rsidR="00CB6CF4" w:rsidRPr="00E53B23" w:rsidRDefault="00CB6CF4" w:rsidP="00CB6CF4">
      <w:pPr>
        <w:spacing w:before="120"/>
        <w:rPr>
          <w:b/>
          <w:sz w:val="24"/>
          <w:szCs w:val="24"/>
        </w:rPr>
      </w:pPr>
      <w:r w:rsidRPr="00E53B23">
        <w:rPr>
          <w:b/>
          <w:sz w:val="24"/>
          <w:szCs w:val="24"/>
        </w:rPr>
        <w:t>Working Party on the Transport of Dangerous Goods</w:t>
      </w:r>
    </w:p>
    <w:p w14:paraId="6D44197A" w14:textId="2E9D9811" w:rsidR="00CB6CF4" w:rsidRPr="00E53B23" w:rsidRDefault="00CB6CF4" w:rsidP="00CB6CF4">
      <w:pPr>
        <w:spacing w:before="120"/>
        <w:rPr>
          <w:b/>
        </w:rPr>
      </w:pPr>
      <w:r w:rsidRPr="00E53B23">
        <w:rPr>
          <w:b/>
        </w:rPr>
        <w:t>109</w:t>
      </w:r>
      <w:r w:rsidRPr="00E53B23">
        <w:rPr>
          <w:b/>
          <w:vertAlign w:val="superscript"/>
        </w:rPr>
        <w:t>th</w:t>
      </w:r>
      <w:r w:rsidRPr="00E53B23">
        <w:rPr>
          <w:b/>
        </w:rPr>
        <w:t xml:space="preserve"> session</w:t>
      </w:r>
      <w:r w:rsidRPr="00E53B23">
        <w:rPr>
          <w:b/>
        </w:rPr>
        <w:tab/>
      </w:r>
      <w:r w:rsidRPr="00E53B23">
        <w:rPr>
          <w:b/>
        </w:rPr>
        <w:tab/>
      </w:r>
      <w:r w:rsidRPr="00E53B23">
        <w:rPr>
          <w:b/>
        </w:rPr>
        <w:tab/>
      </w:r>
      <w:r w:rsidRPr="00E53B23">
        <w:rPr>
          <w:b/>
        </w:rPr>
        <w:tab/>
      </w:r>
      <w:r w:rsidRPr="00E53B23">
        <w:rPr>
          <w:b/>
        </w:rPr>
        <w:tab/>
      </w:r>
      <w:r w:rsidRPr="00E53B23">
        <w:rPr>
          <w:b/>
        </w:rPr>
        <w:tab/>
      </w:r>
      <w:r w:rsidRPr="00E53B23">
        <w:rPr>
          <w:b/>
        </w:rPr>
        <w:tab/>
      </w:r>
      <w:r w:rsidRPr="00E53B23">
        <w:rPr>
          <w:b/>
        </w:rPr>
        <w:tab/>
      </w:r>
      <w:r w:rsidRPr="00E53B23">
        <w:rPr>
          <w:b/>
        </w:rPr>
        <w:tab/>
      </w:r>
      <w:r w:rsidRPr="00E53B23">
        <w:rPr>
          <w:b/>
        </w:rPr>
        <w:tab/>
      </w:r>
      <w:r w:rsidRPr="00E53B23">
        <w:rPr>
          <w:b/>
        </w:rPr>
        <w:tab/>
      </w:r>
      <w:r w:rsidR="00755605">
        <w:rPr>
          <w:b/>
        </w:rPr>
        <w:t>28</w:t>
      </w:r>
      <w:r w:rsidRPr="00E53B23">
        <w:rPr>
          <w:b/>
        </w:rPr>
        <w:t xml:space="preserve"> April 2021</w:t>
      </w:r>
    </w:p>
    <w:p w14:paraId="68925774" w14:textId="77777777" w:rsidR="00CB6CF4" w:rsidRPr="00E53B23" w:rsidRDefault="00CB6CF4" w:rsidP="00CB6CF4">
      <w:r w:rsidRPr="00E53B23">
        <w:t>Geneva, 3-7 May 2021</w:t>
      </w:r>
    </w:p>
    <w:p w14:paraId="5131D9FA" w14:textId="796AD318" w:rsidR="00CB6CF4" w:rsidRPr="00E53B23" w:rsidRDefault="00CB6CF4" w:rsidP="00CB6CF4">
      <w:r w:rsidRPr="00E53B23">
        <w:t xml:space="preserve">Item </w:t>
      </w:r>
      <w:r w:rsidR="00C25CD7" w:rsidRPr="00E53B23">
        <w:t>4</w:t>
      </w:r>
      <w:r w:rsidRPr="00E53B23">
        <w:t xml:space="preserve"> of the provisional agenda:</w:t>
      </w:r>
    </w:p>
    <w:p w14:paraId="68F33293" w14:textId="4BEB4B98" w:rsidR="00CB6CF4" w:rsidRPr="00E53B23" w:rsidRDefault="00D277B8" w:rsidP="00CB6CF4">
      <w:pPr>
        <w:rPr>
          <w:rStyle w:val="SubtleEmphasis"/>
          <w:b/>
          <w:bCs/>
        </w:rPr>
      </w:pPr>
      <w:r w:rsidRPr="00E53B23">
        <w:rPr>
          <w:b/>
          <w:bCs/>
        </w:rPr>
        <w:t>Work of the RID/ADR/ADN Joint Meeting</w:t>
      </w:r>
    </w:p>
    <w:p w14:paraId="1A7AA07A" w14:textId="18810CD2" w:rsidR="00CB6CF4" w:rsidRPr="00E53B23" w:rsidRDefault="0090465E" w:rsidP="008645ED">
      <w:pPr>
        <w:pStyle w:val="HChG"/>
        <w:tabs>
          <w:tab w:val="clear" w:pos="851"/>
        </w:tabs>
        <w:rPr>
          <w:lang w:val="en-GB"/>
        </w:rPr>
      </w:pPr>
      <w:r w:rsidRPr="00E53B23">
        <w:rPr>
          <w:lang w:val="en-GB"/>
        </w:rPr>
        <w:tab/>
      </w:r>
      <w:r w:rsidR="001C3DA8" w:rsidRPr="00E53B23">
        <w:rPr>
          <w:lang w:val="en-GB"/>
        </w:rPr>
        <w:t>Texts adopted by the Joint Meeting: Draft amendments to ADR for entry into force on 1 January 2023</w:t>
      </w:r>
    </w:p>
    <w:p w14:paraId="6D6B1FC4" w14:textId="2746FABA" w:rsidR="00CB6CF4" w:rsidRPr="00E53B23" w:rsidRDefault="008645ED" w:rsidP="008645ED">
      <w:pPr>
        <w:pStyle w:val="H1G"/>
      </w:pPr>
      <w:r w:rsidRPr="00E53B23">
        <w:tab/>
      </w:r>
      <w:r w:rsidRPr="00E53B23">
        <w:tab/>
      </w:r>
      <w:r w:rsidR="002B7F28" w:rsidRPr="00E53B23">
        <w:t>Note by the</w:t>
      </w:r>
      <w:r w:rsidR="00CB6CF4" w:rsidRPr="00E53B23">
        <w:t xml:space="preserve"> </w:t>
      </w:r>
      <w:r w:rsidR="001C3DA8" w:rsidRPr="00E53B23">
        <w:t>Secretariat</w:t>
      </w:r>
    </w:p>
    <w:p w14:paraId="4A11DCDE" w14:textId="2034E1EF" w:rsidR="009B4D32" w:rsidRPr="00E53B23" w:rsidRDefault="001C233C" w:rsidP="001C233C">
      <w:pPr>
        <w:snapToGrid w:val="0"/>
        <w:spacing w:before="120" w:after="120"/>
        <w:rPr>
          <w:bCs/>
          <w:i/>
          <w:iCs/>
        </w:rPr>
      </w:pPr>
      <w:r w:rsidRPr="00E53B23">
        <w:rPr>
          <w:bCs/>
          <w:i/>
          <w:iCs/>
        </w:rPr>
        <w:tab/>
      </w:r>
      <w:r w:rsidRPr="00E53B23">
        <w:rPr>
          <w:bCs/>
          <w:i/>
          <w:iCs/>
        </w:rPr>
        <w:tab/>
      </w:r>
      <w:r w:rsidR="009B4D32" w:rsidRPr="00E53B23">
        <w:rPr>
          <w:bCs/>
          <w:i/>
          <w:iCs/>
        </w:rPr>
        <w:t>(Reference document: ECE/TRANS/WP.15/AC.1/</w:t>
      </w:r>
      <w:r w:rsidR="00862FCB" w:rsidRPr="00E53B23">
        <w:rPr>
          <w:bCs/>
          <w:i/>
          <w:iCs/>
        </w:rPr>
        <w:t>160</w:t>
      </w:r>
      <w:r w:rsidR="009B4D32" w:rsidRPr="00E53B23">
        <w:rPr>
          <w:bCs/>
          <w:i/>
          <w:iCs/>
        </w:rPr>
        <w:t>)</w:t>
      </w:r>
    </w:p>
    <w:p w14:paraId="67ED71B6" w14:textId="77777777" w:rsidR="00F63A3C" w:rsidRPr="00E53B23" w:rsidRDefault="00F63A3C" w:rsidP="00FB3292">
      <w:pPr>
        <w:pStyle w:val="H1G"/>
      </w:pPr>
      <w:r w:rsidRPr="00E53B23">
        <w:tab/>
      </w:r>
      <w:r w:rsidRPr="00E53B23">
        <w:tab/>
        <w:t>Chapter 1.1</w:t>
      </w:r>
    </w:p>
    <w:p w14:paraId="278087E5" w14:textId="1950826B" w:rsidR="00F63A3C" w:rsidRPr="00E53B23" w:rsidRDefault="00F63A3C" w:rsidP="00FB3292">
      <w:pPr>
        <w:pStyle w:val="SingleTxtG"/>
        <w:rPr>
          <w:lang w:val="en-GB"/>
        </w:rPr>
      </w:pPr>
      <w:r w:rsidRPr="00E53B23">
        <w:rPr>
          <w:b/>
          <w:lang w:val="en-GB"/>
        </w:rPr>
        <w:tab/>
      </w:r>
      <w:r w:rsidRPr="00E53B23">
        <w:rPr>
          <w:lang w:val="en-GB"/>
        </w:rPr>
        <w:t>1.1.3.6.2</w:t>
      </w:r>
      <w:r w:rsidRPr="00E53B23">
        <w:rPr>
          <w:lang w:val="en-GB"/>
        </w:rPr>
        <w:tab/>
        <w:t>In the first indent, after “0500,” add “0511,”.</w:t>
      </w:r>
    </w:p>
    <w:p w14:paraId="1947C3B0" w14:textId="7590E0D4" w:rsidR="00F63A3C" w:rsidRPr="00E53B23" w:rsidRDefault="00F63A3C" w:rsidP="00FB3292">
      <w:pPr>
        <w:pStyle w:val="SingleTxtG"/>
        <w:rPr>
          <w:lang w:val="en-GB"/>
        </w:rPr>
      </w:pPr>
      <w:r w:rsidRPr="00E53B23">
        <w:rPr>
          <w:lang w:val="en-GB"/>
        </w:rPr>
        <w:tab/>
        <w:t>1.1.4</w:t>
      </w:r>
      <w:r w:rsidRPr="00E53B23">
        <w:rPr>
          <w:lang w:val="en-GB"/>
        </w:rPr>
        <w:tab/>
      </w:r>
      <w:r w:rsidRPr="00E53B23">
        <w:rPr>
          <w:lang w:val="en-GB"/>
        </w:rPr>
        <w:tab/>
      </w:r>
      <w:r w:rsidR="0005127A" w:rsidRPr="00E53B23">
        <w:rPr>
          <w:lang w:val="en-GB"/>
        </w:rPr>
        <w:t>I</w:t>
      </w:r>
      <w:r w:rsidRPr="00E53B23">
        <w:rPr>
          <w:lang w:val="en-GB"/>
        </w:rPr>
        <w:t>nsert the following new 1.1.4.</w:t>
      </w:r>
      <w:r w:rsidR="0005127A" w:rsidRPr="00E53B23">
        <w:rPr>
          <w:lang w:val="en-GB"/>
        </w:rPr>
        <w:t>6</w:t>
      </w:r>
      <w:r w:rsidRPr="00E53B23">
        <w:rPr>
          <w:lang w:val="en-GB"/>
        </w:rPr>
        <w:t>:</w:t>
      </w:r>
    </w:p>
    <w:p w14:paraId="193E55DA" w14:textId="77777777" w:rsidR="00F63A3C" w:rsidRPr="00E53B23" w:rsidRDefault="00F63A3C" w:rsidP="0008032D">
      <w:pPr>
        <w:pStyle w:val="SingleTxtG"/>
        <w:ind w:left="2268"/>
        <w:rPr>
          <w:lang w:val="en-GB"/>
        </w:rPr>
      </w:pPr>
      <w:r w:rsidRPr="00E53B23">
        <w:rPr>
          <w:lang w:val="en-GB"/>
        </w:rPr>
        <w:t>“1.1.4.6</w:t>
      </w:r>
      <w:r w:rsidRPr="00E53B23">
        <w:rPr>
          <w:lang w:val="en-GB"/>
        </w:rPr>
        <w:tab/>
      </w:r>
      <w:r w:rsidRPr="00E53B23">
        <w:rPr>
          <w:i/>
          <w:iCs/>
          <w:lang w:val="en-GB"/>
        </w:rPr>
        <w:t>(Reserved)</w:t>
      </w:r>
      <w:r w:rsidRPr="00E53B23">
        <w:rPr>
          <w:lang w:val="en-GB"/>
        </w:rPr>
        <w:t>”</w:t>
      </w:r>
    </w:p>
    <w:p w14:paraId="32DB1C9B" w14:textId="520E10E9" w:rsidR="0005127A" w:rsidRPr="00E53B23" w:rsidRDefault="0005127A" w:rsidP="00FB3292">
      <w:pPr>
        <w:pStyle w:val="SingleTxtG"/>
        <w:rPr>
          <w:lang w:val="en-GB"/>
        </w:rPr>
      </w:pPr>
      <w:r w:rsidRPr="00E53B23">
        <w:rPr>
          <w:lang w:val="en-GB"/>
        </w:rPr>
        <w:tab/>
        <w:t>1.1.4</w:t>
      </w:r>
      <w:r w:rsidRPr="00E53B23">
        <w:rPr>
          <w:lang w:val="en-GB"/>
        </w:rPr>
        <w:tab/>
      </w:r>
      <w:r w:rsidRPr="00E53B23">
        <w:rPr>
          <w:lang w:val="en-GB"/>
        </w:rPr>
        <w:tab/>
        <w:t>Insert the following new 1.1.4.7:</w:t>
      </w:r>
    </w:p>
    <w:p w14:paraId="790AF25C" w14:textId="77777777" w:rsidR="00F63A3C" w:rsidRPr="00E53B23" w:rsidRDefault="00F63A3C" w:rsidP="0008032D">
      <w:pPr>
        <w:pStyle w:val="SingleTxtG"/>
        <w:ind w:left="2268"/>
        <w:rPr>
          <w:lang w:val="en-GB"/>
        </w:rPr>
      </w:pPr>
      <w:r w:rsidRPr="00E53B23">
        <w:rPr>
          <w:bCs/>
          <w:lang w:val="en-GB"/>
        </w:rPr>
        <w:t>“</w:t>
      </w:r>
      <w:r w:rsidRPr="00E53B23">
        <w:rPr>
          <w:b/>
          <w:bCs/>
          <w:lang w:val="en-GB"/>
        </w:rPr>
        <w:t>1.1.4.7</w:t>
      </w:r>
      <w:r w:rsidRPr="00E53B23">
        <w:rPr>
          <w:b/>
          <w:bCs/>
          <w:lang w:val="en-GB"/>
        </w:rPr>
        <w:tab/>
      </w:r>
      <w:r w:rsidRPr="00E53B23">
        <w:rPr>
          <w:b/>
          <w:bCs/>
          <w:i/>
          <w:iCs/>
          <w:lang w:val="en-GB"/>
        </w:rPr>
        <w:t xml:space="preserve">Refillable pressure receptacles authorized </w:t>
      </w:r>
      <w:bookmarkStart w:id="0" w:name="_Hlk525131534"/>
      <w:r w:rsidRPr="00E53B23">
        <w:rPr>
          <w:b/>
          <w:bCs/>
          <w:i/>
          <w:iCs/>
          <w:lang w:val="en-GB"/>
        </w:rPr>
        <w:t>by the United States of America Department of Transportation</w:t>
      </w:r>
    </w:p>
    <w:p w14:paraId="3400A77D" w14:textId="77777777" w:rsidR="00F63A3C" w:rsidRPr="00E53B23" w:rsidRDefault="00F63A3C" w:rsidP="0008032D">
      <w:pPr>
        <w:pStyle w:val="SingleTxtG"/>
        <w:ind w:left="2268"/>
        <w:rPr>
          <w:bCs/>
          <w:lang w:val="en-GB"/>
        </w:rPr>
      </w:pPr>
      <w:r w:rsidRPr="00E53B23">
        <w:rPr>
          <w:bCs/>
          <w:lang w:val="en-GB"/>
        </w:rPr>
        <w:t>1.1.4.7.1</w:t>
      </w:r>
      <w:r w:rsidRPr="00E53B23">
        <w:rPr>
          <w:bCs/>
          <w:lang w:val="en-GB"/>
        </w:rPr>
        <w:tab/>
      </w:r>
      <w:r w:rsidRPr="00E53B23">
        <w:rPr>
          <w:bCs/>
          <w:i/>
          <w:iCs/>
          <w:lang w:val="en-GB"/>
        </w:rPr>
        <w:t>Import of gases</w:t>
      </w:r>
    </w:p>
    <w:p w14:paraId="182627D3" w14:textId="58CC41F7" w:rsidR="00F63A3C" w:rsidRPr="00E53B23" w:rsidRDefault="0008032D" w:rsidP="0008032D">
      <w:pPr>
        <w:pStyle w:val="SingleTxtG"/>
        <w:tabs>
          <w:tab w:val="left" w:pos="3402"/>
        </w:tabs>
        <w:ind w:left="2268"/>
        <w:rPr>
          <w:bCs/>
          <w:lang w:val="en-GB"/>
        </w:rPr>
      </w:pPr>
      <w:r w:rsidRPr="00E53B23">
        <w:rPr>
          <w:bCs/>
          <w:lang w:val="en-GB"/>
        </w:rPr>
        <w:tab/>
      </w:r>
      <w:r w:rsidR="00F63A3C" w:rsidRPr="00E53B23">
        <w:rPr>
          <w:bCs/>
          <w:lang w:val="en-GB"/>
        </w:rPr>
        <w:t xml:space="preserve">Refillable pressure receptacles authorised by the United States of America Department of Transportation and constructed and tested in accordance with standards listed in Part 178, Specifications for Packagings of Title 49, Transportation, of the Code of Federal Regulations </w:t>
      </w:r>
      <w:bookmarkEnd w:id="0"/>
      <w:r w:rsidR="00F63A3C" w:rsidRPr="00E53B23">
        <w:rPr>
          <w:bCs/>
          <w:lang w:val="en-GB"/>
        </w:rPr>
        <w:t xml:space="preserve">accepted for carriage in a transport chain in accordance with 1.1.4.2 may be carried from the location of the temporary storage at the end point of the transport chain to the end user. </w:t>
      </w:r>
    </w:p>
    <w:p w14:paraId="0AD29316" w14:textId="6637B6EF" w:rsidR="00F63A3C" w:rsidRPr="00E53B23" w:rsidRDefault="0008032D" w:rsidP="0008032D">
      <w:pPr>
        <w:pStyle w:val="SingleTxtG"/>
        <w:tabs>
          <w:tab w:val="left" w:pos="3402"/>
        </w:tabs>
        <w:ind w:left="2268"/>
        <w:rPr>
          <w:bCs/>
          <w:lang w:val="en-GB"/>
        </w:rPr>
      </w:pPr>
      <w:bookmarkStart w:id="1" w:name="_Hlk525132507"/>
      <w:r w:rsidRPr="00E53B23">
        <w:rPr>
          <w:bCs/>
          <w:lang w:val="en-GB"/>
        </w:rPr>
        <w:tab/>
      </w:r>
      <w:r w:rsidRPr="00E53B23">
        <w:rPr>
          <w:bCs/>
          <w:lang w:val="en-GB"/>
        </w:rPr>
        <w:tab/>
      </w:r>
      <w:r w:rsidR="00F63A3C" w:rsidRPr="00E53B23">
        <w:rPr>
          <w:bCs/>
          <w:lang w:val="en-GB"/>
        </w:rPr>
        <w:t>The consignor for the ADR carriage shall include the following entry in the transport document:</w:t>
      </w:r>
    </w:p>
    <w:p w14:paraId="4B6166C4" w14:textId="0271E67D" w:rsidR="00F63A3C" w:rsidRPr="00E53B23" w:rsidRDefault="0008032D" w:rsidP="0008032D">
      <w:pPr>
        <w:pStyle w:val="SingleTxtG"/>
        <w:tabs>
          <w:tab w:val="left" w:pos="3402"/>
        </w:tabs>
        <w:ind w:left="2268"/>
        <w:rPr>
          <w:bCs/>
          <w:lang w:val="en-GB"/>
        </w:rPr>
      </w:pPr>
      <w:r w:rsidRPr="00E53B23">
        <w:rPr>
          <w:bCs/>
          <w:lang w:val="en-GB"/>
        </w:rPr>
        <w:tab/>
      </w:r>
      <w:r w:rsidR="00F63A3C" w:rsidRPr="00E53B23">
        <w:rPr>
          <w:bCs/>
          <w:lang w:val="en-GB"/>
        </w:rPr>
        <w:t>“</w:t>
      </w:r>
      <w:r w:rsidR="00F63A3C" w:rsidRPr="00E53B23">
        <w:rPr>
          <w:bCs/>
          <w:caps/>
          <w:lang w:val="en-GB"/>
        </w:rPr>
        <w:t>Carriage in accordance with</w:t>
      </w:r>
      <w:r w:rsidR="00F63A3C" w:rsidRPr="00E53B23">
        <w:rPr>
          <w:bCs/>
          <w:lang w:val="en-GB"/>
        </w:rPr>
        <w:t xml:space="preserve"> 1.1.4.7.1”.</w:t>
      </w:r>
    </w:p>
    <w:bookmarkEnd w:id="1"/>
    <w:p w14:paraId="72B05ABF" w14:textId="77777777" w:rsidR="00F63A3C" w:rsidRPr="00E53B23" w:rsidRDefault="00F63A3C" w:rsidP="0008032D">
      <w:pPr>
        <w:pStyle w:val="SingleTxtG"/>
        <w:ind w:left="2268"/>
        <w:rPr>
          <w:bCs/>
          <w:lang w:val="en-GB"/>
        </w:rPr>
      </w:pPr>
      <w:r w:rsidRPr="00E53B23">
        <w:rPr>
          <w:bCs/>
          <w:lang w:val="en-GB"/>
        </w:rPr>
        <w:t>1.1.4.7.2</w:t>
      </w:r>
      <w:r w:rsidRPr="00E53B23">
        <w:rPr>
          <w:bCs/>
          <w:lang w:val="en-GB"/>
        </w:rPr>
        <w:tab/>
      </w:r>
      <w:r w:rsidRPr="00E53B23">
        <w:rPr>
          <w:bCs/>
          <w:i/>
          <w:iCs/>
          <w:lang w:val="en-GB"/>
        </w:rPr>
        <w:t>Export of gases and empty uncleaned pressure receptacles</w:t>
      </w:r>
    </w:p>
    <w:p w14:paraId="729640A7" w14:textId="66A3FFF5" w:rsidR="00F63A3C" w:rsidRPr="00E53B23" w:rsidRDefault="0008032D" w:rsidP="0008032D">
      <w:pPr>
        <w:pStyle w:val="SingleTxtG"/>
        <w:tabs>
          <w:tab w:val="left" w:pos="3402"/>
        </w:tabs>
        <w:ind w:left="2268"/>
        <w:rPr>
          <w:bCs/>
          <w:lang w:val="en-GB"/>
        </w:rPr>
      </w:pPr>
      <w:r w:rsidRPr="00E53B23">
        <w:rPr>
          <w:bCs/>
          <w:lang w:val="en-GB"/>
        </w:rPr>
        <w:tab/>
      </w:r>
      <w:r w:rsidR="00F63A3C" w:rsidRPr="00E53B23">
        <w:rPr>
          <w:bCs/>
          <w:lang w:val="en-GB"/>
        </w:rPr>
        <w:t xml:space="preserve">Refillable pressure receptacles authorised by the United States of America Department of Transportation and constructed in accordance with standards listed in Part 178, Specifications for Packagings of Title 49, Transportation, of the Code of Federal Regulations may be filled and carried only for the purpose of exporting to countries which are not Contracting Parties </w:t>
      </w:r>
      <w:r w:rsidR="00130698" w:rsidRPr="00E53B23">
        <w:rPr>
          <w:bCs/>
          <w:lang w:val="en-GB"/>
        </w:rPr>
        <w:t xml:space="preserve">to </w:t>
      </w:r>
      <w:r w:rsidR="00F63A3C" w:rsidRPr="00E53B23">
        <w:rPr>
          <w:bCs/>
          <w:lang w:val="en-GB"/>
        </w:rPr>
        <w:t>ADR provided the following provisions are met:</w:t>
      </w:r>
    </w:p>
    <w:p w14:paraId="093B3CD5" w14:textId="77777777" w:rsidR="00F63A3C" w:rsidRPr="00E53B23" w:rsidRDefault="00F63A3C" w:rsidP="0008032D">
      <w:pPr>
        <w:pStyle w:val="SingleTxtG"/>
        <w:ind w:left="3969" w:hanging="567"/>
        <w:rPr>
          <w:bCs/>
          <w:lang w:val="en-GB"/>
        </w:rPr>
      </w:pPr>
      <w:r w:rsidRPr="00E53B23">
        <w:rPr>
          <w:bCs/>
          <w:lang w:val="en-GB"/>
        </w:rPr>
        <w:t>(a)</w:t>
      </w:r>
      <w:r w:rsidRPr="00E53B23">
        <w:rPr>
          <w:bCs/>
          <w:lang w:val="en-GB"/>
        </w:rPr>
        <w:tab/>
        <w:t>The filling of the pressure receptacle is in accordance with the relevant requirements of the Code of Federal Regulations of the United States of America.</w:t>
      </w:r>
    </w:p>
    <w:p w14:paraId="40997C17" w14:textId="2C571FE3" w:rsidR="00F63A3C" w:rsidRPr="00E53B23" w:rsidRDefault="00F63A3C" w:rsidP="0008032D">
      <w:pPr>
        <w:pStyle w:val="SingleTxtG"/>
        <w:ind w:left="3969" w:hanging="567"/>
        <w:rPr>
          <w:bCs/>
          <w:lang w:val="en-GB"/>
        </w:rPr>
      </w:pPr>
      <w:r w:rsidRPr="00E53B23">
        <w:rPr>
          <w:bCs/>
          <w:lang w:val="en-GB"/>
        </w:rPr>
        <w:t>(b)</w:t>
      </w:r>
      <w:r w:rsidRPr="00E53B23">
        <w:rPr>
          <w:bCs/>
          <w:lang w:val="en-GB"/>
        </w:rPr>
        <w:tab/>
        <w:t>The pressure receptacles shall be marked and labelled in accordance with Chapter 5.2.</w:t>
      </w:r>
    </w:p>
    <w:p w14:paraId="5B3A477C" w14:textId="77777777" w:rsidR="00F63A3C" w:rsidRPr="00E53B23" w:rsidRDefault="00F63A3C" w:rsidP="0008032D">
      <w:pPr>
        <w:pStyle w:val="SingleTxtG"/>
        <w:ind w:left="3969" w:hanging="567"/>
        <w:rPr>
          <w:bCs/>
          <w:lang w:val="en-GB"/>
        </w:rPr>
      </w:pPr>
      <w:r w:rsidRPr="00E53B23">
        <w:rPr>
          <w:bCs/>
          <w:lang w:val="en-GB"/>
        </w:rPr>
        <w:lastRenderedPageBreak/>
        <w:t>(c)</w:t>
      </w:r>
      <w:r w:rsidRPr="00E53B23">
        <w:rPr>
          <w:bCs/>
          <w:lang w:val="en-GB"/>
        </w:rPr>
        <w:tab/>
        <w:t>The provisions of 4.1.6.12 and 4.1.6.13 shall apply to pressure receptacles. Pressure receptacles shall not be filled after they become due for periodic inspection but may be carried after the expiry of the time-limit for purposes of performing inspection, including the intermediate carriage operations.</w:t>
      </w:r>
    </w:p>
    <w:p w14:paraId="65D544AC" w14:textId="256F0941" w:rsidR="00F63A3C" w:rsidRPr="00E53B23" w:rsidRDefault="00F63A3C" w:rsidP="0008032D">
      <w:pPr>
        <w:pStyle w:val="SingleTxtG"/>
        <w:ind w:left="3969" w:hanging="567"/>
        <w:rPr>
          <w:bCs/>
          <w:lang w:val="en-GB"/>
        </w:rPr>
      </w:pPr>
      <w:r w:rsidRPr="00E53B23">
        <w:rPr>
          <w:bCs/>
          <w:lang w:val="en-GB"/>
        </w:rPr>
        <w:t>(d)</w:t>
      </w:r>
      <w:r w:rsidRPr="00E53B23">
        <w:rPr>
          <w:bCs/>
          <w:lang w:val="en-GB"/>
        </w:rPr>
        <w:tab/>
        <w:t>The consignor for the ADR carriage shall include the following entry in the transport document:</w:t>
      </w:r>
    </w:p>
    <w:p w14:paraId="41B87884" w14:textId="77777777" w:rsidR="00F63A3C" w:rsidRPr="00E53B23" w:rsidRDefault="00F63A3C" w:rsidP="0008032D">
      <w:pPr>
        <w:pStyle w:val="SingleTxtG"/>
        <w:ind w:left="3969" w:hanging="567"/>
        <w:rPr>
          <w:bCs/>
          <w:lang w:val="en-GB"/>
        </w:rPr>
      </w:pPr>
      <w:r w:rsidRPr="00E53B23">
        <w:rPr>
          <w:bCs/>
          <w:lang w:val="en-GB"/>
        </w:rPr>
        <w:tab/>
        <w:t>“</w:t>
      </w:r>
      <w:r w:rsidRPr="00E53B23">
        <w:rPr>
          <w:bCs/>
          <w:caps/>
          <w:lang w:val="en-GB"/>
        </w:rPr>
        <w:t>Carriage in accordance with</w:t>
      </w:r>
      <w:r w:rsidRPr="00E53B23">
        <w:rPr>
          <w:bCs/>
          <w:lang w:val="en-GB"/>
        </w:rPr>
        <w:t xml:space="preserve"> 1.1.4.7.2” ”</w:t>
      </w:r>
    </w:p>
    <w:p w14:paraId="1D96D23C" w14:textId="77777777" w:rsidR="00F63A3C" w:rsidRPr="00E53B23" w:rsidRDefault="00F63A3C" w:rsidP="0008032D">
      <w:pPr>
        <w:pStyle w:val="SingleTxtG"/>
        <w:rPr>
          <w:lang w:val="en-GB"/>
        </w:rPr>
      </w:pPr>
      <w:r w:rsidRPr="00E53B23">
        <w:rPr>
          <w:lang w:val="en-GB"/>
        </w:rPr>
        <w:t>1.1.5</w:t>
      </w:r>
      <w:r w:rsidRPr="00E53B23">
        <w:rPr>
          <w:lang w:val="en-GB"/>
        </w:rPr>
        <w:tab/>
      </w:r>
      <w:r w:rsidRPr="00E53B23">
        <w:rPr>
          <w:lang w:val="en-GB"/>
        </w:rPr>
        <w:tab/>
        <w:t>Add the following Note:</w:t>
      </w:r>
    </w:p>
    <w:p w14:paraId="3E0C0B28" w14:textId="0BEFE552" w:rsidR="00F63A3C" w:rsidRPr="00E53B23" w:rsidRDefault="00F63A3C" w:rsidP="0008032D">
      <w:pPr>
        <w:pStyle w:val="SingleTxtG"/>
        <w:rPr>
          <w:i/>
          <w:iCs/>
          <w:lang w:val="en-GB"/>
        </w:rPr>
      </w:pPr>
      <w:r w:rsidRPr="00E53B23">
        <w:rPr>
          <w:i/>
          <w:iCs/>
          <w:lang w:val="en-GB"/>
        </w:rPr>
        <w:t>“</w:t>
      </w:r>
      <w:r w:rsidRPr="00E53B23">
        <w:rPr>
          <w:b/>
          <w:i/>
          <w:iCs/>
          <w:lang w:val="en-GB"/>
        </w:rPr>
        <w:t>NOTE:</w:t>
      </w:r>
      <w:r w:rsidRPr="00E53B23">
        <w:rPr>
          <w:i/>
          <w:iCs/>
          <w:lang w:val="en-GB"/>
        </w:rPr>
        <w:tab/>
        <w:t xml:space="preserve">A standard provides details on how to meet the provisions of </w:t>
      </w:r>
      <w:r w:rsidR="005625EB" w:rsidRPr="00E53B23">
        <w:rPr>
          <w:i/>
          <w:iCs/>
          <w:lang w:val="en-GB"/>
        </w:rPr>
        <w:t>ADR</w:t>
      </w:r>
      <w:r w:rsidRPr="00E53B23">
        <w:rPr>
          <w:i/>
          <w:iCs/>
          <w:lang w:val="en-GB"/>
        </w:rPr>
        <w:t xml:space="preserve"> and may include requirements in addition to those set out in </w:t>
      </w:r>
      <w:r w:rsidR="005625EB" w:rsidRPr="00E53B23">
        <w:rPr>
          <w:i/>
          <w:iCs/>
          <w:lang w:val="en-GB"/>
        </w:rPr>
        <w:t>ADR</w:t>
      </w:r>
      <w:r w:rsidRPr="00E53B23">
        <w:rPr>
          <w:i/>
          <w:iCs/>
          <w:lang w:val="en-GB"/>
        </w:rPr>
        <w:t>.”</w:t>
      </w:r>
    </w:p>
    <w:p w14:paraId="0F4935A9" w14:textId="77777777" w:rsidR="00F63A3C" w:rsidRPr="00E53B23" w:rsidRDefault="00F63A3C" w:rsidP="00F63A3C">
      <w:pPr>
        <w:pStyle w:val="SingleTxtG"/>
        <w:kinsoku w:val="0"/>
        <w:overflowPunct w:val="0"/>
        <w:autoSpaceDE w:val="0"/>
        <w:autoSpaceDN w:val="0"/>
        <w:adjustRightInd w:val="0"/>
        <w:snapToGrid w:val="0"/>
        <w:spacing w:before="120" w:line="240" w:lineRule="auto"/>
        <w:ind w:right="1133"/>
        <w:rPr>
          <w:bCs/>
          <w:lang w:val="en-GB"/>
        </w:rPr>
      </w:pPr>
      <w:r w:rsidRPr="00E53B23">
        <w:rPr>
          <w:b/>
          <w:lang w:val="en-GB"/>
        </w:rPr>
        <w:t>Chapter 1.2</w:t>
      </w:r>
    </w:p>
    <w:p w14:paraId="0D84CEDE" w14:textId="0C27D455" w:rsidR="00F63A3C" w:rsidRPr="00E53B23" w:rsidRDefault="00F63A3C" w:rsidP="0008032D">
      <w:pPr>
        <w:pStyle w:val="SingleTxtG"/>
        <w:tabs>
          <w:tab w:val="left" w:pos="2268"/>
        </w:tabs>
        <w:ind w:left="2268" w:hanging="1134"/>
        <w:rPr>
          <w:lang w:val="en-GB"/>
        </w:rPr>
      </w:pPr>
      <w:r w:rsidRPr="00E53B23">
        <w:rPr>
          <w:lang w:val="en-GB"/>
        </w:rPr>
        <w:t>1.2</w:t>
      </w:r>
      <w:r w:rsidRPr="00E53B23">
        <w:rPr>
          <w:lang w:val="en-GB"/>
        </w:rPr>
        <w:tab/>
        <w:t>Amend the title to read</w:t>
      </w:r>
      <w:r w:rsidR="0008032D" w:rsidRPr="00E53B23">
        <w:rPr>
          <w:lang w:val="en-GB"/>
        </w:rPr>
        <w:t xml:space="preserve"> </w:t>
      </w:r>
      <w:r w:rsidRPr="00E53B23">
        <w:rPr>
          <w:lang w:val="en-GB"/>
        </w:rPr>
        <w:t>“DEFINITIONS, UNITS OF MEASUREMENT AND ABBREVIATIONS”.</w:t>
      </w:r>
    </w:p>
    <w:p w14:paraId="2C126F37" w14:textId="77777777" w:rsidR="00F63A3C" w:rsidRPr="00E53B23" w:rsidRDefault="00F63A3C" w:rsidP="0008032D">
      <w:pPr>
        <w:pStyle w:val="SingleTxtG"/>
        <w:tabs>
          <w:tab w:val="left" w:pos="2268"/>
        </w:tabs>
        <w:rPr>
          <w:lang w:val="en-GB"/>
        </w:rPr>
      </w:pPr>
      <w:r w:rsidRPr="00E53B23">
        <w:rPr>
          <w:lang w:val="en-GB"/>
        </w:rPr>
        <w:t>1.2.1</w:t>
      </w:r>
      <w:r w:rsidRPr="00E53B23">
        <w:rPr>
          <w:lang w:val="en-GB"/>
        </w:rPr>
        <w:tab/>
        <w:t>Delete the following definitions:</w:t>
      </w:r>
    </w:p>
    <w:p w14:paraId="5A416B7E" w14:textId="45644428" w:rsidR="00F63A3C" w:rsidRPr="00E53B23" w:rsidRDefault="00F63A3C" w:rsidP="0008032D">
      <w:pPr>
        <w:pStyle w:val="SingleTxtG"/>
        <w:ind w:left="2268"/>
        <w:rPr>
          <w:lang w:val="en-GB"/>
        </w:rPr>
      </w:pPr>
      <w:r w:rsidRPr="00E53B23">
        <w:rPr>
          <w:lang w:val="en-GB"/>
        </w:rPr>
        <w:t>“ADN”, “ASTM”, “CGA”, “CIM”, “CMR”, “CSC”, “CTU”, “EN (standard)”, “IAEA”, “IBC”, “ICAO”, “IMDG”, “IMO”, “ISO (standard)”, “MEGC”, “MEMU”, “RID”, “SADT”, “SAPT”, “UIC”, “UNECE”.</w:t>
      </w:r>
    </w:p>
    <w:p w14:paraId="509E9477" w14:textId="0F89FEB9" w:rsidR="00F63A3C" w:rsidRPr="00E53B23" w:rsidRDefault="00F63A3C" w:rsidP="0008032D">
      <w:pPr>
        <w:pStyle w:val="SingleTxtG"/>
        <w:ind w:left="2268"/>
        <w:rPr>
          <w:lang w:val="en-GB"/>
        </w:rPr>
      </w:pPr>
      <w:r w:rsidRPr="00E53B23">
        <w:rPr>
          <w:lang w:val="en-GB"/>
        </w:rPr>
        <w:t>In the definition of “Compressed Natural Gas”, delete:</w:t>
      </w:r>
      <w:r w:rsidR="00D215CA" w:rsidRPr="00E53B23">
        <w:rPr>
          <w:lang w:val="en-GB"/>
        </w:rPr>
        <w:t xml:space="preserve"> </w:t>
      </w:r>
      <w:r w:rsidRPr="00E53B23">
        <w:rPr>
          <w:lang w:val="en-GB"/>
        </w:rPr>
        <w:t>“(CNG)”.</w:t>
      </w:r>
    </w:p>
    <w:p w14:paraId="4DD5D825" w14:textId="0A445650" w:rsidR="00F63A3C" w:rsidRPr="00E53B23" w:rsidRDefault="00F63A3C" w:rsidP="0008032D">
      <w:pPr>
        <w:pStyle w:val="SingleTxtG"/>
        <w:ind w:left="2268"/>
        <w:rPr>
          <w:lang w:val="en-GB"/>
        </w:rPr>
      </w:pPr>
      <w:r w:rsidRPr="00E53B23">
        <w:rPr>
          <w:lang w:val="en-GB"/>
        </w:rPr>
        <w:t>In the definition of “Criticality safety index”, delete:</w:t>
      </w:r>
      <w:r w:rsidR="00D215CA" w:rsidRPr="00E53B23">
        <w:rPr>
          <w:lang w:val="en-GB"/>
        </w:rPr>
        <w:t xml:space="preserve"> </w:t>
      </w:r>
      <w:r w:rsidRPr="00E53B23">
        <w:rPr>
          <w:lang w:val="en-GB"/>
        </w:rPr>
        <w:t>“(CSI)”.</w:t>
      </w:r>
    </w:p>
    <w:p w14:paraId="6BF4326E" w14:textId="77777777" w:rsidR="00F63A3C" w:rsidRPr="00E53B23" w:rsidRDefault="00F63A3C" w:rsidP="0008032D">
      <w:pPr>
        <w:pStyle w:val="SingleTxtG"/>
        <w:ind w:left="2268"/>
        <w:rPr>
          <w:lang w:val="en-GB"/>
        </w:rPr>
      </w:pPr>
      <w:r w:rsidRPr="00E53B23">
        <w:rPr>
          <w:lang w:val="en-GB"/>
        </w:rPr>
        <w:t>Amend the definition of “GHS” to read:</w:t>
      </w:r>
    </w:p>
    <w:p w14:paraId="123F844C" w14:textId="5CF0C9E3" w:rsidR="00F63A3C" w:rsidRPr="00E53B23" w:rsidRDefault="0008032D" w:rsidP="0008032D">
      <w:pPr>
        <w:pStyle w:val="SingleTxtG"/>
        <w:ind w:left="2268"/>
        <w:rPr>
          <w:lang w:val="en-GB"/>
        </w:rPr>
      </w:pPr>
      <w:r w:rsidRPr="00E53B23">
        <w:rPr>
          <w:lang w:val="en-GB"/>
        </w:rPr>
        <w:t>“</w:t>
      </w:r>
      <w:r w:rsidR="00F63A3C" w:rsidRPr="00E53B23">
        <w:rPr>
          <w:i/>
          <w:iCs/>
          <w:lang w:val="en-GB"/>
        </w:rPr>
        <w:t>“Globally Harmonized System of Classification and Labelling of Chemicals”</w:t>
      </w:r>
      <w:r w:rsidR="00F63A3C" w:rsidRPr="00E53B23">
        <w:rPr>
          <w:lang w:val="en-GB"/>
        </w:rPr>
        <w:t xml:space="preserve"> means the ninth revised edition of United Nations publication bearing this title (ST/SG/AC.10/30/Rev.9);</w:t>
      </w:r>
      <w:r w:rsidRPr="00E53B23">
        <w:rPr>
          <w:lang w:val="en-GB"/>
        </w:rPr>
        <w:t>”</w:t>
      </w:r>
    </w:p>
    <w:p w14:paraId="3E80EF24" w14:textId="1C7DFE0E" w:rsidR="00F63A3C" w:rsidRPr="00E53B23" w:rsidRDefault="00F63A3C" w:rsidP="0008032D">
      <w:pPr>
        <w:pStyle w:val="SingleTxtG"/>
        <w:ind w:left="2268"/>
        <w:rPr>
          <w:lang w:val="en-GB"/>
        </w:rPr>
      </w:pPr>
      <w:r w:rsidRPr="00E53B23">
        <w:rPr>
          <w:lang w:val="en-GB"/>
        </w:rPr>
        <w:t>In the definition of “Liquefied Natural Gas”, delete</w:t>
      </w:r>
      <w:r w:rsidR="000B3D27" w:rsidRPr="00E53B23">
        <w:rPr>
          <w:lang w:val="en-GB"/>
        </w:rPr>
        <w:t xml:space="preserve"> </w:t>
      </w:r>
      <w:r w:rsidRPr="00E53B23">
        <w:rPr>
          <w:lang w:val="en-GB"/>
        </w:rPr>
        <w:t>“(LNG)”.</w:t>
      </w:r>
    </w:p>
    <w:p w14:paraId="3BB5EA67" w14:textId="28882AD7" w:rsidR="00F63A3C" w:rsidRPr="00E53B23" w:rsidRDefault="00F63A3C" w:rsidP="0008032D">
      <w:pPr>
        <w:pStyle w:val="SingleTxtG"/>
        <w:ind w:left="2268"/>
        <w:rPr>
          <w:lang w:val="en-GB"/>
        </w:rPr>
      </w:pPr>
      <w:r w:rsidRPr="00E53B23">
        <w:rPr>
          <w:lang w:val="en-GB"/>
        </w:rPr>
        <w:t>In the definition of “Liquefied Petroleum Gas”, delete</w:t>
      </w:r>
      <w:r w:rsidR="000B3D27" w:rsidRPr="00E53B23">
        <w:rPr>
          <w:lang w:val="en-GB"/>
        </w:rPr>
        <w:t xml:space="preserve"> </w:t>
      </w:r>
      <w:r w:rsidRPr="00E53B23">
        <w:rPr>
          <w:lang w:val="en-GB"/>
        </w:rPr>
        <w:t>“(LPG)”.</w:t>
      </w:r>
    </w:p>
    <w:p w14:paraId="6EA15F70" w14:textId="0AE04616" w:rsidR="00F63A3C" w:rsidRPr="00E53B23" w:rsidRDefault="00F63A3C" w:rsidP="0008032D">
      <w:pPr>
        <w:pStyle w:val="SingleTxtG"/>
        <w:ind w:left="2268"/>
        <w:rPr>
          <w:lang w:val="en-GB"/>
        </w:rPr>
      </w:pPr>
      <w:r w:rsidRPr="00E53B23">
        <w:rPr>
          <w:lang w:val="en-GB"/>
        </w:rPr>
        <w:t>In the definition of “Multiple-element gas container”, delete</w:t>
      </w:r>
      <w:r w:rsidR="000B3D27" w:rsidRPr="00E53B23">
        <w:rPr>
          <w:lang w:val="en-GB"/>
        </w:rPr>
        <w:t xml:space="preserve"> </w:t>
      </w:r>
      <w:r w:rsidRPr="00E53B23">
        <w:rPr>
          <w:lang w:val="en-GB"/>
        </w:rPr>
        <w:t>“</w:t>
      </w:r>
      <w:r w:rsidR="000B3D27" w:rsidRPr="00E53B23">
        <w:rPr>
          <w:lang w:val="en-GB"/>
        </w:rPr>
        <w:t>(</w:t>
      </w:r>
      <w:r w:rsidRPr="00E53B23">
        <w:rPr>
          <w:lang w:val="en-GB"/>
        </w:rPr>
        <w:t>MEGC)”.</w:t>
      </w:r>
    </w:p>
    <w:p w14:paraId="477425F7" w14:textId="58ED7483" w:rsidR="00F63A3C" w:rsidRPr="00E53B23" w:rsidRDefault="00F63A3C" w:rsidP="0008032D">
      <w:pPr>
        <w:pStyle w:val="SingleTxtG"/>
        <w:ind w:left="2268"/>
        <w:rPr>
          <w:lang w:val="en-GB"/>
        </w:rPr>
      </w:pPr>
      <w:r w:rsidRPr="00E53B23">
        <w:rPr>
          <w:lang w:val="en-GB"/>
        </w:rPr>
        <w:t>In the definition of “Mobile explosives manufacturing unit”, delete</w:t>
      </w:r>
      <w:r w:rsidR="000B3D27" w:rsidRPr="00E53B23">
        <w:rPr>
          <w:lang w:val="en-GB"/>
        </w:rPr>
        <w:t xml:space="preserve"> </w:t>
      </w:r>
      <w:r w:rsidRPr="00E53B23">
        <w:rPr>
          <w:lang w:val="en-GB"/>
        </w:rPr>
        <w:t>“(MEMU)”.</w:t>
      </w:r>
    </w:p>
    <w:p w14:paraId="5A1F6B39" w14:textId="289B9A1C" w:rsidR="00F63A3C" w:rsidRPr="00E53B23" w:rsidRDefault="00F63A3C" w:rsidP="0008032D">
      <w:pPr>
        <w:pStyle w:val="SingleTxtG"/>
        <w:ind w:left="2268"/>
        <w:rPr>
          <w:lang w:val="en-GB"/>
        </w:rPr>
      </w:pPr>
      <w:r w:rsidRPr="00E53B23">
        <w:rPr>
          <w:lang w:val="en-GB"/>
        </w:rPr>
        <w:t>In the definition of “Net explosive mass”, delete</w:t>
      </w:r>
      <w:r w:rsidR="000B3D27" w:rsidRPr="00E53B23">
        <w:rPr>
          <w:lang w:val="en-GB"/>
        </w:rPr>
        <w:t xml:space="preserve"> </w:t>
      </w:r>
      <w:r w:rsidRPr="00E53B23">
        <w:rPr>
          <w:lang w:val="en-GB"/>
        </w:rPr>
        <w:t>“(NEM)”.</w:t>
      </w:r>
    </w:p>
    <w:p w14:paraId="6B4342AE" w14:textId="7473F9D0" w:rsidR="00F63A3C" w:rsidRPr="00E53B23" w:rsidRDefault="00F63A3C" w:rsidP="0008032D">
      <w:pPr>
        <w:pStyle w:val="SingleTxtG"/>
        <w:ind w:left="2268"/>
        <w:rPr>
          <w:lang w:val="en-GB"/>
        </w:rPr>
      </w:pPr>
      <w:r w:rsidRPr="00E53B23">
        <w:rPr>
          <w:lang w:val="en-GB"/>
        </w:rPr>
        <w:t>In the definition of “Self-accelerating decomposition temperature”, delete</w:t>
      </w:r>
      <w:r w:rsidR="000B3D27" w:rsidRPr="00E53B23">
        <w:rPr>
          <w:lang w:val="en-GB"/>
        </w:rPr>
        <w:t xml:space="preserve"> </w:t>
      </w:r>
      <w:r w:rsidRPr="00E53B23">
        <w:rPr>
          <w:lang w:val="en-GB"/>
        </w:rPr>
        <w:t>“(SADT)”.</w:t>
      </w:r>
    </w:p>
    <w:p w14:paraId="60F497D7" w14:textId="20439202" w:rsidR="00F63A3C" w:rsidRPr="00E53B23" w:rsidRDefault="00F63A3C" w:rsidP="0008032D">
      <w:pPr>
        <w:pStyle w:val="SingleTxtG"/>
        <w:ind w:left="2268"/>
        <w:rPr>
          <w:lang w:val="en-GB"/>
        </w:rPr>
      </w:pPr>
      <w:r w:rsidRPr="00E53B23">
        <w:rPr>
          <w:lang w:val="en-GB"/>
        </w:rPr>
        <w:t>In the definition of “Self-accelerating polymerization temperature”, delete</w:t>
      </w:r>
      <w:r w:rsidR="000B3D27" w:rsidRPr="00E53B23">
        <w:rPr>
          <w:lang w:val="en-GB"/>
        </w:rPr>
        <w:t xml:space="preserve"> </w:t>
      </w:r>
      <w:r w:rsidRPr="00E53B23">
        <w:rPr>
          <w:lang w:val="en-GB"/>
        </w:rPr>
        <w:t>“(SAPT)”.</w:t>
      </w:r>
    </w:p>
    <w:p w14:paraId="0811AC4A" w14:textId="5B450A80" w:rsidR="00F63A3C" w:rsidRPr="00E53B23" w:rsidRDefault="00F63A3C" w:rsidP="0008032D">
      <w:pPr>
        <w:pStyle w:val="SingleTxtG"/>
        <w:ind w:left="2268"/>
        <w:rPr>
          <w:lang w:val="en-GB"/>
        </w:rPr>
      </w:pPr>
      <w:r w:rsidRPr="00E53B23">
        <w:rPr>
          <w:lang w:val="en-GB"/>
        </w:rPr>
        <w:t>In the definition of “Transport index”, delete</w:t>
      </w:r>
      <w:r w:rsidR="000B3D27" w:rsidRPr="00E53B23">
        <w:rPr>
          <w:lang w:val="en-GB"/>
        </w:rPr>
        <w:t xml:space="preserve"> </w:t>
      </w:r>
      <w:r w:rsidRPr="00E53B23">
        <w:rPr>
          <w:lang w:val="en-GB"/>
        </w:rPr>
        <w:t>“TI”.</w:t>
      </w:r>
    </w:p>
    <w:p w14:paraId="2E32C4A4" w14:textId="77777777" w:rsidR="00F63A3C" w:rsidRPr="00E53B23" w:rsidRDefault="00F63A3C" w:rsidP="0008032D">
      <w:pPr>
        <w:pStyle w:val="SingleTxtG"/>
        <w:rPr>
          <w:lang w:val="en-GB"/>
        </w:rPr>
      </w:pPr>
      <w:r w:rsidRPr="00E53B23">
        <w:rPr>
          <w:lang w:val="en-GB"/>
        </w:rPr>
        <w:t>Add a new section 1.2.3 to read as follows:</w:t>
      </w:r>
    </w:p>
    <w:p w14:paraId="6CAE9C65" w14:textId="77777777" w:rsidR="00F63A3C" w:rsidRPr="00E53B23" w:rsidRDefault="00F63A3C" w:rsidP="00CF78A3">
      <w:pPr>
        <w:pStyle w:val="SingleTxtG"/>
        <w:tabs>
          <w:tab w:val="left" w:pos="3402"/>
        </w:tabs>
        <w:ind w:left="2268"/>
        <w:rPr>
          <w:lang w:val="en-GB"/>
        </w:rPr>
      </w:pPr>
      <w:bookmarkStart w:id="2" w:name="_Hlk68180519"/>
      <w:r w:rsidRPr="00E53B23">
        <w:rPr>
          <w:lang w:val="en-GB"/>
        </w:rPr>
        <w:t>“</w:t>
      </w:r>
      <w:bookmarkEnd w:id="2"/>
      <w:r w:rsidRPr="00E53B23">
        <w:rPr>
          <w:b/>
          <w:bCs/>
          <w:lang w:val="en-GB"/>
        </w:rPr>
        <w:t>1.2.3</w:t>
      </w:r>
      <w:r w:rsidRPr="00E53B23">
        <w:rPr>
          <w:b/>
          <w:bCs/>
          <w:lang w:val="en-GB"/>
        </w:rPr>
        <w:tab/>
        <w:t>List of abbreviations</w:t>
      </w:r>
    </w:p>
    <w:p w14:paraId="01B2C036" w14:textId="02B0BE0D" w:rsidR="00F63A3C" w:rsidRPr="00E53B23" w:rsidRDefault="0008032D" w:rsidP="0008032D">
      <w:pPr>
        <w:pStyle w:val="SingleTxtG"/>
        <w:tabs>
          <w:tab w:val="left" w:pos="3402"/>
        </w:tabs>
        <w:ind w:left="2268"/>
        <w:rPr>
          <w:lang w:val="en-GB"/>
        </w:rPr>
      </w:pPr>
      <w:r w:rsidRPr="00E53B23">
        <w:rPr>
          <w:lang w:val="en-GB"/>
        </w:rPr>
        <w:tab/>
      </w:r>
      <w:r w:rsidR="00F63A3C" w:rsidRPr="00E53B23">
        <w:rPr>
          <w:lang w:val="en-GB"/>
        </w:rPr>
        <w:t>In ADR, abbreviations, acronyms and abbreviated designations of regulatory texts are used, with the following meaning:</w:t>
      </w:r>
    </w:p>
    <w:p w14:paraId="41849249" w14:textId="77777777" w:rsidR="00F63A3C" w:rsidRPr="00E53B23" w:rsidRDefault="00F63A3C" w:rsidP="0008032D">
      <w:pPr>
        <w:pStyle w:val="SingleTxtG"/>
        <w:ind w:left="2268"/>
        <w:rPr>
          <w:b/>
          <w:bCs/>
          <w:lang w:val="en-GB"/>
        </w:rPr>
      </w:pPr>
      <w:r w:rsidRPr="00E53B23">
        <w:rPr>
          <w:b/>
          <w:bCs/>
          <w:lang w:val="en-GB"/>
        </w:rPr>
        <w:t>A</w:t>
      </w:r>
    </w:p>
    <w:p w14:paraId="15ECDCFB" w14:textId="77777777" w:rsidR="00F63A3C" w:rsidRPr="00E53B23" w:rsidRDefault="00F63A3C" w:rsidP="0008032D">
      <w:pPr>
        <w:pStyle w:val="SingleTxtG"/>
        <w:ind w:left="2268"/>
        <w:rPr>
          <w:lang w:val="en-GB"/>
        </w:rPr>
      </w:pPr>
      <w:r w:rsidRPr="00E53B23">
        <w:rPr>
          <w:i/>
          <w:iCs/>
          <w:lang w:val="en-GB"/>
        </w:rPr>
        <w:t>“ADN”</w:t>
      </w:r>
      <w:r w:rsidRPr="00E53B23">
        <w:rPr>
          <w:lang w:val="en-GB"/>
        </w:rPr>
        <w:t xml:space="preserve"> means the European Agreement concerning the International Carriage of Dangerous Goods by Inland Waterways;</w:t>
      </w:r>
    </w:p>
    <w:p w14:paraId="5B424526" w14:textId="77777777" w:rsidR="00F63A3C" w:rsidRPr="00E53B23" w:rsidRDefault="00F63A3C" w:rsidP="0008032D">
      <w:pPr>
        <w:pStyle w:val="SingleTxtG"/>
        <w:ind w:left="2268"/>
        <w:rPr>
          <w:lang w:val="en-GB"/>
        </w:rPr>
      </w:pPr>
      <w:r w:rsidRPr="00E53B23">
        <w:rPr>
          <w:i/>
          <w:iCs/>
          <w:lang w:val="en-GB"/>
        </w:rPr>
        <w:t xml:space="preserve">“ASTM” </w:t>
      </w:r>
      <w:r w:rsidRPr="00E53B23">
        <w:rPr>
          <w:lang w:val="en-GB"/>
        </w:rPr>
        <w:t xml:space="preserve">means the American Society for Testing and Materials (ASTM International, 100 Barr Harbor Drive, PO Box C700, West Conshohocken, PA, 19428-2959, United States of America), </w:t>
      </w:r>
      <w:hyperlink r:id="rId11" w:history="1">
        <w:r w:rsidRPr="00E53B23">
          <w:rPr>
            <w:lang w:val="en-GB"/>
          </w:rPr>
          <w:t>www.astm.org</w:t>
        </w:r>
      </w:hyperlink>
      <w:r w:rsidRPr="00E53B23">
        <w:rPr>
          <w:lang w:val="en-GB"/>
        </w:rPr>
        <w:t>;</w:t>
      </w:r>
    </w:p>
    <w:p w14:paraId="18639F7E" w14:textId="77777777" w:rsidR="00F63A3C" w:rsidRPr="00E53B23" w:rsidRDefault="00F63A3C" w:rsidP="0008032D">
      <w:pPr>
        <w:pStyle w:val="SingleTxtG"/>
        <w:ind w:left="2268"/>
        <w:rPr>
          <w:b/>
          <w:bCs/>
          <w:lang w:val="en-GB"/>
        </w:rPr>
      </w:pPr>
      <w:r w:rsidRPr="00E53B23">
        <w:rPr>
          <w:b/>
          <w:bCs/>
          <w:lang w:val="en-GB"/>
        </w:rPr>
        <w:lastRenderedPageBreak/>
        <w:t>C</w:t>
      </w:r>
    </w:p>
    <w:p w14:paraId="40EA72B3" w14:textId="77777777" w:rsidR="00F63A3C" w:rsidRPr="00E53B23" w:rsidRDefault="00F63A3C" w:rsidP="0008032D">
      <w:pPr>
        <w:pStyle w:val="SingleTxtG"/>
        <w:ind w:left="2268"/>
        <w:rPr>
          <w:lang w:val="en-GB"/>
        </w:rPr>
      </w:pPr>
      <w:r w:rsidRPr="00E53B23">
        <w:rPr>
          <w:i/>
          <w:iCs/>
          <w:lang w:val="en-GB"/>
        </w:rPr>
        <w:t xml:space="preserve">“CGA” </w:t>
      </w:r>
      <w:r w:rsidRPr="00E53B23">
        <w:rPr>
          <w:lang w:val="en-GB"/>
        </w:rPr>
        <w:t>means the Compressed Gas Association, 14501 George Carter Way, Suite 103, Chantilly, VA 20151, United States of America, www.cganet.com;</w:t>
      </w:r>
    </w:p>
    <w:p w14:paraId="7D3F1344" w14:textId="77777777" w:rsidR="00F63A3C" w:rsidRPr="00E53B23" w:rsidRDefault="00F63A3C" w:rsidP="0008032D">
      <w:pPr>
        <w:pStyle w:val="SingleTxtG"/>
        <w:ind w:left="2268"/>
        <w:rPr>
          <w:lang w:val="en-GB"/>
        </w:rPr>
      </w:pPr>
      <w:r w:rsidRPr="00E53B23">
        <w:rPr>
          <w:i/>
          <w:iCs/>
          <w:lang w:val="en-GB"/>
        </w:rPr>
        <w:t xml:space="preserve">“CIM” </w:t>
      </w:r>
      <w:r w:rsidRPr="00E53B23">
        <w:rPr>
          <w:lang w:val="en-GB"/>
        </w:rPr>
        <w:t>means the Uniform Rules Concerning the Contract of International Carriage of Goods by Rail (Appendix B to the Convention concerning International Carriage by Rail (COTIF)), as amended;</w:t>
      </w:r>
    </w:p>
    <w:p w14:paraId="77D31A86" w14:textId="77777777" w:rsidR="00F63A3C" w:rsidRPr="00E53B23" w:rsidRDefault="00F63A3C" w:rsidP="0008032D">
      <w:pPr>
        <w:pStyle w:val="SingleTxtG"/>
        <w:ind w:left="2268"/>
        <w:rPr>
          <w:lang w:val="en-GB"/>
        </w:rPr>
      </w:pPr>
      <w:r w:rsidRPr="00E53B23">
        <w:rPr>
          <w:i/>
          <w:iCs/>
          <w:lang w:val="en-GB"/>
        </w:rPr>
        <w:t>“CMR”</w:t>
      </w:r>
      <w:r w:rsidRPr="00E53B23">
        <w:rPr>
          <w:lang w:val="en-GB"/>
        </w:rPr>
        <w:t xml:space="preserve"> means the Convention on the Contract for the International Carriage of Goods by Road (Geneva, 19 May 1956), as amended;</w:t>
      </w:r>
    </w:p>
    <w:p w14:paraId="78AD8C93" w14:textId="3FE7DED2" w:rsidR="00F63A3C" w:rsidRPr="00E53B23" w:rsidRDefault="00F63A3C" w:rsidP="0008032D">
      <w:pPr>
        <w:pStyle w:val="SingleTxtG"/>
        <w:ind w:left="2268"/>
        <w:rPr>
          <w:lang w:val="en-GB"/>
        </w:rPr>
      </w:pPr>
      <w:r w:rsidRPr="00E53B23">
        <w:rPr>
          <w:i/>
          <w:iCs/>
          <w:lang w:val="en-GB"/>
        </w:rPr>
        <w:t>“CNG”</w:t>
      </w:r>
      <w:r w:rsidRPr="00E53B23">
        <w:rPr>
          <w:lang w:val="en-GB"/>
        </w:rPr>
        <w:t xml:space="preserve"> means compressed natural gas (see 1.2.1);</w:t>
      </w:r>
    </w:p>
    <w:p w14:paraId="34F6D405" w14:textId="77777777" w:rsidR="00F63A3C" w:rsidRPr="00E53B23" w:rsidRDefault="00F63A3C" w:rsidP="0008032D">
      <w:pPr>
        <w:pStyle w:val="SingleTxtG"/>
        <w:ind w:left="2268"/>
        <w:rPr>
          <w:lang w:val="en-GB"/>
        </w:rPr>
      </w:pPr>
      <w:r w:rsidRPr="00E53B23">
        <w:rPr>
          <w:i/>
          <w:iCs/>
          <w:lang w:val="en-GB"/>
        </w:rPr>
        <w:t xml:space="preserve">“CSC” </w:t>
      </w:r>
      <w:r w:rsidRPr="00E53B23">
        <w:rPr>
          <w:lang w:val="en-GB"/>
        </w:rPr>
        <w:t>means the International Convention for Safe Containers (Geneva, 1972) as amended and published by the International Maritime Organization (IMO), London;</w:t>
      </w:r>
    </w:p>
    <w:p w14:paraId="7C309DF4" w14:textId="77777777" w:rsidR="00F63A3C" w:rsidRPr="00E53B23" w:rsidRDefault="00F63A3C" w:rsidP="0008032D">
      <w:pPr>
        <w:pStyle w:val="SingleTxtG"/>
        <w:ind w:left="2268"/>
        <w:rPr>
          <w:lang w:val="en-GB"/>
        </w:rPr>
      </w:pPr>
      <w:r w:rsidRPr="00E53B23">
        <w:rPr>
          <w:i/>
          <w:iCs/>
          <w:lang w:val="en-GB"/>
        </w:rPr>
        <w:t xml:space="preserve">“CSI” </w:t>
      </w:r>
      <w:r w:rsidRPr="00E53B23">
        <w:rPr>
          <w:lang w:val="en-GB"/>
        </w:rPr>
        <w:t>means criticality safety index (see 1.2.1);</w:t>
      </w:r>
    </w:p>
    <w:p w14:paraId="7028872F" w14:textId="77777777" w:rsidR="00F63A3C" w:rsidRPr="00E53B23" w:rsidRDefault="00F63A3C" w:rsidP="0008032D">
      <w:pPr>
        <w:pStyle w:val="SingleTxtG"/>
        <w:ind w:left="2268"/>
        <w:rPr>
          <w:b/>
          <w:bCs/>
          <w:lang w:val="en-GB"/>
        </w:rPr>
      </w:pPr>
      <w:r w:rsidRPr="00E53B23">
        <w:rPr>
          <w:b/>
          <w:bCs/>
          <w:lang w:val="en-GB"/>
        </w:rPr>
        <w:t>E</w:t>
      </w:r>
    </w:p>
    <w:p w14:paraId="5386ADFB" w14:textId="77777777" w:rsidR="00F63A3C" w:rsidRPr="00E53B23" w:rsidRDefault="00F63A3C" w:rsidP="0008032D">
      <w:pPr>
        <w:pStyle w:val="SingleTxtG"/>
        <w:ind w:left="2268"/>
        <w:rPr>
          <w:lang w:val="en-GB"/>
        </w:rPr>
      </w:pPr>
      <w:r w:rsidRPr="00E53B23">
        <w:rPr>
          <w:i/>
          <w:iCs/>
          <w:lang w:val="en-GB"/>
        </w:rPr>
        <w:t>“EIGA”</w:t>
      </w:r>
      <w:r w:rsidRPr="00E53B23">
        <w:rPr>
          <w:lang w:val="en-GB"/>
        </w:rPr>
        <w:t xml:space="preserve"> means European Industrial Gas Association, 30 Avenue de l'Astronomie, 1210 Brussels (Belgium), www.eiga.eu;</w:t>
      </w:r>
    </w:p>
    <w:p w14:paraId="70CD5F75" w14:textId="77777777" w:rsidR="00F63A3C" w:rsidRPr="00E53B23" w:rsidRDefault="00F63A3C" w:rsidP="0008032D">
      <w:pPr>
        <w:pStyle w:val="SingleTxtG"/>
        <w:ind w:left="2268"/>
        <w:rPr>
          <w:lang w:val="en-GB"/>
        </w:rPr>
      </w:pPr>
      <w:r w:rsidRPr="00E53B23">
        <w:rPr>
          <w:i/>
          <w:iCs/>
          <w:lang w:val="en-GB"/>
        </w:rPr>
        <w:t xml:space="preserve">“EN” </w:t>
      </w:r>
      <w:r w:rsidRPr="00E53B23">
        <w:rPr>
          <w:lang w:val="en-GB"/>
        </w:rPr>
        <w:t xml:space="preserve">(standard) means a European standard published by the European Committee for Standardization (CEN) (CEN, Avenue Marnix 17, B-1000 Brussels, Belgium), </w:t>
      </w:r>
      <w:hyperlink r:id="rId12" w:history="1">
        <w:r w:rsidRPr="00E53B23">
          <w:rPr>
            <w:lang w:val="en-GB"/>
          </w:rPr>
          <w:t>www.cen.eu</w:t>
        </w:r>
      </w:hyperlink>
      <w:r w:rsidRPr="00E53B23">
        <w:rPr>
          <w:lang w:val="en-GB"/>
        </w:rPr>
        <w:t>;</w:t>
      </w:r>
    </w:p>
    <w:p w14:paraId="11D3ED37" w14:textId="77777777" w:rsidR="00F63A3C" w:rsidRPr="00E53B23" w:rsidRDefault="00F63A3C" w:rsidP="0008032D">
      <w:pPr>
        <w:pStyle w:val="SingleTxtG"/>
        <w:ind w:left="2268"/>
        <w:rPr>
          <w:b/>
          <w:bCs/>
          <w:lang w:val="en-GB"/>
        </w:rPr>
      </w:pPr>
      <w:r w:rsidRPr="00E53B23">
        <w:rPr>
          <w:b/>
          <w:bCs/>
          <w:lang w:val="en-GB"/>
        </w:rPr>
        <w:t>G</w:t>
      </w:r>
    </w:p>
    <w:p w14:paraId="0A400511" w14:textId="77777777" w:rsidR="00F63A3C" w:rsidRPr="00E53B23" w:rsidRDefault="00F63A3C" w:rsidP="0008032D">
      <w:pPr>
        <w:pStyle w:val="SingleTxtG"/>
        <w:ind w:left="2268"/>
        <w:rPr>
          <w:lang w:val="en-GB"/>
        </w:rPr>
      </w:pPr>
      <w:r w:rsidRPr="00E53B23">
        <w:rPr>
          <w:i/>
          <w:iCs/>
          <w:lang w:val="en-GB"/>
        </w:rPr>
        <w:t>“GHS”</w:t>
      </w:r>
      <w:r w:rsidRPr="00E53B23">
        <w:rPr>
          <w:lang w:val="en-GB"/>
        </w:rPr>
        <w:t xml:space="preserve"> means Globally Harmonized System of Classification and Labelling of Chemicals (see 1.2.1);</w:t>
      </w:r>
    </w:p>
    <w:p w14:paraId="550F057C" w14:textId="77777777" w:rsidR="00F63A3C" w:rsidRPr="00E53B23" w:rsidRDefault="00F63A3C" w:rsidP="0008032D">
      <w:pPr>
        <w:pStyle w:val="SingleTxtG"/>
        <w:ind w:left="2268"/>
        <w:rPr>
          <w:b/>
          <w:bCs/>
          <w:lang w:val="en-GB"/>
        </w:rPr>
      </w:pPr>
      <w:r w:rsidRPr="00E53B23">
        <w:rPr>
          <w:b/>
          <w:bCs/>
          <w:lang w:val="en-GB"/>
        </w:rPr>
        <w:t>I</w:t>
      </w:r>
    </w:p>
    <w:p w14:paraId="3C525B9C" w14:textId="77777777" w:rsidR="00F63A3C" w:rsidRPr="00E53B23" w:rsidRDefault="00F63A3C" w:rsidP="0008032D">
      <w:pPr>
        <w:pStyle w:val="SingleTxtG"/>
        <w:ind w:left="2268"/>
        <w:rPr>
          <w:lang w:val="en-GB"/>
        </w:rPr>
      </w:pPr>
      <w:r w:rsidRPr="00E53B23">
        <w:rPr>
          <w:i/>
          <w:iCs/>
          <w:lang w:val="en-GB"/>
        </w:rPr>
        <w:t>“IAEA”</w:t>
      </w:r>
      <w:r w:rsidRPr="00E53B23">
        <w:rPr>
          <w:lang w:val="en-GB"/>
        </w:rPr>
        <w:t xml:space="preserve"> means the International Atomic Energy Agency, P.O. Box 100, 1400 Vienna, Austria, www.iaea.org;</w:t>
      </w:r>
    </w:p>
    <w:p w14:paraId="3E914949" w14:textId="77777777" w:rsidR="00F63A3C" w:rsidRPr="00E53B23" w:rsidRDefault="00F63A3C" w:rsidP="0008032D">
      <w:pPr>
        <w:pStyle w:val="SingleTxtG"/>
        <w:ind w:left="2268"/>
        <w:rPr>
          <w:lang w:val="en-GB"/>
        </w:rPr>
      </w:pPr>
      <w:r w:rsidRPr="00E53B23">
        <w:rPr>
          <w:lang w:val="en-GB"/>
        </w:rPr>
        <w:tab/>
      </w:r>
      <w:r w:rsidRPr="00E53B23">
        <w:rPr>
          <w:i/>
          <w:iCs/>
          <w:lang w:val="en-GB"/>
        </w:rPr>
        <w:t xml:space="preserve">“IBC” </w:t>
      </w:r>
      <w:r w:rsidRPr="00E53B23">
        <w:rPr>
          <w:lang w:val="en-GB"/>
        </w:rPr>
        <w:t>means intermediate bulk container (see 1.2.1);</w:t>
      </w:r>
    </w:p>
    <w:p w14:paraId="66B558A6" w14:textId="77777777" w:rsidR="00F63A3C" w:rsidRPr="00E53B23" w:rsidRDefault="00F63A3C" w:rsidP="0008032D">
      <w:pPr>
        <w:pStyle w:val="SingleTxtG"/>
        <w:ind w:left="2268"/>
        <w:rPr>
          <w:lang w:val="en-GB"/>
        </w:rPr>
      </w:pPr>
      <w:r w:rsidRPr="00E53B23">
        <w:rPr>
          <w:i/>
          <w:iCs/>
          <w:lang w:val="en-GB"/>
        </w:rPr>
        <w:t>“ICAO”</w:t>
      </w:r>
      <w:r w:rsidRPr="00E53B23">
        <w:rPr>
          <w:lang w:val="en-GB"/>
        </w:rPr>
        <w:t xml:space="preserve"> means the International Civil Aviation Organization, 999 University Street, Montreal, Quebec H3C 5H7, Canada, www.icao.org;</w:t>
      </w:r>
    </w:p>
    <w:p w14:paraId="5616BE0E" w14:textId="77777777" w:rsidR="00F63A3C" w:rsidRPr="00E53B23" w:rsidRDefault="00F63A3C" w:rsidP="0008032D">
      <w:pPr>
        <w:pStyle w:val="SingleTxtG"/>
        <w:ind w:left="2268"/>
        <w:rPr>
          <w:lang w:val="en-GB"/>
        </w:rPr>
      </w:pPr>
      <w:r w:rsidRPr="00E53B23">
        <w:rPr>
          <w:lang w:val="en-GB"/>
        </w:rPr>
        <w:tab/>
      </w:r>
      <w:r w:rsidRPr="00E53B23">
        <w:rPr>
          <w:i/>
          <w:iCs/>
          <w:lang w:val="en-GB"/>
        </w:rPr>
        <w:t>“IMDG”</w:t>
      </w:r>
      <w:r w:rsidRPr="00E53B23">
        <w:rPr>
          <w:lang w:val="en-GB"/>
        </w:rPr>
        <w:t xml:space="preserve"> means IMDG Code (see 1.2.1);</w:t>
      </w:r>
    </w:p>
    <w:p w14:paraId="4186128D" w14:textId="77777777" w:rsidR="00F63A3C" w:rsidRPr="00E53B23" w:rsidRDefault="00F63A3C" w:rsidP="0008032D">
      <w:pPr>
        <w:pStyle w:val="SingleTxtG"/>
        <w:ind w:left="2268"/>
        <w:rPr>
          <w:lang w:val="en-GB"/>
        </w:rPr>
      </w:pPr>
      <w:r w:rsidRPr="00E53B23">
        <w:rPr>
          <w:i/>
          <w:iCs/>
          <w:lang w:val="en-GB"/>
        </w:rPr>
        <w:t>“IMO”</w:t>
      </w:r>
      <w:r w:rsidRPr="00E53B23">
        <w:rPr>
          <w:lang w:val="en-GB"/>
        </w:rPr>
        <w:t xml:space="preserve"> means the International Maritime Organization, 4 Albert Embankment, London SE1 7SR, United Kingdom, </w:t>
      </w:r>
      <w:hyperlink r:id="rId13" w:history="1">
        <w:r w:rsidRPr="00E53B23">
          <w:rPr>
            <w:lang w:val="en-GB"/>
          </w:rPr>
          <w:t>www.imo.org</w:t>
        </w:r>
      </w:hyperlink>
      <w:r w:rsidRPr="00E53B23">
        <w:rPr>
          <w:lang w:val="en-GB"/>
        </w:rPr>
        <w:t>;</w:t>
      </w:r>
    </w:p>
    <w:p w14:paraId="4F82818A" w14:textId="77777777" w:rsidR="00F63A3C" w:rsidRPr="00E53B23" w:rsidRDefault="00F63A3C" w:rsidP="0008032D">
      <w:pPr>
        <w:pStyle w:val="SingleTxtG"/>
        <w:ind w:left="2268"/>
        <w:rPr>
          <w:lang w:val="en-GB"/>
        </w:rPr>
      </w:pPr>
      <w:r w:rsidRPr="00E53B23">
        <w:rPr>
          <w:i/>
          <w:iCs/>
          <w:lang w:val="en-GB"/>
        </w:rPr>
        <w:t>“ISO”</w:t>
      </w:r>
      <w:r w:rsidRPr="00E53B23">
        <w:rPr>
          <w:lang w:val="en-GB"/>
        </w:rPr>
        <w:t xml:space="preserve"> (standard) means an international standard published by the International Organization for Standardization, 1, rue de Varembé, 1204 Geneva 20, Switzerland, </w:t>
      </w:r>
      <w:hyperlink r:id="rId14" w:history="1">
        <w:r w:rsidRPr="00E53B23">
          <w:rPr>
            <w:lang w:val="en-GB"/>
          </w:rPr>
          <w:t>www.iso.org</w:t>
        </w:r>
      </w:hyperlink>
      <w:r w:rsidRPr="00E53B23">
        <w:rPr>
          <w:lang w:val="en-GB"/>
        </w:rPr>
        <w:t>;</w:t>
      </w:r>
    </w:p>
    <w:p w14:paraId="5CB06E90" w14:textId="77777777" w:rsidR="00F63A3C" w:rsidRPr="00E53B23" w:rsidRDefault="00F63A3C" w:rsidP="0008032D">
      <w:pPr>
        <w:pStyle w:val="SingleTxtG"/>
        <w:ind w:left="2268"/>
        <w:rPr>
          <w:b/>
          <w:bCs/>
          <w:lang w:val="en-GB"/>
        </w:rPr>
      </w:pPr>
      <w:r w:rsidRPr="00E53B23">
        <w:rPr>
          <w:b/>
          <w:bCs/>
          <w:lang w:val="en-GB"/>
        </w:rPr>
        <w:t>L</w:t>
      </w:r>
    </w:p>
    <w:p w14:paraId="778E6592" w14:textId="77777777" w:rsidR="00F63A3C" w:rsidRPr="00E53B23" w:rsidRDefault="00F63A3C" w:rsidP="0008032D">
      <w:pPr>
        <w:pStyle w:val="SingleTxtG"/>
        <w:ind w:left="2268"/>
        <w:rPr>
          <w:lang w:val="en-GB"/>
        </w:rPr>
      </w:pPr>
      <w:r w:rsidRPr="00E53B23">
        <w:rPr>
          <w:i/>
          <w:iCs/>
          <w:lang w:val="en-GB"/>
        </w:rPr>
        <w:t xml:space="preserve">“LNG” </w:t>
      </w:r>
      <w:r w:rsidRPr="00E53B23">
        <w:rPr>
          <w:lang w:val="en-GB"/>
        </w:rPr>
        <w:t>means liquefied natural gas (see 1.2.1);</w:t>
      </w:r>
    </w:p>
    <w:p w14:paraId="2CDB9B62" w14:textId="77777777" w:rsidR="00F63A3C" w:rsidRPr="00E53B23" w:rsidRDefault="00F63A3C" w:rsidP="0008032D">
      <w:pPr>
        <w:pStyle w:val="SingleTxtG"/>
        <w:ind w:left="2268"/>
        <w:rPr>
          <w:lang w:val="en-GB"/>
        </w:rPr>
      </w:pPr>
      <w:r w:rsidRPr="00E53B23">
        <w:rPr>
          <w:i/>
          <w:iCs/>
          <w:lang w:val="en-GB"/>
        </w:rPr>
        <w:t xml:space="preserve">“LPG” </w:t>
      </w:r>
      <w:r w:rsidRPr="00E53B23">
        <w:rPr>
          <w:lang w:val="en-GB"/>
        </w:rPr>
        <w:t>means liquefied petroleum gas (see 1.2.1);</w:t>
      </w:r>
    </w:p>
    <w:p w14:paraId="7FE4D67D" w14:textId="77777777" w:rsidR="00F63A3C" w:rsidRPr="00E53B23" w:rsidRDefault="00F63A3C" w:rsidP="0008032D">
      <w:pPr>
        <w:pStyle w:val="SingleTxtG"/>
        <w:ind w:left="2268"/>
        <w:rPr>
          <w:lang w:val="en-GB"/>
        </w:rPr>
      </w:pPr>
      <w:r w:rsidRPr="00E53B23">
        <w:rPr>
          <w:i/>
          <w:iCs/>
          <w:lang w:val="en-GB"/>
        </w:rPr>
        <w:t xml:space="preserve">“LSA” </w:t>
      </w:r>
      <w:r w:rsidRPr="00E53B23">
        <w:rPr>
          <w:lang w:val="en-GB"/>
        </w:rPr>
        <w:t>(material) means low specific activity material (see 2.2.7.1.3);</w:t>
      </w:r>
    </w:p>
    <w:p w14:paraId="09057C17" w14:textId="77777777" w:rsidR="00F63A3C" w:rsidRPr="00E53B23" w:rsidRDefault="00F63A3C" w:rsidP="0008032D">
      <w:pPr>
        <w:pStyle w:val="SingleTxtG"/>
        <w:ind w:left="2268"/>
        <w:rPr>
          <w:b/>
          <w:bCs/>
          <w:lang w:val="en-GB"/>
        </w:rPr>
      </w:pPr>
      <w:r w:rsidRPr="00E53B23">
        <w:rPr>
          <w:b/>
          <w:bCs/>
          <w:lang w:val="en-GB"/>
        </w:rPr>
        <w:t>M</w:t>
      </w:r>
    </w:p>
    <w:p w14:paraId="32762971" w14:textId="77777777" w:rsidR="00F63A3C" w:rsidRPr="00E53B23" w:rsidRDefault="00F63A3C" w:rsidP="0008032D">
      <w:pPr>
        <w:pStyle w:val="SingleTxtG"/>
        <w:ind w:left="2268"/>
        <w:rPr>
          <w:lang w:val="en-GB"/>
        </w:rPr>
      </w:pPr>
      <w:r w:rsidRPr="00E53B23">
        <w:rPr>
          <w:i/>
          <w:iCs/>
          <w:lang w:val="en-GB"/>
        </w:rPr>
        <w:t xml:space="preserve">“MEGC” </w:t>
      </w:r>
      <w:r w:rsidRPr="00E53B23">
        <w:rPr>
          <w:lang w:val="en-GB"/>
        </w:rPr>
        <w:t>means multiple-element gas container (see 1.2.1);</w:t>
      </w:r>
    </w:p>
    <w:p w14:paraId="4F889A5B" w14:textId="77777777" w:rsidR="00F63A3C" w:rsidRPr="00E53B23" w:rsidRDefault="00F63A3C" w:rsidP="0008032D">
      <w:pPr>
        <w:pStyle w:val="SingleTxtG"/>
        <w:ind w:left="2268"/>
        <w:rPr>
          <w:lang w:val="en-GB"/>
        </w:rPr>
      </w:pPr>
      <w:r w:rsidRPr="00E53B23">
        <w:rPr>
          <w:i/>
          <w:iCs/>
          <w:lang w:val="en-GB"/>
        </w:rPr>
        <w:t>“MEMU”</w:t>
      </w:r>
      <w:r w:rsidRPr="00E53B23">
        <w:rPr>
          <w:lang w:val="en-GB"/>
        </w:rPr>
        <w:t xml:space="preserve"> means mobile explosives manufacturing unit (see 1.2.1);</w:t>
      </w:r>
    </w:p>
    <w:p w14:paraId="46968620" w14:textId="77777777" w:rsidR="00F63A3C" w:rsidRPr="00E53B23" w:rsidRDefault="00F63A3C" w:rsidP="0008032D">
      <w:pPr>
        <w:pStyle w:val="SingleTxtG"/>
        <w:ind w:left="2268"/>
        <w:rPr>
          <w:b/>
          <w:bCs/>
          <w:lang w:val="en-GB"/>
        </w:rPr>
      </w:pPr>
      <w:r w:rsidRPr="00E53B23">
        <w:rPr>
          <w:b/>
          <w:bCs/>
          <w:lang w:val="en-GB"/>
        </w:rPr>
        <w:t>N</w:t>
      </w:r>
    </w:p>
    <w:p w14:paraId="17A45723" w14:textId="77777777" w:rsidR="00F63A3C" w:rsidRPr="00E53B23" w:rsidRDefault="00F63A3C" w:rsidP="0008032D">
      <w:pPr>
        <w:pStyle w:val="SingleTxtG"/>
        <w:ind w:left="2268"/>
        <w:rPr>
          <w:lang w:val="en-GB"/>
        </w:rPr>
      </w:pPr>
      <w:r w:rsidRPr="00E53B23">
        <w:rPr>
          <w:i/>
          <w:iCs/>
          <w:lang w:val="en-GB"/>
        </w:rPr>
        <w:t xml:space="preserve">“N.O.S.” </w:t>
      </w:r>
      <w:r w:rsidRPr="00E53B23">
        <w:rPr>
          <w:lang w:val="en-GB"/>
        </w:rPr>
        <w:t>means not otherwise specified entry (see 1.2.1);</w:t>
      </w:r>
    </w:p>
    <w:p w14:paraId="223A8D02" w14:textId="77777777" w:rsidR="00F63A3C" w:rsidRPr="00E53B23" w:rsidRDefault="00F63A3C" w:rsidP="0008032D">
      <w:pPr>
        <w:pStyle w:val="SingleTxtG"/>
        <w:ind w:left="2268"/>
        <w:rPr>
          <w:b/>
          <w:bCs/>
          <w:lang w:val="en-GB"/>
        </w:rPr>
      </w:pPr>
      <w:r w:rsidRPr="00E53B23">
        <w:rPr>
          <w:b/>
          <w:bCs/>
          <w:lang w:val="en-GB"/>
        </w:rPr>
        <w:tab/>
        <w:t>R</w:t>
      </w:r>
    </w:p>
    <w:p w14:paraId="2CC21054" w14:textId="77777777" w:rsidR="00F63A3C" w:rsidRPr="00E53B23" w:rsidRDefault="00F63A3C" w:rsidP="0008032D">
      <w:pPr>
        <w:pStyle w:val="SingleTxtG"/>
        <w:ind w:left="2268"/>
        <w:rPr>
          <w:lang w:val="en-GB"/>
        </w:rPr>
      </w:pPr>
      <w:r w:rsidRPr="00E53B23">
        <w:rPr>
          <w:i/>
          <w:iCs/>
          <w:lang w:val="en-GB"/>
        </w:rPr>
        <w:lastRenderedPageBreak/>
        <w:t>“RID”</w:t>
      </w:r>
      <w:r w:rsidRPr="00E53B23">
        <w:rPr>
          <w:lang w:val="en-GB"/>
        </w:rPr>
        <w:t xml:space="preserve"> means Regulations concerning the International Carriage of Dangerous Goods by Rail (Appendix C of COTIF (Convention concerning international carriage by rail));</w:t>
      </w:r>
    </w:p>
    <w:p w14:paraId="2BF9289B" w14:textId="77777777" w:rsidR="00F63A3C" w:rsidRPr="00E53B23" w:rsidRDefault="00F63A3C" w:rsidP="0008032D">
      <w:pPr>
        <w:pStyle w:val="SingleTxtG"/>
        <w:ind w:left="2268"/>
        <w:rPr>
          <w:b/>
          <w:bCs/>
          <w:lang w:val="en-GB"/>
        </w:rPr>
      </w:pPr>
      <w:r w:rsidRPr="00E53B23">
        <w:rPr>
          <w:b/>
          <w:bCs/>
          <w:lang w:val="en-GB"/>
        </w:rPr>
        <w:tab/>
        <w:t>S</w:t>
      </w:r>
    </w:p>
    <w:p w14:paraId="10977DBB" w14:textId="77777777" w:rsidR="00F63A3C" w:rsidRPr="00E53B23" w:rsidRDefault="00F63A3C" w:rsidP="0008032D">
      <w:pPr>
        <w:pStyle w:val="SingleTxtG"/>
        <w:ind w:left="2268"/>
        <w:rPr>
          <w:lang w:val="en-GB"/>
        </w:rPr>
      </w:pPr>
      <w:r w:rsidRPr="00E53B23">
        <w:rPr>
          <w:i/>
          <w:iCs/>
          <w:lang w:val="en-GB"/>
        </w:rPr>
        <w:t>“SADT”</w:t>
      </w:r>
      <w:r w:rsidRPr="00E53B23">
        <w:rPr>
          <w:lang w:val="en-GB"/>
        </w:rPr>
        <w:t xml:space="preserve"> means self-accelerating decomposition temperature (see 1.2.1);</w:t>
      </w:r>
    </w:p>
    <w:p w14:paraId="1EBF23FC" w14:textId="77777777" w:rsidR="00F63A3C" w:rsidRPr="00E53B23" w:rsidRDefault="00F63A3C" w:rsidP="0008032D">
      <w:pPr>
        <w:pStyle w:val="SingleTxtG"/>
        <w:ind w:left="2268"/>
        <w:rPr>
          <w:lang w:val="en-GB"/>
        </w:rPr>
      </w:pPr>
      <w:r w:rsidRPr="00E53B23">
        <w:rPr>
          <w:i/>
          <w:iCs/>
          <w:lang w:val="en-GB"/>
        </w:rPr>
        <w:t>“SAPT”</w:t>
      </w:r>
      <w:r w:rsidRPr="00E53B23">
        <w:rPr>
          <w:lang w:val="en-GB"/>
        </w:rPr>
        <w:t xml:space="preserve"> means self-accelerating polymerization temperature (see 1.2.1);</w:t>
      </w:r>
    </w:p>
    <w:p w14:paraId="25D4451A" w14:textId="77777777" w:rsidR="00F63A3C" w:rsidRPr="00E53B23" w:rsidRDefault="00F63A3C" w:rsidP="0008032D">
      <w:pPr>
        <w:pStyle w:val="SingleTxtG"/>
        <w:ind w:left="2268"/>
        <w:rPr>
          <w:lang w:val="en-GB"/>
        </w:rPr>
      </w:pPr>
      <w:r w:rsidRPr="00E53B23">
        <w:rPr>
          <w:i/>
          <w:iCs/>
          <w:lang w:val="en-GB"/>
        </w:rPr>
        <w:t>“SCO”</w:t>
      </w:r>
      <w:r w:rsidRPr="00E53B23">
        <w:rPr>
          <w:lang w:val="en-GB"/>
        </w:rPr>
        <w:t xml:space="preserve"> means surface contaminated object (see 2.2.7.1.3);</w:t>
      </w:r>
    </w:p>
    <w:p w14:paraId="1DB377BF" w14:textId="77777777" w:rsidR="00F63A3C" w:rsidRPr="00E53B23" w:rsidRDefault="00F63A3C" w:rsidP="0008032D">
      <w:pPr>
        <w:pStyle w:val="SingleTxtG"/>
        <w:ind w:left="2268"/>
        <w:rPr>
          <w:b/>
          <w:bCs/>
          <w:lang w:val="en-GB"/>
        </w:rPr>
      </w:pPr>
      <w:r w:rsidRPr="00E53B23">
        <w:rPr>
          <w:b/>
          <w:bCs/>
          <w:lang w:val="en-GB"/>
        </w:rPr>
        <w:t>T</w:t>
      </w:r>
    </w:p>
    <w:p w14:paraId="09059668" w14:textId="77777777" w:rsidR="00F63A3C" w:rsidRPr="00E53B23" w:rsidRDefault="00F63A3C" w:rsidP="0008032D">
      <w:pPr>
        <w:pStyle w:val="SingleTxtG"/>
        <w:ind w:left="2268"/>
        <w:rPr>
          <w:lang w:val="en-GB"/>
        </w:rPr>
      </w:pPr>
      <w:r w:rsidRPr="00E53B23">
        <w:rPr>
          <w:i/>
          <w:iCs/>
          <w:lang w:val="en-GB"/>
        </w:rPr>
        <w:t xml:space="preserve">“TI” </w:t>
      </w:r>
      <w:r w:rsidRPr="00E53B23">
        <w:rPr>
          <w:lang w:val="en-GB"/>
        </w:rPr>
        <w:t>means transport index (see 1.2.1);</w:t>
      </w:r>
    </w:p>
    <w:p w14:paraId="3667DA37" w14:textId="77777777" w:rsidR="00F63A3C" w:rsidRPr="00E53B23" w:rsidRDefault="00F63A3C" w:rsidP="0008032D">
      <w:pPr>
        <w:pStyle w:val="SingleTxtG"/>
        <w:ind w:left="2268"/>
        <w:rPr>
          <w:b/>
          <w:bCs/>
          <w:lang w:val="en-GB"/>
        </w:rPr>
      </w:pPr>
      <w:r w:rsidRPr="00E53B23">
        <w:rPr>
          <w:b/>
          <w:bCs/>
          <w:lang w:val="en-GB"/>
        </w:rPr>
        <w:tab/>
        <w:t>U</w:t>
      </w:r>
    </w:p>
    <w:p w14:paraId="492B3FEE" w14:textId="77777777" w:rsidR="00F63A3C" w:rsidRPr="00E53B23" w:rsidRDefault="00F63A3C" w:rsidP="0008032D">
      <w:pPr>
        <w:pStyle w:val="SingleTxtG"/>
        <w:ind w:left="2268"/>
        <w:rPr>
          <w:lang w:val="en-GB"/>
        </w:rPr>
      </w:pPr>
      <w:r w:rsidRPr="00E53B23">
        <w:rPr>
          <w:i/>
          <w:iCs/>
          <w:lang w:val="en-GB"/>
        </w:rPr>
        <w:t xml:space="preserve">“UIC” </w:t>
      </w:r>
      <w:r w:rsidRPr="00E53B23">
        <w:rPr>
          <w:lang w:val="en-GB"/>
        </w:rPr>
        <w:t xml:space="preserve">means the International Union of Railways, 16 rue Jean Rey, 75015 Paris, France, </w:t>
      </w:r>
      <w:hyperlink r:id="rId15" w:history="1">
        <w:r w:rsidRPr="00E53B23">
          <w:rPr>
            <w:lang w:val="en-GB"/>
          </w:rPr>
          <w:t>www.uic.org</w:t>
        </w:r>
      </w:hyperlink>
      <w:r w:rsidRPr="00E53B23">
        <w:rPr>
          <w:lang w:val="en-GB"/>
        </w:rPr>
        <w:t>;</w:t>
      </w:r>
    </w:p>
    <w:p w14:paraId="1B406009" w14:textId="77777777" w:rsidR="00F63A3C" w:rsidRPr="00E53B23" w:rsidRDefault="00F63A3C" w:rsidP="0008032D">
      <w:pPr>
        <w:pStyle w:val="SingleTxtG"/>
        <w:ind w:left="2268"/>
        <w:rPr>
          <w:lang w:val="en-GB"/>
        </w:rPr>
      </w:pPr>
      <w:r w:rsidRPr="00E53B23">
        <w:rPr>
          <w:i/>
          <w:iCs/>
          <w:lang w:val="en-GB"/>
        </w:rPr>
        <w:t>“UNECE”</w:t>
      </w:r>
      <w:r w:rsidRPr="00E53B23">
        <w:rPr>
          <w:lang w:val="en-GB"/>
        </w:rPr>
        <w:t xml:space="preserve"> means the United Nations Economic Commission for Europe, Palais des Nations, 8-14 avenue de la Paix, 1211 Geneva 10, Switzerland, </w:t>
      </w:r>
      <w:hyperlink r:id="rId16" w:history="1">
        <w:r w:rsidRPr="00E53B23">
          <w:rPr>
            <w:lang w:val="en-GB"/>
          </w:rPr>
          <w:t>www.unece.org</w:t>
        </w:r>
      </w:hyperlink>
      <w:r w:rsidRPr="00E53B23">
        <w:rPr>
          <w:lang w:val="en-GB"/>
        </w:rPr>
        <w:t>; ”</w:t>
      </w:r>
    </w:p>
    <w:p w14:paraId="126E61F1" w14:textId="57393541" w:rsidR="00F63A3C" w:rsidRPr="00E53B23" w:rsidRDefault="00F63A3C" w:rsidP="00BD1A86">
      <w:pPr>
        <w:pStyle w:val="H1G"/>
      </w:pPr>
      <w:r w:rsidRPr="00E53B23">
        <w:tab/>
      </w:r>
      <w:r w:rsidR="00BD1A86" w:rsidRPr="00E53B23">
        <w:tab/>
      </w:r>
      <w:r w:rsidR="00BD1A86" w:rsidRPr="00E53B23">
        <w:tab/>
      </w:r>
      <w:r w:rsidRPr="00E53B23">
        <w:t>Chapter 1.6</w:t>
      </w:r>
    </w:p>
    <w:p w14:paraId="2FB00470" w14:textId="77777777" w:rsidR="00F63A3C" w:rsidRPr="00E53B23" w:rsidRDefault="00F63A3C" w:rsidP="00BD1A86">
      <w:pPr>
        <w:pStyle w:val="SingleTxtG"/>
        <w:rPr>
          <w:b/>
        </w:rPr>
      </w:pPr>
      <w:r w:rsidRPr="00E53B23">
        <w:t>1.6.4</w:t>
      </w:r>
      <w:r w:rsidRPr="00E53B23">
        <w:tab/>
      </w:r>
      <w:r w:rsidRPr="00E53B23">
        <w:tab/>
        <w:t>Insert the following new transitional provision:</w:t>
      </w:r>
    </w:p>
    <w:p w14:paraId="0EA704C6" w14:textId="77777777" w:rsidR="00F63A3C" w:rsidRPr="00E53B23" w:rsidRDefault="00F63A3C" w:rsidP="00BD1A86">
      <w:pPr>
        <w:pStyle w:val="SingleTxtG"/>
        <w:ind w:left="2268"/>
      </w:pPr>
      <w:r w:rsidRPr="00E53B23">
        <w:t>“1.6.4.56</w:t>
      </w:r>
      <w:r w:rsidRPr="00E53B23">
        <w:tab/>
        <w:t>Tank-containers constructed before 1 July 2023 in accordance with the requirements in force up to 31 December 2022, but which do not conform to the requirements of 6.8.2.2.4 second paragraph applicable from 1 January 2023 may still be used.”</w:t>
      </w:r>
    </w:p>
    <w:p w14:paraId="0D2FDFC9" w14:textId="77777777" w:rsidR="00F63A3C" w:rsidRPr="00E53B23" w:rsidRDefault="00F63A3C" w:rsidP="00BD1A86">
      <w:pPr>
        <w:pStyle w:val="H1G"/>
      </w:pPr>
      <w:r w:rsidRPr="00E53B23">
        <w:tab/>
      </w:r>
      <w:r w:rsidRPr="00E53B23">
        <w:tab/>
        <w:t>Chapter 1.10</w:t>
      </w:r>
    </w:p>
    <w:p w14:paraId="00A8E42F" w14:textId="664B60C7" w:rsidR="00F63A3C" w:rsidRPr="00E53B23" w:rsidRDefault="00F63A3C" w:rsidP="00BD1A86">
      <w:pPr>
        <w:pStyle w:val="SingleTxtG"/>
      </w:pPr>
      <w:r w:rsidRPr="00E53B23">
        <w:rPr>
          <w:bCs/>
        </w:rPr>
        <w:t>1.10.4</w:t>
      </w:r>
      <w:r w:rsidRPr="00E53B23">
        <w:rPr>
          <w:bCs/>
        </w:rPr>
        <w:tab/>
      </w:r>
      <w:r w:rsidRPr="00E53B23">
        <w:tab/>
        <w:t xml:space="preserve">In the first sentence, after </w:t>
      </w:r>
      <w:r w:rsidRPr="00E53B23">
        <w:rPr>
          <w:bCs/>
        </w:rPr>
        <w:t>“</w:t>
      </w:r>
      <w:r w:rsidRPr="00E53B23">
        <w:t>0500,</w:t>
      </w:r>
      <w:r w:rsidRPr="00E53B23">
        <w:rPr>
          <w:bCs/>
        </w:rPr>
        <w:t>”</w:t>
      </w:r>
      <w:r w:rsidRPr="00E53B23">
        <w:t xml:space="preserve"> add:</w:t>
      </w:r>
      <w:r w:rsidRPr="00E53B23">
        <w:rPr>
          <w:bCs/>
        </w:rPr>
        <w:t xml:space="preserve"> “</w:t>
      </w:r>
      <w:r w:rsidRPr="00E53B23">
        <w:t>0511,</w:t>
      </w:r>
      <w:r w:rsidRPr="00E53B23">
        <w:rPr>
          <w:bCs/>
        </w:rPr>
        <w:t>”</w:t>
      </w:r>
      <w:r w:rsidRPr="00E53B23">
        <w:t>.</w:t>
      </w:r>
    </w:p>
    <w:p w14:paraId="044D64EC" w14:textId="68AF88EC" w:rsidR="00F63A3C" w:rsidRPr="00E53B23" w:rsidRDefault="00BD1A86" w:rsidP="00BD1A86">
      <w:pPr>
        <w:pStyle w:val="H1G"/>
      </w:pPr>
      <w:r w:rsidRPr="00E53B23">
        <w:tab/>
      </w:r>
      <w:r w:rsidRPr="00E53B23">
        <w:tab/>
      </w:r>
      <w:r w:rsidR="00F63A3C" w:rsidRPr="00E53B23">
        <w:t>Chapter 3.2, Table A</w:t>
      </w:r>
    </w:p>
    <w:p w14:paraId="3D411EF2" w14:textId="19BA8531" w:rsidR="00F63A3C" w:rsidRPr="00E53B23" w:rsidRDefault="00F63A3C" w:rsidP="00BD4A01">
      <w:pPr>
        <w:snapToGrid w:val="0"/>
        <w:spacing w:before="120" w:after="120" w:line="240" w:lineRule="auto"/>
        <w:ind w:left="1134" w:right="1134"/>
      </w:pPr>
      <w:r w:rsidRPr="00E53B23">
        <w:t xml:space="preserve">For all UN numbers to which special provision </w:t>
      </w:r>
      <w:r w:rsidRPr="00E53B23">
        <w:rPr>
          <w:bCs/>
        </w:rPr>
        <w:t>“</w:t>
      </w:r>
      <w:r w:rsidRPr="00E53B23">
        <w:t>386</w:t>
      </w:r>
      <w:r w:rsidRPr="00E53B23">
        <w:rPr>
          <w:bCs/>
        </w:rPr>
        <w:t>”</w:t>
      </w:r>
      <w:r w:rsidRPr="00E53B23">
        <w:t xml:space="preserve"> is assigned in column (6), insert in column (6):</w:t>
      </w:r>
      <w:r w:rsidR="00BD4A01" w:rsidRPr="00E53B23">
        <w:t xml:space="preserve"> </w:t>
      </w:r>
      <w:r w:rsidRPr="00E53B23">
        <w:rPr>
          <w:bCs/>
        </w:rPr>
        <w:t>“</w:t>
      </w:r>
      <w:r w:rsidRPr="00E53B23">
        <w:t>676</w:t>
      </w:r>
      <w:r w:rsidRPr="00E53B23">
        <w:rPr>
          <w:bCs/>
        </w:rPr>
        <w:t>”</w:t>
      </w:r>
      <w:r w:rsidRPr="00E53B23">
        <w:t>.</w:t>
      </w:r>
    </w:p>
    <w:p w14:paraId="52C11E5B" w14:textId="6022BB62" w:rsidR="00F63A3C" w:rsidRPr="00E53B23" w:rsidRDefault="00F63A3C" w:rsidP="00F63A3C">
      <w:pPr>
        <w:snapToGrid w:val="0"/>
        <w:spacing w:before="120" w:after="120" w:line="240" w:lineRule="auto"/>
        <w:ind w:left="1134" w:right="1134"/>
      </w:pPr>
      <w:r w:rsidRPr="00E53B23">
        <w:t xml:space="preserve">Amend the following </w:t>
      </w:r>
      <w:r w:rsidR="003476EF" w:rsidRPr="00E53B23">
        <w:t>entry</w:t>
      </w:r>
      <w:r w:rsidRPr="00E53B23">
        <w:t>:</w:t>
      </w:r>
    </w:p>
    <w:tbl>
      <w:tblPr>
        <w:tblW w:w="810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900"/>
        <w:gridCol w:w="6285"/>
      </w:tblGrid>
      <w:tr w:rsidR="00F63A3C" w:rsidRPr="00E53B23" w14:paraId="07AAAAAB" w14:textId="77777777" w:rsidTr="000101BF">
        <w:trPr>
          <w:cantSplit/>
          <w:tblHeader/>
        </w:trPr>
        <w:tc>
          <w:tcPr>
            <w:tcW w:w="923" w:type="dxa"/>
            <w:tcBorders>
              <w:top w:val="single" w:sz="4" w:space="0" w:color="auto"/>
              <w:left w:val="single" w:sz="4" w:space="0" w:color="auto"/>
              <w:bottom w:val="single" w:sz="4" w:space="0" w:color="auto"/>
              <w:right w:val="single" w:sz="4" w:space="0" w:color="auto"/>
            </w:tcBorders>
            <w:hideMark/>
          </w:tcPr>
          <w:p w14:paraId="50A0E75D" w14:textId="77777777" w:rsidR="00F63A3C" w:rsidRPr="00E53B23" w:rsidRDefault="00F63A3C" w:rsidP="000101BF">
            <w:pPr>
              <w:tabs>
                <w:tab w:val="left" w:pos="1418"/>
              </w:tabs>
              <w:rPr>
                <w:rFonts w:eastAsia="Calibri" w:cs="Arial"/>
                <w:bCs/>
                <w:szCs w:val="22"/>
              </w:rPr>
            </w:pPr>
            <w:r w:rsidRPr="00E53B23">
              <w:rPr>
                <w:rFonts w:cs="Arial"/>
                <w:bCs/>
                <w:szCs w:val="22"/>
              </w:rPr>
              <w:t>UN No.</w:t>
            </w:r>
          </w:p>
        </w:tc>
        <w:tc>
          <w:tcPr>
            <w:tcW w:w="900" w:type="dxa"/>
            <w:tcBorders>
              <w:top w:val="single" w:sz="4" w:space="0" w:color="auto"/>
              <w:left w:val="single" w:sz="4" w:space="0" w:color="auto"/>
              <w:bottom w:val="single" w:sz="4" w:space="0" w:color="auto"/>
              <w:right w:val="single" w:sz="4" w:space="0" w:color="auto"/>
            </w:tcBorders>
            <w:hideMark/>
          </w:tcPr>
          <w:p w14:paraId="47D8C4F5" w14:textId="77777777" w:rsidR="00F63A3C" w:rsidRPr="00E53B23" w:rsidRDefault="00F63A3C" w:rsidP="000101BF">
            <w:pPr>
              <w:tabs>
                <w:tab w:val="left" w:pos="1418"/>
              </w:tabs>
              <w:rPr>
                <w:rFonts w:eastAsia="Calibri" w:cs="Arial"/>
                <w:bCs/>
                <w:szCs w:val="22"/>
              </w:rPr>
            </w:pPr>
            <w:r w:rsidRPr="00E53B23">
              <w:rPr>
                <w:rFonts w:cs="Arial"/>
                <w:bCs/>
                <w:szCs w:val="22"/>
              </w:rPr>
              <w:t>Column</w:t>
            </w:r>
          </w:p>
        </w:tc>
        <w:tc>
          <w:tcPr>
            <w:tcW w:w="6285" w:type="dxa"/>
            <w:tcBorders>
              <w:top w:val="single" w:sz="4" w:space="0" w:color="auto"/>
              <w:left w:val="single" w:sz="4" w:space="0" w:color="auto"/>
              <w:bottom w:val="single" w:sz="4" w:space="0" w:color="auto"/>
              <w:right w:val="single" w:sz="4" w:space="0" w:color="auto"/>
            </w:tcBorders>
            <w:hideMark/>
          </w:tcPr>
          <w:p w14:paraId="6208D39A" w14:textId="77777777" w:rsidR="00F63A3C" w:rsidRPr="00E53B23" w:rsidRDefault="00F63A3C" w:rsidP="000101BF">
            <w:pPr>
              <w:tabs>
                <w:tab w:val="left" w:pos="1418"/>
              </w:tabs>
              <w:rPr>
                <w:rFonts w:eastAsia="Calibri" w:cs="Arial"/>
                <w:bCs/>
                <w:szCs w:val="22"/>
              </w:rPr>
            </w:pPr>
            <w:r w:rsidRPr="00E53B23">
              <w:rPr>
                <w:rFonts w:cs="Arial"/>
                <w:bCs/>
                <w:szCs w:val="22"/>
              </w:rPr>
              <w:t>Amendment</w:t>
            </w:r>
          </w:p>
        </w:tc>
      </w:tr>
      <w:tr w:rsidR="00F63A3C" w:rsidRPr="00E53B23" w14:paraId="63E98545" w14:textId="77777777" w:rsidTr="000101BF">
        <w:trPr>
          <w:cantSplit/>
        </w:trPr>
        <w:tc>
          <w:tcPr>
            <w:tcW w:w="923" w:type="dxa"/>
            <w:tcBorders>
              <w:top w:val="single" w:sz="4" w:space="0" w:color="auto"/>
              <w:left w:val="single" w:sz="4" w:space="0" w:color="auto"/>
              <w:bottom w:val="single" w:sz="4" w:space="0" w:color="auto"/>
              <w:right w:val="single" w:sz="4" w:space="0" w:color="auto"/>
            </w:tcBorders>
            <w:hideMark/>
          </w:tcPr>
          <w:p w14:paraId="39620EEE" w14:textId="77777777" w:rsidR="00F63A3C" w:rsidRPr="00E53B23" w:rsidRDefault="00F63A3C" w:rsidP="000101BF">
            <w:pPr>
              <w:tabs>
                <w:tab w:val="left" w:pos="1418"/>
              </w:tabs>
              <w:rPr>
                <w:rFonts w:eastAsia="Calibri" w:cs="Arial"/>
                <w:szCs w:val="22"/>
              </w:rPr>
            </w:pPr>
            <w:r w:rsidRPr="00E53B23">
              <w:rPr>
                <w:rFonts w:eastAsia="Calibri" w:cs="Arial"/>
                <w:szCs w:val="22"/>
              </w:rPr>
              <w:t>2426</w:t>
            </w:r>
          </w:p>
        </w:tc>
        <w:tc>
          <w:tcPr>
            <w:tcW w:w="900" w:type="dxa"/>
            <w:tcBorders>
              <w:top w:val="single" w:sz="4" w:space="0" w:color="auto"/>
              <w:left w:val="single" w:sz="4" w:space="0" w:color="auto"/>
              <w:bottom w:val="single" w:sz="4" w:space="0" w:color="auto"/>
              <w:right w:val="single" w:sz="4" w:space="0" w:color="auto"/>
            </w:tcBorders>
            <w:hideMark/>
          </w:tcPr>
          <w:p w14:paraId="01E38BC5" w14:textId="77777777" w:rsidR="00F63A3C" w:rsidRPr="00E53B23" w:rsidRDefault="00F63A3C" w:rsidP="000101BF">
            <w:pPr>
              <w:tabs>
                <w:tab w:val="left" w:pos="1418"/>
              </w:tabs>
              <w:rPr>
                <w:rFonts w:eastAsia="Calibri" w:cs="Arial"/>
                <w:szCs w:val="22"/>
              </w:rPr>
            </w:pPr>
            <w:r w:rsidRPr="00E53B23">
              <w:rPr>
                <w:rFonts w:eastAsia="Calibri" w:cs="Arial"/>
                <w:szCs w:val="22"/>
              </w:rPr>
              <w:t>(2)</w:t>
            </w:r>
          </w:p>
        </w:tc>
        <w:tc>
          <w:tcPr>
            <w:tcW w:w="6285" w:type="dxa"/>
            <w:tcBorders>
              <w:top w:val="single" w:sz="4" w:space="0" w:color="auto"/>
              <w:left w:val="single" w:sz="4" w:space="0" w:color="auto"/>
              <w:bottom w:val="single" w:sz="4" w:space="0" w:color="auto"/>
              <w:right w:val="single" w:sz="4" w:space="0" w:color="auto"/>
            </w:tcBorders>
            <w:hideMark/>
          </w:tcPr>
          <w:p w14:paraId="1175A6BD" w14:textId="77777777" w:rsidR="00F63A3C" w:rsidRPr="00E53B23" w:rsidRDefault="00F63A3C" w:rsidP="000101BF">
            <w:pPr>
              <w:tabs>
                <w:tab w:val="left" w:pos="1418"/>
              </w:tabs>
              <w:rPr>
                <w:rFonts w:eastAsia="Calibri" w:cs="Arial"/>
                <w:szCs w:val="22"/>
              </w:rPr>
            </w:pPr>
            <w:r w:rsidRPr="00E53B23">
              <w:rPr>
                <w:rFonts w:eastAsia="Calibri" w:cs="Arial"/>
                <w:szCs w:val="22"/>
              </w:rPr>
              <w:t>Amend the name and description as follows:</w:t>
            </w:r>
          </w:p>
          <w:p w14:paraId="698A4D8B" w14:textId="77777777" w:rsidR="00F63A3C" w:rsidRPr="00E53B23" w:rsidRDefault="00F63A3C" w:rsidP="000101BF">
            <w:pPr>
              <w:tabs>
                <w:tab w:val="left" w:pos="1418"/>
              </w:tabs>
            </w:pPr>
            <w:r w:rsidRPr="00E53B23">
              <w:rPr>
                <w:bCs/>
              </w:rPr>
              <w:t>“</w:t>
            </w:r>
            <w:r w:rsidRPr="00E53B23">
              <w:t>AMMONIUM NITRATE, LIQUID (hot concentrated solution)</w:t>
            </w:r>
            <w:r w:rsidRPr="00E53B23">
              <w:rPr>
                <w:bCs/>
              </w:rPr>
              <w:t>”</w:t>
            </w:r>
            <w:r w:rsidRPr="00E53B23">
              <w:t>.</w:t>
            </w:r>
          </w:p>
          <w:p w14:paraId="79CDB6C4" w14:textId="77777777" w:rsidR="00F63A3C" w:rsidRPr="00E53B23" w:rsidRDefault="00F63A3C" w:rsidP="000101BF">
            <w:pPr>
              <w:tabs>
                <w:tab w:val="left" w:pos="1418"/>
              </w:tabs>
              <w:rPr>
                <w:rFonts w:eastAsia="Calibri" w:cs="Arial"/>
                <w:i/>
                <w:iCs/>
                <w:szCs w:val="22"/>
              </w:rPr>
            </w:pPr>
            <w:r w:rsidRPr="00E53B23">
              <w:rPr>
                <w:i/>
                <w:iCs/>
              </w:rPr>
              <w:t>(Reference document: ECE/TRANS/WP.15/AC.1/2021/13)</w:t>
            </w:r>
          </w:p>
        </w:tc>
      </w:tr>
    </w:tbl>
    <w:p w14:paraId="14560183" w14:textId="619FEC43" w:rsidR="00F63A3C" w:rsidRPr="00E53B23" w:rsidRDefault="00BD1A86" w:rsidP="00BD1A86">
      <w:pPr>
        <w:pStyle w:val="H1G"/>
      </w:pPr>
      <w:r w:rsidRPr="00E53B23">
        <w:tab/>
      </w:r>
      <w:r w:rsidRPr="00E53B23">
        <w:tab/>
      </w:r>
      <w:r w:rsidR="00F63A3C" w:rsidRPr="00E53B23">
        <w:t>Chapter 3.2, Table B</w:t>
      </w:r>
    </w:p>
    <w:p w14:paraId="4284CC11" w14:textId="4EBE65EB" w:rsidR="00F63A3C" w:rsidRPr="00E53B23" w:rsidRDefault="00F63A3C" w:rsidP="00F63A3C">
      <w:pPr>
        <w:snapToGrid w:val="0"/>
        <w:spacing w:before="120" w:after="120" w:line="240" w:lineRule="auto"/>
        <w:ind w:left="1134" w:right="1134"/>
        <w:rPr>
          <w:rFonts w:eastAsia="Calibri" w:cs="Arial"/>
          <w:szCs w:val="22"/>
        </w:rPr>
      </w:pPr>
      <w:r w:rsidRPr="00E53B23">
        <w:rPr>
          <w:rFonts w:eastAsia="Calibri" w:cs="Arial"/>
          <w:szCs w:val="22"/>
        </w:rPr>
        <w:t xml:space="preserve">Amend the </w:t>
      </w:r>
      <w:r w:rsidRPr="00E53B23">
        <w:t>following</w:t>
      </w:r>
      <w:r w:rsidRPr="00E53B23">
        <w:rPr>
          <w:rFonts w:eastAsia="Calibri" w:cs="Arial"/>
          <w:szCs w:val="22"/>
        </w:rPr>
        <w:t xml:space="preserve"> </w:t>
      </w:r>
      <w:r w:rsidR="00003D76" w:rsidRPr="00E53B23">
        <w:rPr>
          <w:rFonts w:eastAsia="Calibri" w:cs="Arial"/>
          <w:szCs w:val="22"/>
        </w:rPr>
        <w:t>entry</w:t>
      </w:r>
      <w:r w:rsidRPr="00E53B23">
        <w:rPr>
          <w:rFonts w:eastAsia="Calibri" w:cs="Arial"/>
          <w:szCs w:val="22"/>
        </w:rPr>
        <w:t>:</w:t>
      </w:r>
    </w:p>
    <w:tbl>
      <w:tblPr>
        <w:tblW w:w="8078"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5"/>
        <w:gridCol w:w="850"/>
        <w:gridCol w:w="3793"/>
      </w:tblGrid>
      <w:tr w:rsidR="00F63A3C" w:rsidRPr="00E53B23" w14:paraId="6023FB47" w14:textId="77777777" w:rsidTr="000101BF">
        <w:trPr>
          <w:cantSplit/>
          <w:tblHeader/>
        </w:trPr>
        <w:tc>
          <w:tcPr>
            <w:tcW w:w="3435" w:type="dxa"/>
            <w:tcBorders>
              <w:top w:val="single" w:sz="4" w:space="0" w:color="auto"/>
              <w:left w:val="single" w:sz="4" w:space="0" w:color="auto"/>
              <w:bottom w:val="single" w:sz="4" w:space="0" w:color="auto"/>
              <w:right w:val="single" w:sz="4" w:space="0" w:color="auto"/>
            </w:tcBorders>
            <w:hideMark/>
          </w:tcPr>
          <w:p w14:paraId="309B7148" w14:textId="77777777" w:rsidR="00F63A3C" w:rsidRPr="00E53B23" w:rsidRDefault="00F63A3C" w:rsidP="000101BF">
            <w:pPr>
              <w:tabs>
                <w:tab w:val="left" w:pos="1418"/>
              </w:tabs>
              <w:rPr>
                <w:rFonts w:eastAsia="Calibri" w:cs="Arial"/>
                <w:bCs/>
                <w:szCs w:val="22"/>
              </w:rPr>
            </w:pPr>
            <w:r w:rsidRPr="00E53B23">
              <w:rPr>
                <w:bCs/>
                <w:szCs w:val="22"/>
              </w:rPr>
              <w:t>Name and description</w:t>
            </w:r>
          </w:p>
        </w:tc>
        <w:tc>
          <w:tcPr>
            <w:tcW w:w="850" w:type="dxa"/>
            <w:tcBorders>
              <w:top w:val="single" w:sz="4" w:space="0" w:color="auto"/>
              <w:left w:val="single" w:sz="4" w:space="0" w:color="auto"/>
              <w:bottom w:val="single" w:sz="4" w:space="0" w:color="auto"/>
              <w:right w:val="single" w:sz="4" w:space="0" w:color="auto"/>
            </w:tcBorders>
            <w:hideMark/>
          </w:tcPr>
          <w:p w14:paraId="5655B44B" w14:textId="77777777" w:rsidR="00F63A3C" w:rsidRPr="00E53B23" w:rsidRDefault="00F63A3C" w:rsidP="000101BF">
            <w:pPr>
              <w:tabs>
                <w:tab w:val="left" w:pos="1418"/>
              </w:tabs>
              <w:rPr>
                <w:rFonts w:eastAsia="Calibri" w:cs="Arial"/>
                <w:bCs/>
                <w:szCs w:val="22"/>
              </w:rPr>
            </w:pPr>
            <w:r w:rsidRPr="00E53B23">
              <w:rPr>
                <w:bCs/>
                <w:szCs w:val="22"/>
              </w:rPr>
              <w:t>UN No.</w:t>
            </w:r>
          </w:p>
        </w:tc>
        <w:tc>
          <w:tcPr>
            <w:tcW w:w="3793" w:type="dxa"/>
            <w:tcBorders>
              <w:top w:val="single" w:sz="4" w:space="0" w:color="auto"/>
              <w:left w:val="single" w:sz="4" w:space="0" w:color="auto"/>
              <w:bottom w:val="single" w:sz="4" w:space="0" w:color="auto"/>
              <w:right w:val="single" w:sz="4" w:space="0" w:color="auto"/>
            </w:tcBorders>
            <w:hideMark/>
          </w:tcPr>
          <w:p w14:paraId="30F2729F" w14:textId="77777777" w:rsidR="00F63A3C" w:rsidRPr="00E53B23" w:rsidRDefault="00F63A3C" w:rsidP="000101BF">
            <w:pPr>
              <w:tabs>
                <w:tab w:val="left" w:pos="1418"/>
              </w:tabs>
              <w:rPr>
                <w:rFonts w:eastAsia="Calibri" w:cs="Arial"/>
                <w:bCs/>
                <w:szCs w:val="22"/>
              </w:rPr>
            </w:pPr>
            <w:r w:rsidRPr="00E53B23">
              <w:rPr>
                <w:bCs/>
                <w:szCs w:val="22"/>
              </w:rPr>
              <w:t>Amendment</w:t>
            </w:r>
          </w:p>
        </w:tc>
      </w:tr>
      <w:tr w:rsidR="00F63A3C" w:rsidRPr="00E53B23" w14:paraId="20E4BBE7" w14:textId="77777777" w:rsidTr="000101BF">
        <w:trPr>
          <w:cantSplit/>
        </w:trPr>
        <w:tc>
          <w:tcPr>
            <w:tcW w:w="3435" w:type="dxa"/>
            <w:tcBorders>
              <w:top w:val="single" w:sz="4" w:space="0" w:color="auto"/>
              <w:left w:val="single" w:sz="4" w:space="0" w:color="auto"/>
              <w:bottom w:val="single" w:sz="4" w:space="0" w:color="auto"/>
              <w:right w:val="single" w:sz="4" w:space="0" w:color="auto"/>
            </w:tcBorders>
            <w:hideMark/>
          </w:tcPr>
          <w:p w14:paraId="5F6BB180" w14:textId="77777777" w:rsidR="00F63A3C" w:rsidRPr="00E53B23" w:rsidRDefault="00F63A3C" w:rsidP="000101BF">
            <w:pPr>
              <w:tabs>
                <w:tab w:val="left" w:pos="1418"/>
              </w:tabs>
              <w:rPr>
                <w:rFonts w:eastAsia="Calibri" w:cs="Arial"/>
                <w:szCs w:val="22"/>
              </w:rPr>
            </w:pPr>
            <w:r w:rsidRPr="00E53B23">
              <w:rPr>
                <w:rFonts w:eastAsia="Calibri" w:cs="Arial"/>
                <w:szCs w:val="22"/>
              </w:rPr>
              <w:t>AMMONIUM NITRATE, LIQUID, hot concentrated solution, in a concentration of more than 80% but not more than 93%</w:t>
            </w:r>
          </w:p>
        </w:tc>
        <w:tc>
          <w:tcPr>
            <w:tcW w:w="850" w:type="dxa"/>
            <w:tcBorders>
              <w:top w:val="single" w:sz="4" w:space="0" w:color="auto"/>
              <w:left w:val="single" w:sz="4" w:space="0" w:color="auto"/>
              <w:bottom w:val="single" w:sz="4" w:space="0" w:color="auto"/>
              <w:right w:val="single" w:sz="4" w:space="0" w:color="auto"/>
            </w:tcBorders>
            <w:hideMark/>
          </w:tcPr>
          <w:p w14:paraId="41856C1E" w14:textId="77777777" w:rsidR="00F63A3C" w:rsidRPr="00E53B23" w:rsidRDefault="00F63A3C" w:rsidP="000101BF">
            <w:pPr>
              <w:tabs>
                <w:tab w:val="left" w:pos="1418"/>
              </w:tabs>
              <w:rPr>
                <w:rFonts w:eastAsia="Calibri" w:cs="Arial"/>
                <w:szCs w:val="22"/>
              </w:rPr>
            </w:pPr>
            <w:r w:rsidRPr="00E53B23">
              <w:rPr>
                <w:rFonts w:eastAsia="Calibri" w:cs="Arial"/>
                <w:szCs w:val="22"/>
              </w:rPr>
              <w:t>2426</w:t>
            </w:r>
          </w:p>
        </w:tc>
        <w:tc>
          <w:tcPr>
            <w:tcW w:w="3793" w:type="dxa"/>
            <w:tcBorders>
              <w:top w:val="single" w:sz="4" w:space="0" w:color="auto"/>
              <w:left w:val="single" w:sz="4" w:space="0" w:color="auto"/>
              <w:bottom w:val="single" w:sz="4" w:space="0" w:color="auto"/>
              <w:right w:val="single" w:sz="4" w:space="0" w:color="auto"/>
            </w:tcBorders>
            <w:hideMark/>
          </w:tcPr>
          <w:p w14:paraId="369194F7" w14:textId="77777777" w:rsidR="00F63A3C" w:rsidRPr="00E53B23" w:rsidRDefault="00F63A3C" w:rsidP="000101BF">
            <w:pPr>
              <w:tabs>
                <w:tab w:val="left" w:pos="1418"/>
              </w:tabs>
              <w:rPr>
                <w:rFonts w:eastAsia="Calibri" w:cs="Arial"/>
                <w:szCs w:val="22"/>
              </w:rPr>
            </w:pPr>
            <w:r w:rsidRPr="00E53B23">
              <w:rPr>
                <w:rFonts w:eastAsia="Calibri" w:cs="Arial"/>
                <w:szCs w:val="22"/>
              </w:rPr>
              <w:t xml:space="preserve">Amend the name and description in column </w:t>
            </w:r>
            <w:r w:rsidRPr="00E53B23">
              <w:rPr>
                <w:bCs/>
              </w:rPr>
              <w:t>“</w:t>
            </w:r>
            <w:r w:rsidRPr="00E53B23">
              <w:t>Name and description</w:t>
            </w:r>
            <w:r w:rsidRPr="00E53B23">
              <w:rPr>
                <w:bCs/>
              </w:rPr>
              <w:t>”</w:t>
            </w:r>
            <w:r w:rsidRPr="00E53B23">
              <w:rPr>
                <w:rFonts w:eastAsia="Calibri" w:cs="Arial"/>
                <w:szCs w:val="22"/>
              </w:rPr>
              <w:t xml:space="preserve"> to read as follows:</w:t>
            </w:r>
          </w:p>
          <w:p w14:paraId="1DC81BF1" w14:textId="31AA9756" w:rsidR="00F63A3C" w:rsidRPr="00E53B23" w:rsidRDefault="00F63A3C" w:rsidP="005F7CF0">
            <w:pPr>
              <w:tabs>
                <w:tab w:val="left" w:pos="1418"/>
              </w:tabs>
              <w:rPr>
                <w:rFonts w:eastAsia="Calibri" w:cs="Arial"/>
                <w:szCs w:val="22"/>
              </w:rPr>
            </w:pPr>
            <w:r w:rsidRPr="00E53B23">
              <w:rPr>
                <w:bCs/>
              </w:rPr>
              <w:t>“</w:t>
            </w:r>
            <w:r w:rsidRPr="00E53B23">
              <w:t>AMMONIUM NITRATE, LIQUID (hot concentrated solution)</w:t>
            </w:r>
            <w:r w:rsidRPr="00E53B23">
              <w:rPr>
                <w:bCs/>
              </w:rPr>
              <w:t>”</w:t>
            </w:r>
            <w:r w:rsidRPr="00E53B23">
              <w:t>.</w:t>
            </w:r>
          </w:p>
        </w:tc>
      </w:tr>
    </w:tbl>
    <w:p w14:paraId="7A56F0FA" w14:textId="77777777" w:rsidR="00F63A3C" w:rsidRPr="00E53B23" w:rsidRDefault="00F63A3C" w:rsidP="00BD1A86">
      <w:pPr>
        <w:pStyle w:val="H1G"/>
      </w:pPr>
      <w:r w:rsidRPr="00E53B23">
        <w:lastRenderedPageBreak/>
        <w:tab/>
      </w:r>
      <w:r w:rsidRPr="00E53B23">
        <w:tab/>
        <w:t>Chapter 3.3</w:t>
      </w:r>
    </w:p>
    <w:p w14:paraId="5A2883F9" w14:textId="500E7A4E" w:rsidR="00F63A3C" w:rsidRPr="00E53B23" w:rsidRDefault="00F63A3C" w:rsidP="00BD1A86">
      <w:pPr>
        <w:pStyle w:val="SingleTxtG"/>
      </w:pPr>
      <w:r w:rsidRPr="00E53B23">
        <w:t>SP 327</w:t>
      </w:r>
      <w:r w:rsidRPr="00E53B23">
        <w:tab/>
        <w:t>In the first sentence, replace “5.4.1.1.3” by:</w:t>
      </w:r>
      <w:r w:rsidR="00EE105A" w:rsidRPr="00E53B23">
        <w:t xml:space="preserve"> </w:t>
      </w:r>
      <w:r w:rsidRPr="00E53B23">
        <w:t>“5.4.1.1.3.1”.</w:t>
      </w:r>
    </w:p>
    <w:p w14:paraId="623DC24D" w14:textId="09D99840" w:rsidR="00F63A3C" w:rsidRPr="00E53B23" w:rsidRDefault="00F63A3C" w:rsidP="00BD1A86">
      <w:pPr>
        <w:pStyle w:val="SingleTxtG"/>
      </w:pPr>
      <w:r w:rsidRPr="00E53B23">
        <w:tab/>
        <w:t>SP 363</w:t>
      </w:r>
      <w:r w:rsidRPr="00E53B23">
        <w:tab/>
        <w:t>At the end of paragraph (j), insert the following Note:</w:t>
      </w:r>
    </w:p>
    <w:p w14:paraId="7653E2FB" w14:textId="77777777" w:rsidR="00F63A3C" w:rsidRPr="00E53B23" w:rsidRDefault="00F63A3C" w:rsidP="00BD1A86">
      <w:pPr>
        <w:pStyle w:val="SingleTxtG"/>
        <w:ind w:left="2268"/>
        <w:rPr>
          <w:i/>
          <w:iCs/>
        </w:rPr>
      </w:pPr>
      <w:r w:rsidRPr="00E53B23">
        <w:tab/>
      </w:r>
      <w:r w:rsidRPr="00E53B23">
        <w:rPr>
          <w:i/>
          <w:iCs/>
        </w:rPr>
        <w:t>“</w:t>
      </w:r>
      <w:r w:rsidRPr="00E53B23">
        <w:rPr>
          <w:b/>
          <w:i/>
          <w:iCs/>
        </w:rPr>
        <w:t>NOTE</w:t>
      </w:r>
      <w:r w:rsidRPr="00E53B23">
        <w:rPr>
          <w:i/>
          <w:iCs/>
        </w:rPr>
        <w:t>:</w:t>
      </w:r>
      <w:r w:rsidRPr="00E53B23">
        <w:rPr>
          <w:i/>
          <w:iCs/>
        </w:rPr>
        <w:tab/>
        <w:t>On engines and machinery with a capacity of more than 450 l but containing 60 l of liquid fuel or less, labelling and placarding compliant with the above requirements is permitted.”</w:t>
      </w:r>
    </w:p>
    <w:p w14:paraId="6F9ACFB7" w14:textId="7BB28558" w:rsidR="00F63A3C" w:rsidRPr="00E53B23" w:rsidRDefault="00F63A3C" w:rsidP="00BD1A86">
      <w:pPr>
        <w:pStyle w:val="SingleTxtG"/>
      </w:pPr>
      <w:r w:rsidRPr="00E53B23">
        <w:tab/>
        <w:t>SP 593</w:t>
      </w:r>
      <w:r w:rsidRPr="00E53B23">
        <w:tab/>
        <w:t>Amend to read as follows:</w:t>
      </w:r>
    </w:p>
    <w:p w14:paraId="211F8E87" w14:textId="1D21A032" w:rsidR="00F63A3C" w:rsidRPr="00E53B23" w:rsidRDefault="00F63A3C" w:rsidP="00BD1A86">
      <w:pPr>
        <w:pStyle w:val="SingleTxtG"/>
        <w:ind w:left="2268"/>
      </w:pPr>
      <w:r w:rsidRPr="00E53B23">
        <w:t>“593</w:t>
      </w:r>
      <w:r w:rsidRPr="00E53B23">
        <w:tab/>
        <w:t xml:space="preserve">This gas, when used for cooling goods not fulfilling the criteria of any class, e.g. medical or biological specimens, if contained in double wall receptacles which comply with the provisions of packing instruction P203, paragraph (6) for open cryogenic receptacles of 4.1.4.1, is not subject to the requirements of </w:t>
      </w:r>
      <w:r w:rsidR="00BC0C0B" w:rsidRPr="00E53B23">
        <w:t>ADR</w:t>
      </w:r>
      <w:r w:rsidRPr="00E53B23">
        <w:t xml:space="preserve"> except as specified in 5.5.3.”</w:t>
      </w:r>
    </w:p>
    <w:p w14:paraId="1A27270F" w14:textId="77777777" w:rsidR="00F63A3C" w:rsidRPr="00E53B23" w:rsidRDefault="00F63A3C" w:rsidP="00BD1A86">
      <w:pPr>
        <w:pStyle w:val="SingleTxtG"/>
        <w:rPr>
          <w:b/>
        </w:rPr>
      </w:pPr>
      <w:r w:rsidRPr="00E53B23">
        <w:t>SP 644</w:t>
      </w:r>
      <w:r w:rsidRPr="00E53B23">
        <w:tab/>
        <w:t>Insert the following new second indent:</w:t>
      </w:r>
    </w:p>
    <w:p w14:paraId="6B12275D" w14:textId="77777777" w:rsidR="00F63A3C" w:rsidRPr="00E53B23" w:rsidRDefault="00F63A3C" w:rsidP="00BD1A86">
      <w:pPr>
        <w:pStyle w:val="SingleTxtG"/>
        <w:ind w:left="2268"/>
      </w:pPr>
      <w:r w:rsidRPr="00E53B23">
        <w:t>“–</w:t>
      </w:r>
      <w:r w:rsidRPr="00E53B23">
        <w:tab/>
        <w:t>The solution does not contain more than 93% ammonium nitrate;”</w:t>
      </w:r>
    </w:p>
    <w:p w14:paraId="7ACF72C6" w14:textId="6642F7B6" w:rsidR="00F63A3C" w:rsidRPr="00E53B23" w:rsidRDefault="00F63A3C" w:rsidP="00BD1A86">
      <w:pPr>
        <w:pStyle w:val="SingleTxtG"/>
        <w:rPr>
          <w:u w:val="single"/>
        </w:rPr>
      </w:pPr>
      <w:r w:rsidRPr="00E53B23">
        <w:t>SP 650</w:t>
      </w:r>
      <w:r w:rsidRPr="00E53B23">
        <w:tab/>
        <w:t>In paragraph (e), replace “5.4.1.1.3” by:</w:t>
      </w:r>
      <w:r w:rsidR="009F5EBC" w:rsidRPr="00E53B23">
        <w:t xml:space="preserve"> </w:t>
      </w:r>
      <w:r w:rsidRPr="00E53B23">
        <w:t>“5.4.1.1.3.1”.</w:t>
      </w:r>
    </w:p>
    <w:p w14:paraId="58B29026" w14:textId="66379833" w:rsidR="00F63A3C" w:rsidRPr="00E53B23" w:rsidRDefault="00F63A3C" w:rsidP="00BD1A86">
      <w:pPr>
        <w:pStyle w:val="SingleTxtG"/>
        <w:rPr>
          <w:u w:val="single"/>
        </w:rPr>
      </w:pPr>
      <w:r w:rsidRPr="00E53B23">
        <w:t>SP 654</w:t>
      </w:r>
      <w:r w:rsidRPr="00E53B23">
        <w:tab/>
        <w:t>In the first sentence, replace "5.4.1.1.3” by:</w:t>
      </w:r>
      <w:r w:rsidR="009F5EBC" w:rsidRPr="00E53B23">
        <w:t xml:space="preserve"> </w:t>
      </w:r>
      <w:r w:rsidRPr="00E53B23">
        <w:t>“5.4.1.1.3.1”.</w:t>
      </w:r>
    </w:p>
    <w:p w14:paraId="1A5796FF" w14:textId="77777777" w:rsidR="00F63A3C" w:rsidRPr="00E53B23" w:rsidRDefault="00F63A3C" w:rsidP="00BD1A86">
      <w:pPr>
        <w:pStyle w:val="SingleTxtG"/>
      </w:pPr>
      <w:r w:rsidRPr="00E53B23">
        <w:t>Add the following new special provision:</w:t>
      </w:r>
    </w:p>
    <w:p w14:paraId="2D48675D" w14:textId="4F8C0F51" w:rsidR="00F63A3C" w:rsidRPr="00E53B23" w:rsidRDefault="00F63A3C" w:rsidP="00180699">
      <w:pPr>
        <w:pStyle w:val="SingleTxtG"/>
        <w:ind w:left="2268"/>
      </w:pPr>
      <w:r w:rsidRPr="00E53B23">
        <w:t>“676</w:t>
      </w:r>
      <w:r w:rsidRPr="00E53B23">
        <w:rPr>
          <w:b/>
        </w:rPr>
        <w:tab/>
      </w:r>
      <w:r w:rsidRPr="00E53B23">
        <w:t>For the carriage of packages containing polymerizing substances the provisions of special provision 386, in conjunction with 7.1.7.3, 7.1.7.4, 5.4.1.1.15 and 5.4.1.2.3.1, need not be applied, when carried for disposal or recycling provided the following conditions are met:</w:t>
      </w:r>
    </w:p>
    <w:p w14:paraId="4DB23380" w14:textId="4C2D2C10" w:rsidR="00F63A3C" w:rsidRPr="00E53B23" w:rsidRDefault="00F63A3C" w:rsidP="00180699">
      <w:pPr>
        <w:pStyle w:val="SingleTxtG"/>
        <w:ind w:left="3261" w:hanging="426"/>
      </w:pPr>
      <w:r w:rsidRPr="00E53B23">
        <w:t>(a)</w:t>
      </w:r>
      <w:r w:rsidRPr="00E53B23">
        <w:tab/>
      </w:r>
      <w:r w:rsidR="00AE7273" w:rsidRPr="00E53B23">
        <w:t xml:space="preserve">Before </w:t>
      </w:r>
      <w:r w:rsidRPr="00E53B23">
        <w:t>loading an examination has shown that there is no significant deviation between the outside temperature of the package and the ambient temperature;</w:t>
      </w:r>
    </w:p>
    <w:p w14:paraId="486E91BD" w14:textId="29A5D270" w:rsidR="00F63A3C" w:rsidRPr="00E53B23" w:rsidRDefault="00F63A3C" w:rsidP="00180699">
      <w:pPr>
        <w:pStyle w:val="SingleTxtG"/>
        <w:ind w:left="3261" w:hanging="426"/>
      </w:pPr>
      <w:r w:rsidRPr="00E53B23">
        <w:t>(b)</w:t>
      </w:r>
      <w:r w:rsidRPr="00E53B23">
        <w:tab/>
      </w:r>
      <w:r w:rsidR="00AE7273" w:rsidRPr="00E53B23">
        <w:t xml:space="preserve">The </w:t>
      </w:r>
      <w:r w:rsidRPr="00E53B23">
        <w:t>carriage is effected within a period of not more than 24 hours from that examination;</w:t>
      </w:r>
    </w:p>
    <w:p w14:paraId="54D9CA23" w14:textId="51AB6E5C" w:rsidR="00F63A3C" w:rsidRPr="00E53B23" w:rsidRDefault="00F63A3C" w:rsidP="00180699">
      <w:pPr>
        <w:pStyle w:val="SingleTxtG"/>
        <w:ind w:left="3261" w:hanging="426"/>
      </w:pPr>
      <w:r w:rsidRPr="00E53B23">
        <w:t>(c)</w:t>
      </w:r>
      <w:r w:rsidRPr="00E53B23">
        <w:tab/>
      </w:r>
      <w:r w:rsidR="00AE7273" w:rsidRPr="00E53B23">
        <w:t xml:space="preserve">The </w:t>
      </w:r>
      <w:r w:rsidRPr="00E53B23">
        <w:t>packages are protected from direct sunlight and from the impact of other sources of heat (e.g. additional loads that are being carried above ambient temperature) during carriage;</w:t>
      </w:r>
    </w:p>
    <w:p w14:paraId="422C8FAF" w14:textId="2306761E" w:rsidR="00F63A3C" w:rsidRPr="00E53B23" w:rsidRDefault="00F63A3C" w:rsidP="00180699">
      <w:pPr>
        <w:pStyle w:val="SingleTxtG"/>
        <w:ind w:left="3261" w:hanging="426"/>
      </w:pPr>
      <w:r w:rsidRPr="00E53B23">
        <w:t>(d)</w:t>
      </w:r>
      <w:r w:rsidRPr="00E53B23">
        <w:tab/>
      </w:r>
      <w:r w:rsidR="00AE7273" w:rsidRPr="00E53B23">
        <w:t xml:space="preserve">The </w:t>
      </w:r>
      <w:r w:rsidRPr="00E53B23">
        <w:t>ambient temperatures during the carriage are below 45 °C;</w:t>
      </w:r>
    </w:p>
    <w:p w14:paraId="429106CA" w14:textId="3522B99E" w:rsidR="00F63A3C" w:rsidRPr="00E53B23" w:rsidRDefault="00F63A3C" w:rsidP="00180699">
      <w:pPr>
        <w:pStyle w:val="SingleTxtG"/>
        <w:ind w:left="3261" w:hanging="426"/>
      </w:pPr>
      <w:r w:rsidRPr="00E53B23">
        <w:t>(e)</w:t>
      </w:r>
      <w:r w:rsidRPr="00E53B23">
        <w:tab/>
      </w:r>
      <w:r w:rsidR="00AE7273" w:rsidRPr="00E53B23">
        <w:t xml:space="preserve">Vehicles </w:t>
      </w:r>
      <w:r w:rsidRPr="00E53B23">
        <w:t>and containers are adequately ventilated;</w:t>
      </w:r>
    </w:p>
    <w:p w14:paraId="50BE4188" w14:textId="2B1DA961" w:rsidR="00F63A3C" w:rsidRPr="00E53B23" w:rsidRDefault="00F63A3C" w:rsidP="00180699">
      <w:pPr>
        <w:pStyle w:val="SingleTxtG"/>
        <w:ind w:left="3261" w:hanging="426"/>
      </w:pPr>
      <w:r w:rsidRPr="00E53B23">
        <w:t>(f)</w:t>
      </w:r>
      <w:r w:rsidRPr="00E53B23">
        <w:tab/>
      </w:r>
      <w:r w:rsidR="00AE7273" w:rsidRPr="00E53B23">
        <w:t xml:space="preserve">The </w:t>
      </w:r>
      <w:r w:rsidRPr="00E53B23">
        <w:t>substances are packed in packages with a maximum capacity of 1000 litres.</w:t>
      </w:r>
    </w:p>
    <w:p w14:paraId="2DE4E98E" w14:textId="5F628EFD" w:rsidR="00F63A3C" w:rsidRPr="00E53B23" w:rsidRDefault="00180699" w:rsidP="00180699">
      <w:pPr>
        <w:pStyle w:val="SingleTxtG"/>
        <w:tabs>
          <w:tab w:val="left" w:pos="2835"/>
        </w:tabs>
        <w:ind w:left="2268"/>
      </w:pPr>
      <w:r w:rsidRPr="00E53B23">
        <w:tab/>
      </w:r>
      <w:r w:rsidR="00F63A3C" w:rsidRPr="00E53B23">
        <w:t>In assessing the substances for carriage under the conditions of this special provision, additional measures to prevent dangerous polymerization may be considered, for example the addition of inhibitors.”</w:t>
      </w:r>
    </w:p>
    <w:p w14:paraId="65B36614" w14:textId="77777777" w:rsidR="00F63A3C" w:rsidRPr="00E53B23" w:rsidRDefault="00F63A3C" w:rsidP="00BD1A86">
      <w:pPr>
        <w:pStyle w:val="H1G"/>
      </w:pPr>
      <w:r w:rsidRPr="00E53B23">
        <w:tab/>
      </w:r>
      <w:r w:rsidRPr="00E53B23">
        <w:tab/>
        <w:t>Chapter 4.1</w:t>
      </w:r>
    </w:p>
    <w:p w14:paraId="35AC895F" w14:textId="69639C5C" w:rsidR="00F63A3C" w:rsidRPr="00E53B23" w:rsidRDefault="00F63A3C" w:rsidP="00314275">
      <w:pPr>
        <w:snapToGrid w:val="0"/>
        <w:spacing w:before="120" w:after="120" w:line="240" w:lineRule="auto"/>
        <w:ind w:left="567" w:firstLine="567"/>
        <w:rPr>
          <w:bCs/>
        </w:rPr>
      </w:pPr>
      <w:r w:rsidRPr="00E53B23">
        <w:rPr>
          <w:bCs/>
        </w:rPr>
        <w:t>4.1.6.8</w:t>
      </w:r>
      <w:r w:rsidRPr="00E53B23">
        <w:rPr>
          <w:bCs/>
        </w:rPr>
        <w:tab/>
      </w:r>
      <w:r w:rsidRPr="00E53B23">
        <w:rPr>
          <w:bCs/>
        </w:rPr>
        <w:tab/>
        <w:t>In paragraph (b), in the first sentence, after “caps”, insert:</w:t>
      </w:r>
      <w:r w:rsidR="00314275" w:rsidRPr="00E53B23">
        <w:rPr>
          <w:bCs/>
        </w:rPr>
        <w:t xml:space="preserve"> </w:t>
      </w:r>
      <w:r w:rsidRPr="00E53B23">
        <w:rPr>
          <w:bCs/>
        </w:rPr>
        <w:t>“or guards”.</w:t>
      </w:r>
    </w:p>
    <w:p w14:paraId="3353BA14" w14:textId="74124E28" w:rsidR="00F63A3C" w:rsidRPr="00E53B23" w:rsidRDefault="00F63A3C" w:rsidP="00314275">
      <w:pPr>
        <w:snapToGrid w:val="0"/>
        <w:spacing w:before="120" w:after="120" w:line="240" w:lineRule="auto"/>
        <w:ind w:left="2268"/>
        <w:rPr>
          <w:bCs/>
        </w:rPr>
      </w:pPr>
      <w:r w:rsidRPr="00E53B23">
        <w:rPr>
          <w:bCs/>
        </w:rPr>
        <w:t>In paragraph (c), replace “guards” by:</w:t>
      </w:r>
      <w:r w:rsidR="00314275" w:rsidRPr="00E53B23">
        <w:rPr>
          <w:bCs/>
        </w:rPr>
        <w:t xml:space="preserve"> </w:t>
      </w:r>
      <w:r w:rsidRPr="00E53B23">
        <w:rPr>
          <w:bCs/>
        </w:rPr>
        <w:t>“permanent protection attachments”.</w:t>
      </w:r>
    </w:p>
    <w:p w14:paraId="2C264758" w14:textId="60C677E4" w:rsidR="00F63A3C" w:rsidRPr="00E53B23" w:rsidRDefault="00F63A3C" w:rsidP="00F63A3C">
      <w:pPr>
        <w:snapToGrid w:val="0"/>
        <w:spacing w:before="120" w:after="120" w:line="240" w:lineRule="auto"/>
        <w:ind w:left="2268" w:right="1134" w:hanging="1134"/>
        <w:rPr>
          <w:bCs/>
        </w:rPr>
      </w:pPr>
      <w:r w:rsidRPr="00E53B23">
        <w:rPr>
          <w:bCs/>
        </w:rPr>
        <w:t>4.1.6.15</w:t>
      </w:r>
      <w:r w:rsidRPr="00E53B23">
        <w:rPr>
          <w:bCs/>
        </w:rPr>
        <w:tab/>
        <w:t>In ECE/TRANS/WP.15/</w:t>
      </w:r>
      <w:r w:rsidR="0064132B" w:rsidRPr="00E53B23">
        <w:rPr>
          <w:bCs/>
        </w:rPr>
        <w:t>251</w:t>
      </w:r>
      <w:r w:rsidR="00802E3F" w:rsidRPr="00E53B23">
        <w:rPr>
          <w:bCs/>
        </w:rPr>
        <w:t>, Annex I</w:t>
      </w:r>
      <w:r w:rsidRPr="00E53B23">
        <w:rPr>
          <w:bCs/>
        </w:rPr>
        <w:t>, amend Table 1 to read as follows:</w:t>
      </w:r>
    </w:p>
    <w:p w14:paraId="538BD542" w14:textId="77777777" w:rsidR="00F63A3C" w:rsidRPr="00E53B23" w:rsidRDefault="00F63A3C" w:rsidP="00F63A3C">
      <w:pPr>
        <w:tabs>
          <w:tab w:val="left" w:pos="2977"/>
          <w:tab w:val="left" w:pos="4395"/>
        </w:tabs>
        <w:snapToGrid w:val="0"/>
        <w:spacing w:before="120" w:after="120" w:line="240" w:lineRule="auto"/>
        <w:ind w:left="2836" w:hanging="1702"/>
        <w:rPr>
          <w:bCs/>
        </w:rPr>
      </w:pPr>
      <w:r w:rsidRPr="00E53B23">
        <w:rPr>
          <w:bCs/>
        </w:rPr>
        <w:t>“Table 1: Standards for UN and non-UN pressure receptacles</w:t>
      </w:r>
    </w:p>
    <w:tbl>
      <w:tblPr>
        <w:tblW w:w="864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9"/>
        <w:gridCol w:w="1767"/>
        <w:gridCol w:w="5669"/>
      </w:tblGrid>
      <w:tr w:rsidR="00F63A3C" w:rsidRPr="00E53B23" w14:paraId="294160E9" w14:textId="77777777" w:rsidTr="000101BF">
        <w:trPr>
          <w:cantSplit/>
          <w:tblHeader/>
        </w:trPr>
        <w:tc>
          <w:tcPr>
            <w:tcW w:w="1209" w:type="dxa"/>
          </w:tcPr>
          <w:p w14:paraId="36811A19" w14:textId="77777777" w:rsidR="00F63A3C" w:rsidRPr="00E53B23" w:rsidRDefault="00F63A3C" w:rsidP="000101BF">
            <w:pPr>
              <w:ind w:right="55"/>
              <w:rPr>
                <w:bCs/>
              </w:rPr>
            </w:pPr>
            <w:r w:rsidRPr="00E53B23">
              <w:rPr>
                <w:bCs/>
              </w:rPr>
              <w:t>Applicable</w:t>
            </w:r>
            <w:r w:rsidRPr="00E53B23">
              <w:rPr>
                <w:bCs/>
              </w:rPr>
              <w:br/>
              <w:t>paragraphs</w:t>
            </w:r>
          </w:p>
        </w:tc>
        <w:tc>
          <w:tcPr>
            <w:tcW w:w="1767" w:type="dxa"/>
          </w:tcPr>
          <w:p w14:paraId="11D2F1C0" w14:textId="77777777" w:rsidR="00F63A3C" w:rsidRPr="00E53B23" w:rsidRDefault="00F63A3C" w:rsidP="000101BF">
            <w:pPr>
              <w:ind w:right="55"/>
              <w:rPr>
                <w:bCs/>
              </w:rPr>
            </w:pPr>
            <w:r w:rsidRPr="00E53B23">
              <w:rPr>
                <w:bCs/>
              </w:rPr>
              <w:t>Reference</w:t>
            </w:r>
          </w:p>
        </w:tc>
        <w:tc>
          <w:tcPr>
            <w:tcW w:w="5669" w:type="dxa"/>
          </w:tcPr>
          <w:p w14:paraId="6490FCDC" w14:textId="77777777" w:rsidR="00F63A3C" w:rsidRPr="00E53B23" w:rsidRDefault="00F63A3C" w:rsidP="000101BF">
            <w:pPr>
              <w:ind w:right="55"/>
              <w:rPr>
                <w:bCs/>
              </w:rPr>
            </w:pPr>
            <w:r w:rsidRPr="00E53B23">
              <w:rPr>
                <w:bCs/>
              </w:rPr>
              <w:t>Title of document</w:t>
            </w:r>
          </w:p>
        </w:tc>
      </w:tr>
      <w:tr w:rsidR="00F63A3C" w:rsidRPr="00E53B23" w14:paraId="13AEA566" w14:textId="77777777" w:rsidTr="000101BF">
        <w:trPr>
          <w:cantSplit/>
        </w:trPr>
        <w:tc>
          <w:tcPr>
            <w:tcW w:w="1209" w:type="dxa"/>
            <w:vMerge w:val="restart"/>
          </w:tcPr>
          <w:p w14:paraId="4C2F8E14" w14:textId="77777777" w:rsidR="00F63A3C" w:rsidRPr="00E53B23" w:rsidRDefault="00F63A3C" w:rsidP="000101BF">
            <w:pPr>
              <w:widowControl w:val="0"/>
              <w:tabs>
                <w:tab w:val="left" w:pos="1418"/>
                <w:tab w:val="left" w:pos="1843"/>
              </w:tabs>
            </w:pPr>
            <w:r w:rsidRPr="00E53B23">
              <w:t>4.1.6.2</w:t>
            </w:r>
          </w:p>
        </w:tc>
        <w:tc>
          <w:tcPr>
            <w:tcW w:w="1767" w:type="dxa"/>
          </w:tcPr>
          <w:p w14:paraId="576A8163" w14:textId="77777777" w:rsidR="00F63A3C" w:rsidRPr="00E53B23" w:rsidRDefault="00F63A3C" w:rsidP="000101BF">
            <w:pPr>
              <w:widowControl w:val="0"/>
              <w:tabs>
                <w:tab w:val="left" w:pos="1418"/>
                <w:tab w:val="left" w:pos="1843"/>
              </w:tabs>
            </w:pPr>
            <w:r w:rsidRPr="00E53B23">
              <w:t>EN ISO 11114-1:2020</w:t>
            </w:r>
          </w:p>
        </w:tc>
        <w:tc>
          <w:tcPr>
            <w:tcW w:w="5669" w:type="dxa"/>
          </w:tcPr>
          <w:p w14:paraId="2BF290ED" w14:textId="77777777" w:rsidR="00F63A3C" w:rsidRPr="00E53B23" w:rsidRDefault="00F63A3C" w:rsidP="000101BF">
            <w:r w:rsidRPr="00E53B23">
              <w:t>Gas cylinders – Compatibility of cylinder and valve materials with gas contents – Part 1: Metallic materials</w:t>
            </w:r>
          </w:p>
        </w:tc>
      </w:tr>
      <w:tr w:rsidR="00F63A3C" w:rsidRPr="00E53B23" w14:paraId="3C4BF792" w14:textId="77777777" w:rsidTr="000101BF">
        <w:trPr>
          <w:cantSplit/>
        </w:trPr>
        <w:tc>
          <w:tcPr>
            <w:tcW w:w="1209" w:type="dxa"/>
            <w:vMerge/>
          </w:tcPr>
          <w:p w14:paraId="2E0BF09B" w14:textId="77777777" w:rsidR="00F63A3C" w:rsidRPr="00E53B23" w:rsidRDefault="00F63A3C" w:rsidP="000101BF">
            <w:pPr>
              <w:widowControl w:val="0"/>
              <w:tabs>
                <w:tab w:val="left" w:pos="1418"/>
                <w:tab w:val="left" w:pos="1843"/>
              </w:tabs>
            </w:pPr>
          </w:p>
        </w:tc>
        <w:tc>
          <w:tcPr>
            <w:tcW w:w="1767" w:type="dxa"/>
          </w:tcPr>
          <w:p w14:paraId="1B1A26C7" w14:textId="77777777" w:rsidR="00F63A3C" w:rsidRPr="00E53B23" w:rsidRDefault="00F63A3C" w:rsidP="000101BF">
            <w:pPr>
              <w:widowControl w:val="0"/>
              <w:tabs>
                <w:tab w:val="left" w:pos="1418"/>
                <w:tab w:val="left" w:pos="1843"/>
              </w:tabs>
            </w:pPr>
            <w:r w:rsidRPr="00E53B23">
              <w:t>EN ISO 11114-2:2013</w:t>
            </w:r>
          </w:p>
        </w:tc>
        <w:tc>
          <w:tcPr>
            <w:tcW w:w="5669" w:type="dxa"/>
          </w:tcPr>
          <w:p w14:paraId="554E6A2C" w14:textId="77777777" w:rsidR="00F63A3C" w:rsidRPr="00E53B23" w:rsidRDefault="00F63A3C" w:rsidP="000101BF">
            <w:r w:rsidRPr="00E53B23">
              <w:t>Gas cylinders – Compatibility of cylinder and valve materials with gas contents – Part 2: Non-metallic materials</w:t>
            </w:r>
          </w:p>
        </w:tc>
      </w:tr>
      <w:tr w:rsidR="00F63A3C" w:rsidRPr="00E53B23" w14:paraId="60BA5368" w14:textId="77777777" w:rsidTr="000101BF">
        <w:trPr>
          <w:cantSplit/>
        </w:trPr>
        <w:tc>
          <w:tcPr>
            <w:tcW w:w="1209" w:type="dxa"/>
          </w:tcPr>
          <w:p w14:paraId="496570DC" w14:textId="77777777" w:rsidR="00F63A3C" w:rsidRPr="00E53B23" w:rsidRDefault="00F63A3C" w:rsidP="000101BF">
            <w:pPr>
              <w:widowControl w:val="0"/>
              <w:tabs>
                <w:tab w:val="left" w:pos="1418"/>
                <w:tab w:val="left" w:pos="1843"/>
              </w:tabs>
            </w:pPr>
            <w:r w:rsidRPr="00E53B23">
              <w:t>4.1.6.4</w:t>
            </w:r>
          </w:p>
        </w:tc>
        <w:tc>
          <w:tcPr>
            <w:tcW w:w="1767" w:type="dxa"/>
          </w:tcPr>
          <w:p w14:paraId="53A77313" w14:textId="77777777" w:rsidR="00F63A3C" w:rsidRPr="00E53B23" w:rsidRDefault="00F63A3C" w:rsidP="000101BF">
            <w:pPr>
              <w:widowControl w:val="0"/>
              <w:tabs>
                <w:tab w:val="left" w:pos="1418"/>
                <w:tab w:val="left" w:pos="1843"/>
              </w:tabs>
              <w:rPr>
                <w:rFonts w:cs="Arial"/>
                <w:szCs w:val="22"/>
              </w:rPr>
            </w:pPr>
            <w:r w:rsidRPr="00E53B23">
              <w:t>ISO 11621:1997 or EN ISO 11621:2005</w:t>
            </w:r>
          </w:p>
        </w:tc>
        <w:tc>
          <w:tcPr>
            <w:tcW w:w="5669" w:type="dxa"/>
          </w:tcPr>
          <w:p w14:paraId="59F680DC" w14:textId="77777777" w:rsidR="00F63A3C" w:rsidRPr="00E53B23" w:rsidRDefault="00F63A3C" w:rsidP="000101BF">
            <w:pPr>
              <w:widowControl w:val="0"/>
              <w:tabs>
                <w:tab w:val="left" w:pos="1418"/>
                <w:tab w:val="left" w:pos="1843"/>
              </w:tabs>
            </w:pPr>
            <w:r w:rsidRPr="00E53B23">
              <w:t>Gas cylinders – Procedures for change of gas service</w:t>
            </w:r>
          </w:p>
        </w:tc>
      </w:tr>
      <w:tr w:rsidR="00F63A3C" w:rsidRPr="00E53B23" w14:paraId="0C389A7A" w14:textId="77777777" w:rsidTr="000101BF">
        <w:trPr>
          <w:cantSplit/>
        </w:trPr>
        <w:tc>
          <w:tcPr>
            <w:tcW w:w="1209" w:type="dxa"/>
            <w:vMerge w:val="restart"/>
          </w:tcPr>
          <w:p w14:paraId="671EB4AA" w14:textId="77777777" w:rsidR="00F63A3C" w:rsidRPr="00E53B23" w:rsidRDefault="00F63A3C" w:rsidP="000101BF">
            <w:pPr>
              <w:widowControl w:val="0"/>
              <w:tabs>
                <w:tab w:val="left" w:pos="1418"/>
                <w:tab w:val="left" w:pos="1843"/>
              </w:tabs>
            </w:pPr>
            <w:r w:rsidRPr="00E53B23">
              <w:t>4.1.6.8</w:t>
            </w:r>
          </w:p>
          <w:p w14:paraId="2005CF93" w14:textId="77777777" w:rsidR="00F63A3C" w:rsidRPr="00E53B23" w:rsidRDefault="00F63A3C" w:rsidP="000101BF">
            <w:pPr>
              <w:ind w:right="55"/>
            </w:pPr>
            <w:r w:rsidRPr="00E53B23">
              <w:t>Valves with inherent protection</w:t>
            </w:r>
          </w:p>
        </w:tc>
        <w:tc>
          <w:tcPr>
            <w:tcW w:w="1767" w:type="dxa"/>
          </w:tcPr>
          <w:p w14:paraId="19F910DF" w14:textId="77777777" w:rsidR="00F63A3C" w:rsidRPr="00E53B23" w:rsidRDefault="00F63A3C" w:rsidP="000101BF">
            <w:pPr>
              <w:ind w:right="55"/>
            </w:pPr>
            <w:r w:rsidRPr="00E53B23">
              <w:t>Clause 4.6.2 of EN ISO 10297:2006 or clause 5.5.2 of EN ISO 10297:2014 or clause 5.5.2 of EN ISO 10297:2014 + A1:2017</w:t>
            </w:r>
          </w:p>
        </w:tc>
        <w:tc>
          <w:tcPr>
            <w:tcW w:w="5669" w:type="dxa"/>
          </w:tcPr>
          <w:p w14:paraId="03090605" w14:textId="77777777" w:rsidR="00F63A3C" w:rsidRPr="00E53B23" w:rsidRDefault="00F63A3C" w:rsidP="000101BF">
            <w:pPr>
              <w:ind w:right="55"/>
            </w:pPr>
            <w:r w:rsidRPr="00E53B23">
              <w:t>Gas cylinders – Cylinder valves – Specification and type testing</w:t>
            </w:r>
          </w:p>
        </w:tc>
      </w:tr>
      <w:tr w:rsidR="00F63A3C" w:rsidRPr="00E53B23" w14:paraId="0FD29678" w14:textId="77777777" w:rsidTr="000101BF">
        <w:trPr>
          <w:cantSplit/>
        </w:trPr>
        <w:tc>
          <w:tcPr>
            <w:tcW w:w="1209" w:type="dxa"/>
            <w:vMerge/>
          </w:tcPr>
          <w:p w14:paraId="728AF7B0" w14:textId="77777777" w:rsidR="00F63A3C" w:rsidRPr="00E53B23" w:rsidRDefault="00F63A3C" w:rsidP="000101BF">
            <w:pPr>
              <w:widowControl w:val="0"/>
              <w:tabs>
                <w:tab w:val="left" w:pos="1418"/>
                <w:tab w:val="left" w:pos="1843"/>
              </w:tabs>
            </w:pPr>
          </w:p>
        </w:tc>
        <w:tc>
          <w:tcPr>
            <w:tcW w:w="1767" w:type="dxa"/>
          </w:tcPr>
          <w:p w14:paraId="584D02B4" w14:textId="77777777" w:rsidR="00F63A3C" w:rsidRPr="00E53B23" w:rsidRDefault="00F63A3C" w:rsidP="000101BF">
            <w:pPr>
              <w:ind w:right="55"/>
            </w:pPr>
            <w:r w:rsidRPr="00E53B23">
              <w:t>Clause 5.3.8 of EN 13152:2001 + A1:2003</w:t>
            </w:r>
          </w:p>
        </w:tc>
        <w:tc>
          <w:tcPr>
            <w:tcW w:w="5669" w:type="dxa"/>
          </w:tcPr>
          <w:p w14:paraId="1D6D93FA" w14:textId="77777777" w:rsidR="00F63A3C" w:rsidRPr="00E53B23" w:rsidRDefault="00F63A3C" w:rsidP="000101BF">
            <w:pPr>
              <w:ind w:right="55"/>
            </w:pPr>
            <w:r w:rsidRPr="00E53B23">
              <w:t>Testing and specifications of LPG cylinder valves – Self-closing</w:t>
            </w:r>
          </w:p>
        </w:tc>
      </w:tr>
      <w:tr w:rsidR="00F63A3C" w:rsidRPr="00E53B23" w14:paraId="7C8C8E34" w14:textId="77777777" w:rsidTr="000101BF">
        <w:trPr>
          <w:cantSplit/>
        </w:trPr>
        <w:tc>
          <w:tcPr>
            <w:tcW w:w="1209" w:type="dxa"/>
            <w:vMerge/>
          </w:tcPr>
          <w:p w14:paraId="1CE3395C" w14:textId="77777777" w:rsidR="00F63A3C" w:rsidRPr="00E53B23" w:rsidRDefault="00F63A3C" w:rsidP="000101BF">
            <w:pPr>
              <w:widowControl w:val="0"/>
              <w:tabs>
                <w:tab w:val="left" w:pos="1418"/>
                <w:tab w:val="left" w:pos="1843"/>
              </w:tabs>
            </w:pPr>
          </w:p>
        </w:tc>
        <w:tc>
          <w:tcPr>
            <w:tcW w:w="1767" w:type="dxa"/>
          </w:tcPr>
          <w:p w14:paraId="541C4800" w14:textId="77777777" w:rsidR="00F63A3C" w:rsidRPr="00E53B23" w:rsidRDefault="00F63A3C" w:rsidP="000101BF">
            <w:pPr>
              <w:ind w:right="55"/>
            </w:pPr>
            <w:r w:rsidRPr="00E53B23">
              <w:t>Clause 5.3.7 of EN 13153:2001 + A1:2003</w:t>
            </w:r>
          </w:p>
        </w:tc>
        <w:tc>
          <w:tcPr>
            <w:tcW w:w="5669" w:type="dxa"/>
          </w:tcPr>
          <w:p w14:paraId="5C031013" w14:textId="77777777" w:rsidR="00F63A3C" w:rsidRPr="00E53B23" w:rsidRDefault="00F63A3C" w:rsidP="000101BF">
            <w:pPr>
              <w:ind w:right="55"/>
            </w:pPr>
            <w:r w:rsidRPr="00E53B23">
              <w:t>Specifications and testing of LPG cylinder valves – Manually operated</w:t>
            </w:r>
          </w:p>
        </w:tc>
      </w:tr>
      <w:tr w:rsidR="00F63A3C" w:rsidRPr="00E53B23" w14:paraId="42CC9F2A" w14:textId="77777777" w:rsidTr="000101BF">
        <w:trPr>
          <w:cantSplit/>
        </w:trPr>
        <w:tc>
          <w:tcPr>
            <w:tcW w:w="1209" w:type="dxa"/>
            <w:vMerge/>
          </w:tcPr>
          <w:p w14:paraId="373850E9" w14:textId="77777777" w:rsidR="00F63A3C" w:rsidRPr="00E53B23" w:rsidRDefault="00F63A3C" w:rsidP="000101BF">
            <w:pPr>
              <w:widowControl w:val="0"/>
              <w:tabs>
                <w:tab w:val="left" w:pos="1418"/>
                <w:tab w:val="left" w:pos="1843"/>
              </w:tabs>
            </w:pPr>
          </w:p>
        </w:tc>
        <w:tc>
          <w:tcPr>
            <w:tcW w:w="1767" w:type="dxa"/>
          </w:tcPr>
          <w:p w14:paraId="0684C367" w14:textId="77777777" w:rsidR="00F63A3C" w:rsidRPr="00E53B23" w:rsidRDefault="00F63A3C" w:rsidP="000101BF">
            <w:pPr>
              <w:ind w:right="55"/>
            </w:pPr>
            <w:r w:rsidRPr="00E53B23">
              <w:t>Clause 5.9 of EN ISO 14245:2010 or clause 5</w:t>
            </w:r>
            <w:r w:rsidRPr="00E53B23">
              <w:rPr>
                <w:bCs/>
              </w:rPr>
              <w:t>.</w:t>
            </w:r>
            <w:r w:rsidRPr="00E53B23">
              <w:t>9 of EN ISO 14245:2019</w:t>
            </w:r>
          </w:p>
        </w:tc>
        <w:tc>
          <w:tcPr>
            <w:tcW w:w="5669" w:type="dxa"/>
          </w:tcPr>
          <w:p w14:paraId="2E490835" w14:textId="77777777" w:rsidR="00F63A3C" w:rsidRPr="00E53B23" w:rsidRDefault="00F63A3C" w:rsidP="000101BF">
            <w:pPr>
              <w:ind w:right="55"/>
            </w:pPr>
            <w:r w:rsidRPr="00E53B23">
              <w:t>Gas cylinders – Specifications and testing of LPG cylinder valves – Self-closing</w:t>
            </w:r>
          </w:p>
        </w:tc>
      </w:tr>
      <w:tr w:rsidR="00F63A3C" w:rsidRPr="00E53B23" w14:paraId="51616523" w14:textId="77777777" w:rsidTr="000101BF">
        <w:trPr>
          <w:cantSplit/>
        </w:trPr>
        <w:tc>
          <w:tcPr>
            <w:tcW w:w="1209" w:type="dxa"/>
            <w:vMerge/>
          </w:tcPr>
          <w:p w14:paraId="3F02D3CB" w14:textId="77777777" w:rsidR="00F63A3C" w:rsidRPr="00E53B23" w:rsidRDefault="00F63A3C" w:rsidP="000101BF">
            <w:pPr>
              <w:widowControl w:val="0"/>
              <w:tabs>
                <w:tab w:val="left" w:pos="1418"/>
                <w:tab w:val="left" w:pos="1843"/>
              </w:tabs>
            </w:pPr>
          </w:p>
        </w:tc>
        <w:tc>
          <w:tcPr>
            <w:tcW w:w="1767" w:type="dxa"/>
          </w:tcPr>
          <w:p w14:paraId="6A83DBCD" w14:textId="77777777" w:rsidR="00F63A3C" w:rsidRPr="00E53B23" w:rsidRDefault="00F63A3C" w:rsidP="000101BF">
            <w:pPr>
              <w:ind w:right="55"/>
            </w:pPr>
            <w:r w:rsidRPr="00E53B23">
              <w:t>Clause 5.10 of EN ISO 15995:2010 or clause 5.10 of EN ISO 15995:2019</w:t>
            </w:r>
          </w:p>
        </w:tc>
        <w:tc>
          <w:tcPr>
            <w:tcW w:w="5669" w:type="dxa"/>
          </w:tcPr>
          <w:p w14:paraId="5F942522" w14:textId="77777777" w:rsidR="00F63A3C" w:rsidRPr="00E53B23" w:rsidRDefault="00F63A3C" w:rsidP="000101BF">
            <w:pPr>
              <w:ind w:right="55"/>
            </w:pPr>
            <w:r w:rsidRPr="00E53B23">
              <w:t>Gas cylinders – Specifications and testing of LPG cylinder valves – Manually operated</w:t>
            </w:r>
          </w:p>
        </w:tc>
      </w:tr>
      <w:tr w:rsidR="00F63A3C" w:rsidRPr="00E53B23" w14:paraId="02B4E04D" w14:textId="77777777" w:rsidTr="000101BF">
        <w:trPr>
          <w:cantSplit/>
        </w:trPr>
        <w:tc>
          <w:tcPr>
            <w:tcW w:w="1209" w:type="dxa"/>
            <w:vMerge/>
            <w:tcBorders>
              <w:bottom w:val="nil"/>
            </w:tcBorders>
          </w:tcPr>
          <w:p w14:paraId="2071DD1D" w14:textId="77777777" w:rsidR="00F63A3C" w:rsidRPr="00E53B23" w:rsidRDefault="00F63A3C" w:rsidP="000101BF">
            <w:pPr>
              <w:widowControl w:val="0"/>
              <w:tabs>
                <w:tab w:val="left" w:pos="1418"/>
                <w:tab w:val="left" w:pos="1843"/>
              </w:tabs>
            </w:pPr>
          </w:p>
        </w:tc>
        <w:tc>
          <w:tcPr>
            <w:tcW w:w="1767" w:type="dxa"/>
          </w:tcPr>
          <w:p w14:paraId="4B3C5C81" w14:textId="77777777" w:rsidR="00F63A3C" w:rsidRPr="00E53B23" w:rsidRDefault="00F63A3C" w:rsidP="000101BF">
            <w:pPr>
              <w:ind w:right="55"/>
            </w:pPr>
            <w:r w:rsidRPr="00E53B23">
              <w:t>Clause 5.4.2 of EN ISO 17879:2017</w:t>
            </w:r>
          </w:p>
        </w:tc>
        <w:tc>
          <w:tcPr>
            <w:tcW w:w="5669" w:type="dxa"/>
          </w:tcPr>
          <w:p w14:paraId="65B598D4" w14:textId="77777777" w:rsidR="00F63A3C" w:rsidRPr="00E53B23" w:rsidRDefault="00F63A3C" w:rsidP="000101BF">
            <w:pPr>
              <w:ind w:right="55"/>
            </w:pPr>
            <w:r w:rsidRPr="00E53B23">
              <w:t xml:space="preserve">Gas cylinders – Self-closing cylinder valves </w:t>
            </w:r>
            <w:r w:rsidRPr="00E53B23">
              <w:rPr>
                <w:b/>
                <w:bCs/>
              </w:rPr>
              <w:t>–</w:t>
            </w:r>
            <w:r w:rsidRPr="00E53B23">
              <w:t xml:space="preserve"> Specification and type testing</w:t>
            </w:r>
          </w:p>
        </w:tc>
      </w:tr>
      <w:tr w:rsidR="00F63A3C" w:rsidRPr="00E53B23" w14:paraId="2FE64D48" w14:textId="77777777" w:rsidTr="000101BF">
        <w:trPr>
          <w:cantSplit/>
        </w:trPr>
        <w:tc>
          <w:tcPr>
            <w:tcW w:w="1209" w:type="dxa"/>
            <w:tcBorders>
              <w:top w:val="nil"/>
            </w:tcBorders>
          </w:tcPr>
          <w:p w14:paraId="700D90EF" w14:textId="77777777" w:rsidR="00F63A3C" w:rsidRPr="00E53B23" w:rsidRDefault="00F63A3C" w:rsidP="000101BF">
            <w:pPr>
              <w:widowControl w:val="0"/>
              <w:tabs>
                <w:tab w:val="left" w:pos="1418"/>
                <w:tab w:val="left" w:pos="1843"/>
              </w:tabs>
            </w:pPr>
          </w:p>
        </w:tc>
        <w:tc>
          <w:tcPr>
            <w:tcW w:w="1767" w:type="dxa"/>
          </w:tcPr>
          <w:p w14:paraId="537E0C0C" w14:textId="77777777" w:rsidR="00F63A3C" w:rsidRPr="00E53B23" w:rsidRDefault="00F63A3C" w:rsidP="000101BF">
            <w:pPr>
              <w:ind w:right="55"/>
              <w:rPr>
                <w:iCs/>
              </w:rPr>
            </w:pPr>
            <w:r w:rsidRPr="00E53B23">
              <w:rPr>
                <w:iCs/>
              </w:rPr>
              <w:t>Clause 7.4 of EN 12205:2001 or clause 9.2.5 of EN ISO 11118:2015 or clause 9.2.5 of EN ISO 11118:2015 + A1:2020</w:t>
            </w:r>
          </w:p>
        </w:tc>
        <w:tc>
          <w:tcPr>
            <w:tcW w:w="5669" w:type="dxa"/>
          </w:tcPr>
          <w:p w14:paraId="25A1166E" w14:textId="77777777" w:rsidR="00F63A3C" w:rsidRPr="00E53B23" w:rsidRDefault="00F63A3C" w:rsidP="000101BF">
            <w:pPr>
              <w:ind w:right="55"/>
              <w:rPr>
                <w:iCs/>
              </w:rPr>
            </w:pPr>
            <w:r w:rsidRPr="00E53B23">
              <w:rPr>
                <w:iCs/>
              </w:rPr>
              <w:t>Gas cylinders – Non-refillable metallic gas cylinders – Specification and test methods</w:t>
            </w:r>
          </w:p>
        </w:tc>
      </w:tr>
      <w:tr w:rsidR="00F63A3C" w:rsidRPr="00E53B23" w14:paraId="3E8D02F5" w14:textId="77777777" w:rsidTr="000101BF">
        <w:trPr>
          <w:cantSplit/>
        </w:trPr>
        <w:tc>
          <w:tcPr>
            <w:tcW w:w="1209" w:type="dxa"/>
            <w:vMerge w:val="restart"/>
          </w:tcPr>
          <w:p w14:paraId="312F9C66" w14:textId="77777777" w:rsidR="00F63A3C" w:rsidRPr="00E53B23" w:rsidRDefault="00F63A3C" w:rsidP="000101BF">
            <w:pPr>
              <w:widowControl w:val="0"/>
              <w:tabs>
                <w:tab w:val="left" w:pos="1418"/>
                <w:tab w:val="left" w:pos="1843"/>
              </w:tabs>
            </w:pPr>
            <w:r w:rsidRPr="00E53B23">
              <w:t>4.1.6.8 (b)</w:t>
            </w:r>
          </w:p>
        </w:tc>
        <w:tc>
          <w:tcPr>
            <w:tcW w:w="1767" w:type="dxa"/>
          </w:tcPr>
          <w:p w14:paraId="0A8FB559" w14:textId="77777777" w:rsidR="00F63A3C" w:rsidRPr="00E53B23" w:rsidRDefault="00F63A3C" w:rsidP="000101BF">
            <w:pPr>
              <w:widowControl w:val="0"/>
              <w:tabs>
                <w:tab w:val="left" w:pos="1418"/>
                <w:tab w:val="left" w:pos="1843"/>
              </w:tabs>
            </w:pPr>
            <w:r w:rsidRPr="00E53B23">
              <w:t>ISO 11117:1998 or EN ISO 11117:2008 + Cor 1:2009 or EN ISO 11117:2019</w:t>
            </w:r>
          </w:p>
        </w:tc>
        <w:tc>
          <w:tcPr>
            <w:tcW w:w="5669" w:type="dxa"/>
          </w:tcPr>
          <w:p w14:paraId="462CC4F7" w14:textId="0B297F7A" w:rsidR="00F63A3C" w:rsidRPr="00E53B23" w:rsidRDefault="008A0084" w:rsidP="000101BF">
            <w:pPr>
              <w:pStyle w:val="Heading2"/>
            </w:pPr>
            <w:r w:rsidRPr="00E53B23">
              <w:rPr>
                <w:rFonts w:ascii="ZWAdobeF" w:hAnsi="ZWAdobeF" w:cs="ZWAdobeF"/>
                <w:sz w:val="2"/>
                <w:szCs w:val="2"/>
              </w:rPr>
              <w:t>0B</w:t>
            </w:r>
            <w:r w:rsidR="00F63A3C" w:rsidRPr="00E53B23">
              <w:t>Gas cylinders – Valve protection caps and guards – Design, construction and tests</w:t>
            </w:r>
          </w:p>
        </w:tc>
      </w:tr>
      <w:tr w:rsidR="00F63A3C" w:rsidRPr="00E53B23" w14:paraId="124D57F1" w14:textId="77777777" w:rsidTr="000101BF">
        <w:trPr>
          <w:cantSplit/>
        </w:trPr>
        <w:tc>
          <w:tcPr>
            <w:tcW w:w="1209" w:type="dxa"/>
            <w:vMerge/>
          </w:tcPr>
          <w:p w14:paraId="42B758EE" w14:textId="77777777" w:rsidR="00F63A3C" w:rsidRPr="00E53B23" w:rsidRDefault="00F63A3C" w:rsidP="000101BF">
            <w:pPr>
              <w:widowControl w:val="0"/>
              <w:tabs>
                <w:tab w:val="left" w:pos="1418"/>
                <w:tab w:val="left" w:pos="1843"/>
              </w:tabs>
            </w:pPr>
          </w:p>
        </w:tc>
        <w:tc>
          <w:tcPr>
            <w:tcW w:w="1767" w:type="dxa"/>
          </w:tcPr>
          <w:p w14:paraId="0EDB79D5" w14:textId="77777777" w:rsidR="00F63A3C" w:rsidRPr="00E53B23" w:rsidRDefault="00F63A3C" w:rsidP="000101BF">
            <w:pPr>
              <w:widowControl w:val="0"/>
              <w:tabs>
                <w:tab w:val="left" w:pos="1418"/>
                <w:tab w:val="left" w:pos="1843"/>
              </w:tabs>
            </w:pPr>
            <w:r w:rsidRPr="00E53B23">
              <w:t>EN 962:1996 +</w:t>
            </w:r>
            <w:r w:rsidRPr="00E53B23">
              <w:br/>
              <w:t>A2:2000</w:t>
            </w:r>
          </w:p>
        </w:tc>
        <w:tc>
          <w:tcPr>
            <w:tcW w:w="5669" w:type="dxa"/>
          </w:tcPr>
          <w:p w14:paraId="14DD8BEA" w14:textId="77777777" w:rsidR="00F63A3C" w:rsidRPr="00E53B23" w:rsidRDefault="00F63A3C" w:rsidP="000101BF">
            <w:pPr>
              <w:ind w:right="55"/>
              <w:rPr>
                <w:iCs/>
              </w:rPr>
            </w:pPr>
            <w:r w:rsidRPr="00E53B23">
              <w:rPr>
                <w:iCs/>
              </w:rPr>
              <w:t>Transportable gas cylinders – Valve protection caps and valve guards for industrial and medical gas cylinders – Design, construction and tests</w:t>
            </w:r>
          </w:p>
        </w:tc>
      </w:tr>
      <w:tr w:rsidR="00F63A3C" w:rsidRPr="00E53B23" w14:paraId="01FDF462" w14:textId="77777777" w:rsidTr="000101BF">
        <w:trPr>
          <w:cantSplit/>
        </w:trPr>
        <w:tc>
          <w:tcPr>
            <w:tcW w:w="1209" w:type="dxa"/>
          </w:tcPr>
          <w:p w14:paraId="3C337A6A" w14:textId="77777777" w:rsidR="00F63A3C" w:rsidRPr="00E53B23" w:rsidRDefault="00F63A3C" w:rsidP="000101BF">
            <w:pPr>
              <w:widowControl w:val="0"/>
              <w:tabs>
                <w:tab w:val="left" w:pos="1418"/>
                <w:tab w:val="left" w:pos="1843"/>
              </w:tabs>
            </w:pPr>
            <w:r w:rsidRPr="00E53B23">
              <w:t>4.1.6.8 (c)</w:t>
            </w:r>
          </w:p>
        </w:tc>
        <w:tc>
          <w:tcPr>
            <w:tcW w:w="7436" w:type="dxa"/>
            <w:gridSpan w:val="2"/>
          </w:tcPr>
          <w:p w14:paraId="1DEC0163" w14:textId="77777777" w:rsidR="00F63A3C" w:rsidRPr="00E53B23" w:rsidRDefault="00F63A3C" w:rsidP="000101BF">
            <w:pPr>
              <w:tabs>
                <w:tab w:val="left" w:pos="1418"/>
              </w:tabs>
            </w:pPr>
            <w:r w:rsidRPr="00E53B23">
              <w:rPr>
                <w:iCs/>
              </w:rPr>
              <w:t>Requirements for shrouds and permanent protection attachments used as valve protection under 4.1.6.8 (c) are given in the relevant pressure receptacle shell design standards (see 6.2.2.3 for UN pressure receptacles and 6.2.4.1 for non-UN pressure receptacles).</w:t>
            </w:r>
          </w:p>
        </w:tc>
      </w:tr>
      <w:tr w:rsidR="00F63A3C" w:rsidRPr="00E53B23" w14:paraId="5B437EE8" w14:textId="77777777" w:rsidTr="000101BF">
        <w:trPr>
          <w:cantSplit/>
        </w:trPr>
        <w:tc>
          <w:tcPr>
            <w:tcW w:w="1209" w:type="dxa"/>
          </w:tcPr>
          <w:p w14:paraId="0694F6AC" w14:textId="77777777" w:rsidR="00F63A3C" w:rsidRPr="00E53B23" w:rsidRDefault="00F63A3C" w:rsidP="000101BF">
            <w:pPr>
              <w:widowControl w:val="0"/>
              <w:tabs>
                <w:tab w:val="left" w:pos="1418"/>
                <w:tab w:val="left" w:pos="1843"/>
              </w:tabs>
            </w:pPr>
            <w:r w:rsidRPr="00E53B23">
              <w:t>4.1.6.8 (b) and (c)</w:t>
            </w:r>
          </w:p>
        </w:tc>
        <w:tc>
          <w:tcPr>
            <w:tcW w:w="1767" w:type="dxa"/>
          </w:tcPr>
          <w:p w14:paraId="1BC7D844" w14:textId="77777777" w:rsidR="00F63A3C" w:rsidRPr="00E53B23" w:rsidRDefault="00F63A3C" w:rsidP="000101BF">
            <w:pPr>
              <w:tabs>
                <w:tab w:val="left" w:pos="1418"/>
                <w:tab w:val="left" w:pos="1800"/>
              </w:tabs>
            </w:pPr>
            <w:r w:rsidRPr="00E53B23">
              <w:t>ISO 16111:2008 or ISO 16111:2018</w:t>
            </w:r>
          </w:p>
        </w:tc>
        <w:tc>
          <w:tcPr>
            <w:tcW w:w="5669" w:type="dxa"/>
          </w:tcPr>
          <w:p w14:paraId="5CC06084" w14:textId="77777777" w:rsidR="00F63A3C" w:rsidRPr="00E53B23" w:rsidRDefault="00F63A3C" w:rsidP="000101BF">
            <w:pPr>
              <w:tabs>
                <w:tab w:val="left" w:pos="1418"/>
                <w:tab w:val="left" w:pos="1800"/>
              </w:tabs>
            </w:pPr>
            <w:r w:rsidRPr="00E53B23">
              <w:t>Transportable gas storage devices – Hydrogen absorbed in reversible metal hydride</w:t>
            </w:r>
          </w:p>
        </w:tc>
      </w:tr>
    </w:tbl>
    <w:p w14:paraId="47686F6F" w14:textId="77777777" w:rsidR="00F63A3C" w:rsidRPr="00E53B23" w:rsidRDefault="00F63A3C" w:rsidP="00F63A3C">
      <w:pPr>
        <w:tabs>
          <w:tab w:val="left" w:pos="1418"/>
          <w:tab w:val="left" w:pos="2977"/>
          <w:tab w:val="left" w:pos="4395"/>
        </w:tabs>
        <w:snapToGrid w:val="0"/>
        <w:spacing w:before="120" w:after="120" w:line="240" w:lineRule="auto"/>
        <w:ind w:left="1418" w:right="1134"/>
        <w:jc w:val="right"/>
      </w:pPr>
      <w:r w:rsidRPr="00E53B23">
        <w:rPr>
          <w:bCs/>
        </w:rPr>
        <w:t>”</w:t>
      </w:r>
    </w:p>
    <w:p w14:paraId="51158DB9" w14:textId="4047D761" w:rsidR="00F63A3C" w:rsidRPr="00E53B23" w:rsidRDefault="00802E3F" w:rsidP="00BD1A86">
      <w:pPr>
        <w:pStyle w:val="H1G"/>
      </w:pPr>
      <w:r w:rsidRPr="00E53B23">
        <w:lastRenderedPageBreak/>
        <w:tab/>
      </w:r>
      <w:r w:rsidRPr="00E53B23">
        <w:tab/>
      </w:r>
      <w:r w:rsidR="00F63A3C" w:rsidRPr="00E53B23">
        <w:t>Chapter 4.3</w:t>
      </w:r>
    </w:p>
    <w:p w14:paraId="47B65699" w14:textId="2D110DE6" w:rsidR="00F63A3C" w:rsidRPr="00E53B23" w:rsidRDefault="00F63A3C" w:rsidP="00802E3F">
      <w:pPr>
        <w:tabs>
          <w:tab w:val="left" w:pos="2268"/>
        </w:tabs>
        <w:snapToGrid w:val="0"/>
        <w:spacing w:before="120" w:after="120"/>
        <w:ind w:left="2268" w:right="1134" w:hanging="1134"/>
      </w:pPr>
      <w:r w:rsidRPr="00E53B23">
        <w:t>4.3.4.1.3</w:t>
      </w:r>
      <w:r w:rsidRPr="00E53B23">
        <w:tab/>
        <w:t>In the Table, under class 5.1, amend the name and description for UN number 2426 to read as follows:</w:t>
      </w:r>
      <w:r w:rsidR="001D36E7" w:rsidRPr="00E53B23">
        <w:t xml:space="preserve"> </w:t>
      </w:r>
      <w:r w:rsidRPr="00E53B23">
        <w:t>“AMMONIUM NITRATE, LIQUID (hot concentrated solution)”.</w:t>
      </w:r>
    </w:p>
    <w:p w14:paraId="59BE6F64" w14:textId="6DE4BCC1" w:rsidR="00F63A3C" w:rsidRPr="00E53B23" w:rsidRDefault="00802E3F" w:rsidP="00BD1A86">
      <w:pPr>
        <w:pStyle w:val="H1G"/>
      </w:pPr>
      <w:r w:rsidRPr="00E53B23">
        <w:tab/>
      </w:r>
      <w:r w:rsidRPr="00E53B23">
        <w:tab/>
      </w:r>
      <w:r w:rsidR="00F63A3C" w:rsidRPr="00E53B23">
        <w:t>Chapter 5.4</w:t>
      </w:r>
    </w:p>
    <w:p w14:paraId="79C43B99" w14:textId="77777777" w:rsidR="00F63A3C" w:rsidRPr="00E53B23" w:rsidRDefault="00F63A3C" w:rsidP="00802E3F">
      <w:pPr>
        <w:pStyle w:val="SingleTxtG"/>
      </w:pPr>
      <w:r w:rsidRPr="00E53B23">
        <w:t>5.4.1.1.3</w:t>
      </w:r>
      <w:r w:rsidRPr="00E53B23">
        <w:tab/>
        <w:t>Becomes 5.4.1.1.3.1.</w:t>
      </w:r>
    </w:p>
    <w:p w14:paraId="782F487A" w14:textId="77777777" w:rsidR="00F63A3C" w:rsidRPr="00E53B23" w:rsidRDefault="00F63A3C" w:rsidP="00802E3F">
      <w:pPr>
        <w:pStyle w:val="SingleTxtG"/>
      </w:pPr>
      <w:r w:rsidRPr="00E53B23">
        <w:tab/>
        <w:t>Insert a new 5.4.1.1.3.2 to read as follows:</w:t>
      </w:r>
    </w:p>
    <w:p w14:paraId="48FC5FBD" w14:textId="77777777" w:rsidR="00F63A3C" w:rsidRPr="00E53B23" w:rsidRDefault="00F63A3C" w:rsidP="00802E3F">
      <w:pPr>
        <w:pStyle w:val="SingleTxtG"/>
        <w:ind w:left="2268"/>
      </w:pPr>
      <w:r w:rsidRPr="00E53B23">
        <w:t>“5.4.1.1.3.2</w:t>
      </w:r>
      <w:r w:rsidRPr="00E53B23">
        <w:tab/>
        <w:t>If there is no possibility to measure the exact quantity of the waste at the place of loading, the quantity according to 5.4.1.1.1 (f) may be estimated for the following cases under the following conditions:</w:t>
      </w:r>
    </w:p>
    <w:p w14:paraId="14F1B366" w14:textId="77777777" w:rsidR="00F63A3C" w:rsidRPr="00E53B23" w:rsidRDefault="00F63A3C" w:rsidP="00802E3F">
      <w:pPr>
        <w:pStyle w:val="SingleTxtG"/>
        <w:ind w:left="3969" w:hanging="567"/>
      </w:pPr>
      <w:r w:rsidRPr="00E53B23">
        <w:t>(a)</w:t>
      </w:r>
      <w:r w:rsidRPr="00E53B23">
        <w:tab/>
        <w:t>For packagings, a list of packagings including the type and the nominal volume will be added to the transport document;</w:t>
      </w:r>
    </w:p>
    <w:p w14:paraId="177C0C73" w14:textId="5113D52D" w:rsidR="00F63A3C" w:rsidRPr="00E53B23" w:rsidRDefault="00F63A3C" w:rsidP="00802E3F">
      <w:pPr>
        <w:pStyle w:val="SingleTxtG"/>
        <w:ind w:left="3969" w:hanging="567"/>
      </w:pPr>
      <w:r w:rsidRPr="00E53B23">
        <w:t>(b)</w:t>
      </w:r>
      <w:r w:rsidRPr="00E53B23">
        <w:tab/>
      </w:r>
      <w:r w:rsidR="00362A1C" w:rsidRPr="00E53B23">
        <w:t xml:space="preserve">For </w:t>
      </w:r>
      <w:r w:rsidRPr="00E53B23">
        <w:t>containers, the estimation will be based on their nominal volume and other available information (e.g. type of waste, average density, degree of filling);</w:t>
      </w:r>
    </w:p>
    <w:p w14:paraId="0CF65AB1" w14:textId="07CD2AC7" w:rsidR="00F63A3C" w:rsidRPr="00E53B23" w:rsidRDefault="00F63A3C" w:rsidP="00802E3F">
      <w:pPr>
        <w:pStyle w:val="SingleTxtG"/>
        <w:ind w:left="3969" w:hanging="567"/>
      </w:pPr>
      <w:r w:rsidRPr="00E53B23">
        <w:t>(c)</w:t>
      </w:r>
      <w:r w:rsidRPr="00E53B23">
        <w:tab/>
      </w:r>
      <w:r w:rsidR="00362A1C" w:rsidRPr="00E53B23">
        <w:t xml:space="preserve">For </w:t>
      </w:r>
      <w:r w:rsidRPr="00E53B23">
        <w:t>vacuum operated waste tanks, the estimation shall be justified (e.g. by means of an estimation provided by the consigner or by vehicle equipment).</w:t>
      </w:r>
    </w:p>
    <w:p w14:paraId="6201F3A4" w14:textId="25ABDFFF" w:rsidR="00F63A3C" w:rsidRPr="00E53B23" w:rsidRDefault="00802E3F" w:rsidP="00802E3F">
      <w:pPr>
        <w:pStyle w:val="SingleTxtG"/>
        <w:tabs>
          <w:tab w:val="left" w:pos="3402"/>
        </w:tabs>
        <w:ind w:left="2268"/>
      </w:pPr>
      <w:r w:rsidRPr="00E53B23">
        <w:tab/>
      </w:r>
      <w:r w:rsidRPr="00E53B23">
        <w:tab/>
      </w:r>
      <w:r w:rsidR="00F63A3C" w:rsidRPr="00E53B23">
        <w:t>Such estimation of the quantity is not allowed for:</w:t>
      </w:r>
    </w:p>
    <w:p w14:paraId="7FECD562" w14:textId="77777777" w:rsidR="00F63A3C" w:rsidRPr="00E53B23" w:rsidRDefault="00F63A3C" w:rsidP="00802E3F">
      <w:pPr>
        <w:pStyle w:val="SingleTxtG"/>
        <w:ind w:left="3969" w:hanging="567"/>
      </w:pPr>
      <w:r w:rsidRPr="00E53B23">
        <w:t>–</w:t>
      </w:r>
      <w:r w:rsidRPr="00E53B23">
        <w:tab/>
        <w:t>Exemptions for which the exact quantity is essential (e.g. 1.1.3.6);</w:t>
      </w:r>
    </w:p>
    <w:p w14:paraId="3BC305A4" w14:textId="64EED51B" w:rsidR="00F63A3C" w:rsidRPr="00E53B23" w:rsidRDefault="00F63A3C" w:rsidP="00802E3F">
      <w:pPr>
        <w:pStyle w:val="SingleTxtG"/>
        <w:ind w:left="3969" w:hanging="567"/>
      </w:pPr>
      <w:r w:rsidRPr="00E53B23">
        <w:t>–</w:t>
      </w:r>
      <w:r w:rsidRPr="00E53B23">
        <w:tab/>
        <w:t xml:space="preserve">Waste containing substances mentioned in 2.1.3.5.3 </w:t>
      </w:r>
      <w:r w:rsidR="00362A1C" w:rsidRPr="00E53B23">
        <w:t>or</w:t>
      </w:r>
      <w:r w:rsidRPr="00E53B23">
        <w:t xml:space="preserve"> substances of Class 4.3;</w:t>
      </w:r>
    </w:p>
    <w:p w14:paraId="43BC33ED" w14:textId="77777777" w:rsidR="00F63A3C" w:rsidRPr="00E53B23" w:rsidRDefault="00F63A3C" w:rsidP="00802E3F">
      <w:pPr>
        <w:pStyle w:val="SingleTxtG"/>
        <w:ind w:left="3969" w:hanging="567"/>
      </w:pPr>
      <w:r w:rsidRPr="00E53B23">
        <w:t>–</w:t>
      </w:r>
      <w:r w:rsidRPr="00E53B23">
        <w:tab/>
        <w:t>Tanks other than vacuum operated waste tanks.</w:t>
      </w:r>
    </w:p>
    <w:p w14:paraId="2620F2A7" w14:textId="2A37465B" w:rsidR="00F63A3C" w:rsidRPr="00E53B23" w:rsidRDefault="00802E3F" w:rsidP="00802E3F">
      <w:pPr>
        <w:pStyle w:val="SingleTxtG"/>
        <w:tabs>
          <w:tab w:val="left" w:pos="3402"/>
        </w:tabs>
        <w:ind w:left="2268"/>
        <w:rPr>
          <w:lang w:val="fr-CH"/>
        </w:rPr>
      </w:pPr>
      <w:r w:rsidRPr="00E53B23">
        <w:tab/>
      </w:r>
      <w:r w:rsidR="00F63A3C" w:rsidRPr="00E53B23">
        <w:t>[A statement shall be included in the transport document, as follows:</w:t>
      </w:r>
    </w:p>
    <w:p w14:paraId="5909A531" w14:textId="52CD1ECF" w:rsidR="00F63A3C" w:rsidRPr="00E53B23" w:rsidRDefault="00F63A3C" w:rsidP="00802E3F">
      <w:pPr>
        <w:pStyle w:val="SingleTxtG"/>
        <w:tabs>
          <w:tab w:val="left" w:pos="3402"/>
        </w:tabs>
        <w:ind w:left="2268"/>
      </w:pPr>
      <w:r w:rsidRPr="00E53B23">
        <w:t>“QUANTITY ESTIMATED IN ACCORDANCE WITH 5.4.1.1.3.2”.]”</w:t>
      </w:r>
    </w:p>
    <w:p w14:paraId="5045BB29" w14:textId="1AED37EA" w:rsidR="00F63A3C" w:rsidRPr="00E53B23" w:rsidRDefault="00F63A3C" w:rsidP="00BD3DC8">
      <w:pPr>
        <w:pStyle w:val="SingleTxtG"/>
        <w:tabs>
          <w:tab w:val="left" w:pos="2268"/>
        </w:tabs>
        <w:ind w:left="2268" w:hanging="1134"/>
      </w:pPr>
      <w:r w:rsidRPr="00E53B23">
        <w:t>5.4.2</w:t>
      </w:r>
      <w:r w:rsidRPr="00E53B23">
        <w:tab/>
        <w:t>In the first sub-paragraph, replace “with the transport document” by:</w:t>
      </w:r>
      <w:r w:rsidR="00760DFB" w:rsidRPr="00E53B23">
        <w:t xml:space="preserve"> </w:t>
      </w:r>
      <w:r w:rsidRPr="00E53B23">
        <w:t>“to the maritime carrier by those responsible for packing the container”.</w:t>
      </w:r>
    </w:p>
    <w:p w14:paraId="4B91BFF3" w14:textId="6893C13F" w:rsidR="00F63A3C" w:rsidRPr="00E53B23" w:rsidRDefault="00F63A3C" w:rsidP="00BD3DC8">
      <w:pPr>
        <w:pStyle w:val="SingleTxtG"/>
        <w:tabs>
          <w:tab w:val="left" w:pos="2268"/>
        </w:tabs>
        <w:ind w:left="2268" w:hanging="1134"/>
      </w:pPr>
      <w:r w:rsidRPr="00E53B23">
        <w:tab/>
        <w:t>In the second sub-paragraph, in the first sentence, replace “; if not, these documents shall be attached” by:</w:t>
      </w:r>
      <w:r w:rsidR="00760DFB" w:rsidRPr="00E53B23">
        <w:t xml:space="preserve"> </w:t>
      </w:r>
      <w:r w:rsidRPr="00E53B23">
        <w:t>“(see for example 5.4.5)”.</w:t>
      </w:r>
    </w:p>
    <w:p w14:paraId="317DA206" w14:textId="77777777" w:rsidR="00F63A3C" w:rsidRPr="00E53B23" w:rsidRDefault="00F63A3C" w:rsidP="00BD3DC8">
      <w:pPr>
        <w:pStyle w:val="SingleTxtG"/>
        <w:tabs>
          <w:tab w:val="left" w:pos="2268"/>
        </w:tabs>
        <w:ind w:left="2268" w:hanging="1134"/>
      </w:pPr>
      <w:r w:rsidRPr="00E53B23">
        <w:tab/>
        <w:t>Delete the Note after the second sub-paragraph.</w:t>
      </w:r>
    </w:p>
    <w:p w14:paraId="708BC8DC" w14:textId="1D19E884" w:rsidR="00F63A3C" w:rsidRPr="00E53B23" w:rsidRDefault="00F63A3C" w:rsidP="00BD3DC8">
      <w:pPr>
        <w:pStyle w:val="SingleTxtG"/>
        <w:tabs>
          <w:tab w:val="left" w:pos="2268"/>
        </w:tabs>
        <w:ind w:left="2268" w:hanging="1134"/>
      </w:pPr>
      <w:r w:rsidRPr="00E53B23">
        <w:tab/>
        <w:t>In the third sub-paragraph, after “may”, insert:</w:t>
      </w:r>
      <w:r w:rsidR="00760DFB" w:rsidRPr="00E53B23">
        <w:t xml:space="preserve"> </w:t>
      </w:r>
      <w:r w:rsidRPr="00E53B23">
        <w:t>“also”.</w:t>
      </w:r>
    </w:p>
    <w:p w14:paraId="72AD0644" w14:textId="5122A41D" w:rsidR="00F63A3C" w:rsidRPr="00E53B23" w:rsidRDefault="00BD3DC8" w:rsidP="00BD1A86">
      <w:pPr>
        <w:pStyle w:val="H1G"/>
      </w:pPr>
      <w:r w:rsidRPr="00E53B23">
        <w:tab/>
      </w:r>
      <w:r w:rsidRPr="00E53B23">
        <w:tab/>
      </w:r>
      <w:r w:rsidR="00F63A3C" w:rsidRPr="00E53B23">
        <w:t>Chapter 6.2</w:t>
      </w:r>
    </w:p>
    <w:p w14:paraId="72D6571C" w14:textId="77777777" w:rsidR="00F63A3C" w:rsidRPr="00E53B23" w:rsidRDefault="00F63A3C" w:rsidP="00BD3DC8">
      <w:pPr>
        <w:pStyle w:val="SingleTxtG"/>
      </w:pPr>
      <w:r w:rsidRPr="00E53B23">
        <w:rPr>
          <w:bCs/>
        </w:rPr>
        <w:t>6.2.3.1.5</w:t>
      </w:r>
      <w:r w:rsidRPr="00E53B23">
        <w:rPr>
          <w:bCs/>
        </w:rPr>
        <w:tab/>
      </w:r>
      <w:r w:rsidRPr="00E53B23">
        <w:t>Amend to read as follows:</w:t>
      </w:r>
    </w:p>
    <w:p w14:paraId="23D8C97B" w14:textId="77777777" w:rsidR="00F63A3C" w:rsidRPr="00E53B23" w:rsidRDefault="00F63A3C" w:rsidP="00BD3DC8">
      <w:pPr>
        <w:pStyle w:val="SingleTxtG"/>
        <w:ind w:left="2268"/>
      </w:pPr>
      <w:r w:rsidRPr="00E53B23">
        <w:t>“6.2.3.1.5</w:t>
      </w:r>
      <w:r w:rsidRPr="00E53B23">
        <w:tab/>
        <w:t>Acetylene cylinders shall not be fitted with fusible plugs or any other pressure relief devices.”</w:t>
      </w:r>
    </w:p>
    <w:p w14:paraId="3F030ACE" w14:textId="38FED942" w:rsidR="00F63A3C" w:rsidRPr="00E53B23" w:rsidRDefault="00F63A3C" w:rsidP="00BD3DC8">
      <w:pPr>
        <w:pStyle w:val="SingleTxtG"/>
        <w:rPr>
          <w:rFonts w:cs="Arial"/>
          <w:szCs w:val="22"/>
        </w:rPr>
      </w:pPr>
      <w:r w:rsidRPr="00E53B23">
        <w:rPr>
          <w:rFonts w:cs="Arial"/>
          <w:szCs w:val="22"/>
        </w:rPr>
        <w:t>6.2.4.1</w:t>
      </w:r>
      <w:r w:rsidR="00BD3DC8" w:rsidRPr="00E53B23">
        <w:rPr>
          <w:rFonts w:cs="Arial"/>
          <w:szCs w:val="22"/>
        </w:rPr>
        <w:tab/>
      </w:r>
      <w:r w:rsidRPr="00E53B23">
        <w:rPr>
          <w:rFonts w:cs="Arial"/>
          <w:szCs w:val="22"/>
        </w:rPr>
        <w:tab/>
        <w:t xml:space="preserve">Amend the Table, under </w:t>
      </w:r>
      <w:r w:rsidRPr="00E53B23">
        <w:rPr>
          <w:bCs/>
        </w:rPr>
        <w:t>“</w:t>
      </w:r>
      <w:r w:rsidRPr="00E53B23">
        <w:rPr>
          <w:rFonts w:cs="Arial"/>
          <w:szCs w:val="22"/>
        </w:rPr>
        <w:t>for design and construction</w:t>
      </w:r>
      <w:r w:rsidRPr="00E53B23">
        <w:rPr>
          <w:bCs/>
        </w:rPr>
        <w:t>”</w:t>
      </w:r>
      <w:r w:rsidRPr="00E53B23">
        <w:rPr>
          <w:rFonts w:cs="Arial"/>
          <w:szCs w:val="22"/>
        </w:rPr>
        <w:t xml:space="preserve"> as follows:</w:t>
      </w:r>
    </w:p>
    <w:p w14:paraId="25962B17" w14:textId="3CC4E042" w:rsidR="00F63A3C" w:rsidRPr="00E53B23" w:rsidRDefault="00F63A3C" w:rsidP="00BD3DC8">
      <w:pPr>
        <w:pStyle w:val="SingleTxtG"/>
        <w:ind w:left="2268"/>
        <w:rPr>
          <w:rFonts w:cs="Arial"/>
          <w:szCs w:val="22"/>
        </w:rPr>
      </w:pPr>
      <w:r w:rsidRPr="00E53B23">
        <w:rPr>
          <w:rFonts w:cs="Arial"/>
          <w:szCs w:val="22"/>
        </w:rPr>
        <w:tab/>
        <w:t xml:space="preserve">For </w:t>
      </w:r>
      <w:r w:rsidRPr="00E53B23">
        <w:rPr>
          <w:bCs/>
        </w:rPr>
        <w:t>“</w:t>
      </w:r>
      <w:r w:rsidRPr="00E53B23">
        <w:t>EN ISO 7866:2012 + AC:2014</w:t>
      </w:r>
      <w:r w:rsidRPr="00E53B23">
        <w:rPr>
          <w:bCs/>
        </w:rPr>
        <w:t>”</w:t>
      </w:r>
      <w:r w:rsidRPr="00E53B23">
        <w:rPr>
          <w:rFonts w:cs="Arial"/>
          <w:szCs w:val="22"/>
        </w:rPr>
        <w:t xml:space="preserve">, in column (4), replace </w:t>
      </w:r>
      <w:r w:rsidRPr="00E53B23">
        <w:rPr>
          <w:bCs/>
        </w:rPr>
        <w:t>“</w:t>
      </w:r>
      <w:r w:rsidRPr="00E53B23">
        <w:t>Until further notice</w:t>
      </w:r>
      <w:r w:rsidRPr="00E53B23">
        <w:rPr>
          <w:bCs/>
        </w:rPr>
        <w:t>”</w:t>
      </w:r>
      <w:r w:rsidRPr="00E53B23">
        <w:t xml:space="preserve"> </w:t>
      </w:r>
      <w:r w:rsidRPr="00E53B23">
        <w:rPr>
          <w:rFonts w:cs="Arial"/>
          <w:szCs w:val="22"/>
        </w:rPr>
        <w:t>by:</w:t>
      </w:r>
      <w:r w:rsidR="00E5214B" w:rsidRPr="00E53B23">
        <w:rPr>
          <w:rFonts w:cs="Arial"/>
          <w:szCs w:val="22"/>
        </w:rPr>
        <w:t xml:space="preserve"> </w:t>
      </w:r>
      <w:r w:rsidRPr="00E53B23">
        <w:rPr>
          <w:bCs/>
        </w:rPr>
        <w:t>“</w:t>
      </w:r>
      <w:r w:rsidRPr="00E53B23">
        <w:rPr>
          <w:rFonts w:cs="Arial"/>
          <w:szCs w:val="22"/>
        </w:rPr>
        <w:t>Between 1 January 2015 and 31 December 2024</w:t>
      </w:r>
      <w:r w:rsidRPr="00E53B23">
        <w:rPr>
          <w:bCs/>
        </w:rPr>
        <w:t>”</w:t>
      </w:r>
      <w:r w:rsidRPr="00E53B23">
        <w:rPr>
          <w:rFonts w:cs="Arial"/>
          <w:szCs w:val="22"/>
        </w:rPr>
        <w:t>.</w:t>
      </w:r>
    </w:p>
    <w:p w14:paraId="0CFFD71E" w14:textId="77777777" w:rsidR="00F63A3C" w:rsidRPr="00E53B23" w:rsidRDefault="00F63A3C" w:rsidP="00BD3DC8">
      <w:pPr>
        <w:pStyle w:val="SingleTxtG"/>
        <w:ind w:left="2268"/>
        <w:rPr>
          <w:rFonts w:cs="Arial"/>
          <w:szCs w:val="22"/>
        </w:rPr>
      </w:pPr>
      <w:r w:rsidRPr="00E53B23">
        <w:rPr>
          <w:rFonts w:cs="Arial"/>
          <w:szCs w:val="22"/>
        </w:rPr>
        <w:tab/>
        <w:t xml:space="preserve">After the row for </w:t>
      </w:r>
      <w:r w:rsidRPr="00E53B23">
        <w:rPr>
          <w:bCs/>
        </w:rPr>
        <w:t>“</w:t>
      </w:r>
      <w:r w:rsidRPr="00E53B23">
        <w:t>EN ISO 7866:2012 + AC:2014</w:t>
      </w:r>
      <w:r w:rsidRPr="00E53B23">
        <w:rPr>
          <w:bCs/>
        </w:rPr>
        <w:t>”</w:t>
      </w:r>
      <w:r w:rsidRPr="00E53B23">
        <w:rPr>
          <w:rFonts w:cs="Arial"/>
          <w:szCs w:val="22"/>
        </w:rPr>
        <w:t>, insert the following new row:</w:t>
      </w:r>
    </w:p>
    <w:tbl>
      <w:tblPr>
        <w:tblW w:w="774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402"/>
        <w:gridCol w:w="1012"/>
        <w:gridCol w:w="956"/>
        <w:gridCol w:w="664"/>
      </w:tblGrid>
      <w:tr w:rsidR="00F63A3C" w:rsidRPr="00E53B23" w14:paraId="0F2A76E3" w14:textId="77777777" w:rsidTr="000101BF">
        <w:tc>
          <w:tcPr>
            <w:tcW w:w="1708" w:type="dxa"/>
          </w:tcPr>
          <w:p w14:paraId="4DEC517F" w14:textId="77777777" w:rsidR="00F63A3C" w:rsidRPr="00E53B23" w:rsidRDefault="00F63A3C" w:rsidP="000101BF">
            <w:pPr>
              <w:widowControl w:val="0"/>
              <w:jc w:val="center"/>
              <w:rPr>
                <w:rFonts w:cs="Arial"/>
                <w:sz w:val="18"/>
                <w:szCs w:val="18"/>
              </w:rPr>
            </w:pPr>
            <w:r w:rsidRPr="00E53B23">
              <w:rPr>
                <w:rFonts w:cs="Arial"/>
                <w:sz w:val="18"/>
                <w:szCs w:val="18"/>
              </w:rPr>
              <w:lastRenderedPageBreak/>
              <w:t>(1)</w:t>
            </w:r>
          </w:p>
        </w:tc>
        <w:tc>
          <w:tcPr>
            <w:tcW w:w="3402" w:type="dxa"/>
          </w:tcPr>
          <w:p w14:paraId="7DFF466E" w14:textId="77777777" w:rsidR="00F63A3C" w:rsidRPr="00E53B23" w:rsidRDefault="00F63A3C" w:rsidP="000101BF">
            <w:pPr>
              <w:widowControl w:val="0"/>
              <w:jc w:val="center"/>
              <w:rPr>
                <w:rFonts w:cs="Arial"/>
                <w:sz w:val="18"/>
                <w:szCs w:val="18"/>
              </w:rPr>
            </w:pPr>
            <w:r w:rsidRPr="00E53B23">
              <w:rPr>
                <w:rFonts w:cs="Arial"/>
                <w:sz w:val="18"/>
                <w:szCs w:val="18"/>
              </w:rPr>
              <w:t>(2)</w:t>
            </w:r>
          </w:p>
        </w:tc>
        <w:tc>
          <w:tcPr>
            <w:tcW w:w="1012" w:type="dxa"/>
          </w:tcPr>
          <w:p w14:paraId="453DED3C" w14:textId="77777777" w:rsidR="00F63A3C" w:rsidRPr="00E53B23" w:rsidRDefault="00F63A3C" w:rsidP="000101BF">
            <w:pPr>
              <w:widowControl w:val="0"/>
              <w:jc w:val="center"/>
              <w:rPr>
                <w:rFonts w:cs="Arial"/>
                <w:sz w:val="18"/>
                <w:szCs w:val="18"/>
              </w:rPr>
            </w:pPr>
            <w:r w:rsidRPr="00E53B23">
              <w:rPr>
                <w:rFonts w:cs="Arial"/>
                <w:sz w:val="18"/>
                <w:szCs w:val="18"/>
              </w:rPr>
              <w:t>(3)</w:t>
            </w:r>
          </w:p>
        </w:tc>
        <w:tc>
          <w:tcPr>
            <w:tcW w:w="956" w:type="dxa"/>
          </w:tcPr>
          <w:p w14:paraId="73C2F9A0" w14:textId="77777777" w:rsidR="00F63A3C" w:rsidRPr="00E53B23" w:rsidRDefault="00F63A3C" w:rsidP="000101BF">
            <w:pPr>
              <w:widowControl w:val="0"/>
              <w:jc w:val="center"/>
              <w:rPr>
                <w:rFonts w:cs="Arial"/>
                <w:sz w:val="18"/>
                <w:szCs w:val="18"/>
              </w:rPr>
            </w:pPr>
            <w:r w:rsidRPr="00E53B23">
              <w:rPr>
                <w:rFonts w:cs="Arial"/>
                <w:sz w:val="18"/>
                <w:szCs w:val="18"/>
              </w:rPr>
              <w:t>(4)</w:t>
            </w:r>
          </w:p>
        </w:tc>
        <w:tc>
          <w:tcPr>
            <w:tcW w:w="664" w:type="dxa"/>
          </w:tcPr>
          <w:p w14:paraId="19EF5F5F" w14:textId="77777777" w:rsidR="00F63A3C" w:rsidRPr="00E53B23" w:rsidRDefault="00F63A3C" w:rsidP="000101BF">
            <w:pPr>
              <w:widowControl w:val="0"/>
              <w:jc w:val="center"/>
              <w:rPr>
                <w:rFonts w:cs="Arial"/>
                <w:sz w:val="18"/>
                <w:szCs w:val="18"/>
              </w:rPr>
            </w:pPr>
            <w:r w:rsidRPr="00E53B23">
              <w:rPr>
                <w:rFonts w:cs="Arial"/>
                <w:sz w:val="18"/>
                <w:szCs w:val="18"/>
              </w:rPr>
              <w:t>(5)</w:t>
            </w:r>
          </w:p>
        </w:tc>
      </w:tr>
      <w:tr w:rsidR="00F63A3C" w:rsidRPr="00E53B23" w14:paraId="015A2B31" w14:textId="77777777" w:rsidTr="000101BF">
        <w:tc>
          <w:tcPr>
            <w:tcW w:w="1708" w:type="dxa"/>
            <w:vAlign w:val="center"/>
          </w:tcPr>
          <w:p w14:paraId="6B1F9EDB" w14:textId="77777777" w:rsidR="00F63A3C" w:rsidRPr="00E53B23" w:rsidRDefault="00F63A3C" w:rsidP="000101BF">
            <w:pPr>
              <w:widowControl w:val="0"/>
              <w:rPr>
                <w:rFonts w:cs="Arial"/>
                <w:sz w:val="18"/>
                <w:szCs w:val="18"/>
              </w:rPr>
            </w:pPr>
            <w:r w:rsidRPr="00E53B23">
              <w:rPr>
                <w:sz w:val="18"/>
                <w:szCs w:val="18"/>
              </w:rPr>
              <w:t>EN ISO 7866:2012 + A1:2020</w:t>
            </w:r>
          </w:p>
        </w:tc>
        <w:tc>
          <w:tcPr>
            <w:tcW w:w="3402" w:type="dxa"/>
            <w:vAlign w:val="center"/>
          </w:tcPr>
          <w:p w14:paraId="371E20D5" w14:textId="77777777" w:rsidR="00F63A3C" w:rsidRPr="00E53B23" w:rsidRDefault="00F63A3C" w:rsidP="000101BF">
            <w:pPr>
              <w:widowControl w:val="0"/>
              <w:rPr>
                <w:rFonts w:cs="Arial"/>
                <w:sz w:val="18"/>
                <w:szCs w:val="18"/>
              </w:rPr>
            </w:pPr>
            <w:r w:rsidRPr="00E53B23">
              <w:rPr>
                <w:rFonts w:cs="Arial"/>
                <w:bCs/>
                <w:iCs/>
                <w:sz w:val="18"/>
                <w:szCs w:val="18"/>
              </w:rPr>
              <w:t>Gas cylinders – Refillable seamless aluminium alloy gas cylinders – Design, construction and testing</w:t>
            </w:r>
          </w:p>
        </w:tc>
        <w:tc>
          <w:tcPr>
            <w:tcW w:w="1012" w:type="dxa"/>
            <w:vAlign w:val="center"/>
          </w:tcPr>
          <w:p w14:paraId="19DE6D2A" w14:textId="77777777" w:rsidR="00F63A3C" w:rsidRPr="00E53B23" w:rsidRDefault="00F63A3C" w:rsidP="000101BF">
            <w:pPr>
              <w:widowControl w:val="0"/>
              <w:rPr>
                <w:rFonts w:cs="Arial"/>
                <w:sz w:val="18"/>
                <w:szCs w:val="18"/>
              </w:rPr>
            </w:pPr>
            <w:r w:rsidRPr="00E53B23">
              <w:rPr>
                <w:rFonts w:cs="Arial"/>
                <w:sz w:val="18"/>
                <w:szCs w:val="18"/>
              </w:rPr>
              <w:t>6.2.3.1 and 6.2.3.4</w:t>
            </w:r>
          </w:p>
        </w:tc>
        <w:tc>
          <w:tcPr>
            <w:tcW w:w="956" w:type="dxa"/>
            <w:vAlign w:val="center"/>
          </w:tcPr>
          <w:p w14:paraId="050E9950" w14:textId="77777777" w:rsidR="00F63A3C" w:rsidRPr="00E53B23" w:rsidRDefault="00F63A3C" w:rsidP="000101BF">
            <w:pPr>
              <w:widowControl w:val="0"/>
              <w:jc w:val="center"/>
              <w:rPr>
                <w:rFonts w:cs="Arial"/>
                <w:sz w:val="18"/>
                <w:szCs w:val="18"/>
              </w:rPr>
            </w:pPr>
            <w:r w:rsidRPr="00E53B23">
              <w:rPr>
                <w:rFonts w:cs="Arial"/>
                <w:bCs/>
                <w:sz w:val="18"/>
                <w:szCs w:val="18"/>
              </w:rPr>
              <w:t>Until further notice</w:t>
            </w:r>
          </w:p>
        </w:tc>
        <w:tc>
          <w:tcPr>
            <w:tcW w:w="664" w:type="dxa"/>
            <w:vAlign w:val="center"/>
          </w:tcPr>
          <w:p w14:paraId="1C1C3641" w14:textId="77777777" w:rsidR="00F63A3C" w:rsidRPr="00E53B23" w:rsidRDefault="00F63A3C" w:rsidP="000101BF">
            <w:pPr>
              <w:widowControl w:val="0"/>
              <w:rPr>
                <w:rFonts w:cs="Arial"/>
                <w:sz w:val="18"/>
                <w:szCs w:val="18"/>
              </w:rPr>
            </w:pPr>
          </w:p>
        </w:tc>
      </w:tr>
    </w:tbl>
    <w:p w14:paraId="7B37A687" w14:textId="77777777" w:rsidR="00F63A3C" w:rsidRPr="00E53B23" w:rsidRDefault="00F63A3C" w:rsidP="00F63A3C">
      <w:pPr>
        <w:widowControl w:val="0"/>
        <w:snapToGrid w:val="0"/>
        <w:spacing w:before="120" w:after="120" w:line="240" w:lineRule="auto"/>
        <w:ind w:left="1800" w:right="1134" w:hanging="382"/>
        <w:jc w:val="right"/>
        <w:rPr>
          <w:rFonts w:cs="Arial"/>
          <w:szCs w:val="22"/>
        </w:rPr>
      </w:pPr>
      <w:r w:rsidRPr="00E53B23">
        <w:rPr>
          <w:bCs/>
        </w:rPr>
        <w:t>”</w:t>
      </w:r>
    </w:p>
    <w:p w14:paraId="20FC7DEF" w14:textId="49CB11BB" w:rsidR="00F63A3C" w:rsidRPr="00E53B23" w:rsidRDefault="00F63A3C" w:rsidP="00BD3DC8">
      <w:pPr>
        <w:pStyle w:val="SingleTxtG"/>
        <w:ind w:left="2268"/>
      </w:pPr>
      <w:r w:rsidRPr="00E53B23">
        <w:rPr>
          <w:b/>
        </w:rPr>
        <w:t>[</w:t>
      </w:r>
      <w:r w:rsidRPr="00E53B23">
        <w:t xml:space="preserve">For </w:t>
      </w:r>
      <w:r w:rsidRPr="00E53B23">
        <w:rPr>
          <w:bCs/>
        </w:rPr>
        <w:t>“</w:t>
      </w:r>
      <w:r w:rsidRPr="00E53B23">
        <w:t>EN 12245:2002</w:t>
      </w:r>
      <w:r w:rsidRPr="00E53B23">
        <w:rPr>
          <w:bCs/>
        </w:rPr>
        <w:t>”</w:t>
      </w:r>
      <w:r w:rsidRPr="00E53B23">
        <w:t>, in column (2), insert the following Note:</w:t>
      </w:r>
    </w:p>
    <w:p w14:paraId="117806A1" w14:textId="77777777" w:rsidR="00F63A3C" w:rsidRPr="00E53B23" w:rsidRDefault="00F63A3C" w:rsidP="00BD3DC8">
      <w:pPr>
        <w:pStyle w:val="SingleTxtG"/>
        <w:ind w:left="2268"/>
        <w:rPr>
          <w:bCs/>
        </w:rPr>
      </w:pPr>
      <w:r w:rsidRPr="00E53B23">
        <w:rPr>
          <w:i/>
          <w:iCs/>
        </w:rPr>
        <w:t>“</w:t>
      </w:r>
      <w:r w:rsidRPr="00E53B23">
        <w:rPr>
          <w:b/>
          <w:bCs/>
          <w:i/>
          <w:iCs/>
        </w:rPr>
        <w:t>NOTE:</w:t>
      </w:r>
      <w:r w:rsidRPr="00E53B23">
        <w:rPr>
          <w:bCs/>
          <w:i/>
          <w:iCs/>
        </w:rPr>
        <w:tab/>
        <w:t>This standard shall not be used for gases classified as LPG.”</w:t>
      </w:r>
      <w:r w:rsidRPr="00E53B23">
        <w:rPr>
          <w:b/>
          <w:bCs/>
        </w:rPr>
        <w:t>]</w:t>
      </w:r>
    </w:p>
    <w:p w14:paraId="44A308EF" w14:textId="14D01CF8" w:rsidR="00F63A3C" w:rsidRPr="00E53B23" w:rsidRDefault="00F63A3C" w:rsidP="00BD3DC8">
      <w:pPr>
        <w:pStyle w:val="SingleTxtG"/>
        <w:ind w:left="2268"/>
        <w:rPr>
          <w:bCs/>
        </w:rPr>
      </w:pPr>
      <w:r w:rsidRPr="00E53B23">
        <w:rPr>
          <w:b/>
          <w:bCs/>
        </w:rPr>
        <w:t>[</w:t>
      </w:r>
      <w:r w:rsidRPr="00E53B23">
        <w:t xml:space="preserve">For </w:t>
      </w:r>
      <w:r w:rsidRPr="00E53B23">
        <w:rPr>
          <w:bCs/>
        </w:rPr>
        <w:t>“</w:t>
      </w:r>
      <w:r w:rsidRPr="00E53B23">
        <w:t>EN 12245:2002</w:t>
      </w:r>
      <w:r w:rsidRPr="00E53B23">
        <w:rPr>
          <w:bCs/>
        </w:rPr>
        <w:t>”</w:t>
      </w:r>
      <w:r w:rsidRPr="00E53B23">
        <w:t>, in</w:t>
      </w:r>
      <w:r w:rsidRPr="00E53B23">
        <w:rPr>
          <w:bCs/>
        </w:rPr>
        <w:t xml:space="preserve"> column (5), insert the following text:</w:t>
      </w:r>
    </w:p>
    <w:p w14:paraId="3D9A8660" w14:textId="77777777" w:rsidR="00F63A3C" w:rsidRPr="00E53B23" w:rsidRDefault="00F63A3C" w:rsidP="00BD3DC8">
      <w:pPr>
        <w:pStyle w:val="SingleTxtG"/>
        <w:ind w:left="2268"/>
      </w:pPr>
      <w:r w:rsidRPr="00E53B23">
        <w:rPr>
          <w:bCs/>
        </w:rPr>
        <w:t>“31 December 2023, for cylinders for LPG”.</w:t>
      </w:r>
      <w:r w:rsidRPr="00E53B23">
        <w:rPr>
          <w:b/>
          <w:bCs/>
        </w:rPr>
        <w:t>]</w:t>
      </w:r>
    </w:p>
    <w:p w14:paraId="6C21EAA3" w14:textId="41DE0632" w:rsidR="00F63A3C" w:rsidRPr="00E53B23" w:rsidRDefault="00F63A3C" w:rsidP="00BD3DC8">
      <w:pPr>
        <w:pStyle w:val="SingleTxtG"/>
        <w:ind w:left="2268"/>
        <w:rPr>
          <w:bCs/>
        </w:rPr>
      </w:pPr>
      <w:r w:rsidRPr="00E53B23">
        <w:rPr>
          <w:b/>
        </w:rPr>
        <w:t>[</w:t>
      </w:r>
      <w:r w:rsidRPr="00E53B23">
        <w:rPr>
          <w:bCs/>
        </w:rPr>
        <w:t xml:space="preserve">For “EN 12245:2009 + A1:2011”, in column (2), number the existing </w:t>
      </w:r>
      <w:r w:rsidRPr="00E53B23">
        <w:t>Note</w:t>
      </w:r>
      <w:r w:rsidRPr="00E53B23">
        <w:rPr>
          <w:bCs/>
        </w:rPr>
        <w:t xml:space="preserve"> to be “NOTE 1” and insert a new Note as follows:</w:t>
      </w:r>
    </w:p>
    <w:p w14:paraId="6C336047" w14:textId="77777777" w:rsidR="00F63A3C" w:rsidRPr="00E53B23" w:rsidRDefault="00F63A3C" w:rsidP="00BD3DC8">
      <w:pPr>
        <w:pStyle w:val="SingleTxtG"/>
        <w:ind w:left="2268"/>
        <w:rPr>
          <w:bCs/>
        </w:rPr>
      </w:pPr>
      <w:r w:rsidRPr="00E53B23">
        <w:rPr>
          <w:bCs/>
        </w:rPr>
        <w:t>“</w:t>
      </w:r>
      <w:r w:rsidRPr="00E53B23">
        <w:rPr>
          <w:b/>
          <w:bCs/>
          <w:i/>
          <w:iCs/>
        </w:rPr>
        <w:t>NOTE 2:</w:t>
      </w:r>
      <w:r w:rsidRPr="00E53B23">
        <w:rPr>
          <w:bCs/>
          <w:i/>
          <w:iCs/>
        </w:rPr>
        <w:tab/>
        <w:t>This standard shall not be used for gases classified as LPG.</w:t>
      </w:r>
      <w:r w:rsidRPr="00E53B23">
        <w:rPr>
          <w:bCs/>
        </w:rPr>
        <w:t>”</w:t>
      </w:r>
      <w:r w:rsidRPr="00E53B23">
        <w:rPr>
          <w:b/>
          <w:bCs/>
        </w:rPr>
        <w:t>]</w:t>
      </w:r>
    </w:p>
    <w:p w14:paraId="0A0187BF" w14:textId="125E64BF" w:rsidR="00F63A3C" w:rsidRPr="00E53B23" w:rsidRDefault="00F63A3C" w:rsidP="00BD3DC8">
      <w:pPr>
        <w:pStyle w:val="SingleTxtG"/>
        <w:ind w:left="2268"/>
        <w:rPr>
          <w:bCs/>
        </w:rPr>
      </w:pPr>
      <w:r w:rsidRPr="00E53B23">
        <w:rPr>
          <w:b/>
          <w:bCs/>
        </w:rPr>
        <w:t>[</w:t>
      </w:r>
      <w:r w:rsidRPr="00E53B23">
        <w:rPr>
          <w:bCs/>
        </w:rPr>
        <w:t>For “EN 12245:2009 + A1:2011”, in column (5), insert:</w:t>
      </w:r>
    </w:p>
    <w:p w14:paraId="77C158EA" w14:textId="77777777" w:rsidR="00F63A3C" w:rsidRPr="00E53B23" w:rsidRDefault="00F63A3C" w:rsidP="00BD3DC8">
      <w:pPr>
        <w:pStyle w:val="SingleTxtG"/>
        <w:ind w:left="2268"/>
        <w:rPr>
          <w:bCs/>
        </w:rPr>
      </w:pPr>
      <w:r w:rsidRPr="00E53B23">
        <w:rPr>
          <w:bCs/>
        </w:rPr>
        <w:t>“31 December 2023, for cylinders for LPG”.</w:t>
      </w:r>
      <w:r w:rsidRPr="00E53B23">
        <w:rPr>
          <w:b/>
          <w:bCs/>
        </w:rPr>
        <w:t>]</w:t>
      </w:r>
    </w:p>
    <w:p w14:paraId="4F7D017E" w14:textId="52CEC3A6" w:rsidR="00F63A3C" w:rsidRPr="00E53B23" w:rsidRDefault="00F63A3C" w:rsidP="00BD3DC8">
      <w:pPr>
        <w:pStyle w:val="SingleTxtG"/>
        <w:ind w:left="2268"/>
        <w:rPr>
          <w:bCs/>
        </w:rPr>
      </w:pPr>
      <w:r w:rsidRPr="00E53B23">
        <w:rPr>
          <w:bCs/>
        </w:rPr>
        <w:t>For “EN ISO 11118:2015”, in column (4), replace “Until further notice” by:</w:t>
      </w:r>
    </w:p>
    <w:p w14:paraId="09AF1B9D" w14:textId="77777777" w:rsidR="00F63A3C" w:rsidRPr="00E53B23" w:rsidRDefault="00F63A3C" w:rsidP="00BD3DC8">
      <w:pPr>
        <w:pStyle w:val="SingleTxtG"/>
        <w:ind w:left="2268"/>
        <w:rPr>
          <w:bCs/>
        </w:rPr>
      </w:pPr>
      <w:r w:rsidRPr="00E53B23">
        <w:rPr>
          <w:bCs/>
        </w:rPr>
        <w:t>“Between 1 January 2017 and 31 December 2024”.</w:t>
      </w:r>
    </w:p>
    <w:p w14:paraId="1DC30B89" w14:textId="370D5CFF" w:rsidR="00F63A3C" w:rsidRPr="00E53B23" w:rsidRDefault="00F63A3C" w:rsidP="00BD3DC8">
      <w:pPr>
        <w:pStyle w:val="SingleTxtG"/>
        <w:ind w:left="2268"/>
      </w:pPr>
      <w:r w:rsidRPr="00E53B23">
        <w:t xml:space="preserve">After the row for </w:t>
      </w:r>
      <w:r w:rsidRPr="00E53B23">
        <w:rPr>
          <w:bCs/>
        </w:rPr>
        <w:t>“EN ISO 11118:2015”</w:t>
      </w:r>
      <w:r w:rsidRPr="00E53B23">
        <w:t>, insert the following new row:</w:t>
      </w:r>
    </w:p>
    <w:p w14:paraId="5E9E54C5" w14:textId="77777777" w:rsidR="00F63A3C" w:rsidRPr="00E53B23" w:rsidRDefault="00F63A3C" w:rsidP="00F63A3C">
      <w:pPr>
        <w:widowControl w:val="0"/>
        <w:snapToGrid w:val="0"/>
        <w:spacing w:before="120" w:after="120" w:line="240" w:lineRule="auto"/>
        <w:ind w:left="1800" w:hanging="382"/>
        <w:rPr>
          <w:rFonts w:cs="Arial"/>
          <w:szCs w:val="22"/>
        </w:rPr>
      </w:pPr>
      <w:r w:rsidRPr="00E53B23">
        <w:rPr>
          <w:bCs/>
        </w:rPr>
        <w:t>“</w:t>
      </w:r>
    </w:p>
    <w:tbl>
      <w:tblPr>
        <w:tblW w:w="774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402"/>
        <w:gridCol w:w="1012"/>
        <w:gridCol w:w="956"/>
        <w:gridCol w:w="664"/>
      </w:tblGrid>
      <w:tr w:rsidR="00F63A3C" w:rsidRPr="00E53B23" w14:paraId="2552EF48" w14:textId="77777777" w:rsidTr="000101BF">
        <w:tc>
          <w:tcPr>
            <w:tcW w:w="1708" w:type="dxa"/>
          </w:tcPr>
          <w:p w14:paraId="7B26E6C6" w14:textId="77777777" w:rsidR="00F63A3C" w:rsidRPr="00E53B23" w:rsidRDefault="00F63A3C" w:rsidP="000101BF">
            <w:pPr>
              <w:widowControl w:val="0"/>
              <w:jc w:val="center"/>
              <w:rPr>
                <w:rFonts w:cs="Arial"/>
                <w:sz w:val="18"/>
                <w:szCs w:val="18"/>
              </w:rPr>
            </w:pPr>
            <w:r w:rsidRPr="00E53B23">
              <w:rPr>
                <w:rFonts w:cs="Arial"/>
                <w:sz w:val="18"/>
                <w:szCs w:val="18"/>
              </w:rPr>
              <w:t>(1)</w:t>
            </w:r>
          </w:p>
        </w:tc>
        <w:tc>
          <w:tcPr>
            <w:tcW w:w="3402" w:type="dxa"/>
          </w:tcPr>
          <w:p w14:paraId="1E7038A3" w14:textId="77777777" w:rsidR="00F63A3C" w:rsidRPr="00E53B23" w:rsidRDefault="00F63A3C" w:rsidP="000101BF">
            <w:pPr>
              <w:widowControl w:val="0"/>
              <w:jc w:val="center"/>
              <w:rPr>
                <w:rFonts w:cs="Arial"/>
                <w:sz w:val="18"/>
                <w:szCs w:val="18"/>
              </w:rPr>
            </w:pPr>
            <w:r w:rsidRPr="00E53B23">
              <w:rPr>
                <w:rFonts w:cs="Arial"/>
                <w:sz w:val="18"/>
                <w:szCs w:val="18"/>
              </w:rPr>
              <w:t>(2)</w:t>
            </w:r>
          </w:p>
        </w:tc>
        <w:tc>
          <w:tcPr>
            <w:tcW w:w="1012" w:type="dxa"/>
          </w:tcPr>
          <w:p w14:paraId="52397EAF" w14:textId="77777777" w:rsidR="00F63A3C" w:rsidRPr="00E53B23" w:rsidRDefault="00F63A3C" w:rsidP="000101BF">
            <w:pPr>
              <w:widowControl w:val="0"/>
              <w:jc w:val="center"/>
              <w:rPr>
                <w:rFonts w:cs="Arial"/>
                <w:sz w:val="18"/>
                <w:szCs w:val="18"/>
              </w:rPr>
            </w:pPr>
            <w:r w:rsidRPr="00E53B23">
              <w:rPr>
                <w:rFonts w:cs="Arial"/>
                <w:sz w:val="18"/>
                <w:szCs w:val="18"/>
              </w:rPr>
              <w:t>(3)</w:t>
            </w:r>
          </w:p>
        </w:tc>
        <w:tc>
          <w:tcPr>
            <w:tcW w:w="956" w:type="dxa"/>
          </w:tcPr>
          <w:p w14:paraId="02BDE5A1" w14:textId="77777777" w:rsidR="00F63A3C" w:rsidRPr="00E53B23" w:rsidRDefault="00F63A3C" w:rsidP="000101BF">
            <w:pPr>
              <w:widowControl w:val="0"/>
              <w:jc w:val="center"/>
              <w:rPr>
                <w:rFonts w:cs="Arial"/>
                <w:sz w:val="18"/>
                <w:szCs w:val="18"/>
              </w:rPr>
            </w:pPr>
            <w:r w:rsidRPr="00E53B23">
              <w:rPr>
                <w:rFonts w:cs="Arial"/>
                <w:sz w:val="18"/>
                <w:szCs w:val="18"/>
              </w:rPr>
              <w:t>(4)</w:t>
            </w:r>
          </w:p>
        </w:tc>
        <w:tc>
          <w:tcPr>
            <w:tcW w:w="664" w:type="dxa"/>
          </w:tcPr>
          <w:p w14:paraId="4A1F1419" w14:textId="77777777" w:rsidR="00F63A3C" w:rsidRPr="00E53B23" w:rsidRDefault="00F63A3C" w:rsidP="000101BF">
            <w:pPr>
              <w:widowControl w:val="0"/>
              <w:jc w:val="center"/>
              <w:rPr>
                <w:rFonts w:cs="Arial"/>
                <w:sz w:val="18"/>
                <w:szCs w:val="18"/>
              </w:rPr>
            </w:pPr>
            <w:r w:rsidRPr="00E53B23">
              <w:rPr>
                <w:rFonts w:cs="Arial"/>
                <w:sz w:val="18"/>
                <w:szCs w:val="18"/>
              </w:rPr>
              <w:t>(5)</w:t>
            </w:r>
          </w:p>
        </w:tc>
      </w:tr>
      <w:tr w:rsidR="00F63A3C" w:rsidRPr="00E53B23" w14:paraId="1BD0CDB1" w14:textId="77777777" w:rsidTr="000101BF">
        <w:tc>
          <w:tcPr>
            <w:tcW w:w="1708" w:type="dxa"/>
            <w:vAlign w:val="center"/>
          </w:tcPr>
          <w:p w14:paraId="79B272B9" w14:textId="77777777" w:rsidR="00F63A3C" w:rsidRPr="00E53B23" w:rsidRDefault="00F63A3C" w:rsidP="000101BF">
            <w:pPr>
              <w:widowControl w:val="0"/>
              <w:rPr>
                <w:rFonts w:cs="Arial"/>
                <w:sz w:val="18"/>
                <w:szCs w:val="18"/>
              </w:rPr>
            </w:pPr>
            <w:r w:rsidRPr="00E53B23">
              <w:rPr>
                <w:bCs/>
                <w:sz w:val="18"/>
                <w:szCs w:val="18"/>
              </w:rPr>
              <w:t>EN ISO 11118:2015 + A1:2020</w:t>
            </w:r>
          </w:p>
        </w:tc>
        <w:tc>
          <w:tcPr>
            <w:tcW w:w="3402" w:type="dxa"/>
            <w:vAlign w:val="center"/>
          </w:tcPr>
          <w:p w14:paraId="4DE80DAE" w14:textId="77777777" w:rsidR="00F63A3C" w:rsidRPr="00E53B23" w:rsidRDefault="00F63A3C" w:rsidP="000101BF">
            <w:pPr>
              <w:widowControl w:val="0"/>
              <w:rPr>
                <w:rFonts w:cs="Arial"/>
                <w:sz w:val="18"/>
                <w:szCs w:val="18"/>
              </w:rPr>
            </w:pPr>
            <w:r w:rsidRPr="00E53B23">
              <w:rPr>
                <w:rFonts w:cs="Arial"/>
                <w:bCs/>
                <w:iCs/>
                <w:sz w:val="18"/>
                <w:szCs w:val="18"/>
              </w:rPr>
              <w:t>Gas cylinders – Non-refillable metallic gas cylinders – Specification and test methods</w:t>
            </w:r>
          </w:p>
        </w:tc>
        <w:tc>
          <w:tcPr>
            <w:tcW w:w="1012" w:type="dxa"/>
            <w:vAlign w:val="center"/>
          </w:tcPr>
          <w:p w14:paraId="5A61AA65" w14:textId="77777777" w:rsidR="00F63A3C" w:rsidRPr="00E53B23" w:rsidRDefault="00F63A3C" w:rsidP="000101BF">
            <w:pPr>
              <w:widowControl w:val="0"/>
              <w:rPr>
                <w:rFonts w:cs="Arial"/>
                <w:sz w:val="18"/>
                <w:szCs w:val="18"/>
              </w:rPr>
            </w:pPr>
            <w:r w:rsidRPr="00E53B23">
              <w:rPr>
                <w:rFonts w:cs="Arial"/>
                <w:sz w:val="18"/>
                <w:szCs w:val="18"/>
              </w:rPr>
              <w:t>6.2.3.1, 6.2.3.3 and 6.2.3.4</w:t>
            </w:r>
          </w:p>
        </w:tc>
        <w:tc>
          <w:tcPr>
            <w:tcW w:w="956" w:type="dxa"/>
            <w:vAlign w:val="center"/>
          </w:tcPr>
          <w:p w14:paraId="6FD2CAE4" w14:textId="77777777" w:rsidR="00F63A3C" w:rsidRPr="00E53B23" w:rsidRDefault="00F63A3C" w:rsidP="000101BF">
            <w:pPr>
              <w:widowControl w:val="0"/>
              <w:jc w:val="center"/>
              <w:rPr>
                <w:rFonts w:cs="Arial"/>
                <w:sz w:val="18"/>
                <w:szCs w:val="18"/>
              </w:rPr>
            </w:pPr>
            <w:r w:rsidRPr="00E53B23">
              <w:rPr>
                <w:rFonts w:cs="Arial"/>
                <w:bCs/>
                <w:sz w:val="18"/>
                <w:szCs w:val="18"/>
              </w:rPr>
              <w:t>Until further notice</w:t>
            </w:r>
          </w:p>
        </w:tc>
        <w:tc>
          <w:tcPr>
            <w:tcW w:w="664" w:type="dxa"/>
            <w:vAlign w:val="center"/>
          </w:tcPr>
          <w:p w14:paraId="04BE83BE" w14:textId="77777777" w:rsidR="00F63A3C" w:rsidRPr="00E53B23" w:rsidRDefault="00F63A3C" w:rsidP="000101BF">
            <w:pPr>
              <w:widowControl w:val="0"/>
              <w:rPr>
                <w:rFonts w:cs="Arial"/>
                <w:sz w:val="18"/>
                <w:szCs w:val="18"/>
              </w:rPr>
            </w:pPr>
          </w:p>
        </w:tc>
      </w:tr>
    </w:tbl>
    <w:p w14:paraId="346FC596" w14:textId="77777777" w:rsidR="00F63A3C" w:rsidRPr="00E53B23" w:rsidRDefault="00F63A3C" w:rsidP="00F63A3C">
      <w:pPr>
        <w:widowControl w:val="0"/>
        <w:snapToGrid w:val="0"/>
        <w:spacing w:before="120" w:after="120" w:line="240" w:lineRule="auto"/>
        <w:ind w:left="1800" w:right="1134" w:hanging="382"/>
        <w:jc w:val="right"/>
        <w:rPr>
          <w:rFonts w:cs="Arial"/>
          <w:szCs w:val="22"/>
        </w:rPr>
      </w:pPr>
      <w:r w:rsidRPr="00E53B23">
        <w:rPr>
          <w:bCs/>
        </w:rPr>
        <w:t>”</w:t>
      </w:r>
    </w:p>
    <w:p w14:paraId="3EFBCD81" w14:textId="1246AE50" w:rsidR="00F63A3C" w:rsidRPr="00E53B23" w:rsidRDefault="00F63A3C" w:rsidP="00093770">
      <w:pPr>
        <w:pStyle w:val="SingleTxtG"/>
        <w:tabs>
          <w:tab w:val="left" w:pos="2268"/>
        </w:tabs>
        <w:ind w:left="2268"/>
      </w:pPr>
      <w:r w:rsidRPr="00E53B23">
        <w:t>For “EN 14427:2004 + A1:2005”, in column (5), insert the following text:</w:t>
      </w:r>
    </w:p>
    <w:p w14:paraId="5D07A8AD" w14:textId="77777777" w:rsidR="00F63A3C" w:rsidRPr="00E53B23" w:rsidRDefault="00F63A3C" w:rsidP="00093770">
      <w:pPr>
        <w:pStyle w:val="SingleTxtG"/>
        <w:tabs>
          <w:tab w:val="left" w:pos="2268"/>
        </w:tabs>
        <w:ind w:left="2268"/>
      </w:pPr>
      <w:r w:rsidRPr="00E53B23">
        <w:t>“31 December 2023, for cylinders without a liner, manufactured from two parts joined together”.</w:t>
      </w:r>
    </w:p>
    <w:p w14:paraId="09DED463" w14:textId="3C99E1AB" w:rsidR="00F63A3C" w:rsidRPr="00E53B23" w:rsidRDefault="00F63A3C" w:rsidP="00093770">
      <w:pPr>
        <w:pStyle w:val="SingleTxtG"/>
        <w:tabs>
          <w:tab w:val="left" w:pos="2268"/>
        </w:tabs>
        <w:ind w:left="2268"/>
      </w:pPr>
      <w:r w:rsidRPr="00E53B23">
        <w:t>For “EN 14427:2014”, in column (2), add a new Note as follows:</w:t>
      </w:r>
    </w:p>
    <w:p w14:paraId="44867DC8" w14:textId="77777777" w:rsidR="00F63A3C" w:rsidRPr="00E53B23" w:rsidRDefault="00F63A3C" w:rsidP="00093770">
      <w:pPr>
        <w:pStyle w:val="SingleTxtG"/>
        <w:tabs>
          <w:tab w:val="left" w:pos="2268"/>
        </w:tabs>
        <w:ind w:left="2268"/>
      </w:pPr>
      <w:r w:rsidRPr="00E53B23">
        <w:t>“</w:t>
      </w:r>
      <w:r w:rsidRPr="00E53B23">
        <w:rPr>
          <w:b/>
          <w:i/>
          <w:iCs/>
        </w:rPr>
        <w:t>NOTE:</w:t>
      </w:r>
      <w:r w:rsidRPr="00E53B23">
        <w:rPr>
          <w:i/>
          <w:iCs/>
        </w:rPr>
        <w:tab/>
        <w:t>This standard shall not be used for cylinders without a liner, manufactured from two parts joined together</w:t>
      </w:r>
      <w:r w:rsidRPr="00E53B23">
        <w:t>.”</w:t>
      </w:r>
    </w:p>
    <w:p w14:paraId="769434C0" w14:textId="76733635" w:rsidR="00F63A3C" w:rsidRPr="00E53B23" w:rsidRDefault="00F63A3C" w:rsidP="00093770">
      <w:pPr>
        <w:pStyle w:val="SingleTxtG"/>
        <w:tabs>
          <w:tab w:val="left" w:pos="2268"/>
        </w:tabs>
        <w:ind w:left="2268"/>
      </w:pPr>
      <w:r w:rsidRPr="00E53B23">
        <w:t>For “EN 14427:2014”, in column (5), insert the following text:</w:t>
      </w:r>
    </w:p>
    <w:p w14:paraId="2EB89473" w14:textId="77777777" w:rsidR="00F63A3C" w:rsidRPr="00E53B23" w:rsidRDefault="00F63A3C" w:rsidP="00093770">
      <w:pPr>
        <w:pStyle w:val="SingleTxtG"/>
        <w:tabs>
          <w:tab w:val="left" w:pos="2268"/>
        </w:tabs>
        <w:ind w:left="2268"/>
      </w:pPr>
      <w:r w:rsidRPr="00E53B23">
        <w:t>“31 December 2023, for cylinders without a liner, manufactured from two parts joined together”.</w:t>
      </w:r>
    </w:p>
    <w:p w14:paraId="4A666AD5" w14:textId="6D201727" w:rsidR="00F63A3C" w:rsidRPr="00E53B23" w:rsidRDefault="00F63A3C" w:rsidP="00093770">
      <w:pPr>
        <w:snapToGrid w:val="0"/>
        <w:spacing w:before="120" w:after="120" w:line="240" w:lineRule="auto"/>
        <w:ind w:left="2268" w:right="1134" w:hanging="1134"/>
        <w:jc w:val="both"/>
        <w:rPr>
          <w:bCs/>
          <w:lang w:eastAsia="de-CH"/>
        </w:rPr>
      </w:pPr>
      <w:r w:rsidRPr="00E53B23">
        <w:rPr>
          <w:bCs/>
          <w:lang w:eastAsia="de-CH"/>
        </w:rPr>
        <w:t>6.2.5.4.2</w:t>
      </w:r>
      <w:r w:rsidRPr="00E53B23">
        <w:rPr>
          <w:bCs/>
          <w:lang w:eastAsia="de-CH"/>
        </w:rPr>
        <w:tab/>
      </w:r>
      <w:r w:rsidR="00093770" w:rsidRPr="00E53B23">
        <w:rPr>
          <w:bCs/>
          <w:lang w:eastAsia="de-CH"/>
        </w:rPr>
        <w:t xml:space="preserve">Modify the amendment </w:t>
      </w:r>
      <w:r w:rsidRPr="00E53B23">
        <w:rPr>
          <w:bCs/>
          <w:lang w:eastAsia="de-CH"/>
        </w:rPr>
        <w:t>in ECE/TRANS/WP.15/</w:t>
      </w:r>
      <w:r w:rsidR="001C7AE0" w:rsidRPr="00E53B23">
        <w:rPr>
          <w:bCs/>
          <w:lang w:eastAsia="de-CH"/>
        </w:rPr>
        <w:t>251</w:t>
      </w:r>
      <w:r w:rsidR="00093770" w:rsidRPr="00E53B23">
        <w:rPr>
          <w:bCs/>
          <w:lang w:eastAsia="de-CH"/>
        </w:rPr>
        <w:t>, Annex I,</w:t>
      </w:r>
      <w:r w:rsidRPr="00E53B23">
        <w:rPr>
          <w:bCs/>
          <w:lang w:eastAsia="de-CH"/>
        </w:rPr>
        <w:t xml:space="preserve"> to read as follows:</w:t>
      </w:r>
    </w:p>
    <w:p w14:paraId="3BAC87BE" w14:textId="23D2F24D" w:rsidR="00F63A3C" w:rsidRPr="00E53B23" w:rsidRDefault="00F63A3C" w:rsidP="00093770">
      <w:pPr>
        <w:snapToGrid w:val="0"/>
        <w:spacing w:before="120" w:after="120" w:line="240" w:lineRule="auto"/>
        <w:ind w:left="3402" w:right="1134" w:hanging="1134"/>
        <w:jc w:val="both"/>
        <w:rPr>
          <w:bCs/>
          <w:lang w:eastAsia="de-CH"/>
        </w:rPr>
      </w:pPr>
      <w:r w:rsidRPr="00E53B23">
        <w:rPr>
          <w:bCs/>
          <w:lang w:eastAsia="de-CH"/>
        </w:rPr>
        <w:t>6.2.5.4.2</w:t>
      </w:r>
      <w:r w:rsidRPr="00E53B23">
        <w:rPr>
          <w:bCs/>
          <w:lang w:eastAsia="de-CH"/>
        </w:rPr>
        <w:tab/>
        <w:t xml:space="preserve">At the end of the sentence, replace </w:t>
      </w:r>
      <w:r w:rsidRPr="00E53B23">
        <w:rPr>
          <w:bCs/>
        </w:rPr>
        <w:t>“</w:t>
      </w:r>
      <w:r w:rsidRPr="00E53B23">
        <w:rPr>
          <w:bCs/>
          <w:lang w:eastAsia="de-CH"/>
        </w:rPr>
        <w:t>(see also EN 1975:1999 + A1:2003)</w:t>
      </w:r>
      <w:r w:rsidRPr="00E53B23">
        <w:rPr>
          <w:bCs/>
        </w:rPr>
        <w:t>”</w:t>
      </w:r>
      <w:r w:rsidRPr="00E53B23">
        <w:rPr>
          <w:bCs/>
          <w:lang w:eastAsia="de-CH"/>
        </w:rPr>
        <w:t xml:space="preserve"> by</w:t>
      </w:r>
      <w:r w:rsidR="00093770" w:rsidRPr="00E53B23">
        <w:rPr>
          <w:bCs/>
          <w:lang w:eastAsia="de-CH"/>
        </w:rPr>
        <w:t xml:space="preserve"> </w:t>
      </w:r>
      <w:r w:rsidRPr="00E53B23">
        <w:rPr>
          <w:bCs/>
        </w:rPr>
        <w:t>“</w:t>
      </w:r>
      <w:r w:rsidRPr="00E53B23">
        <w:rPr>
          <w:bCs/>
          <w:lang w:eastAsia="de-CH"/>
        </w:rPr>
        <w:t>(see also EN ISO 7866:2012 + A1:2020)</w:t>
      </w:r>
      <w:r w:rsidRPr="00E53B23">
        <w:rPr>
          <w:bCs/>
        </w:rPr>
        <w:t>”</w:t>
      </w:r>
      <w:r w:rsidRPr="00E53B23">
        <w:rPr>
          <w:bCs/>
          <w:lang w:eastAsia="de-CH"/>
        </w:rPr>
        <w:t>.</w:t>
      </w:r>
    </w:p>
    <w:p w14:paraId="0C0B1527" w14:textId="60A1F5AA" w:rsidR="00F63A3C" w:rsidRPr="00E53B23" w:rsidRDefault="00346824" w:rsidP="00BD1A86">
      <w:pPr>
        <w:pStyle w:val="H1G"/>
      </w:pPr>
      <w:r w:rsidRPr="00E53B23">
        <w:tab/>
      </w:r>
      <w:r w:rsidRPr="00E53B23">
        <w:tab/>
      </w:r>
      <w:r w:rsidR="00F63A3C" w:rsidRPr="00E53B23">
        <w:t>Chapter 6.8</w:t>
      </w:r>
    </w:p>
    <w:p w14:paraId="020E6CB8" w14:textId="77777777" w:rsidR="00F63A3C" w:rsidRPr="00E53B23" w:rsidRDefault="00F63A3C" w:rsidP="00346824">
      <w:pPr>
        <w:pStyle w:val="SingleTxtG"/>
        <w:ind w:left="2268" w:hanging="1134"/>
        <w:rPr>
          <w:lang w:eastAsia="de-CH"/>
        </w:rPr>
      </w:pPr>
      <w:r w:rsidRPr="00E53B23">
        <w:rPr>
          <w:bCs/>
          <w:lang w:eastAsia="de-CH"/>
        </w:rPr>
        <w:t>6.8.2.1.23</w:t>
      </w:r>
      <w:r w:rsidRPr="00E53B23">
        <w:rPr>
          <w:bCs/>
          <w:lang w:eastAsia="de-CH"/>
        </w:rPr>
        <w:tab/>
      </w:r>
      <w:r w:rsidRPr="00E53B23">
        <w:t>Move the last sentence of the first sub-paragraph to the end of the second sub-paragraph, replacing the colon at the end of the second sub-paragraph with a full stop.</w:t>
      </w:r>
    </w:p>
    <w:p w14:paraId="7E6D74AE" w14:textId="77777777" w:rsidR="00F63A3C" w:rsidRPr="00E53B23" w:rsidRDefault="00F63A3C" w:rsidP="00346824">
      <w:pPr>
        <w:pStyle w:val="SingleTxtG"/>
        <w:tabs>
          <w:tab w:val="left" w:pos="2268"/>
        </w:tabs>
        <w:ind w:left="2268" w:hanging="1134"/>
      </w:pPr>
      <w:r w:rsidRPr="00E53B23">
        <w:tab/>
        <w:t>Insert the following new sub-paragraph immediately before the final sub-paragraph:</w:t>
      </w:r>
    </w:p>
    <w:p w14:paraId="48222D00" w14:textId="77777777" w:rsidR="00F63A3C" w:rsidRPr="00E53B23" w:rsidRDefault="00F63A3C" w:rsidP="00346824">
      <w:pPr>
        <w:pStyle w:val="SingleTxtG"/>
        <w:ind w:left="2268"/>
        <w:rPr>
          <w:iCs/>
        </w:rPr>
      </w:pPr>
      <w:r w:rsidRPr="00E53B23">
        <w:rPr>
          <w:iCs/>
        </w:rPr>
        <w:lastRenderedPageBreak/>
        <w:tab/>
        <w:t>“Welds made during repairs or alterations shall be assessed as above and in accordance with the non-destructive tests specified in the relevant standard(s) referenced in 6.8.2.6.2.”</w:t>
      </w:r>
    </w:p>
    <w:p w14:paraId="48EB2A77" w14:textId="1630CFC7" w:rsidR="00F63A3C" w:rsidRPr="00E53B23" w:rsidRDefault="00F63A3C" w:rsidP="00346824">
      <w:pPr>
        <w:pStyle w:val="SingleTxtG"/>
        <w:ind w:left="2268" w:hanging="1134"/>
      </w:pPr>
      <w:r w:rsidRPr="00E53B23">
        <w:t>6.8.2.2.2</w:t>
      </w:r>
      <w:r w:rsidRPr="00E53B23">
        <w:tab/>
        <w:t xml:space="preserve">At the end of the seventh sub-paragraph, insert a reference </w:t>
      </w:r>
      <w:r w:rsidR="009337EB" w:rsidRPr="00E53B23">
        <w:t xml:space="preserve">9 </w:t>
      </w:r>
      <w:r w:rsidRPr="00E53B23">
        <w:t>to the following footnote:</w:t>
      </w:r>
    </w:p>
    <w:p w14:paraId="00C8FAD0" w14:textId="1A30D14C" w:rsidR="00F63A3C" w:rsidRPr="00E53B23" w:rsidRDefault="00F63A3C" w:rsidP="00346824">
      <w:pPr>
        <w:pStyle w:val="SingleTxtG"/>
        <w:ind w:left="2268"/>
        <w:rPr>
          <w:i/>
          <w:iCs/>
        </w:rPr>
      </w:pPr>
      <w:r w:rsidRPr="00E53B23">
        <w:rPr>
          <w:iCs/>
        </w:rPr>
        <w:t>“</w:t>
      </w:r>
      <w:r w:rsidRPr="00E53B23">
        <w:rPr>
          <w:b/>
          <w:bCs/>
          <w:vertAlign w:val="superscript"/>
        </w:rPr>
        <w:t>9</w:t>
      </w:r>
      <w:r w:rsidRPr="00E53B23">
        <w:rPr>
          <w:i/>
          <w:iCs/>
          <w:vertAlign w:val="superscript"/>
        </w:rPr>
        <w:tab/>
      </w:r>
      <w:r w:rsidRPr="00E53B23">
        <w:rPr>
          <w:i/>
          <w:iCs/>
        </w:rPr>
        <w:t>The mode of operation of dry break couplings is self-closing. Consequently, an open/closed indicator is not necessary. This type of closure shall only be used as a second or third closure.</w:t>
      </w:r>
      <w:r w:rsidRPr="00E53B23">
        <w:rPr>
          <w:iCs/>
        </w:rPr>
        <w:t>”</w:t>
      </w:r>
    </w:p>
    <w:p w14:paraId="03C3E3CC" w14:textId="77777777" w:rsidR="00F63A3C" w:rsidRPr="00E53B23" w:rsidRDefault="00F63A3C" w:rsidP="00346824">
      <w:pPr>
        <w:pStyle w:val="SingleTxtG"/>
        <w:rPr>
          <w:rFonts w:cs="Arial"/>
          <w:szCs w:val="22"/>
        </w:rPr>
      </w:pPr>
      <w:r w:rsidRPr="00E53B23">
        <w:rPr>
          <w:rFonts w:cs="Arial"/>
          <w:szCs w:val="22"/>
        </w:rPr>
        <w:t>6.8.2.2.4</w:t>
      </w:r>
      <w:r w:rsidRPr="00E53B23">
        <w:rPr>
          <w:rFonts w:cs="Arial"/>
          <w:szCs w:val="22"/>
        </w:rPr>
        <w:tab/>
        <w:t>After the first sentence, insert in the right-hand column:</w:t>
      </w:r>
    </w:p>
    <w:tbl>
      <w:tblPr>
        <w:tblW w:w="8246" w:type="dxa"/>
        <w:tblInd w:w="993" w:type="dxa"/>
        <w:tblLayout w:type="fixed"/>
        <w:tblCellMar>
          <w:left w:w="71" w:type="dxa"/>
          <w:right w:w="71" w:type="dxa"/>
        </w:tblCellMar>
        <w:tblLook w:val="0000" w:firstRow="0" w:lastRow="0" w:firstColumn="0" w:lastColumn="0" w:noHBand="0" w:noVBand="0"/>
      </w:tblPr>
      <w:tblGrid>
        <w:gridCol w:w="3685"/>
        <w:gridCol w:w="4561"/>
      </w:tblGrid>
      <w:tr w:rsidR="00F63A3C" w:rsidRPr="00E53B23" w14:paraId="40AB9DC7" w14:textId="77777777" w:rsidTr="000101BF">
        <w:trPr>
          <w:cantSplit/>
        </w:trPr>
        <w:tc>
          <w:tcPr>
            <w:tcW w:w="3685" w:type="dxa"/>
            <w:tcBorders>
              <w:right w:val="single" w:sz="4" w:space="0" w:color="auto"/>
            </w:tcBorders>
          </w:tcPr>
          <w:p w14:paraId="0D06C6C7" w14:textId="77777777" w:rsidR="00F63A3C" w:rsidRPr="00E53B23" w:rsidRDefault="00F63A3C" w:rsidP="000101BF"/>
        </w:tc>
        <w:tc>
          <w:tcPr>
            <w:tcW w:w="4561" w:type="dxa"/>
            <w:tcBorders>
              <w:left w:val="single" w:sz="4" w:space="0" w:color="auto"/>
            </w:tcBorders>
          </w:tcPr>
          <w:p w14:paraId="58048693" w14:textId="77777777" w:rsidR="00F63A3C" w:rsidRPr="00E53B23" w:rsidRDefault="00F63A3C" w:rsidP="000101BF">
            <w:pPr>
              <w:tabs>
                <w:tab w:val="left" w:pos="1418"/>
                <w:tab w:val="left" w:pos="2977"/>
                <w:tab w:val="left" w:pos="4395"/>
              </w:tabs>
              <w:ind w:right="519"/>
              <w:jc w:val="both"/>
              <w:rPr>
                <w:bCs/>
              </w:rPr>
            </w:pPr>
            <w:r w:rsidRPr="00E53B23">
              <w:rPr>
                <w:rFonts w:cs="Arial"/>
                <w:bCs/>
                <w:szCs w:val="22"/>
              </w:rPr>
              <w:t>[</w:t>
            </w:r>
            <w:r w:rsidRPr="00E53B23">
              <w:rPr>
                <w:bCs/>
                <w:iCs/>
              </w:rPr>
              <w:t>“</w:t>
            </w:r>
            <w:r w:rsidRPr="00E53B23">
              <w:rPr>
                <w:rFonts w:cs="Arial"/>
                <w:bCs/>
                <w:szCs w:val="22"/>
              </w:rPr>
              <w:t>These openings for tank-containers with [a capacity of more than 40 000 litres / a gross weight of more than 36 000 kg] intended for the carriage of [liquids] / [substances in the liquid state] which are not divided by partitions or surge plates into sections of not more than 7 500 litres capacity shall be provided with closures designed for a test pressure of at least 0.4 MPa (4 bar). Hinged dome covers for these tank-containers with a test pressure of more than 0.6 MPa (6 bar) shall not be permitted.</w:t>
            </w:r>
            <w:r w:rsidRPr="00E53B23">
              <w:rPr>
                <w:bCs/>
                <w:iCs/>
              </w:rPr>
              <w:t>”</w:t>
            </w:r>
            <w:r w:rsidRPr="00E53B23">
              <w:rPr>
                <w:rFonts w:cs="Arial"/>
                <w:bCs/>
                <w:szCs w:val="22"/>
              </w:rPr>
              <w:t>]</w:t>
            </w:r>
          </w:p>
        </w:tc>
      </w:tr>
    </w:tbl>
    <w:p w14:paraId="195E3F27" w14:textId="17C0BC86" w:rsidR="00F63A3C" w:rsidRPr="00E53B23" w:rsidRDefault="00F63A3C" w:rsidP="00346824">
      <w:pPr>
        <w:pStyle w:val="SingleTxtG"/>
        <w:ind w:left="2268" w:hanging="1134"/>
      </w:pPr>
      <w:r w:rsidRPr="00E53B23">
        <w:t>6.8.2.4.3</w:t>
      </w:r>
      <w:r w:rsidRPr="00E53B23">
        <w:tab/>
        <w:t>In the first sub-paragraph, in the first sentence, replace “at least every” by:</w:t>
      </w:r>
      <w:r w:rsidR="00737A73" w:rsidRPr="00E53B23">
        <w:t xml:space="preserve"> </w:t>
      </w:r>
      <w:r w:rsidRPr="00E53B23">
        <w:t>“no later than”.</w:t>
      </w:r>
    </w:p>
    <w:p w14:paraId="40778FFE" w14:textId="0A63F7EB" w:rsidR="00F63A3C" w:rsidRPr="00E53B23" w:rsidRDefault="00346824" w:rsidP="00346824">
      <w:pPr>
        <w:pStyle w:val="SingleTxtG"/>
        <w:ind w:left="2268" w:hanging="1134"/>
      </w:pPr>
      <w:r w:rsidRPr="00E53B23">
        <w:tab/>
      </w:r>
      <w:r w:rsidR="00F63A3C" w:rsidRPr="00E53B23">
        <w:t>In the third sub-paragraph, replace “the due date” by:</w:t>
      </w:r>
      <w:r w:rsidR="00737A73" w:rsidRPr="00E53B23">
        <w:t xml:space="preserve"> </w:t>
      </w:r>
      <w:r w:rsidR="00F63A3C" w:rsidRPr="00E53B23">
        <w:t>“the specified date”.</w:t>
      </w:r>
      <w:r w:rsidR="00B435D6" w:rsidRPr="00E53B23">
        <w:t xml:space="preserve"> </w:t>
      </w:r>
      <w:r w:rsidR="00051411" w:rsidRPr="00E53B23">
        <w:t>R</w:t>
      </w:r>
      <w:r w:rsidR="00F63A3C" w:rsidRPr="00E53B23">
        <w:t>eplace “at the latest every” by:</w:t>
      </w:r>
      <w:r w:rsidR="00737A73" w:rsidRPr="00E53B23">
        <w:t xml:space="preserve"> </w:t>
      </w:r>
      <w:r w:rsidR="00F63A3C" w:rsidRPr="00E53B23">
        <w:t>“no later than”.</w:t>
      </w:r>
      <w:r w:rsidR="00051411" w:rsidRPr="00E53B23">
        <w:t xml:space="preserve"> R</w:t>
      </w:r>
      <w:r w:rsidR="00F63A3C" w:rsidRPr="00E53B23">
        <w:t>eplace “after this date” by:</w:t>
      </w:r>
      <w:r w:rsidR="00737A73" w:rsidRPr="00E53B23">
        <w:t xml:space="preserve"> </w:t>
      </w:r>
      <w:r w:rsidR="00F63A3C" w:rsidRPr="00E53B23">
        <w:t>“after this earlier date”.</w:t>
      </w:r>
    </w:p>
    <w:p w14:paraId="0879B2FA" w14:textId="62F3D4EA" w:rsidR="00F63A3C" w:rsidRPr="00E53B23" w:rsidRDefault="00F63A3C" w:rsidP="00346824">
      <w:pPr>
        <w:pStyle w:val="SingleTxtG"/>
        <w:ind w:left="2268" w:hanging="1134"/>
        <w:rPr>
          <w:lang w:eastAsia="de-CH"/>
        </w:rPr>
      </w:pPr>
      <w:r w:rsidRPr="00E53B23">
        <w:rPr>
          <w:lang w:eastAsia="de-CH"/>
        </w:rPr>
        <w:t>[6.8.2.6.2</w:t>
      </w:r>
      <w:r w:rsidRPr="00E53B23">
        <w:rPr>
          <w:lang w:eastAsia="de-CH"/>
        </w:rPr>
        <w:tab/>
        <w:t xml:space="preserve">In the </w:t>
      </w:r>
      <w:r w:rsidR="00570378" w:rsidRPr="00E53B23">
        <w:rPr>
          <w:lang w:eastAsia="de-CH"/>
        </w:rPr>
        <w:t>table</w:t>
      </w:r>
      <w:r w:rsidRPr="00E53B23">
        <w:rPr>
          <w:lang w:eastAsia="de-CH"/>
        </w:rPr>
        <w:t xml:space="preserve">, for </w:t>
      </w:r>
      <w:r w:rsidRPr="00E53B23">
        <w:t>“</w:t>
      </w:r>
      <w:r w:rsidRPr="00E53B23">
        <w:rPr>
          <w:lang w:eastAsia="de-CH"/>
        </w:rPr>
        <w:t>EN 12972:2018</w:t>
      </w:r>
      <w:r w:rsidRPr="00E53B23">
        <w:t>”</w:t>
      </w:r>
      <w:r w:rsidRPr="00E53B23">
        <w:rPr>
          <w:lang w:eastAsia="de-CH"/>
        </w:rPr>
        <w:t xml:space="preserve">, in column (3) </w:t>
      </w:r>
      <w:r w:rsidR="00E62B01" w:rsidRPr="00E53B23">
        <w:rPr>
          <w:lang w:eastAsia="de-CH"/>
        </w:rPr>
        <w:t>before “</w:t>
      </w:r>
      <w:r w:rsidR="00025818" w:rsidRPr="00E53B23">
        <w:rPr>
          <w:lang w:eastAsia="de-CH"/>
        </w:rPr>
        <w:t>6.8.2.4” insert “6.8.2.1.23”.</w:t>
      </w:r>
      <w:r w:rsidRPr="00E53B23">
        <w:rPr>
          <w:lang w:eastAsia="de-CH"/>
        </w:rPr>
        <w:t>]</w:t>
      </w:r>
    </w:p>
    <w:p w14:paraId="3B50A71F" w14:textId="0D8390DA" w:rsidR="00F63A3C" w:rsidRPr="00E53B23" w:rsidRDefault="00F63A3C" w:rsidP="00346824">
      <w:pPr>
        <w:pStyle w:val="SingleTxtG"/>
        <w:ind w:left="2268" w:hanging="1134"/>
      </w:pPr>
      <w:r w:rsidRPr="00E53B23">
        <w:t>6.8.3.4.6</w:t>
      </w:r>
      <w:r w:rsidRPr="00E53B23">
        <w:tab/>
      </w:r>
      <w:r w:rsidR="00591204" w:rsidRPr="00E53B23">
        <w:t>In ECE/TRANS/WP.15/251,</w:t>
      </w:r>
      <w:r w:rsidR="005550C7" w:rsidRPr="00E53B23">
        <w:rPr>
          <w:lang w:val="fr-CH"/>
        </w:rPr>
        <w:t xml:space="preserve"> Annex I,</w:t>
      </w:r>
      <w:r w:rsidR="00591204" w:rsidRPr="00E53B23">
        <w:t xml:space="preserve"> replace the amendment to 6.8.3.4.6 with the following amendment:</w:t>
      </w:r>
    </w:p>
    <w:p w14:paraId="2028163F" w14:textId="251621DA" w:rsidR="00F63A3C" w:rsidRPr="00E53B23" w:rsidRDefault="005550C7" w:rsidP="00346824">
      <w:pPr>
        <w:pStyle w:val="SingleTxtG"/>
        <w:ind w:left="2268" w:hanging="1134"/>
      </w:pPr>
      <w:r w:rsidRPr="00E53B23">
        <w:tab/>
      </w:r>
      <w:r w:rsidR="00F63A3C" w:rsidRPr="00E53B23">
        <w:t>“6.8.3.4.6</w:t>
      </w:r>
      <w:r w:rsidR="00F63A3C" w:rsidRPr="00E53B23">
        <w:tab/>
        <w:t>Amend to read as follows:</w:t>
      </w:r>
    </w:p>
    <w:p w14:paraId="22B32838" w14:textId="382AA3F9" w:rsidR="00F63A3C" w:rsidRPr="00E53B23" w:rsidRDefault="00346824" w:rsidP="00346824">
      <w:pPr>
        <w:pStyle w:val="SingleTxtG"/>
        <w:ind w:left="2268" w:hanging="1134"/>
      </w:pPr>
      <w:r w:rsidRPr="00E53B23">
        <w:tab/>
      </w:r>
      <w:r w:rsidR="00F63A3C" w:rsidRPr="00E53B23">
        <w:t>“6.8.3.4.6</w:t>
      </w:r>
      <w:r w:rsidR="00F63A3C" w:rsidRPr="00E53B23">
        <w:tab/>
        <w:t>For tanks intended for the carriage of refrigerated liquefied gases:</w:t>
      </w:r>
    </w:p>
    <w:p w14:paraId="4E1AAFEE" w14:textId="2233C715" w:rsidR="00F63A3C" w:rsidRPr="00E53B23" w:rsidRDefault="00F63A3C" w:rsidP="00346824">
      <w:pPr>
        <w:pStyle w:val="SingleTxtG"/>
        <w:ind w:left="3969" w:hanging="567"/>
      </w:pPr>
      <w:r w:rsidRPr="00E53B23">
        <w:t>(a)</w:t>
      </w:r>
      <w:r w:rsidRPr="00E53B23">
        <w:tab/>
        <w:t>By derogation from the requirements of 6.8.2.4.2, the periodic inspections shall be performed no later than</w:t>
      </w:r>
    </w:p>
    <w:tbl>
      <w:tblPr>
        <w:tblW w:w="4536" w:type="dxa"/>
        <w:tblInd w:w="3544" w:type="dxa"/>
        <w:tblLook w:val="01E0" w:firstRow="1" w:lastRow="1" w:firstColumn="1" w:lastColumn="1" w:noHBand="0" w:noVBand="0"/>
      </w:tblPr>
      <w:tblGrid>
        <w:gridCol w:w="2835"/>
        <w:gridCol w:w="1701"/>
      </w:tblGrid>
      <w:tr w:rsidR="00F63A3C" w:rsidRPr="00E53B23" w14:paraId="00BBC64D" w14:textId="77777777" w:rsidTr="00346824">
        <w:tc>
          <w:tcPr>
            <w:tcW w:w="2835" w:type="dxa"/>
            <w:tcBorders>
              <w:right w:val="single" w:sz="4" w:space="0" w:color="auto"/>
            </w:tcBorders>
          </w:tcPr>
          <w:p w14:paraId="70DC1127" w14:textId="77777777" w:rsidR="00F63A3C" w:rsidRPr="00E53B23" w:rsidRDefault="00F63A3C" w:rsidP="000101BF">
            <w:pPr>
              <w:tabs>
                <w:tab w:val="left" w:pos="315"/>
                <w:tab w:val="left" w:pos="2977"/>
                <w:tab w:val="left" w:pos="4395"/>
              </w:tabs>
              <w:rPr>
                <w:rFonts w:cs="Arial"/>
                <w:szCs w:val="22"/>
              </w:rPr>
            </w:pPr>
            <w:r w:rsidRPr="00E53B23">
              <w:rPr>
                <w:rFonts w:cs="Arial"/>
                <w:iCs/>
                <w:szCs w:val="22"/>
              </w:rPr>
              <w:tab/>
            </w:r>
            <w:r w:rsidRPr="00E53B23">
              <w:rPr>
                <w:rFonts w:cs="Arial"/>
                <w:szCs w:val="22"/>
              </w:rPr>
              <w:t>six years</w:t>
            </w:r>
          </w:p>
        </w:tc>
        <w:tc>
          <w:tcPr>
            <w:tcW w:w="1701" w:type="dxa"/>
            <w:tcBorders>
              <w:left w:val="single" w:sz="4" w:space="0" w:color="auto"/>
            </w:tcBorders>
          </w:tcPr>
          <w:p w14:paraId="458B0140" w14:textId="77777777" w:rsidR="00F63A3C" w:rsidRPr="00E53B23" w:rsidRDefault="00F63A3C" w:rsidP="000101BF">
            <w:pPr>
              <w:tabs>
                <w:tab w:val="left" w:pos="1416"/>
                <w:tab w:val="left" w:pos="2977"/>
                <w:tab w:val="left" w:pos="4395"/>
              </w:tabs>
              <w:rPr>
                <w:rFonts w:cs="Arial"/>
                <w:szCs w:val="22"/>
              </w:rPr>
            </w:pPr>
            <w:r w:rsidRPr="00E53B23">
              <w:rPr>
                <w:rFonts w:cs="Arial"/>
                <w:szCs w:val="22"/>
              </w:rPr>
              <w:t>eight years</w:t>
            </w:r>
          </w:p>
        </w:tc>
      </w:tr>
    </w:tbl>
    <w:p w14:paraId="3EB3277A" w14:textId="0D21DA09" w:rsidR="00F63A3C" w:rsidRPr="00E53B23" w:rsidRDefault="00F63A3C" w:rsidP="00346824">
      <w:pPr>
        <w:tabs>
          <w:tab w:val="left" w:pos="2835"/>
        </w:tabs>
        <w:snapToGrid w:val="0"/>
        <w:spacing w:before="120" w:after="120" w:line="240" w:lineRule="auto"/>
        <w:ind w:left="3969" w:right="1134"/>
        <w:rPr>
          <w:rFonts w:cs="Arial"/>
          <w:szCs w:val="22"/>
        </w:rPr>
      </w:pPr>
      <w:r w:rsidRPr="00E53B23">
        <w:rPr>
          <w:rFonts w:cs="Arial"/>
          <w:szCs w:val="22"/>
        </w:rPr>
        <w:tab/>
        <w:t>after the initial inspection and thereafter no later than every 12 years</w:t>
      </w:r>
      <w:r w:rsidR="00346824" w:rsidRPr="00E53B23">
        <w:rPr>
          <w:rFonts w:cs="Arial"/>
          <w:szCs w:val="22"/>
        </w:rPr>
        <w:t>;</w:t>
      </w:r>
    </w:p>
    <w:p w14:paraId="79FE534D" w14:textId="195633E5" w:rsidR="00F63A3C" w:rsidRPr="00E53B23" w:rsidRDefault="00F63A3C" w:rsidP="00346824">
      <w:pPr>
        <w:tabs>
          <w:tab w:val="left" w:pos="2835"/>
        </w:tabs>
        <w:snapToGrid w:val="0"/>
        <w:spacing w:before="120" w:after="120" w:line="240" w:lineRule="auto"/>
        <w:ind w:left="3969" w:right="1134" w:hanging="567"/>
        <w:rPr>
          <w:rFonts w:cs="Arial"/>
          <w:szCs w:val="22"/>
        </w:rPr>
      </w:pPr>
      <w:r w:rsidRPr="00E53B23">
        <w:rPr>
          <w:rFonts w:cs="Arial"/>
          <w:szCs w:val="22"/>
        </w:rPr>
        <w:t>(b)</w:t>
      </w:r>
      <w:r w:rsidRPr="00E53B23">
        <w:rPr>
          <w:rFonts w:cs="Arial"/>
          <w:szCs w:val="22"/>
        </w:rPr>
        <w:tab/>
        <w:t>By derogation from the requirements of 6.8.2.4.3, the intermediate inspections shall be performed no later than six years after each periodic inspection.”.”</w:t>
      </w:r>
    </w:p>
    <w:p w14:paraId="10531E64" w14:textId="77777777" w:rsidR="00F63A3C" w:rsidRPr="00E53B23" w:rsidRDefault="00F63A3C" w:rsidP="00F63A3C">
      <w:pPr>
        <w:snapToGrid w:val="0"/>
        <w:spacing w:before="120" w:after="120" w:line="240" w:lineRule="auto"/>
        <w:ind w:left="2268" w:right="1134" w:hanging="1134"/>
        <w:rPr>
          <w:szCs w:val="22"/>
        </w:rPr>
      </w:pPr>
      <w:r w:rsidRPr="00E53B23">
        <w:rPr>
          <w:szCs w:val="22"/>
        </w:rPr>
        <w:t>6.8.4 (d)</w:t>
      </w:r>
    </w:p>
    <w:p w14:paraId="22042158" w14:textId="0CB52144" w:rsidR="00F63A3C" w:rsidRPr="00E53B23" w:rsidRDefault="00F63A3C" w:rsidP="006462D5">
      <w:pPr>
        <w:snapToGrid w:val="0"/>
        <w:spacing w:before="120" w:after="120" w:line="240" w:lineRule="auto"/>
        <w:ind w:left="2268" w:right="1134" w:hanging="1134"/>
        <w:rPr>
          <w:rFonts w:cs="Arial"/>
          <w:szCs w:val="22"/>
        </w:rPr>
      </w:pPr>
      <w:r w:rsidRPr="00E53B23">
        <w:rPr>
          <w:rFonts w:cs="Arial"/>
          <w:szCs w:val="22"/>
        </w:rPr>
        <w:t>TT 3</w:t>
      </w:r>
      <w:r w:rsidRPr="00E53B23">
        <w:rPr>
          <w:rFonts w:cs="Arial"/>
          <w:szCs w:val="22"/>
        </w:rPr>
        <w:tab/>
      </w:r>
      <w:r w:rsidRPr="00E53B23">
        <w:rPr>
          <w:rFonts w:cs="Arial"/>
          <w:szCs w:val="22"/>
        </w:rPr>
        <w:tab/>
        <w:t xml:space="preserve">In the first sentence, replace </w:t>
      </w:r>
      <w:r w:rsidRPr="00E53B23">
        <w:rPr>
          <w:bCs/>
        </w:rPr>
        <w:t>“</w:t>
      </w:r>
      <w:r w:rsidRPr="00E53B23">
        <w:rPr>
          <w:rFonts w:cs="Arial"/>
          <w:szCs w:val="22"/>
        </w:rPr>
        <w:t>shall take place at least</w:t>
      </w:r>
      <w:r w:rsidRPr="00E53B23">
        <w:rPr>
          <w:bCs/>
        </w:rPr>
        <w:t>”</w:t>
      </w:r>
      <w:r w:rsidRPr="00E53B23">
        <w:rPr>
          <w:rFonts w:cs="Arial"/>
          <w:szCs w:val="22"/>
        </w:rPr>
        <w:t xml:space="preserve"> by:</w:t>
      </w:r>
      <w:r w:rsidR="006462D5" w:rsidRPr="00E53B23">
        <w:rPr>
          <w:rFonts w:cs="Arial"/>
          <w:szCs w:val="22"/>
        </w:rPr>
        <w:t xml:space="preserve"> </w:t>
      </w:r>
      <w:r w:rsidRPr="00E53B23">
        <w:rPr>
          <w:bCs/>
        </w:rPr>
        <w:t>“</w:t>
      </w:r>
      <w:r w:rsidRPr="00E53B23">
        <w:rPr>
          <w:rFonts w:cs="Arial"/>
          <w:szCs w:val="22"/>
        </w:rPr>
        <w:t>shall be performed no later than</w:t>
      </w:r>
      <w:r w:rsidRPr="00E53B23">
        <w:rPr>
          <w:bCs/>
        </w:rPr>
        <w:t>”</w:t>
      </w:r>
      <w:r w:rsidRPr="00E53B23">
        <w:rPr>
          <w:rFonts w:cs="Arial"/>
          <w:szCs w:val="22"/>
        </w:rPr>
        <w:t>.</w:t>
      </w:r>
    </w:p>
    <w:p w14:paraId="2F0B41F9" w14:textId="1BC9F0EB" w:rsidR="00F63A3C" w:rsidRPr="00E53B23" w:rsidRDefault="00F63A3C" w:rsidP="006462D5">
      <w:pPr>
        <w:snapToGrid w:val="0"/>
        <w:spacing w:before="120" w:after="120" w:line="240" w:lineRule="auto"/>
        <w:ind w:left="2268" w:right="1134"/>
        <w:rPr>
          <w:rFonts w:cs="Arial"/>
          <w:szCs w:val="22"/>
        </w:rPr>
      </w:pPr>
      <w:r w:rsidRPr="00E53B23">
        <w:rPr>
          <w:rFonts w:cs="Arial"/>
          <w:szCs w:val="22"/>
        </w:rPr>
        <w:t xml:space="preserve">In the second sentence, replace </w:t>
      </w:r>
      <w:r w:rsidRPr="00E53B23">
        <w:rPr>
          <w:bCs/>
        </w:rPr>
        <w:t>“</w:t>
      </w:r>
      <w:r w:rsidRPr="00E53B23">
        <w:rPr>
          <w:rFonts w:cs="Arial"/>
          <w:szCs w:val="22"/>
        </w:rPr>
        <w:t>shall be carried out at least</w:t>
      </w:r>
      <w:r w:rsidRPr="00E53B23">
        <w:rPr>
          <w:bCs/>
        </w:rPr>
        <w:t>”</w:t>
      </w:r>
      <w:r w:rsidRPr="00E53B23">
        <w:rPr>
          <w:rFonts w:cs="Arial"/>
          <w:szCs w:val="22"/>
        </w:rPr>
        <w:t xml:space="preserve"> by:</w:t>
      </w:r>
      <w:r w:rsidR="006462D5" w:rsidRPr="00E53B23">
        <w:rPr>
          <w:rFonts w:cs="Arial"/>
          <w:szCs w:val="22"/>
        </w:rPr>
        <w:t xml:space="preserve"> </w:t>
      </w:r>
      <w:r w:rsidRPr="00E53B23">
        <w:rPr>
          <w:bCs/>
        </w:rPr>
        <w:t>“</w:t>
      </w:r>
      <w:r w:rsidRPr="00E53B23">
        <w:rPr>
          <w:rFonts w:cs="Arial"/>
          <w:szCs w:val="22"/>
        </w:rPr>
        <w:t>shall be performed no later than</w:t>
      </w:r>
      <w:r w:rsidRPr="00E53B23">
        <w:rPr>
          <w:bCs/>
        </w:rPr>
        <w:t>”</w:t>
      </w:r>
      <w:r w:rsidRPr="00E53B23">
        <w:rPr>
          <w:rFonts w:cs="Arial"/>
          <w:szCs w:val="22"/>
        </w:rPr>
        <w:t>.</w:t>
      </w:r>
    </w:p>
    <w:p w14:paraId="3C9EBC19" w14:textId="4E936733" w:rsidR="00F63A3C" w:rsidRPr="00E53B23" w:rsidRDefault="00F63A3C" w:rsidP="009109CC">
      <w:pPr>
        <w:snapToGrid w:val="0"/>
        <w:spacing w:before="120" w:after="120" w:line="240" w:lineRule="auto"/>
        <w:ind w:left="2268" w:right="1134" w:hanging="1134"/>
        <w:rPr>
          <w:rFonts w:cs="Arial"/>
          <w:szCs w:val="22"/>
        </w:rPr>
      </w:pPr>
      <w:r w:rsidRPr="00E53B23">
        <w:rPr>
          <w:rFonts w:cs="Arial"/>
          <w:szCs w:val="22"/>
        </w:rPr>
        <w:t>TT 5</w:t>
      </w:r>
      <w:r w:rsidRPr="00E53B23">
        <w:rPr>
          <w:rFonts w:cs="Arial"/>
          <w:szCs w:val="22"/>
        </w:rPr>
        <w:tab/>
      </w:r>
      <w:r w:rsidRPr="00E53B23">
        <w:rPr>
          <w:rFonts w:cs="Arial"/>
          <w:szCs w:val="22"/>
        </w:rPr>
        <w:tab/>
        <w:t xml:space="preserve">Replace </w:t>
      </w:r>
      <w:r w:rsidRPr="00E53B23">
        <w:rPr>
          <w:bCs/>
        </w:rPr>
        <w:t>“</w:t>
      </w:r>
      <w:r w:rsidRPr="00E53B23">
        <w:rPr>
          <w:rFonts w:cs="Arial"/>
          <w:szCs w:val="22"/>
        </w:rPr>
        <w:t>shall take place at least</w:t>
      </w:r>
      <w:r w:rsidRPr="00E53B23">
        <w:rPr>
          <w:bCs/>
        </w:rPr>
        <w:t>”</w:t>
      </w:r>
      <w:r w:rsidRPr="00E53B23">
        <w:rPr>
          <w:rFonts w:cs="Arial"/>
          <w:szCs w:val="22"/>
        </w:rPr>
        <w:t xml:space="preserve"> by:</w:t>
      </w:r>
      <w:r w:rsidR="009109CC" w:rsidRPr="00E53B23">
        <w:rPr>
          <w:rFonts w:cs="Arial"/>
          <w:szCs w:val="22"/>
        </w:rPr>
        <w:t xml:space="preserve"> </w:t>
      </w:r>
      <w:r w:rsidRPr="00E53B23">
        <w:rPr>
          <w:bCs/>
        </w:rPr>
        <w:t>“</w:t>
      </w:r>
      <w:r w:rsidRPr="00E53B23">
        <w:rPr>
          <w:rFonts w:cs="Arial"/>
          <w:szCs w:val="22"/>
        </w:rPr>
        <w:t>shall be performed no later than</w:t>
      </w:r>
      <w:r w:rsidRPr="00E53B23">
        <w:rPr>
          <w:bCs/>
        </w:rPr>
        <w:t>”</w:t>
      </w:r>
      <w:r w:rsidRPr="00E53B23">
        <w:rPr>
          <w:rFonts w:cs="Arial"/>
          <w:szCs w:val="22"/>
        </w:rPr>
        <w:t>.</w:t>
      </w:r>
    </w:p>
    <w:p w14:paraId="684183E2" w14:textId="011E79F6" w:rsidR="00F63A3C" w:rsidRPr="00E53B23" w:rsidRDefault="00F63A3C" w:rsidP="007D3BA7">
      <w:pPr>
        <w:snapToGrid w:val="0"/>
        <w:spacing w:before="120" w:after="120" w:line="240" w:lineRule="auto"/>
        <w:ind w:left="2268" w:right="1134" w:hanging="1134"/>
        <w:rPr>
          <w:rFonts w:cs="Arial"/>
          <w:szCs w:val="22"/>
        </w:rPr>
      </w:pPr>
      <w:r w:rsidRPr="00E53B23">
        <w:rPr>
          <w:rFonts w:cs="Arial"/>
          <w:szCs w:val="22"/>
        </w:rPr>
        <w:t>TT 6</w:t>
      </w:r>
      <w:r w:rsidRPr="00E53B23">
        <w:rPr>
          <w:rFonts w:cs="Arial"/>
          <w:szCs w:val="22"/>
        </w:rPr>
        <w:tab/>
      </w:r>
      <w:r w:rsidRPr="00E53B23">
        <w:rPr>
          <w:rFonts w:cs="Arial"/>
          <w:szCs w:val="22"/>
        </w:rPr>
        <w:tab/>
        <w:t xml:space="preserve">In the left-hand column, replace </w:t>
      </w:r>
      <w:r w:rsidRPr="00E53B23">
        <w:rPr>
          <w:bCs/>
        </w:rPr>
        <w:t>“</w:t>
      </w:r>
      <w:r w:rsidRPr="00E53B23">
        <w:rPr>
          <w:rFonts w:cs="Arial"/>
          <w:szCs w:val="22"/>
        </w:rPr>
        <w:t>shall be carried out at least</w:t>
      </w:r>
      <w:r w:rsidRPr="00E53B23">
        <w:rPr>
          <w:bCs/>
        </w:rPr>
        <w:t>”</w:t>
      </w:r>
      <w:r w:rsidRPr="00E53B23">
        <w:rPr>
          <w:rFonts w:cs="Arial"/>
          <w:szCs w:val="22"/>
        </w:rPr>
        <w:t xml:space="preserve"> by:</w:t>
      </w:r>
      <w:r w:rsidR="007D3BA7" w:rsidRPr="00E53B23">
        <w:rPr>
          <w:rFonts w:cs="Arial"/>
          <w:szCs w:val="22"/>
        </w:rPr>
        <w:t xml:space="preserve"> </w:t>
      </w:r>
      <w:r w:rsidRPr="00E53B23">
        <w:rPr>
          <w:bCs/>
        </w:rPr>
        <w:t>“</w:t>
      </w:r>
      <w:r w:rsidRPr="00E53B23">
        <w:rPr>
          <w:rFonts w:cs="Arial"/>
          <w:szCs w:val="22"/>
        </w:rPr>
        <w:t>shall be performed no later than</w:t>
      </w:r>
      <w:r w:rsidRPr="00E53B23">
        <w:rPr>
          <w:bCs/>
        </w:rPr>
        <w:t>”</w:t>
      </w:r>
      <w:r w:rsidRPr="00E53B23">
        <w:rPr>
          <w:rFonts w:cs="Arial"/>
          <w:szCs w:val="22"/>
        </w:rPr>
        <w:t>.</w:t>
      </w:r>
    </w:p>
    <w:p w14:paraId="263F468A" w14:textId="694028E3" w:rsidR="00F63A3C" w:rsidRPr="00E53B23" w:rsidRDefault="00F63A3C" w:rsidP="00A22145">
      <w:pPr>
        <w:snapToGrid w:val="0"/>
        <w:spacing w:before="120" w:after="120" w:line="240" w:lineRule="auto"/>
        <w:ind w:left="2268" w:right="1134" w:hanging="1134"/>
        <w:rPr>
          <w:rFonts w:cs="Arial"/>
          <w:szCs w:val="22"/>
        </w:rPr>
      </w:pPr>
      <w:r w:rsidRPr="00E53B23">
        <w:rPr>
          <w:rFonts w:cs="Arial"/>
          <w:szCs w:val="22"/>
        </w:rPr>
        <w:t>TT 10</w:t>
      </w:r>
      <w:r w:rsidRPr="00E53B23">
        <w:rPr>
          <w:rFonts w:cs="Arial"/>
          <w:szCs w:val="22"/>
        </w:rPr>
        <w:tab/>
      </w:r>
      <w:r w:rsidRPr="00E53B23">
        <w:rPr>
          <w:rFonts w:cs="Arial"/>
          <w:szCs w:val="22"/>
        </w:rPr>
        <w:tab/>
        <w:t xml:space="preserve">Replace </w:t>
      </w:r>
      <w:r w:rsidRPr="00E53B23">
        <w:rPr>
          <w:bCs/>
        </w:rPr>
        <w:t>“</w:t>
      </w:r>
      <w:r w:rsidRPr="00E53B23">
        <w:rPr>
          <w:rFonts w:cs="Arial"/>
          <w:szCs w:val="22"/>
        </w:rPr>
        <w:t>shall take place at least</w:t>
      </w:r>
      <w:r w:rsidRPr="00E53B23">
        <w:rPr>
          <w:bCs/>
        </w:rPr>
        <w:t>”</w:t>
      </w:r>
      <w:r w:rsidRPr="00E53B23">
        <w:rPr>
          <w:rFonts w:cs="Arial"/>
          <w:szCs w:val="22"/>
        </w:rPr>
        <w:t xml:space="preserve"> by:</w:t>
      </w:r>
      <w:r w:rsidR="00A22145" w:rsidRPr="00E53B23">
        <w:rPr>
          <w:rFonts w:cs="Arial"/>
          <w:szCs w:val="22"/>
        </w:rPr>
        <w:t xml:space="preserve"> </w:t>
      </w:r>
      <w:r w:rsidRPr="00E53B23">
        <w:rPr>
          <w:bCs/>
        </w:rPr>
        <w:t>“</w:t>
      </w:r>
      <w:r w:rsidRPr="00E53B23">
        <w:rPr>
          <w:rFonts w:cs="Arial"/>
          <w:szCs w:val="22"/>
        </w:rPr>
        <w:t>shall be performed no later than</w:t>
      </w:r>
      <w:r w:rsidRPr="00E53B23">
        <w:rPr>
          <w:bCs/>
        </w:rPr>
        <w:t>”</w:t>
      </w:r>
      <w:r w:rsidRPr="00E53B23">
        <w:rPr>
          <w:rFonts w:cs="Arial"/>
          <w:szCs w:val="22"/>
        </w:rPr>
        <w:t>.</w:t>
      </w:r>
    </w:p>
    <w:p w14:paraId="7D4CB480" w14:textId="77777777" w:rsidR="00F63A3C" w:rsidRPr="00E53B23" w:rsidRDefault="00F63A3C" w:rsidP="00F63A3C">
      <w:pPr>
        <w:tabs>
          <w:tab w:val="left" w:pos="2268"/>
        </w:tabs>
        <w:snapToGrid w:val="0"/>
        <w:spacing w:before="120" w:after="120" w:line="240" w:lineRule="auto"/>
        <w:ind w:left="1134" w:right="1134"/>
        <w:rPr>
          <w:lang w:eastAsia="de-CH"/>
        </w:rPr>
      </w:pPr>
      <w:r w:rsidRPr="00E53B23">
        <w:rPr>
          <w:lang w:eastAsia="de-CH"/>
        </w:rPr>
        <w:t>TT 11</w:t>
      </w:r>
      <w:r w:rsidRPr="00E53B23">
        <w:rPr>
          <w:lang w:eastAsia="de-CH"/>
        </w:rPr>
        <w:tab/>
        <w:t>In the list of standards after the second sentence:</w:t>
      </w:r>
    </w:p>
    <w:p w14:paraId="0B708DA4" w14:textId="04229701" w:rsidR="00F63A3C" w:rsidRPr="00E53B23" w:rsidRDefault="00F63A3C" w:rsidP="00346824">
      <w:pPr>
        <w:tabs>
          <w:tab w:val="left" w:pos="2268"/>
        </w:tabs>
        <w:snapToGrid w:val="0"/>
        <w:spacing w:before="120" w:after="120" w:line="240" w:lineRule="auto"/>
        <w:ind w:left="1134" w:right="1134"/>
        <w:rPr>
          <w:lang w:eastAsia="de-CH"/>
        </w:rPr>
      </w:pPr>
      <w:r w:rsidRPr="00E53B23">
        <w:rPr>
          <w:lang w:eastAsia="de-CH"/>
        </w:rPr>
        <w:lastRenderedPageBreak/>
        <w:tab/>
        <w:t xml:space="preserve">Replace </w:t>
      </w:r>
      <w:r w:rsidRPr="00E53B23">
        <w:rPr>
          <w:bCs/>
        </w:rPr>
        <w:t>“</w:t>
      </w:r>
      <w:r w:rsidRPr="00E53B23">
        <w:rPr>
          <w:lang w:eastAsia="de-CH"/>
        </w:rPr>
        <w:t>EN ISO 17640:2010</w:t>
      </w:r>
      <w:r w:rsidRPr="00E53B23">
        <w:rPr>
          <w:bCs/>
        </w:rPr>
        <w:t>”</w:t>
      </w:r>
      <w:r w:rsidRPr="00E53B23">
        <w:rPr>
          <w:lang w:eastAsia="de-CH"/>
        </w:rPr>
        <w:t xml:space="preserve"> by</w:t>
      </w:r>
      <w:r w:rsidR="00346824" w:rsidRPr="00E53B23">
        <w:rPr>
          <w:lang w:eastAsia="de-CH"/>
        </w:rPr>
        <w:t xml:space="preserve"> </w:t>
      </w:r>
      <w:r w:rsidRPr="00E53B23">
        <w:rPr>
          <w:lang w:eastAsia="de-CH"/>
        </w:rPr>
        <w:tab/>
      </w:r>
      <w:r w:rsidRPr="00E53B23">
        <w:rPr>
          <w:bCs/>
        </w:rPr>
        <w:t>“</w:t>
      </w:r>
      <w:r w:rsidRPr="00E53B23">
        <w:rPr>
          <w:lang w:eastAsia="de-CH"/>
        </w:rPr>
        <w:t>EN ISO 17640:2018</w:t>
      </w:r>
      <w:r w:rsidRPr="00E53B23">
        <w:rPr>
          <w:bCs/>
        </w:rPr>
        <w:t>”</w:t>
      </w:r>
      <w:r w:rsidRPr="00E53B23">
        <w:rPr>
          <w:lang w:eastAsia="de-CH"/>
        </w:rPr>
        <w:t>.</w:t>
      </w:r>
    </w:p>
    <w:p w14:paraId="464265C3" w14:textId="3D375ACC" w:rsidR="00F63A3C" w:rsidRPr="00E53B23" w:rsidRDefault="00F63A3C" w:rsidP="00346824">
      <w:pPr>
        <w:tabs>
          <w:tab w:val="left" w:pos="2268"/>
        </w:tabs>
        <w:snapToGrid w:val="0"/>
        <w:spacing w:before="120" w:after="120" w:line="240" w:lineRule="auto"/>
        <w:ind w:left="1134" w:right="1134"/>
        <w:rPr>
          <w:lang w:eastAsia="de-CH"/>
        </w:rPr>
      </w:pPr>
      <w:r w:rsidRPr="00E53B23">
        <w:rPr>
          <w:lang w:eastAsia="de-CH"/>
        </w:rPr>
        <w:tab/>
        <w:t xml:space="preserve">Replace </w:t>
      </w:r>
      <w:r w:rsidRPr="00E53B23">
        <w:rPr>
          <w:bCs/>
        </w:rPr>
        <w:t>“</w:t>
      </w:r>
      <w:r w:rsidRPr="00E53B23">
        <w:rPr>
          <w:lang w:eastAsia="de-CH"/>
        </w:rPr>
        <w:t>EN ISO 17638:2009</w:t>
      </w:r>
      <w:r w:rsidRPr="00E53B23">
        <w:rPr>
          <w:bCs/>
        </w:rPr>
        <w:t>”</w:t>
      </w:r>
      <w:r w:rsidRPr="00E53B23">
        <w:rPr>
          <w:lang w:eastAsia="de-CH"/>
        </w:rPr>
        <w:t xml:space="preserve"> by</w:t>
      </w:r>
      <w:r w:rsidR="00346824" w:rsidRPr="00E53B23">
        <w:rPr>
          <w:lang w:eastAsia="de-CH"/>
        </w:rPr>
        <w:t xml:space="preserve"> </w:t>
      </w:r>
      <w:r w:rsidRPr="00E53B23">
        <w:rPr>
          <w:lang w:eastAsia="de-CH"/>
        </w:rPr>
        <w:tab/>
      </w:r>
      <w:r w:rsidRPr="00E53B23">
        <w:rPr>
          <w:bCs/>
        </w:rPr>
        <w:t>“</w:t>
      </w:r>
      <w:r w:rsidRPr="00E53B23">
        <w:rPr>
          <w:lang w:eastAsia="de-CH"/>
        </w:rPr>
        <w:t>EN ISO 17638:2016</w:t>
      </w:r>
      <w:r w:rsidRPr="00E53B23">
        <w:rPr>
          <w:bCs/>
        </w:rPr>
        <w:t>”</w:t>
      </w:r>
      <w:r w:rsidRPr="00E53B23">
        <w:rPr>
          <w:lang w:eastAsia="de-CH"/>
        </w:rPr>
        <w:t>.</w:t>
      </w:r>
    </w:p>
    <w:p w14:paraId="4001D093" w14:textId="5ADC471D" w:rsidR="00F63A3C" w:rsidRPr="00E53B23" w:rsidRDefault="00F63A3C" w:rsidP="00346824">
      <w:pPr>
        <w:tabs>
          <w:tab w:val="left" w:pos="2268"/>
        </w:tabs>
        <w:snapToGrid w:val="0"/>
        <w:spacing w:before="120" w:after="120" w:line="240" w:lineRule="auto"/>
        <w:ind w:left="2268" w:right="1134" w:hanging="1134"/>
        <w:rPr>
          <w:lang w:eastAsia="de-CH"/>
        </w:rPr>
      </w:pPr>
      <w:r w:rsidRPr="00E53B23">
        <w:rPr>
          <w:lang w:eastAsia="de-CH"/>
        </w:rPr>
        <w:tab/>
        <w:t xml:space="preserve">Replace </w:t>
      </w:r>
      <w:r w:rsidRPr="00E53B23">
        <w:rPr>
          <w:bCs/>
        </w:rPr>
        <w:t>“</w:t>
      </w:r>
      <w:r w:rsidRPr="00E53B23">
        <w:rPr>
          <w:lang w:eastAsia="de-CH"/>
        </w:rPr>
        <w:t>EN ISO 23278:2009 – Magnetic particle testing of welds. Acceptance levels</w:t>
      </w:r>
      <w:r w:rsidRPr="00E53B23">
        <w:rPr>
          <w:bCs/>
        </w:rPr>
        <w:t>”</w:t>
      </w:r>
      <w:r w:rsidRPr="00E53B23">
        <w:rPr>
          <w:lang w:eastAsia="de-CH"/>
        </w:rPr>
        <w:t xml:space="preserve"> by</w:t>
      </w:r>
      <w:r w:rsidR="00346824" w:rsidRPr="00E53B23">
        <w:rPr>
          <w:lang w:eastAsia="de-CH"/>
        </w:rPr>
        <w:t xml:space="preserve"> </w:t>
      </w:r>
      <w:r w:rsidRPr="00E53B23">
        <w:rPr>
          <w:bCs/>
        </w:rPr>
        <w:t>“</w:t>
      </w:r>
      <w:r w:rsidRPr="00E53B23">
        <w:rPr>
          <w:lang w:eastAsia="de-CH"/>
        </w:rPr>
        <w:t>EN ISO 23278:2015 – Non-destructive testing of welds – Magnetic particle testing. Acceptance levels</w:t>
      </w:r>
      <w:r w:rsidRPr="00E53B23">
        <w:rPr>
          <w:bCs/>
        </w:rPr>
        <w:t>”</w:t>
      </w:r>
      <w:r w:rsidRPr="00E53B23">
        <w:rPr>
          <w:lang w:eastAsia="de-CH"/>
        </w:rPr>
        <w:t>.</w:t>
      </w:r>
    </w:p>
    <w:p w14:paraId="6D2C9D4B" w14:textId="11E3EE22" w:rsidR="00F63A3C" w:rsidRPr="00E53B23" w:rsidRDefault="00F63A3C" w:rsidP="00346824">
      <w:pPr>
        <w:tabs>
          <w:tab w:val="left" w:pos="2268"/>
        </w:tabs>
        <w:snapToGrid w:val="0"/>
        <w:spacing w:before="120" w:after="120" w:line="240" w:lineRule="auto"/>
        <w:ind w:left="1134" w:right="1134"/>
        <w:rPr>
          <w:lang w:eastAsia="de-CH"/>
        </w:rPr>
      </w:pPr>
      <w:r w:rsidRPr="00E53B23">
        <w:rPr>
          <w:lang w:eastAsia="de-CH"/>
        </w:rPr>
        <w:tab/>
        <w:t xml:space="preserve">Replace </w:t>
      </w:r>
      <w:r w:rsidRPr="00E53B23">
        <w:rPr>
          <w:bCs/>
        </w:rPr>
        <w:t>“</w:t>
      </w:r>
      <w:r w:rsidRPr="00E53B23">
        <w:rPr>
          <w:lang w:eastAsia="de-CH"/>
        </w:rPr>
        <w:t>EN</w:t>
      </w:r>
      <w:r w:rsidRPr="00E53B23">
        <w:t> </w:t>
      </w:r>
      <w:r w:rsidRPr="00E53B23">
        <w:rPr>
          <w:lang w:eastAsia="de-CH"/>
        </w:rPr>
        <w:t>1711:2000</w:t>
      </w:r>
      <w:r w:rsidRPr="00E53B23">
        <w:rPr>
          <w:bCs/>
        </w:rPr>
        <w:t>”</w:t>
      </w:r>
      <w:r w:rsidRPr="00E53B23">
        <w:rPr>
          <w:lang w:eastAsia="de-CH"/>
        </w:rPr>
        <w:t xml:space="preserve"> by</w:t>
      </w:r>
      <w:r w:rsidR="00346824" w:rsidRPr="00E53B23">
        <w:rPr>
          <w:lang w:eastAsia="de-CH"/>
        </w:rPr>
        <w:t xml:space="preserve"> </w:t>
      </w:r>
      <w:r w:rsidRPr="00E53B23">
        <w:rPr>
          <w:bCs/>
        </w:rPr>
        <w:t>“</w:t>
      </w:r>
      <w:r w:rsidRPr="00E53B23">
        <w:rPr>
          <w:lang w:eastAsia="de-CH"/>
        </w:rPr>
        <w:t>EN ISO 17643:2015</w:t>
      </w:r>
      <w:r w:rsidRPr="00E53B23">
        <w:rPr>
          <w:bCs/>
        </w:rPr>
        <w:t>”</w:t>
      </w:r>
      <w:r w:rsidRPr="00E53B23">
        <w:rPr>
          <w:lang w:eastAsia="de-CH"/>
        </w:rPr>
        <w:t>.</w:t>
      </w:r>
    </w:p>
    <w:p w14:paraId="5785B48A" w14:textId="788A5689" w:rsidR="00F63A3C" w:rsidRPr="00E53B23" w:rsidRDefault="00F63A3C" w:rsidP="00346824">
      <w:pPr>
        <w:tabs>
          <w:tab w:val="left" w:pos="2268"/>
        </w:tabs>
        <w:snapToGrid w:val="0"/>
        <w:spacing w:before="120" w:after="120" w:line="240" w:lineRule="auto"/>
        <w:ind w:left="1134" w:right="1134"/>
        <w:rPr>
          <w:lang w:eastAsia="de-CH"/>
        </w:rPr>
      </w:pPr>
      <w:r w:rsidRPr="00E53B23">
        <w:rPr>
          <w:lang w:eastAsia="de-CH"/>
        </w:rPr>
        <w:tab/>
        <w:t xml:space="preserve">Replace </w:t>
      </w:r>
      <w:r w:rsidRPr="00E53B23">
        <w:rPr>
          <w:bCs/>
        </w:rPr>
        <w:t>“</w:t>
      </w:r>
      <w:r w:rsidRPr="00E53B23">
        <w:rPr>
          <w:lang w:eastAsia="de-CH"/>
        </w:rPr>
        <w:t>EN 14127:2011</w:t>
      </w:r>
      <w:r w:rsidRPr="00E53B23">
        <w:rPr>
          <w:bCs/>
        </w:rPr>
        <w:t>”</w:t>
      </w:r>
      <w:r w:rsidRPr="00E53B23">
        <w:rPr>
          <w:lang w:eastAsia="de-CH"/>
        </w:rPr>
        <w:t xml:space="preserve"> by</w:t>
      </w:r>
      <w:r w:rsidR="00346824" w:rsidRPr="00E53B23">
        <w:rPr>
          <w:lang w:eastAsia="de-CH"/>
        </w:rPr>
        <w:t xml:space="preserve"> </w:t>
      </w:r>
      <w:r w:rsidRPr="00E53B23">
        <w:rPr>
          <w:bCs/>
        </w:rPr>
        <w:t>“</w:t>
      </w:r>
      <w:r w:rsidRPr="00E53B23">
        <w:rPr>
          <w:lang w:eastAsia="de-CH"/>
        </w:rPr>
        <w:t>EN ISO 16809:2019</w:t>
      </w:r>
      <w:r w:rsidRPr="00E53B23">
        <w:rPr>
          <w:bCs/>
        </w:rPr>
        <w:t>”</w:t>
      </w:r>
      <w:r w:rsidRPr="00E53B23">
        <w:rPr>
          <w:lang w:eastAsia="de-CH"/>
        </w:rPr>
        <w:t>.</w:t>
      </w:r>
    </w:p>
    <w:p w14:paraId="2C67C8B0" w14:textId="4643E63B" w:rsidR="00F63A3C" w:rsidRPr="00E53B23" w:rsidRDefault="00F63A3C" w:rsidP="00346824">
      <w:pPr>
        <w:tabs>
          <w:tab w:val="left" w:pos="2268"/>
        </w:tabs>
        <w:snapToGrid w:val="0"/>
        <w:spacing w:before="120" w:after="120" w:line="240" w:lineRule="auto"/>
        <w:ind w:left="2268" w:right="1134" w:hanging="1134"/>
        <w:rPr>
          <w:lang w:eastAsia="de-CH"/>
        </w:rPr>
      </w:pPr>
      <w:r w:rsidRPr="00E53B23">
        <w:rPr>
          <w:lang w:eastAsia="de-CH"/>
        </w:rPr>
        <w:tab/>
      </w:r>
      <w:r w:rsidRPr="00E53B23">
        <w:rPr>
          <w:lang w:eastAsia="de-CH"/>
        </w:rPr>
        <w:tab/>
        <w:t>In the paragraph after the table, replace EN ISO 23278:2009 – Magnetic particle testing of welds. Acceptance levels</w:t>
      </w:r>
      <w:r w:rsidRPr="00E53B23">
        <w:rPr>
          <w:bCs/>
        </w:rPr>
        <w:t>”</w:t>
      </w:r>
      <w:r w:rsidRPr="00E53B23">
        <w:rPr>
          <w:lang w:eastAsia="de-CH"/>
        </w:rPr>
        <w:t xml:space="preserve"> by</w:t>
      </w:r>
      <w:r w:rsidR="00346824" w:rsidRPr="00E53B23">
        <w:rPr>
          <w:lang w:eastAsia="de-CH"/>
        </w:rPr>
        <w:t xml:space="preserve"> </w:t>
      </w:r>
      <w:r w:rsidRPr="00E53B23">
        <w:rPr>
          <w:bCs/>
        </w:rPr>
        <w:t>“</w:t>
      </w:r>
      <w:r w:rsidRPr="00E53B23">
        <w:rPr>
          <w:lang w:eastAsia="de-CH"/>
        </w:rPr>
        <w:t>EN ISO 23278:2015 – Non-destructive testing of welds – Magnetic particle testing. Acceptance levels</w:t>
      </w:r>
      <w:r w:rsidRPr="00E53B23">
        <w:rPr>
          <w:bCs/>
        </w:rPr>
        <w:t>”</w:t>
      </w:r>
      <w:r w:rsidRPr="00E53B23">
        <w:rPr>
          <w:lang w:eastAsia="de-CH"/>
        </w:rPr>
        <w:t>.</w:t>
      </w:r>
    </w:p>
    <w:p w14:paraId="7D3595C8" w14:textId="0D9ED1A9" w:rsidR="00F63A3C" w:rsidRPr="00E53B23" w:rsidRDefault="00346824" w:rsidP="00BD1A86">
      <w:pPr>
        <w:pStyle w:val="H1G"/>
      </w:pPr>
      <w:r w:rsidRPr="00E53B23">
        <w:tab/>
      </w:r>
      <w:r w:rsidRPr="00E53B23">
        <w:tab/>
      </w:r>
      <w:r w:rsidR="00F63A3C" w:rsidRPr="00E53B23">
        <w:t>Chapter 6.10</w:t>
      </w:r>
    </w:p>
    <w:p w14:paraId="6FC640C0" w14:textId="4661F546" w:rsidR="00F63A3C" w:rsidRPr="00E53B23" w:rsidRDefault="00F63A3C" w:rsidP="00EC05F9">
      <w:pPr>
        <w:snapToGrid w:val="0"/>
        <w:spacing w:before="120" w:after="120"/>
        <w:ind w:left="2268" w:hanging="1134"/>
        <w:rPr>
          <w:bCs/>
          <w:szCs w:val="22"/>
        </w:rPr>
      </w:pPr>
      <w:r w:rsidRPr="00E53B23">
        <w:rPr>
          <w:bCs/>
          <w:szCs w:val="22"/>
        </w:rPr>
        <w:t>6.10.4</w:t>
      </w:r>
      <w:r w:rsidRPr="00E53B23">
        <w:rPr>
          <w:bCs/>
          <w:szCs w:val="22"/>
        </w:rPr>
        <w:tab/>
      </w:r>
      <w:r w:rsidRPr="00E53B23">
        <w:rPr>
          <w:bCs/>
          <w:szCs w:val="22"/>
        </w:rPr>
        <w:tab/>
        <w:t xml:space="preserve">Before </w:t>
      </w:r>
      <w:r w:rsidRPr="00E53B23">
        <w:rPr>
          <w:bCs/>
        </w:rPr>
        <w:t>“</w:t>
      </w:r>
      <w:r w:rsidRPr="00E53B23">
        <w:rPr>
          <w:bCs/>
          <w:szCs w:val="22"/>
        </w:rPr>
        <w:t>every three years</w:t>
      </w:r>
      <w:r w:rsidRPr="00E53B23">
        <w:rPr>
          <w:bCs/>
        </w:rPr>
        <w:t>”</w:t>
      </w:r>
      <w:r w:rsidRPr="00E53B23">
        <w:rPr>
          <w:bCs/>
          <w:szCs w:val="22"/>
        </w:rPr>
        <w:t>, insert:</w:t>
      </w:r>
      <w:r w:rsidR="00EC05F9" w:rsidRPr="00E53B23">
        <w:rPr>
          <w:bCs/>
          <w:szCs w:val="22"/>
        </w:rPr>
        <w:t xml:space="preserve"> </w:t>
      </w:r>
      <w:r w:rsidRPr="00E53B23">
        <w:rPr>
          <w:bCs/>
        </w:rPr>
        <w:t>“</w:t>
      </w:r>
      <w:r w:rsidRPr="00E53B23">
        <w:rPr>
          <w:bCs/>
          <w:szCs w:val="22"/>
        </w:rPr>
        <w:t>no later than</w:t>
      </w:r>
      <w:r w:rsidRPr="00E53B23">
        <w:rPr>
          <w:bCs/>
        </w:rPr>
        <w:t>”</w:t>
      </w:r>
      <w:r w:rsidRPr="00E53B23">
        <w:rPr>
          <w:bCs/>
          <w:szCs w:val="22"/>
        </w:rPr>
        <w:t>.</w:t>
      </w:r>
    </w:p>
    <w:p w14:paraId="42A83AFB" w14:textId="262C4308" w:rsidR="00F63A3C" w:rsidRPr="00E53B23" w:rsidRDefault="00F63A3C" w:rsidP="00EC05F9">
      <w:pPr>
        <w:snapToGrid w:val="0"/>
        <w:spacing w:before="120" w:after="120"/>
        <w:ind w:left="2268" w:hanging="1134"/>
        <w:rPr>
          <w:bCs/>
          <w:szCs w:val="22"/>
        </w:rPr>
      </w:pPr>
      <w:r w:rsidRPr="00E53B23">
        <w:rPr>
          <w:bCs/>
          <w:szCs w:val="22"/>
        </w:rPr>
        <w:t>6.10.4</w:t>
      </w:r>
      <w:r w:rsidRPr="00E53B23">
        <w:rPr>
          <w:bCs/>
          <w:szCs w:val="22"/>
        </w:rPr>
        <w:tab/>
      </w:r>
      <w:r w:rsidRPr="00E53B23">
        <w:rPr>
          <w:bCs/>
          <w:szCs w:val="22"/>
        </w:rPr>
        <w:tab/>
        <w:t xml:space="preserve">Before </w:t>
      </w:r>
      <w:r w:rsidRPr="00E53B23">
        <w:rPr>
          <w:bCs/>
        </w:rPr>
        <w:t>“</w:t>
      </w:r>
      <w:r w:rsidRPr="00E53B23">
        <w:rPr>
          <w:bCs/>
          <w:szCs w:val="22"/>
        </w:rPr>
        <w:t>every two and a half years</w:t>
      </w:r>
      <w:r w:rsidRPr="00E53B23">
        <w:rPr>
          <w:bCs/>
        </w:rPr>
        <w:t>”</w:t>
      </w:r>
      <w:r w:rsidRPr="00E53B23">
        <w:rPr>
          <w:bCs/>
          <w:szCs w:val="22"/>
        </w:rPr>
        <w:t xml:space="preserve">, replace </w:t>
      </w:r>
      <w:r w:rsidRPr="00E53B23">
        <w:rPr>
          <w:bCs/>
        </w:rPr>
        <w:t>“</w:t>
      </w:r>
      <w:r w:rsidRPr="00E53B23">
        <w:rPr>
          <w:bCs/>
          <w:szCs w:val="22"/>
        </w:rPr>
        <w:t>at least</w:t>
      </w:r>
      <w:r w:rsidRPr="00E53B23">
        <w:rPr>
          <w:bCs/>
        </w:rPr>
        <w:t>”</w:t>
      </w:r>
      <w:r w:rsidRPr="00E53B23">
        <w:rPr>
          <w:bCs/>
          <w:szCs w:val="22"/>
        </w:rPr>
        <w:t xml:space="preserve"> by:</w:t>
      </w:r>
      <w:r w:rsidR="00EC05F9" w:rsidRPr="00E53B23">
        <w:rPr>
          <w:bCs/>
          <w:szCs w:val="22"/>
        </w:rPr>
        <w:t xml:space="preserve"> </w:t>
      </w:r>
      <w:r w:rsidRPr="00E53B23">
        <w:rPr>
          <w:bCs/>
        </w:rPr>
        <w:t>“</w:t>
      </w:r>
      <w:r w:rsidRPr="00E53B23">
        <w:rPr>
          <w:bCs/>
          <w:szCs w:val="22"/>
        </w:rPr>
        <w:t>no later than</w:t>
      </w:r>
      <w:r w:rsidRPr="00E53B23">
        <w:rPr>
          <w:bCs/>
        </w:rPr>
        <w:t>”</w:t>
      </w:r>
      <w:r w:rsidRPr="00E53B23">
        <w:rPr>
          <w:bCs/>
          <w:szCs w:val="22"/>
        </w:rPr>
        <w:t>.</w:t>
      </w:r>
    </w:p>
    <w:p w14:paraId="5C67A7D6" w14:textId="7F06B67D" w:rsidR="00F63A3C" w:rsidRPr="00E53B23" w:rsidRDefault="00346824" w:rsidP="00BD1A86">
      <w:pPr>
        <w:pStyle w:val="H1G"/>
      </w:pPr>
      <w:r w:rsidRPr="00E53B23">
        <w:tab/>
      </w:r>
      <w:r w:rsidRPr="00E53B23">
        <w:tab/>
      </w:r>
      <w:r w:rsidR="00F63A3C" w:rsidRPr="00E53B23">
        <w:t>Chapter 6.12</w:t>
      </w:r>
    </w:p>
    <w:p w14:paraId="54C3E41D" w14:textId="158E9C7A" w:rsidR="00F63A3C" w:rsidRPr="00E53B23" w:rsidRDefault="00F63A3C" w:rsidP="00BD5AB7">
      <w:pPr>
        <w:snapToGrid w:val="0"/>
        <w:spacing w:before="120" w:after="120"/>
        <w:ind w:left="2268" w:hanging="1134"/>
        <w:rPr>
          <w:bCs/>
          <w:szCs w:val="22"/>
        </w:rPr>
      </w:pPr>
      <w:r w:rsidRPr="00E53B23">
        <w:rPr>
          <w:bCs/>
          <w:szCs w:val="22"/>
        </w:rPr>
        <w:t>6.12.3.2.6</w:t>
      </w:r>
      <w:r w:rsidRPr="00E53B23">
        <w:rPr>
          <w:bCs/>
          <w:szCs w:val="22"/>
        </w:rPr>
        <w:tab/>
        <w:t xml:space="preserve">Replace </w:t>
      </w:r>
      <w:r w:rsidRPr="00E53B23">
        <w:rPr>
          <w:bCs/>
        </w:rPr>
        <w:t>“</w:t>
      </w:r>
      <w:r w:rsidRPr="00E53B23">
        <w:rPr>
          <w:bCs/>
          <w:szCs w:val="22"/>
        </w:rPr>
        <w:t>at least</w:t>
      </w:r>
      <w:r w:rsidRPr="00E53B23">
        <w:rPr>
          <w:bCs/>
        </w:rPr>
        <w:t>”</w:t>
      </w:r>
      <w:r w:rsidRPr="00E53B23">
        <w:rPr>
          <w:bCs/>
          <w:szCs w:val="22"/>
        </w:rPr>
        <w:t xml:space="preserve"> by:</w:t>
      </w:r>
      <w:r w:rsidR="00BD5AB7" w:rsidRPr="00E53B23">
        <w:rPr>
          <w:bCs/>
          <w:szCs w:val="22"/>
        </w:rPr>
        <w:t xml:space="preserve"> </w:t>
      </w:r>
      <w:r w:rsidRPr="00E53B23">
        <w:rPr>
          <w:bCs/>
        </w:rPr>
        <w:t>“</w:t>
      </w:r>
      <w:r w:rsidRPr="00E53B23">
        <w:rPr>
          <w:bCs/>
          <w:szCs w:val="22"/>
        </w:rPr>
        <w:t>no later than</w:t>
      </w:r>
      <w:r w:rsidRPr="00E53B23">
        <w:rPr>
          <w:bCs/>
        </w:rPr>
        <w:t>”</w:t>
      </w:r>
      <w:r w:rsidRPr="00E53B23">
        <w:rPr>
          <w:bCs/>
          <w:szCs w:val="22"/>
        </w:rPr>
        <w:t>.</w:t>
      </w:r>
    </w:p>
    <w:p w14:paraId="4AC25630" w14:textId="263E2BB7" w:rsidR="00F63A3C" w:rsidRPr="00E53B23" w:rsidRDefault="00346824" w:rsidP="00BD1A86">
      <w:pPr>
        <w:pStyle w:val="H1G"/>
      </w:pPr>
      <w:r w:rsidRPr="00E53B23">
        <w:tab/>
      </w:r>
      <w:r w:rsidRPr="00E53B23">
        <w:tab/>
      </w:r>
      <w:r w:rsidR="00F63A3C" w:rsidRPr="00E53B23">
        <w:t>Chapter 7.4</w:t>
      </w:r>
    </w:p>
    <w:p w14:paraId="41E9B0E5" w14:textId="04A306BA" w:rsidR="00F63A3C" w:rsidRPr="00E53B23" w:rsidRDefault="00F63A3C" w:rsidP="00703956">
      <w:pPr>
        <w:snapToGrid w:val="0"/>
        <w:spacing w:before="120" w:after="120"/>
        <w:ind w:left="2268" w:hanging="1134"/>
        <w:rPr>
          <w:bCs/>
        </w:rPr>
      </w:pPr>
      <w:r w:rsidRPr="00E53B23">
        <w:rPr>
          <w:bCs/>
          <w:lang w:eastAsia="zh-CN"/>
        </w:rPr>
        <w:t>7.4.1</w:t>
      </w:r>
      <w:r w:rsidRPr="00E53B23">
        <w:rPr>
          <w:bCs/>
          <w:lang w:eastAsia="zh-CN"/>
        </w:rPr>
        <w:tab/>
        <w:t>Amend the first sentence to read as follows:</w:t>
      </w:r>
      <w:r w:rsidR="00703956" w:rsidRPr="00E53B23">
        <w:rPr>
          <w:bCs/>
          <w:lang w:eastAsia="zh-CN"/>
        </w:rPr>
        <w:t xml:space="preserve"> </w:t>
      </w:r>
      <w:r w:rsidRPr="00E53B23">
        <w:rPr>
          <w:bCs/>
        </w:rPr>
        <w:t>“Dangerous goods may only be carried in tanks when a portable tank instruction is shown in column (10) or when a tank code is shown in column (12) of Table A of Chapter 3.2, or when a competent authority has issued an authorisation in accordance with the conditions specified in 6.7.1.3.”</w:t>
      </w:r>
    </w:p>
    <w:p w14:paraId="133750FF" w14:textId="718590CC" w:rsidR="00F63A3C" w:rsidRPr="00E53B23" w:rsidRDefault="00346824" w:rsidP="00BD1A86">
      <w:pPr>
        <w:pStyle w:val="H1G"/>
      </w:pPr>
      <w:r w:rsidRPr="00E53B23">
        <w:tab/>
      </w:r>
      <w:r w:rsidRPr="00E53B23">
        <w:tab/>
      </w:r>
      <w:r w:rsidR="00F63A3C" w:rsidRPr="00E53B23">
        <w:t>Chapter 8.1</w:t>
      </w:r>
    </w:p>
    <w:p w14:paraId="384F6B9C" w14:textId="47ECD931" w:rsidR="00F63A3C" w:rsidRPr="0008032D" w:rsidRDefault="00F63A3C" w:rsidP="00B332E1">
      <w:pPr>
        <w:snapToGrid w:val="0"/>
        <w:spacing w:before="120" w:after="120"/>
        <w:ind w:left="2268" w:hanging="1134"/>
        <w:rPr>
          <w:bCs/>
        </w:rPr>
      </w:pPr>
      <w:r w:rsidRPr="00E53B23">
        <w:rPr>
          <w:bCs/>
        </w:rPr>
        <w:t>8.1.2.1</w:t>
      </w:r>
      <w:r w:rsidRPr="00E53B23">
        <w:rPr>
          <w:bCs/>
        </w:rPr>
        <w:tab/>
        <w:t>In paragraph (a), delete:</w:t>
      </w:r>
      <w:r w:rsidR="00B332E1" w:rsidRPr="00E53B23">
        <w:rPr>
          <w:bCs/>
        </w:rPr>
        <w:t xml:space="preserve"> </w:t>
      </w:r>
      <w:r w:rsidRPr="00E53B23">
        <w:rPr>
          <w:bCs/>
        </w:rPr>
        <w:t>“and, when appropriate, the container/vehicle packing certificate prescribed in 5.4.2”.</w:t>
      </w:r>
    </w:p>
    <w:p w14:paraId="22784FD9" w14:textId="682520B3" w:rsidR="008B1F31" w:rsidRPr="0008032D" w:rsidRDefault="00F63A3C" w:rsidP="00F63A3C">
      <w:pPr>
        <w:spacing w:before="240"/>
        <w:jc w:val="center"/>
        <w:rPr>
          <w:u w:val="single"/>
        </w:rPr>
      </w:pPr>
      <w:r w:rsidRPr="0008032D">
        <w:rPr>
          <w:u w:val="single"/>
        </w:rPr>
        <w:tab/>
      </w:r>
      <w:r w:rsidRPr="0008032D">
        <w:rPr>
          <w:u w:val="single"/>
        </w:rPr>
        <w:tab/>
      </w:r>
      <w:r w:rsidRPr="0008032D">
        <w:rPr>
          <w:u w:val="single"/>
        </w:rPr>
        <w:tab/>
      </w:r>
    </w:p>
    <w:sectPr w:rsidR="008B1F31" w:rsidRPr="0008032D" w:rsidSect="0090465E">
      <w:headerReference w:type="even" r:id="rId17"/>
      <w:headerReference w:type="default" r:id="rId18"/>
      <w:footerReference w:type="even" r:id="rId19"/>
      <w:footerReference w:type="default" r:id="rId20"/>
      <w:head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3CB19" w14:textId="77777777" w:rsidR="00875A89" w:rsidRDefault="00875A89"/>
  </w:endnote>
  <w:endnote w:type="continuationSeparator" w:id="0">
    <w:p w14:paraId="4871FD67" w14:textId="77777777" w:rsidR="00875A89" w:rsidRDefault="00875A89"/>
  </w:endnote>
  <w:endnote w:type="continuationNotice" w:id="1">
    <w:p w14:paraId="745655D1" w14:textId="77777777" w:rsidR="00875A89" w:rsidRDefault="00875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217A" w14:textId="1BC56534"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1742C0">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2F00D" w14:textId="402E6122"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E12655">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06C53" w14:textId="77777777" w:rsidR="00875A89" w:rsidRPr="000B175B" w:rsidRDefault="00875A89" w:rsidP="000B175B">
      <w:pPr>
        <w:tabs>
          <w:tab w:val="right" w:pos="2155"/>
        </w:tabs>
        <w:spacing w:after="80"/>
        <w:ind w:left="680"/>
        <w:rPr>
          <w:u w:val="single"/>
        </w:rPr>
      </w:pPr>
      <w:r>
        <w:rPr>
          <w:u w:val="single"/>
        </w:rPr>
        <w:tab/>
      </w:r>
    </w:p>
  </w:footnote>
  <w:footnote w:type="continuationSeparator" w:id="0">
    <w:p w14:paraId="01EE0016" w14:textId="77777777" w:rsidR="00875A89" w:rsidRPr="00FC68B7" w:rsidRDefault="00875A89" w:rsidP="00FC68B7">
      <w:pPr>
        <w:tabs>
          <w:tab w:val="left" w:pos="2155"/>
        </w:tabs>
        <w:spacing w:after="80"/>
        <w:ind w:left="680"/>
        <w:rPr>
          <w:u w:val="single"/>
        </w:rPr>
      </w:pPr>
      <w:r>
        <w:rPr>
          <w:u w:val="single"/>
        </w:rPr>
        <w:tab/>
      </w:r>
    </w:p>
  </w:footnote>
  <w:footnote w:type="continuationNotice" w:id="1">
    <w:p w14:paraId="06A6F2CD" w14:textId="77777777" w:rsidR="00875A89" w:rsidRDefault="00875A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9654" w14:textId="7DF07FC5" w:rsidR="0092434D" w:rsidRPr="00617E96" w:rsidRDefault="0092434D">
    <w:pPr>
      <w:pStyle w:val="Header"/>
      <w:rPr>
        <w:lang w:val="fr-CH"/>
      </w:rPr>
    </w:pPr>
    <w:r>
      <w:rPr>
        <w:lang w:val="fr-CH"/>
      </w:rPr>
      <w:t>INF</w:t>
    </w:r>
    <w:r w:rsidR="00E03098">
      <w:rPr>
        <w:lang w:val="fr-CH"/>
      </w:rPr>
      <w:t>.</w:t>
    </w:r>
    <w:r w:rsidR="00CB6CF4">
      <w:rPr>
        <w:lang w:val="fr-CH"/>
      </w:rPr>
      <w:t>1</w:t>
    </w:r>
    <w:r w:rsidR="00F63A3C">
      <w:rPr>
        <w:lang w:val="fr-CH"/>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93CA2" w14:textId="69B4AC93" w:rsidR="0092434D" w:rsidRPr="00F71BEF" w:rsidRDefault="0092434D" w:rsidP="00982036">
    <w:pPr>
      <w:pStyle w:val="Header"/>
      <w:jc w:val="right"/>
      <w:rPr>
        <w:lang w:val="fr-CH"/>
      </w:rPr>
    </w:pPr>
    <w:r w:rsidRPr="00F71BEF">
      <w:rPr>
        <w:lang w:val="fr-CH"/>
      </w:rPr>
      <w:t>INF.</w:t>
    </w:r>
    <w:r w:rsidR="00F63A3C">
      <w:rPr>
        <w:lang w:val="fr-CH"/>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4505C" w14:textId="71711907" w:rsidR="0092434D" w:rsidRPr="00617E96" w:rsidRDefault="00B170C8" w:rsidP="00617E96">
    <w:pPr>
      <w:pStyle w:val="Header"/>
      <w:jc w:val="right"/>
      <w:rPr>
        <w:sz w:val="28"/>
        <w:szCs w:val="28"/>
        <w:lang w:val="fr-CH"/>
      </w:rPr>
    </w:pPr>
    <w:r>
      <w:rPr>
        <w:sz w:val="28"/>
        <w:szCs w:val="28"/>
        <w:lang w:val="fr-CH"/>
      </w:rPr>
      <w:t>INF.</w:t>
    </w:r>
    <w:r w:rsidR="00CB6CF4">
      <w:rPr>
        <w:sz w:val="28"/>
        <w:szCs w:val="28"/>
        <w:lang w:val="fr-CH"/>
      </w:rPr>
      <w:t>1</w:t>
    </w:r>
    <w:r w:rsidR="00F641CD">
      <w:rPr>
        <w:sz w:val="28"/>
        <w:szCs w:val="28"/>
        <w:lang w:val="fr-CH"/>
      </w:rPr>
      <w:t>1</w:t>
    </w:r>
    <w:r w:rsidR="00056D5B">
      <w:rPr>
        <w:sz w:val="28"/>
        <w:szCs w:val="28"/>
        <w:lang w:val="fr-CH"/>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B346F4"/>
    <w:multiLevelType w:val="hybridMultilevel"/>
    <w:tmpl w:val="7B58511C"/>
    <w:lvl w:ilvl="0" w:tplc="218EAA76">
      <w:start w:val="1"/>
      <w:numFmt w:val="bullet"/>
      <w:lvlText w:val="-"/>
      <w:lvlJc w:val="left"/>
      <w:pPr>
        <w:tabs>
          <w:tab w:val="num" w:pos="720"/>
        </w:tabs>
        <w:ind w:left="720" w:hanging="360"/>
      </w:pPr>
      <w:rPr>
        <w:rFonts w:ascii="Times New Roman" w:hAnsi="Times New Roman" w:hint="default"/>
      </w:rPr>
    </w:lvl>
    <w:lvl w:ilvl="1" w:tplc="1D7C6634" w:tentative="1">
      <w:start w:val="1"/>
      <w:numFmt w:val="bullet"/>
      <w:lvlText w:val="-"/>
      <w:lvlJc w:val="left"/>
      <w:pPr>
        <w:tabs>
          <w:tab w:val="num" w:pos="1440"/>
        </w:tabs>
        <w:ind w:left="1440" w:hanging="360"/>
      </w:pPr>
      <w:rPr>
        <w:rFonts w:ascii="Times New Roman" w:hAnsi="Times New Roman" w:hint="default"/>
      </w:rPr>
    </w:lvl>
    <w:lvl w:ilvl="2" w:tplc="6D8E738A" w:tentative="1">
      <w:start w:val="1"/>
      <w:numFmt w:val="bullet"/>
      <w:lvlText w:val="-"/>
      <w:lvlJc w:val="left"/>
      <w:pPr>
        <w:tabs>
          <w:tab w:val="num" w:pos="2160"/>
        </w:tabs>
        <w:ind w:left="2160" w:hanging="360"/>
      </w:pPr>
      <w:rPr>
        <w:rFonts w:ascii="Times New Roman" w:hAnsi="Times New Roman" w:hint="default"/>
      </w:rPr>
    </w:lvl>
    <w:lvl w:ilvl="3" w:tplc="076E56BA" w:tentative="1">
      <w:start w:val="1"/>
      <w:numFmt w:val="bullet"/>
      <w:lvlText w:val="-"/>
      <w:lvlJc w:val="left"/>
      <w:pPr>
        <w:tabs>
          <w:tab w:val="num" w:pos="2880"/>
        </w:tabs>
        <w:ind w:left="2880" w:hanging="360"/>
      </w:pPr>
      <w:rPr>
        <w:rFonts w:ascii="Times New Roman" w:hAnsi="Times New Roman" w:hint="default"/>
      </w:rPr>
    </w:lvl>
    <w:lvl w:ilvl="4" w:tplc="7568967A" w:tentative="1">
      <w:start w:val="1"/>
      <w:numFmt w:val="bullet"/>
      <w:lvlText w:val="-"/>
      <w:lvlJc w:val="left"/>
      <w:pPr>
        <w:tabs>
          <w:tab w:val="num" w:pos="3600"/>
        </w:tabs>
        <w:ind w:left="3600" w:hanging="360"/>
      </w:pPr>
      <w:rPr>
        <w:rFonts w:ascii="Times New Roman" w:hAnsi="Times New Roman" w:hint="default"/>
      </w:rPr>
    </w:lvl>
    <w:lvl w:ilvl="5" w:tplc="34C6D6DA" w:tentative="1">
      <w:start w:val="1"/>
      <w:numFmt w:val="bullet"/>
      <w:lvlText w:val="-"/>
      <w:lvlJc w:val="left"/>
      <w:pPr>
        <w:tabs>
          <w:tab w:val="num" w:pos="4320"/>
        </w:tabs>
        <w:ind w:left="4320" w:hanging="360"/>
      </w:pPr>
      <w:rPr>
        <w:rFonts w:ascii="Times New Roman" w:hAnsi="Times New Roman" w:hint="default"/>
      </w:rPr>
    </w:lvl>
    <w:lvl w:ilvl="6" w:tplc="EC68EC64" w:tentative="1">
      <w:start w:val="1"/>
      <w:numFmt w:val="bullet"/>
      <w:lvlText w:val="-"/>
      <w:lvlJc w:val="left"/>
      <w:pPr>
        <w:tabs>
          <w:tab w:val="num" w:pos="5040"/>
        </w:tabs>
        <w:ind w:left="5040" w:hanging="360"/>
      </w:pPr>
      <w:rPr>
        <w:rFonts w:ascii="Times New Roman" w:hAnsi="Times New Roman" w:hint="default"/>
      </w:rPr>
    </w:lvl>
    <w:lvl w:ilvl="7" w:tplc="8076D03C" w:tentative="1">
      <w:start w:val="1"/>
      <w:numFmt w:val="bullet"/>
      <w:lvlText w:val="-"/>
      <w:lvlJc w:val="left"/>
      <w:pPr>
        <w:tabs>
          <w:tab w:val="num" w:pos="5760"/>
        </w:tabs>
        <w:ind w:left="5760" w:hanging="360"/>
      </w:pPr>
      <w:rPr>
        <w:rFonts w:ascii="Times New Roman" w:hAnsi="Times New Roman" w:hint="default"/>
      </w:rPr>
    </w:lvl>
    <w:lvl w:ilvl="8" w:tplc="2EF82C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25494A"/>
    <w:multiLevelType w:val="hybridMultilevel"/>
    <w:tmpl w:val="BEA8AF7A"/>
    <w:lvl w:ilvl="0" w:tplc="7B3C2F48">
      <w:start w:val="1"/>
      <w:numFmt w:val="decimal"/>
      <w:lvlText w:val="%1."/>
      <w:lvlJc w:val="left"/>
      <w:pPr>
        <w:ind w:left="1704" w:hanging="570"/>
      </w:pPr>
      <w:rPr>
        <w:rFonts w:hint="default"/>
        <w:b w:val="0"/>
        <w:sz w:val="20"/>
        <w:szCs w:val="20"/>
      </w:rPr>
    </w:lvl>
    <w:lvl w:ilvl="1" w:tplc="08090001">
      <w:start w:val="1"/>
      <w:numFmt w:val="bullet"/>
      <w:lvlText w:val=""/>
      <w:lvlJc w:val="left"/>
      <w:pPr>
        <w:ind w:left="2214" w:hanging="360"/>
      </w:pPr>
      <w:rPr>
        <w:rFonts w:ascii="Symbol" w:hAnsi="Symbol"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A63809"/>
    <w:multiLevelType w:val="hybridMultilevel"/>
    <w:tmpl w:val="E7820E22"/>
    <w:lvl w:ilvl="0" w:tplc="0407000F">
      <w:start w:val="1"/>
      <w:numFmt w:val="decimal"/>
      <w:lvlText w:val="%1."/>
      <w:lvlJc w:val="lef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3B6A0217"/>
    <w:multiLevelType w:val="hybridMultilevel"/>
    <w:tmpl w:val="D89C6658"/>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3" w15:restartNumberingAfterBreak="0">
    <w:nsid w:val="45614ADD"/>
    <w:multiLevelType w:val="multilevel"/>
    <w:tmpl w:val="6AA2234E"/>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ascii="Arial" w:hAnsi="Arial" w:hint="default"/>
        <w:b/>
        <w:i w:val="0"/>
      </w:rPr>
    </w:lvl>
    <w:lvl w:ilvl="3">
      <w:start w:val="1"/>
      <w:numFmt w:val="decimal"/>
      <w:lvlText w:val="%1.%2.%3.%4"/>
      <w:lvlJc w:val="left"/>
      <w:pPr>
        <w:tabs>
          <w:tab w:val="num" w:pos="1800"/>
        </w:tabs>
        <w:ind w:left="1418" w:hanging="1418"/>
      </w:pPr>
      <w:rPr>
        <w:rFonts w:hint="default"/>
      </w:rPr>
    </w:lvl>
    <w:lvl w:ilvl="4">
      <w:start w:val="1"/>
      <w:numFmt w:val="decimal"/>
      <w:lvlText w:val="%1.%2.%3.%4.%5"/>
      <w:lvlJc w:val="left"/>
      <w:pPr>
        <w:tabs>
          <w:tab w:val="num" w:pos="2160"/>
        </w:tabs>
        <w:ind w:left="1418" w:hanging="1418"/>
      </w:pPr>
      <w:rPr>
        <w:rFonts w:hint="default"/>
      </w:rPr>
    </w:lvl>
    <w:lvl w:ilvl="5">
      <w:start w:val="1"/>
      <w:numFmt w:val="decimal"/>
      <w:lvlText w:val="6.%2.%3.%4.%5.%6"/>
      <w:lvlJc w:val="left"/>
      <w:pPr>
        <w:tabs>
          <w:tab w:val="num" w:pos="2520"/>
        </w:tabs>
        <w:ind w:left="1418" w:hanging="1418"/>
      </w:pPr>
      <w:rPr>
        <w:rFonts w:hint="default"/>
      </w:rPr>
    </w:lvl>
    <w:lvl w:ilvl="6">
      <w:start w:val="1"/>
      <w:numFmt w:val="decimal"/>
      <w:lvlText w:val="%1.%2.%3.%4.%5.%6.%7"/>
      <w:lvlJc w:val="left"/>
      <w:pPr>
        <w:tabs>
          <w:tab w:val="num" w:pos="1800"/>
        </w:tabs>
        <w:ind w:left="1418" w:hanging="141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9E0DF1"/>
    <w:multiLevelType w:val="hybridMultilevel"/>
    <w:tmpl w:val="F00C870C"/>
    <w:lvl w:ilvl="0" w:tplc="04070017">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8" w15:restartNumberingAfterBreak="0">
    <w:nsid w:val="6F8E6ECF"/>
    <w:multiLevelType w:val="hybridMultilevel"/>
    <w:tmpl w:val="53E021AE"/>
    <w:lvl w:ilvl="0" w:tplc="CF5EEA34">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1"/>
  </w:num>
  <w:num w:numId="14">
    <w:abstractNumId w:val="26"/>
  </w:num>
  <w:num w:numId="15">
    <w:abstractNumId w:val="29"/>
  </w:num>
  <w:num w:numId="16">
    <w:abstractNumId w:val="24"/>
  </w:num>
  <w:num w:numId="17">
    <w:abstractNumId w:val="13"/>
  </w:num>
  <w:num w:numId="18">
    <w:abstractNumId w:val="23"/>
  </w:num>
  <w:num w:numId="19">
    <w:abstractNumId w:val="22"/>
  </w:num>
  <w:num w:numId="20">
    <w:abstractNumId w:val="28"/>
  </w:num>
  <w:num w:numId="21">
    <w:abstractNumId w:val="15"/>
  </w:num>
  <w:num w:numId="22">
    <w:abstractNumId w:val="19"/>
  </w:num>
  <w:num w:numId="23">
    <w:abstractNumId w:val="18"/>
  </w:num>
  <w:num w:numId="24">
    <w:abstractNumId w:val="10"/>
  </w:num>
  <w:num w:numId="25">
    <w:abstractNumId w:val="16"/>
  </w:num>
  <w:num w:numId="26">
    <w:abstractNumId w:val="20"/>
  </w:num>
  <w:num w:numId="27">
    <w:abstractNumId w:val="17"/>
  </w:num>
  <w:num w:numId="28">
    <w:abstractNumId w:val="12"/>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nb-NO"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3D76"/>
    <w:rsid w:val="00005CBF"/>
    <w:rsid w:val="00011932"/>
    <w:rsid w:val="00011B06"/>
    <w:rsid w:val="000120E6"/>
    <w:rsid w:val="000162D9"/>
    <w:rsid w:val="000241F2"/>
    <w:rsid w:val="00025818"/>
    <w:rsid w:val="0003511A"/>
    <w:rsid w:val="000411E0"/>
    <w:rsid w:val="00042739"/>
    <w:rsid w:val="000457B4"/>
    <w:rsid w:val="00046B1F"/>
    <w:rsid w:val="00047596"/>
    <w:rsid w:val="00050F6B"/>
    <w:rsid w:val="0005127A"/>
    <w:rsid w:val="000512DE"/>
    <w:rsid w:val="00051411"/>
    <w:rsid w:val="00056D5B"/>
    <w:rsid w:val="000575AC"/>
    <w:rsid w:val="00057E97"/>
    <w:rsid w:val="000646F4"/>
    <w:rsid w:val="0006491B"/>
    <w:rsid w:val="00066DCB"/>
    <w:rsid w:val="00072C8C"/>
    <w:rsid w:val="000733B5"/>
    <w:rsid w:val="0007724B"/>
    <w:rsid w:val="0008032D"/>
    <w:rsid w:val="00081815"/>
    <w:rsid w:val="00084795"/>
    <w:rsid w:val="00085285"/>
    <w:rsid w:val="000931C0"/>
    <w:rsid w:val="00093770"/>
    <w:rsid w:val="00096C84"/>
    <w:rsid w:val="000A17BA"/>
    <w:rsid w:val="000A309E"/>
    <w:rsid w:val="000A7999"/>
    <w:rsid w:val="000B0595"/>
    <w:rsid w:val="000B175B"/>
    <w:rsid w:val="000B3557"/>
    <w:rsid w:val="000B3A0F"/>
    <w:rsid w:val="000B3D27"/>
    <w:rsid w:val="000B491C"/>
    <w:rsid w:val="000B4EF7"/>
    <w:rsid w:val="000C2C03"/>
    <w:rsid w:val="000C2D2E"/>
    <w:rsid w:val="000D08B9"/>
    <w:rsid w:val="000D3E3E"/>
    <w:rsid w:val="000D6FE2"/>
    <w:rsid w:val="000E0415"/>
    <w:rsid w:val="000E0637"/>
    <w:rsid w:val="000E29B4"/>
    <w:rsid w:val="000F2981"/>
    <w:rsid w:val="00103E02"/>
    <w:rsid w:val="00110035"/>
    <w:rsid w:val="001103AA"/>
    <w:rsid w:val="00110611"/>
    <w:rsid w:val="00111A5C"/>
    <w:rsid w:val="0011666B"/>
    <w:rsid w:val="00117D04"/>
    <w:rsid w:val="00121D95"/>
    <w:rsid w:val="00130698"/>
    <w:rsid w:val="0013299E"/>
    <w:rsid w:val="00143D55"/>
    <w:rsid w:val="00145971"/>
    <w:rsid w:val="00153C2C"/>
    <w:rsid w:val="00162BCF"/>
    <w:rsid w:val="00164FF7"/>
    <w:rsid w:val="00165F3A"/>
    <w:rsid w:val="0016663C"/>
    <w:rsid w:val="0017318C"/>
    <w:rsid w:val="00173696"/>
    <w:rsid w:val="001742C0"/>
    <w:rsid w:val="00175E6F"/>
    <w:rsid w:val="00177C0F"/>
    <w:rsid w:val="00180699"/>
    <w:rsid w:val="001817D6"/>
    <w:rsid w:val="00197F3F"/>
    <w:rsid w:val="001A0857"/>
    <w:rsid w:val="001A1D4B"/>
    <w:rsid w:val="001A2105"/>
    <w:rsid w:val="001A6E11"/>
    <w:rsid w:val="001A6F83"/>
    <w:rsid w:val="001B4B04"/>
    <w:rsid w:val="001C233C"/>
    <w:rsid w:val="001C346C"/>
    <w:rsid w:val="001C3DA8"/>
    <w:rsid w:val="001C504D"/>
    <w:rsid w:val="001C6070"/>
    <w:rsid w:val="001C6663"/>
    <w:rsid w:val="001C7895"/>
    <w:rsid w:val="001C7AE0"/>
    <w:rsid w:val="001D0C8C"/>
    <w:rsid w:val="001D1419"/>
    <w:rsid w:val="001D26DF"/>
    <w:rsid w:val="001D36E7"/>
    <w:rsid w:val="001D3A03"/>
    <w:rsid w:val="001D4954"/>
    <w:rsid w:val="001D4AEC"/>
    <w:rsid w:val="001D7750"/>
    <w:rsid w:val="001E3EEF"/>
    <w:rsid w:val="001E4C81"/>
    <w:rsid w:val="001E7B67"/>
    <w:rsid w:val="001F715D"/>
    <w:rsid w:val="00202DA8"/>
    <w:rsid w:val="00205583"/>
    <w:rsid w:val="00207AC3"/>
    <w:rsid w:val="00210872"/>
    <w:rsid w:val="00210C59"/>
    <w:rsid w:val="00211E0B"/>
    <w:rsid w:val="00216FE5"/>
    <w:rsid w:val="002225CB"/>
    <w:rsid w:val="00222DF8"/>
    <w:rsid w:val="00223A66"/>
    <w:rsid w:val="00224D92"/>
    <w:rsid w:val="00234DF2"/>
    <w:rsid w:val="00237E67"/>
    <w:rsid w:val="0024772E"/>
    <w:rsid w:val="00250271"/>
    <w:rsid w:val="002514D4"/>
    <w:rsid w:val="00252D8D"/>
    <w:rsid w:val="002537A3"/>
    <w:rsid w:val="00261ACC"/>
    <w:rsid w:val="002646A4"/>
    <w:rsid w:val="0026666A"/>
    <w:rsid w:val="00267B69"/>
    <w:rsid w:val="00267F5F"/>
    <w:rsid w:val="002709B0"/>
    <w:rsid w:val="00270B55"/>
    <w:rsid w:val="00271AEC"/>
    <w:rsid w:val="0027769C"/>
    <w:rsid w:val="00282751"/>
    <w:rsid w:val="00284318"/>
    <w:rsid w:val="002864E1"/>
    <w:rsid w:val="00286B4D"/>
    <w:rsid w:val="00291693"/>
    <w:rsid w:val="0029372B"/>
    <w:rsid w:val="002A06F1"/>
    <w:rsid w:val="002A4C9A"/>
    <w:rsid w:val="002B5655"/>
    <w:rsid w:val="002B7F28"/>
    <w:rsid w:val="002C03AE"/>
    <w:rsid w:val="002C1C5D"/>
    <w:rsid w:val="002C1F5F"/>
    <w:rsid w:val="002C6AC2"/>
    <w:rsid w:val="002D0CA9"/>
    <w:rsid w:val="002D2FB7"/>
    <w:rsid w:val="002D4643"/>
    <w:rsid w:val="002E03A0"/>
    <w:rsid w:val="002E3031"/>
    <w:rsid w:val="002E4DE5"/>
    <w:rsid w:val="002E5D40"/>
    <w:rsid w:val="002F175C"/>
    <w:rsid w:val="002F1F76"/>
    <w:rsid w:val="002F5EA4"/>
    <w:rsid w:val="00302E18"/>
    <w:rsid w:val="00303F18"/>
    <w:rsid w:val="00314275"/>
    <w:rsid w:val="003229D8"/>
    <w:rsid w:val="0032493B"/>
    <w:rsid w:val="003319CE"/>
    <w:rsid w:val="003336F3"/>
    <w:rsid w:val="00343DFB"/>
    <w:rsid w:val="00346824"/>
    <w:rsid w:val="003476EF"/>
    <w:rsid w:val="00352709"/>
    <w:rsid w:val="00353B6A"/>
    <w:rsid w:val="003574DA"/>
    <w:rsid w:val="003619B5"/>
    <w:rsid w:val="00362309"/>
    <w:rsid w:val="00362A1C"/>
    <w:rsid w:val="00365763"/>
    <w:rsid w:val="00371178"/>
    <w:rsid w:val="003711BC"/>
    <w:rsid w:val="00371590"/>
    <w:rsid w:val="00377020"/>
    <w:rsid w:val="003776D0"/>
    <w:rsid w:val="0039079F"/>
    <w:rsid w:val="00392E47"/>
    <w:rsid w:val="00394CC5"/>
    <w:rsid w:val="003952A5"/>
    <w:rsid w:val="003A6810"/>
    <w:rsid w:val="003B0F14"/>
    <w:rsid w:val="003B173B"/>
    <w:rsid w:val="003B2A95"/>
    <w:rsid w:val="003B4873"/>
    <w:rsid w:val="003C0075"/>
    <w:rsid w:val="003C2CC4"/>
    <w:rsid w:val="003C5C58"/>
    <w:rsid w:val="003C654A"/>
    <w:rsid w:val="003C7018"/>
    <w:rsid w:val="003D1847"/>
    <w:rsid w:val="003D4B23"/>
    <w:rsid w:val="003D5C99"/>
    <w:rsid w:val="003D6AA5"/>
    <w:rsid w:val="003D6CB1"/>
    <w:rsid w:val="003E130E"/>
    <w:rsid w:val="003E6702"/>
    <w:rsid w:val="003E7397"/>
    <w:rsid w:val="004021CB"/>
    <w:rsid w:val="004066A5"/>
    <w:rsid w:val="00410C89"/>
    <w:rsid w:val="004114BC"/>
    <w:rsid w:val="0041416B"/>
    <w:rsid w:val="004151E5"/>
    <w:rsid w:val="004207CD"/>
    <w:rsid w:val="00421FE8"/>
    <w:rsid w:val="00422E03"/>
    <w:rsid w:val="0042319F"/>
    <w:rsid w:val="004240EB"/>
    <w:rsid w:val="0042588A"/>
    <w:rsid w:val="00426B9B"/>
    <w:rsid w:val="004325CB"/>
    <w:rsid w:val="00442A83"/>
    <w:rsid w:val="00445159"/>
    <w:rsid w:val="0045495B"/>
    <w:rsid w:val="004561E5"/>
    <w:rsid w:val="004570B1"/>
    <w:rsid w:val="004732BE"/>
    <w:rsid w:val="0047379F"/>
    <w:rsid w:val="0048262F"/>
    <w:rsid w:val="00482F71"/>
    <w:rsid w:val="0048397A"/>
    <w:rsid w:val="00485CBB"/>
    <w:rsid w:val="004866B7"/>
    <w:rsid w:val="004A27BC"/>
    <w:rsid w:val="004A2BD3"/>
    <w:rsid w:val="004A4DDA"/>
    <w:rsid w:val="004A5062"/>
    <w:rsid w:val="004A5098"/>
    <w:rsid w:val="004A6F63"/>
    <w:rsid w:val="004B1837"/>
    <w:rsid w:val="004B2EAF"/>
    <w:rsid w:val="004C1ADD"/>
    <w:rsid w:val="004C1F3D"/>
    <w:rsid w:val="004C2461"/>
    <w:rsid w:val="004C2BD5"/>
    <w:rsid w:val="004C7462"/>
    <w:rsid w:val="004D0588"/>
    <w:rsid w:val="004D1404"/>
    <w:rsid w:val="004D33EE"/>
    <w:rsid w:val="004E6FFC"/>
    <w:rsid w:val="004E77B2"/>
    <w:rsid w:val="004E7BE6"/>
    <w:rsid w:val="004F0825"/>
    <w:rsid w:val="004F1E3C"/>
    <w:rsid w:val="004F4D76"/>
    <w:rsid w:val="0050113C"/>
    <w:rsid w:val="00502C76"/>
    <w:rsid w:val="00504B2D"/>
    <w:rsid w:val="00517BA4"/>
    <w:rsid w:val="005207B4"/>
    <w:rsid w:val="0052136D"/>
    <w:rsid w:val="00522680"/>
    <w:rsid w:val="0052775E"/>
    <w:rsid w:val="0053784E"/>
    <w:rsid w:val="0054034C"/>
    <w:rsid w:val="0054179A"/>
    <w:rsid w:val="005420F2"/>
    <w:rsid w:val="00544504"/>
    <w:rsid w:val="00547B54"/>
    <w:rsid w:val="00552CEB"/>
    <w:rsid w:val="005550C7"/>
    <w:rsid w:val="005575D3"/>
    <w:rsid w:val="0056099E"/>
    <w:rsid w:val="00561B06"/>
    <w:rsid w:val="005625EB"/>
    <w:rsid w:val="005628B6"/>
    <w:rsid w:val="0056374F"/>
    <w:rsid w:val="00565B21"/>
    <w:rsid w:val="00570378"/>
    <w:rsid w:val="00575310"/>
    <w:rsid w:val="00575B3B"/>
    <w:rsid w:val="00575C6F"/>
    <w:rsid w:val="00576004"/>
    <w:rsid w:val="0057735C"/>
    <w:rsid w:val="005778AE"/>
    <w:rsid w:val="00591204"/>
    <w:rsid w:val="00591D4E"/>
    <w:rsid w:val="005941EC"/>
    <w:rsid w:val="005958A0"/>
    <w:rsid w:val="00596156"/>
    <w:rsid w:val="0059724D"/>
    <w:rsid w:val="005A1A08"/>
    <w:rsid w:val="005A2E0F"/>
    <w:rsid w:val="005A7D56"/>
    <w:rsid w:val="005B3DB3"/>
    <w:rsid w:val="005B4E13"/>
    <w:rsid w:val="005C342F"/>
    <w:rsid w:val="005D0D8E"/>
    <w:rsid w:val="005D2186"/>
    <w:rsid w:val="005D36CF"/>
    <w:rsid w:val="005D4078"/>
    <w:rsid w:val="005D4D80"/>
    <w:rsid w:val="005D7CAC"/>
    <w:rsid w:val="005E526F"/>
    <w:rsid w:val="005E5BC9"/>
    <w:rsid w:val="005F43B2"/>
    <w:rsid w:val="005F5489"/>
    <w:rsid w:val="005F7B75"/>
    <w:rsid w:val="005F7CF0"/>
    <w:rsid w:val="006001EE"/>
    <w:rsid w:val="006005F7"/>
    <w:rsid w:val="006033AF"/>
    <w:rsid w:val="006039E1"/>
    <w:rsid w:val="00605042"/>
    <w:rsid w:val="0060603F"/>
    <w:rsid w:val="00611FC4"/>
    <w:rsid w:val="00613091"/>
    <w:rsid w:val="006156A8"/>
    <w:rsid w:val="006176FB"/>
    <w:rsid w:val="00617E96"/>
    <w:rsid w:val="0063012C"/>
    <w:rsid w:val="00636B88"/>
    <w:rsid w:val="00636F0C"/>
    <w:rsid w:val="006404E9"/>
    <w:rsid w:val="00640B26"/>
    <w:rsid w:val="0064132B"/>
    <w:rsid w:val="006462D5"/>
    <w:rsid w:val="0065178B"/>
    <w:rsid w:val="00652D0A"/>
    <w:rsid w:val="00662BB6"/>
    <w:rsid w:val="00662CFB"/>
    <w:rsid w:val="006642B6"/>
    <w:rsid w:val="00670CD5"/>
    <w:rsid w:val="00672FDA"/>
    <w:rsid w:val="006748D2"/>
    <w:rsid w:val="00675849"/>
    <w:rsid w:val="00676606"/>
    <w:rsid w:val="00684C21"/>
    <w:rsid w:val="006904BE"/>
    <w:rsid w:val="00691FF4"/>
    <w:rsid w:val="006924F6"/>
    <w:rsid w:val="00695084"/>
    <w:rsid w:val="006A0E5C"/>
    <w:rsid w:val="006A2530"/>
    <w:rsid w:val="006A32FE"/>
    <w:rsid w:val="006A681C"/>
    <w:rsid w:val="006C1AF1"/>
    <w:rsid w:val="006C3589"/>
    <w:rsid w:val="006C74F5"/>
    <w:rsid w:val="006D2E08"/>
    <w:rsid w:val="006D37AF"/>
    <w:rsid w:val="006D51D0"/>
    <w:rsid w:val="006D54B1"/>
    <w:rsid w:val="006D5FB9"/>
    <w:rsid w:val="006E0AEF"/>
    <w:rsid w:val="006E1231"/>
    <w:rsid w:val="006E1D88"/>
    <w:rsid w:val="006E2CCE"/>
    <w:rsid w:val="006E535C"/>
    <w:rsid w:val="006E564B"/>
    <w:rsid w:val="006E5927"/>
    <w:rsid w:val="006E7191"/>
    <w:rsid w:val="007011A3"/>
    <w:rsid w:val="00703577"/>
    <w:rsid w:val="00703956"/>
    <w:rsid w:val="007047A9"/>
    <w:rsid w:val="00705894"/>
    <w:rsid w:val="00721110"/>
    <w:rsid w:val="00723542"/>
    <w:rsid w:val="00724C17"/>
    <w:rsid w:val="0072632A"/>
    <w:rsid w:val="007302FD"/>
    <w:rsid w:val="007327D5"/>
    <w:rsid w:val="0073593C"/>
    <w:rsid w:val="00737A73"/>
    <w:rsid w:val="00737E7A"/>
    <w:rsid w:val="00752B30"/>
    <w:rsid w:val="00755605"/>
    <w:rsid w:val="007576F3"/>
    <w:rsid w:val="00760DFB"/>
    <w:rsid w:val="007629C8"/>
    <w:rsid w:val="0076669C"/>
    <w:rsid w:val="0077047D"/>
    <w:rsid w:val="007708A5"/>
    <w:rsid w:val="007722B0"/>
    <w:rsid w:val="0077542C"/>
    <w:rsid w:val="0077728A"/>
    <w:rsid w:val="007851CB"/>
    <w:rsid w:val="007931F7"/>
    <w:rsid w:val="0079410A"/>
    <w:rsid w:val="007A0D0E"/>
    <w:rsid w:val="007A190F"/>
    <w:rsid w:val="007B2176"/>
    <w:rsid w:val="007B249A"/>
    <w:rsid w:val="007B5332"/>
    <w:rsid w:val="007B6BA5"/>
    <w:rsid w:val="007C1F9F"/>
    <w:rsid w:val="007C3390"/>
    <w:rsid w:val="007C38EF"/>
    <w:rsid w:val="007C4F4B"/>
    <w:rsid w:val="007C554F"/>
    <w:rsid w:val="007D19E1"/>
    <w:rsid w:val="007D3162"/>
    <w:rsid w:val="007D3BA7"/>
    <w:rsid w:val="007D784A"/>
    <w:rsid w:val="007E01E9"/>
    <w:rsid w:val="007E160C"/>
    <w:rsid w:val="007E63F3"/>
    <w:rsid w:val="007F32E1"/>
    <w:rsid w:val="007F6611"/>
    <w:rsid w:val="00802E3F"/>
    <w:rsid w:val="0081086B"/>
    <w:rsid w:val="00811920"/>
    <w:rsid w:val="00812BD8"/>
    <w:rsid w:val="00815AD0"/>
    <w:rsid w:val="00816F53"/>
    <w:rsid w:val="00822581"/>
    <w:rsid w:val="008225D4"/>
    <w:rsid w:val="008242D7"/>
    <w:rsid w:val="008254F7"/>
    <w:rsid w:val="008257B1"/>
    <w:rsid w:val="00826FDE"/>
    <w:rsid w:val="0082782C"/>
    <w:rsid w:val="00832334"/>
    <w:rsid w:val="00836336"/>
    <w:rsid w:val="00843767"/>
    <w:rsid w:val="00844640"/>
    <w:rsid w:val="008567B1"/>
    <w:rsid w:val="008600BB"/>
    <w:rsid w:val="00862F15"/>
    <w:rsid w:val="00862FCB"/>
    <w:rsid w:val="00863F32"/>
    <w:rsid w:val="008645ED"/>
    <w:rsid w:val="008679D9"/>
    <w:rsid w:val="008731E4"/>
    <w:rsid w:val="00875766"/>
    <w:rsid w:val="00875A89"/>
    <w:rsid w:val="00877FF6"/>
    <w:rsid w:val="0088057D"/>
    <w:rsid w:val="00884086"/>
    <w:rsid w:val="008878DE"/>
    <w:rsid w:val="0089025B"/>
    <w:rsid w:val="0089303C"/>
    <w:rsid w:val="00894669"/>
    <w:rsid w:val="00895050"/>
    <w:rsid w:val="00895BAB"/>
    <w:rsid w:val="008979B1"/>
    <w:rsid w:val="008A0084"/>
    <w:rsid w:val="008A50EE"/>
    <w:rsid w:val="008A6B25"/>
    <w:rsid w:val="008A6C4F"/>
    <w:rsid w:val="008B1F31"/>
    <w:rsid w:val="008B20D7"/>
    <w:rsid w:val="008B2335"/>
    <w:rsid w:val="008B2C92"/>
    <w:rsid w:val="008B3C63"/>
    <w:rsid w:val="008B6BA3"/>
    <w:rsid w:val="008C271F"/>
    <w:rsid w:val="008C4B88"/>
    <w:rsid w:val="008C571D"/>
    <w:rsid w:val="008D2334"/>
    <w:rsid w:val="008E066B"/>
    <w:rsid w:val="008E0678"/>
    <w:rsid w:val="008E29E8"/>
    <w:rsid w:val="008E2D75"/>
    <w:rsid w:val="008E5914"/>
    <w:rsid w:val="008E6D2E"/>
    <w:rsid w:val="008E7508"/>
    <w:rsid w:val="008E7E09"/>
    <w:rsid w:val="008F31D2"/>
    <w:rsid w:val="008F6553"/>
    <w:rsid w:val="0090465E"/>
    <w:rsid w:val="009109CC"/>
    <w:rsid w:val="00914B7C"/>
    <w:rsid w:val="009166EB"/>
    <w:rsid w:val="00917FDE"/>
    <w:rsid w:val="00920CA3"/>
    <w:rsid w:val="009215C9"/>
    <w:rsid w:val="009223CA"/>
    <w:rsid w:val="00922C88"/>
    <w:rsid w:val="00922F9C"/>
    <w:rsid w:val="0092434D"/>
    <w:rsid w:val="00931EB3"/>
    <w:rsid w:val="009337EB"/>
    <w:rsid w:val="00933D40"/>
    <w:rsid w:val="00933E7C"/>
    <w:rsid w:val="00936E4A"/>
    <w:rsid w:val="00940F93"/>
    <w:rsid w:val="009506D7"/>
    <w:rsid w:val="00957EB6"/>
    <w:rsid w:val="00962CB0"/>
    <w:rsid w:val="009640C1"/>
    <w:rsid w:val="0096572A"/>
    <w:rsid w:val="0096751C"/>
    <w:rsid w:val="00973269"/>
    <w:rsid w:val="00973BBC"/>
    <w:rsid w:val="00973C44"/>
    <w:rsid w:val="009760F3"/>
    <w:rsid w:val="0097696C"/>
    <w:rsid w:val="00976CFB"/>
    <w:rsid w:val="009812D6"/>
    <w:rsid w:val="00982036"/>
    <w:rsid w:val="009911C4"/>
    <w:rsid w:val="009941AF"/>
    <w:rsid w:val="0099747B"/>
    <w:rsid w:val="009A0830"/>
    <w:rsid w:val="009A0E8D"/>
    <w:rsid w:val="009A5C6E"/>
    <w:rsid w:val="009A6244"/>
    <w:rsid w:val="009A776B"/>
    <w:rsid w:val="009A7D9E"/>
    <w:rsid w:val="009B26E7"/>
    <w:rsid w:val="009B4D32"/>
    <w:rsid w:val="009B7A75"/>
    <w:rsid w:val="009D219D"/>
    <w:rsid w:val="009D331A"/>
    <w:rsid w:val="009D6B04"/>
    <w:rsid w:val="009E076B"/>
    <w:rsid w:val="009E5596"/>
    <w:rsid w:val="009E5ED7"/>
    <w:rsid w:val="009E7286"/>
    <w:rsid w:val="009F53F8"/>
    <w:rsid w:val="009F5EBC"/>
    <w:rsid w:val="00A00697"/>
    <w:rsid w:val="00A00A2D"/>
    <w:rsid w:val="00A00A3F"/>
    <w:rsid w:val="00A01489"/>
    <w:rsid w:val="00A046A3"/>
    <w:rsid w:val="00A0523A"/>
    <w:rsid w:val="00A144E6"/>
    <w:rsid w:val="00A22145"/>
    <w:rsid w:val="00A3026E"/>
    <w:rsid w:val="00A32DEF"/>
    <w:rsid w:val="00A338F1"/>
    <w:rsid w:val="00A35BE0"/>
    <w:rsid w:val="00A4373C"/>
    <w:rsid w:val="00A54C24"/>
    <w:rsid w:val="00A568EC"/>
    <w:rsid w:val="00A6129C"/>
    <w:rsid w:val="00A6256A"/>
    <w:rsid w:val="00A64618"/>
    <w:rsid w:val="00A65994"/>
    <w:rsid w:val="00A72178"/>
    <w:rsid w:val="00A72F22"/>
    <w:rsid w:val="00A7360F"/>
    <w:rsid w:val="00A748A6"/>
    <w:rsid w:val="00A769F4"/>
    <w:rsid w:val="00A776B4"/>
    <w:rsid w:val="00A77EA9"/>
    <w:rsid w:val="00A820AF"/>
    <w:rsid w:val="00A82631"/>
    <w:rsid w:val="00A83840"/>
    <w:rsid w:val="00A85344"/>
    <w:rsid w:val="00A86C48"/>
    <w:rsid w:val="00A94361"/>
    <w:rsid w:val="00A96277"/>
    <w:rsid w:val="00AA1DED"/>
    <w:rsid w:val="00AA293C"/>
    <w:rsid w:val="00AA5E3A"/>
    <w:rsid w:val="00AA626D"/>
    <w:rsid w:val="00AA6B02"/>
    <w:rsid w:val="00AB3532"/>
    <w:rsid w:val="00AB5C99"/>
    <w:rsid w:val="00AC3F1A"/>
    <w:rsid w:val="00AC4D43"/>
    <w:rsid w:val="00AD4765"/>
    <w:rsid w:val="00AD5198"/>
    <w:rsid w:val="00AE08F1"/>
    <w:rsid w:val="00AE2796"/>
    <w:rsid w:val="00AE2E12"/>
    <w:rsid w:val="00AE37B9"/>
    <w:rsid w:val="00AE7273"/>
    <w:rsid w:val="00AF0EA9"/>
    <w:rsid w:val="00AF6091"/>
    <w:rsid w:val="00B00EB9"/>
    <w:rsid w:val="00B0107C"/>
    <w:rsid w:val="00B15F1E"/>
    <w:rsid w:val="00B170C8"/>
    <w:rsid w:val="00B30179"/>
    <w:rsid w:val="00B332E1"/>
    <w:rsid w:val="00B33B8F"/>
    <w:rsid w:val="00B35CD5"/>
    <w:rsid w:val="00B40092"/>
    <w:rsid w:val="00B421C1"/>
    <w:rsid w:val="00B435D6"/>
    <w:rsid w:val="00B53483"/>
    <w:rsid w:val="00B55C71"/>
    <w:rsid w:val="00B5672F"/>
    <w:rsid w:val="00B567A2"/>
    <w:rsid w:val="00B56E4A"/>
    <w:rsid w:val="00B56E9C"/>
    <w:rsid w:val="00B64B1F"/>
    <w:rsid w:val="00B6553F"/>
    <w:rsid w:val="00B7025D"/>
    <w:rsid w:val="00B72BE1"/>
    <w:rsid w:val="00B74C28"/>
    <w:rsid w:val="00B777AE"/>
    <w:rsid w:val="00B77D05"/>
    <w:rsid w:val="00B81206"/>
    <w:rsid w:val="00B81E12"/>
    <w:rsid w:val="00B84AEC"/>
    <w:rsid w:val="00B876F7"/>
    <w:rsid w:val="00B92FEF"/>
    <w:rsid w:val="00B9620D"/>
    <w:rsid w:val="00B963DD"/>
    <w:rsid w:val="00B96BDE"/>
    <w:rsid w:val="00BA51FC"/>
    <w:rsid w:val="00BB3473"/>
    <w:rsid w:val="00BB3F2F"/>
    <w:rsid w:val="00BC05E3"/>
    <w:rsid w:val="00BC0C0B"/>
    <w:rsid w:val="00BC3FA0"/>
    <w:rsid w:val="00BC5010"/>
    <w:rsid w:val="00BC74E9"/>
    <w:rsid w:val="00BD06E5"/>
    <w:rsid w:val="00BD1A86"/>
    <w:rsid w:val="00BD3DC8"/>
    <w:rsid w:val="00BD43A5"/>
    <w:rsid w:val="00BD4A01"/>
    <w:rsid w:val="00BD5AB7"/>
    <w:rsid w:val="00BE3161"/>
    <w:rsid w:val="00BF0CF2"/>
    <w:rsid w:val="00BF2EF3"/>
    <w:rsid w:val="00BF48D9"/>
    <w:rsid w:val="00BF5486"/>
    <w:rsid w:val="00BF67DE"/>
    <w:rsid w:val="00BF68A8"/>
    <w:rsid w:val="00BF76F9"/>
    <w:rsid w:val="00C00D95"/>
    <w:rsid w:val="00C10EAD"/>
    <w:rsid w:val="00C11A03"/>
    <w:rsid w:val="00C121A5"/>
    <w:rsid w:val="00C14EC4"/>
    <w:rsid w:val="00C17B9D"/>
    <w:rsid w:val="00C22C0C"/>
    <w:rsid w:val="00C23235"/>
    <w:rsid w:val="00C25CAF"/>
    <w:rsid w:val="00C25CD7"/>
    <w:rsid w:val="00C2766D"/>
    <w:rsid w:val="00C30FA8"/>
    <w:rsid w:val="00C4253C"/>
    <w:rsid w:val="00C43DD2"/>
    <w:rsid w:val="00C4527F"/>
    <w:rsid w:val="00C463DD"/>
    <w:rsid w:val="00C465BB"/>
    <w:rsid w:val="00C46BCA"/>
    <w:rsid w:val="00C4724C"/>
    <w:rsid w:val="00C51AD6"/>
    <w:rsid w:val="00C5214A"/>
    <w:rsid w:val="00C55F19"/>
    <w:rsid w:val="00C566DB"/>
    <w:rsid w:val="00C567E1"/>
    <w:rsid w:val="00C60884"/>
    <w:rsid w:val="00C60D3B"/>
    <w:rsid w:val="00C629A0"/>
    <w:rsid w:val="00C62EBB"/>
    <w:rsid w:val="00C64629"/>
    <w:rsid w:val="00C64CBC"/>
    <w:rsid w:val="00C711ED"/>
    <w:rsid w:val="00C745C3"/>
    <w:rsid w:val="00C75A4D"/>
    <w:rsid w:val="00C75D0C"/>
    <w:rsid w:val="00C86486"/>
    <w:rsid w:val="00C91922"/>
    <w:rsid w:val="00C933EF"/>
    <w:rsid w:val="00C96DF2"/>
    <w:rsid w:val="00C97150"/>
    <w:rsid w:val="00CA0F0A"/>
    <w:rsid w:val="00CA31C6"/>
    <w:rsid w:val="00CA6D93"/>
    <w:rsid w:val="00CA7D2A"/>
    <w:rsid w:val="00CB0F53"/>
    <w:rsid w:val="00CB3E03"/>
    <w:rsid w:val="00CB6CF4"/>
    <w:rsid w:val="00CC1FEF"/>
    <w:rsid w:val="00CC2893"/>
    <w:rsid w:val="00CC5BC3"/>
    <w:rsid w:val="00CD0F1E"/>
    <w:rsid w:val="00CD1B04"/>
    <w:rsid w:val="00CD4589"/>
    <w:rsid w:val="00CD4AA6"/>
    <w:rsid w:val="00CD6BFA"/>
    <w:rsid w:val="00CE1E84"/>
    <w:rsid w:val="00CE37CD"/>
    <w:rsid w:val="00CE4A8F"/>
    <w:rsid w:val="00CF299F"/>
    <w:rsid w:val="00CF78A3"/>
    <w:rsid w:val="00D0030D"/>
    <w:rsid w:val="00D00EBF"/>
    <w:rsid w:val="00D02987"/>
    <w:rsid w:val="00D02FB1"/>
    <w:rsid w:val="00D04C98"/>
    <w:rsid w:val="00D11F71"/>
    <w:rsid w:val="00D12F38"/>
    <w:rsid w:val="00D13D3B"/>
    <w:rsid w:val="00D15DB2"/>
    <w:rsid w:val="00D2031B"/>
    <w:rsid w:val="00D215CA"/>
    <w:rsid w:val="00D21BAC"/>
    <w:rsid w:val="00D248B6"/>
    <w:rsid w:val="00D25FE2"/>
    <w:rsid w:val="00D260D9"/>
    <w:rsid w:val="00D277B8"/>
    <w:rsid w:val="00D3022D"/>
    <w:rsid w:val="00D329C1"/>
    <w:rsid w:val="00D35A18"/>
    <w:rsid w:val="00D37B31"/>
    <w:rsid w:val="00D37C72"/>
    <w:rsid w:val="00D4244C"/>
    <w:rsid w:val="00D43252"/>
    <w:rsid w:val="00D46113"/>
    <w:rsid w:val="00D46A70"/>
    <w:rsid w:val="00D47EEA"/>
    <w:rsid w:val="00D500EA"/>
    <w:rsid w:val="00D52110"/>
    <w:rsid w:val="00D52237"/>
    <w:rsid w:val="00D54946"/>
    <w:rsid w:val="00D55539"/>
    <w:rsid w:val="00D61562"/>
    <w:rsid w:val="00D652E7"/>
    <w:rsid w:val="00D773DF"/>
    <w:rsid w:val="00D801F1"/>
    <w:rsid w:val="00D858D0"/>
    <w:rsid w:val="00D92863"/>
    <w:rsid w:val="00D93C2A"/>
    <w:rsid w:val="00D95303"/>
    <w:rsid w:val="00D9656A"/>
    <w:rsid w:val="00D978C6"/>
    <w:rsid w:val="00DA1781"/>
    <w:rsid w:val="00DA3C1C"/>
    <w:rsid w:val="00DA50C4"/>
    <w:rsid w:val="00DA6CC8"/>
    <w:rsid w:val="00DB12D7"/>
    <w:rsid w:val="00DB5C6F"/>
    <w:rsid w:val="00DB6987"/>
    <w:rsid w:val="00DC1C1D"/>
    <w:rsid w:val="00DC393A"/>
    <w:rsid w:val="00DC45EF"/>
    <w:rsid w:val="00DC6AD4"/>
    <w:rsid w:val="00DC7544"/>
    <w:rsid w:val="00DD1088"/>
    <w:rsid w:val="00DD6457"/>
    <w:rsid w:val="00DE30CB"/>
    <w:rsid w:val="00DE6B06"/>
    <w:rsid w:val="00DF4CC2"/>
    <w:rsid w:val="00DF4D79"/>
    <w:rsid w:val="00DF5FF4"/>
    <w:rsid w:val="00DF6C26"/>
    <w:rsid w:val="00E03098"/>
    <w:rsid w:val="00E046DF"/>
    <w:rsid w:val="00E12655"/>
    <w:rsid w:val="00E2083E"/>
    <w:rsid w:val="00E20B22"/>
    <w:rsid w:val="00E214F0"/>
    <w:rsid w:val="00E22415"/>
    <w:rsid w:val="00E27346"/>
    <w:rsid w:val="00E27B0C"/>
    <w:rsid w:val="00E37533"/>
    <w:rsid w:val="00E43BF2"/>
    <w:rsid w:val="00E5214B"/>
    <w:rsid w:val="00E5372B"/>
    <w:rsid w:val="00E53B23"/>
    <w:rsid w:val="00E57A3B"/>
    <w:rsid w:val="00E57BD4"/>
    <w:rsid w:val="00E62B01"/>
    <w:rsid w:val="00E634C8"/>
    <w:rsid w:val="00E64CFF"/>
    <w:rsid w:val="00E70BBC"/>
    <w:rsid w:val="00E71BC8"/>
    <w:rsid w:val="00E7260F"/>
    <w:rsid w:val="00E73F5D"/>
    <w:rsid w:val="00E76D5E"/>
    <w:rsid w:val="00E77715"/>
    <w:rsid w:val="00E77E4E"/>
    <w:rsid w:val="00E8017F"/>
    <w:rsid w:val="00E80BCB"/>
    <w:rsid w:val="00E946CF"/>
    <w:rsid w:val="00E94ED4"/>
    <w:rsid w:val="00E96630"/>
    <w:rsid w:val="00E97783"/>
    <w:rsid w:val="00E97BAF"/>
    <w:rsid w:val="00EA3D43"/>
    <w:rsid w:val="00EA3FC3"/>
    <w:rsid w:val="00EB09F5"/>
    <w:rsid w:val="00EB3B4B"/>
    <w:rsid w:val="00EB4534"/>
    <w:rsid w:val="00EC05F9"/>
    <w:rsid w:val="00EC60D8"/>
    <w:rsid w:val="00ED7297"/>
    <w:rsid w:val="00ED7A2A"/>
    <w:rsid w:val="00EE105A"/>
    <w:rsid w:val="00EE105C"/>
    <w:rsid w:val="00EE5A98"/>
    <w:rsid w:val="00EE5EA4"/>
    <w:rsid w:val="00EF1D7F"/>
    <w:rsid w:val="00EF4C20"/>
    <w:rsid w:val="00F015F8"/>
    <w:rsid w:val="00F12D83"/>
    <w:rsid w:val="00F13886"/>
    <w:rsid w:val="00F15436"/>
    <w:rsid w:val="00F23D5B"/>
    <w:rsid w:val="00F259E5"/>
    <w:rsid w:val="00F31E5F"/>
    <w:rsid w:val="00F333A2"/>
    <w:rsid w:val="00F35EF4"/>
    <w:rsid w:val="00F36F52"/>
    <w:rsid w:val="00F42032"/>
    <w:rsid w:val="00F52C77"/>
    <w:rsid w:val="00F55403"/>
    <w:rsid w:val="00F601B2"/>
    <w:rsid w:val="00F6100A"/>
    <w:rsid w:val="00F63A3C"/>
    <w:rsid w:val="00F641CD"/>
    <w:rsid w:val="00F66C5E"/>
    <w:rsid w:val="00F71BEF"/>
    <w:rsid w:val="00F7208B"/>
    <w:rsid w:val="00F75087"/>
    <w:rsid w:val="00F77D0A"/>
    <w:rsid w:val="00F8066F"/>
    <w:rsid w:val="00F87036"/>
    <w:rsid w:val="00F901F3"/>
    <w:rsid w:val="00F93781"/>
    <w:rsid w:val="00F95073"/>
    <w:rsid w:val="00F96190"/>
    <w:rsid w:val="00FA7D6D"/>
    <w:rsid w:val="00FB014F"/>
    <w:rsid w:val="00FB0D6B"/>
    <w:rsid w:val="00FB3292"/>
    <w:rsid w:val="00FB4929"/>
    <w:rsid w:val="00FB4CE7"/>
    <w:rsid w:val="00FB613B"/>
    <w:rsid w:val="00FC0D31"/>
    <w:rsid w:val="00FC42E5"/>
    <w:rsid w:val="00FC67FE"/>
    <w:rsid w:val="00FC68B7"/>
    <w:rsid w:val="00FD39C5"/>
    <w:rsid w:val="00FD3F98"/>
    <w:rsid w:val="00FD45B6"/>
    <w:rsid w:val="00FD67D2"/>
    <w:rsid w:val="00FD7F19"/>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857E"/>
  <w15:docId w15:val="{98254C7F-E316-4335-B129-A014D59A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paragraph" w:styleId="ListParagraph">
    <w:name w:val="List Paragraph"/>
    <w:basedOn w:val="Normal"/>
    <w:uiPriority w:val="34"/>
    <w:qFormat/>
    <w:rsid w:val="006D2E08"/>
    <w:pPr>
      <w:ind w:left="720"/>
      <w:contextualSpacing/>
    </w:pPr>
  </w:style>
  <w:style w:type="paragraph" w:customStyle="1" w:styleId="Delavsnitt">
    <w:name w:val="Delavsnitt"/>
    <w:basedOn w:val="Normal"/>
    <w:rsid w:val="0077728A"/>
    <w:pPr>
      <w:tabs>
        <w:tab w:val="num" w:pos="1418"/>
      </w:tabs>
      <w:spacing w:before="160" w:line="240" w:lineRule="auto"/>
      <w:ind w:left="1418" w:hanging="1418"/>
    </w:pPr>
    <w:rPr>
      <w:sz w:val="22"/>
      <w:lang w:val="sv-SE" w:eastAsia="sv-SE"/>
    </w:rPr>
  </w:style>
  <w:style w:type="paragraph" w:customStyle="1" w:styleId="StyckeFem">
    <w:name w:val="StyckeFem"/>
    <w:basedOn w:val="Delavsnitt"/>
    <w:rsid w:val="0077728A"/>
  </w:style>
  <w:style w:type="paragraph" w:customStyle="1" w:styleId="StyckeSex">
    <w:name w:val="StyckeSex"/>
    <w:basedOn w:val="Normal"/>
    <w:rsid w:val="0077728A"/>
    <w:pPr>
      <w:tabs>
        <w:tab w:val="num" w:pos="2520"/>
      </w:tabs>
      <w:suppressAutoHyphens w:val="0"/>
      <w:spacing w:before="160" w:line="240" w:lineRule="auto"/>
      <w:ind w:left="1418" w:hanging="1418"/>
    </w:pPr>
    <w:rPr>
      <w:sz w:val="22"/>
      <w:lang w:val="sv-SE" w:eastAsia="sv-SE"/>
    </w:rPr>
  </w:style>
  <w:style w:type="paragraph" w:styleId="CommentSubject">
    <w:name w:val="annotation subject"/>
    <w:basedOn w:val="CommentText"/>
    <w:next w:val="CommentText"/>
    <w:link w:val="CommentSubjectChar"/>
    <w:semiHidden/>
    <w:unhideWhenUsed/>
    <w:rsid w:val="00862F15"/>
    <w:pPr>
      <w:spacing w:line="240" w:lineRule="auto"/>
    </w:pPr>
    <w:rPr>
      <w:b/>
      <w:bCs/>
    </w:rPr>
  </w:style>
  <w:style w:type="character" w:customStyle="1" w:styleId="CommentTextChar">
    <w:name w:val="Comment Text Char"/>
    <w:basedOn w:val="DefaultParagraphFont"/>
    <w:link w:val="CommentText"/>
    <w:semiHidden/>
    <w:rsid w:val="00862F15"/>
    <w:rPr>
      <w:lang w:eastAsia="en-US"/>
    </w:rPr>
  </w:style>
  <w:style w:type="character" w:customStyle="1" w:styleId="CommentSubjectChar">
    <w:name w:val="Comment Subject Char"/>
    <w:basedOn w:val="CommentTextChar"/>
    <w:link w:val="CommentSubject"/>
    <w:semiHidden/>
    <w:rsid w:val="00862F15"/>
    <w:rPr>
      <w:b/>
      <w:bCs/>
      <w:lang w:eastAsia="en-US"/>
    </w:rPr>
  </w:style>
  <w:style w:type="character" w:styleId="SubtleEmphasis">
    <w:name w:val="Subtle Emphasis"/>
    <w:basedOn w:val="DefaultParagraphFont"/>
    <w:uiPriority w:val="19"/>
    <w:qFormat/>
    <w:rsid w:val="00CB6CF4"/>
    <w:rPr>
      <w:i/>
      <w:iCs/>
      <w:color w:val="808080" w:themeColor="text1" w:themeTint="7F"/>
    </w:rPr>
  </w:style>
  <w:style w:type="character" w:customStyle="1" w:styleId="Heading1Char">
    <w:name w:val="Heading 1 Char"/>
    <w:aliases w:val="Table_G Char"/>
    <w:basedOn w:val="DefaultParagraphFont"/>
    <w:link w:val="Heading1"/>
    <w:rsid w:val="00F63A3C"/>
    <w:rPr>
      <w:lang w:val="x-none" w:eastAsia="en-US"/>
    </w:rPr>
  </w:style>
  <w:style w:type="character" w:customStyle="1" w:styleId="Heading2Char">
    <w:name w:val="Heading 2 Char"/>
    <w:basedOn w:val="DefaultParagraphFont"/>
    <w:link w:val="Heading2"/>
    <w:rsid w:val="00F63A3C"/>
    <w:rPr>
      <w:lang w:eastAsia="en-US"/>
    </w:rPr>
  </w:style>
  <w:style w:type="character" w:customStyle="1" w:styleId="Heading3Char">
    <w:name w:val="Heading 3 Char"/>
    <w:basedOn w:val="DefaultParagraphFont"/>
    <w:link w:val="Heading3"/>
    <w:rsid w:val="00F63A3C"/>
    <w:rPr>
      <w:lang w:eastAsia="en-US"/>
    </w:rPr>
  </w:style>
  <w:style w:type="character" w:customStyle="1" w:styleId="Heading4Char">
    <w:name w:val="Heading 4 Char"/>
    <w:basedOn w:val="DefaultParagraphFont"/>
    <w:link w:val="Heading4"/>
    <w:rsid w:val="00F63A3C"/>
    <w:rPr>
      <w:lang w:eastAsia="en-US"/>
    </w:rPr>
  </w:style>
  <w:style w:type="character" w:customStyle="1" w:styleId="Heading5Char">
    <w:name w:val="Heading 5 Char"/>
    <w:basedOn w:val="DefaultParagraphFont"/>
    <w:link w:val="Heading5"/>
    <w:rsid w:val="00F63A3C"/>
    <w:rPr>
      <w:lang w:eastAsia="en-US"/>
    </w:rPr>
  </w:style>
  <w:style w:type="character" w:customStyle="1" w:styleId="Heading6Char">
    <w:name w:val="Heading 6 Char"/>
    <w:basedOn w:val="DefaultParagraphFont"/>
    <w:link w:val="Heading6"/>
    <w:rsid w:val="00F63A3C"/>
    <w:rPr>
      <w:lang w:eastAsia="en-US"/>
    </w:rPr>
  </w:style>
  <w:style w:type="character" w:customStyle="1" w:styleId="Heading7Char">
    <w:name w:val="Heading 7 Char"/>
    <w:basedOn w:val="DefaultParagraphFont"/>
    <w:link w:val="Heading7"/>
    <w:rsid w:val="00F63A3C"/>
    <w:rPr>
      <w:lang w:eastAsia="en-US"/>
    </w:rPr>
  </w:style>
  <w:style w:type="character" w:customStyle="1" w:styleId="Heading8Char">
    <w:name w:val="Heading 8 Char"/>
    <w:basedOn w:val="DefaultParagraphFont"/>
    <w:link w:val="Heading8"/>
    <w:rsid w:val="00F63A3C"/>
    <w:rPr>
      <w:lang w:eastAsia="en-US"/>
    </w:rPr>
  </w:style>
  <w:style w:type="character" w:customStyle="1" w:styleId="Heading9Char">
    <w:name w:val="Heading 9 Char"/>
    <w:basedOn w:val="DefaultParagraphFont"/>
    <w:link w:val="Heading9"/>
    <w:rsid w:val="00F63A3C"/>
    <w:rPr>
      <w:lang w:eastAsia="en-US"/>
    </w:rPr>
  </w:style>
  <w:style w:type="character" w:customStyle="1" w:styleId="FootnoteTextChar">
    <w:name w:val="Footnote Text Char"/>
    <w:aliases w:val="5_G Char,5_GR Char"/>
    <w:basedOn w:val="DefaultParagraphFont"/>
    <w:link w:val="FootnoteText"/>
    <w:rsid w:val="00F63A3C"/>
    <w:rPr>
      <w:sz w:val="18"/>
      <w:lang w:eastAsia="en-US"/>
    </w:rPr>
  </w:style>
  <w:style w:type="character" w:customStyle="1" w:styleId="EndnoteTextChar">
    <w:name w:val="Endnote Text Char"/>
    <w:aliases w:val="2_G Char"/>
    <w:basedOn w:val="DefaultParagraphFont"/>
    <w:link w:val="EndnoteText"/>
    <w:rsid w:val="00F63A3C"/>
    <w:rPr>
      <w:sz w:val="18"/>
      <w:lang w:eastAsia="en-US"/>
    </w:rPr>
  </w:style>
  <w:style w:type="character" w:customStyle="1" w:styleId="FooterChar">
    <w:name w:val="Footer Char"/>
    <w:aliases w:val="3_G Char"/>
    <w:basedOn w:val="DefaultParagraphFont"/>
    <w:link w:val="Footer"/>
    <w:rsid w:val="00F63A3C"/>
    <w:rPr>
      <w:sz w:val="16"/>
      <w:lang w:eastAsia="en-US"/>
    </w:rPr>
  </w:style>
  <w:style w:type="character" w:customStyle="1" w:styleId="HeaderChar">
    <w:name w:val="Header Char"/>
    <w:aliases w:val="6_G Char"/>
    <w:basedOn w:val="DefaultParagraphFont"/>
    <w:link w:val="Header"/>
    <w:rsid w:val="00F63A3C"/>
    <w:rPr>
      <w:b/>
      <w:sz w:val="18"/>
      <w:lang w:eastAsia="en-US"/>
    </w:rPr>
  </w:style>
  <w:style w:type="paragraph" w:customStyle="1" w:styleId="ParNoG">
    <w:name w:val="_ParNo_G"/>
    <w:basedOn w:val="SingleTxtG"/>
    <w:qFormat/>
    <w:rsid w:val="00F63A3C"/>
    <w:pPr>
      <w:numPr>
        <w:numId w:val="28"/>
      </w:numPr>
      <w:tabs>
        <w:tab w:val="clear" w:pos="1701"/>
        <w:tab w:val="num" w:pos="360"/>
      </w:tabs>
      <w:suppressAutoHyphens w:val="0"/>
    </w:pPr>
    <w:rPr>
      <w:lang w:val="en-GB" w:eastAsia="fr-FR"/>
    </w:rPr>
  </w:style>
  <w:style w:type="character" w:customStyle="1" w:styleId="H1GChar">
    <w:name w:val="_ H_1_G Char"/>
    <w:link w:val="H1G"/>
    <w:rsid w:val="00F63A3C"/>
    <w:rPr>
      <w:b/>
      <w:sz w:val="24"/>
      <w:lang w:eastAsia="en-US"/>
    </w:rPr>
  </w:style>
  <w:style w:type="paragraph" w:customStyle="1" w:styleId="-Abschnitt">
    <w:name w:val="- Abschnitt"/>
    <w:basedOn w:val="Normal"/>
    <w:rsid w:val="00F63A3C"/>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customStyle="1" w:styleId="Level1">
    <w:name w:val="Level 1"/>
    <w:basedOn w:val="Normal"/>
    <w:rsid w:val="00F63A3C"/>
    <w:pPr>
      <w:widowControl w:val="0"/>
      <w:suppressAutoHyphens w:val="0"/>
      <w:spacing w:line="240" w:lineRule="auto"/>
      <w:outlineLvl w:val="0"/>
    </w:pPr>
    <w:rPr>
      <w:snapToGrid w:val="0"/>
      <w:sz w:val="24"/>
      <w:lang w:val="en-US"/>
    </w:rPr>
  </w:style>
  <w:style w:type="paragraph" w:styleId="Revision">
    <w:name w:val="Revision"/>
    <w:hidden/>
    <w:uiPriority w:val="99"/>
    <w:semiHidden/>
    <w:rsid w:val="00F63A3C"/>
    <w:rPr>
      <w:lang w:eastAsia="fr-FR"/>
    </w:rPr>
  </w:style>
  <w:style w:type="character" w:customStyle="1" w:styleId="H23GChar">
    <w:name w:val="_ H_2/3_G Char"/>
    <w:link w:val="H23G"/>
    <w:locked/>
    <w:rsid w:val="00F63A3C"/>
    <w:rPr>
      <w:b/>
      <w:lang w:eastAsia="en-US"/>
    </w:rPr>
  </w:style>
  <w:style w:type="character" w:customStyle="1" w:styleId="normaltextrun">
    <w:name w:val="normaltextrun"/>
    <w:basedOn w:val="DefaultParagraphFont"/>
    <w:rsid w:val="00F63A3C"/>
  </w:style>
  <w:style w:type="paragraph" w:styleId="Bibliography">
    <w:name w:val="Bibliography"/>
    <w:basedOn w:val="Normal"/>
    <w:next w:val="Normal"/>
    <w:uiPriority w:val="37"/>
    <w:semiHidden/>
    <w:unhideWhenUsed/>
    <w:rsid w:val="008A0084"/>
  </w:style>
  <w:style w:type="paragraph" w:styleId="Caption">
    <w:name w:val="caption"/>
    <w:basedOn w:val="Normal"/>
    <w:next w:val="Normal"/>
    <w:semiHidden/>
    <w:unhideWhenUsed/>
    <w:qFormat/>
    <w:rsid w:val="008A0084"/>
    <w:pPr>
      <w:spacing w:after="200" w:line="240" w:lineRule="auto"/>
    </w:pPr>
    <w:rPr>
      <w:i/>
      <w:iCs/>
      <w:color w:val="1F497D" w:themeColor="text2"/>
      <w:sz w:val="18"/>
      <w:szCs w:val="18"/>
    </w:rPr>
  </w:style>
  <w:style w:type="paragraph" w:styleId="DocumentMap">
    <w:name w:val="Document Map"/>
    <w:basedOn w:val="Normal"/>
    <w:link w:val="DocumentMapChar"/>
    <w:semiHidden/>
    <w:unhideWhenUsed/>
    <w:rsid w:val="008A008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8A0084"/>
    <w:rPr>
      <w:rFonts w:ascii="Segoe UI" w:hAnsi="Segoe UI" w:cs="Segoe UI"/>
      <w:sz w:val="16"/>
      <w:szCs w:val="16"/>
      <w:lang w:eastAsia="en-US"/>
    </w:rPr>
  </w:style>
  <w:style w:type="paragraph" w:styleId="Index1">
    <w:name w:val="index 1"/>
    <w:basedOn w:val="Normal"/>
    <w:next w:val="Normal"/>
    <w:autoRedefine/>
    <w:semiHidden/>
    <w:unhideWhenUsed/>
    <w:rsid w:val="008A0084"/>
    <w:pPr>
      <w:spacing w:line="240" w:lineRule="auto"/>
      <w:ind w:left="200" w:hanging="200"/>
    </w:pPr>
  </w:style>
  <w:style w:type="paragraph" w:styleId="Index2">
    <w:name w:val="index 2"/>
    <w:basedOn w:val="Normal"/>
    <w:next w:val="Normal"/>
    <w:autoRedefine/>
    <w:semiHidden/>
    <w:unhideWhenUsed/>
    <w:rsid w:val="008A0084"/>
    <w:pPr>
      <w:spacing w:line="240" w:lineRule="auto"/>
      <w:ind w:left="400" w:hanging="200"/>
    </w:pPr>
  </w:style>
  <w:style w:type="paragraph" w:styleId="Index3">
    <w:name w:val="index 3"/>
    <w:basedOn w:val="Normal"/>
    <w:next w:val="Normal"/>
    <w:autoRedefine/>
    <w:semiHidden/>
    <w:unhideWhenUsed/>
    <w:rsid w:val="008A0084"/>
    <w:pPr>
      <w:spacing w:line="240" w:lineRule="auto"/>
      <w:ind w:left="600" w:hanging="200"/>
    </w:pPr>
  </w:style>
  <w:style w:type="paragraph" w:styleId="Index4">
    <w:name w:val="index 4"/>
    <w:basedOn w:val="Normal"/>
    <w:next w:val="Normal"/>
    <w:autoRedefine/>
    <w:semiHidden/>
    <w:unhideWhenUsed/>
    <w:rsid w:val="008A0084"/>
    <w:pPr>
      <w:spacing w:line="240" w:lineRule="auto"/>
      <w:ind w:left="800" w:hanging="200"/>
    </w:pPr>
  </w:style>
  <w:style w:type="paragraph" w:styleId="Index5">
    <w:name w:val="index 5"/>
    <w:basedOn w:val="Normal"/>
    <w:next w:val="Normal"/>
    <w:autoRedefine/>
    <w:semiHidden/>
    <w:unhideWhenUsed/>
    <w:rsid w:val="008A0084"/>
    <w:pPr>
      <w:spacing w:line="240" w:lineRule="auto"/>
      <w:ind w:left="1000" w:hanging="200"/>
    </w:pPr>
  </w:style>
  <w:style w:type="paragraph" w:styleId="Index6">
    <w:name w:val="index 6"/>
    <w:basedOn w:val="Normal"/>
    <w:next w:val="Normal"/>
    <w:autoRedefine/>
    <w:semiHidden/>
    <w:unhideWhenUsed/>
    <w:rsid w:val="008A0084"/>
    <w:pPr>
      <w:spacing w:line="240" w:lineRule="auto"/>
      <w:ind w:left="1200" w:hanging="200"/>
    </w:pPr>
  </w:style>
  <w:style w:type="paragraph" w:styleId="Index7">
    <w:name w:val="index 7"/>
    <w:basedOn w:val="Normal"/>
    <w:next w:val="Normal"/>
    <w:autoRedefine/>
    <w:semiHidden/>
    <w:unhideWhenUsed/>
    <w:rsid w:val="008A0084"/>
    <w:pPr>
      <w:spacing w:line="240" w:lineRule="auto"/>
      <w:ind w:left="1400" w:hanging="200"/>
    </w:pPr>
  </w:style>
  <w:style w:type="paragraph" w:styleId="Index8">
    <w:name w:val="index 8"/>
    <w:basedOn w:val="Normal"/>
    <w:next w:val="Normal"/>
    <w:autoRedefine/>
    <w:semiHidden/>
    <w:unhideWhenUsed/>
    <w:rsid w:val="008A0084"/>
    <w:pPr>
      <w:spacing w:line="240" w:lineRule="auto"/>
      <w:ind w:left="1600" w:hanging="200"/>
    </w:pPr>
  </w:style>
  <w:style w:type="paragraph" w:styleId="Index9">
    <w:name w:val="index 9"/>
    <w:basedOn w:val="Normal"/>
    <w:next w:val="Normal"/>
    <w:autoRedefine/>
    <w:semiHidden/>
    <w:unhideWhenUsed/>
    <w:rsid w:val="008A0084"/>
    <w:pPr>
      <w:spacing w:line="240" w:lineRule="auto"/>
      <w:ind w:left="1800" w:hanging="200"/>
    </w:pPr>
  </w:style>
  <w:style w:type="paragraph" w:styleId="IndexHeading">
    <w:name w:val="index heading"/>
    <w:basedOn w:val="Normal"/>
    <w:next w:val="Index1"/>
    <w:semiHidden/>
    <w:unhideWhenUsed/>
    <w:rsid w:val="008A008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A008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0084"/>
    <w:rPr>
      <w:i/>
      <w:iCs/>
      <w:color w:val="4F81BD" w:themeColor="accent1"/>
      <w:lang w:eastAsia="en-US"/>
    </w:rPr>
  </w:style>
  <w:style w:type="paragraph" w:styleId="MacroText">
    <w:name w:val="macro"/>
    <w:link w:val="MacroTextChar"/>
    <w:semiHidden/>
    <w:unhideWhenUsed/>
    <w:rsid w:val="008A0084"/>
    <w:pPr>
      <w:tabs>
        <w:tab w:val="left" w:pos="480"/>
        <w:tab w:val="left" w:pos="960"/>
        <w:tab w:val="left" w:pos="1440"/>
        <w:tab w:val="left" w:pos="1920"/>
        <w:tab w:val="left" w:pos="2400"/>
        <w:tab w:val="left" w:pos="2880"/>
        <w:tab w:val="left" w:pos="3360"/>
        <w:tab w:val="left" w:pos="3840"/>
        <w:tab w:val="left" w:pos="4320"/>
      </w:tabs>
      <w:suppressAutoHyphens/>
      <w:spacing w:line="240" w:lineRule="atLeast"/>
    </w:pPr>
    <w:rPr>
      <w:rFonts w:ascii="Consolas" w:hAnsi="Consolas"/>
      <w:lang w:eastAsia="en-US"/>
    </w:rPr>
  </w:style>
  <w:style w:type="character" w:customStyle="1" w:styleId="MacroTextChar">
    <w:name w:val="Macro Text Char"/>
    <w:basedOn w:val="DefaultParagraphFont"/>
    <w:link w:val="MacroText"/>
    <w:semiHidden/>
    <w:rsid w:val="008A0084"/>
    <w:rPr>
      <w:rFonts w:ascii="Consolas" w:hAnsi="Consolas"/>
      <w:lang w:eastAsia="en-US"/>
    </w:rPr>
  </w:style>
  <w:style w:type="paragraph" w:styleId="NoSpacing">
    <w:name w:val="No Spacing"/>
    <w:uiPriority w:val="1"/>
    <w:qFormat/>
    <w:rsid w:val="008A0084"/>
    <w:pPr>
      <w:suppressAutoHyphens/>
    </w:pPr>
    <w:rPr>
      <w:lang w:eastAsia="en-US"/>
    </w:rPr>
  </w:style>
  <w:style w:type="paragraph" w:styleId="Quote">
    <w:name w:val="Quote"/>
    <w:basedOn w:val="Normal"/>
    <w:next w:val="Normal"/>
    <w:link w:val="QuoteChar"/>
    <w:uiPriority w:val="29"/>
    <w:qFormat/>
    <w:rsid w:val="008A008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084"/>
    <w:rPr>
      <w:i/>
      <w:iCs/>
      <w:color w:val="404040" w:themeColor="text1" w:themeTint="BF"/>
      <w:lang w:eastAsia="en-US"/>
    </w:rPr>
  </w:style>
  <w:style w:type="paragraph" w:styleId="TableofAuthorities">
    <w:name w:val="table of authorities"/>
    <w:basedOn w:val="Normal"/>
    <w:next w:val="Normal"/>
    <w:semiHidden/>
    <w:unhideWhenUsed/>
    <w:rsid w:val="008A0084"/>
    <w:pPr>
      <w:ind w:left="200" w:hanging="200"/>
    </w:pPr>
  </w:style>
  <w:style w:type="paragraph" w:styleId="TableofFigures">
    <w:name w:val="table of figures"/>
    <w:basedOn w:val="Normal"/>
    <w:next w:val="Normal"/>
    <w:semiHidden/>
    <w:unhideWhenUsed/>
    <w:rsid w:val="008A0084"/>
  </w:style>
  <w:style w:type="paragraph" w:styleId="TOAHeading">
    <w:name w:val="toa heading"/>
    <w:basedOn w:val="Normal"/>
    <w:next w:val="Normal"/>
    <w:semiHidden/>
    <w:unhideWhenUsed/>
    <w:rsid w:val="008A008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A0084"/>
    <w:pPr>
      <w:spacing w:after="100"/>
    </w:pPr>
  </w:style>
  <w:style w:type="paragraph" w:styleId="TOC2">
    <w:name w:val="toc 2"/>
    <w:basedOn w:val="Normal"/>
    <w:next w:val="Normal"/>
    <w:autoRedefine/>
    <w:semiHidden/>
    <w:unhideWhenUsed/>
    <w:rsid w:val="008A0084"/>
    <w:pPr>
      <w:spacing w:after="100"/>
      <w:ind w:left="200"/>
    </w:pPr>
  </w:style>
  <w:style w:type="paragraph" w:styleId="TOC3">
    <w:name w:val="toc 3"/>
    <w:basedOn w:val="Normal"/>
    <w:next w:val="Normal"/>
    <w:autoRedefine/>
    <w:semiHidden/>
    <w:unhideWhenUsed/>
    <w:rsid w:val="008A0084"/>
    <w:pPr>
      <w:spacing w:after="100"/>
      <w:ind w:left="400"/>
    </w:pPr>
  </w:style>
  <w:style w:type="paragraph" w:styleId="TOC4">
    <w:name w:val="toc 4"/>
    <w:basedOn w:val="Normal"/>
    <w:next w:val="Normal"/>
    <w:autoRedefine/>
    <w:semiHidden/>
    <w:unhideWhenUsed/>
    <w:rsid w:val="008A0084"/>
    <w:pPr>
      <w:spacing w:after="100"/>
      <w:ind w:left="600"/>
    </w:pPr>
  </w:style>
  <w:style w:type="paragraph" w:styleId="TOC5">
    <w:name w:val="toc 5"/>
    <w:basedOn w:val="Normal"/>
    <w:next w:val="Normal"/>
    <w:autoRedefine/>
    <w:semiHidden/>
    <w:unhideWhenUsed/>
    <w:rsid w:val="008A0084"/>
    <w:pPr>
      <w:spacing w:after="100"/>
      <w:ind w:left="800"/>
    </w:pPr>
  </w:style>
  <w:style w:type="paragraph" w:styleId="TOC6">
    <w:name w:val="toc 6"/>
    <w:basedOn w:val="Normal"/>
    <w:next w:val="Normal"/>
    <w:autoRedefine/>
    <w:semiHidden/>
    <w:unhideWhenUsed/>
    <w:rsid w:val="008A0084"/>
    <w:pPr>
      <w:spacing w:after="100"/>
      <w:ind w:left="1000"/>
    </w:pPr>
  </w:style>
  <w:style w:type="paragraph" w:styleId="TOC7">
    <w:name w:val="toc 7"/>
    <w:basedOn w:val="Normal"/>
    <w:next w:val="Normal"/>
    <w:autoRedefine/>
    <w:semiHidden/>
    <w:unhideWhenUsed/>
    <w:rsid w:val="008A0084"/>
    <w:pPr>
      <w:spacing w:after="100"/>
      <w:ind w:left="1200"/>
    </w:pPr>
  </w:style>
  <w:style w:type="paragraph" w:styleId="TOC8">
    <w:name w:val="toc 8"/>
    <w:basedOn w:val="Normal"/>
    <w:next w:val="Normal"/>
    <w:autoRedefine/>
    <w:semiHidden/>
    <w:unhideWhenUsed/>
    <w:rsid w:val="008A0084"/>
    <w:pPr>
      <w:spacing w:after="100"/>
      <w:ind w:left="1400"/>
    </w:pPr>
  </w:style>
  <w:style w:type="paragraph" w:styleId="TOC9">
    <w:name w:val="toc 9"/>
    <w:basedOn w:val="Normal"/>
    <w:next w:val="Normal"/>
    <w:autoRedefine/>
    <w:semiHidden/>
    <w:unhideWhenUsed/>
    <w:rsid w:val="008A0084"/>
    <w:pPr>
      <w:spacing w:after="100"/>
      <w:ind w:left="1600"/>
    </w:pPr>
  </w:style>
  <w:style w:type="paragraph" w:styleId="TOCHeading">
    <w:name w:val="TOC Heading"/>
    <w:basedOn w:val="Heading1"/>
    <w:next w:val="Normal"/>
    <w:uiPriority w:val="39"/>
    <w:semiHidden/>
    <w:unhideWhenUsed/>
    <w:qFormat/>
    <w:rsid w:val="008A0084"/>
    <w:pPr>
      <w:keepNext/>
      <w:keepLines/>
      <w:spacing w:before="240" w:line="240" w:lineRule="atLeast"/>
      <w:ind w:left="0"/>
      <w:outlineLvl w:val="9"/>
    </w:pPr>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94432">
      <w:bodyDiv w:val="1"/>
      <w:marLeft w:val="0"/>
      <w:marRight w:val="0"/>
      <w:marTop w:val="0"/>
      <w:marBottom w:val="0"/>
      <w:divBdr>
        <w:top w:val="none" w:sz="0" w:space="0" w:color="auto"/>
        <w:left w:val="none" w:sz="0" w:space="0" w:color="auto"/>
        <w:bottom w:val="none" w:sz="0" w:space="0" w:color="auto"/>
        <w:right w:val="none" w:sz="0" w:space="0" w:color="auto"/>
      </w:divBdr>
    </w:div>
    <w:div w:id="438376147">
      <w:bodyDiv w:val="1"/>
      <w:marLeft w:val="0"/>
      <w:marRight w:val="0"/>
      <w:marTop w:val="0"/>
      <w:marBottom w:val="0"/>
      <w:divBdr>
        <w:top w:val="none" w:sz="0" w:space="0" w:color="auto"/>
        <w:left w:val="none" w:sz="0" w:space="0" w:color="auto"/>
        <w:bottom w:val="none" w:sz="0" w:space="0" w:color="auto"/>
        <w:right w:val="none" w:sz="0" w:space="0" w:color="auto"/>
      </w:divBdr>
      <w:divsChild>
        <w:div w:id="399523615">
          <w:marLeft w:val="0"/>
          <w:marRight w:val="0"/>
          <w:marTop w:val="0"/>
          <w:marBottom w:val="0"/>
          <w:divBdr>
            <w:top w:val="none" w:sz="0" w:space="0" w:color="auto"/>
            <w:left w:val="none" w:sz="0" w:space="0" w:color="auto"/>
            <w:bottom w:val="none" w:sz="0" w:space="0" w:color="auto"/>
            <w:right w:val="none" w:sz="0" w:space="0" w:color="auto"/>
          </w:divBdr>
          <w:divsChild>
            <w:div w:id="1532917015">
              <w:marLeft w:val="0"/>
              <w:marRight w:val="0"/>
              <w:marTop w:val="0"/>
              <w:marBottom w:val="0"/>
              <w:divBdr>
                <w:top w:val="none" w:sz="0" w:space="0" w:color="auto"/>
                <w:left w:val="none" w:sz="0" w:space="0" w:color="auto"/>
                <w:bottom w:val="none" w:sz="0" w:space="0" w:color="auto"/>
                <w:right w:val="none" w:sz="0" w:space="0" w:color="auto"/>
              </w:divBdr>
              <w:divsChild>
                <w:div w:id="398721130">
                  <w:marLeft w:val="0"/>
                  <w:marRight w:val="0"/>
                  <w:marTop w:val="0"/>
                  <w:marBottom w:val="0"/>
                  <w:divBdr>
                    <w:top w:val="none" w:sz="0" w:space="0" w:color="auto"/>
                    <w:left w:val="none" w:sz="0" w:space="0" w:color="auto"/>
                    <w:bottom w:val="none" w:sz="0" w:space="0" w:color="auto"/>
                    <w:right w:val="none" w:sz="0" w:space="0" w:color="auto"/>
                  </w:divBdr>
                  <w:divsChild>
                    <w:div w:id="271982431">
                      <w:marLeft w:val="0"/>
                      <w:marRight w:val="0"/>
                      <w:marTop w:val="0"/>
                      <w:marBottom w:val="0"/>
                      <w:divBdr>
                        <w:top w:val="none" w:sz="0" w:space="0" w:color="auto"/>
                        <w:left w:val="none" w:sz="0" w:space="0" w:color="auto"/>
                        <w:bottom w:val="none" w:sz="0" w:space="0" w:color="auto"/>
                        <w:right w:val="none" w:sz="0" w:space="0" w:color="auto"/>
                      </w:divBdr>
                      <w:divsChild>
                        <w:div w:id="582447783">
                          <w:marLeft w:val="0"/>
                          <w:marRight w:val="0"/>
                          <w:marTop w:val="0"/>
                          <w:marBottom w:val="0"/>
                          <w:divBdr>
                            <w:top w:val="none" w:sz="0" w:space="0" w:color="auto"/>
                            <w:left w:val="none" w:sz="0" w:space="0" w:color="auto"/>
                            <w:bottom w:val="none" w:sz="0" w:space="0" w:color="auto"/>
                            <w:right w:val="none" w:sz="0" w:space="0" w:color="auto"/>
                          </w:divBdr>
                          <w:divsChild>
                            <w:div w:id="1174224201">
                              <w:marLeft w:val="0"/>
                              <w:marRight w:val="0"/>
                              <w:marTop w:val="0"/>
                              <w:marBottom w:val="0"/>
                              <w:divBdr>
                                <w:top w:val="none" w:sz="0" w:space="0" w:color="auto"/>
                                <w:left w:val="none" w:sz="0" w:space="0" w:color="auto"/>
                                <w:bottom w:val="none" w:sz="0" w:space="0" w:color="auto"/>
                                <w:right w:val="none" w:sz="0" w:space="0" w:color="auto"/>
                              </w:divBdr>
                              <w:divsChild>
                                <w:div w:id="805463859">
                                  <w:marLeft w:val="0"/>
                                  <w:marRight w:val="0"/>
                                  <w:marTop w:val="0"/>
                                  <w:marBottom w:val="0"/>
                                  <w:divBdr>
                                    <w:top w:val="none" w:sz="0" w:space="0" w:color="auto"/>
                                    <w:left w:val="none" w:sz="0" w:space="0" w:color="auto"/>
                                    <w:bottom w:val="none" w:sz="0" w:space="0" w:color="auto"/>
                                    <w:right w:val="none" w:sz="0" w:space="0" w:color="auto"/>
                                  </w:divBdr>
                                  <w:divsChild>
                                    <w:div w:id="662320493">
                                      <w:marLeft w:val="0"/>
                                      <w:marRight w:val="0"/>
                                      <w:marTop w:val="0"/>
                                      <w:marBottom w:val="0"/>
                                      <w:divBdr>
                                        <w:top w:val="none" w:sz="0" w:space="0" w:color="auto"/>
                                        <w:left w:val="none" w:sz="0" w:space="0" w:color="auto"/>
                                        <w:bottom w:val="none" w:sz="0" w:space="0" w:color="auto"/>
                                        <w:right w:val="none" w:sz="0" w:space="0" w:color="auto"/>
                                      </w:divBdr>
                                    </w:div>
                                    <w:div w:id="1183589373">
                                      <w:marLeft w:val="0"/>
                                      <w:marRight w:val="0"/>
                                      <w:marTop w:val="0"/>
                                      <w:marBottom w:val="0"/>
                                      <w:divBdr>
                                        <w:top w:val="none" w:sz="0" w:space="0" w:color="auto"/>
                                        <w:left w:val="none" w:sz="0" w:space="0" w:color="auto"/>
                                        <w:bottom w:val="none" w:sz="0" w:space="0" w:color="auto"/>
                                        <w:right w:val="none" w:sz="0" w:space="0" w:color="auto"/>
                                      </w:divBdr>
                                      <w:divsChild>
                                        <w:div w:id="2108578801">
                                          <w:marLeft w:val="0"/>
                                          <w:marRight w:val="165"/>
                                          <w:marTop w:val="150"/>
                                          <w:marBottom w:val="0"/>
                                          <w:divBdr>
                                            <w:top w:val="none" w:sz="0" w:space="0" w:color="auto"/>
                                            <w:left w:val="none" w:sz="0" w:space="0" w:color="auto"/>
                                            <w:bottom w:val="none" w:sz="0" w:space="0" w:color="auto"/>
                                            <w:right w:val="none" w:sz="0" w:space="0" w:color="auto"/>
                                          </w:divBdr>
                                          <w:divsChild>
                                            <w:div w:id="30427057">
                                              <w:marLeft w:val="0"/>
                                              <w:marRight w:val="0"/>
                                              <w:marTop w:val="0"/>
                                              <w:marBottom w:val="0"/>
                                              <w:divBdr>
                                                <w:top w:val="none" w:sz="0" w:space="0" w:color="auto"/>
                                                <w:left w:val="none" w:sz="0" w:space="0" w:color="auto"/>
                                                <w:bottom w:val="none" w:sz="0" w:space="0" w:color="auto"/>
                                                <w:right w:val="none" w:sz="0" w:space="0" w:color="auto"/>
                                              </w:divBdr>
                                              <w:divsChild>
                                                <w:div w:id="5877332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010732">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750989">
      <w:bodyDiv w:val="1"/>
      <w:marLeft w:val="0"/>
      <w:marRight w:val="0"/>
      <w:marTop w:val="0"/>
      <w:marBottom w:val="0"/>
      <w:divBdr>
        <w:top w:val="none" w:sz="0" w:space="0" w:color="auto"/>
        <w:left w:val="none" w:sz="0" w:space="0" w:color="auto"/>
        <w:bottom w:val="none" w:sz="0" w:space="0" w:color="auto"/>
        <w:right w:val="none" w:sz="0" w:space="0" w:color="auto"/>
      </w:divBdr>
    </w:div>
    <w:div w:id="1849324950">
      <w:bodyDiv w:val="1"/>
      <w:marLeft w:val="0"/>
      <w:marRight w:val="0"/>
      <w:marTop w:val="0"/>
      <w:marBottom w:val="0"/>
      <w:divBdr>
        <w:top w:val="none" w:sz="0" w:space="0" w:color="auto"/>
        <w:left w:val="none" w:sz="0" w:space="0" w:color="auto"/>
        <w:bottom w:val="none" w:sz="0" w:space="0" w:color="auto"/>
        <w:right w:val="none" w:sz="0" w:space="0" w:color="auto"/>
      </w:divBdr>
      <w:divsChild>
        <w:div w:id="1930307747">
          <w:marLeft w:val="547"/>
          <w:marRight w:val="0"/>
          <w:marTop w:val="115"/>
          <w:marBottom w:val="0"/>
          <w:divBdr>
            <w:top w:val="none" w:sz="0" w:space="0" w:color="auto"/>
            <w:left w:val="none" w:sz="0" w:space="0" w:color="auto"/>
            <w:bottom w:val="none" w:sz="0" w:space="0" w:color="auto"/>
            <w:right w:val="none" w:sz="0" w:space="0" w:color="auto"/>
          </w:divBdr>
        </w:div>
        <w:div w:id="1526671582">
          <w:marLeft w:val="547"/>
          <w:marRight w:val="0"/>
          <w:marTop w:val="115"/>
          <w:marBottom w:val="0"/>
          <w:divBdr>
            <w:top w:val="none" w:sz="0" w:space="0" w:color="auto"/>
            <w:left w:val="none" w:sz="0" w:space="0" w:color="auto"/>
            <w:bottom w:val="none" w:sz="0" w:space="0" w:color="auto"/>
            <w:right w:val="none" w:sz="0" w:space="0" w:color="auto"/>
          </w:divBdr>
        </w:div>
        <w:div w:id="867722188">
          <w:marLeft w:val="547"/>
          <w:marRight w:val="0"/>
          <w:marTop w:val="115"/>
          <w:marBottom w:val="0"/>
          <w:divBdr>
            <w:top w:val="none" w:sz="0" w:space="0" w:color="auto"/>
            <w:left w:val="none" w:sz="0" w:space="0" w:color="auto"/>
            <w:bottom w:val="none" w:sz="0" w:space="0" w:color="auto"/>
            <w:right w:val="none" w:sz="0" w:space="0" w:color="auto"/>
          </w:divBdr>
        </w:div>
        <w:div w:id="1609660661">
          <w:marLeft w:val="547"/>
          <w:marRight w:val="0"/>
          <w:marTop w:val="115"/>
          <w:marBottom w:val="0"/>
          <w:divBdr>
            <w:top w:val="none" w:sz="0" w:space="0" w:color="auto"/>
            <w:left w:val="none" w:sz="0" w:space="0" w:color="auto"/>
            <w:bottom w:val="none" w:sz="0" w:space="0" w:color="auto"/>
            <w:right w:val="none" w:sz="0" w:space="0" w:color="auto"/>
          </w:divBdr>
        </w:div>
      </w:divsChild>
    </w:div>
    <w:div w:id="1914314033">
      <w:bodyDiv w:val="1"/>
      <w:marLeft w:val="0"/>
      <w:marRight w:val="0"/>
      <w:marTop w:val="0"/>
      <w:marBottom w:val="0"/>
      <w:divBdr>
        <w:top w:val="none" w:sz="0" w:space="0" w:color="auto"/>
        <w:left w:val="none" w:sz="0" w:space="0" w:color="auto"/>
        <w:bottom w:val="none" w:sz="0" w:space="0" w:color="auto"/>
        <w:right w:val="none" w:sz="0" w:space="0" w:color="auto"/>
      </w:divBdr>
    </w:div>
    <w:div w:id="2023628393">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10260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mo.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en.e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ec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tm.org" TargetMode="External"/><Relationship Id="rId5" Type="http://schemas.openxmlformats.org/officeDocument/2006/relationships/numbering" Target="numbering.xml"/><Relationship Id="rId15" Type="http://schemas.openxmlformats.org/officeDocument/2006/relationships/hyperlink" Target="http://www.uic.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o.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ECD00-256B-4562-A004-7D65307849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4FE255-950A-4EF1-9DD5-FFB0EEFB4EDC}">
  <ds:schemaRefs>
    <ds:schemaRef ds:uri="http://schemas.microsoft.com/sharepoint/v3/contenttype/forms"/>
  </ds:schemaRefs>
</ds:datastoreItem>
</file>

<file path=customXml/itemProps3.xml><?xml version="1.0" encoding="utf-8"?>
<ds:datastoreItem xmlns:ds="http://schemas.openxmlformats.org/officeDocument/2006/customXml" ds:itemID="{21680147-1CFB-4A07-86DD-5A17D4F53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96B8B-0CFC-4D3E-BE2E-FD19F583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3168</Words>
  <Characters>18174</Characters>
  <Application>Microsoft Office Word</Application>
  <DocSecurity>0</DocSecurity>
  <Lines>151</Lines>
  <Paragraphs>42</Paragraphs>
  <ScaleCrop>false</ScaleCrop>
  <HeadingPairs>
    <vt:vector size="8" baseType="variant">
      <vt:variant>
        <vt:lpstr>Title</vt:lpstr>
      </vt:variant>
      <vt:variant>
        <vt:i4>1</vt:i4>
      </vt:variant>
      <vt:variant>
        <vt:lpstr>Tittel</vt:lpstr>
      </vt:variant>
      <vt:variant>
        <vt:i4>1</vt:i4>
      </vt:variant>
      <vt:variant>
        <vt:lpstr>Rubrik</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Editorial</cp:lastModifiedBy>
  <cp:revision>108</cp:revision>
  <cp:lastPrinted>2021-04-23T10:54:00Z</cp:lastPrinted>
  <dcterms:created xsi:type="dcterms:W3CDTF">2021-04-23T10:49:00Z</dcterms:created>
  <dcterms:modified xsi:type="dcterms:W3CDTF">2021-04-28T13:32:00Z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