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0F8447F6" w14:textId="77777777" w:rsidTr="006476E1">
        <w:trPr>
          <w:trHeight w:val="851"/>
        </w:trPr>
        <w:tc>
          <w:tcPr>
            <w:tcW w:w="1259" w:type="dxa"/>
            <w:tcBorders>
              <w:top w:val="nil"/>
              <w:left w:val="nil"/>
              <w:bottom w:val="single" w:sz="4" w:space="0" w:color="auto"/>
              <w:right w:val="nil"/>
            </w:tcBorders>
          </w:tcPr>
          <w:p w14:paraId="4B6120DC" w14:textId="77777777" w:rsidR="00E52109" w:rsidRPr="002A32CB" w:rsidRDefault="00E52109" w:rsidP="004858F5"/>
        </w:tc>
        <w:tc>
          <w:tcPr>
            <w:tcW w:w="2236" w:type="dxa"/>
            <w:tcBorders>
              <w:top w:val="nil"/>
              <w:left w:val="nil"/>
              <w:bottom w:val="single" w:sz="4" w:space="0" w:color="auto"/>
              <w:right w:val="nil"/>
            </w:tcBorders>
            <w:vAlign w:val="bottom"/>
          </w:tcPr>
          <w:p w14:paraId="68368397"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E6338BC" w14:textId="278C8999" w:rsidR="00E52109" w:rsidRDefault="002F3ED9" w:rsidP="002F3ED9">
            <w:pPr>
              <w:suppressAutoHyphens w:val="0"/>
              <w:jc w:val="right"/>
            </w:pPr>
            <w:r w:rsidRPr="002F3ED9">
              <w:rPr>
                <w:sz w:val="40"/>
              </w:rPr>
              <w:t>ST</w:t>
            </w:r>
            <w:r>
              <w:t>/SG/AC.10/C.4/2021/5</w:t>
            </w:r>
          </w:p>
        </w:tc>
      </w:tr>
      <w:tr w:rsidR="00E52109" w14:paraId="012C390E" w14:textId="77777777" w:rsidTr="006476E1">
        <w:trPr>
          <w:trHeight w:val="2835"/>
        </w:trPr>
        <w:tc>
          <w:tcPr>
            <w:tcW w:w="1259" w:type="dxa"/>
            <w:tcBorders>
              <w:top w:val="single" w:sz="4" w:space="0" w:color="auto"/>
              <w:left w:val="nil"/>
              <w:bottom w:val="single" w:sz="12" w:space="0" w:color="auto"/>
              <w:right w:val="nil"/>
            </w:tcBorders>
          </w:tcPr>
          <w:p w14:paraId="60C95CAA" w14:textId="77777777" w:rsidR="00E52109" w:rsidRDefault="00E52109" w:rsidP="006476E1">
            <w:pPr>
              <w:spacing w:before="120"/>
              <w:jc w:val="center"/>
            </w:pPr>
            <w:r>
              <w:rPr>
                <w:noProof/>
                <w:lang w:val="fr-CH" w:eastAsia="fr-CH"/>
              </w:rPr>
              <w:drawing>
                <wp:inline distT="0" distB="0" distL="0" distR="0" wp14:anchorId="38705BD1" wp14:editId="497F376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7F4DDB8"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658F0D81" w14:textId="77777777" w:rsidR="00D94B05" w:rsidRDefault="002F3ED9" w:rsidP="002F3ED9">
            <w:pPr>
              <w:suppressAutoHyphens w:val="0"/>
              <w:spacing w:before="240" w:line="240" w:lineRule="exact"/>
            </w:pPr>
            <w:r>
              <w:t>Distr.: General</w:t>
            </w:r>
          </w:p>
          <w:p w14:paraId="5C97DD1F" w14:textId="5E8D6D78" w:rsidR="002F3ED9" w:rsidRDefault="00DF4BD9" w:rsidP="002F3ED9">
            <w:pPr>
              <w:suppressAutoHyphens w:val="0"/>
              <w:spacing w:line="240" w:lineRule="exact"/>
            </w:pPr>
            <w:r>
              <w:t>21</w:t>
            </w:r>
            <w:r w:rsidR="002F3ED9">
              <w:t xml:space="preserve"> April 2021</w:t>
            </w:r>
          </w:p>
          <w:p w14:paraId="3D35846C" w14:textId="77777777" w:rsidR="002F3ED9" w:rsidRDefault="002F3ED9" w:rsidP="002F3ED9">
            <w:pPr>
              <w:suppressAutoHyphens w:val="0"/>
              <w:spacing w:line="240" w:lineRule="exact"/>
            </w:pPr>
          </w:p>
          <w:p w14:paraId="77EAAE43" w14:textId="4925E5C5" w:rsidR="002F3ED9" w:rsidRDefault="002F3ED9" w:rsidP="002F3ED9">
            <w:pPr>
              <w:suppressAutoHyphens w:val="0"/>
              <w:spacing w:line="240" w:lineRule="exact"/>
            </w:pPr>
            <w:r>
              <w:t>Original: English</w:t>
            </w:r>
          </w:p>
        </w:tc>
      </w:tr>
    </w:tbl>
    <w:p w14:paraId="0A561CAE" w14:textId="77777777" w:rsidR="002F3ED9" w:rsidRPr="009F0F06" w:rsidRDefault="002F3ED9" w:rsidP="004858F5">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24970186" w14:textId="77777777" w:rsidR="002F3ED9" w:rsidRPr="009F0F06" w:rsidRDefault="002F3ED9" w:rsidP="004858F5">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2373B093" w14:textId="77777777" w:rsidR="00E118CA" w:rsidRDefault="00E118CA" w:rsidP="00E118CA">
      <w:pPr>
        <w:spacing w:before="120"/>
        <w:rPr>
          <w:b/>
        </w:rPr>
      </w:pPr>
      <w:bookmarkStart w:id="0" w:name="_Hlk35441056"/>
      <w:r w:rsidRPr="00E619AD">
        <w:rPr>
          <w:b/>
          <w:bCs/>
        </w:rPr>
        <w:t>Fortieth</w:t>
      </w:r>
      <w:r w:rsidRPr="00E619AD" w:rsidDel="00E619AD">
        <w:rPr>
          <w:b/>
          <w:bCs/>
        </w:rPr>
        <w:t xml:space="preserve"> </w:t>
      </w:r>
      <w:r>
        <w:rPr>
          <w:b/>
        </w:rPr>
        <w:t>session</w:t>
      </w:r>
    </w:p>
    <w:bookmarkEnd w:id="0"/>
    <w:p w14:paraId="2849AD0E" w14:textId="77777777" w:rsidR="00E118CA" w:rsidRDefault="00E118CA" w:rsidP="00E118CA">
      <w:r>
        <w:t xml:space="preserve">Geneva, 5-7 July 2021 </w:t>
      </w:r>
    </w:p>
    <w:p w14:paraId="2D80A7A9" w14:textId="77777777" w:rsidR="00E118CA" w:rsidRPr="00A9053F" w:rsidRDefault="00E118CA" w:rsidP="00E118CA">
      <w:r w:rsidRPr="00A9053F">
        <w:t xml:space="preserve">Item </w:t>
      </w:r>
      <w:r>
        <w:t>2 (c)</w:t>
      </w:r>
      <w:r w:rsidRPr="00A9053F">
        <w:t xml:space="preserve"> of the provisional agenda</w:t>
      </w:r>
    </w:p>
    <w:p w14:paraId="3BACD35D" w14:textId="77777777" w:rsidR="00E118CA" w:rsidRDefault="00E118CA" w:rsidP="00E118CA">
      <w:pPr>
        <w:rPr>
          <w:b/>
          <w:bCs/>
        </w:rPr>
      </w:pPr>
      <w:r w:rsidRPr="0097163C">
        <w:rPr>
          <w:b/>
          <w:bCs/>
        </w:rPr>
        <w:t>Classification criteria and related hazard communication</w:t>
      </w:r>
      <w:r w:rsidRPr="003D4171">
        <w:rPr>
          <w:b/>
          <w:bCs/>
        </w:rPr>
        <w:t>:</w:t>
      </w:r>
      <w:r w:rsidRPr="003D4171">
        <w:rPr>
          <w:b/>
          <w:bCs/>
        </w:rPr>
        <w:br/>
      </w:r>
      <w:r>
        <w:rPr>
          <w:b/>
          <w:bCs/>
        </w:rPr>
        <w:t>u</w:t>
      </w:r>
      <w:r w:rsidRPr="0097163C">
        <w:rPr>
          <w:b/>
          <w:bCs/>
        </w:rPr>
        <w:t>se of non-animal testing methods for classification of health hazards</w:t>
      </w:r>
      <w:r>
        <w:rPr>
          <w:b/>
          <w:bCs/>
        </w:rPr>
        <w:t xml:space="preserve"> </w:t>
      </w:r>
    </w:p>
    <w:p w14:paraId="1B4FF589" w14:textId="77777777" w:rsidR="009107D8" w:rsidRPr="008D21C4" w:rsidRDefault="009107D8" w:rsidP="008D21C4">
      <w:pPr>
        <w:pStyle w:val="HChG"/>
      </w:pPr>
      <w:r>
        <w:tab/>
      </w:r>
      <w:r>
        <w:tab/>
      </w:r>
      <w:bookmarkStart w:id="1" w:name="_Hlk37755597"/>
      <w:r w:rsidRPr="008D21C4">
        <w:t>Consequential amendments to Chapters 1.2 and 3.2 due to the revision of GHS Chapter 3.3 to fully</w:t>
      </w:r>
      <w:r w:rsidRPr="008D21C4" w:rsidDel="00DA6B99">
        <w:t xml:space="preserve"> </w:t>
      </w:r>
      <w:r w:rsidRPr="008D21C4">
        <w:t>incorporate non-animal test methods</w:t>
      </w:r>
    </w:p>
    <w:p w14:paraId="658B4DC7" w14:textId="304A2435" w:rsidR="009107D8" w:rsidRPr="00441D90" w:rsidRDefault="009107D8" w:rsidP="00441D90">
      <w:pPr>
        <w:pStyle w:val="H1G"/>
      </w:pPr>
      <w:r>
        <w:tab/>
      </w:r>
      <w:r>
        <w:tab/>
      </w:r>
      <w:r w:rsidRPr="00441D90">
        <w:t xml:space="preserve">Transmitted by the experts from the United Kingdom and the Netherlands on behalf of the informal working group on the use </w:t>
      </w:r>
      <w:r w:rsidR="00441D90">
        <w:br/>
      </w:r>
      <w:r w:rsidRPr="00441D90">
        <w:t>of non-animal test methods for classification of health hazards</w:t>
      </w:r>
      <w:r w:rsidR="00441D90" w:rsidRPr="00441D90">
        <w:rPr>
          <w:rStyle w:val="FootnoteReference"/>
          <w:sz w:val="20"/>
          <w:vertAlign w:val="baseline"/>
        </w:rPr>
        <w:footnoteReference w:customMarkFollows="1" w:id="2"/>
        <w:t>*</w:t>
      </w:r>
    </w:p>
    <w:bookmarkEnd w:id="1"/>
    <w:p w14:paraId="76D5B7D1" w14:textId="667C410D" w:rsidR="00D234EF" w:rsidRPr="00D234EF" w:rsidRDefault="00D234EF" w:rsidP="00D234EF">
      <w:pPr>
        <w:pStyle w:val="HChG"/>
      </w:pPr>
      <w:r>
        <w:tab/>
      </w:r>
      <w:r>
        <w:tab/>
      </w:r>
      <w:r w:rsidRPr="00D234EF">
        <w:t xml:space="preserve">Introduction </w:t>
      </w:r>
    </w:p>
    <w:p w14:paraId="7FF9CE2C" w14:textId="6B90A27F" w:rsidR="00D234EF" w:rsidRPr="00902B41" w:rsidRDefault="00D234EF" w:rsidP="00902B41">
      <w:pPr>
        <w:pStyle w:val="SingleTxtG"/>
      </w:pPr>
      <w:r w:rsidRPr="00902B41">
        <w:t>1.</w:t>
      </w:r>
      <w:r w:rsidRPr="00902B41">
        <w:tab/>
        <w:t xml:space="preserve">In documents </w:t>
      </w:r>
      <w:r w:rsidR="00377A6D" w:rsidRPr="00902B41">
        <w:t xml:space="preserve">ST/SG/AC.10/C.4/2021/4 </w:t>
      </w:r>
      <w:r w:rsidRPr="00902B41">
        <w:t xml:space="preserve">and </w:t>
      </w:r>
      <w:r w:rsidR="00377A6D" w:rsidRPr="00902B41">
        <w:t>informal document INF.3</w:t>
      </w:r>
      <w:r w:rsidRPr="00902B41">
        <w:t>, a revised Chapter 3.3 for the GHS to fully</w:t>
      </w:r>
      <w:r w:rsidRPr="00902B41" w:rsidDel="00DA6B99">
        <w:t xml:space="preserve"> </w:t>
      </w:r>
      <w:r w:rsidRPr="00902B41">
        <w:t xml:space="preserve">incorporate non-animal test methods is proposed. The proposed changes to Chapter 3.3 also necessitates </w:t>
      </w:r>
      <w:proofErr w:type="gramStart"/>
      <w:r w:rsidRPr="00902B41">
        <w:t>a number of</w:t>
      </w:r>
      <w:proofErr w:type="gramEnd"/>
      <w:r w:rsidRPr="00902B41">
        <w:t xml:space="preserve"> conforming changes to be made to both Chapter 1.2 and Chapter 3.2, as outlined below in paragraphs 2 to 5.</w:t>
      </w:r>
    </w:p>
    <w:p w14:paraId="2D677AED" w14:textId="77777777" w:rsidR="00D234EF" w:rsidRPr="00D23599" w:rsidRDefault="00D234EF" w:rsidP="00D234EF">
      <w:pPr>
        <w:pStyle w:val="HChG"/>
        <w:ind w:firstLine="0"/>
        <w:rPr>
          <w:b w:val="0"/>
          <w:bCs/>
          <w:noProof/>
          <w:szCs w:val="28"/>
        </w:rPr>
      </w:pPr>
      <w:r>
        <w:t xml:space="preserve">Proposed </w:t>
      </w:r>
      <w:r>
        <w:rPr>
          <w:bCs/>
          <w:noProof/>
          <w:szCs w:val="28"/>
        </w:rPr>
        <w:t>c</w:t>
      </w:r>
      <w:r w:rsidRPr="00D23599">
        <w:rPr>
          <w:bCs/>
          <w:noProof/>
          <w:szCs w:val="28"/>
        </w:rPr>
        <w:t>onforming changes to Chapter</w:t>
      </w:r>
      <w:r>
        <w:rPr>
          <w:bCs/>
          <w:noProof/>
          <w:szCs w:val="28"/>
        </w:rPr>
        <w:t xml:space="preserve"> 1.2</w:t>
      </w:r>
    </w:p>
    <w:p w14:paraId="75E3A332" w14:textId="77777777" w:rsidR="00D234EF" w:rsidRPr="00532EB2" w:rsidRDefault="00D234EF" w:rsidP="00532EB2">
      <w:pPr>
        <w:pStyle w:val="SingleTxtG"/>
      </w:pPr>
      <w:r w:rsidRPr="00532EB2">
        <w:t>2.</w:t>
      </w:r>
      <w:r w:rsidRPr="00532EB2">
        <w:tab/>
        <w:t>Amend Chapter 1.2 “Definitions and abbreviations” as follows:</w:t>
      </w:r>
    </w:p>
    <w:p w14:paraId="38F8B1D8" w14:textId="77777777" w:rsidR="00D234EF" w:rsidRPr="00532EB2" w:rsidRDefault="00D234EF" w:rsidP="00532EB2">
      <w:pPr>
        <w:pStyle w:val="SingleTxtG"/>
        <w:ind w:firstLine="567"/>
      </w:pPr>
      <w:r w:rsidRPr="00532EB2">
        <w:t>Insert a new abbreviation after the entry for “IARC”, to read as follows:</w:t>
      </w:r>
    </w:p>
    <w:p w14:paraId="37CB8EE6" w14:textId="77777777" w:rsidR="00D234EF" w:rsidRDefault="00D234EF" w:rsidP="00D234EF">
      <w:pPr>
        <w:pStyle w:val="SingleTxtG"/>
        <w:ind w:left="1985" w:right="567"/>
      </w:pPr>
      <w:r>
        <w:rPr>
          <w:rFonts w:eastAsiaTheme="minorHAnsi"/>
        </w:rPr>
        <w:t>“</w:t>
      </w:r>
      <w:r w:rsidRPr="0073709A">
        <w:rPr>
          <w:rFonts w:eastAsiaTheme="minorHAnsi"/>
          <w:b/>
          <w:bCs/>
          <w:i/>
          <w:iCs/>
        </w:rPr>
        <w:t>IATA</w:t>
      </w:r>
      <w:r>
        <w:rPr>
          <w:rFonts w:eastAsiaTheme="minorHAnsi"/>
        </w:rPr>
        <w:t xml:space="preserve"> means “</w:t>
      </w:r>
      <w:r w:rsidRPr="00EB2C04">
        <w:rPr>
          <w:rFonts w:eastAsiaTheme="minorHAnsi"/>
        </w:rPr>
        <w:t>Integrated Approach on Testing and Assessment</w:t>
      </w:r>
      <w:r>
        <w:rPr>
          <w:rFonts w:eastAsiaTheme="minorHAnsi"/>
        </w:rPr>
        <w:t>”;”</w:t>
      </w:r>
    </w:p>
    <w:p w14:paraId="1735E8D2" w14:textId="77777777" w:rsidR="00D234EF" w:rsidRPr="00D23599" w:rsidRDefault="00D234EF" w:rsidP="00D234EF">
      <w:pPr>
        <w:pStyle w:val="SingleTxtG"/>
        <w:spacing w:before="360" w:after="240" w:line="270" w:lineRule="atLeast"/>
        <w:ind w:right="567"/>
        <w:rPr>
          <w:b/>
          <w:bCs/>
          <w:noProof/>
          <w:sz w:val="28"/>
          <w:szCs w:val="28"/>
        </w:rPr>
      </w:pPr>
      <w:r>
        <w:rPr>
          <w:b/>
          <w:bCs/>
          <w:noProof/>
          <w:sz w:val="28"/>
          <w:szCs w:val="28"/>
        </w:rPr>
        <w:t>Proposed c</w:t>
      </w:r>
      <w:r w:rsidRPr="00D23599">
        <w:rPr>
          <w:b/>
          <w:bCs/>
          <w:noProof/>
          <w:sz w:val="28"/>
          <w:szCs w:val="28"/>
        </w:rPr>
        <w:t>onforming changes to Chapter 3.2</w:t>
      </w:r>
    </w:p>
    <w:p w14:paraId="0A317CE9" w14:textId="26B6D394" w:rsidR="00D234EF" w:rsidRDefault="00D234EF" w:rsidP="0073709A">
      <w:pPr>
        <w:pStyle w:val="SingleTxtG"/>
        <w:rPr>
          <w:noProof/>
        </w:rPr>
      </w:pPr>
      <w:r>
        <w:t>3</w:t>
      </w:r>
      <w:r w:rsidRPr="00D50637">
        <w:t>.</w:t>
      </w:r>
      <w:r w:rsidRPr="00D50637">
        <w:tab/>
      </w:r>
      <w:r>
        <w:t xml:space="preserve">A number of </w:t>
      </w:r>
      <w:r w:rsidRPr="00D50637">
        <w:t>proposed changes to the pH rule</w:t>
      </w:r>
      <w:r>
        <w:t xml:space="preserve"> in Chapter 3.3 will also require related </w:t>
      </w:r>
      <w:r w:rsidRPr="00D50637">
        <w:t xml:space="preserve">amendments </w:t>
      </w:r>
      <w:r w:rsidRPr="0013462D">
        <w:t xml:space="preserve">to </w:t>
      </w:r>
      <w:r>
        <w:t xml:space="preserve">be made to </w:t>
      </w:r>
      <w:r w:rsidRPr="0013462D">
        <w:t>sub-sections</w:t>
      </w:r>
      <w:r w:rsidRPr="00D17BB5">
        <w:t xml:space="preserve"> </w:t>
      </w:r>
      <w:r w:rsidRPr="00D17BB5">
        <w:rPr>
          <w:noProof/>
        </w:rPr>
        <w:t>3.2.2.5 and 3.2.3.1.3</w:t>
      </w:r>
      <w:r>
        <w:rPr>
          <w:noProof/>
        </w:rPr>
        <w:t>;</w:t>
      </w:r>
      <w:r w:rsidRPr="00A35223">
        <w:rPr>
          <w:noProof/>
        </w:rPr>
        <w:t xml:space="preserve"> to Figure 3</w:t>
      </w:r>
      <w:r w:rsidRPr="00111AF7">
        <w:rPr>
          <w:noProof/>
        </w:rPr>
        <w:t>.2.1</w:t>
      </w:r>
      <w:r>
        <w:rPr>
          <w:noProof/>
        </w:rPr>
        <w:t>;</w:t>
      </w:r>
      <w:r w:rsidRPr="00111AF7">
        <w:rPr>
          <w:noProof/>
        </w:rPr>
        <w:t xml:space="preserve"> </w:t>
      </w:r>
      <w:r w:rsidRPr="00EB2C04">
        <w:t xml:space="preserve">and </w:t>
      </w:r>
      <w:r w:rsidR="0073709A">
        <w:t>d</w:t>
      </w:r>
      <w:r w:rsidRPr="00EB2C04">
        <w:t xml:space="preserve">ecision logic 3.2.2 </w:t>
      </w:r>
      <w:r w:rsidRPr="00111AF7">
        <w:rPr>
          <w:noProof/>
        </w:rPr>
        <w:t xml:space="preserve">of </w:t>
      </w:r>
      <w:r w:rsidRPr="0013462D">
        <w:rPr>
          <w:noProof/>
        </w:rPr>
        <w:t>Chapter</w:t>
      </w:r>
      <w:r>
        <w:rPr>
          <w:noProof/>
        </w:rPr>
        <w:t xml:space="preserve"> 3.2, together with new guidance provided in section 3.2.5.3.6. </w:t>
      </w:r>
    </w:p>
    <w:p w14:paraId="19EA9C6E" w14:textId="77777777" w:rsidR="00D234EF" w:rsidRDefault="00D234EF" w:rsidP="00DC371F">
      <w:pPr>
        <w:pStyle w:val="SingleTxtG"/>
        <w:rPr>
          <w:szCs w:val="18"/>
        </w:rPr>
      </w:pPr>
      <w:r>
        <w:rPr>
          <w:noProof/>
        </w:rPr>
        <w:lastRenderedPageBreak/>
        <w:t>4.</w:t>
      </w:r>
      <w:r>
        <w:rPr>
          <w:noProof/>
        </w:rPr>
        <w:tab/>
        <w:t xml:space="preserve">In addition, </w:t>
      </w:r>
      <w:r w:rsidRPr="00CC71BB">
        <w:rPr>
          <w:noProof/>
        </w:rPr>
        <w:t>a new figure and</w:t>
      </w:r>
      <w:r>
        <w:rPr>
          <w:noProof/>
        </w:rPr>
        <w:t xml:space="preserve"> </w:t>
      </w:r>
      <w:r w:rsidRPr="000E2F4A">
        <w:t xml:space="preserve">amendments will also be required to </w:t>
      </w:r>
      <w:r>
        <w:t xml:space="preserve">the following </w:t>
      </w:r>
      <w:r w:rsidRPr="000E2F4A">
        <w:t>sub-sections</w:t>
      </w:r>
      <w:r>
        <w:t xml:space="preserve"> of Chapter 3.2</w:t>
      </w:r>
      <w:r>
        <w:rPr>
          <w:szCs w:val="18"/>
        </w:rPr>
        <w:t>:</w:t>
      </w:r>
    </w:p>
    <w:p w14:paraId="587FD72A" w14:textId="77777777" w:rsidR="00D234EF" w:rsidRDefault="00D234EF" w:rsidP="00DC371F">
      <w:pPr>
        <w:pStyle w:val="Bullet1G"/>
        <w:rPr>
          <w:noProof/>
        </w:rPr>
      </w:pPr>
      <w:r>
        <w:rPr>
          <w:szCs w:val="18"/>
        </w:rPr>
        <w:t xml:space="preserve">Section </w:t>
      </w:r>
      <w:r w:rsidRPr="006007E0">
        <w:rPr>
          <w:noProof/>
        </w:rPr>
        <w:t>3.2.1.2</w:t>
      </w:r>
      <w:r>
        <w:rPr>
          <w:noProof/>
        </w:rPr>
        <w:t>;</w:t>
      </w:r>
      <w:r w:rsidRPr="006007E0">
        <w:rPr>
          <w:noProof/>
        </w:rPr>
        <w:t xml:space="preserve"> </w:t>
      </w:r>
    </w:p>
    <w:p w14:paraId="3B6E50BB" w14:textId="77777777" w:rsidR="00D234EF" w:rsidRPr="006007E0" w:rsidRDefault="00D234EF" w:rsidP="00DC371F">
      <w:pPr>
        <w:pStyle w:val="Bullet1G"/>
        <w:rPr>
          <w:noProof/>
        </w:rPr>
      </w:pPr>
      <w:r>
        <w:rPr>
          <w:noProof/>
        </w:rPr>
        <w:t xml:space="preserve">Amended section headings (3.2.2.1 to 3.2.2.6; 3.2.2.8 (renumbered from 3.2.2.7)) and a new section (3.2.2.7) on overall weight of evidence assessment to align with the presentation in Chapter 3.3; </w:t>
      </w:r>
    </w:p>
    <w:p w14:paraId="121BF40C" w14:textId="77777777" w:rsidR="00D234EF" w:rsidRDefault="00D234EF" w:rsidP="00DC371F">
      <w:pPr>
        <w:pStyle w:val="Bullet1G"/>
        <w:rPr>
          <w:noProof/>
        </w:rPr>
      </w:pPr>
      <w:r>
        <w:rPr>
          <w:noProof/>
        </w:rPr>
        <w:t>New Figure 3.2.2 on classification of mixtures;</w:t>
      </w:r>
    </w:p>
    <w:p w14:paraId="556E293B" w14:textId="77777777" w:rsidR="00D234EF" w:rsidRDefault="00D234EF" w:rsidP="00DC371F">
      <w:pPr>
        <w:pStyle w:val="Bullet1G"/>
        <w:rPr>
          <w:noProof/>
        </w:rPr>
      </w:pPr>
      <w:r>
        <w:rPr>
          <w:noProof/>
        </w:rPr>
        <w:t>Various minor textual alignments throughout chapter 3.2.</w:t>
      </w:r>
    </w:p>
    <w:p w14:paraId="283B7607" w14:textId="7645C176" w:rsidR="00D234EF" w:rsidRPr="00DC371F" w:rsidRDefault="00D234EF" w:rsidP="00DC371F">
      <w:pPr>
        <w:pStyle w:val="SingleTxtG"/>
      </w:pPr>
      <w:r w:rsidRPr="00DC371F">
        <w:t>5.</w:t>
      </w:r>
      <w:r w:rsidRPr="00DC371F">
        <w:tab/>
        <w:t xml:space="preserve">The proposed amendments to Chapter 3.2 are provided in the </w:t>
      </w:r>
      <w:r w:rsidR="00DC371F" w:rsidRPr="00DC371F">
        <w:t>a</w:t>
      </w:r>
      <w:r w:rsidRPr="00DC371F">
        <w:t xml:space="preserve">nnex </w:t>
      </w:r>
      <w:r w:rsidR="00DC371F" w:rsidRPr="00DC371F">
        <w:t xml:space="preserve">to </w:t>
      </w:r>
      <w:r w:rsidRPr="00DC371F">
        <w:t>this document.</w:t>
      </w:r>
    </w:p>
    <w:p w14:paraId="0C2BAD75" w14:textId="77777777" w:rsidR="00D234EF" w:rsidRPr="000F67AB" w:rsidRDefault="00D234EF" w:rsidP="00D234EF">
      <w:pPr>
        <w:pStyle w:val="H1G"/>
        <w:ind w:right="567"/>
        <w:rPr>
          <w:sz w:val="28"/>
          <w:szCs w:val="28"/>
        </w:rPr>
      </w:pPr>
      <w:r w:rsidRPr="00540059">
        <w:tab/>
      </w:r>
      <w:r w:rsidRPr="00C00FC2">
        <w:tab/>
      </w:r>
      <w:r w:rsidRPr="000F67AB">
        <w:rPr>
          <w:sz w:val="28"/>
          <w:szCs w:val="28"/>
        </w:rPr>
        <w:t xml:space="preserve">Action </w:t>
      </w:r>
      <w:r w:rsidRPr="009E4F9B">
        <w:rPr>
          <w:sz w:val="28"/>
          <w:szCs w:val="28"/>
        </w:rPr>
        <w:t>and next steps</w:t>
      </w:r>
    </w:p>
    <w:p w14:paraId="02AA1CDA" w14:textId="3EE6C3E3" w:rsidR="00D234EF" w:rsidRDefault="00D234EF" w:rsidP="00DC371F">
      <w:pPr>
        <w:pStyle w:val="SingleTxtG"/>
      </w:pPr>
      <w:r>
        <w:t>6.</w:t>
      </w:r>
      <w:r w:rsidRPr="006F7F90">
        <w:tab/>
        <w:t xml:space="preserve">The </w:t>
      </w:r>
      <w:r>
        <w:t>Sub-Committee is invited to agree the proposed conforming changes to Chapter</w:t>
      </w:r>
      <w:r w:rsidR="000D0EC7">
        <w:t> </w:t>
      </w:r>
      <w:r>
        <w:t xml:space="preserve">1.2 (as provided in paragraph 2 of this document) and to Chapter 3.2 (as set out in the </w:t>
      </w:r>
      <w:r w:rsidR="00BD0547">
        <w:t xml:space="preserve">annex </w:t>
      </w:r>
      <w:r>
        <w:t xml:space="preserve">to this </w:t>
      </w:r>
      <w:r w:rsidRPr="005C17B1">
        <w:t>document</w:t>
      </w:r>
      <w:r>
        <w:t>) and</w:t>
      </w:r>
      <w:r w:rsidRPr="005C17B1">
        <w:t xml:space="preserve"> as provided in full </w:t>
      </w:r>
      <w:r w:rsidRPr="005B281A">
        <w:t xml:space="preserve">in informal document </w:t>
      </w:r>
      <w:r w:rsidR="00532EB2" w:rsidRPr="00DC371F">
        <w:t>INF.4</w:t>
      </w:r>
      <w:r w:rsidRPr="00DC371F">
        <w:t>.</w:t>
      </w:r>
    </w:p>
    <w:p w14:paraId="2D11B8CC" w14:textId="77777777" w:rsidR="00D234EF" w:rsidRDefault="00D234EF" w:rsidP="00D234EF">
      <w:pPr>
        <w:suppressAutoHyphens w:val="0"/>
        <w:kinsoku/>
        <w:overflowPunct/>
        <w:autoSpaceDE/>
        <w:autoSpaceDN/>
        <w:adjustRightInd/>
        <w:snapToGrid/>
        <w:spacing w:after="200" w:line="276" w:lineRule="auto"/>
        <w:rPr>
          <w:b/>
          <w:sz w:val="28"/>
        </w:rPr>
      </w:pPr>
      <w:r>
        <w:br w:type="page"/>
      </w:r>
    </w:p>
    <w:p w14:paraId="1BEB3AA9" w14:textId="4BA983FD" w:rsidR="00D234EF" w:rsidRPr="00DC371F" w:rsidRDefault="00D234EF" w:rsidP="00DC371F">
      <w:pPr>
        <w:pStyle w:val="HChG"/>
      </w:pPr>
      <w:r w:rsidRPr="00DC371F">
        <w:lastRenderedPageBreak/>
        <w:t xml:space="preserve">Annex </w:t>
      </w:r>
    </w:p>
    <w:p w14:paraId="2A3622FD" w14:textId="35F5C018" w:rsidR="00D234EF" w:rsidRPr="00DC371F" w:rsidRDefault="00D234EF" w:rsidP="00DC371F">
      <w:pPr>
        <w:pStyle w:val="HChG"/>
      </w:pPr>
      <w:r w:rsidRPr="00DC371F">
        <w:tab/>
      </w:r>
      <w:r w:rsidRPr="00DC371F">
        <w:tab/>
        <w:t xml:space="preserve">Proposed amendments </w:t>
      </w:r>
      <w:r w:rsidR="00DC371F" w:rsidRPr="00DC371F">
        <w:t xml:space="preserve">to </w:t>
      </w:r>
      <w:r w:rsidRPr="00DC371F">
        <w:t>Chapter 3.2</w:t>
      </w:r>
    </w:p>
    <w:p w14:paraId="1DB53B55" w14:textId="2EB8A296" w:rsidR="00D234EF" w:rsidRPr="001C5873" w:rsidRDefault="00D234EF" w:rsidP="001C5873">
      <w:pPr>
        <w:pStyle w:val="SingleTxtG"/>
        <w:tabs>
          <w:tab w:val="left" w:pos="2268"/>
        </w:tabs>
      </w:pPr>
      <w:r w:rsidRPr="001C5873">
        <w:t>3.2.1.2</w:t>
      </w:r>
      <w:r w:rsidR="001C5873" w:rsidRPr="001C5873">
        <w:tab/>
      </w:r>
      <w:r w:rsidRPr="001C5873">
        <w:t xml:space="preserve">Replace the second sentence </w:t>
      </w:r>
      <w:r w:rsidR="00E42787">
        <w:t>with the following</w:t>
      </w:r>
      <w:r w:rsidRPr="001C5873">
        <w:t>:</w:t>
      </w:r>
    </w:p>
    <w:p w14:paraId="6036E7B1" w14:textId="070F6D19" w:rsidR="00D234EF" w:rsidRPr="001C5873" w:rsidRDefault="00D234EF" w:rsidP="001C5873">
      <w:pPr>
        <w:pStyle w:val="SingleTxtG"/>
        <w:ind w:left="2268"/>
      </w:pPr>
      <w:r w:rsidRPr="001C5873">
        <w:t>“Classification should be based on mutually acceptable data generated using methods that are validated according to international procedures. These include both OECD guidelines and equivalent methods (see 1.3.2.4.3).”</w:t>
      </w:r>
      <w:r w:rsidR="00E42787">
        <w:t>.</w:t>
      </w:r>
    </w:p>
    <w:p w14:paraId="411D8985" w14:textId="01A93216" w:rsidR="00D234EF" w:rsidRPr="00E42787" w:rsidRDefault="00E42787" w:rsidP="00E42787">
      <w:pPr>
        <w:pStyle w:val="SingleTxtG"/>
        <w:ind w:left="2268"/>
      </w:pPr>
      <w:r w:rsidRPr="00E42787">
        <w:t>In the last sentence, r</w:t>
      </w:r>
      <w:r w:rsidR="00D234EF" w:rsidRPr="00E42787">
        <w:t xml:space="preserve">eplace “3.2.2.6” with “3.2.2.7”. </w:t>
      </w:r>
    </w:p>
    <w:p w14:paraId="7A70F8A5" w14:textId="341E6B58" w:rsidR="00D234EF" w:rsidRPr="00E42787" w:rsidRDefault="00D234EF" w:rsidP="00E42787">
      <w:pPr>
        <w:pStyle w:val="SingleTxtG"/>
        <w:tabs>
          <w:tab w:val="left" w:pos="2268"/>
        </w:tabs>
      </w:pPr>
      <w:r w:rsidRPr="00E42787">
        <w:t>3.2.1.3</w:t>
      </w:r>
      <w:r w:rsidR="00E42787">
        <w:tab/>
      </w:r>
      <w:r w:rsidR="002B1E8B">
        <w:t>In the first sentence, r</w:t>
      </w:r>
      <w:r w:rsidRPr="00E42787">
        <w:t xml:space="preserve">eplace “3.2.2.7” with “3.2.2.8”. </w:t>
      </w:r>
    </w:p>
    <w:p w14:paraId="6A7CE0F3" w14:textId="05660F9B" w:rsidR="00D234EF" w:rsidRPr="00E42787" w:rsidRDefault="0068320F" w:rsidP="005076D4">
      <w:pPr>
        <w:pStyle w:val="SingleTxtG"/>
        <w:tabs>
          <w:tab w:val="left" w:pos="2268"/>
        </w:tabs>
        <w:ind w:left="2268"/>
      </w:pPr>
      <w:r>
        <w:t>In the last sentence, r</w:t>
      </w:r>
      <w:r w:rsidR="00D234EF" w:rsidRPr="00E42787">
        <w:t>eplace “3.2.2.7.3” with “3.2.2.8.3”</w:t>
      </w:r>
      <w:r w:rsidR="00F2331A">
        <w:t xml:space="preserve">; </w:t>
      </w:r>
      <w:r w:rsidR="00D234EF" w:rsidRPr="00E42787">
        <w:t>“</w:t>
      </w:r>
      <w:r w:rsidR="00F2331A">
        <w:t xml:space="preserve">weight of evidence </w:t>
      </w:r>
      <w:r w:rsidR="00D234EF" w:rsidRPr="00E42787">
        <w:t>approach” with “</w:t>
      </w:r>
      <w:r w:rsidR="00F2331A">
        <w:t xml:space="preserve">weight of evidence </w:t>
      </w:r>
      <w:r w:rsidR="00D234EF" w:rsidRPr="00E42787">
        <w:t xml:space="preserve">assessment” </w:t>
      </w:r>
      <w:r w:rsidR="00F2331A">
        <w:t xml:space="preserve">and </w:t>
      </w:r>
      <w:r w:rsidR="00206263">
        <w:t xml:space="preserve">insert “, 3.2.2.7” after “1.3.2.4.9” in the </w:t>
      </w:r>
      <w:r w:rsidR="0086143F">
        <w:t>references between brackets at the end of the paragraph.</w:t>
      </w:r>
    </w:p>
    <w:p w14:paraId="77033D74" w14:textId="7A730EAA" w:rsidR="00D234EF" w:rsidRDefault="00D234EF" w:rsidP="00B039BC">
      <w:pPr>
        <w:pStyle w:val="SingleTxtG"/>
        <w:tabs>
          <w:tab w:val="left" w:pos="2268"/>
        </w:tabs>
      </w:pPr>
      <w:r w:rsidRPr="005F4E14">
        <w:t>3.2.2.1</w:t>
      </w:r>
      <w:r w:rsidR="0086143F">
        <w:tab/>
      </w:r>
      <w:r w:rsidR="00CD44F1">
        <w:t>Add</w:t>
      </w:r>
      <w:r w:rsidR="00031EC9">
        <w:t xml:space="preserve"> </w:t>
      </w:r>
      <w:r w:rsidR="00031EC9">
        <w:rPr>
          <w:b/>
          <w:bCs/>
          <w:i/>
          <w:iCs/>
        </w:rPr>
        <w:t>“</w:t>
      </w:r>
      <w:r w:rsidRPr="005F4E14">
        <w:rPr>
          <w:b/>
          <w:bCs/>
          <w:i/>
          <w:iCs/>
        </w:rPr>
        <w:t>(Tier 1 in Figure 3.2.1)</w:t>
      </w:r>
      <w:r w:rsidRPr="005F4E14">
        <w:t>”</w:t>
      </w:r>
      <w:r w:rsidR="00031EC9">
        <w:t xml:space="preserve"> at the end</w:t>
      </w:r>
      <w:r w:rsidR="00CD44F1">
        <w:t xml:space="preserve"> of the heading</w:t>
      </w:r>
      <w:r w:rsidR="00B039BC">
        <w:t xml:space="preserve">. </w:t>
      </w:r>
    </w:p>
    <w:p w14:paraId="51C7A642" w14:textId="55D26121" w:rsidR="00D234EF" w:rsidRPr="005F4E14" w:rsidRDefault="00D234EF" w:rsidP="00111D8F">
      <w:pPr>
        <w:pStyle w:val="SingleTxtG"/>
      </w:pPr>
      <w:r w:rsidRPr="005F4E14">
        <w:rPr>
          <w:iCs/>
        </w:rPr>
        <w:t>3.2.2.2</w:t>
      </w:r>
      <w:r w:rsidR="00111D8F">
        <w:tab/>
      </w:r>
      <w:r w:rsidR="00BD0547">
        <w:tab/>
      </w:r>
      <w:r w:rsidR="00111D8F">
        <w:t>In the heading</w:t>
      </w:r>
      <w:r w:rsidR="005076D4">
        <w:t>:</w:t>
      </w:r>
      <w:r w:rsidR="00111D8F">
        <w:t xml:space="preserve"> delete “test” and add </w:t>
      </w:r>
      <w:r w:rsidR="00111D8F" w:rsidRPr="00111D8F">
        <w:rPr>
          <w:b/>
          <w:bCs/>
          <w:i/>
          <w:iCs/>
        </w:rPr>
        <w:t>“(Tier 1 in Figure 3.2.1)”</w:t>
      </w:r>
      <w:r w:rsidR="00111D8F">
        <w:t xml:space="preserve"> at the end.</w:t>
      </w:r>
    </w:p>
    <w:p w14:paraId="2F4C731F" w14:textId="77777777" w:rsidR="00111D8F" w:rsidRPr="008628FE" w:rsidRDefault="00111D8F" w:rsidP="00111D8F">
      <w:pPr>
        <w:pStyle w:val="SingleTxtG"/>
        <w:ind w:left="2268"/>
      </w:pPr>
      <w:r w:rsidRPr="008628FE">
        <w:t>Amend the beginning of the first sentence to read: “OECD Test Guideline 404 is the currently available and internationally accepted animal test method…”</w:t>
      </w:r>
      <w:r>
        <w:t>.</w:t>
      </w:r>
    </w:p>
    <w:p w14:paraId="49D097BD" w14:textId="4BF432F0" w:rsidR="00CD44F1" w:rsidRPr="005F4E14" w:rsidRDefault="00D234EF" w:rsidP="00CD44F1">
      <w:pPr>
        <w:pStyle w:val="SingleTxtG"/>
        <w:rPr>
          <w:b/>
          <w:bCs/>
          <w:i/>
          <w:iCs/>
        </w:rPr>
      </w:pPr>
      <w:r w:rsidRPr="00CD44F1">
        <w:t>3.2.2.3</w:t>
      </w:r>
      <w:r w:rsidR="00B34425" w:rsidRPr="00CD44F1">
        <w:tab/>
      </w:r>
      <w:r w:rsidR="00B34425" w:rsidRPr="00CD44F1">
        <w:tab/>
      </w:r>
      <w:r w:rsidR="00CD44F1" w:rsidRPr="00CD44F1">
        <w:t xml:space="preserve">Add </w:t>
      </w:r>
      <w:r w:rsidRPr="00CD44F1">
        <w:rPr>
          <w:b/>
          <w:bCs/>
          <w:i/>
          <w:iCs/>
        </w:rPr>
        <w:t>“(Tier 2 in Figure 3.2.1)”</w:t>
      </w:r>
      <w:r w:rsidRPr="00CD44F1">
        <w:t xml:space="preserve"> at the end of the heading</w:t>
      </w:r>
      <w:r w:rsidR="005076D4">
        <w:t>.</w:t>
      </w:r>
    </w:p>
    <w:p w14:paraId="5C72850B" w14:textId="4C03ACB1" w:rsidR="00D234EF" w:rsidRPr="00CD44F1" w:rsidRDefault="00D234EF" w:rsidP="00903C03">
      <w:pPr>
        <w:pStyle w:val="SingleTxtG"/>
        <w:ind w:left="2268" w:hanging="1134"/>
      </w:pPr>
      <w:r w:rsidRPr="00CD44F1">
        <w:t>3.2.2.3.2</w:t>
      </w:r>
      <w:r w:rsidR="00CD44F1">
        <w:tab/>
      </w:r>
      <w:r w:rsidRPr="00CD44F1">
        <w:t>Delete the first sentence</w:t>
      </w:r>
      <w:r w:rsidR="00C069BD">
        <w:t xml:space="preserve"> and replace “test method used” with “test method(s) used”.</w:t>
      </w:r>
    </w:p>
    <w:p w14:paraId="7543DA2F" w14:textId="373EEAC7" w:rsidR="00D234EF" w:rsidRPr="005F4E14" w:rsidRDefault="00D234EF" w:rsidP="00D33586">
      <w:pPr>
        <w:pStyle w:val="SingleTxtG"/>
        <w:rPr>
          <w:i/>
          <w:iCs/>
        </w:rPr>
      </w:pPr>
      <w:r w:rsidRPr="005F4E14">
        <w:t xml:space="preserve">3.2.2.3.3.1 </w:t>
      </w:r>
      <w:r w:rsidR="00903C03">
        <w:tab/>
      </w:r>
      <w:r w:rsidR="00D33586">
        <w:t xml:space="preserve">Add </w:t>
      </w:r>
      <w:r w:rsidRPr="005F4E14">
        <w:t xml:space="preserve">“(see 3.2.5.3.4)” at the end of </w:t>
      </w:r>
      <w:r w:rsidR="00CC4F6E">
        <w:t xml:space="preserve">the </w:t>
      </w:r>
      <w:r w:rsidRPr="005F4E14">
        <w:t>paragraph</w:t>
      </w:r>
      <w:r w:rsidR="00D33586">
        <w:t>.</w:t>
      </w:r>
      <w:r w:rsidRPr="005F4E14">
        <w:t xml:space="preserve"> </w:t>
      </w:r>
    </w:p>
    <w:p w14:paraId="0BCA240C" w14:textId="7D9D9805" w:rsidR="00D234EF" w:rsidRPr="005F4E14" w:rsidRDefault="00D234EF" w:rsidP="00CC4F6E">
      <w:pPr>
        <w:pStyle w:val="SingleTxtG"/>
      </w:pPr>
      <w:r w:rsidRPr="005F4E14">
        <w:t>3.2.2.3.4.1</w:t>
      </w:r>
      <w:r w:rsidR="00D33586">
        <w:tab/>
      </w:r>
      <w:r w:rsidRPr="005F4E14">
        <w:t xml:space="preserve"> </w:t>
      </w:r>
      <w:r w:rsidR="00CC4F6E">
        <w:t>Add</w:t>
      </w:r>
      <w:r w:rsidRPr="005F4E14">
        <w:t xml:space="preserve"> “(see 3.2.5.3.4)” at the end of </w:t>
      </w:r>
      <w:r w:rsidR="00CC4F6E">
        <w:t xml:space="preserve">the </w:t>
      </w:r>
      <w:r w:rsidRPr="005F4E14">
        <w:t>paragraph</w:t>
      </w:r>
      <w:r w:rsidR="00CC4F6E">
        <w:t>.</w:t>
      </w:r>
      <w:r w:rsidRPr="005F4E14">
        <w:t xml:space="preserve"> </w:t>
      </w:r>
    </w:p>
    <w:p w14:paraId="706FEC18" w14:textId="09833915" w:rsidR="00D234EF" w:rsidRPr="005F4E14" w:rsidRDefault="00D234EF" w:rsidP="00D33586">
      <w:pPr>
        <w:pStyle w:val="SingleTxtG"/>
      </w:pPr>
      <w:r w:rsidRPr="005F4E14">
        <w:t>3.2.2.3.4.2</w:t>
      </w:r>
      <w:r w:rsidR="006A62BE">
        <w:tab/>
      </w:r>
      <w:r w:rsidRPr="005F4E14">
        <w:t xml:space="preserve">Delete the last sentence. </w:t>
      </w:r>
    </w:p>
    <w:p w14:paraId="2863DEB0" w14:textId="41E234E9" w:rsidR="00581803" w:rsidRDefault="0055225E" w:rsidP="004C50AA">
      <w:pPr>
        <w:pStyle w:val="SingleTxtG"/>
      </w:pPr>
      <w:r>
        <w:t>3.2.2.3.5</w:t>
      </w:r>
      <w:r w:rsidR="00006329">
        <w:t xml:space="preserve"> (new)</w:t>
      </w:r>
      <w:r w:rsidR="00903C03">
        <w:t xml:space="preserve"> </w:t>
      </w:r>
      <w:r w:rsidR="00D234EF" w:rsidRPr="005F4E14">
        <w:t xml:space="preserve">Insert a </w:t>
      </w:r>
      <w:r w:rsidR="00006329">
        <w:t xml:space="preserve">new </w:t>
      </w:r>
      <w:r w:rsidR="004C50AA">
        <w:t xml:space="preserve">section heading to read </w:t>
      </w:r>
      <w:r>
        <w:t>as follows</w:t>
      </w:r>
      <w:r w:rsidR="00D234EF" w:rsidRPr="005F4E14">
        <w:t xml:space="preserve">: </w:t>
      </w:r>
    </w:p>
    <w:p w14:paraId="33E99457" w14:textId="2316450E" w:rsidR="00D234EF" w:rsidRPr="005F4E14" w:rsidRDefault="00D234EF" w:rsidP="00581803">
      <w:pPr>
        <w:pStyle w:val="SingleTxtG"/>
        <w:ind w:left="2268"/>
      </w:pPr>
      <w:r w:rsidRPr="005F4E14">
        <w:t>“3.2.2.3.5</w:t>
      </w:r>
      <w:r w:rsidRPr="005F4E14">
        <w:tab/>
      </w:r>
      <w:r w:rsidRPr="005F4E14">
        <w:rPr>
          <w:i/>
          <w:iCs/>
        </w:rPr>
        <w:t>No classification for effect on the skin</w:t>
      </w:r>
      <w:r w:rsidRPr="005F4E14">
        <w:t>”</w:t>
      </w:r>
    </w:p>
    <w:p w14:paraId="19E4A9E9" w14:textId="24F2A222" w:rsidR="00581803" w:rsidRDefault="00D234EF" w:rsidP="00D33586">
      <w:pPr>
        <w:pStyle w:val="SingleTxtG"/>
      </w:pPr>
      <w:r w:rsidRPr="005F4E14">
        <w:t>3.2.2.3.</w:t>
      </w:r>
      <w:r w:rsidR="00581803">
        <w:t xml:space="preserve">4.3 </w:t>
      </w:r>
      <w:r w:rsidR="00581803">
        <w:tab/>
      </w:r>
      <w:r w:rsidR="00953A5E">
        <w:t>Amend and renumber to read as follows:</w:t>
      </w:r>
    </w:p>
    <w:p w14:paraId="6B51AF68" w14:textId="77777777" w:rsidR="00D234EF" w:rsidRPr="005F4E14" w:rsidRDefault="00D234EF" w:rsidP="00C928E8">
      <w:pPr>
        <w:pStyle w:val="SingleTxtG"/>
      </w:pPr>
      <w:r w:rsidRPr="005F4E14">
        <w:t>“3.2.2.3.5.1</w:t>
      </w:r>
      <w:r w:rsidRPr="005F4E14">
        <w:tab/>
        <w:t xml:space="preserve">Where competent authorities do not adopt Category 3, a negative result in an </w:t>
      </w:r>
      <w:r w:rsidRPr="005F4E14">
        <w:rPr>
          <w:i/>
          <w:iCs/>
        </w:rPr>
        <w:t>in vitro/ex vivo</w:t>
      </w:r>
      <w:r w:rsidRPr="005F4E14">
        <w:t xml:space="preserve"> test method for skin irritation that is validated according to international procedures, e.g. OECD Test Guideline 439, can be used to conclude as not classified for skin irritation. Where competent authorities adopt Category 3, additional information is required to differentiate between Category 3 and no classification.”</w:t>
      </w:r>
    </w:p>
    <w:p w14:paraId="5416A828" w14:textId="075A75FC" w:rsidR="00D234EF" w:rsidRPr="005247EC" w:rsidRDefault="00D234EF" w:rsidP="005247EC">
      <w:pPr>
        <w:pStyle w:val="SingleTxtG"/>
      </w:pPr>
      <w:r w:rsidRPr="005247EC">
        <w:t>3.2.2.4</w:t>
      </w:r>
      <w:r w:rsidR="00C64FAB">
        <w:tab/>
      </w:r>
      <w:r w:rsidR="005247EC">
        <w:tab/>
        <w:t xml:space="preserve">Amend the heading to read as follows: </w:t>
      </w:r>
    </w:p>
    <w:p w14:paraId="55F20161" w14:textId="346CF028" w:rsidR="00D234EF" w:rsidRPr="005247EC" w:rsidRDefault="00D234EF" w:rsidP="00C928E8">
      <w:pPr>
        <w:pStyle w:val="SingleTxtG"/>
        <w:rPr>
          <w:b/>
          <w:bCs/>
          <w:i/>
          <w:iCs/>
        </w:rPr>
      </w:pPr>
      <w:r w:rsidRPr="005247EC">
        <w:rPr>
          <w:i/>
          <w:iCs/>
        </w:rPr>
        <w:t>“</w:t>
      </w:r>
      <w:r w:rsidRPr="002C7B73">
        <w:rPr>
          <w:b/>
          <w:bCs/>
        </w:rPr>
        <w:t>3.2.2.4</w:t>
      </w:r>
      <w:r w:rsidRPr="005247EC">
        <w:rPr>
          <w:b/>
          <w:bCs/>
          <w:i/>
          <w:iCs/>
        </w:rPr>
        <w:tab/>
        <w:t>Classification based on other existing animal skin data (Tier 3 in Figure</w:t>
      </w:r>
      <w:r w:rsidR="00C928E8">
        <w:rPr>
          <w:b/>
          <w:bCs/>
          <w:i/>
          <w:iCs/>
        </w:rPr>
        <w:t> </w:t>
      </w:r>
      <w:r w:rsidRPr="005247EC">
        <w:rPr>
          <w:b/>
          <w:bCs/>
          <w:i/>
          <w:iCs/>
        </w:rPr>
        <w:t>3.2.1)</w:t>
      </w:r>
      <w:r w:rsidRPr="005247EC">
        <w:rPr>
          <w:i/>
          <w:iCs/>
        </w:rPr>
        <w:t>”</w:t>
      </w:r>
    </w:p>
    <w:p w14:paraId="1BF214A5" w14:textId="76FC72F8" w:rsidR="00C64FAB" w:rsidRPr="005F4E14" w:rsidRDefault="00D234EF" w:rsidP="002C7B73">
      <w:pPr>
        <w:pStyle w:val="SingleTxtG"/>
        <w:tabs>
          <w:tab w:val="left" w:pos="2268"/>
        </w:tabs>
        <w:rPr>
          <w:i/>
          <w:iCs/>
        </w:rPr>
      </w:pPr>
      <w:r w:rsidRPr="005F4E14">
        <w:t>3.2.2.5</w:t>
      </w:r>
      <w:r w:rsidRPr="005F4E14">
        <w:tab/>
      </w:r>
      <w:r w:rsidR="00C64FAB">
        <w:tab/>
      </w:r>
      <w:r w:rsidR="003228BC">
        <w:t>Amend to read as follows:</w:t>
      </w:r>
    </w:p>
    <w:p w14:paraId="5A8850D7" w14:textId="4DD38F80" w:rsidR="00D234EF" w:rsidRPr="002C7B73" w:rsidRDefault="00D234EF" w:rsidP="00C64FAB">
      <w:pPr>
        <w:pStyle w:val="SingleTxtG"/>
        <w:tabs>
          <w:tab w:val="left" w:pos="2268"/>
        </w:tabs>
        <w:rPr>
          <w:b/>
          <w:bCs/>
          <w:i/>
          <w:iCs/>
        </w:rPr>
      </w:pPr>
      <w:r w:rsidRPr="002C7B73">
        <w:rPr>
          <w:i/>
          <w:iCs/>
        </w:rPr>
        <w:t>“</w:t>
      </w:r>
      <w:r w:rsidRPr="002C7B73">
        <w:rPr>
          <w:b/>
          <w:bCs/>
        </w:rPr>
        <w:t>3.2.2.5</w:t>
      </w:r>
      <w:r w:rsidRPr="002C7B73">
        <w:rPr>
          <w:b/>
          <w:bCs/>
          <w:i/>
          <w:iCs/>
        </w:rPr>
        <w:tab/>
        <w:t>Classification based on extreme pH (pH ≤ 2 or ≥ 11.5) and acid/alkaline reserve (Tier 4 in Figure 3.2.1)</w:t>
      </w:r>
    </w:p>
    <w:p w14:paraId="7B240CDD" w14:textId="7774F55B" w:rsidR="00D234EF" w:rsidRPr="003228BC" w:rsidRDefault="00C64FAB" w:rsidP="00C64FAB">
      <w:pPr>
        <w:pStyle w:val="SingleTxtG"/>
        <w:tabs>
          <w:tab w:val="left" w:pos="2268"/>
        </w:tabs>
        <w:ind w:firstLine="567"/>
        <w:rPr>
          <w:rStyle w:val="SingleTxtGChar"/>
        </w:rPr>
      </w:pPr>
      <w:r>
        <w:tab/>
      </w:r>
      <w:r w:rsidR="00D234EF" w:rsidRPr="005F4E14">
        <w:t xml:space="preserve">In general, substances with an extreme pH (pH ≤ 2 or ≥ 11.5) are expected to cause significant skin effects, especially when associated with significant acid/alkaline reserve. A substance with pH ≤ 2 or ≥ 11.5 is therefore considered to cause skin corrosion (Category 1) in this </w:t>
      </w:r>
      <w:r w:rsidR="003228BC">
        <w:t>t</w:t>
      </w:r>
      <w:r w:rsidR="00D234EF" w:rsidRPr="005F4E14">
        <w:t xml:space="preserve">ier if it has a significant acid/alkaline reserve or if no data for acid/alkaline reserve are available. However, if consideration of acid/alkaline reserve suggests the substance may </w:t>
      </w:r>
      <w:r w:rsidR="00D234EF" w:rsidRPr="003228BC">
        <w:rPr>
          <w:rStyle w:val="SingleTxtGChar"/>
        </w:rPr>
        <w:t xml:space="preserve">not be corrosive despite the extreme pH value, the result is considered inconclusive within this </w:t>
      </w:r>
      <w:r w:rsidR="003228BC">
        <w:rPr>
          <w:rStyle w:val="SingleTxtGChar"/>
        </w:rPr>
        <w:t>t</w:t>
      </w:r>
      <w:r w:rsidR="00D234EF" w:rsidRPr="003228BC">
        <w:rPr>
          <w:rStyle w:val="SingleTxtGChar"/>
        </w:rPr>
        <w:t xml:space="preserve">ier (see Figure 3.2.1). A pH &gt; 2 and &lt; 11.5 is considered inconclusive and cannot be used for classification purposes. Acid/alkaline reserve and pH can be determined by different methods including those described in OECD Test Guideline 122 and Young et al. (1988), acknowledging that there are some differences between these </w:t>
      </w:r>
      <w:r w:rsidR="00D234EF" w:rsidRPr="003228BC">
        <w:rPr>
          <w:rStyle w:val="SingleTxtGChar"/>
        </w:rPr>
        <w:lastRenderedPageBreak/>
        <w:t>methods (see 3.2.5.3.6). A competent authority may decide which criteria for significant acid/alkaline reserve can be applied.”</w:t>
      </w:r>
    </w:p>
    <w:p w14:paraId="36350749" w14:textId="27185ED8" w:rsidR="00D234EF" w:rsidRPr="005F4E14" w:rsidRDefault="00D234EF" w:rsidP="00E9579F">
      <w:pPr>
        <w:pStyle w:val="SingleTxtG"/>
        <w:rPr>
          <w:b/>
          <w:bCs/>
          <w:i/>
          <w:iCs/>
        </w:rPr>
      </w:pPr>
      <w:r w:rsidRPr="005F4E14">
        <w:t>3.2.2.6</w:t>
      </w:r>
      <w:r w:rsidRPr="005F4E14">
        <w:tab/>
      </w:r>
      <w:r w:rsidR="00E9579F">
        <w:t xml:space="preserve"> </w:t>
      </w:r>
      <w:r w:rsidR="00E9579F">
        <w:tab/>
        <w:t xml:space="preserve">Add </w:t>
      </w:r>
      <w:r w:rsidRPr="00E9579F">
        <w:rPr>
          <w:rFonts w:eastAsiaTheme="minorHAnsi"/>
          <w:b/>
          <w:bCs/>
          <w:i/>
          <w:iCs/>
        </w:rPr>
        <w:t>“</w:t>
      </w:r>
      <w:r w:rsidRPr="00E9579F">
        <w:rPr>
          <w:b/>
          <w:bCs/>
          <w:i/>
          <w:iCs/>
        </w:rPr>
        <w:t>(Tier 5 in Figure 3.2.1)”</w:t>
      </w:r>
      <w:r w:rsidRPr="005F4E14">
        <w:t xml:space="preserve"> </w:t>
      </w:r>
      <w:r w:rsidRPr="005F4E14">
        <w:rPr>
          <w:rFonts w:eastAsiaTheme="minorHAnsi"/>
        </w:rPr>
        <w:t>at the end of the heading</w:t>
      </w:r>
      <w:r w:rsidR="00E9579F">
        <w:rPr>
          <w:rFonts w:eastAsiaTheme="minorHAnsi"/>
        </w:rPr>
        <w:t>.</w:t>
      </w:r>
    </w:p>
    <w:p w14:paraId="707F5117" w14:textId="3D2D3AAB" w:rsidR="00377CF3" w:rsidRDefault="00D234EF" w:rsidP="00C64FAB">
      <w:pPr>
        <w:pStyle w:val="SingleTxtG"/>
        <w:ind w:left="2268" w:hanging="1134"/>
      </w:pPr>
      <w:r w:rsidRPr="005F4E14">
        <w:t>3.2.2.6.1</w:t>
      </w:r>
      <w:r w:rsidR="00DD4338">
        <w:tab/>
        <w:t>In the last sentence, replace “</w:t>
      </w:r>
      <w:r w:rsidR="009F4EAD" w:rsidRPr="009F4EAD">
        <w:t>(structural alerts, SAR); quantitative structure-activity relationships (QSARs);</w:t>
      </w:r>
      <w:r w:rsidR="009F4EAD">
        <w:t xml:space="preserve"> computer </w:t>
      </w:r>
      <w:r w:rsidR="00EE5704">
        <w:t>experts systems; and” with “</w:t>
      </w:r>
      <w:r w:rsidR="00D922D5" w:rsidRPr="00D922D5">
        <w:t>(structural alerts, SAR) or quantitative structure-activity relationships (QSARs),</w:t>
      </w:r>
      <w:r w:rsidR="00D922D5">
        <w:t xml:space="preserve"> </w:t>
      </w:r>
      <w:r w:rsidR="00A24798">
        <w:t xml:space="preserve">computer experts systems, </w:t>
      </w:r>
      <w:r w:rsidR="00D922D5">
        <w:t>and”.</w:t>
      </w:r>
    </w:p>
    <w:p w14:paraId="3A0AA66B" w14:textId="05814C9D" w:rsidR="00D234EF" w:rsidRDefault="00D234EF" w:rsidP="00D922D5">
      <w:pPr>
        <w:pStyle w:val="SingleTxtG"/>
      </w:pPr>
      <w:r w:rsidRPr="005F4E14">
        <w:t>3.2.2.7</w:t>
      </w:r>
      <w:r w:rsidR="00D922D5">
        <w:t xml:space="preserve"> (new)</w:t>
      </w:r>
      <w:r w:rsidR="00D922D5">
        <w:tab/>
        <w:t>Insert a new section 3.2.2.7 to read as follows:</w:t>
      </w:r>
    </w:p>
    <w:p w14:paraId="48649CD3" w14:textId="5BCB3AB1" w:rsidR="00CD5274" w:rsidRPr="00225963" w:rsidRDefault="00CD5274" w:rsidP="00CD5274">
      <w:pPr>
        <w:pStyle w:val="SingleTxtG"/>
        <w:rPr>
          <w:i/>
          <w:iCs/>
        </w:rPr>
      </w:pPr>
      <w:r>
        <w:t>“</w:t>
      </w:r>
      <w:r w:rsidRPr="00225963">
        <w:rPr>
          <w:b/>
          <w:bCs/>
        </w:rPr>
        <w:t>3.2.2.7</w:t>
      </w:r>
      <w:r w:rsidRPr="00225963">
        <w:rPr>
          <w:b/>
          <w:bCs/>
        </w:rPr>
        <w:tab/>
      </w:r>
      <w:r w:rsidRPr="00225963">
        <w:rPr>
          <w:b/>
          <w:bCs/>
          <w:i/>
          <w:iCs/>
        </w:rPr>
        <w:t>Classification based on an overall weight of evidence assessment (Tier 6 in Figure 3.2.1)</w:t>
      </w:r>
    </w:p>
    <w:p w14:paraId="56E12889" w14:textId="77777777" w:rsidR="00CD5274" w:rsidRPr="00C85AD7" w:rsidRDefault="00CD5274" w:rsidP="00CD5274">
      <w:pPr>
        <w:pStyle w:val="SingleTxtG"/>
      </w:pPr>
      <w:r w:rsidRPr="00C85AD7">
        <w:t>3.2.2.7.1</w:t>
      </w:r>
      <w:r w:rsidRPr="00C85AD7">
        <w:tab/>
        <w:t>An overall weight of evidence assessment is indicated where none of the previous tiers resulted in a definitive conclusion on classification. In some cases, where the classification decision was postponed until the overall weight of evidence, but no further data are available, a classification may still be possible.</w:t>
      </w:r>
    </w:p>
    <w:p w14:paraId="10E0CD21" w14:textId="77777777" w:rsidR="00644E32" w:rsidRDefault="00CD5274" w:rsidP="00CD5274">
      <w:pPr>
        <w:pStyle w:val="SingleTxtG"/>
      </w:pPr>
      <w:r w:rsidRPr="00C85AD7">
        <w:t>3.2.2.7.2</w:t>
      </w:r>
      <w:r w:rsidRPr="00C85AD7">
        <w:tab/>
        <w:t xml:space="preserve">A substance with an extreme pH (pH ≤ 2 or ≥ 11.5) and non-significant acid/alkaline reserve (result considered inconclusive in Tier 4; see 3.2.2.7) and for which no other information is available, should be classified as skin corrosion Category 1 in this </w:t>
      </w:r>
      <w:r>
        <w:t>t</w:t>
      </w:r>
      <w:r w:rsidRPr="00C85AD7">
        <w:t xml:space="preserve">ier. If inconclusive information is also available from other </w:t>
      </w:r>
      <w:r>
        <w:t>t</w:t>
      </w:r>
      <w:r w:rsidRPr="00C85AD7">
        <w:t xml:space="preserve">iers but the overall weight of evidence assessment remains inconclusive, the extreme pH (pH ≤ 2 or ≥ 11.5) result should take precedence and the substance should be classified as skin corrosion Category 1 in this </w:t>
      </w:r>
      <w:r>
        <w:t>t</w:t>
      </w:r>
      <w:r w:rsidRPr="00C85AD7">
        <w:t>ier independently of its acid/alkaline reserve. For mixtures, the approach is different and is detailed in 3.2.3.1.3.</w:t>
      </w:r>
      <w:r w:rsidRPr="005F4E14">
        <w:t>”</w:t>
      </w:r>
      <w:r w:rsidR="00225963">
        <w:t>.</w:t>
      </w:r>
      <w:r w:rsidR="00644E32">
        <w:t xml:space="preserve"> </w:t>
      </w:r>
    </w:p>
    <w:p w14:paraId="7511BD98" w14:textId="7EEC1A13" w:rsidR="00877D91" w:rsidRDefault="005A48BC" w:rsidP="00CD5274">
      <w:pPr>
        <w:pStyle w:val="SingleTxtG"/>
      </w:pPr>
      <w:r>
        <w:t>Renumber current</w:t>
      </w:r>
      <w:r w:rsidR="00877D91">
        <w:t xml:space="preserve"> section 3.2.2.7 </w:t>
      </w:r>
      <w:r>
        <w:t>as</w:t>
      </w:r>
      <w:r w:rsidR="00877D91">
        <w:t xml:space="preserve"> 3.3.2.8</w:t>
      </w:r>
      <w:r w:rsidR="00A24798">
        <w:t xml:space="preserve">, and </w:t>
      </w:r>
      <w:r w:rsidR="0059379E">
        <w:t xml:space="preserve">paragraphs </w:t>
      </w:r>
      <w:r w:rsidR="00A24798">
        <w:t>3.</w:t>
      </w:r>
      <w:r w:rsidR="0059379E">
        <w:t>2</w:t>
      </w:r>
      <w:r w:rsidR="00A24798">
        <w:t>.2.7.1, 3.</w:t>
      </w:r>
      <w:r w:rsidR="0059379E">
        <w:t>2</w:t>
      </w:r>
      <w:r w:rsidR="00A24798">
        <w:t>.2.7.2 and 3.</w:t>
      </w:r>
      <w:r w:rsidR="0059379E">
        <w:t>2</w:t>
      </w:r>
      <w:r w:rsidR="00A24798">
        <w:t xml:space="preserve">.2.7.3 </w:t>
      </w:r>
      <w:r w:rsidR="00026CC0">
        <w:t>as</w:t>
      </w:r>
      <w:r w:rsidR="00A24798">
        <w:t xml:space="preserve"> 3.</w:t>
      </w:r>
      <w:r w:rsidR="0059379E">
        <w:t>2</w:t>
      </w:r>
      <w:r w:rsidR="00A24798">
        <w:t>.2.8.1, 3.</w:t>
      </w:r>
      <w:r w:rsidR="0059379E">
        <w:t>2</w:t>
      </w:r>
      <w:r w:rsidR="00A24798">
        <w:t>.2.8.2 and 3.</w:t>
      </w:r>
      <w:r w:rsidR="0059379E">
        <w:t>2</w:t>
      </w:r>
      <w:r w:rsidR="00A24798">
        <w:t>.2.8.3</w:t>
      </w:r>
      <w:r w:rsidR="00877D91">
        <w:t>.</w:t>
      </w:r>
    </w:p>
    <w:p w14:paraId="5F1965D2" w14:textId="13AAF123" w:rsidR="00D234EF" w:rsidRDefault="005A48BC" w:rsidP="00F25288">
      <w:pPr>
        <w:pStyle w:val="SingleTxtG"/>
      </w:pPr>
      <w:r>
        <w:t>3.2.2.8 (new, former 3.2.2.7)</w:t>
      </w:r>
      <w:r>
        <w:tab/>
      </w:r>
      <w:r w:rsidR="00F25288">
        <w:t>Add “</w:t>
      </w:r>
      <w:r w:rsidR="00D234EF" w:rsidRPr="00F25288">
        <w:rPr>
          <w:b/>
          <w:bCs/>
          <w:i/>
          <w:iCs/>
        </w:rPr>
        <w:t>“(Figure 3.2.1)”</w:t>
      </w:r>
      <w:r w:rsidR="00D234EF" w:rsidRPr="005F4E14">
        <w:rPr>
          <w:i/>
        </w:rPr>
        <w:t xml:space="preserve"> </w:t>
      </w:r>
      <w:r w:rsidR="00D234EF" w:rsidRPr="005F4E14">
        <w:rPr>
          <w:iCs/>
        </w:rPr>
        <w:t xml:space="preserve">at the end of the heading. </w:t>
      </w:r>
    </w:p>
    <w:p w14:paraId="10128DF9" w14:textId="503838E6" w:rsidR="00F25288" w:rsidRPr="005F4E14" w:rsidRDefault="00F25288" w:rsidP="00F25288">
      <w:pPr>
        <w:pStyle w:val="SingleTxtG"/>
      </w:pPr>
      <w:r>
        <w:t>3.2.2.8.</w:t>
      </w:r>
      <w:r w:rsidR="003F2C1A">
        <w:t>2</w:t>
      </w:r>
      <w:r>
        <w:t xml:space="preserve"> (new, former 3.2.2.7.</w:t>
      </w:r>
      <w:r w:rsidR="003F2C1A">
        <w:t>2</w:t>
      </w:r>
      <w:r>
        <w:t>)</w:t>
      </w:r>
      <w:r>
        <w:tab/>
      </w:r>
      <w:r w:rsidR="003F2C1A">
        <w:t>Amend the first sentence to read as follows:</w:t>
      </w:r>
    </w:p>
    <w:p w14:paraId="30A551F5" w14:textId="1B5B804E" w:rsidR="00D234EF" w:rsidRDefault="00D234EF" w:rsidP="00C928E8">
      <w:pPr>
        <w:pStyle w:val="SingleTxtG"/>
      </w:pPr>
      <w:r w:rsidRPr="005F4E14">
        <w:t xml:space="preserve">“In the tiered approach (Figure 3.2.1), existing human and standard animal data form the highest tier, followed by </w:t>
      </w:r>
      <w:r w:rsidRPr="005F4E14">
        <w:rPr>
          <w:i/>
          <w:iCs/>
        </w:rPr>
        <w:t>in vitro/ex vivo</w:t>
      </w:r>
      <w:r w:rsidRPr="005F4E14">
        <w:t xml:space="preserve"> data, other existing animal skin data, extreme pH and acid/alkaline reserve, and finally non-test methods.”</w:t>
      </w:r>
      <w:r w:rsidR="003F2C1A">
        <w:t>.</w:t>
      </w:r>
    </w:p>
    <w:p w14:paraId="2055E743" w14:textId="631F20EF" w:rsidR="003F2C1A" w:rsidRDefault="003F2C1A" w:rsidP="00C928E8">
      <w:pPr>
        <w:pStyle w:val="SingleTxtG"/>
      </w:pPr>
      <w:r>
        <w:t xml:space="preserve">In the second sentence, replace </w:t>
      </w:r>
      <w:r w:rsidR="008F2B2D">
        <w:t xml:space="preserve">“weight of evidence approach” with “weight of evidence assessment”. </w:t>
      </w:r>
    </w:p>
    <w:p w14:paraId="2942DB5F" w14:textId="55042119" w:rsidR="00E16DE7" w:rsidRDefault="00D234EF" w:rsidP="00C928E8">
      <w:pPr>
        <w:pStyle w:val="SingleTxtG"/>
      </w:pPr>
      <w:r w:rsidRPr="00C85AD7">
        <w:t>3.2.2.</w:t>
      </w:r>
      <w:r w:rsidR="00684D57">
        <w:t>8</w:t>
      </w:r>
      <w:r w:rsidRPr="00C85AD7">
        <w:t xml:space="preserve">.3 </w:t>
      </w:r>
      <w:r w:rsidR="00684D57">
        <w:t xml:space="preserve">(new, former </w:t>
      </w:r>
      <w:r w:rsidRPr="00C85AD7">
        <w:t>3.2.2.</w:t>
      </w:r>
      <w:r w:rsidR="00684D57">
        <w:t>7</w:t>
      </w:r>
      <w:r w:rsidRPr="00C85AD7">
        <w:t>.3</w:t>
      </w:r>
      <w:r w:rsidR="00684D57">
        <w:t xml:space="preserve">) </w:t>
      </w:r>
      <w:r w:rsidR="00E16DE7">
        <w:t xml:space="preserve">Replace (twice) “weight of evidence approach” with “weight of evidence assessment”. </w:t>
      </w:r>
    </w:p>
    <w:p w14:paraId="521AC6D8" w14:textId="69BBC603" w:rsidR="00E16DE7" w:rsidRDefault="00E16DE7" w:rsidP="00C928E8">
      <w:pPr>
        <w:pStyle w:val="SingleTxtG"/>
      </w:pPr>
      <w:r>
        <w:t xml:space="preserve">In the last sentence, replace “irritation” with “skin </w:t>
      </w:r>
      <w:r w:rsidR="00DB59C3">
        <w:t xml:space="preserve">irritation” and add “are also available” at the end of the paragraph. </w:t>
      </w:r>
    </w:p>
    <w:p w14:paraId="2F89C7AB" w14:textId="77777777" w:rsidR="00D1357D" w:rsidRDefault="00D234EF" w:rsidP="00B81559">
      <w:pPr>
        <w:pStyle w:val="SingleTxtG"/>
      </w:pPr>
      <w:r w:rsidRPr="00B81559">
        <w:t>Figure 3.2.1</w:t>
      </w:r>
      <w:r w:rsidR="00D1357D">
        <w:tab/>
        <w:t>Amend as follows:</w:t>
      </w:r>
    </w:p>
    <w:p w14:paraId="6C9299B2" w14:textId="40E1BFD9" w:rsidR="005240C8" w:rsidRDefault="00757CEC" w:rsidP="00D1357D">
      <w:pPr>
        <w:pStyle w:val="Bullet1G"/>
      </w:pPr>
      <w:r>
        <w:tab/>
      </w:r>
      <w:r w:rsidR="005240C8">
        <w:t xml:space="preserve">Text between tier 3 and tier 4 boxes: Replace </w:t>
      </w:r>
      <w:r w:rsidR="005240C8" w:rsidRPr="00D1357D">
        <w:rPr>
          <w:i/>
          <w:iCs/>
        </w:rPr>
        <w:t xml:space="preserve">“No data or </w:t>
      </w:r>
      <w:proofErr w:type="spellStart"/>
      <w:r w:rsidR="005240C8" w:rsidRPr="00D1357D">
        <w:rPr>
          <w:i/>
          <w:iCs/>
        </w:rPr>
        <w:t>inconclusive</w:t>
      </w:r>
      <w:r w:rsidR="005240C8" w:rsidRPr="00D1357D">
        <w:rPr>
          <w:i/>
          <w:iCs/>
          <w:vertAlign w:val="superscript"/>
        </w:rPr>
        <w:t>b</w:t>
      </w:r>
      <w:proofErr w:type="spellEnd"/>
      <w:r w:rsidR="005240C8" w:rsidRPr="00D1357D">
        <w:rPr>
          <w:i/>
          <w:iCs/>
        </w:rPr>
        <w:t>”</w:t>
      </w:r>
      <w:r w:rsidR="005240C8">
        <w:t xml:space="preserve"> </w:t>
      </w:r>
      <w:r w:rsidR="005240C8" w:rsidRPr="00D1357D">
        <w:rPr>
          <w:i/>
          <w:iCs/>
        </w:rPr>
        <w:t xml:space="preserve">with “No data, not classified for skin corrosion/irritation or </w:t>
      </w:r>
      <w:proofErr w:type="spellStart"/>
      <w:r w:rsidR="005240C8" w:rsidRPr="00D1357D">
        <w:rPr>
          <w:i/>
          <w:iCs/>
        </w:rPr>
        <w:t>inconclusive</w:t>
      </w:r>
      <w:r w:rsidR="005240C8" w:rsidRPr="00D1357D">
        <w:rPr>
          <w:i/>
          <w:iCs/>
          <w:vertAlign w:val="superscript"/>
        </w:rPr>
        <w:t>b</w:t>
      </w:r>
      <w:proofErr w:type="spellEnd"/>
      <w:r w:rsidR="005240C8" w:rsidRPr="00D1357D">
        <w:rPr>
          <w:i/>
          <w:iCs/>
        </w:rPr>
        <w:t>”</w:t>
      </w:r>
      <w:r w:rsidR="005240C8">
        <w:t>.</w:t>
      </w:r>
    </w:p>
    <w:p w14:paraId="7C1ABFCF" w14:textId="2C91355C" w:rsidR="005240C8" w:rsidRDefault="00D1357D" w:rsidP="00D1357D">
      <w:pPr>
        <w:pStyle w:val="Bullet1G"/>
      </w:pPr>
      <w:r>
        <w:t>Text between</w:t>
      </w:r>
      <w:r w:rsidR="000423AA">
        <w:t xml:space="preserve"> tier 4 and tier 5 boxes: Replace </w:t>
      </w:r>
      <w:r w:rsidR="000423AA" w:rsidRPr="000423AA">
        <w:rPr>
          <w:i/>
          <w:iCs/>
        </w:rPr>
        <w:t>“data showing significant acid/alkaline reserve”</w:t>
      </w:r>
      <w:r w:rsidR="000423AA">
        <w:t xml:space="preserve"> with </w:t>
      </w:r>
      <w:r w:rsidR="000423AA" w:rsidRPr="000423AA">
        <w:rPr>
          <w:i/>
          <w:iCs/>
        </w:rPr>
        <w:t>“data showing non-significant acid/alkaline reserve”.</w:t>
      </w:r>
    </w:p>
    <w:p w14:paraId="30E14B83" w14:textId="17588F1C" w:rsidR="005240C8" w:rsidRDefault="000423AA" w:rsidP="000423AA">
      <w:pPr>
        <w:pStyle w:val="Bullet1G"/>
      </w:pPr>
      <w:r>
        <w:t xml:space="preserve">Text </w:t>
      </w:r>
      <w:r w:rsidR="006D73E7">
        <w:t xml:space="preserve">box </w:t>
      </w:r>
      <w:r>
        <w:t>for tier 6: add “(see 3.2.2.7)” at the end, after “assessment”.</w:t>
      </w:r>
    </w:p>
    <w:p w14:paraId="3B76D101" w14:textId="6855CEA5" w:rsidR="006D73E7" w:rsidRDefault="006D73E7" w:rsidP="000423AA">
      <w:pPr>
        <w:pStyle w:val="Bullet1G"/>
      </w:pPr>
      <w:r>
        <w:t xml:space="preserve">Exit box “Classification not possible”: amend </w:t>
      </w:r>
      <w:r w:rsidR="002E69CA">
        <w:t xml:space="preserve">the text </w:t>
      </w:r>
      <w:r>
        <w:t>to read</w:t>
      </w:r>
      <w:r w:rsidR="002E69CA">
        <w:t>:</w:t>
      </w:r>
      <w:r>
        <w:t xml:space="preserve"> “Classification not possible for </w:t>
      </w:r>
      <w:proofErr w:type="spellStart"/>
      <w:r>
        <w:t>substances</w:t>
      </w:r>
      <w:r w:rsidRPr="006D73E7">
        <w:rPr>
          <w:vertAlign w:val="superscript"/>
        </w:rPr>
        <w:t>c</w:t>
      </w:r>
      <w:proofErr w:type="spellEnd"/>
      <w:r>
        <w:t>”</w:t>
      </w:r>
      <w:r w:rsidR="002E69CA">
        <w:t>.</w:t>
      </w:r>
    </w:p>
    <w:p w14:paraId="288C5C3E" w14:textId="0630ED65" w:rsidR="007218ED" w:rsidRDefault="007218ED" w:rsidP="00141E69">
      <w:pPr>
        <w:pStyle w:val="Bullet1G"/>
      </w:pPr>
      <w:r>
        <w:t xml:space="preserve">In the box on the </w:t>
      </w:r>
      <w:r w:rsidR="00D461C3">
        <w:t>right-hand</w:t>
      </w:r>
      <w:r>
        <w:t xml:space="preserve"> side starting with “Assess consistency with lower tiers” replace “</w:t>
      </w:r>
      <w:r w:rsidR="007F04E4">
        <w:t>3.2.2.7.3” with “3.2.2.8.3”.</w:t>
      </w:r>
    </w:p>
    <w:p w14:paraId="4FA3566F" w14:textId="73C39688" w:rsidR="00D509AE" w:rsidRDefault="00141E69" w:rsidP="00141E69">
      <w:pPr>
        <w:pStyle w:val="Bullet1G"/>
      </w:pPr>
      <w:r>
        <w:t>In note “a”, replace “3.2.2.7” with “3.2.2.8”.</w:t>
      </w:r>
    </w:p>
    <w:p w14:paraId="3172D7D1" w14:textId="4C52FDB4" w:rsidR="00141E69" w:rsidRPr="00C928E8" w:rsidRDefault="00141E69" w:rsidP="00141E69">
      <w:pPr>
        <w:pStyle w:val="Bullet1G"/>
      </w:pPr>
      <w:r>
        <w:t>Add a new note “</w:t>
      </w:r>
      <w:r w:rsidR="004D701B" w:rsidRPr="004D701B">
        <w:t>c</w:t>
      </w:r>
      <w:r>
        <w:t xml:space="preserve">” to read as </w:t>
      </w:r>
      <w:r w:rsidRPr="00C928E8">
        <w:t>follows:</w:t>
      </w:r>
      <w:r w:rsidR="006B32F7" w:rsidRPr="00C928E8">
        <w:t xml:space="preserve"> “</w:t>
      </w:r>
      <w:r w:rsidR="006B32F7" w:rsidRPr="00C928E8">
        <w:rPr>
          <w:rFonts w:cs="TimesNewRomanPSMT"/>
          <w:b/>
          <w:bCs/>
          <w:vertAlign w:val="superscript"/>
        </w:rPr>
        <w:t>c</w:t>
      </w:r>
      <w:r w:rsidR="006B32F7" w:rsidRPr="00C928E8">
        <w:rPr>
          <w:rFonts w:cs="TimesNewRomanPSMT"/>
          <w:i/>
          <w:iCs/>
        </w:rPr>
        <w:tab/>
      </w:r>
      <w:proofErr w:type="gramStart"/>
      <w:r w:rsidR="006B32F7" w:rsidRPr="00C928E8">
        <w:rPr>
          <w:rFonts w:cs="TimesNewRomanPSMT"/>
          <w:i/>
          <w:iCs/>
        </w:rPr>
        <w:t>For</w:t>
      </w:r>
      <w:proofErr w:type="gramEnd"/>
      <w:r w:rsidR="006B32F7" w:rsidRPr="00C928E8">
        <w:rPr>
          <w:rFonts w:cs="TimesNewRomanPSMT"/>
          <w:i/>
          <w:iCs/>
        </w:rPr>
        <w:t xml:space="preserve"> mixtures, the flow chart in Figure 3.2.2 should be followed”.</w:t>
      </w:r>
    </w:p>
    <w:p w14:paraId="5133B57E" w14:textId="62B8F24C" w:rsidR="00A07368" w:rsidRDefault="00D234EF" w:rsidP="00216104">
      <w:pPr>
        <w:pStyle w:val="SingleTxtG"/>
        <w:keepNext/>
        <w:keepLines/>
      </w:pPr>
      <w:r w:rsidRPr="00A07368">
        <w:lastRenderedPageBreak/>
        <w:t>3.2.3</w:t>
      </w:r>
      <w:r w:rsidR="00A07368" w:rsidRPr="00A07368">
        <w:tab/>
      </w:r>
      <w:r w:rsidR="00A07368" w:rsidRPr="00A07368">
        <w:tab/>
      </w:r>
      <w:r w:rsidR="00A07368">
        <w:t xml:space="preserve">Insert the following new text and figure under the </w:t>
      </w:r>
      <w:r w:rsidR="006F4C9E">
        <w:t xml:space="preserve">current </w:t>
      </w:r>
      <w:r w:rsidR="00A07368">
        <w:t>heading:</w:t>
      </w:r>
    </w:p>
    <w:p w14:paraId="03C24ADC" w14:textId="07189476" w:rsidR="00D234EF" w:rsidRPr="00C85AD7" w:rsidRDefault="00644E32" w:rsidP="00644E32">
      <w:pPr>
        <w:pStyle w:val="SingleTxtG"/>
        <w:tabs>
          <w:tab w:val="left" w:pos="2268"/>
        </w:tabs>
      </w:pPr>
      <w:r>
        <w:tab/>
      </w:r>
      <w:r w:rsidR="00D234EF" w:rsidRPr="00161D77">
        <w:t>“</w:t>
      </w:r>
      <w:r w:rsidR="00D234EF" w:rsidRPr="00CF468D">
        <w:t>The approach to classification for skin corrosion/irritation is tiered and is dependent upon the amount of information available for the mixture itself and for its ingredients. The flow chart of Figure 3.2.2 below outlines the process to be followed.</w:t>
      </w:r>
    </w:p>
    <w:p w14:paraId="63B68BBC" w14:textId="0FADA681" w:rsidR="00D234EF" w:rsidRPr="00CF468D" w:rsidRDefault="00D234EF" w:rsidP="00D234EF">
      <w:pPr>
        <w:pStyle w:val="StyleGHSHeading410pt"/>
        <w:ind w:left="1134"/>
        <w:rPr>
          <w:color w:val="auto"/>
        </w:rPr>
      </w:pPr>
      <w:r w:rsidRPr="00CF468D">
        <w:rPr>
          <w:color w:val="auto"/>
        </w:rPr>
        <w:t>Figure 3.2.2:  Tiered approach to classification of mixtures for skin corrosion/irritation</w:t>
      </w:r>
    </w:p>
    <w:p w14:paraId="7BFBC6A5" w14:textId="2B537938" w:rsidR="006F4C9E" w:rsidRPr="00C85AD7" w:rsidRDefault="006F4C9E" w:rsidP="006F4C9E">
      <w:pPr>
        <w:pStyle w:val="Default"/>
        <w:spacing w:before="240"/>
        <w:ind w:left="284" w:right="567"/>
        <w:jc w:val="center"/>
        <w:rPr>
          <w:color w:val="auto"/>
          <w:sz w:val="20"/>
          <w:szCs w:val="20"/>
        </w:rPr>
      </w:pPr>
      <w:r w:rsidRPr="00CF468D">
        <w:rPr>
          <w:rFonts w:asciiTheme="minorHAnsi" w:hAnsiTheme="minorHAnsi" w:cstheme="minorBidi"/>
          <w:sz w:val="22"/>
          <w:szCs w:val="22"/>
        </w:rPr>
        <w:object w:dxaOrig="8775" w:dyaOrig="9975" w14:anchorId="2E244B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65pt;height:437.9pt" o:ole="">
            <v:imagedata r:id="rId12" o:title=""/>
          </v:shape>
          <o:OLEObject Type="Embed" ProgID="Visio.Drawing.15" ShapeID="_x0000_i1025" DrawAspect="Content" ObjectID="_1680519612" r:id="rId13"/>
        </w:object>
      </w:r>
    </w:p>
    <w:p w14:paraId="76854ECB" w14:textId="55091165" w:rsidR="00D234EF" w:rsidRPr="000B531D" w:rsidRDefault="00D234EF" w:rsidP="006F4C9E">
      <w:pPr>
        <w:pStyle w:val="SingleTxtG"/>
        <w:spacing w:before="240"/>
        <w:rPr>
          <w:i/>
          <w:iCs/>
          <w:shd w:val="clear" w:color="auto" w:fill="FFFFFF"/>
        </w:rPr>
      </w:pPr>
      <w:proofErr w:type="spellStart"/>
      <w:r w:rsidRPr="000B531D">
        <w:rPr>
          <w:b/>
          <w:i/>
          <w:iCs/>
          <w:shd w:val="clear" w:color="auto" w:fill="FFFFFF"/>
          <w:vertAlign w:val="superscript"/>
        </w:rPr>
        <w:t>a</w:t>
      </w:r>
      <w:proofErr w:type="spellEnd"/>
      <w:r w:rsidRPr="000B531D">
        <w:rPr>
          <w:i/>
          <w:iCs/>
          <w:shd w:val="clear" w:color="auto" w:fill="FFFFFF"/>
        </w:rPr>
        <w:tab/>
        <w:t>The dashed boxes represent an individual tier within conclusive data on the mixture as whole. However, in contrast to substances, mixtures having an "extreme pH value (pH</w:t>
      </w:r>
      <w:r w:rsidR="000B531D" w:rsidRPr="000B531D">
        <w:rPr>
          <w:i/>
          <w:iCs/>
          <w:shd w:val="clear" w:color="auto" w:fill="FFFFFF"/>
        </w:rPr>
        <w:t> </w:t>
      </w:r>
      <w:r w:rsidRPr="000B531D">
        <w:rPr>
          <w:i/>
          <w:iCs/>
          <w:shd w:val="clear" w:color="auto" w:fill="FFFFFF"/>
        </w:rPr>
        <w:t>≤</w:t>
      </w:r>
      <w:r w:rsidR="000B531D" w:rsidRPr="000B531D">
        <w:rPr>
          <w:i/>
          <w:iCs/>
          <w:shd w:val="clear" w:color="auto" w:fill="FFFFFF"/>
        </w:rPr>
        <w:t> </w:t>
      </w:r>
      <w:r w:rsidRPr="000B531D">
        <w:rPr>
          <w:i/>
          <w:iCs/>
          <w:shd w:val="clear" w:color="auto" w:fill="FFFFFF"/>
        </w:rPr>
        <w:t>2 or ≥</w:t>
      </w:r>
      <w:r w:rsidR="000B531D" w:rsidRPr="000B531D">
        <w:rPr>
          <w:i/>
          <w:iCs/>
          <w:shd w:val="clear" w:color="auto" w:fill="FFFFFF"/>
        </w:rPr>
        <w:t> </w:t>
      </w:r>
      <w:r w:rsidRPr="000B531D">
        <w:rPr>
          <w:i/>
          <w:iCs/>
          <w:shd w:val="clear" w:color="auto" w:fill="FFFFFF"/>
        </w:rPr>
        <w:t>11.5) and non-significant acid/alkaline reserve" but no other conclusive data on the mixture as a whole, or no conclusive weight of evidence assessment from all available data on the mixture as whole, are not conclusive within the tiers for conclusive data on the mixture as a whole. Such mixtures should be first evaluated according to the bridging principles before the extreme pH value is considered as conclusive for classification.”</w:t>
      </w:r>
      <w:r w:rsidR="00A07368" w:rsidRPr="000B531D">
        <w:rPr>
          <w:i/>
          <w:iCs/>
          <w:shd w:val="clear" w:color="auto" w:fill="FFFFFF"/>
        </w:rPr>
        <w:t>.</w:t>
      </w:r>
    </w:p>
    <w:p w14:paraId="30CB3742" w14:textId="07D8AEED" w:rsidR="00D234EF" w:rsidRPr="00EB5E0A" w:rsidRDefault="00D234EF" w:rsidP="006F4C9E">
      <w:pPr>
        <w:pStyle w:val="SingleTxtG"/>
        <w:tabs>
          <w:tab w:val="left" w:pos="2268"/>
        </w:tabs>
        <w:ind w:left="2268" w:hanging="1134"/>
      </w:pPr>
      <w:r w:rsidRPr="00EB5E0A">
        <w:t>3.2.3.1.1</w:t>
      </w:r>
      <w:r w:rsidR="000B531D">
        <w:tab/>
      </w:r>
      <w:r w:rsidR="00BC6D15">
        <w:t>In the last sentence, r</w:t>
      </w:r>
      <w:r w:rsidRPr="00EB5E0A">
        <w:t xml:space="preserve">eplace </w:t>
      </w:r>
      <w:r w:rsidR="00BC6D15">
        <w:t>“</w:t>
      </w:r>
      <w:r w:rsidRPr="00EB5E0A">
        <w:t>calculation method</w:t>
      </w:r>
      <w:r w:rsidR="00BC6D15">
        <w:t>”</w:t>
      </w:r>
      <w:r w:rsidRPr="00EB5E0A">
        <w:t xml:space="preserve"> with “classification based on ingredients”.</w:t>
      </w:r>
    </w:p>
    <w:p w14:paraId="399E62DA" w14:textId="25C492E9" w:rsidR="00D234EF" w:rsidRPr="00EB5E0A" w:rsidRDefault="00D234EF" w:rsidP="006F4C9E">
      <w:pPr>
        <w:pStyle w:val="SingleTxtG"/>
        <w:ind w:left="2268" w:hanging="1134"/>
      </w:pPr>
      <w:bookmarkStart w:id="2" w:name="_Hlk69887375"/>
      <w:r w:rsidRPr="00EB5E0A">
        <w:t>3.2.3.1.2</w:t>
      </w:r>
      <w:r w:rsidR="00F05DC5">
        <w:tab/>
        <w:t xml:space="preserve">Amend the first sentence to read as follows: </w:t>
      </w:r>
    </w:p>
    <w:p w14:paraId="06D9F4B0" w14:textId="0144AEB8" w:rsidR="002A5AE8" w:rsidRPr="00C85AD7" w:rsidRDefault="00D234EF" w:rsidP="006F4C9E">
      <w:pPr>
        <w:pStyle w:val="SingleTxtG"/>
        <w:ind w:left="2268"/>
      </w:pPr>
      <w:r w:rsidRPr="00EB5E0A">
        <w:t>“</w:t>
      </w:r>
      <w:r w:rsidRPr="00EB5E0A">
        <w:rPr>
          <w:i/>
        </w:rPr>
        <w:t>In</w:t>
      </w:r>
      <w:r w:rsidRPr="00EB5E0A">
        <w:t xml:space="preserve"> </w:t>
      </w:r>
      <w:r w:rsidRPr="00EB5E0A">
        <w:rPr>
          <w:i/>
        </w:rPr>
        <w:t>vitro/ex vivo</w:t>
      </w:r>
      <w:r w:rsidRPr="00EB5E0A">
        <w:t xml:space="preserve"> test methods validated according to international procedures may not have been validated using mixtures</w:t>
      </w:r>
      <w:r w:rsidR="00724338">
        <w:t xml:space="preserve">; </w:t>
      </w:r>
      <w:r w:rsidR="00724338" w:rsidRPr="009103F3">
        <w:rPr>
          <w:rFonts w:cs="TimesNewRomanPSMT"/>
        </w:rPr>
        <w:t xml:space="preserve">although these methods are considered broadly applicable to mixtures, they can only be used for </w:t>
      </w:r>
      <w:r w:rsidR="00724338" w:rsidRPr="009103F3">
        <w:rPr>
          <w:rFonts w:cs="TimesNewRomanPSMT"/>
        </w:rPr>
        <w:lastRenderedPageBreak/>
        <w:t>classification of mixtures when all ingredients of the mixture fall within the applicability domain of the test method</w:t>
      </w:r>
      <w:r w:rsidR="00724338" w:rsidRPr="009103F3">
        <w:rPr>
          <w:rFonts w:cs="TimesNewRomanPSMT"/>
          <w:color w:val="0070C0"/>
        </w:rPr>
        <w:t>(</w:t>
      </w:r>
      <w:r w:rsidR="00724338" w:rsidRPr="009103F3">
        <w:rPr>
          <w:rFonts w:cs="TimesNewRomanPSMT"/>
        </w:rPr>
        <w:t>s</w:t>
      </w:r>
      <w:r w:rsidR="00724338" w:rsidRPr="009103F3">
        <w:rPr>
          <w:rFonts w:cs="TimesNewRomanPSMT"/>
          <w:color w:val="0070C0"/>
        </w:rPr>
        <w:t>)</w:t>
      </w:r>
      <w:r w:rsidR="00724338" w:rsidRPr="009103F3">
        <w:rPr>
          <w:rFonts w:cs="TimesNewRomanPSMT"/>
        </w:rPr>
        <w:t xml:space="preserve"> used</w:t>
      </w:r>
      <w:r w:rsidR="002A5AE8">
        <w:t>”</w:t>
      </w:r>
      <w:r w:rsidR="006F4C9E">
        <w:t>.</w:t>
      </w:r>
    </w:p>
    <w:bookmarkEnd w:id="2"/>
    <w:p w14:paraId="19312FD0" w14:textId="4DCB6D40" w:rsidR="00D234EF" w:rsidRPr="00CF468D" w:rsidRDefault="00D234EF" w:rsidP="00644E32">
      <w:pPr>
        <w:pStyle w:val="SingleTxtG"/>
        <w:keepNext/>
        <w:keepLines/>
        <w:tabs>
          <w:tab w:val="left" w:pos="2268"/>
        </w:tabs>
      </w:pPr>
      <w:r w:rsidRPr="005F4E14">
        <w:t>3.2.3.1.3</w:t>
      </w:r>
      <w:r w:rsidR="00DD5090">
        <w:tab/>
      </w:r>
      <w:r w:rsidR="00547B9B">
        <w:t>Amend to read as follows:</w:t>
      </w:r>
    </w:p>
    <w:p w14:paraId="24F6407B" w14:textId="2195B39F" w:rsidR="00D234EF" w:rsidRPr="00EB5E0A" w:rsidRDefault="00644E32" w:rsidP="00644E32">
      <w:pPr>
        <w:pStyle w:val="SingleTxtG"/>
        <w:keepNext/>
        <w:keepLines/>
        <w:tabs>
          <w:tab w:val="left" w:pos="2268"/>
        </w:tabs>
      </w:pPr>
      <w:r>
        <w:tab/>
      </w:r>
      <w:r w:rsidR="00D234EF" w:rsidRPr="00EB5E0A">
        <w:t>“A</w:t>
      </w:r>
      <w:r w:rsidR="00D234EF" w:rsidRPr="005F4E14">
        <w:t xml:space="preserve"> mixture </w:t>
      </w:r>
      <w:r w:rsidR="00D234EF" w:rsidRPr="00EB5E0A">
        <w:t>with an extreme pH (pH ≤ 2 or ≥ 11.5)</w:t>
      </w:r>
      <w:r w:rsidR="00D234EF" w:rsidRPr="005F4E14">
        <w:t xml:space="preserve"> </w:t>
      </w:r>
      <w:r w:rsidR="00D234EF" w:rsidRPr="00C85AD7">
        <w:t xml:space="preserve">is considered corrosive (Category 1) </w:t>
      </w:r>
      <w:r w:rsidR="00D234EF" w:rsidRPr="00EB5E0A">
        <w:t xml:space="preserve">in Tier 4 </w:t>
      </w:r>
      <w:r w:rsidR="00D234EF" w:rsidRPr="005F4E14">
        <w:t>if it has a</w:t>
      </w:r>
      <w:r w:rsidR="00D234EF" w:rsidRPr="00EB5E0A">
        <w:t xml:space="preserve"> significant acid/alkaline reserve or if no data for acid/alkaline reserve are available.</w:t>
      </w:r>
      <w:r w:rsidR="00D234EF" w:rsidRPr="005F4E14">
        <w:t xml:space="preserve"> However, if consideration of acid/alkaline reserve suggests the mixture may not be corrosive despite the </w:t>
      </w:r>
      <w:r w:rsidR="00D234EF" w:rsidRPr="00EB5E0A">
        <w:t>extreme</w:t>
      </w:r>
      <w:r w:rsidR="00D234EF" w:rsidRPr="005F4E14">
        <w:t xml:space="preserve"> pH value, </w:t>
      </w:r>
      <w:r w:rsidR="00D234EF" w:rsidRPr="00EB5E0A">
        <w:t xml:space="preserve">the result is considered inconclusive within Tier 4 (see Figure 3.2.1). If the overall weight of evidence assessment remains inconclusive or no data other than pH and acid/alkaline reserve are available, mixtures with an extreme pH (pH ≤ 2 or ≥ 11.5) and non-significant acid/alkaline reserve should be assessed using the bridging principles described in 3.2.3.2. If the bridging principles cannot be applied, mixtures with an extreme pH (pH ≤ 2 or ≥ 11.5) and non-significant acid/alkaline reserve should be classified as </w:t>
      </w:r>
      <w:r w:rsidR="00D234EF">
        <w:t>s</w:t>
      </w:r>
      <w:r w:rsidR="00D234EF" w:rsidRPr="00EB5E0A">
        <w:t>kin Category 1 (see Figure 3.2.2). A pH &gt; 2 and &lt; 11.5 is considered inconclusive and cannot be used for classification purposes. Acid/alkaline reserve and pH can be determined by different methods including those described in OECD Test Guideline 122 and Young et al. (1988), acknowledging that there are some differences between these methods (see 3.2.5.3.6). A competent authority may decide which criteria for significant acid/alkaline reserve can be applied.</w:t>
      </w:r>
      <w:r w:rsidR="00D234EF" w:rsidRPr="005F4E14">
        <w:t>”</w:t>
      </w:r>
    </w:p>
    <w:p w14:paraId="260D481B" w14:textId="7327D114" w:rsidR="00D234EF" w:rsidRPr="00C85AD7" w:rsidRDefault="00D234EF" w:rsidP="00664DFB">
      <w:pPr>
        <w:pStyle w:val="SingleTxtG"/>
      </w:pPr>
      <w:r w:rsidRPr="005F4E14">
        <w:t>3.2.3.2.5</w:t>
      </w:r>
      <w:r w:rsidR="00664DFB">
        <w:tab/>
        <w:t>Add “category” at the end of the current heading</w:t>
      </w:r>
      <w:r w:rsidR="001865A8">
        <w:t>.</w:t>
      </w:r>
    </w:p>
    <w:p w14:paraId="532BEED5" w14:textId="48B216F7" w:rsidR="00D234EF" w:rsidRPr="001E6522" w:rsidRDefault="00D234EF" w:rsidP="005D50C4">
      <w:pPr>
        <w:pStyle w:val="SingleTxtG"/>
        <w:tabs>
          <w:tab w:val="left" w:pos="2268"/>
        </w:tabs>
        <w:ind w:left="2268" w:hanging="1134"/>
      </w:pPr>
      <w:r w:rsidRPr="00C85AD7">
        <w:t xml:space="preserve">3.2.3.3.4 </w:t>
      </w:r>
      <w:r w:rsidR="005D50C4">
        <w:tab/>
      </w:r>
      <w:r w:rsidR="003B2987">
        <w:t xml:space="preserve">Amend the middle of the </w:t>
      </w:r>
      <w:r w:rsidRPr="00C85AD7">
        <w:t xml:space="preserve">third sentence </w:t>
      </w:r>
      <w:r w:rsidR="003B2987">
        <w:t>to read “…</w:t>
      </w:r>
      <w:r w:rsidR="00953CD9">
        <w:t>the pH should be used as the classification criterion (see 3.2.3.1.3) since extreme pH…”</w:t>
      </w:r>
      <w:r w:rsidR="001865A8">
        <w:t>.</w:t>
      </w:r>
    </w:p>
    <w:p w14:paraId="245A3F09" w14:textId="77777777" w:rsidR="007A7FDF" w:rsidRDefault="00D234EF" w:rsidP="005D50C4">
      <w:pPr>
        <w:pStyle w:val="SingleTxtG"/>
        <w:ind w:left="2268" w:hanging="1134"/>
      </w:pPr>
      <w:r w:rsidRPr="001E6522">
        <w:t>3.2.5.1</w:t>
      </w:r>
      <w:r w:rsidR="00445085">
        <w:tab/>
      </w:r>
      <w:r w:rsidR="00445085">
        <w:tab/>
        <w:t xml:space="preserve">In decision logic 3.2.1, </w:t>
      </w:r>
      <w:r w:rsidR="00C205E6">
        <w:t xml:space="preserve">amend the </w:t>
      </w:r>
      <w:r w:rsidR="007A7FDF">
        <w:t xml:space="preserve">question starting with “Is the </w:t>
      </w:r>
      <w:r w:rsidR="007A7FDF" w:rsidRPr="0045700E">
        <w:rPr>
          <w:b/>
          <w:bCs/>
        </w:rPr>
        <w:t>substance or mixture</w:t>
      </w:r>
      <w:r w:rsidR="007A7FDF">
        <w:t>” to read as follows:</w:t>
      </w:r>
    </w:p>
    <w:p w14:paraId="0C43A403" w14:textId="19F7D1B9" w:rsidR="001466B9" w:rsidRDefault="007A7FDF" w:rsidP="005D50C4">
      <w:pPr>
        <w:pStyle w:val="SingleTxtG"/>
        <w:ind w:left="2268"/>
      </w:pPr>
      <w:r>
        <w:t>“</w:t>
      </w:r>
      <w:r w:rsidR="0045700E">
        <w:t xml:space="preserve">Is the </w:t>
      </w:r>
      <w:r w:rsidR="0045700E" w:rsidRPr="0045700E">
        <w:rPr>
          <w:b/>
          <w:bCs/>
        </w:rPr>
        <w:t>substance or mixture</w:t>
      </w:r>
      <w:r w:rsidR="0045700E">
        <w:t xml:space="preserve"> </w:t>
      </w:r>
      <w:r w:rsidR="00200AEB" w:rsidRPr="001466B9">
        <w:rPr>
          <w:b/>
          <w:bCs/>
        </w:rPr>
        <w:t>corrosive</w:t>
      </w:r>
      <w:r w:rsidR="00200AEB">
        <w:t xml:space="preserve">, an </w:t>
      </w:r>
      <w:r w:rsidR="00200AEB" w:rsidRPr="001466B9">
        <w:rPr>
          <w:b/>
          <w:bCs/>
        </w:rPr>
        <w:t xml:space="preserve">irritant </w:t>
      </w:r>
      <w:r w:rsidR="00200AEB">
        <w:t xml:space="preserve">or a </w:t>
      </w:r>
      <w:r w:rsidR="00200AEB" w:rsidRPr="001466B9">
        <w:rPr>
          <w:b/>
          <w:bCs/>
        </w:rPr>
        <w:t>mild irritant</w:t>
      </w:r>
      <w:r w:rsidR="00200AEB">
        <w:t xml:space="preserve"> (see 3.2.2 and 3.2.3.1) in accordance with the tiered approach (see 3.2.2.8 and Fi</w:t>
      </w:r>
      <w:r w:rsidR="001466B9">
        <w:t>gures 3.2.1 and 3.2.2?”</w:t>
      </w:r>
    </w:p>
    <w:p w14:paraId="4B8BAA4B" w14:textId="3929D147" w:rsidR="00D234EF" w:rsidRPr="007A7FDF" w:rsidRDefault="00D234EF" w:rsidP="0045700E">
      <w:pPr>
        <w:pStyle w:val="SingleTxtG"/>
      </w:pPr>
    </w:p>
    <w:p w14:paraId="4B89F9F6" w14:textId="77777777" w:rsidR="00D234EF" w:rsidRPr="001E6522" w:rsidRDefault="00D234EF" w:rsidP="00D234EF">
      <w:pPr>
        <w:spacing w:line="240" w:lineRule="auto"/>
        <w:ind w:left="1134"/>
      </w:pPr>
    </w:p>
    <w:p w14:paraId="07473E45" w14:textId="77777777" w:rsidR="00D234EF" w:rsidRPr="001E6522" w:rsidRDefault="00D234EF" w:rsidP="00D234EF">
      <w:pPr>
        <w:suppressAutoHyphens w:val="0"/>
        <w:kinsoku/>
        <w:overflowPunct/>
        <w:autoSpaceDE/>
        <w:autoSpaceDN/>
        <w:adjustRightInd/>
        <w:snapToGrid/>
        <w:spacing w:after="200" w:line="276" w:lineRule="auto"/>
      </w:pPr>
      <w:r w:rsidRPr="001E6522">
        <w:br w:type="page"/>
      </w:r>
    </w:p>
    <w:p w14:paraId="532C7FC2" w14:textId="1A2B691D" w:rsidR="00D234EF" w:rsidRDefault="00D234EF" w:rsidP="005D50C4">
      <w:pPr>
        <w:tabs>
          <w:tab w:val="left" w:pos="2268"/>
        </w:tabs>
        <w:spacing w:line="240" w:lineRule="auto"/>
        <w:ind w:left="1134"/>
        <w:rPr>
          <w:bCs/>
        </w:rPr>
      </w:pPr>
      <w:r w:rsidRPr="001E6522">
        <w:lastRenderedPageBreak/>
        <w:t>3.2.5.2</w:t>
      </w:r>
      <w:r w:rsidR="00DE3428">
        <w:tab/>
      </w:r>
      <w:r w:rsidRPr="001E6522">
        <w:rPr>
          <w:bCs/>
        </w:rPr>
        <w:t xml:space="preserve">Replace </w:t>
      </w:r>
      <w:r w:rsidR="007D62E2">
        <w:rPr>
          <w:bCs/>
        </w:rPr>
        <w:t>d</w:t>
      </w:r>
      <w:r w:rsidRPr="001E6522">
        <w:rPr>
          <w:bCs/>
        </w:rPr>
        <w:t>ecision logic 3.2.2 with</w:t>
      </w:r>
      <w:r w:rsidR="007D62E2">
        <w:rPr>
          <w:bCs/>
        </w:rPr>
        <w:t xml:space="preserve"> the following</w:t>
      </w:r>
      <w:r w:rsidR="005D50C4">
        <w:rPr>
          <w:bCs/>
        </w:rPr>
        <w:t>:</w:t>
      </w:r>
    </w:p>
    <w:p w14:paraId="641EC76D" w14:textId="4B1B0B01" w:rsidR="007D62E2" w:rsidRPr="001E6522" w:rsidRDefault="007D62E2" w:rsidP="00D234EF">
      <w:pPr>
        <w:spacing w:line="240" w:lineRule="auto"/>
        <w:ind w:left="1134"/>
      </w:pPr>
      <w:r>
        <w:rPr>
          <w:bCs/>
        </w:rPr>
        <w:t>“</w:t>
      </w:r>
    </w:p>
    <w:p w14:paraId="6D2E1322" w14:textId="0E6C4C83" w:rsidR="00D234EF" w:rsidRPr="005F4E14" w:rsidRDefault="00D234EF" w:rsidP="00D234EF">
      <w:pPr>
        <w:spacing w:line="240" w:lineRule="auto"/>
        <w:ind w:left="567"/>
        <w:jc w:val="center"/>
      </w:pPr>
      <w:r>
        <w:object w:dxaOrig="7740" w:dyaOrig="11476" w14:anchorId="1E9FE30A">
          <v:shape id="_x0000_i1026" type="#_x0000_t75" style="width:401.9pt;height:595.35pt" o:ole="">
            <v:imagedata r:id="rId14" o:title=""/>
          </v:shape>
          <o:OLEObject Type="Embed" ProgID="Visio.Drawing.15" ShapeID="_x0000_i1026" DrawAspect="Content" ObjectID="_1680519613" r:id="rId15"/>
        </w:object>
      </w:r>
      <w:r w:rsidRPr="005F4E14">
        <w:t>”</w:t>
      </w:r>
    </w:p>
    <w:p w14:paraId="74C85065" w14:textId="37B47D13" w:rsidR="00D234EF" w:rsidRPr="005F4E14" w:rsidRDefault="007D62E2" w:rsidP="00D51F04">
      <w:pPr>
        <w:spacing w:line="240" w:lineRule="auto"/>
        <w:ind w:left="1134"/>
        <w:jc w:val="both"/>
        <w:rPr>
          <w:i/>
        </w:rPr>
      </w:pPr>
      <w:r>
        <w:t>In footnote 2, replace “</w:t>
      </w:r>
      <w:r w:rsidR="00D51F04" w:rsidRPr="003777C4">
        <w:rPr>
          <w:i/>
          <w:iCs/>
        </w:rPr>
        <w:t>see 3.2.3.3.6</w:t>
      </w:r>
      <w:r w:rsidR="00D51F04">
        <w:t>” with “</w:t>
      </w:r>
      <w:r w:rsidR="00D234EF" w:rsidRPr="001E6522">
        <w:rPr>
          <w:i/>
        </w:rPr>
        <w:t>see 3.2.3.3.5 and 3.2.3.3.6</w:t>
      </w:r>
      <w:r w:rsidR="00D51F04">
        <w:rPr>
          <w:i/>
        </w:rPr>
        <w:t>”</w:t>
      </w:r>
      <w:r w:rsidR="003777C4">
        <w:rPr>
          <w:i/>
        </w:rPr>
        <w:t>.</w:t>
      </w:r>
    </w:p>
    <w:p w14:paraId="43C11752" w14:textId="77777777" w:rsidR="00D234EF" w:rsidRPr="001E6522" w:rsidRDefault="00D234EF" w:rsidP="005D50C4">
      <w:pPr>
        <w:pStyle w:val="Default"/>
        <w:ind w:left="2268" w:hanging="1134"/>
        <w:jc w:val="both"/>
        <w:rPr>
          <w:i/>
          <w:color w:val="auto"/>
          <w:sz w:val="20"/>
          <w:szCs w:val="20"/>
        </w:rPr>
      </w:pPr>
    </w:p>
    <w:p w14:paraId="78084158" w14:textId="1769DB8C" w:rsidR="00D234EF" w:rsidRPr="001E6522" w:rsidRDefault="00D234EF" w:rsidP="005D50C4">
      <w:pPr>
        <w:pStyle w:val="SingleTxtG"/>
        <w:ind w:left="2268" w:hanging="1134"/>
      </w:pPr>
      <w:r w:rsidRPr="001E6522">
        <w:t>3.2.5.3.1</w:t>
      </w:r>
      <w:r w:rsidR="00F37913">
        <w:t xml:space="preserve"> </w:t>
      </w:r>
      <w:r w:rsidR="00F37913">
        <w:tab/>
      </w:r>
      <w:r w:rsidRPr="001E6522">
        <w:t xml:space="preserve">Replace </w:t>
      </w:r>
      <w:r w:rsidR="00F37913">
        <w:t xml:space="preserve">“weight of evidence approach” with “weight of evidence </w:t>
      </w:r>
      <w:r w:rsidRPr="001E6522">
        <w:t>assessment</w:t>
      </w:r>
      <w:r w:rsidRPr="005F4E14">
        <w:t>”</w:t>
      </w:r>
      <w:r w:rsidR="00F37913">
        <w:t xml:space="preserve">. </w:t>
      </w:r>
    </w:p>
    <w:p w14:paraId="61F66D8A" w14:textId="339239DC" w:rsidR="00D234EF" w:rsidRPr="001E6522" w:rsidRDefault="00D234EF" w:rsidP="005D50C4">
      <w:pPr>
        <w:pStyle w:val="SingleTxtG"/>
        <w:ind w:left="2268" w:hanging="1134"/>
      </w:pPr>
      <w:r w:rsidRPr="001E6522">
        <w:rPr>
          <w:lang w:val="it-IT"/>
        </w:rPr>
        <w:t>3.2.5.3.4</w:t>
      </w:r>
      <w:r w:rsidR="001800CB">
        <w:rPr>
          <w:lang w:val="it-IT"/>
        </w:rPr>
        <w:tab/>
        <w:t>In the heading, replace “</w:t>
      </w:r>
      <w:r w:rsidR="001800CB" w:rsidRPr="001800CB">
        <w:rPr>
          <w:i/>
          <w:iCs/>
          <w:lang w:val="it-IT"/>
        </w:rPr>
        <w:t>ex vivo</w:t>
      </w:r>
      <w:r w:rsidR="001800CB">
        <w:rPr>
          <w:lang w:val="it-IT"/>
        </w:rPr>
        <w:t xml:space="preserve"> data” with “</w:t>
      </w:r>
      <w:r w:rsidR="001800CB" w:rsidRPr="001800CB">
        <w:rPr>
          <w:i/>
          <w:iCs/>
          <w:lang w:val="it-IT"/>
        </w:rPr>
        <w:t>in vitro/ex vivo</w:t>
      </w:r>
      <w:r w:rsidR="001800CB">
        <w:rPr>
          <w:lang w:val="it-IT"/>
        </w:rPr>
        <w:t xml:space="preserve"> data”</w:t>
      </w:r>
      <w:r w:rsidR="005E7202">
        <w:rPr>
          <w:lang w:val="it-IT"/>
        </w:rPr>
        <w:t xml:space="preserve"> and in the first sentence replace “or 439” with “and/or 439”</w:t>
      </w:r>
      <w:r w:rsidR="009D3EBA">
        <w:rPr>
          <w:lang w:val="it-IT"/>
        </w:rPr>
        <w:t>.</w:t>
      </w:r>
      <w:r w:rsidRPr="001E6522">
        <w:rPr>
          <w:lang w:val="it-IT"/>
        </w:rPr>
        <w:t xml:space="preserve"> </w:t>
      </w:r>
    </w:p>
    <w:p w14:paraId="14C659B1" w14:textId="71F58E75" w:rsidR="00D9217F" w:rsidRDefault="00D9217F" w:rsidP="003777C4">
      <w:pPr>
        <w:pStyle w:val="SingleTxtG"/>
        <w:keepNext/>
        <w:keepLines/>
        <w:ind w:left="2268" w:hanging="1134"/>
      </w:pPr>
      <w:r>
        <w:lastRenderedPageBreak/>
        <w:t>3.2.5.3.6</w:t>
      </w:r>
      <w:r>
        <w:tab/>
        <w:t>Insert the following new section:</w:t>
      </w:r>
    </w:p>
    <w:p w14:paraId="36BC5698" w14:textId="7DD8B877" w:rsidR="00D234EF" w:rsidRPr="00D9217F" w:rsidRDefault="00D234EF" w:rsidP="003777C4">
      <w:pPr>
        <w:pStyle w:val="SingleTxtG"/>
        <w:keepNext/>
        <w:keepLines/>
        <w:rPr>
          <w:i/>
          <w:iCs/>
        </w:rPr>
      </w:pPr>
      <w:r w:rsidRPr="005F4E14">
        <w:t>“</w:t>
      </w:r>
      <w:r w:rsidRPr="001E6522">
        <w:t>3.2.5.3.6</w:t>
      </w:r>
      <w:r w:rsidRPr="001E6522">
        <w:tab/>
      </w:r>
      <w:r w:rsidRPr="00D9217F">
        <w:rPr>
          <w:i/>
          <w:iCs/>
        </w:rPr>
        <w:t>Guidance on the use of pH and acid/alkaline reserve for classification as skin corrosion/irritation</w:t>
      </w:r>
    </w:p>
    <w:p w14:paraId="6CAC3D81" w14:textId="665E235B" w:rsidR="00D234EF" w:rsidRPr="00D9217F" w:rsidRDefault="00D234EF" w:rsidP="003777C4">
      <w:pPr>
        <w:pStyle w:val="SingleTxtG"/>
        <w:keepNext/>
        <w:keepLines/>
      </w:pPr>
      <w:r w:rsidRPr="00D9217F">
        <w:t>3.2.5.3.6.1</w:t>
      </w:r>
      <w:r w:rsidRPr="00D9217F">
        <w:tab/>
        <w:t>Methods to determine the pH value such as OECD Test Guideline 122 and the method described by Young et al. (1988) differ in the concentration of the substance or mixture for which the pH is determined and include values of 1%, 10% and 100%. These methods also differ in the way the acid/alkaline reserve is determined, namely up to a pH of 7 for both acids and bases (OECD Test Guideline 122) or up to a pH of 4 for acids and a pH of 10 for bases (Young et al., 1988). Furthermore, there are differences between OECD Test Guideline 122 and Young et al. (1988) in the units used to express the acid/alkaline reserve.</w:t>
      </w:r>
    </w:p>
    <w:p w14:paraId="3E0DCDD3" w14:textId="447F5611" w:rsidR="00D234EF" w:rsidRPr="00D9217F" w:rsidRDefault="00D234EF" w:rsidP="00D9217F">
      <w:pPr>
        <w:pStyle w:val="SingleTxtG"/>
      </w:pPr>
      <w:r w:rsidRPr="00D9217F">
        <w:t>3.2.5.3.6.2</w:t>
      </w:r>
      <w:r w:rsidRPr="00D9217F">
        <w:tab/>
        <w:t>Criteria to identify substances and mixtures requiring classification in Category 1 based on pH and acid/alkaline reserve have been developed for effects on the skin (Young et al., 1988). These criteria were developed using a combination of pH and acid/alkaline reserve values that were determined in a specific way (Young et al., 1988). Therefore, these criteria may not be directly applicable when other test concentrations or methods are used to measure pH and acid/alkaline reserve. Furthermore, the calibration and validation of these criteria was based on a limited dataset for effects on the skin. Thus, the predictive value of the combination of pH and acid/alkaline reserve for classification in Category 1 for effects on the skin is limited, especially for substances and mixtures with an extreme pH but a non-significant acid/alkaline reserve. The criteria developed by Young et al. (1988) for classification in Category 1 may be used as a starting point for determining whether a substance or a mixture has a significant acid/alkaline reserve or a non-significant acid/alkaline reserve. A competent authority may decide which criteria for significant acid/alkaline reserve can be applied.”</w:t>
      </w:r>
    </w:p>
    <w:p w14:paraId="7020E220" w14:textId="12004D29" w:rsidR="00D234EF" w:rsidRPr="00C46A73" w:rsidRDefault="00FA616D" w:rsidP="00FA616D">
      <w:pPr>
        <w:pStyle w:val="SingleTxtG"/>
        <w:jc w:val="left"/>
      </w:pPr>
      <w:r>
        <w:t>______________</w:t>
      </w:r>
    </w:p>
    <w:p w14:paraId="388FCE3A" w14:textId="77777777" w:rsidR="00D234EF" w:rsidRPr="00C46A73" w:rsidRDefault="00D234EF" w:rsidP="00D234EF">
      <w:pPr>
        <w:pStyle w:val="GHSHeading3"/>
        <w:keepNext w:val="0"/>
        <w:tabs>
          <w:tab w:val="clear" w:pos="1418"/>
        </w:tabs>
        <w:spacing w:before="240" w:after="240"/>
        <w:ind w:left="1134"/>
        <w:rPr>
          <w:b w:val="0"/>
          <w:i/>
          <w:color w:val="auto"/>
          <w:sz w:val="20"/>
          <w:szCs w:val="20"/>
        </w:rPr>
      </w:pPr>
      <w:r w:rsidRPr="00C46A73">
        <w:rPr>
          <w:b w:val="0"/>
          <w:color w:val="auto"/>
          <w:sz w:val="20"/>
          <w:szCs w:val="20"/>
        </w:rPr>
        <w:t>*</w:t>
      </w:r>
      <w:r w:rsidRPr="00C46A73">
        <w:rPr>
          <w:b w:val="0"/>
          <w:color w:val="auto"/>
          <w:sz w:val="20"/>
          <w:szCs w:val="20"/>
        </w:rPr>
        <w:tab/>
      </w:r>
      <w:r w:rsidRPr="00C46A73">
        <w:rPr>
          <w:b w:val="0"/>
          <w:i/>
          <w:color w:val="auto"/>
          <w:sz w:val="20"/>
          <w:szCs w:val="20"/>
        </w:rPr>
        <w:t>References:</w:t>
      </w:r>
    </w:p>
    <w:p w14:paraId="7FE7506C" w14:textId="6BEE8CBE" w:rsidR="00D234EF" w:rsidRPr="00FA616D" w:rsidRDefault="00D234EF" w:rsidP="00FA616D">
      <w:pPr>
        <w:pStyle w:val="SingleTxtG"/>
        <w:rPr>
          <w:i/>
          <w:iCs/>
        </w:rPr>
      </w:pPr>
      <w:r w:rsidRPr="00FA616D">
        <w:rPr>
          <w:i/>
          <w:iCs/>
        </w:rPr>
        <w:t xml:space="preserve">Young, J.R., M.J. How, A.P. Walker, and W.M. Worth. 1988. Classification as corrosive or irritant to skin of preparations containing acidic or alkaline substances, without testing on animals. </w:t>
      </w:r>
      <w:proofErr w:type="spellStart"/>
      <w:r w:rsidRPr="00FA616D">
        <w:rPr>
          <w:i/>
          <w:iCs/>
        </w:rPr>
        <w:t>Toxicol</w:t>
      </w:r>
      <w:proofErr w:type="spellEnd"/>
      <w:r w:rsidRPr="00FA616D">
        <w:rPr>
          <w:i/>
          <w:iCs/>
        </w:rPr>
        <w:t xml:space="preserve">. In Vitro, 2(1): 19-26. </w:t>
      </w:r>
      <w:proofErr w:type="spellStart"/>
      <w:r w:rsidRPr="00FA616D">
        <w:rPr>
          <w:i/>
          <w:iCs/>
        </w:rPr>
        <w:t>doi</w:t>
      </w:r>
      <w:proofErr w:type="spellEnd"/>
      <w:r w:rsidRPr="00FA616D">
        <w:rPr>
          <w:i/>
          <w:iCs/>
        </w:rPr>
        <w:t>: 10.1016/0887-2333(88)90032-x.</w:t>
      </w:r>
      <w:r w:rsidR="003777C4">
        <w:rPr>
          <w:i/>
          <w:iCs/>
        </w:rPr>
        <w:t>”.</w:t>
      </w:r>
    </w:p>
    <w:p w14:paraId="7817405B" w14:textId="2F0CD8B3" w:rsidR="00532EB2" w:rsidRPr="00532EB2" w:rsidRDefault="00532EB2" w:rsidP="00532EB2">
      <w:pPr>
        <w:spacing w:before="240"/>
        <w:jc w:val="center"/>
        <w:rPr>
          <w:u w:val="single"/>
        </w:rPr>
      </w:pPr>
      <w:r>
        <w:rPr>
          <w:u w:val="single"/>
        </w:rPr>
        <w:tab/>
      </w:r>
      <w:r>
        <w:rPr>
          <w:u w:val="single"/>
        </w:rPr>
        <w:tab/>
      </w:r>
      <w:r>
        <w:rPr>
          <w:u w:val="single"/>
        </w:rPr>
        <w:tab/>
      </w:r>
    </w:p>
    <w:sectPr w:rsidR="00532EB2" w:rsidRPr="00532EB2" w:rsidSect="002F3ED9">
      <w:headerReference w:type="even" r:id="rId16"/>
      <w:headerReference w:type="default" r:id="rId17"/>
      <w:footerReference w:type="even" r:id="rId18"/>
      <w:footerReference w:type="default" r:id="rId19"/>
      <w:footerReference w:type="first" r:id="rId2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3C89E" w14:textId="77777777" w:rsidR="005F5B96" w:rsidRPr="00C47B2E" w:rsidRDefault="005F5B96" w:rsidP="00C47B2E">
      <w:pPr>
        <w:pStyle w:val="Footer"/>
      </w:pPr>
    </w:p>
  </w:endnote>
  <w:endnote w:type="continuationSeparator" w:id="0">
    <w:p w14:paraId="56CDD3F4" w14:textId="77777777" w:rsidR="005F5B96" w:rsidRPr="00C47B2E" w:rsidRDefault="005F5B96" w:rsidP="00C47B2E">
      <w:pPr>
        <w:pStyle w:val="Footer"/>
      </w:pPr>
    </w:p>
  </w:endnote>
  <w:endnote w:type="continuationNotice" w:id="1">
    <w:p w14:paraId="5C7DDE5A" w14:textId="77777777" w:rsidR="005F5B96" w:rsidRPr="00C47B2E" w:rsidRDefault="005F5B96"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E5289" w14:textId="1293769C" w:rsidR="00D94B05" w:rsidRPr="002F3ED9" w:rsidRDefault="002F3ED9" w:rsidP="002F3ED9">
    <w:pPr>
      <w:pStyle w:val="Footer"/>
      <w:tabs>
        <w:tab w:val="right" w:pos="9598"/>
        <w:tab w:val="right" w:pos="9638"/>
      </w:tabs>
      <w:rPr>
        <w:sz w:val="18"/>
      </w:rPr>
    </w:pPr>
    <w:r w:rsidRPr="002F3ED9">
      <w:rPr>
        <w:b/>
        <w:sz w:val="18"/>
      </w:rPr>
      <w:fldChar w:fldCharType="begin"/>
    </w:r>
    <w:r w:rsidRPr="002F3ED9">
      <w:rPr>
        <w:b/>
        <w:sz w:val="18"/>
      </w:rPr>
      <w:instrText xml:space="preserve"> PAGE  \* MERGEFORMAT </w:instrText>
    </w:r>
    <w:r w:rsidRPr="002F3ED9">
      <w:rPr>
        <w:b/>
        <w:sz w:val="18"/>
      </w:rPr>
      <w:fldChar w:fldCharType="separate"/>
    </w:r>
    <w:r w:rsidRPr="002F3ED9">
      <w:rPr>
        <w:b/>
        <w:noProof/>
        <w:sz w:val="18"/>
      </w:rPr>
      <w:t>2</w:t>
    </w:r>
    <w:r w:rsidRPr="002F3ED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54B8B" w14:textId="52B7AB19" w:rsidR="00D94B05" w:rsidRPr="00532EB2" w:rsidRDefault="002F3ED9" w:rsidP="002F3ED9">
    <w:pPr>
      <w:pStyle w:val="Footer"/>
      <w:tabs>
        <w:tab w:val="left" w:pos="5775"/>
        <w:tab w:val="right" w:pos="9598"/>
        <w:tab w:val="right" w:pos="9638"/>
      </w:tabs>
      <w:rPr>
        <w:b/>
        <w:bCs/>
        <w:sz w:val="18"/>
      </w:rPr>
    </w:pPr>
    <w:r>
      <w:rPr>
        <w:b/>
        <w:sz w:val="18"/>
      </w:rPr>
      <w:tab/>
    </w:r>
    <w:r w:rsidR="00532EB2">
      <w:rPr>
        <w:b/>
        <w:sz w:val="18"/>
      </w:rPr>
      <w:tab/>
    </w:r>
    <w:r w:rsidRPr="00532EB2">
      <w:rPr>
        <w:b/>
        <w:bCs/>
        <w:sz w:val="18"/>
      </w:rPr>
      <w:fldChar w:fldCharType="begin"/>
    </w:r>
    <w:r w:rsidRPr="00532EB2">
      <w:rPr>
        <w:b/>
        <w:bCs/>
        <w:sz w:val="18"/>
      </w:rPr>
      <w:instrText xml:space="preserve"> PAGE  \* MERGEFORMAT </w:instrText>
    </w:r>
    <w:r w:rsidRPr="00532EB2">
      <w:rPr>
        <w:b/>
        <w:bCs/>
        <w:sz w:val="18"/>
      </w:rPr>
      <w:fldChar w:fldCharType="separate"/>
    </w:r>
    <w:r w:rsidRPr="00532EB2">
      <w:rPr>
        <w:b/>
        <w:bCs/>
        <w:noProof/>
        <w:sz w:val="18"/>
      </w:rPr>
      <w:t>3</w:t>
    </w:r>
    <w:r w:rsidRPr="00532EB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BC69D" w14:textId="77777777" w:rsidR="00D94B05" w:rsidRPr="002F3ED9"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31F1FC6F" wp14:editId="2B6DEA7E">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24DCA" w14:textId="77777777" w:rsidR="005F5B96" w:rsidRPr="00C47B2E" w:rsidRDefault="005F5B96" w:rsidP="00C47B2E">
      <w:pPr>
        <w:tabs>
          <w:tab w:val="right" w:pos="2155"/>
        </w:tabs>
        <w:spacing w:after="80" w:line="240" w:lineRule="auto"/>
        <w:ind w:left="680"/>
      </w:pPr>
      <w:r>
        <w:rPr>
          <w:u w:val="single"/>
        </w:rPr>
        <w:tab/>
      </w:r>
    </w:p>
  </w:footnote>
  <w:footnote w:type="continuationSeparator" w:id="0">
    <w:p w14:paraId="3095BA42" w14:textId="77777777" w:rsidR="005F5B96" w:rsidRPr="00C47B2E" w:rsidRDefault="005F5B96" w:rsidP="005E716E">
      <w:pPr>
        <w:tabs>
          <w:tab w:val="right" w:pos="2155"/>
        </w:tabs>
        <w:spacing w:after="80" w:line="240" w:lineRule="auto"/>
        <w:ind w:left="680"/>
      </w:pPr>
      <w:r>
        <w:rPr>
          <w:u w:val="single"/>
        </w:rPr>
        <w:tab/>
      </w:r>
    </w:p>
  </w:footnote>
  <w:footnote w:type="continuationNotice" w:id="1">
    <w:p w14:paraId="444785AC" w14:textId="77777777" w:rsidR="005F5B96" w:rsidRPr="00C47B2E" w:rsidRDefault="005F5B96" w:rsidP="00C47B2E">
      <w:pPr>
        <w:pStyle w:val="Footer"/>
      </w:pPr>
    </w:p>
  </w:footnote>
  <w:footnote w:id="2">
    <w:p w14:paraId="275BCD43" w14:textId="76B68DBF" w:rsidR="00441D90" w:rsidRPr="00441D90" w:rsidRDefault="00441D90">
      <w:pPr>
        <w:pStyle w:val="FootnoteText"/>
        <w:rPr>
          <w:lang w:val="fr-CH"/>
        </w:rPr>
      </w:pPr>
      <w:r>
        <w:rPr>
          <w:rStyle w:val="FootnoteReference"/>
        </w:rPr>
        <w:tab/>
      </w:r>
      <w:r w:rsidRPr="00441D90">
        <w:rPr>
          <w:rStyle w:val="FootnoteReference"/>
          <w:sz w:val="20"/>
          <w:vertAlign w:val="baseline"/>
        </w:rPr>
        <w:t>*</w:t>
      </w:r>
      <w:r>
        <w:rPr>
          <w:rStyle w:val="FootnoteReference"/>
          <w:sz w:val="20"/>
          <w:vertAlign w:val="baseline"/>
        </w:rPr>
        <w:tab/>
      </w:r>
      <w:r w:rsidR="00E07AD4">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17445" w14:textId="12B4AF16" w:rsidR="002F3ED9" w:rsidRPr="002F3ED9" w:rsidRDefault="00DF4BD9">
    <w:pPr>
      <w:pStyle w:val="Header"/>
    </w:pPr>
    <w:fldSimple w:instr=" TITLE  \* MERGEFORMAT ">
      <w:r w:rsidR="00963121">
        <w:t>ST/SG/AC.10/C.4/2021/5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4A82A" w14:textId="75435DFD" w:rsidR="00D94B05" w:rsidRPr="002F3ED9" w:rsidRDefault="00DF4BD9" w:rsidP="002F3ED9">
    <w:pPr>
      <w:pStyle w:val="Header"/>
      <w:jc w:val="right"/>
    </w:pPr>
    <w:fldSimple w:instr=" TITLE  \* MERGEFORMAT ">
      <w:r w:rsidR="00963121">
        <w:t>ST/SG/AC.10/C.4/2021/5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537503"/>
    <w:multiLevelType w:val="hybridMultilevel"/>
    <w:tmpl w:val="22EE714A"/>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10"/>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oNotTrackFormatting/>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ED9"/>
    <w:rsid w:val="00006329"/>
    <w:rsid w:val="00026CC0"/>
    <w:rsid w:val="00031EC9"/>
    <w:rsid w:val="000423AA"/>
    <w:rsid w:val="00046E92"/>
    <w:rsid w:val="00063C90"/>
    <w:rsid w:val="000B531D"/>
    <w:rsid w:val="000D0EC7"/>
    <w:rsid w:val="00101B98"/>
    <w:rsid w:val="00111D8F"/>
    <w:rsid w:val="00141E69"/>
    <w:rsid w:val="001466B9"/>
    <w:rsid w:val="001514D1"/>
    <w:rsid w:val="001800CB"/>
    <w:rsid w:val="001865A8"/>
    <w:rsid w:val="001C5873"/>
    <w:rsid w:val="001E22D9"/>
    <w:rsid w:val="00200AEB"/>
    <w:rsid w:val="00206263"/>
    <w:rsid w:val="00216104"/>
    <w:rsid w:val="00224B74"/>
    <w:rsid w:val="00225963"/>
    <w:rsid w:val="00247E2C"/>
    <w:rsid w:val="002654E9"/>
    <w:rsid w:val="002A32CB"/>
    <w:rsid w:val="002A5AE8"/>
    <w:rsid w:val="002B1618"/>
    <w:rsid w:val="002B1E8B"/>
    <w:rsid w:val="002C7B73"/>
    <w:rsid w:val="002D5B2C"/>
    <w:rsid w:val="002D6C53"/>
    <w:rsid w:val="002E69CA"/>
    <w:rsid w:val="002F3ED9"/>
    <w:rsid w:val="002F5595"/>
    <w:rsid w:val="002F55AD"/>
    <w:rsid w:val="00315996"/>
    <w:rsid w:val="003228BC"/>
    <w:rsid w:val="00334F6A"/>
    <w:rsid w:val="00342AC8"/>
    <w:rsid w:val="00343302"/>
    <w:rsid w:val="003777C4"/>
    <w:rsid w:val="00377A6D"/>
    <w:rsid w:val="00377CF3"/>
    <w:rsid w:val="003979DE"/>
    <w:rsid w:val="003B2987"/>
    <w:rsid w:val="003B4550"/>
    <w:rsid w:val="003C0520"/>
    <w:rsid w:val="003D2A18"/>
    <w:rsid w:val="003F2C1A"/>
    <w:rsid w:val="00404D22"/>
    <w:rsid w:val="00413386"/>
    <w:rsid w:val="00441D90"/>
    <w:rsid w:val="00445085"/>
    <w:rsid w:val="0045700E"/>
    <w:rsid w:val="00461253"/>
    <w:rsid w:val="004858F5"/>
    <w:rsid w:val="004A2814"/>
    <w:rsid w:val="004A6170"/>
    <w:rsid w:val="004C0622"/>
    <w:rsid w:val="004C50AA"/>
    <w:rsid w:val="004D701B"/>
    <w:rsid w:val="005042C2"/>
    <w:rsid w:val="005076D4"/>
    <w:rsid w:val="005240C8"/>
    <w:rsid w:val="005247EC"/>
    <w:rsid w:val="00532EB2"/>
    <w:rsid w:val="00547B9B"/>
    <w:rsid w:val="0055225E"/>
    <w:rsid w:val="00552775"/>
    <w:rsid w:val="00581803"/>
    <w:rsid w:val="0059379E"/>
    <w:rsid w:val="005A48BC"/>
    <w:rsid w:val="005D50C4"/>
    <w:rsid w:val="005E6E2D"/>
    <w:rsid w:val="005E716E"/>
    <w:rsid w:val="005E7202"/>
    <w:rsid w:val="005F5B96"/>
    <w:rsid w:val="00621FB5"/>
    <w:rsid w:val="00644E32"/>
    <w:rsid w:val="006476E1"/>
    <w:rsid w:val="006604DF"/>
    <w:rsid w:val="00664DFB"/>
    <w:rsid w:val="00671529"/>
    <w:rsid w:val="0068320F"/>
    <w:rsid w:val="00684D57"/>
    <w:rsid w:val="006875DF"/>
    <w:rsid w:val="006A62BE"/>
    <w:rsid w:val="006B32F7"/>
    <w:rsid w:val="006D73E7"/>
    <w:rsid w:val="006F4C9E"/>
    <w:rsid w:val="0070489D"/>
    <w:rsid w:val="007218ED"/>
    <w:rsid w:val="00724338"/>
    <w:rsid w:val="007268F9"/>
    <w:rsid w:val="0073709A"/>
    <w:rsid w:val="00750282"/>
    <w:rsid w:val="00757CEC"/>
    <w:rsid w:val="00764440"/>
    <w:rsid w:val="0077101B"/>
    <w:rsid w:val="0078018D"/>
    <w:rsid w:val="0079464B"/>
    <w:rsid w:val="007A7FDF"/>
    <w:rsid w:val="007B6521"/>
    <w:rsid w:val="007C52B0"/>
    <w:rsid w:val="007C6033"/>
    <w:rsid w:val="007D62E2"/>
    <w:rsid w:val="007F04E4"/>
    <w:rsid w:val="008147C8"/>
    <w:rsid w:val="0081753A"/>
    <w:rsid w:val="0083489B"/>
    <w:rsid w:val="00834995"/>
    <w:rsid w:val="00857D23"/>
    <w:rsid w:val="0086143F"/>
    <w:rsid w:val="008628FE"/>
    <w:rsid w:val="00877D91"/>
    <w:rsid w:val="008A5208"/>
    <w:rsid w:val="008B0286"/>
    <w:rsid w:val="008D21C4"/>
    <w:rsid w:val="008F2B2D"/>
    <w:rsid w:val="00902B41"/>
    <w:rsid w:val="00903C03"/>
    <w:rsid w:val="009107D8"/>
    <w:rsid w:val="009411B4"/>
    <w:rsid w:val="00946F1D"/>
    <w:rsid w:val="00953A5E"/>
    <w:rsid w:val="00953CD9"/>
    <w:rsid w:val="00963121"/>
    <w:rsid w:val="009C47E7"/>
    <w:rsid w:val="009D0139"/>
    <w:rsid w:val="009D3EBA"/>
    <w:rsid w:val="009D717D"/>
    <w:rsid w:val="009F4EAD"/>
    <w:rsid w:val="009F5CDC"/>
    <w:rsid w:val="00A072D7"/>
    <w:rsid w:val="00A07368"/>
    <w:rsid w:val="00A07D36"/>
    <w:rsid w:val="00A24798"/>
    <w:rsid w:val="00A775CF"/>
    <w:rsid w:val="00AD1A9C"/>
    <w:rsid w:val="00AF5DE1"/>
    <w:rsid w:val="00B039BC"/>
    <w:rsid w:val="00B06045"/>
    <w:rsid w:val="00B206DD"/>
    <w:rsid w:val="00B32DB8"/>
    <w:rsid w:val="00B34425"/>
    <w:rsid w:val="00B52EF4"/>
    <w:rsid w:val="00B777AD"/>
    <w:rsid w:val="00B81559"/>
    <w:rsid w:val="00BC6D15"/>
    <w:rsid w:val="00BD0547"/>
    <w:rsid w:val="00C03015"/>
    <w:rsid w:val="00C0358D"/>
    <w:rsid w:val="00C069BD"/>
    <w:rsid w:val="00C205E6"/>
    <w:rsid w:val="00C35A27"/>
    <w:rsid w:val="00C37CBF"/>
    <w:rsid w:val="00C47B2E"/>
    <w:rsid w:val="00C64FAB"/>
    <w:rsid w:val="00C928E8"/>
    <w:rsid w:val="00CC4F6E"/>
    <w:rsid w:val="00CD44F1"/>
    <w:rsid w:val="00CD5274"/>
    <w:rsid w:val="00D1357D"/>
    <w:rsid w:val="00D234EF"/>
    <w:rsid w:val="00D33586"/>
    <w:rsid w:val="00D461C3"/>
    <w:rsid w:val="00D509AE"/>
    <w:rsid w:val="00D51F04"/>
    <w:rsid w:val="00D63CD2"/>
    <w:rsid w:val="00D87DC2"/>
    <w:rsid w:val="00D9217F"/>
    <w:rsid w:val="00D922D5"/>
    <w:rsid w:val="00D94B05"/>
    <w:rsid w:val="00DB59C3"/>
    <w:rsid w:val="00DC371F"/>
    <w:rsid w:val="00DD4338"/>
    <w:rsid w:val="00DD5090"/>
    <w:rsid w:val="00DE3428"/>
    <w:rsid w:val="00DF4BD9"/>
    <w:rsid w:val="00E02C2B"/>
    <w:rsid w:val="00E07AD4"/>
    <w:rsid w:val="00E118CA"/>
    <w:rsid w:val="00E16DE7"/>
    <w:rsid w:val="00E21C27"/>
    <w:rsid w:val="00E26BCF"/>
    <w:rsid w:val="00E42787"/>
    <w:rsid w:val="00E52109"/>
    <w:rsid w:val="00E75317"/>
    <w:rsid w:val="00E9579F"/>
    <w:rsid w:val="00EC0CE6"/>
    <w:rsid w:val="00EC7C1D"/>
    <w:rsid w:val="00ED6C48"/>
    <w:rsid w:val="00EE3045"/>
    <w:rsid w:val="00EE5704"/>
    <w:rsid w:val="00F05DC5"/>
    <w:rsid w:val="00F2331A"/>
    <w:rsid w:val="00F25288"/>
    <w:rsid w:val="00F37913"/>
    <w:rsid w:val="00F65F5D"/>
    <w:rsid w:val="00F86A3A"/>
    <w:rsid w:val="00FA616D"/>
    <w:rsid w:val="00FC564B"/>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AA2B25"/>
  <w15:docId w15:val="{A1F5E6C1-61E0-4D01-84C8-5AD74697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9107D8"/>
    <w:rPr>
      <w:b/>
      <w:sz w:val="28"/>
    </w:rPr>
  </w:style>
  <w:style w:type="character" w:customStyle="1" w:styleId="H1GChar">
    <w:name w:val="_ H_1_G Char"/>
    <w:link w:val="H1G"/>
    <w:rsid w:val="009107D8"/>
    <w:rPr>
      <w:b/>
      <w:sz w:val="24"/>
    </w:rPr>
  </w:style>
  <w:style w:type="character" w:customStyle="1" w:styleId="SingleTxtGChar">
    <w:name w:val="_ Single Txt_G Char"/>
    <w:link w:val="SingleTxtG"/>
    <w:uiPriority w:val="99"/>
    <w:qFormat/>
    <w:locked/>
    <w:rsid w:val="00D234EF"/>
  </w:style>
  <w:style w:type="paragraph" w:customStyle="1" w:styleId="Default">
    <w:name w:val="Default"/>
    <w:rsid w:val="00D234EF"/>
    <w:pPr>
      <w:autoSpaceDE w:val="0"/>
      <w:autoSpaceDN w:val="0"/>
      <w:adjustRightInd w:val="0"/>
      <w:spacing w:after="0" w:line="240" w:lineRule="auto"/>
    </w:pPr>
    <w:rPr>
      <w:rFonts w:eastAsiaTheme="minorHAnsi"/>
      <w:color w:val="000000"/>
      <w:sz w:val="24"/>
      <w:szCs w:val="24"/>
      <w:lang w:eastAsia="en-US"/>
    </w:rPr>
  </w:style>
  <w:style w:type="paragraph" w:customStyle="1" w:styleId="GHSHeading4">
    <w:name w:val="GHSHeading4"/>
    <w:basedOn w:val="Normal"/>
    <w:rsid w:val="00D234EF"/>
    <w:pPr>
      <w:keepNext/>
      <w:keepLines/>
      <w:tabs>
        <w:tab w:val="left" w:pos="1418"/>
        <w:tab w:val="left" w:pos="1985"/>
        <w:tab w:val="left" w:pos="2552"/>
        <w:tab w:val="left" w:pos="3119"/>
        <w:tab w:val="left" w:pos="3686"/>
      </w:tabs>
      <w:suppressAutoHyphens w:val="0"/>
      <w:kinsoku/>
      <w:overflowPunct/>
      <w:snapToGrid/>
      <w:spacing w:line="240" w:lineRule="auto"/>
      <w:jc w:val="both"/>
    </w:pPr>
    <w:rPr>
      <w:rFonts w:eastAsia="Times New Roman"/>
      <w:b/>
      <w:bCs/>
      <w:color w:val="000000"/>
      <w:sz w:val="22"/>
      <w:szCs w:val="22"/>
      <w:lang w:eastAsia="fr-FR"/>
    </w:rPr>
  </w:style>
  <w:style w:type="paragraph" w:customStyle="1" w:styleId="StyleGHSHeading410pt">
    <w:name w:val="Style GHSHeading4 + 10 pt"/>
    <w:basedOn w:val="GHSHeading4"/>
    <w:rsid w:val="00D234EF"/>
    <w:pPr>
      <w:spacing w:after="240"/>
    </w:pPr>
    <w:rPr>
      <w:sz w:val="20"/>
    </w:rPr>
  </w:style>
  <w:style w:type="paragraph" w:customStyle="1" w:styleId="GHSHeading3">
    <w:name w:val="GHSHeading3"/>
    <w:basedOn w:val="Heading3"/>
    <w:rsid w:val="00D234EF"/>
    <w:pPr>
      <w:keepNext/>
      <w:tabs>
        <w:tab w:val="left" w:pos="1418"/>
      </w:tabs>
      <w:suppressAutoHyphens w:val="0"/>
      <w:kinsoku/>
      <w:overflowPunct/>
      <w:snapToGrid/>
    </w:pPr>
    <w:rPr>
      <w:rFonts w:eastAsia="Times New Roman"/>
      <w:b/>
      <w:bCs/>
      <w:color w:val="000000"/>
      <w:sz w:val="22"/>
      <w:szCs w:val="22"/>
      <w:lang w:eastAsia="fr-FR"/>
    </w:rPr>
  </w:style>
  <w:style w:type="paragraph" w:customStyle="1" w:styleId="GHSHeading5">
    <w:name w:val="GHSHeading5"/>
    <w:basedOn w:val="Normal"/>
    <w:rsid w:val="00D234EF"/>
    <w:pPr>
      <w:keepNext/>
      <w:keepLines/>
      <w:widowControl w:val="0"/>
      <w:tabs>
        <w:tab w:val="left" w:pos="1418"/>
        <w:tab w:val="left" w:pos="1985"/>
        <w:tab w:val="left" w:pos="2552"/>
        <w:tab w:val="left" w:pos="3119"/>
        <w:tab w:val="left" w:pos="3686"/>
      </w:tabs>
      <w:suppressAutoHyphens w:val="0"/>
      <w:kinsoku/>
      <w:overflowPunct/>
      <w:autoSpaceDE/>
      <w:autoSpaceDN/>
      <w:adjustRightInd/>
      <w:snapToGrid/>
      <w:spacing w:line="240" w:lineRule="auto"/>
      <w:jc w:val="both"/>
    </w:pPr>
    <w:rPr>
      <w:rFonts w:eastAsia="Times New Roman"/>
      <w:snapToGrid w:val="0"/>
      <w:color w:val="000000"/>
      <w:sz w:val="22"/>
      <w:szCs w:val="22"/>
      <w:lang w:eastAsia="en-US"/>
    </w:rPr>
  </w:style>
  <w:style w:type="character" w:styleId="CommentReference">
    <w:name w:val="annotation reference"/>
    <w:basedOn w:val="DefaultParagraphFont"/>
    <w:uiPriority w:val="99"/>
    <w:semiHidden/>
    <w:unhideWhenUsed/>
    <w:rsid w:val="0059379E"/>
    <w:rPr>
      <w:sz w:val="16"/>
      <w:szCs w:val="16"/>
    </w:rPr>
  </w:style>
  <w:style w:type="paragraph" w:styleId="CommentText">
    <w:name w:val="annotation text"/>
    <w:basedOn w:val="Normal"/>
    <w:link w:val="CommentTextChar"/>
    <w:uiPriority w:val="99"/>
    <w:semiHidden/>
    <w:unhideWhenUsed/>
    <w:rsid w:val="0059379E"/>
    <w:pPr>
      <w:spacing w:line="240" w:lineRule="auto"/>
    </w:pPr>
  </w:style>
  <w:style w:type="character" w:customStyle="1" w:styleId="CommentTextChar">
    <w:name w:val="Comment Text Char"/>
    <w:basedOn w:val="DefaultParagraphFont"/>
    <w:link w:val="CommentText"/>
    <w:uiPriority w:val="99"/>
    <w:semiHidden/>
    <w:rsid w:val="0059379E"/>
  </w:style>
  <w:style w:type="paragraph" w:styleId="CommentSubject">
    <w:name w:val="annotation subject"/>
    <w:basedOn w:val="CommentText"/>
    <w:next w:val="CommentText"/>
    <w:link w:val="CommentSubjectChar"/>
    <w:uiPriority w:val="99"/>
    <w:semiHidden/>
    <w:unhideWhenUsed/>
    <w:rsid w:val="0059379E"/>
    <w:rPr>
      <w:b/>
      <w:bCs/>
    </w:rPr>
  </w:style>
  <w:style w:type="character" w:customStyle="1" w:styleId="CommentSubjectChar">
    <w:name w:val="Comment Subject Char"/>
    <w:basedOn w:val="CommentTextChar"/>
    <w:link w:val="CommentSubject"/>
    <w:uiPriority w:val="99"/>
    <w:semiHidden/>
    <w:rsid w:val="005937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package" Target="embeddings/Microsoft_Visio_Drawing1.vsdx"/><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191E86-FAAC-438A-8277-35397794D619}">
  <ds:schemaRefs>
    <ds:schemaRef ds:uri="http://schemas.microsoft.com/sharepoint/v3/contenttype/forms"/>
  </ds:schemaRefs>
</ds:datastoreItem>
</file>

<file path=customXml/itemProps2.xml><?xml version="1.0" encoding="utf-8"?>
<ds:datastoreItem xmlns:ds="http://schemas.openxmlformats.org/officeDocument/2006/customXml" ds:itemID="{BBC312A8-4B87-4ABA-850D-D043762E3A94}">
  <ds:schemaRefs>
    <ds:schemaRef ds:uri="http://purl.org/dc/terms/"/>
    <ds:schemaRef ds:uri="http://purl.org/dc/dcmitype/"/>
    <ds:schemaRef ds:uri="4b4a1c0d-4a69-4996-a84a-fc699b9f49d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acccb6d4-dbe5-46d2-b4d3-5733603d8cc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5114EDAE-0C5D-455E-9217-F54CEBACE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SGAC10_E.dotm</Template>
  <TotalTime>23</TotalTime>
  <Pages>8</Pages>
  <Words>2306</Words>
  <Characters>12662</Characters>
  <Application>Microsoft Office Word</Application>
  <DocSecurity>0</DocSecurity>
  <Lines>231</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ST/SG/AC.10/C.4/2021/5</vt:lpstr>
      <vt:lpstr/>
    </vt:vector>
  </TitlesOfParts>
  <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ST/SG/AC.10/C.4/2021/5</dc:title>
  <dc:subject/>
  <dc:creator>Rosa Garcia-Couto</dc:creator>
  <cp:lastModifiedBy>Laurence Berthet</cp:lastModifiedBy>
  <cp:revision>8</cp:revision>
  <cp:lastPrinted>2021-04-21T12:13:00Z</cp:lastPrinted>
  <dcterms:created xsi:type="dcterms:W3CDTF">2021-04-20T15:03:00Z</dcterms:created>
  <dcterms:modified xsi:type="dcterms:W3CDTF">2021-04-21T12:14:00Z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