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9168AD0" w14:textId="77777777" w:rsidTr="006476E1">
        <w:trPr>
          <w:trHeight w:val="851"/>
        </w:trPr>
        <w:tc>
          <w:tcPr>
            <w:tcW w:w="1259" w:type="dxa"/>
            <w:tcBorders>
              <w:top w:val="nil"/>
              <w:left w:val="nil"/>
              <w:bottom w:val="single" w:sz="4" w:space="0" w:color="auto"/>
              <w:right w:val="nil"/>
            </w:tcBorders>
          </w:tcPr>
          <w:p w14:paraId="4AA5A5C1" w14:textId="77777777" w:rsidR="00E52109" w:rsidRPr="002A32CB" w:rsidRDefault="00E52109" w:rsidP="004858F5"/>
        </w:tc>
        <w:tc>
          <w:tcPr>
            <w:tcW w:w="2236" w:type="dxa"/>
            <w:tcBorders>
              <w:top w:val="nil"/>
              <w:left w:val="nil"/>
              <w:bottom w:val="single" w:sz="4" w:space="0" w:color="auto"/>
              <w:right w:val="nil"/>
            </w:tcBorders>
            <w:vAlign w:val="bottom"/>
          </w:tcPr>
          <w:p w14:paraId="4FD4B81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EA69E60" w14:textId="7E33B98B" w:rsidR="00E52109" w:rsidRDefault="00B44BFB" w:rsidP="00B44BFB">
            <w:pPr>
              <w:suppressAutoHyphens w:val="0"/>
              <w:jc w:val="right"/>
            </w:pPr>
            <w:r w:rsidRPr="00B44BFB">
              <w:rPr>
                <w:sz w:val="40"/>
              </w:rPr>
              <w:t>ST</w:t>
            </w:r>
            <w:r>
              <w:t>/SG/AC.10/C.4/2021/2</w:t>
            </w:r>
          </w:p>
        </w:tc>
      </w:tr>
      <w:tr w:rsidR="00E52109" w14:paraId="7F3A7400" w14:textId="77777777" w:rsidTr="006476E1">
        <w:trPr>
          <w:trHeight w:val="2835"/>
        </w:trPr>
        <w:tc>
          <w:tcPr>
            <w:tcW w:w="1259" w:type="dxa"/>
            <w:tcBorders>
              <w:top w:val="single" w:sz="4" w:space="0" w:color="auto"/>
              <w:left w:val="nil"/>
              <w:bottom w:val="single" w:sz="12" w:space="0" w:color="auto"/>
              <w:right w:val="nil"/>
            </w:tcBorders>
          </w:tcPr>
          <w:p w14:paraId="00D82169" w14:textId="77777777" w:rsidR="00E52109" w:rsidRDefault="00E52109" w:rsidP="006476E1">
            <w:pPr>
              <w:spacing w:before="120"/>
              <w:jc w:val="center"/>
            </w:pPr>
            <w:r>
              <w:rPr>
                <w:noProof/>
                <w:lang w:val="fr-CH" w:eastAsia="fr-CH"/>
              </w:rPr>
              <w:drawing>
                <wp:inline distT="0" distB="0" distL="0" distR="0" wp14:anchorId="7617480B" wp14:editId="7633D4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E86766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E19A53" w14:textId="77777777" w:rsidR="00D94B05" w:rsidRDefault="00B44BFB" w:rsidP="00B44BFB">
            <w:pPr>
              <w:suppressAutoHyphens w:val="0"/>
              <w:spacing w:before="240" w:line="240" w:lineRule="exact"/>
            </w:pPr>
            <w:r>
              <w:t>Distr.: General</w:t>
            </w:r>
          </w:p>
          <w:p w14:paraId="15733E99" w14:textId="70F2E991" w:rsidR="00B44BFB" w:rsidRDefault="00B44BFB" w:rsidP="00B44BFB">
            <w:pPr>
              <w:suppressAutoHyphens w:val="0"/>
              <w:spacing w:line="240" w:lineRule="exact"/>
            </w:pPr>
            <w:r>
              <w:t>1</w:t>
            </w:r>
            <w:r w:rsidR="00CA09F0">
              <w:t>6</w:t>
            </w:r>
            <w:r>
              <w:t xml:space="preserve"> April 2021</w:t>
            </w:r>
          </w:p>
          <w:p w14:paraId="7041EF72" w14:textId="77777777" w:rsidR="00B44BFB" w:rsidRDefault="00B44BFB" w:rsidP="00B44BFB">
            <w:pPr>
              <w:suppressAutoHyphens w:val="0"/>
              <w:spacing w:line="240" w:lineRule="exact"/>
            </w:pPr>
          </w:p>
          <w:p w14:paraId="077A707F" w14:textId="2C8BD3F0" w:rsidR="00B44BFB" w:rsidRDefault="00B44BFB" w:rsidP="00B44BFB">
            <w:pPr>
              <w:suppressAutoHyphens w:val="0"/>
              <w:spacing w:line="240" w:lineRule="exact"/>
            </w:pPr>
            <w:r>
              <w:t>Original: English</w:t>
            </w:r>
          </w:p>
        </w:tc>
      </w:tr>
    </w:tbl>
    <w:p w14:paraId="6E03A497" w14:textId="77777777" w:rsidR="00B44BFB" w:rsidRPr="009F0F06" w:rsidRDefault="00B44BFB"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CCE2A45" w14:textId="77777777" w:rsidR="00B44BFB" w:rsidRPr="009F0F06" w:rsidRDefault="00B44BFB"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3A39A21" w14:textId="77777777" w:rsidR="00B44BFB" w:rsidRDefault="00B44BFB" w:rsidP="00B44BFB">
      <w:pPr>
        <w:spacing w:before="120"/>
        <w:rPr>
          <w:b/>
        </w:rPr>
      </w:pPr>
      <w:r>
        <w:rPr>
          <w:b/>
        </w:rPr>
        <w:t>Fortieth session</w:t>
      </w:r>
    </w:p>
    <w:p w14:paraId="065CA8B4" w14:textId="77777777" w:rsidR="00B44BFB" w:rsidRDefault="00B44BFB" w:rsidP="00B44BFB">
      <w:r w:rsidRPr="00CA679B">
        <w:t>Geneva</w:t>
      </w:r>
      <w:r>
        <w:t>,</w:t>
      </w:r>
      <w:r w:rsidRPr="00CA679B">
        <w:t xml:space="preserve"> 5-7 July 2021</w:t>
      </w:r>
    </w:p>
    <w:p w14:paraId="2BC0A429" w14:textId="77777777" w:rsidR="00B44BFB" w:rsidRDefault="00B44BFB" w:rsidP="00B44BFB">
      <w:r>
        <w:t>Item 2 (h) of the provisional agenda</w:t>
      </w:r>
    </w:p>
    <w:p w14:paraId="1866772A" w14:textId="6CD6F6CB" w:rsidR="00B44BFB" w:rsidRDefault="00B44BFB" w:rsidP="00B44BFB">
      <w:pPr>
        <w:rPr>
          <w:b/>
          <w:bCs/>
        </w:rPr>
      </w:pPr>
      <w:r w:rsidRPr="0075487A">
        <w:rPr>
          <w:b/>
          <w:bCs/>
        </w:rPr>
        <w:t>Work on the Globally Harmonized System (GHS):</w:t>
      </w:r>
      <w:r w:rsidRPr="0075487A">
        <w:rPr>
          <w:b/>
          <w:bCs/>
        </w:rPr>
        <w:br/>
      </w:r>
      <w:r>
        <w:rPr>
          <w:b/>
          <w:bCs/>
        </w:rPr>
        <w:t>i</w:t>
      </w:r>
      <w:r w:rsidRPr="0075487A">
        <w:rPr>
          <w:b/>
          <w:bCs/>
        </w:rPr>
        <w:t xml:space="preserve">mprovement of annexes 1 to 3 and </w:t>
      </w:r>
      <w:r w:rsidR="00C354C6">
        <w:rPr>
          <w:b/>
          <w:bCs/>
        </w:rPr>
        <w:br/>
      </w:r>
      <w:r w:rsidRPr="0075487A">
        <w:rPr>
          <w:b/>
          <w:bCs/>
        </w:rPr>
        <w:t>further rationalization of precautionary statements</w:t>
      </w:r>
    </w:p>
    <w:p w14:paraId="137B393A" w14:textId="28FC2F75" w:rsidR="00B44BFB" w:rsidRDefault="00B44BFB" w:rsidP="00B44BFB">
      <w:pPr>
        <w:pStyle w:val="HChG"/>
        <w:ind w:right="142"/>
      </w:pPr>
      <w:r>
        <w:tab/>
      </w:r>
      <w:r>
        <w:tab/>
        <w:t>Amendments to sections 2 and 3 of Annex 3</w:t>
      </w:r>
    </w:p>
    <w:p w14:paraId="794F1D5D" w14:textId="58D060D9" w:rsidR="00B44BFB" w:rsidRDefault="00B44BFB" w:rsidP="00B44BFB">
      <w:pPr>
        <w:pStyle w:val="H1G"/>
      </w:pPr>
      <w:r>
        <w:tab/>
      </w:r>
      <w:r>
        <w:tab/>
        <w:t xml:space="preserve">Transmitted by the expert </w:t>
      </w:r>
      <w:r w:rsidRPr="00656B31">
        <w:t>from</w:t>
      </w:r>
      <w:r>
        <w:t xml:space="preserve"> the United Kingdom on behalf of the informal working group on improving annexes 1, 2 and 3 of the GHS</w:t>
      </w:r>
      <w:r w:rsidRPr="00B44BFB">
        <w:rPr>
          <w:rStyle w:val="FootnoteReference"/>
          <w:sz w:val="20"/>
          <w:vertAlign w:val="baseline"/>
        </w:rPr>
        <w:footnoteReference w:customMarkFollows="1" w:id="2"/>
        <w:t>*</w:t>
      </w:r>
    </w:p>
    <w:p w14:paraId="6B267AEF" w14:textId="24F912C2" w:rsidR="00B44BFB" w:rsidRDefault="00AB126A" w:rsidP="00AB126A">
      <w:pPr>
        <w:pStyle w:val="SingleTxtG"/>
      </w:pPr>
      <w:r>
        <w:t>1.</w:t>
      </w:r>
      <w:r>
        <w:tab/>
      </w:r>
      <w:r w:rsidR="00B44BFB">
        <w:t xml:space="preserve">In line with its mandate for the 2021-2022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3E47104B" w14:textId="73885691" w:rsidR="00B44BFB" w:rsidRDefault="00AB126A" w:rsidP="00AB126A">
      <w:pPr>
        <w:pStyle w:val="SingleTxtG"/>
      </w:pPr>
      <w:r>
        <w:t>2.</w:t>
      </w:r>
      <w:r>
        <w:tab/>
      </w:r>
      <w:r w:rsidR="00B44BFB">
        <w:t xml:space="preserve">This document presents the outcome of work under item 5 in the group’s workplan (informal document INF.21, thirty-ninth session) where the issue was to review Annex 3 to identify errors and inconsistencies in the precautionary statements and to consider where other potential improvements that could be made. Following the review, the group provided a separate document to the </w:t>
      </w:r>
      <w:r w:rsidR="00447F93">
        <w:t>s</w:t>
      </w:r>
      <w:r w:rsidR="00B44BFB">
        <w:t>ecretariat detailing the identified errors and the necessary corrections to Annex 3 of the GHS.</w:t>
      </w:r>
    </w:p>
    <w:p w14:paraId="4748F59F" w14:textId="77777777" w:rsidR="00B44BFB" w:rsidRDefault="00B44BFB" w:rsidP="00B44BFB">
      <w:pPr>
        <w:pStyle w:val="HChG"/>
        <w:spacing w:line="240" w:lineRule="auto"/>
        <w:rPr>
          <w:szCs w:val="28"/>
        </w:rPr>
      </w:pPr>
      <w:r>
        <w:tab/>
      </w:r>
      <w:r>
        <w:tab/>
      </w:r>
      <w:r>
        <w:rPr>
          <w:bCs/>
          <w:szCs w:val="28"/>
        </w:rPr>
        <w:t>Acute toxicity, dermal, Category 3</w:t>
      </w:r>
    </w:p>
    <w:p w14:paraId="5503AF93" w14:textId="77777777" w:rsidR="00B44BFB" w:rsidRDefault="00B44BFB" w:rsidP="00B44BFB">
      <w:pPr>
        <w:pStyle w:val="H1G"/>
        <w:spacing w:before="240" w:line="240" w:lineRule="auto"/>
      </w:pPr>
      <w:r>
        <w:tab/>
      </w:r>
      <w:r>
        <w:tab/>
        <w:t>Background</w:t>
      </w:r>
    </w:p>
    <w:p w14:paraId="097379F1" w14:textId="4EB1C123" w:rsidR="00B44BFB" w:rsidRPr="00D300ED" w:rsidRDefault="00AB126A" w:rsidP="00AB126A">
      <w:pPr>
        <w:pStyle w:val="SingleTxtG"/>
      </w:pPr>
      <w:r w:rsidRPr="00D300ED">
        <w:t>3.</w:t>
      </w:r>
      <w:r w:rsidRPr="00D300ED">
        <w:tab/>
      </w:r>
      <w:r w:rsidR="00B44BFB" w:rsidRPr="00D300ED">
        <w:t xml:space="preserve">The hazard class acute toxicity, dermal, Category 3, </w:t>
      </w:r>
      <w:proofErr w:type="gramStart"/>
      <w:r w:rsidR="00B44BFB" w:rsidRPr="00D300ED">
        <w:t>is considered to be</w:t>
      </w:r>
      <w:proofErr w:type="gramEnd"/>
      <w:r w:rsidR="00B44BFB" w:rsidRPr="00D300ED">
        <w:t xml:space="preserve"> of relatively high hazard and seriousness and as such normally receives the same precautionary statements as acute toxicity dermal categories 1 and 2. </w:t>
      </w:r>
    </w:p>
    <w:p w14:paraId="2E19B65E" w14:textId="26A623A2" w:rsidR="00B44BFB" w:rsidRPr="00D300ED" w:rsidRDefault="00AB126A" w:rsidP="00AB126A">
      <w:pPr>
        <w:pStyle w:val="SingleTxtG"/>
      </w:pPr>
      <w:r w:rsidRPr="00D300ED">
        <w:t>4.</w:t>
      </w:r>
      <w:r w:rsidRPr="00D300ED">
        <w:tab/>
      </w:r>
      <w:r w:rsidR="00B44BFB" w:rsidRPr="00D300ED">
        <w:t xml:space="preserve">However, a review of precautionary statements that apply to the acute toxicity dermal hazard class identified three precautionary statements that have acute toxicity dermal, Categories 1 and 2, allocated to them, but not acute toxicity, dermal Category 3. These precautionary statements are: </w:t>
      </w:r>
    </w:p>
    <w:p w14:paraId="6A00C038" w14:textId="3B5E2B0B" w:rsidR="00B44BFB" w:rsidRDefault="00AB126A" w:rsidP="00CA09F0">
      <w:pPr>
        <w:pStyle w:val="SingleTxtG"/>
        <w:keepNext/>
        <w:keepLines/>
        <w:ind w:left="2271" w:right="0" w:hanging="570"/>
        <w:rPr>
          <w:b/>
          <w:bCs/>
        </w:rPr>
      </w:pPr>
      <w:r>
        <w:rPr>
          <w:bCs/>
        </w:rPr>
        <w:lastRenderedPageBreak/>
        <w:t>(a)</w:t>
      </w:r>
      <w:r>
        <w:rPr>
          <w:bCs/>
        </w:rPr>
        <w:tab/>
      </w:r>
      <w:r w:rsidR="00B44BFB">
        <w:t>P262</w:t>
      </w:r>
      <w:r w:rsidR="00B44BFB">
        <w:rPr>
          <w:b/>
          <w:bCs/>
        </w:rPr>
        <w:t xml:space="preserve"> “</w:t>
      </w:r>
      <w:r w:rsidR="00B44BFB">
        <w:rPr>
          <w:rStyle w:val="StyleBold"/>
        </w:rPr>
        <w:t>Do not get in eyes, on skin, or on clothing.”</w:t>
      </w:r>
    </w:p>
    <w:p w14:paraId="39DB175C" w14:textId="001F888D" w:rsidR="00B44BFB" w:rsidRPr="00AB126A" w:rsidRDefault="00AB126A" w:rsidP="00CA09F0">
      <w:pPr>
        <w:keepNext/>
        <w:keepLines/>
        <w:spacing w:after="120"/>
        <w:ind w:left="2274" w:hanging="573"/>
        <w:jc w:val="both"/>
      </w:pPr>
      <w:r>
        <w:rPr>
          <w:rFonts w:eastAsiaTheme="minorHAnsi"/>
          <w:lang w:eastAsia="en-US"/>
        </w:rPr>
        <w:t>(b)</w:t>
      </w:r>
      <w:r>
        <w:rPr>
          <w:rFonts w:eastAsiaTheme="minorHAnsi"/>
          <w:lang w:eastAsia="en-US"/>
        </w:rPr>
        <w:tab/>
      </w:r>
      <w:r w:rsidR="00B44BFB" w:rsidRPr="00AB126A">
        <w:t xml:space="preserve">P264 </w:t>
      </w:r>
      <w:r w:rsidR="00CA09F0">
        <w:t>“</w:t>
      </w:r>
      <w:r w:rsidR="00B44BFB" w:rsidRPr="00AB126A">
        <w:rPr>
          <w:rStyle w:val="StyleBold"/>
        </w:rPr>
        <w:t>Wash hands [and</w:t>
      </w:r>
      <w:r w:rsidR="00B44BFB" w:rsidRPr="00AB126A">
        <w:rPr>
          <w:b/>
        </w:rPr>
        <w:t>...]</w:t>
      </w:r>
      <w:r w:rsidR="00B44BFB" w:rsidRPr="00AB126A">
        <w:rPr>
          <w:rStyle w:val="StyleBold"/>
        </w:rPr>
        <w:t xml:space="preserve"> thoroughly after handling.</w:t>
      </w:r>
      <w:r w:rsidR="00CA09F0">
        <w:rPr>
          <w:rStyle w:val="StyleBold"/>
        </w:rPr>
        <w:t>”</w:t>
      </w:r>
    </w:p>
    <w:p w14:paraId="251BF74B" w14:textId="72F1276D" w:rsidR="00B44BFB" w:rsidRDefault="00AB126A" w:rsidP="00AB126A">
      <w:pPr>
        <w:pStyle w:val="SingleTxtG"/>
        <w:ind w:left="2271" w:right="0" w:hanging="570"/>
        <w:rPr>
          <w:b/>
          <w:bCs/>
        </w:rPr>
      </w:pPr>
      <w:r>
        <w:rPr>
          <w:bCs/>
        </w:rPr>
        <w:t>(c)</w:t>
      </w:r>
      <w:r>
        <w:rPr>
          <w:bCs/>
        </w:rPr>
        <w:tab/>
      </w:r>
      <w:r w:rsidR="00B44BFB">
        <w:t xml:space="preserve">P270 </w:t>
      </w:r>
      <w:r w:rsidR="00CA09F0">
        <w:t>“</w:t>
      </w:r>
      <w:r w:rsidR="00B44BFB">
        <w:rPr>
          <w:rStyle w:val="StyleBold"/>
        </w:rPr>
        <w:t>Do not eat, drink or smoke when using this product.</w:t>
      </w:r>
      <w:r w:rsidR="00CA09F0">
        <w:rPr>
          <w:rStyle w:val="StyleBold"/>
        </w:rPr>
        <w:t>”</w:t>
      </w:r>
    </w:p>
    <w:p w14:paraId="3CEACE0A" w14:textId="77777777" w:rsidR="00B44BFB" w:rsidRDefault="00B44BFB" w:rsidP="00B44BFB">
      <w:pPr>
        <w:pStyle w:val="SingleTxtG"/>
      </w:pPr>
      <w:r>
        <w:t>5.</w:t>
      </w:r>
      <w:r>
        <w:tab/>
        <w:t xml:space="preserve">The informal </w:t>
      </w:r>
      <w:r w:rsidRPr="0057261C">
        <w:t>working</w:t>
      </w:r>
      <w:r>
        <w:t xml:space="preserve"> group considered that acute toxicity, dermal Category 3 should also be included under these precautionary statements. </w:t>
      </w:r>
    </w:p>
    <w:p w14:paraId="16EF2EA7" w14:textId="05D284DD" w:rsidR="00B44BFB" w:rsidRDefault="00B44BFB" w:rsidP="00B44BFB">
      <w:pPr>
        <w:pStyle w:val="H1G"/>
        <w:spacing w:before="240" w:line="240" w:lineRule="auto"/>
      </w:pPr>
      <w:r>
        <w:tab/>
      </w:r>
      <w:r>
        <w:tab/>
        <w:t xml:space="preserve">Proposed amendments </w:t>
      </w:r>
      <w:r w:rsidR="00391C3D">
        <w:t>to</w:t>
      </w:r>
      <w:r w:rsidR="006D7CB4">
        <w:t xml:space="preserve"> </w:t>
      </w:r>
      <w:r w:rsidR="00E24EB4">
        <w:t xml:space="preserve">Annex 3 (sections 2 and 3) for </w:t>
      </w:r>
      <w:r>
        <w:t>P262, P264 and P270</w:t>
      </w:r>
    </w:p>
    <w:p w14:paraId="78ED9B14" w14:textId="58ACDFB4" w:rsidR="00B44BFB" w:rsidRPr="005B1C46" w:rsidRDefault="00B44BFB" w:rsidP="0006553F">
      <w:pPr>
        <w:pStyle w:val="SingleTxtG"/>
      </w:pPr>
      <w:r w:rsidRPr="005B1C46">
        <w:t>6.</w:t>
      </w:r>
      <w:r w:rsidRPr="005B1C46">
        <w:tab/>
        <w:t>In Section 2</w:t>
      </w:r>
      <w:r w:rsidR="00E24EB4" w:rsidRPr="005B1C46">
        <w:t>, Table A.3.2.2,</w:t>
      </w:r>
      <w:r w:rsidRPr="005B1C46">
        <w:t xml:space="preserve"> for P262</w:t>
      </w:r>
      <w:r w:rsidR="00E86351">
        <w:t>,</w:t>
      </w:r>
      <w:r w:rsidR="009F0CD0">
        <w:t xml:space="preserve"> </w:t>
      </w:r>
      <w:r w:rsidRPr="005B1C46">
        <w:t>insert: “3” after: “1, 2”</w:t>
      </w:r>
      <w:r w:rsidR="00E24EB4" w:rsidRPr="005B1C46">
        <w:t xml:space="preserve"> in column </w:t>
      </w:r>
      <w:r w:rsidR="0065525F" w:rsidRPr="005B1C46">
        <w:t>(</w:t>
      </w:r>
      <w:r w:rsidR="00E24EB4" w:rsidRPr="005B1C46">
        <w:t>4)</w:t>
      </w:r>
      <w:r w:rsidRPr="005B1C46">
        <w:t>.</w:t>
      </w:r>
    </w:p>
    <w:p w14:paraId="50703E3D" w14:textId="06A9A978" w:rsidR="00B44BFB" w:rsidRPr="005B1C46" w:rsidRDefault="00B44BFB" w:rsidP="0006553F">
      <w:pPr>
        <w:pStyle w:val="SingleTxtG"/>
      </w:pPr>
      <w:r w:rsidRPr="005B1C46">
        <w:t>7.</w:t>
      </w:r>
      <w:r w:rsidRPr="005B1C46">
        <w:tab/>
        <w:t>In Section 2</w:t>
      </w:r>
      <w:r w:rsidR="00E24EB4" w:rsidRPr="005B1C46">
        <w:t xml:space="preserve">, Table A.3.2.2, </w:t>
      </w:r>
      <w:r w:rsidRPr="005B1C46">
        <w:t>for P264</w:t>
      </w:r>
      <w:r w:rsidR="00B41AE8" w:rsidRPr="005B1C46">
        <w:t>,</w:t>
      </w:r>
      <w:r w:rsidRPr="005B1C46">
        <w:t xml:space="preserve"> acute toxicity</w:t>
      </w:r>
      <w:r w:rsidR="00A03326" w:rsidRPr="005B1C46">
        <w:t xml:space="preserve"> (</w:t>
      </w:r>
      <w:r w:rsidRPr="005B1C46">
        <w:t>dermal</w:t>
      </w:r>
      <w:r w:rsidR="00A03326" w:rsidRPr="005B1C46">
        <w:t>)</w:t>
      </w:r>
      <w:r w:rsidR="0005502E" w:rsidRPr="005B1C46">
        <w:t xml:space="preserve">, </w:t>
      </w:r>
      <w:r w:rsidRPr="005B1C46">
        <w:t>insert: “3” after: “1, 2”</w:t>
      </w:r>
      <w:r w:rsidR="0005502E" w:rsidRPr="005B1C46">
        <w:t xml:space="preserve"> in column </w:t>
      </w:r>
      <w:r w:rsidR="0065525F" w:rsidRPr="005B1C46">
        <w:t>(</w:t>
      </w:r>
      <w:r w:rsidR="0005502E" w:rsidRPr="005B1C46">
        <w:t>4</w:t>
      </w:r>
      <w:r w:rsidR="0065525F" w:rsidRPr="005B1C46">
        <w:t>)</w:t>
      </w:r>
      <w:r w:rsidRPr="005B1C46">
        <w:t>.</w:t>
      </w:r>
      <w:r w:rsidR="0065525F" w:rsidRPr="005B1C46">
        <w:t xml:space="preserve"> </w:t>
      </w:r>
    </w:p>
    <w:p w14:paraId="0098C3AA" w14:textId="5EB89AC9" w:rsidR="00B44BFB" w:rsidRPr="005B1C46" w:rsidRDefault="00B44BFB" w:rsidP="0006553F">
      <w:pPr>
        <w:pStyle w:val="SingleTxtG"/>
      </w:pPr>
      <w:r w:rsidRPr="005B1C46">
        <w:t>8.</w:t>
      </w:r>
      <w:r w:rsidRPr="005B1C46">
        <w:tab/>
        <w:t>In Section 2</w:t>
      </w:r>
      <w:r w:rsidR="0065525F" w:rsidRPr="005B1C46">
        <w:t>, Table A.3.2.2</w:t>
      </w:r>
      <w:r w:rsidRPr="005B1C46">
        <w:t>, for P270</w:t>
      </w:r>
      <w:r w:rsidR="00A03326" w:rsidRPr="005B1C46">
        <w:t xml:space="preserve">, </w:t>
      </w:r>
      <w:r w:rsidRPr="005B1C46">
        <w:t>acute toxicity</w:t>
      </w:r>
      <w:r w:rsidR="00A03326" w:rsidRPr="005B1C46">
        <w:t xml:space="preserve"> (</w:t>
      </w:r>
      <w:r w:rsidRPr="005B1C46">
        <w:t>dermal</w:t>
      </w:r>
      <w:r w:rsidR="00A03326" w:rsidRPr="005B1C46">
        <w:t>):</w:t>
      </w:r>
      <w:r w:rsidRPr="005B1C46">
        <w:t xml:space="preserve"> insert: “3” after: “1, 2”</w:t>
      </w:r>
      <w:r w:rsidR="0065525F" w:rsidRPr="005B1C46">
        <w:t xml:space="preserve"> in column (</w:t>
      </w:r>
      <w:r w:rsidR="00252883" w:rsidRPr="005B1C46">
        <w:t>4)</w:t>
      </w:r>
      <w:r w:rsidRPr="005B1C46">
        <w:t>.</w:t>
      </w:r>
    </w:p>
    <w:p w14:paraId="7F96FA31" w14:textId="6F72B8B4" w:rsidR="00B44BFB" w:rsidRPr="005B1C46" w:rsidRDefault="00B44BFB" w:rsidP="0006553F">
      <w:pPr>
        <w:pStyle w:val="SingleTxtG"/>
      </w:pPr>
      <w:r w:rsidRPr="005B1C46">
        <w:t>9.</w:t>
      </w:r>
      <w:r w:rsidRPr="005B1C46">
        <w:tab/>
        <w:t xml:space="preserve">In Section 3, </w:t>
      </w:r>
      <w:r w:rsidR="00E24EB4" w:rsidRPr="005B1C46">
        <w:t>matrix</w:t>
      </w:r>
      <w:r w:rsidRPr="005B1C46">
        <w:t xml:space="preserve"> for acute toxicity, dermal (chapter 3.1), hazard category 3, under “Prevention” </w:t>
      </w:r>
      <w:r w:rsidRPr="0006553F">
        <w:t>insert</w:t>
      </w:r>
      <w:r w:rsidR="00E24EB4" w:rsidRPr="005B1C46">
        <w:t xml:space="preserve"> the following</w:t>
      </w:r>
      <w:r w:rsidRPr="0006553F">
        <w:t>:</w:t>
      </w:r>
    </w:p>
    <w:p w14:paraId="5E0914CC" w14:textId="5C205A7E" w:rsidR="00B44BFB" w:rsidRDefault="00B44BFB" w:rsidP="00B44BFB">
      <w:pPr>
        <w:pStyle w:val="SingleTxtG"/>
        <w:spacing w:after="0" w:line="240" w:lineRule="auto"/>
        <w:ind w:left="1985" w:right="0" w:hanging="284"/>
        <w:rPr>
          <w:b/>
          <w:bCs/>
        </w:rPr>
      </w:pPr>
      <w:r>
        <w:t>“P262</w:t>
      </w:r>
    </w:p>
    <w:p w14:paraId="1D6FCA2D" w14:textId="77777777" w:rsidR="00B44BFB" w:rsidRDefault="00B44BFB" w:rsidP="00B44BFB">
      <w:pPr>
        <w:pStyle w:val="SingleTxtG"/>
        <w:ind w:left="1985" w:right="0" w:hanging="284"/>
        <w:rPr>
          <w:b/>
          <w:bCs/>
        </w:rPr>
      </w:pPr>
      <w:r>
        <w:rPr>
          <w:rStyle w:val="StyleBold"/>
        </w:rPr>
        <w:t>Do not get in eyes, on skin, or on clothing.</w:t>
      </w:r>
    </w:p>
    <w:p w14:paraId="64ABE1AF" w14:textId="603C8AAF" w:rsidR="00B44BFB" w:rsidRDefault="00B44BFB" w:rsidP="00B44BFB">
      <w:pPr>
        <w:pStyle w:val="ListParagraph"/>
        <w:ind w:left="1701"/>
        <w:jc w:val="both"/>
        <w:rPr>
          <w:rFonts w:ascii="Times New Roman" w:hAnsi="Times New Roman" w:cs="Times New Roman"/>
          <w:sz w:val="20"/>
          <w:szCs w:val="20"/>
        </w:rPr>
      </w:pPr>
      <w:r>
        <w:rPr>
          <w:rFonts w:ascii="Times New Roman" w:hAnsi="Times New Roman" w:cs="Times New Roman"/>
          <w:sz w:val="20"/>
          <w:szCs w:val="20"/>
        </w:rPr>
        <w:t>P264</w:t>
      </w:r>
    </w:p>
    <w:p w14:paraId="30FDDF66" w14:textId="77777777" w:rsidR="00B44BFB" w:rsidRDefault="00B44BFB" w:rsidP="00B44BFB">
      <w:pPr>
        <w:pStyle w:val="ListParagraph"/>
        <w:ind w:left="1701"/>
        <w:jc w:val="both"/>
        <w:rPr>
          <w:rStyle w:val="StyleBold"/>
        </w:rPr>
      </w:pPr>
      <w:r>
        <w:rPr>
          <w:rStyle w:val="StyleBold"/>
          <w:sz w:val="20"/>
          <w:szCs w:val="20"/>
        </w:rPr>
        <w:t xml:space="preserve">Wash hands [and </w:t>
      </w:r>
      <w:r>
        <w:rPr>
          <w:rFonts w:ascii="Times New Roman" w:hAnsi="Times New Roman" w:cs="Times New Roman"/>
          <w:b/>
          <w:sz w:val="20"/>
          <w:szCs w:val="20"/>
        </w:rPr>
        <w:t>...]</w:t>
      </w:r>
      <w:r>
        <w:rPr>
          <w:rStyle w:val="StyleBold"/>
          <w:sz w:val="20"/>
          <w:szCs w:val="20"/>
        </w:rPr>
        <w:t xml:space="preserve"> thoroughly after handling.</w:t>
      </w:r>
    </w:p>
    <w:p w14:paraId="16702A51" w14:textId="77777777" w:rsidR="00B44BFB" w:rsidRDefault="00B44BFB" w:rsidP="00B44BFB">
      <w:pPr>
        <w:pStyle w:val="SingleTxtG"/>
        <w:ind w:left="1701"/>
      </w:pPr>
      <w:r>
        <w:t>text in square brackets to be used when the manufacturer/supplier or competent authority specify other parts of the body to be washed after handling.</w:t>
      </w:r>
    </w:p>
    <w:p w14:paraId="68142C3B" w14:textId="0DA13F88" w:rsidR="00B44BFB" w:rsidRDefault="00B44BFB" w:rsidP="00B44BFB">
      <w:pPr>
        <w:pStyle w:val="SingleTxtG"/>
        <w:spacing w:after="0" w:line="240" w:lineRule="auto"/>
        <w:ind w:left="1701" w:right="0"/>
      </w:pPr>
      <w:r>
        <w:t>P270</w:t>
      </w:r>
    </w:p>
    <w:p w14:paraId="68F1C639" w14:textId="288274F7" w:rsidR="00B44BFB" w:rsidRDefault="00B44BFB" w:rsidP="00B44BFB">
      <w:pPr>
        <w:pStyle w:val="SingleTxtG"/>
        <w:ind w:left="1701" w:right="0"/>
        <w:rPr>
          <w:b/>
          <w:bCs/>
        </w:rPr>
      </w:pPr>
      <w:r>
        <w:rPr>
          <w:rStyle w:val="StyleBold"/>
        </w:rPr>
        <w:t>Do not eat, drink or smoke when using this product.</w:t>
      </w:r>
      <w:r w:rsidRPr="00403755">
        <w:rPr>
          <w:rStyle w:val="StyleBold"/>
          <w:b w:val="0"/>
          <w:bCs w:val="0"/>
        </w:rPr>
        <w:t>”</w:t>
      </w:r>
      <w:r w:rsidR="00CA09F0">
        <w:rPr>
          <w:rStyle w:val="StyleBold"/>
          <w:b w:val="0"/>
          <w:bCs w:val="0"/>
        </w:rPr>
        <w:t>.</w:t>
      </w:r>
    </w:p>
    <w:p w14:paraId="1E4E5D0A" w14:textId="32AE5EA0" w:rsidR="00B44BFB" w:rsidRDefault="00B44BFB" w:rsidP="00B44BFB">
      <w:pPr>
        <w:pStyle w:val="HChG"/>
      </w:pPr>
      <w:r>
        <w:tab/>
      </w:r>
      <w:r>
        <w:tab/>
        <w:t xml:space="preserve">Precautionary statement P354 </w:t>
      </w:r>
      <w:r w:rsidR="00CA09F0">
        <w:t>“</w:t>
      </w:r>
      <w:r>
        <w:rPr>
          <w:lang w:val="en-US"/>
        </w:rPr>
        <w:t>Immediately rinse with water for several minutes</w:t>
      </w:r>
      <w:r w:rsidR="00CA09F0">
        <w:t>”</w:t>
      </w:r>
    </w:p>
    <w:p w14:paraId="3F54046D" w14:textId="77777777" w:rsidR="00B44BFB" w:rsidRDefault="00B44BFB" w:rsidP="00B44BFB">
      <w:pPr>
        <w:pStyle w:val="H1G"/>
      </w:pPr>
      <w:r>
        <w:tab/>
      </w:r>
      <w:r>
        <w:tab/>
        <w:t>Background</w:t>
      </w:r>
    </w:p>
    <w:p w14:paraId="153AA17E" w14:textId="1F19D60C" w:rsidR="00B44BFB" w:rsidRDefault="00B44BFB" w:rsidP="00B44BFB">
      <w:pPr>
        <w:pStyle w:val="SingleTxtG"/>
        <w:rPr>
          <w:lang w:val="en-US"/>
        </w:rPr>
      </w:pPr>
      <w:r>
        <w:rPr>
          <w:rFonts w:eastAsia="Times New Roman"/>
        </w:rPr>
        <w:t>10.</w:t>
      </w:r>
      <w:r>
        <w:rPr>
          <w:rFonts w:eastAsia="Times New Roman"/>
        </w:rPr>
        <w:tab/>
      </w:r>
      <w:r>
        <w:rPr>
          <w:lang w:val="en-US"/>
        </w:rPr>
        <w:t xml:space="preserve">P354 currently applies to skin corrosion (Categories 1, 1A, 1B, 1C) and serious eye damage (Category 1), and is normally only used in combination with other statements that such as: P302: </w:t>
      </w:r>
      <w:r w:rsidR="00CA09F0">
        <w:rPr>
          <w:lang w:val="en-US"/>
        </w:rPr>
        <w:t>“</w:t>
      </w:r>
      <w:r>
        <w:rPr>
          <w:lang w:val="en-US"/>
        </w:rPr>
        <w:t>IF ON SKIN:</w:t>
      </w:r>
      <w:r w:rsidR="00CA09F0">
        <w:rPr>
          <w:lang w:val="en-US"/>
        </w:rPr>
        <w:t>”</w:t>
      </w:r>
      <w:r>
        <w:rPr>
          <w:lang w:val="en-US"/>
        </w:rPr>
        <w:t xml:space="preserve"> or P305: </w:t>
      </w:r>
      <w:r w:rsidR="00CA09F0">
        <w:rPr>
          <w:lang w:val="en-US"/>
        </w:rPr>
        <w:t>“</w:t>
      </w:r>
      <w:r>
        <w:rPr>
          <w:lang w:val="en-US"/>
        </w:rPr>
        <w:t>IF IN EYES:</w:t>
      </w:r>
      <w:r w:rsidR="00CA09F0">
        <w:rPr>
          <w:lang w:val="en-US"/>
        </w:rPr>
        <w:t>”</w:t>
      </w:r>
      <w:r>
        <w:rPr>
          <w:lang w:val="en-US"/>
        </w:rPr>
        <w:t>.</w:t>
      </w:r>
    </w:p>
    <w:p w14:paraId="055214BA" w14:textId="1C6DAC80" w:rsidR="00B44BFB" w:rsidRPr="006679DA" w:rsidRDefault="00B44BFB" w:rsidP="00B44BFB">
      <w:pPr>
        <w:pStyle w:val="SingleTxtG"/>
      </w:pPr>
      <w:r>
        <w:rPr>
          <w:lang w:val="en-US"/>
        </w:rPr>
        <w:t>11.</w:t>
      </w:r>
      <w:r>
        <w:rPr>
          <w:lang w:val="en-US"/>
        </w:rPr>
        <w:tab/>
        <w:t xml:space="preserve">However, the P354 statement is not clear regarding the specific part of the body that should be rinsed and there were concerns regarding P354 when a substance or mixture is classified as both skin corrosion and serious eye damage, or where P354 was used in combination with other statements. For instance, for: </w:t>
      </w:r>
      <w:r>
        <w:rPr>
          <w:sz w:val="18"/>
          <w:szCs w:val="18"/>
        </w:rPr>
        <w:t xml:space="preserve">P302 + P361 + P354 </w:t>
      </w:r>
      <w:r w:rsidR="00CA09F0">
        <w:rPr>
          <w:sz w:val="18"/>
          <w:szCs w:val="18"/>
        </w:rPr>
        <w:t>“</w:t>
      </w:r>
      <w:r>
        <w:rPr>
          <w:b/>
          <w:bCs/>
          <w:sz w:val="18"/>
          <w:szCs w:val="18"/>
        </w:rPr>
        <w:t xml:space="preserve">IF ON SKIN: </w:t>
      </w:r>
      <w:r w:rsidRPr="006679DA">
        <w:rPr>
          <w:b/>
          <w:bCs/>
        </w:rPr>
        <w:t>Take off immediately all contaminated clothing. Immediately rinse with water for several minutes</w:t>
      </w:r>
      <w:r w:rsidRPr="006679DA">
        <w:t>.</w:t>
      </w:r>
      <w:r w:rsidR="00CA09F0">
        <w:t>”</w:t>
      </w:r>
      <w:r w:rsidRPr="006679DA">
        <w:t xml:space="preserve"> it is not clear whether it is the contaminated clothing or the skin that should be rinsed.</w:t>
      </w:r>
    </w:p>
    <w:p w14:paraId="069FED8C" w14:textId="1EB16988" w:rsidR="00B44BFB" w:rsidRPr="0057261C" w:rsidRDefault="00B44BFB" w:rsidP="002F4153">
      <w:pPr>
        <w:pStyle w:val="SingleTxtG"/>
        <w:rPr>
          <w:b/>
          <w:bCs/>
        </w:rPr>
      </w:pPr>
      <w:r>
        <w:rPr>
          <w:lang w:val="en-US"/>
        </w:rPr>
        <w:t>12.</w:t>
      </w:r>
      <w:r>
        <w:rPr>
          <w:lang w:val="en-US"/>
        </w:rPr>
        <w:tab/>
        <w:t xml:space="preserve">The working group considered that to achieve greater clarity, it would be appropriate to add the word: </w:t>
      </w:r>
      <w:r w:rsidR="00CA09F0">
        <w:rPr>
          <w:lang w:val="en-US"/>
        </w:rPr>
        <w:t>“</w:t>
      </w:r>
      <w:r>
        <w:rPr>
          <w:lang w:val="en-US"/>
        </w:rPr>
        <w:t>skin</w:t>
      </w:r>
      <w:r w:rsidR="00CA09F0">
        <w:rPr>
          <w:lang w:val="en-US"/>
        </w:rPr>
        <w:t>”</w:t>
      </w:r>
      <w:r>
        <w:rPr>
          <w:lang w:val="en-US"/>
        </w:rPr>
        <w:t xml:space="preserve"> in square brackets into the precautionary statement P354 to indicate that the word can be applied, but only in accordance with the specified the conditions for use that would detail when the skin is required to be rinsed. The proposed amended P354 statement would read </w:t>
      </w:r>
      <w:r w:rsidR="002F4153">
        <w:rPr>
          <w:lang w:val="en-US"/>
        </w:rPr>
        <w:t>as shown in paragraph 17 below</w:t>
      </w:r>
      <w:r w:rsidR="006024DB">
        <w:rPr>
          <w:lang w:val="en-US"/>
        </w:rPr>
        <w:t>.</w:t>
      </w:r>
    </w:p>
    <w:p w14:paraId="0C6C7A2C" w14:textId="1E6A53D3" w:rsidR="00B44BFB" w:rsidRPr="0082280A" w:rsidRDefault="00B44BFB" w:rsidP="007A180D">
      <w:pPr>
        <w:pStyle w:val="SingleTxtG"/>
        <w:rPr>
          <w:b/>
          <w:bCs/>
          <w:i/>
          <w:iCs/>
        </w:rPr>
      </w:pPr>
      <w:r>
        <w:rPr>
          <w:lang w:val="en-US"/>
        </w:rPr>
        <w:t>13.</w:t>
      </w:r>
      <w:r>
        <w:rPr>
          <w:lang w:val="en-US"/>
        </w:rPr>
        <w:tab/>
        <w:t xml:space="preserve">In terms of the proposed conditions for use for the skin corrosion entry for P354, the group concluded that the inclusion of </w:t>
      </w:r>
      <w:r w:rsidR="00CA09F0">
        <w:rPr>
          <w:lang w:val="en-US"/>
        </w:rPr>
        <w:t>“</w:t>
      </w:r>
      <w:r>
        <w:rPr>
          <w:lang w:val="en-US"/>
        </w:rPr>
        <w:t>skin</w:t>
      </w:r>
      <w:r w:rsidR="00CA09F0">
        <w:rPr>
          <w:lang w:val="en-US"/>
        </w:rPr>
        <w:t>”</w:t>
      </w:r>
      <w:r>
        <w:rPr>
          <w:lang w:val="en-US"/>
        </w:rPr>
        <w:t xml:space="preserve"> was not necessary for inclusion in the individual statement and was only appropriate to be used for the combination statement: </w:t>
      </w:r>
      <w:r>
        <w:t xml:space="preserve">P302 + P361 + P354 which would read: </w:t>
      </w:r>
      <w:r w:rsidR="00CA09F0">
        <w:t>“</w:t>
      </w:r>
      <w:r>
        <w:rPr>
          <w:b/>
          <w:bCs/>
        </w:rPr>
        <w:t>IF ON SKIN: Take off immediately all contaminated clothing.</w:t>
      </w:r>
      <w:r>
        <w:t xml:space="preserve"> </w:t>
      </w:r>
      <w:r>
        <w:rPr>
          <w:b/>
          <w:bCs/>
          <w:lang w:val="en-US"/>
        </w:rPr>
        <w:t>Immediately rinse skin with water for several minutes.</w:t>
      </w:r>
      <w:r w:rsidR="00CA09F0">
        <w:rPr>
          <w:lang w:val="en-US"/>
        </w:rPr>
        <w:t>”</w:t>
      </w:r>
      <w:r>
        <w:t xml:space="preserve">. </w:t>
      </w:r>
      <w:r w:rsidR="008F34C0">
        <w:t>T</w:t>
      </w:r>
      <w:r>
        <w:t xml:space="preserve">he </w:t>
      </w:r>
      <w:r>
        <w:rPr>
          <w:lang w:val="en-US"/>
        </w:rPr>
        <w:t xml:space="preserve">proposed conditions for use for the skin corrosion entry </w:t>
      </w:r>
      <w:r w:rsidR="00F61F1D">
        <w:rPr>
          <w:lang w:val="en-US"/>
        </w:rPr>
        <w:t>a</w:t>
      </w:r>
      <w:r w:rsidR="009C027C">
        <w:rPr>
          <w:lang w:val="en-US"/>
        </w:rPr>
        <w:t>re</w:t>
      </w:r>
      <w:r w:rsidR="00F61F1D">
        <w:rPr>
          <w:lang w:val="en-US"/>
        </w:rPr>
        <w:t xml:space="preserve"> s</w:t>
      </w:r>
      <w:r w:rsidR="006534E4">
        <w:rPr>
          <w:lang w:val="en-US"/>
        </w:rPr>
        <w:t>h</w:t>
      </w:r>
      <w:r w:rsidR="00F61F1D">
        <w:rPr>
          <w:lang w:val="en-US"/>
        </w:rPr>
        <w:t>own in paragraph 1</w:t>
      </w:r>
      <w:r w:rsidR="00C00471">
        <w:rPr>
          <w:lang w:val="en-US"/>
        </w:rPr>
        <w:t>7</w:t>
      </w:r>
      <w:r w:rsidR="00F61F1D">
        <w:rPr>
          <w:lang w:val="en-US"/>
        </w:rPr>
        <w:t xml:space="preserve"> below. </w:t>
      </w:r>
    </w:p>
    <w:p w14:paraId="2A52B71F" w14:textId="065706DD" w:rsidR="00B44BFB" w:rsidRPr="0082280A" w:rsidRDefault="00B44BFB" w:rsidP="0082280A">
      <w:pPr>
        <w:pStyle w:val="SingleTxtG"/>
        <w:rPr>
          <w:i/>
          <w:iCs/>
          <w:lang w:val="en-US"/>
        </w:rPr>
      </w:pPr>
      <w:r>
        <w:rPr>
          <w:lang w:val="en-US"/>
        </w:rPr>
        <w:lastRenderedPageBreak/>
        <w:t>14.</w:t>
      </w:r>
      <w:r>
        <w:rPr>
          <w:lang w:val="en-US"/>
        </w:rPr>
        <w:tab/>
        <w:t xml:space="preserve">The proposed conditions for use for the serious eye damage hazard class entry for P354 </w:t>
      </w:r>
      <w:r w:rsidR="00205880">
        <w:rPr>
          <w:lang w:val="en-US"/>
        </w:rPr>
        <w:t>are</w:t>
      </w:r>
      <w:r>
        <w:rPr>
          <w:lang w:val="en-US"/>
        </w:rPr>
        <w:t xml:space="preserve"> </w:t>
      </w:r>
      <w:r w:rsidR="003439F6">
        <w:rPr>
          <w:lang w:val="en-US"/>
        </w:rPr>
        <w:t xml:space="preserve">shown in paragraph </w:t>
      </w:r>
      <w:r w:rsidR="00F61F1D">
        <w:rPr>
          <w:lang w:val="en-US"/>
        </w:rPr>
        <w:t>17 below</w:t>
      </w:r>
      <w:r w:rsidR="008F0E63">
        <w:rPr>
          <w:lang w:val="en-US"/>
        </w:rPr>
        <w:t>.</w:t>
      </w:r>
      <w:r w:rsidRPr="0082280A">
        <w:rPr>
          <w:i/>
          <w:iCs/>
          <w:lang w:val="en-US"/>
        </w:rPr>
        <w:t xml:space="preserve"> </w:t>
      </w:r>
    </w:p>
    <w:p w14:paraId="4247DE01" w14:textId="307C17DC" w:rsidR="00B44BFB" w:rsidRDefault="00B44BFB" w:rsidP="00B44BFB">
      <w:pPr>
        <w:pStyle w:val="SingleTxtG"/>
      </w:pPr>
      <w:r>
        <w:rPr>
          <w:lang w:val="en-US"/>
        </w:rPr>
        <w:t>15.</w:t>
      </w:r>
      <w:r>
        <w:rPr>
          <w:lang w:val="en-US"/>
        </w:rPr>
        <w:tab/>
      </w:r>
      <w:r>
        <w:t xml:space="preserve">Using the proposed </w:t>
      </w:r>
      <w:r>
        <w:rPr>
          <w:lang w:val="en-US"/>
        </w:rPr>
        <w:t>conditions for use</w:t>
      </w:r>
      <w:r>
        <w:t xml:space="preserve"> means that </w:t>
      </w:r>
      <w:r w:rsidR="00CA09F0">
        <w:t>“</w:t>
      </w:r>
      <w:r>
        <w:t>skin</w:t>
      </w:r>
      <w:r w:rsidR="00CA09F0">
        <w:t>”</w:t>
      </w:r>
      <w:r>
        <w:t xml:space="preserve"> would be added to P354 only for the combination P302+P361+P354 and would make it clear that it is the skin, not contaminated clothing, that is to be rinsed.</w:t>
      </w:r>
    </w:p>
    <w:p w14:paraId="5A1C999D" w14:textId="453A4FE8" w:rsidR="00B44BFB" w:rsidRDefault="00B44BFB" w:rsidP="00B44BFB">
      <w:pPr>
        <w:pStyle w:val="SingleTxtG"/>
      </w:pPr>
      <w:r>
        <w:t>16.</w:t>
      </w:r>
      <w:r>
        <w:tab/>
        <w:t xml:space="preserve">It also means that for the combined statement: P305+P354+P338 </w:t>
      </w:r>
      <w:r w:rsidR="00CA09F0">
        <w:t>“</w:t>
      </w:r>
      <w:r>
        <w:rPr>
          <w:b/>
          <w:bCs/>
        </w:rPr>
        <w:t>IF IN EYES:</w:t>
      </w:r>
      <w:r>
        <w:t xml:space="preserve"> </w:t>
      </w:r>
      <w:r>
        <w:rPr>
          <w:b/>
          <w:bCs/>
          <w:lang w:val="en-US"/>
        </w:rPr>
        <w:t>Immediately rinse with water for several minutes.</w:t>
      </w:r>
      <w:r>
        <w:rPr>
          <w:lang w:val="en-US"/>
        </w:rPr>
        <w:t xml:space="preserve"> </w:t>
      </w:r>
      <w:r>
        <w:rPr>
          <w:b/>
          <w:bCs/>
        </w:rPr>
        <w:t>Remove contact lenses, if present and easy to do. Continue rinsing.</w:t>
      </w:r>
      <w:r w:rsidR="00CA09F0">
        <w:t>”</w:t>
      </w:r>
      <w:r>
        <w:t xml:space="preserve"> the labelling practitioner would not use the text in square brackets for P354. Furthermore, given that leading statement for P305+P354+P338 is: </w:t>
      </w:r>
      <w:r w:rsidR="00CA09F0">
        <w:t>“</w:t>
      </w:r>
      <w:r>
        <w:rPr>
          <w:b/>
          <w:bCs/>
        </w:rPr>
        <w:t>IF IN EYES:</w:t>
      </w:r>
      <w:r w:rsidR="00CA09F0">
        <w:t>”</w:t>
      </w:r>
      <w:r>
        <w:t xml:space="preserve"> which clearly indicates that it is the eyes that would need to be rinsed and as this statement immediately precedes P354, inclusion of </w:t>
      </w:r>
      <w:r w:rsidR="00CA09F0">
        <w:t>“</w:t>
      </w:r>
      <w:r>
        <w:t>skin</w:t>
      </w:r>
      <w:r w:rsidR="00CA09F0">
        <w:t>”</w:t>
      </w:r>
      <w:r>
        <w:t xml:space="preserve"> in P354 in this case would not be needed and if it was could create ambiguity, regardless of whether the substance or mixture was classified as either or both skin corrosive and serious eye damage.</w:t>
      </w:r>
    </w:p>
    <w:p w14:paraId="163E004B" w14:textId="24F143FF" w:rsidR="00B44BFB" w:rsidRDefault="00B44BFB" w:rsidP="00B44BFB">
      <w:pPr>
        <w:pStyle w:val="H23G"/>
        <w:spacing w:after="240" w:line="240" w:lineRule="auto"/>
        <w:rPr>
          <w:sz w:val="24"/>
          <w:szCs w:val="24"/>
        </w:rPr>
      </w:pPr>
      <w:r>
        <w:tab/>
      </w:r>
      <w:r>
        <w:tab/>
      </w:r>
      <w:r>
        <w:rPr>
          <w:sz w:val="24"/>
          <w:szCs w:val="24"/>
        </w:rPr>
        <w:t xml:space="preserve">Proposed amendments to </w:t>
      </w:r>
      <w:r w:rsidR="00C14F30">
        <w:rPr>
          <w:sz w:val="24"/>
          <w:szCs w:val="24"/>
        </w:rPr>
        <w:t xml:space="preserve">Annex 3 </w:t>
      </w:r>
      <w:r w:rsidR="004F1CAC" w:rsidRPr="004F1CAC">
        <w:rPr>
          <w:sz w:val="24"/>
          <w:szCs w:val="24"/>
        </w:rPr>
        <w:t>(sections 2 and 3)</w:t>
      </w:r>
      <w:r w:rsidR="004F1CAC">
        <w:t xml:space="preserve"> </w:t>
      </w:r>
      <w:r w:rsidR="00C14F30">
        <w:rPr>
          <w:sz w:val="24"/>
          <w:szCs w:val="24"/>
        </w:rPr>
        <w:t xml:space="preserve">for </w:t>
      </w:r>
      <w:r>
        <w:rPr>
          <w:sz w:val="24"/>
          <w:szCs w:val="24"/>
        </w:rPr>
        <w:t>P354</w:t>
      </w:r>
    </w:p>
    <w:p w14:paraId="639DF212" w14:textId="5872CE8C" w:rsidR="00B44BFB" w:rsidRDefault="00B44BFB" w:rsidP="00B44BFB">
      <w:pPr>
        <w:pStyle w:val="SingleTxtG"/>
      </w:pPr>
      <w:r>
        <w:t>17.</w:t>
      </w:r>
      <w:r>
        <w:tab/>
        <w:t xml:space="preserve">In </w:t>
      </w:r>
      <w:r w:rsidR="00C14F30">
        <w:t xml:space="preserve">Section 2, </w:t>
      </w:r>
      <w:r>
        <w:t>Table A.3.2.3, for P354:</w:t>
      </w:r>
    </w:p>
    <w:p w14:paraId="30B88499" w14:textId="77777777" w:rsidR="005B78F6" w:rsidRDefault="002E5C03" w:rsidP="0082280A">
      <w:pPr>
        <w:pStyle w:val="SingleTxtG"/>
        <w:ind w:left="1701"/>
      </w:pPr>
      <w:r>
        <w:t>C</w:t>
      </w:r>
      <w:r w:rsidR="00B44BFB">
        <w:t xml:space="preserve">olumn </w:t>
      </w:r>
      <w:r>
        <w:t>(</w:t>
      </w:r>
      <w:r w:rsidR="00B44BFB">
        <w:t>2</w:t>
      </w:r>
      <w:r>
        <w:t>):</w:t>
      </w:r>
      <w:r w:rsidR="00B44BFB">
        <w:t xml:space="preserve"> </w:t>
      </w:r>
      <w:r>
        <w:t xml:space="preserve">amend the statement to read as follows: </w:t>
      </w:r>
    </w:p>
    <w:p w14:paraId="1F899529" w14:textId="4B4BA9A9" w:rsidR="00B44BFB" w:rsidRDefault="00B44BFB" w:rsidP="0082280A">
      <w:pPr>
        <w:pStyle w:val="SingleTxtG"/>
        <w:ind w:left="1701"/>
      </w:pPr>
      <w:r>
        <w:t>“</w:t>
      </w:r>
      <w:r>
        <w:rPr>
          <w:b/>
          <w:bCs/>
          <w:lang w:val="en-US"/>
        </w:rPr>
        <w:t>Immediately rinse [skin] with water for several minutes</w:t>
      </w:r>
      <w:r w:rsidRPr="009A415D">
        <w:rPr>
          <w:lang w:val="en-US"/>
        </w:rPr>
        <w:t>”</w:t>
      </w:r>
    </w:p>
    <w:p w14:paraId="474FAE9E" w14:textId="2EDAAD55" w:rsidR="00DF6745" w:rsidRDefault="002E5C03" w:rsidP="00B44BFB">
      <w:pPr>
        <w:pStyle w:val="SingleTxtG"/>
        <w:ind w:left="1701"/>
      </w:pPr>
      <w:r>
        <w:t>C</w:t>
      </w:r>
      <w:r w:rsidR="00B44BFB">
        <w:t xml:space="preserve">olumn </w:t>
      </w:r>
      <w:r>
        <w:t>(</w:t>
      </w:r>
      <w:r w:rsidR="00B44BFB">
        <w:t>5</w:t>
      </w:r>
      <w:r>
        <w:t>)</w:t>
      </w:r>
      <w:r w:rsidR="00F51254">
        <w:t>:</w:t>
      </w:r>
    </w:p>
    <w:p w14:paraId="7C2C1ADC" w14:textId="4DA684D7" w:rsidR="00B44BFB" w:rsidRDefault="00DF6745" w:rsidP="005B78F6">
      <w:pPr>
        <w:pStyle w:val="Bullet1G"/>
        <w:tabs>
          <w:tab w:val="clear" w:pos="1701"/>
          <w:tab w:val="num" w:pos="2410"/>
        </w:tabs>
        <w:ind w:left="1985" w:hanging="284"/>
      </w:pPr>
      <w:r>
        <w:t xml:space="preserve">For </w:t>
      </w:r>
      <w:r w:rsidR="00B44BFB">
        <w:t xml:space="preserve">the </w:t>
      </w:r>
      <w:r w:rsidR="00B44BFB">
        <w:rPr>
          <w:lang w:val="en-US"/>
        </w:rPr>
        <w:t xml:space="preserve">skin corrosion hazard class </w:t>
      </w:r>
      <w:r w:rsidR="00B44BFB">
        <w:t>entry, insert:</w:t>
      </w:r>
    </w:p>
    <w:p w14:paraId="430F6960" w14:textId="77777777" w:rsidR="00B44BFB" w:rsidRDefault="00B44BFB" w:rsidP="005335FF">
      <w:pPr>
        <w:pStyle w:val="SingleTxtG"/>
        <w:ind w:left="1985" w:right="992"/>
        <w:rPr>
          <w:lang w:val="en-US"/>
        </w:rPr>
      </w:pPr>
      <w:r>
        <w:rPr>
          <w:lang w:val="en-US"/>
        </w:rPr>
        <w:t>“</w:t>
      </w:r>
      <w:r>
        <w:rPr>
          <w:b/>
          <w:bCs/>
          <w:lang w:val="en-US"/>
        </w:rPr>
        <w:t>-</w:t>
      </w:r>
      <w:r>
        <w:rPr>
          <w:lang w:val="en-US"/>
        </w:rPr>
        <w:t xml:space="preserve"> </w:t>
      </w:r>
      <w:r>
        <w:rPr>
          <w:i/>
          <w:iCs/>
        </w:rPr>
        <w:t>text in square brackets to be used only for the combination P302 + P361 + P354</w:t>
      </w:r>
      <w:r>
        <w:rPr>
          <w:lang w:val="en-US"/>
        </w:rPr>
        <w:t>”</w:t>
      </w:r>
    </w:p>
    <w:p w14:paraId="414A60AA" w14:textId="16387258" w:rsidR="00B44BFB" w:rsidRDefault="00DF6745" w:rsidP="005B78F6">
      <w:pPr>
        <w:pStyle w:val="Bullet1G"/>
        <w:tabs>
          <w:tab w:val="clear" w:pos="1701"/>
        </w:tabs>
        <w:ind w:left="1985" w:hanging="284"/>
      </w:pPr>
      <w:r>
        <w:t>F</w:t>
      </w:r>
      <w:r w:rsidR="00B44BFB">
        <w:t xml:space="preserve">or the </w:t>
      </w:r>
      <w:r w:rsidR="00B44BFB">
        <w:rPr>
          <w:lang w:val="en-US"/>
        </w:rPr>
        <w:t>serious eye damage hazard class</w:t>
      </w:r>
      <w:r w:rsidR="00B44BFB">
        <w:t xml:space="preserve"> entry, insert:</w:t>
      </w:r>
    </w:p>
    <w:p w14:paraId="5D6B3CF6" w14:textId="77777777" w:rsidR="00B44BFB" w:rsidRPr="00BD43E8" w:rsidRDefault="00B44BFB" w:rsidP="005B78F6">
      <w:pPr>
        <w:pStyle w:val="SingleTxtG"/>
        <w:ind w:left="1985"/>
        <w:rPr>
          <w:i/>
          <w:iCs/>
          <w:lang w:val="en-US"/>
        </w:rPr>
      </w:pPr>
      <w:r>
        <w:rPr>
          <w:i/>
          <w:iCs/>
          <w:lang w:val="en-US"/>
        </w:rPr>
        <w:t>“</w:t>
      </w:r>
      <w:r w:rsidRPr="00BD43E8">
        <w:rPr>
          <w:b/>
          <w:bCs/>
          <w:i/>
          <w:iCs/>
          <w:lang w:val="en-US"/>
        </w:rPr>
        <w:t>-</w:t>
      </w:r>
      <w:r w:rsidRPr="005335FF">
        <w:rPr>
          <w:i/>
          <w:iCs/>
          <w:lang w:val="en-US"/>
        </w:rPr>
        <w:t xml:space="preserve"> </w:t>
      </w:r>
      <w:r w:rsidRPr="00BD43E8">
        <w:rPr>
          <w:i/>
          <w:iCs/>
          <w:lang w:val="en-US"/>
        </w:rPr>
        <w:t>use only “Immediately rinse with water for several minutes</w:t>
      </w:r>
      <w:r>
        <w:rPr>
          <w:i/>
          <w:iCs/>
          <w:lang w:val="en-US"/>
        </w:rPr>
        <w:t>”</w:t>
      </w:r>
      <w:r w:rsidRPr="00BD43E8">
        <w:rPr>
          <w:i/>
          <w:iCs/>
          <w:lang w:val="en-US"/>
        </w:rPr>
        <w:t>. Text in square brackets should not be used.”</w:t>
      </w:r>
    </w:p>
    <w:p w14:paraId="760E9616" w14:textId="4CD54F15" w:rsidR="00B44BFB" w:rsidRDefault="00B44BFB" w:rsidP="0082280A">
      <w:pPr>
        <w:pStyle w:val="SingleTxtG"/>
      </w:pPr>
      <w:r>
        <w:rPr>
          <w:lang w:val="en-US"/>
        </w:rPr>
        <w:t>18.</w:t>
      </w:r>
      <w:r>
        <w:rPr>
          <w:lang w:val="en-US"/>
        </w:rPr>
        <w:tab/>
      </w:r>
      <w:r>
        <w:t>In Section 2</w:t>
      </w:r>
      <w:r w:rsidR="00DF6745">
        <w:t>, Table A.3.2.3</w:t>
      </w:r>
      <w:r>
        <w:t>, for P302 + P361 + P354</w:t>
      </w:r>
      <w:r w:rsidR="001066FB">
        <w:t xml:space="preserve">, column (2), amend the statement to read as follows: </w:t>
      </w:r>
    </w:p>
    <w:p w14:paraId="38F2EF16" w14:textId="77777777" w:rsidR="00B44BFB" w:rsidRPr="00BD43E8" w:rsidRDefault="00B44BFB" w:rsidP="00B44BFB">
      <w:pPr>
        <w:pStyle w:val="SingleTxtG"/>
        <w:ind w:left="1701"/>
        <w:rPr>
          <w:b/>
          <w:bCs/>
          <w:lang w:val="en-US"/>
        </w:rPr>
      </w:pPr>
      <w:r w:rsidRPr="009A415D">
        <w:t>“</w:t>
      </w:r>
      <w:r w:rsidRPr="00BD43E8">
        <w:rPr>
          <w:b/>
          <w:bCs/>
        </w:rPr>
        <w:t xml:space="preserve">IF ON SKIN: Take off immediately all contaminated clothing. </w:t>
      </w:r>
      <w:r w:rsidRPr="00BD43E8">
        <w:rPr>
          <w:b/>
          <w:bCs/>
          <w:lang w:val="en-US"/>
        </w:rPr>
        <w:t>Immediately rinse skin with water for several minutes.</w:t>
      </w:r>
      <w:r w:rsidRPr="009A415D">
        <w:rPr>
          <w:lang w:val="en-US"/>
        </w:rPr>
        <w:t>”</w:t>
      </w:r>
    </w:p>
    <w:p w14:paraId="5ACAE679" w14:textId="01F19875" w:rsidR="00B44BFB" w:rsidRDefault="00B44BFB" w:rsidP="00B44BFB">
      <w:pPr>
        <w:pStyle w:val="SingleTxtG"/>
        <w:rPr>
          <w:bCs/>
        </w:rPr>
      </w:pPr>
      <w:r>
        <w:rPr>
          <w:lang w:val="en-US"/>
        </w:rPr>
        <w:t>19.</w:t>
      </w:r>
      <w:r>
        <w:rPr>
          <w:lang w:val="en-US"/>
        </w:rPr>
        <w:tab/>
      </w:r>
      <w:r>
        <w:t xml:space="preserve">In Section 3, </w:t>
      </w:r>
      <w:r w:rsidR="005F43F6">
        <w:t xml:space="preserve">matrix </w:t>
      </w:r>
      <w:r>
        <w:t xml:space="preserve">for </w:t>
      </w:r>
      <w:r w:rsidR="00F51254" w:rsidRPr="00E1081B">
        <w:rPr>
          <w:rStyle w:val="StyleBold"/>
          <w:b w:val="0"/>
        </w:rPr>
        <w:t>s</w:t>
      </w:r>
      <w:r w:rsidR="005F43F6" w:rsidRPr="00E1081B">
        <w:rPr>
          <w:rStyle w:val="StyleBold"/>
          <w:b w:val="0"/>
        </w:rPr>
        <w:t xml:space="preserve">kin </w:t>
      </w:r>
      <w:r w:rsidRPr="00E1081B">
        <w:rPr>
          <w:rStyle w:val="StyleBold"/>
          <w:b w:val="0"/>
        </w:rPr>
        <w:t>corrosion/irritation</w:t>
      </w:r>
      <w:r w:rsidRPr="00E1081B">
        <w:rPr>
          <w:b/>
          <w:bCs/>
        </w:rPr>
        <w:t xml:space="preserve"> (</w:t>
      </w:r>
      <w:r>
        <w:t>chapter 3.2), hazard category 1, 1A, 1B, 1C</w:t>
      </w:r>
      <w:r>
        <w:rPr>
          <w:bCs/>
        </w:rPr>
        <w:t xml:space="preserve">, </w:t>
      </w:r>
      <w:r w:rsidR="004218E9">
        <w:rPr>
          <w:bCs/>
        </w:rPr>
        <w:t>under</w:t>
      </w:r>
      <w:r>
        <w:rPr>
          <w:bCs/>
        </w:rPr>
        <w:t xml:space="preserve"> “Response”</w:t>
      </w:r>
      <w:r w:rsidR="005F43F6">
        <w:rPr>
          <w:bCs/>
        </w:rPr>
        <w:t>,</w:t>
      </w:r>
      <w:r>
        <w:rPr>
          <w:bCs/>
        </w:rPr>
        <w:t xml:space="preserve"> </w:t>
      </w:r>
      <w:r w:rsidR="000D6FB0">
        <w:rPr>
          <w:bCs/>
        </w:rPr>
        <w:t xml:space="preserve">amend </w:t>
      </w:r>
      <w:r>
        <w:t xml:space="preserve">P302 + P361 + P354 </w:t>
      </w:r>
      <w:r w:rsidR="000D6FB0">
        <w:t>to read as follows</w:t>
      </w:r>
      <w:r>
        <w:rPr>
          <w:bCs/>
        </w:rPr>
        <w:t>:</w:t>
      </w:r>
    </w:p>
    <w:p w14:paraId="34F894BD" w14:textId="77777777" w:rsidR="00B44BFB" w:rsidRDefault="00B44BFB" w:rsidP="00B44BFB">
      <w:pPr>
        <w:ind w:left="1701"/>
      </w:pPr>
      <w:r>
        <w:t>“P302 + P361 + P354</w:t>
      </w:r>
    </w:p>
    <w:p w14:paraId="3F6ED5E6" w14:textId="77777777" w:rsidR="00B44BFB" w:rsidRPr="00BD43E8" w:rsidRDefault="00B44BFB" w:rsidP="00B44BFB">
      <w:pPr>
        <w:pStyle w:val="SingleTxtG"/>
        <w:ind w:left="1701"/>
        <w:rPr>
          <w:b/>
          <w:bCs/>
          <w:lang w:val="en-US"/>
        </w:rPr>
      </w:pPr>
      <w:r w:rsidRPr="00BD43E8">
        <w:rPr>
          <w:b/>
          <w:bCs/>
        </w:rPr>
        <w:t xml:space="preserve">IF ON SKIN: Take off immediately all contaminated clothing. </w:t>
      </w:r>
      <w:r w:rsidRPr="00BD43E8">
        <w:rPr>
          <w:b/>
          <w:bCs/>
          <w:lang w:val="en-US"/>
        </w:rPr>
        <w:t>Immediately rinse skin with water for several minutes.</w:t>
      </w:r>
      <w:r w:rsidRPr="00327073">
        <w:rPr>
          <w:lang w:val="en-US"/>
        </w:rPr>
        <w:t>”</w:t>
      </w:r>
    </w:p>
    <w:p w14:paraId="65E8B61E" w14:textId="77777777" w:rsidR="00B44BFB" w:rsidRDefault="00B44BFB" w:rsidP="00B44BFB">
      <w:pPr>
        <w:pStyle w:val="HChG"/>
      </w:pPr>
      <w:r>
        <w:tab/>
      </w:r>
      <w:r>
        <w:tab/>
        <w:t>Matrix tables for flammability of gases</w:t>
      </w:r>
    </w:p>
    <w:p w14:paraId="2B9F7F35" w14:textId="5169BF5F" w:rsidR="00B44BFB" w:rsidRPr="00463DF8" w:rsidRDefault="00B44BFB" w:rsidP="00463DF8">
      <w:pPr>
        <w:pStyle w:val="H1G"/>
      </w:pPr>
      <w:r w:rsidRPr="00463DF8">
        <w:tab/>
      </w:r>
      <w:r w:rsidR="00905308">
        <w:tab/>
      </w:r>
      <w:r w:rsidRPr="00463DF8">
        <w:t xml:space="preserve">Presentation of notes beneath the </w:t>
      </w:r>
      <w:r w:rsidR="00A15904">
        <w:t>matrix</w:t>
      </w:r>
      <w:r w:rsidRPr="00463DF8">
        <w:t xml:space="preserve"> tables for pyrophoric gases and chemically unstable gases A and B</w:t>
      </w:r>
      <w:r w:rsidRPr="00E1081B">
        <w:t xml:space="preserve"> </w:t>
      </w:r>
    </w:p>
    <w:p w14:paraId="20DFD3B8" w14:textId="77777777" w:rsidR="00B44BFB" w:rsidRDefault="00B44BFB" w:rsidP="00B44BFB">
      <w:pPr>
        <w:pStyle w:val="SingleTxtG"/>
        <w:rPr>
          <w:bCs/>
        </w:rPr>
      </w:pPr>
      <w:r>
        <w:rPr>
          <w:bCs/>
        </w:rPr>
        <w:t>20.</w:t>
      </w:r>
      <w:r>
        <w:rPr>
          <w:bCs/>
        </w:rPr>
        <w:tab/>
      </w:r>
      <w:r>
        <w:t>The working group identified that t</w:t>
      </w:r>
      <w:r>
        <w:rPr>
          <w:bCs/>
        </w:rPr>
        <w:t xml:space="preserve">he presentation of the notes in the GHS matrix tables for </w:t>
      </w:r>
      <w:r>
        <w:t>1A pyrophoric gases and chemically unstable gases A and B</w:t>
      </w:r>
      <w:r>
        <w:rPr>
          <w:bCs/>
        </w:rPr>
        <w:t xml:space="preserve"> are slightly ambiguous.</w:t>
      </w:r>
    </w:p>
    <w:p w14:paraId="45CA0DEA" w14:textId="3F4D11FB" w:rsidR="00B44BFB" w:rsidRDefault="00B44BFB" w:rsidP="00B44BFB">
      <w:pPr>
        <w:pStyle w:val="SingleTxtG"/>
        <w:rPr>
          <w:bCs/>
        </w:rPr>
      </w:pPr>
      <w:r>
        <w:rPr>
          <w:bCs/>
        </w:rPr>
        <w:t>21.</w:t>
      </w:r>
      <w:r>
        <w:rPr>
          <w:bCs/>
        </w:rPr>
        <w:tab/>
        <w:t xml:space="preserve">Matrix tables include everything on the page for a particular hazard class and category, including precautionary statements, hazard statements, </w:t>
      </w:r>
      <w:proofErr w:type="gramStart"/>
      <w:r>
        <w:rPr>
          <w:bCs/>
        </w:rPr>
        <w:t>symbols</w:t>
      </w:r>
      <w:proofErr w:type="gramEnd"/>
      <w:r>
        <w:rPr>
          <w:bCs/>
        </w:rPr>
        <w:t xml:space="preserve"> and signal words. However, the notes under the 1A </w:t>
      </w:r>
      <w:r>
        <w:t>pyrophoric gases and chemically unstable gases A and B</w:t>
      </w:r>
      <w:r>
        <w:rPr>
          <w:bCs/>
        </w:rPr>
        <w:t xml:space="preserve"> matrix tables refer only to the precautionary statement component of the table rather than the whole matrix table.</w:t>
      </w:r>
    </w:p>
    <w:p w14:paraId="73849C34" w14:textId="374D80D0" w:rsidR="00B44BFB" w:rsidRDefault="00B44BFB" w:rsidP="00B44BFB">
      <w:pPr>
        <w:pStyle w:val="SingleTxtG"/>
        <w:rPr>
          <w:bCs/>
        </w:rPr>
      </w:pPr>
      <w:r>
        <w:rPr>
          <w:bCs/>
        </w:rPr>
        <w:t>22.</w:t>
      </w:r>
      <w:r>
        <w:rPr>
          <w:bCs/>
        </w:rPr>
        <w:tab/>
        <w:t xml:space="preserve">Following consideration the group considered that for greater clarity it would be appropriate to insert an superscripted ”a” after the words: </w:t>
      </w:r>
      <w:r w:rsidR="00CA09F0">
        <w:rPr>
          <w:bCs/>
        </w:rPr>
        <w:t>“</w:t>
      </w:r>
      <w:r>
        <w:rPr>
          <w:bCs/>
        </w:rPr>
        <w:t>Precautionary statement</w:t>
      </w:r>
      <w:r w:rsidR="00CA09F0">
        <w:rPr>
          <w:bCs/>
        </w:rPr>
        <w:t>”</w:t>
      </w:r>
      <w:r>
        <w:rPr>
          <w:bCs/>
        </w:rPr>
        <w:t xml:space="preserve"> in the </w:t>
      </w:r>
      <w:r>
        <w:rPr>
          <w:bCs/>
        </w:rPr>
        <w:lastRenderedPageBreak/>
        <w:t xml:space="preserve">heading of the precautionary statement table within these matrix tables, with a corresponding “a” to replace the word </w:t>
      </w:r>
      <w:r w:rsidR="00CA09F0">
        <w:rPr>
          <w:bCs/>
        </w:rPr>
        <w:t>“</w:t>
      </w:r>
      <w:r>
        <w:rPr>
          <w:bCs/>
        </w:rPr>
        <w:t>Note:</w:t>
      </w:r>
      <w:r w:rsidR="00CA09F0">
        <w:rPr>
          <w:bCs/>
        </w:rPr>
        <w:t>”</w:t>
      </w:r>
      <w:r>
        <w:rPr>
          <w:bCs/>
        </w:rPr>
        <w:t xml:space="preserve"> beneath the tables for these hazard classes. Furthermore, the group considered that the word: </w:t>
      </w:r>
      <w:r w:rsidR="00CA09F0">
        <w:rPr>
          <w:bCs/>
        </w:rPr>
        <w:t>“</w:t>
      </w:r>
      <w:r>
        <w:rPr>
          <w:bCs/>
        </w:rPr>
        <w:t>Note:</w:t>
      </w:r>
      <w:r w:rsidR="00CA09F0">
        <w:rPr>
          <w:bCs/>
        </w:rPr>
        <w:t>”</w:t>
      </w:r>
      <w:r>
        <w:rPr>
          <w:bCs/>
        </w:rPr>
        <w:t xml:space="preserve"> at the beginning of the table note was superfluous. This would also be more consistent with the presentation of notes in the tables of Annex 1. </w:t>
      </w:r>
    </w:p>
    <w:p w14:paraId="41695AB2" w14:textId="37C82990" w:rsidR="00B44BFB" w:rsidRDefault="00B44BFB" w:rsidP="00B44BFB">
      <w:pPr>
        <w:pStyle w:val="SingleTxtG"/>
      </w:pPr>
      <w:r>
        <w:rPr>
          <w:bCs/>
        </w:rPr>
        <w:t>23.</w:t>
      </w:r>
      <w:r>
        <w:rPr>
          <w:bCs/>
        </w:rPr>
        <w:tab/>
        <w:t xml:space="preserve">In addition, the group also considered that the readability and clarity of notes beneath the </w:t>
      </w:r>
      <w:r>
        <w:t>1A pyrophoric gases and chemically unstable gases A and B tables could be further improved and propose that they are replaced with the notes</w:t>
      </w:r>
      <w:r w:rsidR="00F11926">
        <w:t xml:space="preserve"> as shown in paragraphs </w:t>
      </w:r>
      <w:r w:rsidR="003324AC">
        <w:t>2</w:t>
      </w:r>
      <w:r w:rsidR="00657743">
        <w:t xml:space="preserve">6 </w:t>
      </w:r>
      <w:r w:rsidR="00172CF3">
        <w:t xml:space="preserve">(for 1A pyrophoric gases) </w:t>
      </w:r>
      <w:r w:rsidR="008828D7">
        <w:t xml:space="preserve">and </w:t>
      </w:r>
      <w:r w:rsidR="00B75F1E">
        <w:t xml:space="preserve">27 (for </w:t>
      </w:r>
      <w:r w:rsidR="00EC7E6C">
        <w:t>1A, chemically unstable gases A and B</w:t>
      </w:r>
      <w:r w:rsidR="00172CF3">
        <w:t>)</w:t>
      </w:r>
      <w:r w:rsidR="00DA55CF">
        <w:t xml:space="preserve"> below</w:t>
      </w:r>
      <w:r>
        <w:t xml:space="preserve">. </w:t>
      </w:r>
    </w:p>
    <w:p w14:paraId="3DD240FB" w14:textId="3FFD9F08" w:rsidR="00B44BFB" w:rsidRPr="00463DF8" w:rsidRDefault="00B44BFB" w:rsidP="007D5E5E">
      <w:pPr>
        <w:pStyle w:val="H1G"/>
        <w:ind w:right="992"/>
      </w:pPr>
      <w:r>
        <w:tab/>
      </w:r>
      <w:r w:rsidR="005B1C46">
        <w:tab/>
      </w:r>
      <w:r w:rsidRPr="00463DF8">
        <w:t>Matrix table for the flammable gases hazard class, category 1A, 1B, and</w:t>
      </w:r>
      <w:r w:rsidR="005B1C46">
        <w:t> </w:t>
      </w:r>
      <w:r w:rsidRPr="00463DF8">
        <w:t>2</w:t>
      </w:r>
    </w:p>
    <w:p w14:paraId="7BA686C4" w14:textId="2B8D245F" w:rsidR="00B44BFB" w:rsidRDefault="00B44BFB" w:rsidP="007D5E5E">
      <w:pPr>
        <w:pStyle w:val="SingleTxtG"/>
        <w:rPr>
          <w:iCs/>
          <w:color w:val="000000"/>
        </w:rPr>
      </w:pPr>
      <w:r>
        <w:t>24.</w:t>
      </w:r>
      <w:r>
        <w:tab/>
        <w:t>The working group also identified there was another inconsistency between the matrix table for flammable gases category 1A, 1B and 2 with the tables for pyrophoric gases and chemically unstable gases A and B. As mentioned above, each of these hazard categories has a note under their respective tables and the group considered that for consistency there should be a similar note inserted under the matrix table for flammable gases 1A, 1B and 2. The proposed new note (</w:t>
      </w:r>
      <w:r w:rsidR="0038160D">
        <w:t xml:space="preserve">as </w:t>
      </w:r>
      <w:r>
        <w:t xml:space="preserve">provided in </w:t>
      </w:r>
      <w:r w:rsidR="0038160D">
        <w:t>paragr</w:t>
      </w:r>
      <w:r w:rsidR="00370A21">
        <w:t>aph</w:t>
      </w:r>
      <w:r w:rsidR="00365014">
        <w:t xml:space="preserve"> </w:t>
      </w:r>
      <w:r w:rsidR="001D3622">
        <w:t xml:space="preserve">25 below) </w:t>
      </w:r>
      <w:r>
        <w:t>would be linked via a superscript to the heading of the precautionary statement table in the matrix table</w:t>
      </w:r>
      <w:r w:rsidR="001D3622">
        <w:t xml:space="preserve">. </w:t>
      </w:r>
    </w:p>
    <w:p w14:paraId="41963F91" w14:textId="59F0C01A" w:rsidR="00B44BFB" w:rsidRDefault="00B44BFB" w:rsidP="004E575F">
      <w:pPr>
        <w:pStyle w:val="H1G"/>
        <w:ind w:firstLine="0"/>
      </w:pPr>
      <w:r>
        <w:tab/>
        <w:t xml:space="preserve">Proposed amendments to </w:t>
      </w:r>
      <w:r w:rsidR="00DA1E3D">
        <w:t xml:space="preserve">Annex 3, section 3, </w:t>
      </w:r>
      <w:r>
        <w:t xml:space="preserve">matrix table notes for flammable gases </w:t>
      </w:r>
    </w:p>
    <w:p w14:paraId="04DAF7DD" w14:textId="754DA63F" w:rsidR="00B44BFB" w:rsidRDefault="00B44BFB" w:rsidP="00E73553">
      <w:pPr>
        <w:pStyle w:val="SingleTxtG"/>
      </w:pPr>
      <w:r>
        <w:t>25.</w:t>
      </w:r>
      <w:r>
        <w:tab/>
      </w:r>
      <w:r w:rsidR="00DA1E3D">
        <w:t>Matrix</w:t>
      </w:r>
      <w:r>
        <w:t xml:space="preserve"> for flammable gases (chapter 2.2) hazard categor</w:t>
      </w:r>
      <w:r w:rsidR="00DA1E3D">
        <w:t>ies</w:t>
      </w:r>
      <w:r>
        <w:t xml:space="preserve"> </w:t>
      </w:r>
      <w:r>
        <w:rPr>
          <w:bCs/>
        </w:rPr>
        <w:t xml:space="preserve">1A, 1B, 2, </w:t>
      </w:r>
      <w:r>
        <w:t xml:space="preserve">in the heading for </w:t>
      </w:r>
      <w:r w:rsidRPr="00D41B00">
        <w:t>the</w:t>
      </w:r>
      <w:r>
        <w:t xml:space="preserve"> “Precautionary statements” table, after the word “statements” insert a superscripted “a”</w:t>
      </w:r>
      <w:r w:rsidR="008C74A2">
        <w:rPr>
          <w:bCs/>
        </w:rPr>
        <w:t xml:space="preserve"> and </w:t>
      </w:r>
      <w:r w:rsidR="008C74A2">
        <w:t>i</w:t>
      </w:r>
      <w:r>
        <w:t xml:space="preserve">nsert the following </w:t>
      </w:r>
      <w:r w:rsidR="00423F58">
        <w:t>new</w:t>
      </w:r>
      <w:r w:rsidR="008C74A2">
        <w:t xml:space="preserve"> </w:t>
      </w:r>
      <w:r>
        <w:t xml:space="preserve">note beneath </w:t>
      </w:r>
      <w:r w:rsidR="008C74A2">
        <w:t xml:space="preserve">the </w:t>
      </w:r>
      <w:r>
        <w:t xml:space="preserve">table: </w:t>
      </w:r>
    </w:p>
    <w:p w14:paraId="5F63803F" w14:textId="77777777" w:rsidR="00B44BFB" w:rsidRDefault="00B44BFB" w:rsidP="00B44BFB">
      <w:pPr>
        <w:spacing w:after="120" w:line="240" w:lineRule="auto"/>
        <w:ind w:left="1701" w:right="1134"/>
        <w:jc w:val="both"/>
        <w:rPr>
          <w:iCs/>
          <w:color w:val="000000"/>
        </w:rPr>
      </w:pPr>
      <w:r>
        <w:t>“</w:t>
      </w:r>
      <w:proofErr w:type="spellStart"/>
      <w:r w:rsidRPr="00E73553">
        <w:rPr>
          <w:rFonts w:eastAsia="MS Mincho"/>
          <w:i/>
          <w:iCs/>
          <w:vertAlign w:val="superscript"/>
          <w:lang w:eastAsia="ja-JP"/>
        </w:rPr>
        <w:t>a</w:t>
      </w:r>
      <w:proofErr w:type="spellEnd"/>
      <w:r>
        <w:rPr>
          <w:rFonts w:eastAsia="MS Mincho"/>
          <w:b/>
          <w:bCs/>
          <w:i/>
          <w:iCs/>
          <w:lang w:eastAsia="ja-JP"/>
        </w:rPr>
        <w:tab/>
      </w:r>
      <w:r>
        <w:rPr>
          <w:rFonts w:eastAsia="MS Mincho"/>
          <w:i/>
          <w:iCs/>
          <w:lang w:eastAsia="ja-JP"/>
        </w:rPr>
        <w:t xml:space="preserve">This table lists only the precautionary statements that are assigned due to the flammability of the gas. For the other precautionary statements that are assigned based on 1A flammability and either the pyrophoricity or the chemical instability of the gas, see the respective tables for pyrophoric gases or </w:t>
      </w:r>
      <w:r>
        <w:rPr>
          <w:i/>
          <w:color w:val="000000"/>
        </w:rPr>
        <w:t>chemically unstable gases A and B.”</w:t>
      </w:r>
    </w:p>
    <w:p w14:paraId="073BDC1D" w14:textId="015006CB" w:rsidR="00B44BFB" w:rsidRDefault="00B44BFB" w:rsidP="00B44BFB">
      <w:pPr>
        <w:pStyle w:val="SingleTxtG"/>
        <w:rPr>
          <w:bCs/>
        </w:rPr>
      </w:pPr>
      <w:r>
        <w:rPr>
          <w:bCs/>
        </w:rPr>
        <w:t>26.</w:t>
      </w:r>
      <w:r>
        <w:rPr>
          <w:rFonts w:ascii="Arial" w:hAnsi="Arial" w:cs="Arial"/>
          <w:bCs/>
        </w:rPr>
        <w:tab/>
      </w:r>
      <w:r w:rsidR="008C74A2">
        <w:t>Matrix</w:t>
      </w:r>
      <w:r>
        <w:t xml:space="preserve"> for </w:t>
      </w:r>
      <w:r w:rsidR="008C74A2">
        <w:t>f</w:t>
      </w:r>
      <w:r>
        <w:t xml:space="preserve">lammable gases (chapter 2.2) (pyrophoric gases) hazard category </w:t>
      </w:r>
      <w:r>
        <w:rPr>
          <w:bCs/>
        </w:rPr>
        <w:t xml:space="preserve">1A, </w:t>
      </w:r>
      <w:r w:rsidRPr="00D41B00">
        <w:t>pyrophoric</w:t>
      </w:r>
      <w:r>
        <w:rPr>
          <w:bCs/>
        </w:rPr>
        <w:t xml:space="preserve"> gas</w:t>
      </w:r>
      <w:r>
        <w:t xml:space="preserve">, in the heading for the “Precautionary statements” table, after the word </w:t>
      </w:r>
      <w:proofErr w:type="gramStart"/>
      <w:r>
        <w:t>“..</w:t>
      </w:r>
      <w:proofErr w:type="gramEnd"/>
      <w:r>
        <w:t>statements” insert a superscripted “a”</w:t>
      </w:r>
      <w:r>
        <w:rPr>
          <w:bCs/>
        </w:rPr>
        <w:t>.</w:t>
      </w:r>
    </w:p>
    <w:p w14:paraId="1E77F53E" w14:textId="4D9A8F34" w:rsidR="00B44BFB" w:rsidRPr="00875EAD" w:rsidRDefault="00B44BFB" w:rsidP="00E73553">
      <w:pPr>
        <w:pStyle w:val="SingleTxtG"/>
        <w:ind w:firstLine="567"/>
      </w:pPr>
      <w:r w:rsidRPr="00875EAD">
        <w:t>Replace the note beneath the table with</w:t>
      </w:r>
      <w:r w:rsidR="00875EAD" w:rsidRPr="00875EAD">
        <w:t xml:space="preserve"> the following (</w:t>
      </w:r>
      <w:r w:rsidR="00875EAD" w:rsidRPr="00E73553">
        <w:rPr>
          <w:i/>
          <w:iCs/>
        </w:rPr>
        <w:t>new text is shown in bold</w:t>
      </w:r>
      <w:r w:rsidR="00875EAD" w:rsidRPr="00875EAD">
        <w:t>)</w:t>
      </w:r>
      <w:r w:rsidRPr="00875EAD">
        <w:t>:</w:t>
      </w:r>
    </w:p>
    <w:p w14:paraId="7B08018B" w14:textId="77777777" w:rsidR="00B44BFB" w:rsidRDefault="00B44BFB" w:rsidP="00B44BFB">
      <w:pPr>
        <w:spacing w:after="120" w:line="240" w:lineRule="auto"/>
        <w:ind w:left="1701" w:right="1134"/>
        <w:jc w:val="both"/>
        <w:rPr>
          <w:color w:val="000000" w:themeColor="text1"/>
        </w:rPr>
      </w:pPr>
      <w:r>
        <w:rPr>
          <w:i/>
          <w:iCs/>
          <w:color w:val="000000" w:themeColor="text1"/>
        </w:rPr>
        <w:t>“</w:t>
      </w:r>
      <w:proofErr w:type="spellStart"/>
      <w:r w:rsidRPr="00E73553">
        <w:rPr>
          <w:b/>
          <w:bCs/>
          <w:color w:val="000000" w:themeColor="text1"/>
          <w:vertAlign w:val="superscript"/>
        </w:rPr>
        <w:t>a</w:t>
      </w:r>
      <w:proofErr w:type="spellEnd"/>
      <w:r>
        <w:rPr>
          <w:color w:val="000000" w:themeColor="text1"/>
        </w:rPr>
        <w:tab/>
      </w:r>
      <w:r>
        <w:rPr>
          <w:i/>
          <w:iCs/>
          <w:color w:val="000000" w:themeColor="text1"/>
        </w:rPr>
        <w:t xml:space="preserve">This table lists only </w:t>
      </w:r>
      <w:r w:rsidRPr="00E73553">
        <w:rPr>
          <w:b/>
          <w:bCs/>
          <w:i/>
          <w:iCs/>
          <w:color w:val="000000" w:themeColor="text1"/>
        </w:rPr>
        <w:t xml:space="preserve">the </w:t>
      </w:r>
      <w:r>
        <w:rPr>
          <w:i/>
          <w:iCs/>
          <w:color w:val="000000" w:themeColor="text1"/>
        </w:rPr>
        <w:t xml:space="preserve">precautionary statements that are assigned due to the flammability and the pyrophoricity of the gas. For </w:t>
      </w:r>
      <w:r w:rsidRPr="00E73553">
        <w:rPr>
          <w:b/>
          <w:bCs/>
          <w:i/>
          <w:iCs/>
          <w:color w:val="000000" w:themeColor="text1"/>
        </w:rPr>
        <w:t>the</w:t>
      </w:r>
      <w:r>
        <w:rPr>
          <w:i/>
          <w:iCs/>
          <w:color w:val="000000" w:themeColor="text1"/>
        </w:rPr>
        <w:t xml:space="preserve"> other precautionary statements that are assigned based on </w:t>
      </w:r>
      <w:r w:rsidRPr="00E73553">
        <w:rPr>
          <w:b/>
          <w:bCs/>
          <w:i/>
          <w:iCs/>
          <w:color w:val="000000" w:themeColor="text1"/>
        </w:rPr>
        <w:t>the flammability and the</w:t>
      </w:r>
      <w:r>
        <w:rPr>
          <w:i/>
          <w:iCs/>
          <w:color w:val="000000" w:themeColor="text1"/>
        </w:rPr>
        <w:t xml:space="preserve"> chemical instability </w:t>
      </w:r>
      <w:r w:rsidRPr="00E73553">
        <w:rPr>
          <w:b/>
          <w:bCs/>
          <w:i/>
          <w:iCs/>
          <w:color w:val="000000" w:themeColor="text1"/>
        </w:rPr>
        <w:t>of the gas</w:t>
      </w:r>
      <w:r>
        <w:rPr>
          <w:i/>
          <w:iCs/>
          <w:color w:val="000000" w:themeColor="text1"/>
        </w:rPr>
        <w:t>, see the respective table for chemically unstable gases A and B</w:t>
      </w:r>
      <w:r>
        <w:rPr>
          <w:color w:val="000000" w:themeColor="text1"/>
        </w:rPr>
        <w:t>.”</w:t>
      </w:r>
    </w:p>
    <w:p w14:paraId="7D303045" w14:textId="1150630D" w:rsidR="00B44BFB" w:rsidRDefault="00B44BFB" w:rsidP="00B44BFB">
      <w:pPr>
        <w:pStyle w:val="SingleTxtG"/>
        <w:rPr>
          <w:bCs/>
        </w:rPr>
      </w:pPr>
      <w:r>
        <w:rPr>
          <w:bCs/>
        </w:rPr>
        <w:t>27</w:t>
      </w:r>
      <w:r>
        <w:rPr>
          <w:rFonts w:ascii="Arial" w:hAnsi="Arial" w:cs="Arial"/>
          <w:bCs/>
        </w:rPr>
        <w:t>.</w:t>
      </w:r>
      <w:r>
        <w:rPr>
          <w:rFonts w:ascii="Arial" w:hAnsi="Arial" w:cs="Arial"/>
          <w:bCs/>
        </w:rPr>
        <w:tab/>
      </w:r>
      <w:r w:rsidR="00551FD8" w:rsidRPr="00551FD8">
        <w:rPr>
          <w:bCs/>
        </w:rPr>
        <w:t>Matrix f</w:t>
      </w:r>
      <w:r w:rsidR="009F7299" w:rsidRPr="00551FD8">
        <w:t>or</w:t>
      </w:r>
      <w:r>
        <w:t xml:space="preserve"> the </w:t>
      </w:r>
      <w:r w:rsidR="009F7299">
        <w:t>f</w:t>
      </w:r>
      <w:r>
        <w:t xml:space="preserve">lammable gases (chapter 2.2) (chemically unstable gases) hazard category </w:t>
      </w:r>
      <w:r>
        <w:rPr>
          <w:bCs/>
        </w:rPr>
        <w:t xml:space="preserve">1A, unstable gas A and </w:t>
      </w:r>
      <w:r>
        <w:t xml:space="preserve">hazard category </w:t>
      </w:r>
      <w:r>
        <w:rPr>
          <w:bCs/>
        </w:rPr>
        <w:t>1A, unstable gas B</w:t>
      </w:r>
      <w:r>
        <w:t>, in the heading for the “</w:t>
      </w:r>
      <w:r w:rsidRPr="00D41B00">
        <w:t>Precautionary</w:t>
      </w:r>
      <w:r>
        <w:t xml:space="preserve"> statements” table, after the word “..statements” insert a superscripted “a”</w:t>
      </w:r>
      <w:r>
        <w:rPr>
          <w:bCs/>
        </w:rPr>
        <w:t>.</w:t>
      </w:r>
    </w:p>
    <w:p w14:paraId="3CB8D428" w14:textId="2A9EC3BE" w:rsidR="00B44BFB" w:rsidRDefault="00B44BFB" w:rsidP="00E73553">
      <w:pPr>
        <w:pStyle w:val="SingleTxtG"/>
        <w:ind w:firstLine="567"/>
        <w:rPr>
          <w:b/>
          <w:bCs/>
        </w:rPr>
      </w:pPr>
      <w:r>
        <w:t>Replace the note beneath the table with</w:t>
      </w:r>
      <w:r w:rsidR="007362F3" w:rsidRPr="007362F3">
        <w:t xml:space="preserve"> </w:t>
      </w:r>
      <w:r w:rsidR="007362F3" w:rsidRPr="00875EAD">
        <w:t>the following (</w:t>
      </w:r>
      <w:r w:rsidR="007362F3" w:rsidRPr="006558D9">
        <w:rPr>
          <w:i/>
          <w:iCs/>
        </w:rPr>
        <w:t>new text is shown in bold</w:t>
      </w:r>
      <w:r w:rsidR="007362F3" w:rsidRPr="00875EAD">
        <w:t>)</w:t>
      </w:r>
      <w:r>
        <w:t>:</w:t>
      </w:r>
    </w:p>
    <w:p w14:paraId="19AFDD92" w14:textId="4E5418B6" w:rsidR="00B44BFB" w:rsidRDefault="00B44BFB" w:rsidP="00B44BFB">
      <w:pPr>
        <w:ind w:left="1701" w:right="1134"/>
        <w:jc w:val="both"/>
        <w:rPr>
          <w:color w:val="000000" w:themeColor="text1"/>
        </w:rPr>
      </w:pPr>
      <w:r>
        <w:rPr>
          <w:color w:val="000000" w:themeColor="text1"/>
        </w:rPr>
        <w:t>“</w:t>
      </w:r>
      <w:proofErr w:type="spellStart"/>
      <w:r w:rsidRPr="00E73553">
        <w:rPr>
          <w:b/>
          <w:bCs/>
          <w:color w:val="000000" w:themeColor="text1"/>
          <w:vertAlign w:val="superscript"/>
        </w:rPr>
        <w:t>a</w:t>
      </w:r>
      <w:proofErr w:type="spellEnd"/>
      <w:r>
        <w:rPr>
          <w:color w:val="000000" w:themeColor="text1"/>
        </w:rPr>
        <w:tab/>
      </w:r>
      <w:r>
        <w:rPr>
          <w:i/>
          <w:iCs/>
          <w:color w:val="000000" w:themeColor="text1"/>
        </w:rPr>
        <w:t>This table lists only the precautionary statement</w:t>
      </w:r>
      <w:r w:rsidRPr="00E73553">
        <w:rPr>
          <w:b/>
          <w:bCs/>
          <w:i/>
          <w:iCs/>
          <w:color w:val="000000" w:themeColor="text1"/>
        </w:rPr>
        <w:t>s</w:t>
      </w:r>
      <w:r>
        <w:rPr>
          <w:i/>
          <w:iCs/>
          <w:color w:val="000000" w:themeColor="text1"/>
        </w:rPr>
        <w:t xml:space="preserve"> that </w:t>
      </w:r>
      <w:r w:rsidRPr="00E73553">
        <w:rPr>
          <w:b/>
          <w:bCs/>
          <w:i/>
          <w:iCs/>
          <w:color w:val="000000" w:themeColor="text1"/>
        </w:rPr>
        <w:t>are</w:t>
      </w:r>
      <w:r>
        <w:rPr>
          <w:i/>
          <w:iCs/>
          <w:color w:val="000000" w:themeColor="text1"/>
        </w:rPr>
        <w:t xml:space="preserve"> assigned due to the flammability and the chemical instability of the gas. For </w:t>
      </w:r>
      <w:r w:rsidRPr="001B4D06">
        <w:rPr>
          <w:i/>
          <w:iCs/>
          <w:color w:val="000000" w:themeColor="text1"/>
        </w:rPr>
        <w:t>the</w:t>
      </w:r>
      <w:r w:rsidRPr="00E73553">
        <w:rPr>
          <w:b/>
          <w:bCs/>
          <w:i/>
          <w:iCs/>
          <w:color w:val="000000" w:themeColor="text1"/>
        </w:rPr>
        <w:t xml:space="preserve"> </w:t>
      </w:r>
      <w:r>
        <w:rPr>
          <w:i/>
          <w:iCs/>
          <w:color w:val="000000" w:themeColor="text1"/>
        </w:rPr>
        <w:t xml:space="preserve">other precautionary statements that are assigned based on </w:t>
      </w:r>
      <w:r w:rsidRPr="00E73553">
        <w:rPr>
          <w:b/>
          <w:bCs/>
          <w:i/>
          <w:iCs/>
          <w:color w:val="000000" w:themeColor="text1"/>
        </w:rPr>
        <w:t xml:space="preserve">the flammability and </w:t>
      </w:r>
      <w:r>
        <w:rPr>
          <w:i/>
          <w:iCs/>
          <w:color w:val="000000" w:themeColor="text1"/>
        </w:rPr>
        <w:t xml:space="preserve">the pyrophoricity of the gas, see the respective table for pyrophoric </w:t>
      </w:r>
      <w:r w:rsidRPr="00E73553">
        <w:rPr>
          <w:b/>
          <w:bCs/>
          <w:i/>
          <w:iCs/>
          <w:color w:val="000000" w:themeColor="text1"/>
        </w:rPr>
        <w:t>gases</w:t>
      </w:r>
      <w:r>
        <w:rPr>
          <w:i/>
          <w:iCs/>
          <w:color w:val="000000" w:themeColor="text1"/>
        </w:rPr>
        <w:t>.</w:t>
      </w:r>
      <w:r>
        <w:rPr>
          <w:color w:val="000000" w:themeColor="text1"/>
        </w:rPr>
        <w:t>”</w:t>
      </w:r>
      <w:r w:rsidR="0030193D">
        <w:rPr>
          <w:color w:val="000000" w:themeColor="text1"/>
        </w:rPr>
        <w:t>.</w:t>
      </w:r>
    </w:p>
    <w:p w14:paraId="0AD3F81E" w14:textId="77777777" w:rsidR="00B44BFB" w:rsidRDefault="00B44BFB" w:rsidP="00E73553">
      <w:pPr>
        <w:pStyle w:val="HChG"/>
      </w:pPr>
      <w:r>
        <w:tab/>
      </w:r>
      <w:r>
        <w:tab/>
        <w:t>Respiratory and skin sensitization</w:t>
      </w:r>
    </w:p>
    <w:p w14:paraId="00E254B8" w14:textId="447237C7" w:rsidR="00B44BFB" w:rsidRDefault="00B44BFB" w:rsidP="00B44BFB">
      <w:pPr>
        <w:pStyle w:val="SingleTxtG"/>
      </w:pPr>
      <w:r>
        <w:t>28.</w:t>
      </w:r>
      <w:r>
        <w:tab/>
        <w:t>During the review of Annex 3 the group noted that there was inconsistency between the presentation of respiratory sensitization or skin sensitization hazard classes in Chapter</w:t>
      </w:r>
      <w:r w:rsidR="0030193D">
        <w:t> </w:t>
      </w:r>
      <w:r>
        <w:t xml:space="preserve">3.4 and the tables in Annex 3. </w:t>
      </w:r>
    </w:p>
    <w:p w14:paraId="38F6F6F4" w14:textId="28F599F0" w:rsidR="00B44BFB" w:rsidRDefault="00B44BFB" w:rsidP="00E73553">
      <w:pPr>
        <w:pStyle w:val="SingleTxtG"/>
        <w:rPr>
          <w:color w:val="000000" w:themeColor="text1"/>
        </w:rPr>
      </w:pPr>
      <w:r>
        <w:lastRenderedPageBreak/>
        <w:t>29.</w:t>
      </w:r>
      <w:r>
        <w:tab/>
        <w:t>To ensure consistency with the presentation of these hazard classes in Chapter 3.4 and the tables in Section 2 of Annex 3, it is proposed to amend the hazard class entries for respiratory or skin sensitization in Table A3.1.2</w:t>
      </w:r>
      <w:r w:rsidR="007A1810">
        <w:t>, column (3)</w:t>
      </w:r>
      <w:r>
        <w:t xml:space="preserve"> </w:t>
      </w:r>
      <w:r w:rsidR="00D42FBC">
        <w:t>as shown in paragraph</w:t>
      </w:r>
      <w:r w:rsidR="002E3F0C">
        <w:t>s</w:t>
      </w:r>
      <w:r w:rsidR="00D42FBC">
        <w:t xml:space="preserve"> 31 </w:t>
      </w:r>
      <w:r w:rsidR="002E3F0C">
        <w:t xml:space="preserve">and 32 </w:t>
      </w:r>
      <w:r w:rsidR="00D42FBC">
        <w:t>below.</w:t>
      </w:r>
      <w:r>
        <w:t xml:space="preserve"> </w:t>
      </w:r>
    </w:p>
    <w:p w14:paraId="42D40E62" w14:textId="6283B18A" w:rsidR="002804B3" w:rsidRDefault="00B44BFB" w:rsidP="002804B3">
      <w:pPr>
        <w:pStyle w:val="SingleTxtG"/>
        <w:rPr>
          <w:bCs/>
        </w:rPr>
      </w:pPr>
      <w:r>
        <w:rPr>
          <w:color w:val="000000" w:themeColor="text1"/>
        </w:rPr>
        <w:t>30.</w:t>
      </w:r>
      <w:r>
        <w:rPr>
          <w:color w:val="000000" w:themeColor="text1"/>
        </w:rPr>
        <w:tab/>
        <w:t>In addition, the group considered that the Section 3 matrix table headings for resp</w:t>
      </w:r>
      <w:r>
        <w:t xml:space="preserve">iratory sensitization and skin sensitization should also be amended to ensure consistency with the presentation provided in Chapter 3.4 and the tables in Section 2 of Annex 3 for these hazard classes. Hence, the group propose to amend the matrix table headings </w:t>
      </w:r>
      <w:r w:rsidR="001116FC">
        <w:t>as shown in paragraphs 33 and 34 below.</w:t>
      </w:r>
    </w:p>
    <w:p w14:paraId="19FBCD28" w14:textId="6FAB683E" w:rsidR="00B44BFB" w:rsidRDefault="00B44BFB" w:rsidP="002804B3">
      <w:pPr>
        <w:pStyle w:val="H1G"/>
      </w:pPr>
      <w:r>
        <w:rPr>
          <w:bCs/>
        </w:rPr>
        <w:tab/>
      </w:r>
      <w:r w:rsidR="002804B3">
        <w:rPr>
          <w:bCs/>
        </w:rPr>
        <w:tab/>
      </w:r>
      <w:r>
        <w:rPr>
          <w:bCs/>
        </w:rPr>
        <w:t xml:space="preserve">Proposed amendments to </w:t>
      </w:r>
      <w:r w:rsidR="002E3F0C">
        <w:rPr>
          <w:bCs/>
        </w:rPr>
        <w:t xml:space="preserve">Annex 3 for </w:t>
      </w:r>
      <w:r>
        <w:t xml:space="preserve">respiratory and skin sensitization </w:t>
      </w:r>
    </w:p>
    <w:p w14:paraId="49A846BC" w14:textId="3B344F95" w:rsidR="00B44BFB" w:rsidRPr="00E73553" w:rsidRDefault="00B44BFB" w:rsidP="00CA09F0">
      <w:pPr>
        <w:pStyle w:val="SingleTxtG"/>
      </w:pPr>
      <w:r w:rsidRPr="002804B3">
        <w:t>31.</w:t>
      </w:r>
      <w:r w:rsidRPr="002804B3">
        <w:tab/>
      </w:r>
      <w:r w:rsidRPr="00932B6B">
        <w:t>Section 1</w:t>
      </w:r>
      <w:r w:rsidR="002E3F0C" w:rsidRPr="00932B6B">
        <w:t>, Table A.3.1.2</w:t>
      </w:r>
      <w:r w:rsidRPr="00932B6B">
        <w:t>, for H317</w:t>
      </w:r>
      <w:r w:rsidR="009011DD" w:rsidRPr="00932B6B">
        <w:t xml:space="preserve">, column (3): </w:t>
      </w:r>
      <w:r w:rsidRPr="002804B3">
        <w:t xml:space="preserve">replace </w:t>
      </w:r>
      <w:r w:rsidR="00CA09F0">
        <w:t>“</w:t>
      </w:r>
      <w:r w:rsidRPr="002804B3">
        <w:t>Sensitization, skin (chapter</w:t>
      </w:r>
      <w:r w:rsidR="00CA09F0">
        <w:t> </w:t>
      </w:r>
      <w:r w:rsidRPr="002804B3">
        <w:t>3.4)</w:t>
      </w:r>
      <w:r w:rsidR="00CA09F0">
        <w:t>”</w:t>
      </w:r>
      <w:r w:rsidRPr="002804B3">
        <w:t xml:space="preserve"> with</w:t>
      </w:r>
      <w:r w:rsidR="00CA09F0">
        <w:t xml:space="preserve"> </w:t>
      </w:r>
      <w:r w:rsidRPr="00E73553">
        <w:t>“Skin sensitization (chapter 3.4)”</w:t>
      </w:r>
    </w:p>
    <w:p w14:paraId="2174B89B" w14:textId="514F9E88" w:rsidR="00B44BFB" w:rsidRDefault="00B44BFB" w:rsidP="00CA09F0">
      <w:pPr>
        <w:spacing w:after="120" w:line="240" w:lineRule="auto"/>
        <w:ind w:left="1134" w:right="992"/>
        <w:jc w:val="both"/>
        <w:rPr>
          <w:color w:val="000000" w:themeColor="text1"/>
        </w:rPr>
      </w:pPr>
      <w:r>
        <w:rPr>
          <w:color w:val="000000" w:themeColor="text1"/>
        </w:rPr>
        <w:t>32.</w:t>
      </w:r>
      <w:r>
        <w:rPr>
          <w:color w:val="000000" w:themeColor="text1"/>
        </w:rPr>
        <w:tab/>
      </w:r>
      <w:r w:rsidR="009011DD">
        <w:rPr>
          <w:color w:val="000000" w:themeColor="text1"/>
        </w:rPr>
        <w:t xml:space="preserve">Section 1, </w:t>
      </w:r>
      <w:r>
        <w:rPr>
          <w:color w:val="000000" w:themeColor="text1"/>
        </w:rPr>
        <w:t>Table A.3.1.2</w:t>
      </w:r>
      <w:r w:rsidR="0003799E">
        <w:rPr>
          <w:color w:val="000000" w:themeColor="text1"/>
        </w:rPr>
        <w:t xml:space="preserve">, </w:t>
      </w:r>
      <w:r>
        <w:rPr>
          <w:color w:val="000000" w:themeColor="text1"/>
        </w:rPr>
        <w:t>for H334</w:t>
      </w:r>
      <w:r w:rsidR="0003799E">
        <w:rPr>
          <w:color w:val="000000" w:themeColor="text1"/>
        </w:rPr>
        <w:t>, column (3):</w:t>
      </w:r>
      <w:r w:rsidR="001B4B9C">
        <w:rPr>
          <w:color w:val="000000" w:themeColor="text1"/>
        </w:rPr>
        <w:t xml:space="preserve"> </w:t>
      </w:r>
      <w:r>
        <w:t xml:space="preserve">replace </w:t>
      </w:r>
      <w:r w:rsidR="00CA09F0">
        <w:t>“</w:t>
      </w:r>
      <w:r>
        <w:t>Sensitization, respiratory (chapter 3.4)</w:t>
      </w:r>
      <w:r w:rsidR="00CA09F0">
        <w:t>”</w:t>
      </w:r>
      <w:r>
        <w:t xml:space="preserve"> with</w:t>
      </w:r>
      <w:r w:rsidR="002804B3">
        <w:t xml:space="preserve"> </w:t>
      </w:r>
      <w:r>
        <w:rPr>
          <w:color w:val="000000" w:themeColor="text1"/>
        </w:rPr>
        <w:t>“Respiratory sensitization (chapter 3.4)”</w:t>
      </w:r>
    </w:p>
    <w:p w14:paraId="0632D290" w14:textId="6D7C36CF" w:rsidR="00B44BFB" w:rsidRDefault="00B44BFB" w:rsidP="00CA09F0">
      <w:pPr>
        <w:pStyle w:val="SingleTxtG"/>
        <w:rPr>
          <w:color w:val="000000" w:themeColor="text1"/>
        </w:rPr>
      </w:pPr>
      <w:r>
        <w:t>33.</w:t>
      </w:r>
      <w:r>
        <w:tab/>
        <w:t>In Section 3</w:t>
      </w:r>
      <w:r w:rsidR="001116FC">
        <w:t>,</w:t>
      </w:r>
      <w:r>
        <w:t xml:space="preserve"> table for </w:t>
      </w:r>
      <w:r w:rsidR="00CA09F0">
        <w:t>“</w:t>
      </w:r>
      <w:r>
        <w:t>Sensitization – respiratory (Chapter 3.4</w:t>
      </w:r>
      <w:r w:rsidR="00CA09F0">
        <w:t>”</w:t>
      </w:r>
      <w:r>
        <w:t xml:space="preserve">), replace </w:t>
      </w:r>
      <w:r w:rsidR="00CA09F0">
        <w:t>the</w:t>
      </w:r>
      <w:r>
        <w:t xml:space="preserve"> heading with</w:t>
      </w:r>
      <w:r w:rsidR="00CA09F0">
        <w:t xml:space="preserve"> </w:t>
      </w:r>
      <w:r>
        <w:rPr>
          <w:color w:val="000000" w:themeColor="text1"/>
        </w:rPr>
        <w:t>“RESPIRATORY SENSITIZATION (CHAPTER 3.4)”</w:t>
      </w:r>
    </w:p>
    <w:p w14:paraId="2083C840" w14:textId="4126652B" w:rsidR="00B44BFB" w:rsidRDefault="00B44BFB" w:rsidP="00CA09F0">
      <w:pPr>
        <w:pStyle w:val="SingleTxtG"/>
        <w:rPr>
          <w:color w:val="000000" w:themeColor="text1"/>
        </w:rPr>
      </w:pPr>
      <w:r>
        <w:t>34.</w:t>
      </w:r>
      <w:r>
        <w:tab/>
        <w:t xml:space="preserve">In Section 3, table for </w:t>
      </w:r>
      <w:r w:rsidR="00CA09F0">
        <w:t>“</w:t>
      </w:r>
      <w:r>
        <w:t>Sensitization – skin (Chapter 3.4)</w:t>
      </w:r>
      <w:r w:rsidR="00CA09F0">
        <w:t>”</w:t>
      </w:r>
      <w:r>
        <w:t xml:space="preserve">, replace </w:t>
      </w:r>
      <w:r w:rsidR="00CA09F0">
        <w:t>the</w:t>
      </w:r>
      <w:r>
        <w:t xml:space="preserve"> heading with</w:t>
      </w:r>
      <w:r w:rsidR="00CA09F0">
        <w:t xml:space="preserve"> </w:t>
      </w:r>
      <w:r>
        <w:rPr>
          <w:color w:val="000000" w:themeColor="text1"/>
        </w:rPr>
        <w:t>“SKIN SENSITIZATION (CHAPTER 3.4)”</w:t>
      </w:r>
    </w:p>
    <w:p w14:paraId="7AA614F7" w14:textId="77777777" w:rsidR="00B44BFB" w:rsidRDefault="00B44BFB" w:rsidP="00B44BFB">
      <w:pPr>
        <w:pStyle w:val="HChG"/>
      </w:pPr>
      <w:r>
        <w:tab/>
      </w:r>
      <w:r>
        <w:tab/>
        <w:t>Action requested</w:t>
      </w:r>
    </w:p>
    <w:p w14:paraId="507F4024" w14:textId="06AC88CF" w:rsidR="00B44BFB" w:rsidRDefault="00B44BFB" w:rsidP="00B44BFB">
      <w:pPr>
        <w:pStyle w:val="SingleTxtG"/>
      </w:pPr>
      <w:r>
        <w:t>35.</w:t>
      </w:r>
      <w:r>
        <w:tab/>
        <w:t>The Sub-</w:t>
      </w:r>
      <w:r w:rsidRPr="00D41B00">
        <w:t>Committee</w:t>
      </w:r>
      <w:r>
        <w:t xml:space="preserve"> is invited to agree the proposed amendments to </w:t>
      </w:r>
      <w:r w:rsidR="001116FC">
        <w:t>s</w:t>
      </w:r>
      <w:r>
        <w:t>ections 2 and 3 of Annex 3 of the GHS as detailed in this document. The proposals are provided in the following paragraphs:</w:t>
      </w:r>
    </w:p>
    <w:p w14:paraId="3CCC7B05" w14:textId="33E64FC5" w:rsidR="00B44BFB" w:rsidRDefault="00AB126A" w:rsidP="00EE2E02">
      <w:pPr>
        <w:pStyle w:val="Bullet1G"/>
        <w:numPr>
          <w:ilvl w:val="0"/>
          <w:numId w:val="0"/>
        </w:numPr>
        <w:tabs>
          <w:tab w:val="left" w:pos="1701"/>
        </w:tabs>
        <w:ind w:left="1701" w:hanging="283"/>
      </w:pPr>
      <w:r>
        <w:t>•</w:t>
      </w:r>
      <w:r>
        <w:tab/>
      </w:r>
      <w:r w:rsidR="00B44BFB">
        <w:t xml:space="preserve">Proposed amendments to P232, P264 and P270; see paragraphs 6 to </w:t>
      </w:r>
      <w:proofErr w:type="gramStart"/>
      <w:r w:rsidR="00B44BFB">
        <w:t>9;</w:t>
      </w:r>
      <w:proofErr w:type="gramEnd"/>
    </w:p>
    <w:p w14:paraId="0B9855C5" w14:textId="6419267C" w:rsidR="00B44BFB" w:rsidRDefault="00AB126A" w:rsidP="00EE2E02">
      <w:pPr>
        <w:pStyle w:val="Bullet1G"/>
        <w:numPr>
          <w:ilvl w:val="0"/>
          <w:numId w:val="0"/>
        </w:numPr>
        <w:tabs>
          <w:tab w:val="left" w:pos="1701"/>
        </w:tabs>
        <w:ind w:left="1701" w:hanging="283"/>
      </w:pPr>
      <w:r>
        <w:t>•</w:t>
      </w:r>
      <w:r>
        <w:tab/>
      </w:r>
      <w:r w:rsidR="00B44BFB">
        <w:t xml:space="preserve">Proposed amendments to P354; see in paragraphs 17 to </w:t>
      </w:r>
      <w:proofErr w:type="gramStart"/>
      <w:r w:rsidR="00B44BFB">
        <w:t>19;</w:t>
      </w:r>
      <w:proofErr w:type="gramEnd"/>
    </w:p>
    <w:p w14:paraId="6E1F3012" w14:textId="79198BE7" w:rsidR="00B44BFB" w:rsidRDefault="00AB126A" w:rsidP="00EE2E02">
      <w:pPr>
        <w:pStyle w:val="Bullet1G"/>
        <w:numPr>
          <w:ilvl w:val="0"/>
          <w:numId w:val="0"/>
        </w:numPr>
        <w:tabs>
          <w:tab w:val="left" w:pos="1701"/>
        </w:tabs>
        <w:ind w:left="1701" w:hanging="283"/>
      </w:pPr>
      <w:r>
        <w:t>•</w:t>
      </w:r>
      <w:r>
        <w:tab/>
      </w:r>
      <w:r w:rsidR="00B44BFB">
        <w:t xml:space="preserve">Proposed amendments to flammable gases matrix tables; see in paragraphs 25 to </w:t>
      </w:r>
      <w:proofErr w:type="gramStart"/>
      <w:r w:rsidR="00B44BFB">
        <w:t>27;</w:t>
      </w:r>
      <w:proofErr w:type="gramEnd"/>
    </w:p>
    <w:p w14:paraId="3D8403A6" w14:textId="202651B7" w:rsidR="00B44BFB" w:rsidRDefault="00AB126A" w:rsidP="00EE2E02">
      <w:pPr>
        <w:pStyle w:val="Bullet1G"/>
        <w:numPr>
          <w:ilvl w:val="0"/>
          <w:numId w:val="0"/>
        </w:numPr>
        <w:tabs>
          <w:tab w:val="left" w:pos="1701"/>
        </w:tabs>
        <w:ind w:left="1701" w:hanging="283"/>
      </w:pPr>
      <w:r>
        <w:t>•</w:t>
      </w:r>
      <w:r>
        <w:tab/>
      </w:r>
      <w:r w:rsidR="00B44BFB">
        <w:t xml:space="preserve">Proposed amendments to </w:t>
      </w:r>
      <w:r w:rsidR="00B44BFB">
        <w:rPr>
          <w:bCs/>
        </w:rPr>
        <w:t>respiratory and skin sensitization entries in Annex 3; see paragraphs 31 to 34.</w:t>
      </w:r>
    </w:p>
    <w:p w14:paraId="0C8CBA5E" w14:textId="77777777" w:rsidR="00B44BFB" w:rsidRDefault="00B44BFB" w:rsidP="00B44BFB">
      <w:pPr>
        <w:spacing w:before="240"/>
        <w:jc w:val="center"/>
        <w:rPr>
          <w:u w:val="single"/>
        </w:rPr>
      </w:pPr>
      <w:r>
        <w:tab/>
      </w:r>
      <w:r>
        <w:rPr>
          <w:u w:val="single"/>
        </w:rPr>
        <w:tab/>
      </w:r>
      <w:r>
        <w:rPr>
          <w:u w:val="single"/>
        </w:rPr>
        <w:tab/>
      </w:r>
      <w:r>
        <w:rPr>
          <w:u w:val="single"/>
        </w:rPr>
        <w:tab/>
      </w:r>
    </w:p>
    <w:p w14:paraId="7E97E3F6" w14:textId="77777777" w:rsidR="00AF5DE1" w:rsidRPr="00B44BFB" w:rsidRDefault="00AF5DE1" w:rsidP="002B556D"/>
    <w:sectPr w:rsidR="00AF5DE1" w:rsidRPr="00B44BFB" w:rsidSect="00B44B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751F" w14:textId="77777777" w:rsidR="003D6693" w:rsidRPr="00C47B2E" w:rsidRDefault="003D6693" w:rsidP="00C47B2E">
      <w:pPr>
        <w:pStyle w:val="Footer"/>
      </w:pPr>
    </w:p>
  </w:endnote>
  <w:endnote w:type="continuationSeparator" w:id="0">
    <w:p w14:paraId="42A709E3" w14:textId="77777777" w:rsidR="003D6693" w:rsidRPr="00C47B2E" w:rsidRDefault="003D6693" w:rsidP="00C47B2E">
      <w:pPr>
        <w:pStyle w:val="Footer"/>
      </w:pPr>
    </w:p>
  </w:endnote>
  <w:endnote w:type="continuationNotice" w:id="1">
    <w:p w14:paraId="4FCF82A2" w14:textId="77777777" w:rsidR="003D6693" w:rsidRPr="00C47B2E" w:rsidRDefault="003D66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9088" w14:textId="669014D7" w:rsidR="00D94B05" w:rsidRPr="00B44BFB" w:rsidRDefault="00B44BFB" w:rsidP="00B44BFB">
    <w:pPr>
      <w:pStyle w:val="Footer"/>
      <w:tabs>
        <w:tab w:val="right" w:pos="9598"/>
        <w:tab w:val="right" w:pos="9638"/>
      </w:tabs>
      <w:rPr>
        <w:sz w:val="18"/>
      </w:rPr>
    </w:pPr>
    <w:r w:rsidRPr="00B44BFB">
      <w:rPr>
        <w:b/>
        <w:sz w:val="18"/>
      </w:rPr>
      <w:fldChar w:fldCharType="begin"/>
    </w:r>
    <w:r w:rsidRPr="00B44BFB">
      <w:rPr>
        <w:b/>
        <w:sz w:val="18"/>
      </w:rPr>
      <w:instrText xml:space="preserve"> PAGE  \* MERGEFORMAT </w:instrText>
    </w:r>
    <w:r w:rsidRPr="00B44BFB">
      <w:rPr>
        <w:b/>
        <w:sz w:val="18"/>
      </w:rPr>
      <w:fldChar w:fldCharType="separate"/>
    </w:r>
    <w:r w:rsidRPr="00B44BFB">
      <w:rPr>
        <w:b/>
        <w:noProof/>
        <w:sz w:val="18"/>
      </w:rPr>
      <w:t>2</w:t>
    </w:r>
    <w:r w:rsidRPr="00B44B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9B2B" w14:textId="6EEBF04E" w:rsidR="00D94B05" w:rsidRPr="0082280A" w:rsidRDefault="00B44BFB" w:rsidP="00B44BFB">
    <w:pPr>
      <w:pStyle w:val="Footer"/>
      <w:tabs>
        <w:tab w:val="left" w:pos="5775"/>
        <w:tab w:val="right" w:pos="9598"/>
        <w:tab w:val="right" w:pos="9638"/>
      </w:tabs>
      <w:rPr>
        <w:b/>
        <w:bCs/>
        <w:sz w:val="18"/>
      </w:rPr>
    </w:pPr>
    <w:r>
      <w:rPr>
        <w:b/>
        <w:sz w:val="18"/>
      </w:rPr>
      <w:tab/>
    </w:r>
    <w:r w:rsidR="006A1F80">
      <w:rPr>
        <w:b/>
        <w:sz w:val="18"/>
      </w:rPr>
      <w:tab/>
    </w:r>
    <w:r w:rsidRPr="0082280A">
      <w:rPr>
        <w:b/>
        <w:bCs/>
        <w:sz w:val="18"/>
      </w:rPr>
      <w:fldChar w:fldCharType="begin"/>
    </w:r>
    <w:r w:rsidRPr="00A87F93">
      <w:rPr>
        <w:b/>
        <w:bCs/>
        <w:sz w:val="18"/>
      </w:rPr>
      <w:instrText xml:space="preserve"> PAGE  \* MERGEFORMAT </w:instrText>
    </w:r>
    <w:r w:rsidRPr="0082280A">
      <w:rPr>
        <w:b/>
        <w:bCs/>
        <w:sz w:val="18"/>
      </w:rPr>
      <w:fldChar w:fldCharType="separate"/>
    </w:r>
    <w:r w:rsidRPr="00A87F93">
      <w:rPr>
        <w:b/>
        <w:bCs/>
        <w:noProof/>
        <w:sz w:val="18"/>
      </w:rPr>
      <w:t>3</w:t>
    </w:r>
    <w:r w:rsidRPr="008228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23AF" w14:textId="77777777" w:rsidR="00D94B05" w:rsidRPr="00B44BF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79932D0" wp14:editId="7B3F4BC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B21C" w14:textId="77777777" w:rsidR="003D6693" w:rsidRPr="00C47B2E" w:rsidRDefault="003D6693" w:rsidP="00C47B2E">
      <w:pPr>
        <w:tabs>
          <w:tab w:val="right" w:pos="2155"/>
        </w:tabs>
        <w:spacing w:after="80" w:line="240" w:lineRule="auto"/>
        <w:ind w:left="680"/>
      </w:pPr>
      <w:r>
        <w:rPr>
          <w:u w:val="single"/>
        </w:rPr>
        <w:tab/>
      </w:r>
    </w:p>
  </w:footnote>
  <w:footnote w:type="continuationSeparator" w:id="0">
    <w:p w14:paraId="2EED1405" w14:textId="77777777" w:rsidR="003D6693" w:rsidRPr="00C47B2E" w:rsidRDefault="003D6693" w:rsidP="005E716E">
      <w:pPr>
        <w:tabs>
          <w:tab w:val="right" w:pos="2155"/>
        </w:tabs>
        <w:spacing w:after="80" w:line="240" w:lineRule="auto"/>
        <w:ind w:left="680"/>
      </w:pPr>
      <w:r>
        <w:rPr>
          <w:u w:val="single"/>
        </w:rPr>
        <w:tab/>
      </w:r>
    </w:p>
  </w:footnote>
  <w:footnote w:type="continuationNotice" w:id="1">
    <w:p w14:paraId="3E39D8C6" w14:textId="77777777" w:rsidR="003D6693" w:rsidRPr="00C47B2E" w:rsidRDefault="003D6693" w:rsidP="00C47B2E">
      <w:pPr>
        <w:pStyle w:val="Footer"/>
      </w:pPr>
    </w:p>
  </w:footnote>
  <w:footnote w:id="2">
    <w:p w14:paraId="6169F06C" w14:textId="7FFCC74C" w:rsidR="00B44BFB" w:rsidRPr="00B44BFB" w:rsidRDefault="00B44BFB">
      <w:pPr>
        <w:pStyle w:val="FootnoteText"/>
        <w:rPr>
          <w:lang w:val="fr-CH"/>
        </w:rPr>
      </w:pPr>
      <w:r>
        <w:rPr>
          <w:rStyle w:val="FootnoteReference"/>
        </w:rPr>
        <w:tab/>
      </w:r>
      <w:r w:rsidRPr="00B44BFB">
        <w:rPr>
          <w:rStyle w:val="FootnoteReference"/>
          <w:sz w:val="20"/>
          <w:vertAlign w:val="baseline"/>
        </w:rPr>
        <w:t>*</w:t>
      </w:r>
      <w:r>
        <w:rPr>
          <w:rStyle w:val="FootnoteReference"/>
          <w:sz w:val="20"/>
          <w:vertAlign w:val="baseline"/>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190D" w14:textId="656C0C19" w:rsidR="00B44BFB" w:rsidRPr="00B44BFB" w:rsidRDefault="00CA09F0">
    <w:pPr>
      <w:pStyle w:val="Header"/>
    </w:pPr>
    <w:fldSimple w:instr=" TITLE  \* MERGEFORMAT ">
      <w:r w:rsidR="000A19AF">
        <w:t>ST/SG/AC.10/C.4/2021/2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D78C" w14:textId="41DA8F02" w:rsidR="00D94B05" w:rsidRPr="00B44BFB" w:rsidRDefault="00CA09F0" w:rsidP="00B44BFB">
    <w:pPr>
      <w:pStyle w:val="Header"/>
      <w:jc w:val="right"/>
    </w:pPr>
    <w:fldSimple w:instr=" TITLE  \* MERGEFORMAT ">
      <w:r w:rsidR="000A19AF">
        <w:t>ST/SG/AC.10/C.4/2021/2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A90B" w14:textId="77777777" w:rsidR="00557C01" w:rsidRDefault="0055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81B82"/>
    <w:multiLevelType w:val="hybridMultilevel"/>
    <w:tmpl w:val="FF923DC6"/>
    <w:lvl w:ilvl="0" w:tplc="FBF80E82">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2C836156"/>
    <w:multiLevelType w:val="hybridMultilevel"/>
    <w:tmpl w:val="2188E6D2"/>
    <w:lvl w:ilvl="0" w:tplc="D8E20550">
      <w:start w:val="1"/>
      <w:numFmt w:val="lowerLetter"/>
      <w:lvlText w:val="(%1)"/>
      <w:lvlJc w:val="left"/>
      <w:pPr>
        <w:ind w:left="2271" w:hanging="570"/>
      </w:pPr>
      <w:rPr>
        <w:rFonts w:ascii="Times New Roman" w:hAnsi="Times New Roman" w:cs="Times New Roman" w:hint="default"/>
        <w:b w:val="0"/>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FB"/>
    <w:rsid w:val="00017825"/>
    <w:rsid w:val="0003799E"/>
    <w:rsid w:val="00046E92"/>
    <w:rsid w:val="0005502E"/>
    <w:rsid w:val="00063C90"/>
    <w:rsid w:val="0006553F"/>
    <w:rsid w:val="000A19AF"/>
    <w:rsid w:val="000D6FB0"/>
    <w:rsid w:val="00101B98"/>
    <w:rsid w:val="001066FB"/>
    <w:rsid w:val="001116FC"/>
    <w:rsid w:val="001514D1"/>
    <w:rsid w:val="00172CF3"/>
    <w:rsid w:val="00185E68"/>
    <w:rsid w:val="001B4B9C"/>
    <w:rsid w:val="001B4D06"/>
    <w:rsid w:val="001D3622"/>
    <w:rsid w:val="00205880"/>
    <w:rsid w:val="00207C02"/>
    <w:rsid w:val="00231A86"/>
    <w:rsid w:val="00247E2C"/>
    <w:rsid w:val="00252883"/>
    <w:rsid w:val="00267678"/>
    <w:rsid w:val="002804B3"/>
    <w:rsid w:val="002A32CB"/>
    <w:rsid w:val="002B0E6D"/>
    <w:rsid w:val="002B556D"/>
    <w:rsid w:val="002D5B2C"/>
    <w:rsid w:val="002D6C53"/>
    <w:rsid w:val="002E1B69"/>
    <w:rsid w:val="002E3F0C"/>
    <w:rsid w:val="002E5C03"/>
    <w:rsid w:val="002F4153"/>
    <w:rsid w:val="002F5595"/>
    <w:rsid w:val="0030193D"/>
    <w:rsid w:val="00327073"/>
    <w:rsid w:val="003324AC"/>
    <w:rsid w:val="00334F6A"/>
    <w:rsid w:val="00335822"/>
    <w:rsid w:val="00342AC8"/>
    <w:rsid w:val="00343302"/>
    <w:rsid w:val="003439F6"/>
    <w:rsid w:val="003563BE"/>
    <w:rsid w:val="00365014"/>
    <w:rsid w:val="00370A21"/>
    <w:rsid w:val="00375D26"/>
    <w:rsid w:val="0038160D"/>
    <w:rsid w:val="00391C3D"/>
    <w:rsid w:val="003979DE"/>
    <w:rsid w:val="003B4550"/>
    <w:rsid w:val="003D2A18"/>
    <w:rsid w:val="003D404B"/>
    <w:rsid w:val="003D6693"/>
    <w:rsid w:val="00403755"/>
    <w:rsid w:val="00413386"/>
    <w:rsid w:val="004218E9"/>
    <w:rsid w:val="00423F58"/>
    <w:rsid w:val="00447F93"/>
    <w:rsid w:val="00461253"/>
    <w:rsid w:val="004627C0"/>
    <w:rsid w:val="00463DF8"/>
    <w:rsid w:val="004741FA"/>
    <w:rsid w:val="004858F5"/>
    <w:rsid w:val="004A2814"/>
    <w:rsid w:val="004A2C63"/>
    <w:rsid w:val="004C0622"/>
    <w:rsid w:val="004E575F"/>
    <w:rsid w:val="004F1CAC"/>
    <w:rsid w:val="005042C2"/>
    <w:rsid w:val="005335FF"/>
    <w:rsid w:val="00551FD8"/>
    <w:rsid w:val="00552AC9"/>
    <w:rsid w:val="00557C01"/>
    <w:rsid w:val="005620F0"/>
    <w:rsid w:val="005B1C46"/>
    <w:rsid w:val="005B73B7"/>
    <w:rsid w:val="005B78F6"/>
    <w:rsid w:val="005C7735"/>
    <w:rsid w:val="005E716E"/>
    <w:rsid w:val="005F43F6"/>
    <w:rsid w:val="006024DB"/>
    <w:rsid w:val="006363F5"/>
    <w:rsid w:val="006476E1"/>
    <w:rsid w:val="006534E4"/>
    <w:rsid w:val="0065525F"/>
    <w:rsid w:val="00657743"/>
    <w:rsid w:val="006604DF"/>
    <w:rsid w:val="006679DA"/>
    <w:rsid w:val="00671529"/>
    <w:rsid w:val="006A1F80"/>
    <w:rsid w:val="006A378D"/>
    <w:rsid w:val="006D7CB4"/>
    <w:rsid w:val="0070489D"/>
    <w:rsid w:val="007268F9"/>
    <w:rsid w:val="007362F3"/>
    <w:rsid w:val="00750282"/>
    <w:rsid w:val="007568AC"/>
    <w:rsid w:val="00764440"/>
    <w:rsid w:val="0077101B"/>
    <w:rsid w:val="007A180D"/>
    <w:rsid w:val="007A1810"/>
    <w:rsid w:val="007A7890"/>
    <w:rsid w:val="007B70FD"/>
    <w:rsid w:val="007C52B0"/>
    <w:rsid w:val="007C6033"/>
    <w:rsid w:val="007D5E5E"/>
    <w:rsid w:val="007F7DA9"/>
    <w:rsid w:val="008147C8"/>
    <w:rsid w:val="0081753A"/>
    <w:rsid w:val="0082280A"/>
    <w:rsid w:val="00857D23"/>
    <w:rsid w:val="00875EAD"/>
    <w:rsid w:val="008828D7"/>
    <w:rsid w:val="008B6CA9"/>
    <w:rsid w:val="008C74A2"/>
    <w:rsid w:val="008F0E63"/>
    <w:rsid w:val="008F34C0"/>
    <w:rsid w:val="009011DD"/>
    <w:rsid w:val="00905308"/>
    <w:rsid w:val="0091489B"/>
    <w:rsid w:val="00930E94"/>
    <w:rsid w:val="00932B6B"/>
    <w:rsid w:val="009411B4"/>
    <w:rsid w:val="00946F1D"/>
    <w:rsid w:val="00961681"/>
    <w:rsid w:val="009619ED"/>
    <w:rsid w:val="009A415D"/>
    <w:rsid w:val="009B67EE"/>
    <w:rsid w:val="009C027C"/>
    <w:rsid w:val="009D0139"/>
    <w:rsid w:val="009D717D"/>
    <w:rsid w:val="009F0CD0"/>
    <w:rsid w:val="009F5CDC"/>
    <w:rsid w:val="009F652D"/>
    <w:rsid w:val="009F7299"/>
    <w:rsid w:val="00A03326"/>
    <w:rsid w:val="00A072D7"/>
    <w:rsid w:val="00A15904"/>
    <w:rsid w:val="00A713F7"/>
    <w:rsid w:val="00A74068"/>
    <w:rsid w:val="00A76047"/>
    <w:rsid w:val="00A775CF"/>
    <w:rsid w:val="00A87F93"/>
    <w:rsid w:val="00A927B8"/>
    <w:rsid w:val="00AB126A"/>
    <w:rsid w:val="00AD1A9C"/>
    <w:rsid w:val="00AE4A0D"/>
    <w:rsid w:val="00AF5DE1"/>
    <w:rsid w:val="00AF73B2"/>
    <w:rsid w:val="00B06045"/>
    <w:rsid w:val="00B206DD"/>
    <w:rsid w:val="00B41AE8"/>
    <w:rsid w:val="00B44BFB"/>
    <w:rsid w:val="00B52EF4"/>
    <w:rsid w:val="00B75F1E"/>
    <w:rsid w:val="00B777AD"/>
    <w:rsid w:val="00B926EB"/>
    <w:rsid w:val="00BA594A"/>
    <w:rsid w:val="00BD674F"/>
    <w:rsid w:val="00C00471"/>
    <w:rsid w:val="00C01393"/>
    <w:rsid w:val="00C03015"/>
    <w:rsid w:val="00C0358D"/>
    <w:rsid w:val="00C14F30"/>
    <w:rsid w:val="00C354C6"/>
    <w:rsid w:val="00C35A27"/>
    <w:rsid w:val="00C47B2E"/>
    <w:rsid w:val="00C56B5C"/>
    <w:rsid w:val="00C64629"/>
    <w:rsid w:val="00C80E13"/>
    <w:rsid w:val="00CA09F0"/>
    <w:rsid w:val="00D2718A"/>
    <w:rsid w:val="00D42FBC"/>
    <w:rsid w:val="00D63CD2"/>
    <w:rsid w:val="00D726E8"/>
    <w:rsid w:val="00D87DC2"/>
    <w:rsid w:val="00D9396F"/>
    <w:rsid w:val="00D94B05"/>
    <w:rsid w:val="00DA1E3D"/>
    <w:rsid w:val="00DA55CF"/>
    <w:rsid w:val="00DF01CD"/>
    <w:rsid w:val="00DF6745"/>
    <w:rsid w:val="00E02C2B"/>
    <w:rsid w:val="00E1081B"/>
    <w:rsid w:val="00E153C4"/>
    <w:rsid w:val="00E20603"/>
    <w:rsid w:val="00E21C27"/>
    <w:rsid w:val="00E22D09"/>
    <w:rsid w:val="00E24EB4"/>
    <w:rsid w:val="00E26BCF"/>
    <w:rsid w:val="00E52109"/>
    <w:rsid w:val="00E73553"/>
    <w:rsid w:val="00E73EB1"/>
    <w:rsid w:val="00E75317"/>
    <w:rsid w:val="00E86351"/>
    <w:rsid w:val="00E9371C"/>
    <w:rsid w:val="00EA047A"/>
    <w:rsid w:val="00EB2143"/>
    <w:rsid w:val="00EC0CE6"/>
    <w:rsid w:val="00EC7C1D"/>
    <w:rsid w:val="00EC7E6C"/>
    <w:rsid w:val="00ED6C48"/>
    <w:rsid w:val="00ED7914"/>
    <w:rsid w:val="00EE2E02"/>
    <w:rsid w:val="00EE3045"/>
    <w:rsid w:val="00EE39B2"/>
    <w:rsid w:val="00F11926"/>
    <w:rsid w:val="00F51254"/>
    <w:rsid w:val="00F61F1D"/>
    <w:rsid w:val="00F65F5D"/>
    <w:rsid w:val="00F86A3A"/>
    <w:rsid w:val="00FB11BA"/>
    <w:rsid w:val="00FB47E1"/>
    <w:rsid w:val="00FD15D5"/>
    <w:rsid w:val="00FD7E22"/>
    <w:rsid w:val="00FE0D6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79461"/>
  <w15:docId w15:val="{2B37EF26-1181-4B7C-A4F3-C3A1BB5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B44BFB"/>
  </w:style>
  <w:style w:type="character" w:customStyle="1" w:styleId="HChGChar">
    <w:name w:val="_ H _Ch_G Char"/>
    <w:link w:val="HChG"/>
    <w:locked/>
    <w:rsid w:val="00B44BFB"/>
    <w:rPr>
      <w:b/>
      <w:sz w:val="28"/>
    </w:rPr>
  </w:style>
  <w:style w:type="character" w:customStyle="1" w:styleId="H1GChar">
    <w:name w:val="_ H_1_G Char"/>
    <w:link w:val="H1G"/>
    <w:locked/>
    <w:rsid w:val="00B44BFB"/>
    <w:rPr>
      <w:b/>
      <w:sz w:val="24"/>
    </w:rPr>
  </w:style>
  <w:style w:type="paragraph" w:styleId="ListParagraph">
    <w:name w:val="List Paragraph"/>
    <w:basedOn w:val="Normal"/>
    <w:uiPriority w:val="34"/>
    <w:qFormat/>
    <w:rsid w:val="00B44BFB"/>
    <w:pPr>
      <w:suppressAutoHyphens w:val="0"/>
      <w:kinsoku/>
      <w:overflowPunct/>
      <w:autoSpaceDE/>
      <w:autoSpaceDN/>
      <w:adjustRightInd/>
      <w:snapToGrid/>
      <w:spacing w:line="240" w:lineRule="auto"/>
      <w:ind w:left="720"/>
    </w:pPr>
    <w:rPr>
      <w:rFonts w:ascii="Calibri" w:eastAsiaTheme="minorHAnsi" w:hAnsi="Calibri" w:cs="Calibri"/>
      <w:sz w:val="22"/>
      <w:szCs w:val="22"/>
      <w:lang w:eastAsia="en-US"/>
    </w:rPr>
  </w:style>
  <w:style w:type="character" w:customStyle="1" w:styleId="StyleBold">
    <w:name w:val="Style Bold"/>
    <w:rsid w:val="00B44BFB"/>
    <w:rPr>
      <w:rFonts w:ascii="Times New Roman" w:hAnsi="Times New Roman" w:cs="Times New Roman" w:hint="default"/>
      <w:b/>
      <w:bCs/>
    </w:rPr>
  </w:style>
  <w:style w:type="character" w:customStyle="1" w:styleId="H23GChar">
    <w:name w:val="_ H_2/3_G Char"/>
    <w:link w:val="H23G"/>
    <w:locked/>
    <w:rsid w:val="00B44BFB"/>
    <w:rPr>
      <w:b/>
    </w:rPr>
  </w:style>
  <w:style w:type="paragraph" w:styleId="Revision">
    <w:name w:val="Revision"/>
    <w:hidden/>
    <w:uiPriority w:val="99"/>
    <w:semiHidden/>
    <w:rsid w:val="00E24EB4"/>
    <w:pPr>
      <w:spacing w:after="0" w:line="240" w:lineRule="auto"/>
    </w:pPr>
  </w:style>
  <w:style w:type="character" w:styleId="CommentReference">
    <w:name w:val="annotation reference"/>
    <w:basedOn w:val="DefaultParagraphFont"/>
    <w:uiPriority w:val="99"/>
    <w:semiHidden/>
    <w:unhideWhenUsed/>
    <w:rsid w:val="00E153C4"/>
    <w:rPr>
      <w:sz w:val="16"/>
      <w:szCs w:val="16"/>
    </w:rPr>
  </w:style>
  <w:style w:type="paragraph" w:styleId="CommentText">
    <w:name w:val="annotation text"/>
    <w:basedOn w:val="Normal"/>
    <w:link w:val="CommentTextChar"/>
    <w:uiPriority w:val="99"/>
    <w:semiHidden/>
    <w:unhideWhenUsed/>
    <w:rsid w:val="00E153C4"/>
    <w:pPr>
      <w:spacing w:line="240" w:lineRule="auto"/>
    </w:pPr>
  </w:style>
  <w:style w:type="character" w:customStyle="1" w:styleId="CommentTextChar">
    <w:name w:val="Comment Text Char"/>
    <w:basedOn w:val="DefaultParagraphFont"/>
    <w:link w:val="CommentText"/>
    <w:uiPriority w:val="99"/>
    <w:semiHidden/>
    <w:rsid w:val="00E153C4"/>
  </w:style>
  <w:style w:type="paragraph" w:styleId="CommentSubject">
    <w:name w:val="annotation subject"/>
    <w:basedOn w:val="CommentText"/>
    <w:next w:val="CommentText"/>
    <w:link w:val="CommentSubjectChar"/>
    <w:uiPriority w:val="99"/>
    <w:semiHidden/>
    <w:unhideWhenUsed/>
    <w:rsid w:val="00E153C4"/>
    <w:rPr>
      <w:b/>
      <w:bCs/>
    </w:rPr>
  </w:style>
  <w:style w:type="character" w:customStyle="1" w:styleId="CommentSubjectChar">
    <w:name w:val="Comment Subject Char"/>
    <w:basedOn w:val="CommentTextChar"/>
    <w:link w:val="CommentSubject"/>
    <w:uiPriority w:val="99"/>
    <w:semiHidden/>
    <w:rsid w:val="00E1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B31B2ED0-A694-4331-A87F-757215A3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952E9-21F2-4305-ADFB-780A54BEAA8C}">
  <ds:schemaRefs>
    <ds:schemaRef ds:uri="http://schemas.microsoft.com/sharepoint/v3/contenttype/forms"/>
  </ds:schemaRefs>
</ds:datastoreItem>
</file>

<file path=customXml/itemProps4.xml><?xml version="1.0" encoding="utf-8"?>
<ds:datastoreItem xmlns:ds="http://schemas.openxmlformats.org/officeDocument/2006/customXml" ds:itemID="{50445DFE-1166-4157-8FF8-C71A74381DA2}">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178</TotalTime>
  <Pages>5</Pages>
  <Words>2158</Words>
  <Characters>11219</Characters>
  <Application>Microsoft Office Word</Application>
  <DocSecurity>0</DocSecurity>
  <Lines>208</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ST/SG/AC.10/C.4/2021/2</dc:title>
  <dc:subject/>
  <dc:creator>Rosa Garcia-Couto</dc:creator>
  <cp:lastModifiedBy>Laurence Berthet</cp:lastModifiedBy>
  <cp:revision>149</cp:revision>
  <cp:lastPrinted>2021-04-16T08:03:00Z</cp:lastPrinted>
  <dcterms:created xsi:type="dcterms:W3CDTF">2021-04-13T13:34:00Z</dcterms:created>
  <dcterms:modified xsi:type="dcterms:W3CDTF">2021-04-16T08:03:00Z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