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709"/>
        <w:gridCol w:w="429"/>
        <w:gridCol w:w="5540"/>
        <w:gridCol w:w="2819"/>
      </w:tblGrid>
      <w:tr w:rsidR="002D5AAC" w:rsidRPr="00074E1E" w14:paraId="693ADB88" w14:textId="77777777" w:rsidTr="002A7B4A">
        <w:trPr>
          <w:trHeight w:hRule="exact" w:val="851"/>
        </w:trPr>
        <w:tc>
          <w:tcPr>
            <w:tcW w:w="142" w:type="dxa"/>
            <w:tcBorders>
              <w:bottom w:val="single" w:sz="4" w:space="0" w:color="auto"/>
            </w:tcBorders>
          </w:tcPr>
          <w:p w14:paraId="6587AE39" w14:textId="77777777" w:rsidR="002D5AAC" w:rsidRPr="008C1A9B" w:rsidRDefault="002D5AAC" w:rsidP="00B16C91">
            <w:pPr>
              <w:kinsoku w:val="0"/>
              <w:overflowPunct w:val="0"/>
              <w:autoSpaceDE w:val="0"/>
              <w:autoSpaceDN w:val="0"/>
              <w:adjustRightInd w:val="0"/>
              <w:snapToGrid w:val="0"/>
              <w:rPr>
                <w:lang w:val="fr-CH"/>
              </w:rPr>
            </w:pPr>
          </w:p>
        </w:tc>
        <w:tc>
          <w:tcPr>
            <w:tcW w:w="709" w:type="dxa"/>
            <w:tcBorders>
              <w:bottom w:val="single" w:sz="4" w:space="0" w:color="auto"/>
            </w:tcBorders>
            <w:vAlign w:val="bottom"/>
          </w:tcPr>
          <w:p w14:paraId="2133A244" w14:textId="77777777" w:rsidR="002D5AAC" w:rsidRPr="00BD33EE" w:rsidRDefault="002D5AAC" w:rsidP="002A7B4A"/>
        </w:tc>
        <w:tc>
          <w:tcPr>
            <w:tcW w:w="8788" w:type="dxa"/>
            <w:gridSpan w:val="3"/>
            <w:tcBorders>
              <w:bottom w:val="single" w:sz="4" w:space="0" w:color="auto"/>
            </w:tcBorders>
            <w:vAlign w:val="bottom"/>
          </w:tcPr>
          <w:p w14:paraId="54E4D136" w14:textId="77777777" w:rsidR="002D5AAC" w:rsidRPr="00B16C91" w:rsidRDefault="00B16C91" w:rsidP="00B16C91">
            <w:pPr>
              <w:jc w:val="right"/>
              <w:rPr>
                <w:lang w:val="en-US"/>
              </w:rPr>
            </w:pPr>
            <w:r w:rsidRPr="00B16C91">
              <w:rPr>
                <w:sz w:val="40"/>
                <w:lang w:val="en-US"/>
              </w:rPr>
              <w:t>E</w:t>
            </w:r>
            <w:r w:rsidRPr="004D5A12">
              <w:rPr>
                <w:szCs w:val="20"/>
                <w:lang w:val="en-US"/>
              </w:rPr>
              <w:t>/</w:t>
            </w:r>
            <w:r w:rsidRPr="00B16C91">
              <w:rPr>
                <w:lang w:val="en-US"/>
              </w:rPr>
              <w:t>ECE/TRANS/505/Rev.3/Add.143/Amend.1</w:t>
            </w:r>
          </w:p>
        </w:tc>
      </w:tr>
      <w:tr w:rsidR="002D5AAC" w:rsidRPr="009D084C" w14:paraId="55F18BA6" w14:textId="77777777" w:rsidTr="00426F04">
        <w:trPr>
          <w:trHeight w:hRule="exact" w:val="1715"/>
        </w:trPr>
        <w:tc>
          <w:tcPr>
            <w:tcW w:w="1280" w:type="dxa"/>
            <w:gridSpan w:val="3"/>
            <w:tcBorders>
              <w:top w:val="single" w:sz="4" w:space="0" w:color="auto"/>
              <w:bottom w:val="single" w:sz="12" w:space="0" w:color="auto"/>
            </w:tcBorders>
          </w:tcPr>
          <w:p w14:paraId="1204E539" w14:textId="77777777" w:rsidR="002D5AAC" w:rsidRPr="00B16C91" w:rsidRDefault="002D5AAC" w:rsidP="002A7B4A">
            <w:pPr>
              <w:spacing w:before="120"/>
              <w:rPr>
                <w:szCs w:val="20"/>
                <w:lang w:val="en-US"/>
              </w:rPr>
            </w:pPr>
          </w:p>
        </w:tc>
        <w:tc>
          <w:tcPr>
            <w:tcW w:w="5540" w:type="dxa"/>
            <w:tcBorders>
              <w:top w:val="single" w:sz="4" w:space="0" w:color="auto"/>
              <w:bottom w:val="single" w:sz="12" w:space="0" w:color="auto"/>
            </w:tcBorders>
          </w:tcPr>
          <w:p w14:paraId="60DA7600" w14:textId="77777777" w:rsidR="002D5AAC" w:rsidRPr="00B16C91" w:rsidRDefault="002D5AAC" w:rsidP="002A7B4A">
            <w:pPr>
              <w:spacing w:before="120" w:line="360" w:lineRule="exact"/>
              <w:rPr>
                <w:b/>
                <w:szCs w:val="20"/>
                <w:lang w:val="en-US"/>
              </w:rPr>
            </w:pPr>
          </w:p>
        </w:tc>
        <w:tc>
          <w:tcPr>
            <w:tcW w:w="2819" w:type="dxa"/>
            <w:tcBorders>
              <w:top w:val="single" w:sz="4" w:space="0" w:color="auto"/>
              <w:bottom w:val="single" w:sz="12" w:space="0" w:color="auto"/>
            </w:tcBorders>
          </w:tcPr>
          <w:p w14:paraId="37EDC3FA" w14:textId="77777777" w:rsidR="00283961" w:rsidRDefault="00283961" w:rsidP="00283961">
            <w:pPr>
              <w:spacing w:before="120"/>
              <w:rPr>
                <w:szCs w:val="20"/>
                <w:lang w:val="en-US"/>
              </w:rPr>
            </w:pPr>
          </w:p>
          <w:p w14:paraId="37842FD4" w14:textId="77777777" w:rsidR="00283961" w:rsidRDefault="00283961" w:rsidP="00283961">
            <w:pPr>
              <w:spacing w:before="120"/>
              <w:rPr>
                <w:szCs w:val="20"/>
                <w:lang w:val="en-US"/>
              </w:rPr>
            </w:pPr>
          </w:p>
          <w:p w14:paraId="652BA1F8" w14:textId="77777777" w:rsidR="00B16C91" w:rsidRPr="009D084C" w:rsidRDefault="00B16C91" w:rsidP="00283961">
            <w:pPr>
              <w:spacing w:before="120"/>
              <w:rPr>
                <w:szCs w:val="20"/>
                <w:lang w:val="en-US"/>
              </w:rPr>
            </w:pPr>
            <w:r>
              <w:rPr>
                <w:szCs w:val="20"/>
                <w:lang w:val="en-US"/>
              </w:rPr>
              <w:t xml:space="preserve">3 November 2020 </w:t>
            </w:r>
          </w:p>
        </w:tc>
      </w:tr>
    </w:tbl>
    <w:p w14:paraId="2E873001" w14:textId="77777777" w:rsidR="005149FD" w:rsidRPr="003C62C7" w:rsidRDefault="005149FD" w:rsidP="00426F04">
      <w:pPr>
        <w:pStyle w:val="HChG"/>
        <w:spacing w:before="200" w:after="0" w:line="270" w:lineRule="exact"/>
      </w:pPr>
      <w:r w:rsidRPr="00922FDB">
        <w:tab/>
      </w:r>
      <w:r w:rsidRPr="00922FDB">
        <w:tab/>
      </w:r>
      <w:r w:rsidRPr="003C62C7">
        <w:t>Соглашение</w:t>
      </w:r>
      <w:bookmarkStart w:id="0" w:name="_Toc340666199"/>
      <w:bookmarkStart w:id="1" w:name="_Toc340745062"/>
      <w:bookmarkEnd w:id="0"/>
      <w:bookmarkEnd w:id="1"/>
    </w:p>
    <w:p w14:paraId="134961E5" w14:textId="77777777" w:rsidR="005149FD" w:rsidRDefault="005149FD" w:rsidP="0040426B">
      <w:pPr>
        <w:pStyle w:val="H1G"/>
        <w:spacing w:before="160" w:after="0"/>
      </w:pPr>
      <w:r w:rsidRPr="003C62C7">
        <w:tab/>
      </w:r>
      <w:r w:rsidRPr="003C62C7">
        <w:tab/>
        <w:t>О принятии согласованных технических правил Организации Объединенных Наций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и об условиях взаимного признания официальных утверждений, выдаваемых на основе этих правил Организации Объединенных Наций</w:t>
      </w:r>
      <w:r w:rsidRPr="005149FD">
        <w:rPr>
          <w:b w:val="0"/>
          <w:bCs/>
          <w:sz w:val="20"/>
        </w:rPr>
        <w:footnoteReference w:customMarkFollows="1" w:id="1"/>
        <w:t>*</w:t>
      </w:r>
    </w:p>
    <w:p w14:paraId="013D4545" w14:textId="77777777" w:rsidR="005149FD" w:rsidRPr="00FF6645" w:rsidRDefault="005149FD" w:rsidP="00283961">
      <w:pPr>
        <w:spacing w:before="120"/>
        <w:rPr>
          <w:lang w:eastAsia="ru-RU"/>
        </w:rPr>
      </w:pPr>
      <w:r>
        <w:rPr>
          <w:lang w:eastAsia="ru-RU"/>
        </w:rPr>
        <w:tab/>
      </w:r>
      <w:r>
        <w:rPr>
          <w:lang w:eastAsia="ru-RU"/>
        </w:rPr>
        <w:tab/>
      </w:r>
      <w:r w:rsidRPr="00B634BC">
        <w:t>(Пересмотр 3, включающий поправки, вступившие в силу 14 сентября 2017 года</w:t>
      </w:r>
      <w:r w:rsidRPr="00B634BC">
        <w:rPr>
          <w:b/>
        </w:rPr>
        <w:t>)</w:t>
      </w:r>
    </w:p>
    <w:p w14:paraId="26970896" w14:textId="77777777" w:rsidR="005149FD" w:rsidRPr="004E40A9" w:rsidRDefault="005149FD" w:rsidP="00283961">
      <w:pPr>
        <w:keepNext/>
        <w:keepLines/>
        <w:tabs>
          <w:tab w:val="right" w:pos="851"/>
        </w:tabs>
        <w:spacing w:after="120" w:line="270" w:lineRule="exact"/>
        <w:jc w:val="center"/>
        <w:rPr>
          <w:b/>
          <w:sz w:val="24"/>
        </w:rPr>
      </w:pPr>
      <w:r w:rsidRPr="004E40A9">
        <w:rPr>
          <w:b/>
          <w:sz w:val="24"/>
        </w:rPr>
        <w:t>_________</w:t>
      </w:r>
    </w:p>
    <w:p w14:paraId="0B3135E4" w14:textId="77777777" w:rsidR="005149FD" w:rsidRPr="00FF6645" w:rsidRDefault="005149FD" w:rsidP="00426F04">
      <w:pPr>
        <w:pStyle w:val="H1G"/>
        <w:spacing w:before="120" w:after="120"/>
      </w:pPr>
      <w:r w:rsidRPr="004E40A9">
        <w:tab/>
      </w:r>
      <w:r w:rsidRPr="004E40A9">
        <w:tab/>
      </w:r>
      <w:r>
        <w:t>Добавление</w:t>
      </w:r>
      <w:r w:rsidRPr="00FF6645">
        <w:t xml:space="preserve"> </w:t>
      </w:r>
      <w:r w:rsidRPr="004E40A9">
        <w:t>143</w:t>
      </w:r>
      <w:r w:rsidRPr="00FF6645">
        <w:t xml:space="preserve"> </w:t>
      </w:r>
      <w:r w:rsidRPr="00074E1E">
        <w:t>—</w:t>
      </w:r>
      <w:r w:rsidRPr="00FF6645">
        <w:t xml:space="preserve"> </w:t>
      </w:r>
      <w:r>
        <w:t xml:space="preserve">Правила № </w:t>
      </w:r>
      <w:r w:rsidRPr="004E40A9">
        <w:t>144</w:t>
      </w:r>
      <w:r>
        <w:t xml:space="preserve"> ООН</w:t>
      </w:r>
    </w:p>
    <w:p w14:paraId="79ED312C" w14:textId="77777777" w:rsidR="005149FD" w:rsidRPr="004E40A9" w:rsidRDefault="005149FD" w:rsidP="00426F04">
      <w:pPr>
        <w:pStyle w:val="H1G"/>
        <w:spacing w:before="120" w:after="120"/>
      </w:pPr>
      <w:r w:rsidRPr="00FF6645">
        <w:tab/>
      </w:r>
      <w:r w:rsidRPr="00FF6645">
        <w:tab/>
      </w:r>
      <w:r>
        <w:t>Поправка</w:t>
      </w:r>
      <w:r w:rsidRPr="00FF6645">
        <w:t xml:space="preserve"> </w:t>
      </w:r>
      <w:r w:rsidRPr="004E40A9">
        <w:t>1</w:t>
      </w:r>
    </w:p>
    <w:p w14:paraId="1B84562B" w14:textId="77777777" w:rsidR="005149FD" w:rsidRPr="004E40A9" w:rsidRDefault="005149FD" w:rsidP="00426F04">
      <w:pPr>
        <w:pStyle w:val="SingleTxtG"/>
        <w:ind w:right="1089"/>
        <w:jc w:val="left"/>
        <w:rPr>
          <w:spacing w:val="-2"/>
        </w:rPr>
      </w:pPr>
      <w:r>
        <w:rPr>
          <w:spacing w:val="-2"/>
        </w:rPr>
        <w:t>Дополнение</w:t>
      </w:r>
      <w:r w:rsidRPr="004E40A9">
        <w:rPr>
          <w:spacing w:val="-2"/>
        </w:rPr>
        <w:t xml:space="preserve"> 1 </w:t>
      </w:r>
      <w:r>
        <w:rPr>
          <w:spacing w:val="-2"/>
        </w:rPr>
        <w:t>к</w:t>
      </w:r>
      <w:r w:rsidRPr="004E40A9">
        <w:rPr>
          <w:spacing w:val="-2"/>
        </w:rPr>
        <w:t xml:space="preserve"> </w:t>
      </w:r>
      <w:r>
        <w:rPr>
          <w:spacing w:val="-2"/>
        </w:rPr>
        <w:t>первоначальному</w:t>
      </w:r>
      <w:r w:rsidRPr="004E40A9">
        <w:rPr>
          <w:spacing w:val="-2"/>
        </w:rPr>
        <w:t xml:space="preserve"> </w:t>
      </w:r>
      <w:r>
        <w:rPr>
          <w:spacing w:val="-2"/>
        </w:rPr>
        <w:t>варианту</w:t>
      </w:r>
      <w:r w:rsidRPr="004E40A9">
        <w:rPr>
          <w:spacing w:val="-2"/>
        </w:rPr>
        <w:t xml:space="preserve"> </w:t>
      </w:r>
      <w:r>
        <w:rPr>
          <w:spacing w:val="-2"/>
        </w:rPr>
        <w:t>Правил</w:t>
      </w:r>
      <w:r w:rsidRPr="004E40A9">
        <w:rPr>
          <w:spacing w:val="-2"/>
        </w:rPr>
        <w:t xml:space="preserve"> </w:t>
      </w:r>
      <w:r w:rsidR="00426F04" w:rsidRPr="00426F04">
        <w:rPr>
          <w:spacing w:val="-2"/>
        </w:rPr>
        <w:t>—</w:t>
      </w:r>
      <w:r w:rsidRPr="004E40A9">
        <w:rPr>
          <w:spacing w:val="-2"/>
        </w:rPr>
        <w:t xml:space="preserve"> </w:t>
      </w:r>
      <w:r>
        <w:rPr>
          <w:spacing w:val="-2"/>
        </w:rPr>
        <w:t>Дата вступления в силу</w:t>
      </w:r>
      <w:r w:rsidRPr="004E40A9">
        <w:rPr>
          <w:spacing w:val="-2"/>
        </w:rPr>
        <w:t>: 25</w:t>
      </w:r>
      <w:r>
        <w:rPr>
          <w:spacing w:val="-2"/>
          <w:lang w:val="en-US"/>
        </w:rPr>
        <w:t> </w:t>
      </w:r>
      <w:r>
        <w:rPr>
          <w:spacing w:val="-2"/>
        </w:rPr>
        <w:t>сентября</w:t>
      </w:r>
      <w:r w:rsidRPr="004E40A9">
        <w:rPr>
          <w:spacing w:val="-2"/>
        </w:rPr>
        <w:t xml:space="preserve"> 2020</w:t>
      </w:r>
      <w:r>
        <w:rPr>
          <w:spacing w:val="-2"/>
        </w:rPr>
        <w:t xml:space="preserve"> года</w:t>
      </w:r>
    </w:p>
    <w:p w14:paraId="3EEA5E27" w14:textId="77777777" w:rsidR="005149FD" w:rsidRPr="005B74A8" w:rsidRDefault="005149FD" w:rsidP="00426F04">
      <w:pPr>
        <w:pStyle w:val="HChG"/>
        <w:keepNext w:val="0"/>
        <w:keepLines w:val="0"/>
        <w:tabs>
          <w:tab w:val="clear" w:pos="851"/>
        </w:tabs>
        <w:spacing w:before="120" w:after="0"/>
        <w:ind w:left="1559" w:hanging="425"/>
        <w:rPr>
          <w:sz w:val="24"/>
          <w:szCs w:val="18"/>
        </w:rPr>
      </w:pPr>
      <w:r>
        <w:rPr>
          <w:sz w:val="24"/>
          <w:szCs w:val="18"/>
        </w:rPr>
        <w:t>Единообразные предписания, касающиеся</w:t>
      </w:r>
      <w:r w:rsidRPr="005B74A8">
        <w:rPr>
          <w:sz w:val="24"/>
          <w:szCs w:val="18"/>
        </w:rPr>
        <w:t>:</w:t>
      </w:r>
    </w:p>
    <w:p w14:paraId="402AD04A" w14:textId="77777777" w:rsidR="005149FD" w:rsidRPr="005B74A8" w:rsidRDefault="005149FD" w:rsidP="00426F04">
      <w:pPr>
        <w:pStyle w:val="HChG"/>
        <w:keepNext w:val="0"/>
        <w:keepLines w:val="0"/>
        <w:tabs>
          <w:tab w:val="clear" w:pos="851"/>
        </w:tabs>
        <w:spacing w:before="0" w:after="0"/>
        <w:ind w:left="1559" w:hanging="425"/>
        <w:rPr>
          <w:b w:val="0"/>
          <w:bCs/>
          <w:color w:val="333333"/>
          <w:sz w:val="21"/>
          <w:szCs w:val="21"/>
        </w:rPr>
      </w:pPr>
      <w:r w:rsidRPr="00922FDB">
        <w:rPr>
          <w:sz w:val="24"/>
          <w:szCs w:val="18"/>
        </w:rPr>
        <w:t>Ia</w:t>
      </w:r>
      <w:r w:rsidRPr="00B948DB">
        <w:rPr>
          <w:sz w:val="24"/>
          <w:szCs w:val="18"/>
        </w:rPr>
        <w:t xml:space="preserve">. </w:t>
      </w:r>
      <w:r w:rsidRPr="00B948DB">
        <w:rPr>
          <w:sz w:val="24"/>
          <w:szCs w:val="18"/>
        </w:rPr>
        <w:tab/>
      </w:r>
      <w:r w:rsidRPr="005B74A8">
        <w:rPr>
          <w:color w:val="333333"/>
          <w:sz w:val="24"/>
          <w:szCs w:val="24"/>
        </w:rPr>
        <w:t>Компонентов средств вызова экстренных оперативных служб (КВЭС)</w:t>
      </w:r>
    </w:p>
    <w:p w14:paraId="458583B8" w14:textId="77777777" w:rsidR="005149FD" w:rsidRDefault="005149FD" w:rsidP="00426F04">
      <w:pPr>
        <w:pStyle w:val="HChG"/>
        <w:keepNext w:val="0"/>
        <w:keepLines w:val="0"/>
        <w:tabs>
          <w:tab w:val="clear" w:pos="851"/>
        </w:tabs>
        <w:spacing w:before="0" w:after="0"/>
        <w:ind w:left="1559" w:hanging="425"/>
        <w:rPr>
          <w:b w:val="0"/>
          <w:bCs/>
          <w:color w:val="333333"/>
          <w:sz w:val="21"/>
          <w:szCs w:val="21"/>
        </w:rPr>
      </w:pPr>
      <w:r w:rsidRPr="00922FDB">
        <w:rPr>
          <w:sz w:val="24"/>
          <w:szCs w:val="18"/>
        </w:rPr>
        <w:t>Ib</w:t>
      </w:r>
      <w:r w:rsidRPr="005B74A8">
        <w:rPr>
          <w:sz w:val="24"/>
          <w:szCs w:val="18"/>
        </w:rPr>
        <w:t xml:space="preserve">. </w:t>
      </w:r>
      <w:r w:rsidRPr="005B74A8">
        <w:rPr>
          <w:sz w:val="24"/>
          <w:szCs w:val="18"/>
        </w:rPr>
        <w:tab/>
      </w:r>
      <w:r w:rsidRPr="005B74A8">
        <w:rPr>
          <w:color w:val="333333"/>
          <w:sz w:val="24"/>
          <w:szCs w:val="24"/>
        </w:rPr>
        <w:t>Устройств вызова экстренных оперативных служб (УВЭС), которые предназначены для установки на транспортных средствах категорий M</w:t>
      </w:r>
      <w:r w:rsidRPr="005B74A8">
        <w:rPr>
          <w:color w:val="333333"/>
          <w:sz w:val="24"/>
          <w:szCs w:val="24"/>
          <w:vertAlign w:val="subscript"/>
        </w:rPr>
        <w:t>1</w:t>
      </w:r>
      <w:r w:rsidRPr="005B74A8">
        <w:rPr>
          <w:color w:val="333333"/>
          <w:sz w:val="24"/>
          <w:szCs w:val="24"/>
        </w:rPr>
        <w:t xml:space="preserve"> и N</w:t>
      </w:r>
      <w:r w:rsidRPr="005B74A8">
        <w:rPr>
          <w:color w:val="333333"/>
          <w:sz w:val="24"/>
          <w:szCs w:val="24"/>
          <w:vertAlign w:val="subscript"/>
        </w:rPr>
        <w:t>1</w:t>
      </w:r>
    </w:p>
    <w:p w14:paraId="2E1B05B5" w14:textId="77777777" w:rsidR="005149FD" w:rsidRDefault="005149FD" w:rsidP="00426F04">
      <w:pPr>
        <w:pStyle w:val="HChG"/>
        <w:keepNext w:val="0"/>
        <w:keepLines w:val="0"/>
        <w:tabs>
          <w:tab w:val="clear" w:pos="851"/>
        </w:tabs>
        <w:spacing w:before="0" w:after="0"/>
        <w:ind w:left="1559" w:hanging="425"/>
        <w:rPr>
          <w:b w:val="0"/>
          <w:bCs/>
          <w:color w:val="333333"/>
          <w:sz w:val="21"/>
          <w:szCs w:val="21"/>
        </w:rPr>
      </w:pPr>
      <w:r w:rsidRPr="00922FDB">
        <w:rPr>
          <w:bCs/>
          <w:sz w:val="24"/>
          <w:szCs w:val="24"/>
          <w:lang w:val="en-US"/>
        </w:rPr>
        <w:t>II</w:t>
      </w:r>
      <w:r w:rsidRPr="005B74A8">
        <w:rPr>
          <w:bCs/>
          <w:sz w:val="24"/>
          <w:szCs w:val="24"/>
        </w:rPr>
        <w:t xml:space="preserve">. </w:t>
      </w:r>
      <w:r w:rsidRPr="005B74A8">
        <w:rPr>
          <w:bCs/>
          <w:sz w:val="24"/>
          <w:szCs w:val="24"/>
        </w:rPr>
        <w:tab/>
      </w:r>
      <w:r w:rsidRPr="005B74A8">
        <w:rPr>
          <w:color w:val="333333"/>
          <w:sz w:val="24"/>
          <w:szCs w:val="24"/>
        </w:rPr>
        <w:t>Транспортных средств в отношении их систем вызова экстренных служб (СВЭС), когда они оснащены УВЭС официально утвержденного типа</w:t>
      </w:r>
    </w:p>
    <w:p w14:paraId="5DB6BEC1" w14:textId="77777777" w:rsidR="005149FD" w:rsidRPr="005B74A8" w:rsidRDefault="005149FD" w:rsidP="00426F04">
      <w:pPr>
        <w:pStyle w:val="HChG"/>
        <w:keepNext w:val="0"/>
        <w:keepLines w:val="0"/>
        <w:tabs>
          <w:tab w:val="clear" w:pos="851"/>
        </w:tabs>
        <w:spacing w:before="0" w:after="120" w:line="240" w:lineRule="exact"/>
        <w:ind w:left="1559" w:hanging="425"/>
        <w:rPr>
          <w:color w:val="333333"/>
          <w:sz w:val="24"/>
          <w:szCs w:val="24"/>
        </w:rPr>
      </w:pPr>
      <w:r w:rsidRPr="00922FDB">
        <w:rPr>
          <w:bCs/>
          <w:sz w:val="24"/>
          <w:szCs w:val="24"/>
          <w:lang w:val="en-US"/>
        </w:rPr>
        <w:t>III</w:t>
      </w:r>
      <w:r w:rsidRPr="005B74A8">
        <w:rPr>
          <w:bCs/>
          <w:sz w:val="24"/>
          <w:szCs w:val="24"/>
        </w:rPr>
        <w:t>.</w:t>
      </w:r>
      <w:r w:rsidRPr="005B74A8">
        <w:rPr>
          <w:bCs/>
          <w:sz w:val="24"/>
          <w:szCs w:val="24"/>
        </w:rPr>
        <w:tab/>
      </w:r>
      <w:r w:rsidRPr="005B74A8">
        <w:rPr>
          <w:color w:val="333333"/>
          <w:sz w:val="24"/>
          <w:szCs w:val="24"/>
        </w:rPr>
        <w:t>Транспортных средств в отношении их систем вызова экстренных оперативных служб (СВЭС), когда они оснащены УВЭС, которое не получило официального утверждения типа</w:t>
      </w:r>
    </w:p>
    <w:p w14:paraId="46C0CF53" w14:textId="77777777" w:rsidR="005149FD" w:rsidRPr="004E40A9" w:rsidRDefault="005149FD" w:rsidP="0040426B">
      <w:pPr>
        <w:ind w:left="1134" w:right="1134"/>
        <w:jc w:val="both"/>
        <w:rPr>
          <w:lang w:eastAsia="en-GB"/>
        </w:rPr>
      </w:pPr>
      <w:r w:rsidRPr="008E0953">
        <w:t>Настоящий документ опубликован исключительно в информационных целях. Аутентичным и юридически обязательным текстом является документ</w:t>
      </w:r>
      <w:r w:rsidRPr="004E40A9">
        <w:rPr>
          <w:lang w:eastAsia="en-GB"/>
        </w:rPr>
        <w:t xml:space="preserve">: </w:t>
      </w:r>
      <w:r w:rsidRPr="00922FDB">
        <w:rPr>
          <w:lang w:eastAsia="en-GB"/>
        </w:rPr>
        <w:t>ECE</w:t>
      </w:r>
      <w:r w:rsidRPr="004E40A9">
        <w:rPr>
          <w:lang w:eastAsia="en-GB"/>
        </w:rPr>
        <w:t>/</w:t>
      </w:r>
      <w:r w:rsidRPr="00922FDB">
        <w:rPr>
          <w:lang w:eastAsia="en-GB"/>
        </w:rPr>
        <w:t>TRANS</w:t>
      </w:r>
      <w:r w:rsidRPr="004E40A9">
        <w:rPr>
          <w:lang w:eastAsia="en-GB"/>
        </w:rPr>
        <w:t>/</w:t>
      </w:r>
      <w:r w:rsidRPr="00922FDB">
        <w:rPr>
          <w:lang w:eastAsia="en-GB"/>
        </w:rPr>
        <w:t>WP</w:t>
      </w:r>
      <w:r w:rsidRPr="004E40A9">
        <w:rPr>
          <w:lang w:eastAsia="en-GB"/>
        </w:rPr>
        <w:t>.29/2020/24.</w:t>
      </w:r>
    </w:p>
    <w:p w14:paraId="6DDE7B7E" w14:textId="77777777" w:rsidR="005149FD" w:rsidRPr="00922FDB" w:rsidRDefault="005149FD" w:rsidP="00426F04">
      <w:pPr>
        <w:suppressAutoHyphens w:val="0"/>
        <w:spacing w:line="216" w:lineRule="auto"/>
        <w:jc w:val="center"/>
        <w:rPr>
          <w:b/>
          <w:sz w:val="24"/>
        </w:rPr>
      </w:pPr>
      <w:r w:rsidRPr="00922FDB">
        <w:rPr>
          <w:b/>
          <w:noProof/>
          <w:sz w:val="24"/>
          <w:lang w:val="en-US"/>
        </w:rPr>
        <w:drawing>
          <wp:anchor distT="0" distB="137160" distL="114300" distR="114300" simplePos="0" relativeHeight="251659264" behindDoc="0" locked="0" layoutInCell="1" allowOverlap="1" wp14:anchorId="3B30745B" wp14:editId="4CEC9057">
            <wp:simplePos x="0" y="0"/>
            <wp:positionH relativeFrom="margin">
              <wp:posOffset>2725420</wp:posOffset>
            </wp:positionH>
            <wp:positionV relativeFrom="paragraph">
              <wp:posOffset>187960</wp:posOffset>
            </wp:positionV>
            <wp:extent cx="630555" cy="506095"/>
            <wp:effectExtent l="0" t="0" r="0" b="8255"/>
            <wp:wrapTopAndBottom/>
            <wp:docPr id="6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7603" r="-7603"/>
                    <a:stretch>
                      <a:fillRect/>
                    </a:stretch>
                  </pic:blipFill>
                  <pic:spPr bwMode="auto">
                    <a:xfrm>
                      <a:off x="0" y="0"/>
                      <a:ext cx="630555" cy="506095"/>
                    </a:xfrm>
                    <a:prstGeom prst="rect">
                      <a:avLst/>
                    </a:prstGeom>
                    <a:noFill/>
                  </pic:spPr>
                </pic:pic>
              </a:graphicData>
            </a:graphic>
            <wp14:sizeRelH relativeFrom="page">
              <wp14:pctWidth>0</wp14:pctWidth>
            </wp14:sizeRelH>
            <wp14:sizeRelV relativeFrom="page">
              <wp14:pctHeight>0</wp14:pctHeight>
            </wp14:sizeRelV>
          </wp:anchor>
        </w:drawing>
      </w:r>
      <w:r w:rsidRPr="00922FDB">
        <w:rPr>
          <w:b/>
          <w:sz w:val="24"/>
        </w:rPr>
        <w:t>_________</w:t>
      </w:r>
    </w:p>
    <w:p w14:paraId="0B347089" w14:textId="77777777" w:rsidR="005149FD" w:rsidRPr="00EF4C3A" w:rsidRDefault="0040426B" w:rsidP="00283961">
      <w:pPr>
        <w:ind w:left="1134" w:right="1134"/>
        <w:jc w:val="center"/>
        <w:rPr>
          <w:b/>
          <w:sz w:val="24"/>
        </w:rPr>
      </w:pPr>
      <w:r w:rsidRPr="0040426B">
        <w:rPr>
          <w:b/>
          <w:szCs w:val="20"/>
        </w:rPr>
        <w:t>ОРГАНИЗАЦИЯ ОБЪЕДИНЕННЫХ НАЦИЙ</w:t>
      </w:r>
      <w:r w:rsidR="005149FD" w:rsidRPr="00EF4C3A">
        <w:rPr>
          <w:b/>
          <w:sz w:val="24"/>
        </w:rPr>
        <w:br w:type="page"/>
      </w:r>
    </w:p>
    <w:p w14:paraId="75CDF0A3" w14:textId="77777777" w:rsidR="005149FD" w:rsidRPr="00D818EC" w:rsidRDefault="005149FD" w:rsidP="005149FD">
      <w:pPr>
        <w:pStyle w:val="SingleTxtG"/>
        <w:rPr>
          <w:i/>
          <w:lang w:eastAsia="ru-RU"/>
        </w:rPr>
      </w:pPr>
      <w:bookmarkStart w:id="3" w:name="_Toc387935149"/>
      <w:r w:rsidRPr="00D818EC">
        <w:rPr>
          <w:i/>
          <w:lang w:eastAsia="ru-RU"/>
        </w:rPr>
        <w:lastRenderedPageBreak/>
        <w:t xml:space="preserve">Пункт 7.3.11, </w:t>
      </w:r>
      <w:r w:rsidRPr="00D818EC">
        <w:rPr>
          <w:iCs/>
          <w:lang w:eastAsia="ru-RU"/>
        </w:rPr>
        <w:t>внести следующие поправки:</w:t>
      </w:r>
    </w:p>
    <w:p w14:paraId="7895983E" w14:textId="77777777" w:rsidR="005149FD" w:rsidRPr="00283961" w:rsidRDefault="005149FD" w:rsidP="005149FD">
      <w:pPr>
        <w:pStyle w:val="SingleTxtG"/>
        <w:ind w:left="2268" w:hanging="1134"/>
        <w:rPr>
          <w:bCs/>
          <w:lang w:eastAsia="ru-RU"/>
        </w:rPr>
      </w:pPr>
      <w:r w:rsidRPr="00D818EC">
        <w:rPr>
          <w:lang w:eastAsia="ru-RU"/>
        </w:rPr>
        <w:t>«7.3.11</w:t>
      </w:r>
      <w:r w:rsidRPr="00D818EC">
        <w:rPr>
          <w:lang w:eastAsia="ru-RU"/>
        </w:rPr>
        <w:tab/>
      </w:r>
      <w:r w:rsidRPr="00D818EC">
        <w:rPr>
          <w:bCs/>
          <w:lang w:eastAsia="ru-RU"/>
        </w:rPr>
        <w:t>Процедурам испытания по приложению</w:t>
      </w:r>
      <w:r w:rsidRPr="00D818EC">
        <w:rPr>
          <w:lang w:eastAsia="ru-RU"/>
        </w:rPr>
        <w:t xml:space="preserve"> 10 </w:t>
      </w:r>
      <w:r w:rsidRPr="00D818EC">
        <w:rPr>
          <w:bCs/>
          <w:lang w:eastAsia="ru-RU"/>
        </w:rPr>
        <w:t>подвергают либо блок КВЭС, включая функцию постобработки, либо непосредственно приемник ГНСС как составной элемент КВЭС»</w:t>
      </w:r>
      <w:r w:rsidR="00283961">
        <w:rPr>
          <w:bCs/>
          <w:lang w:eastAsia="ru-RU"/>
        </w:rPr>
        <w:t>.</w:t>
      </w:r>
    </w:p>
    <w:p w14:paraId="1DFE8C9E" w14:textId="77777777" w:rsidR="005149FD" w:rsidRPr="00D818EC" w:rsidRDefault="005149FD" w:rsidP="005149FD">
      <w:pPr>
        <w:pStyle w:val="SingleTxtG"/>
        <w:rPr>
          <w:lang w:eastAsia="ru-RU"/>
        </w:rPr>
      </w:pPr>
      <w:bookmarkStart w:id="4" w:name="_Toc456777141"/>
      <w:bookmarkEnd w:id="3"/>
      <w:r w:rsidRPr="00D818EC">
        <w:rPr>
          <w:i/>
          <w:lang w:eastAsia="ru-RU"/>
        </w:rPr>
        <w:t xml:space="preserve">Пункт 17.3, </w:t>
      </w:r>
      <w:r w:rsidRPr="00D818EC">
        <w:rPr>
          <w:iCs/>
          <w:lang w:eastAsia="ru-RU"/>
        </w:rPr>
        <w:t>внести следующие поправки:</w:t>
      </w:r>
    </w:p>
    <w:p w14:paraId="49655A3F" w14:textId="77777777" w:rsidR="005149FD" w:rsidRPr="00D818EC" w:rsidRDefault="005149FD" w:rsidP="00283961">
      <w:pPr>
        <w:pStyle w:val="SingleTxtG"/>
        <w:tabs>
          <w:tab w:val="clear" w:pos="1701"/>
        </w:tabs>
        <w:rPr>
          <w:b/>
          <w:lang w:eastAsia="ru-RU"/>
        </w:rPr>
      </w:pPr>
      <w:r w:rsidRPr="00D818EC">
        <w:rPr>
          <w:lang w:eastAsia="ru-RU"/>
        </w:rPr>
        <w:t>«17.3</w:t>
      </w:r>
      <w:r w:rsidRPr="00D818EC">
        <w:rPr>
          <w:lang w:eastAsia="ru-RU"/>
        </w:rPr>
        <w:tab/>
        <w:t>Определение местоположения</w:t>
      </w:r>
    </w:p>
    <w:p w14:paraId="5043FC5A" w14:textId="77777777" w:rsidR="005149FD" w:rsidRPr="00D818EC" w:rsidRDefault="005149FD" w:rsidP="005149FD">
      <w:pPr>
        <w:pStyle w:val="SingleTxtG"/>
        <w:rPr>
          <w:lang w:eastAsia="ru-RU"/>
        </w:rPr>
      </w:pPr>
      <w:r w:rsidRPr="00D818EC">
        <w:rPr>
          <w:lang w:eastAsia="ru-RU"/>
        </w:rPr>
        <w:tab/>
      </w:r>
      <w:r w:rsidRPr="00D818EC">
        <w:rPr>
          <w:lang w:eastAsia="ru-RU"/>
        </w:rPr>
        <w:tab/>
        <w:t>…</w:t>
      </w:r>
    </w:p>
    <w:p w14:paraId="5B34DDE3" w14:textId="77777777" w:rsidR="005149FD" w:rsidRPr="00D818EC" w:rsidRDefault="005149FD" w:rsidP="00283961">
      <w:pPr>
        <w:pStyle w:val="SingleTxtG"/>
        <w:tabs>
          <w:tab w:val="clear" w:pos="1701"/>
        </w:tabs>
        <w:ind w:left="2268" w:hanging="1134"/>
        <w:rPr>
          <w:lang w:eastAsia="ru-RU"/>
        </w:rPr>
      </w:pPr>
      <w:r w:rsidRPr="00D818EC">
        <w:rPr>
          <w:lang w:eastAsia="ru-RU"/>
        </w:rPr>
        <w:tab/>
        <w:t xml:space="preserve">Соответствие УВЭС требованиям, предъявляемым к определению местоположения, подтверждают путем проведения испытаний с использованием методов, описанных в приложении 10 («Методы испытания применительно к навигационным решениям»). Это указывают в пункте </w:t>
      </w:r>
      <w:r w:rsidRPr="00D818EC">
        <w:rPr>
          <w:bCs/>
          <w:lang w:eastAsia="ru-RU"/>
        </w:rPr>
        <w:t>12</w:t>
      </w:r>
      <w:r w:rsidRPr="00D818EC">
        <w:rPr>
          <w:lang w:eastAsia="ru-RU"/>
        </w:rPr>
        <w:t xml:space="preserve"> карточки сообщения, содержащейся в приложении 2»</w:t>
      </w:r>
      <w:bookmarkEnd w:id="4"/>
      <w:r w:rsidR="005917D6">
        <w:rPr>
          <w:lang w:eastAsia="ru-RU"/>
        </w:rPr>
        <w:t>.</w:t>
      </w:r>
    </w:p>
    <w:p w14:paraId="16313B76" w14:textId="77777777" w:rsidR="005149FD" w:rsidRPr="00D818EC" w:rsidRDefault="005149FD" w:rsidP="005149FD">
      <w:pPr>
        <w:pStyle w:val="SingleTxtG"/>
        <w:rPr>
          <w:i/>
          <w:lang w:eastAsia="ru-RU"/>
        </w:rPr>
      </w:pPr>
      <w:r w:rsidRPr="00D818EC">
        <w:rPr>
          <w:i/>
          <w:lang w:eastAsia="ru-RU"/>
        </w:rPr>
        <w:t xml:space="preserve">Пункт 17.5, </w:t>
      </w:r>
      <w:r w:rsidRPr="00D818EC">
        <w:rPr>
          <w:iCs/>
          <w:lang w:eastAsia="ru-RU"/>
        </w:rPr>
        <w:t>внести следующие поправки:</w:t>
      </w:r>
    </w:p>
    <w:p w14:paraId="79C2EA37" w14:textId="77777777" w:rsidR="005149FD" w:rsidRPr="00D818EC" w:rsidRDefault="005149FD" w:rsidP="005917D6">
      <w:pPr>
        <w:pStyle w:val="SingleTxtG"/>
        <w:tabs>
          <w:tab w:val="clear" w:pos="1701"/>
        </w:tabs>
        <w:rPr>
          <w:lang w:eastAsia="ru-RU"/>
        </w:rPr>
      </w:pPr>
      <w:r w:rsidRPr="00D818EC">
        <w:rPr>
          <w:lang w:eastAsia="ru-RU"/>
        </w:rPr>
        <w:t>«17.5</w:t>
      </w:r>
      <w:r w:rsidRPr="00D818EC">
        <w:rPr>
          <w:lang w:eastAsia="ru-RU"/>
        </w:rPr>
        <w:tab/>
      </w:r>
      <w:r w:rsidRPr="00D818EC">
        <w:rPr>
          <w:iCs/>
          <w:lang w:eastAsia="ru-RU"/>
        </w:rPr>
        <w:t>Информационный и предупреждающий сигналы УВЭС</w:t>
      </w:r>
    </w:p>
    <w:p w14:paraId="45A043B4" w14:textId="77777777" w:rsidR="005149FD" w:rsidRPr="00D818EC" w:rsidRDefault="005149FD" w:rsidP="005917D6">
      <w:pPr>
        <w:pStyle w:val="SingleTxtG"/>
        <w:tabs>
          <w:tab w:val="clear" w:pos="1701"/>
        </w:tabs>
        <w:ind w:left="2268" w:hanging="1134"/>
        <w:rPr>
          <w:i/>
          <w:lang w:eastAsia="ru-RU"/>
        </w:rPr>
      </w:pPr>
      <w:r w:rsidRPr="00D818EC">
        <w:rPr>
          <w:lang w:eastAsia="ru-RU"/>
        </w:rPr>
        <w:tab/>
        <w:t xml:space="preserve">По просьбе подателя заявки на официальное утверждение процедура официального утверждения типа УВЭС может предусматривать проверку </w:t>
      </w:r>
      <w:r w:rsidRPr="00D818EC">
        <w:rPr>
          <w:iCs/>
          <w:lang w:eastAsia="ru-RU"/>
        </w:rPr>
        <w:t xml:space="preserve">информационных и предупреждающих сигналов УВЭС. </w:t>
      </w:r>
      <w:r w:rsidRPr="00D818EC">
        <w:rPr>
          <w:lang w:eastAsia="ru-RU"/>
        </w:rPr>
        <w:t>В</w:t>
      </w:r>
      <w:r w:rsidRPr="00A3204F">
        <w:rPr>
          <w:lang w:eastAsia="ru-RU"/>
        </w:rPr>
        <w:t> </w:t>
      </w:r>
      <w:r w:rsidRPr="00D818EC">
        <w:rPr>
          <w:lang w:eastAsia="ru-RU"/>
        </w:rPr>
        <w:t>данном случае применяют положения пунктов 17.5.1–17.5.3. Это</w:t>
      </w:r>
      <w:r>
        <w:rPr>
          <w:lang w:eastAsia="ru-RU"/>
        </w:rPr>
        <w:t> </w:t>
      </w:r>
      <w:r w:rsidRPr="00D818EC">
        <w:rPr>
          <w:lang w:eastAsia="ru-RU"/>
        </w:rPr>
        <w:t>указывают в пункте 13 карточки сообщения, содержащейся в приложении 2. Если процедурой официального утверждения УВЭС</w:t>
      </w:r>
      <w:r>
        <w:rPr>
          <w:lang w:eastAsia="ru-RU"/>
        </w:rPr>
        <w:t> </w:t>
      </w:r>
      <w:r w:rsidRPr="00D818EC">
        <w:rPr>
          <w:lang w:eastAsia="ru-RU"/>
        </w:rPr>
        <w:t xml:space="preserve">(часть </w:t>
      </w:r>
      <w:r w:rsidRPr="00A3204F">
        <w:rPr>
          <w:lang w:eastAsia="ru-RU"/>
        </w:rPr>
        <w:t>Ib</w:t>
      </w:r>
      <w:r w:rsidRPr="00D818EC">
        <w:rPr>
          <w:lang w:eastAsia="ru-RU"/>
        </w:rPr>
        <w:t xml:space="preserve">) проверка </w:t>
      </w:r>
      <w:r w:rsidRPr="00D818EC">
        <w:rPr>
          <w:iCs/>
          <w:lang w:eastAsia="ru-RU"/>
        </w:rPr>
        <w:t xml:space="preserve">информационных и предупреждающих сигналов не предусматривается, то тогда устройство подлежит </w:t>
      </w:r>
      <w:r w:rsidRPr="00D818EC">
        <w:rPr>
          <w:lang w:eastAsia="ru-RU"/>
        </w:rPr>
        <w:t>официальному утверждению</w:t>
      </w:r>
      <w:r w:rsidRPr="00D818EC">
        <w:rPr>
          <w:iCs/>
          <w:lang w:eastAsia="ru-RU"/>
        </w:rPr>
        <w:t xml:space="preserve"> на основании части </w:t>
      </w:r>
      <w:r w:rsidRPr="00A3204F">
        <w:rPr>
          <w:lang w:eastAsia="ru-RU"/>
        </w:rPr>
        <w:t>II</w:t>
      </w:r>
      <w:r w:rsidRPr="00D818EC">
        <w:rPr>
          <w:lang w:eastAsia="ru-RU"/>
        </w:rPr>
        <w:t>»</w:t>
      </w:r>
      <w:r w:rsidR="00122EE2">
        <w:rPr>
          <w:lang w:eastAsia="ru-RU"/>
        </w:rPr>
        <w:t>.</w:t>
      </w:r>
    </w:p>
    <w:p w14:paraId="305236D2" w14:textId="77777777" w:rsidR="005149FD" w:rsidRPr="00D818EC" w:rsidRDefault="005149FD" w:rsidP="005149FD">
      <w:pPr>
        <w:pStyle w:val="SingleTxtG"/>
        <w:rPr>
          <w:i/>
          <w:lang w:eastAsia="ru-RU"/>
        </w:rPr>
      </w:pPr>
      <w:r w:rsidRPr="00D818EC">
        <w:rPr>
          <w:i/>
          <w:lang w:eastAsia="ru-RU"/>
        </w:rPr>
        <w:t xml:space="preserve">Пункт 17.6.4, </w:t>
      </w:r>
      <w:r w:rsidRPr="00D818EC">
        <w:rPr>
          <w:iCs/>
          <w:lang w:eastAsia="ru-RU"/>
        </w:rPr>
        <w:t>внести следующие поправки:</w:t>
      </w:r>
    </w:p>
    <w:p w14:paraId="5D0DD561" w14:textId="77777777" w:rsidR="005149FD" w:rsidRPr="00D818EC" w:rsidRDefault="005149FD" w:rsidP="005149FD">
      <w:pPr>
        <w:pStyle w:val="SingleTxtG"/>
        <w:ind w:left="2268" w:hanging="1134"/>
        <w:rPr>
          <w:lang w:eastAsia="ru-RU"/>
        </w:rPr>
      </w:pPr>
      <w:r w:rsidRPr="00D818EC">
        <w:rPr>
          <w:lang w:eastAsia="ru-RU"/>
        </w:rPr>
        <w:t>«17.6.4</w:t>
      </w:r>
      <w:r w:rsidRPr="00D818EC">
        <w:rPr>
          <w:lang w:eastAsia="ru-RU"/>
        </w:rPr>
        <w:tab/>
        <w:t>Если УВЭС оснащено резервным источником питания, то по просьбе подателя заявки проводят проверку на предмет способности УВЭС работать автономно: вначале в течение периода времени продолжительностью не менее 5 минут в режиме голосовой связи, затем 60 минут в режиме обратного звонка (режим ожидания, регистрация в сети) и, наконец, не менее 5 минут снова в режиме голосовой связи. Это указывают в пункте 11 карточки сообщения, содержащейся в приложении 2»</w:t>
      </w:r>
      <w:r w:rsidR="00122EE2">
        <w:rPr>
          <w:lang w:eastAsia="ru-RU"/>
        </w:rPr>
        <w:t>.</w:t>
      </w:r>
    </w:p>
    <w:p w14:paraId="76BFC1D4" w14:textId="77777777" w:rsidR="005149FD" w:rsidRPr="00D818EC" w:rsidRDefault="005149FD" w:rsidP="005149FD">
      <w:pPr>
        <w:pStyle w:val="SingleTxtG"/>
        <w:rPr>
          <w:i/>
          <w:lang w:eastAsia="ru-RU"/>
        </w:rPr>
      </w:pPr>
      <w:r w:rsidRPr="00D818EC">
        <w:rPr>
          <w:i/>
          <w:lang w:eastAsia="ru-RU"/>
        </w:rPr>
        <w:t xml:space="preserve">Пункт 26.2.1.2.2, </w:t>
      </w:r>
      <w:r w:rsidRPr="00D818EC">
        <w:rPr>
          <w:iCs/>
          <w:lang w:eastAsia="ru-RU"/>
        </w:rPr>
        <w:t>внести следующие поправки:</w:t>
      </w:r>
    </w:p>
    <w:p w14:paraId="357BC8D1" w14:textId="77777777" w:rsidR="005149FD" w:rsidRPr="00D818EC" w:rsidRDefault="005149FD" w:rsidP="005149FD">
      <w:pPr>
        <w:pStyle w:val="SingleTxtG"/>
        <w:ind w:left="2268" w:hanging="1134"/>
        <w:rPr>
          <w:lang w:eastAsia="ru-RU"/>
        </w:rPr>
      </w:pPr>
      <w:r w:rsidRPr="00D818EC">
        <w:rPr>
          <w:lang w:eastAsia="ru-RU"/>
        </w:rPr>
        <w:t>«26.2.1.2.2</w:t>
      </w:r>
      <w:r w:rsidRPr="00D818EC">
        <w:rPr>
          <w:lang w:eastAsia="ru-RU"/>
        </w:rPr>
        <w:tab/>
        <w:t>в случае распространения официальных утверждений типа на основании настоящих Правил или в случае официального утверждения типов транспортных средств, которые уже были официально утверждены на основании Правил №</w:t>
      </w:r>
      <w:r w:rsidRPr="00A3204F">
        <w:rPr>
          <w:lang w:eastAsia="ru-RU"/>
        </w:rPr>
        <w:t> </w:t>
      </w:r>
      <w:r w:rsidRPr="00D818EC">
        <w:rPr>
          <w:lang w:eastAsia="ru-RU"/>
        </w:rPr>
        <w:t>94 ООН до вступления в силу настоящих Правил, с</w:t>
      </w:r>
      <w:r>
        <w:rPr>
          <w:lang w:eastAsia="ru-RU"/>
        </w:rPr>
        <w:t> </w:t>
      </w:r>
      <w:r w:rsidRPr="00D818EC">
        <w:rPr>
          <w:lang w:eastAsia="ru-RU"/>
        </w:rPr>
        <w:t>представлением имеющейся документации (протокол, фотографии, данные моделирования или эквивалентные сведения), подтверждающей, что при испытании на удар в соответствии с Правилами №</w:t>
      </w:r>
      <w:r w:rsidRPr="00A3204F">
        <w:rPr>
          <w:lang w:eastAsia="ru-RU"/>
        </w:rPr>
        <w:t> </w:t>
      </w:r>
      <w:r w:rsidRPr="00D818EC">
        <w:rPr>
          <w:lang w:eastAsia="ru-RU"/>
        </w:rPr>
        <w:t>94 ООН (лобовое столкновение):</w:t>
      </w:r>
    </w:p>
    <w:p w14:paraId="68D3DBDB" w14:textId="77777777" w:rsidR="005149FD" w:rsidRPr="00D818EC" w:rsidRDefault="005149FD" w:rsidP="005149FD">
      <w:pPr>
        <w:pStyle w:val="SingleTxtG"/>
        <w:rPr>
          <w:lang w:eastAsia="ru-RU"/>
        </w:rPr>
      </w:pPr>
      <w:r w:rsidRPr="00D818EC">
        <w:rPr>
          <w:lang w:eastAsia="ru-RU"/>
        </w:rPr>
        <w:tab/>
      </w:r>
      <w:r w:rsidRPr="00D818EC">
        <w:rPr>
          <w:lang w:eastAsia="ru-RU"/>
        </w:rPr>
        <w:tab/>
      </w:r>
      <w:r w:rsidRPr="00A3204F">
        <w:rPr>
          <w:lang w:eastAsia="ru-RU"/>
        </w:rPr>
        <w:t>a</w:t>
      </w:r>
      <w:r w:rsidRPr="00D818EC">
        <w:rPr>
          <w:lang w:eastAsia="ru-RU"/>
        </w:rPr>
        <w:t>)</w:t>
      </w:r>
      <w:r w:rsidRPr="00D818EC">
        <w:rPr>
          <w:lang w:eastAsia="ru-RU"/>
        </w:rPr>
        <w:tab/>
        <w:t>инициирующий сигнал был генерирован;</w:t>
      </w:r>
    </w:p>
    <w:p w14:paraId="22A649E9" w14:textId="77777777" w:rsidR="005149FD" w:rsidRPr="00A3204F" w:rsidRDefault="005149FD" w:rsidP="005149FD">
      <w:pPr>
        <w:pStyle w:val="SingleTxtGR"/>
        <w:suppressAutoHyphens/>
        <w:ind w:left="2835" w:hanging="1701"/>
      </w:pPr>
      <w:r>
        <w:tab/>
      </w:r>
      <w:r>
        <w:tab/>
      </w:r>
      <w:r w:rsidRPr="00A3204F">
        <w:rPr>
          <w:lang w:val="en-GB"/>
        </w:rPr>
        <w:t>b</w:t>
      </w:r>
      <w:r w:rsidRPr="00A3204F">
        <w:t>)</w:t>
      </w:r>
      <w:r w:rsidRPr="00A3204F">
        <w:tab/>
        <w:t>удар, которому подверглось транспортное средство, не повлиял отрицательным образом на функционирование установленного УВЭС»</w:t>
      </w:r>
      <w:r w:rsidR="00841582">
        <w:t>.</w:t>
      </w:r>
    </w:p>
    <w:p w14:paraId="606E31F4" w14:textId="77777777" w:rsidR="005149FD" w:rsidRPr="00D818EC" w:rsidRDefault="005149FD" w:rsidP="005149FD">
      <w:pPr>
        <w:pStyle w:val="SingleTxtG"/>
        <w:rPr>
          <w:i/>
          <w:lang w:eastAsia="ru-RU"/>
        </w:rPr>
      </w:pPr>
      <w:r w:rsidRPr="00D818EC">
        <w:rPr>
          <w:i/>
          <w:lang w:eastAsia="ru-RU"/>
        </w:rPr>
        <w:t xml:space="preserve">Пункт 26.2.1.3.2, </w:t>
      </w:r>
      <w:r w:rsidRPr="00D818EC">
        <w:rPr>
          <w:iCs/>
          <w:lang w:eastAsia="ru-RU"/>
        </w:rPr>
        <w:t>внести следующие поправки:</w:t>
      </w:r>
    </w:p>
    <w:p w14:paraId="7E7F5453" w14:textId="77777777" w:rsidR="005149FD" w:rsidRPr="00D818EC" w:rsidRDefault="005149FD" w:rsidP="005149FD">
      <w:pPr>
        <w:pStyle w:val="SingleTxtG"/>
        <w:ind w:left="2268" w:hanging="1134"/>
        <w:rPr>
          <w:lang w:eastAsia="ru-RU"/>
        </w:rPr>
      </w:pPr>
      <w:r w:rsidRPr="00D818EC">
        <w:rPr>
          <w:lang w:eastAsia="ru-RU"/>
        </w:rPr>
        <w:t>«26.2.1.3.2</w:t>
      </w:r>
      <w:r w:rsidRPr="00D818EC">
        <w:rPr>
          <w:lang w:eastAsia="ru-RU"/>
        </w:rPr>
        <w:tab/>
        <w:t>в случае распространения официальных утверждений типа на основании настоящих Правил или в случае официального утверждения типов транспортных средств, которые уже были официально утверждены на основании Правил №</w:t>
      </w:r>
      <w:r w:rsidRPr="00A3204F">
        <w:rPr>
          <w:lang w:eastAsia="ru-RU"/>
        </w:rPr>
        <w:t> </w:t>
      </w:r>
      <w:r w:rsidRPr="00D818EC">
        <w:rPr>
          <w:lang w:eastAsia="ru-RU"/>
        </w:rPr>
        <w:t>95 ООН до вступления в силу настоящих Правил, с</w:t>
      </w:r>
      <w:r>
        <w:rPr>
          <w:lang w:eastAsia="ru-RU"/>
        </w:rPr>
        <w:t> </w:t>
      </w:r>
      <w:r w:rsidRPr="00D818EC">
        <w:rPr>
          <w:lang w:eastAsia="ru-RU"/>
        </w:rPr>
        <w:t xml:space="preserve">представлением имеющейся документации (протокол, фотографии, </w:t>
      </w:r>
      <w:r w:rsidRPr="00D818EC">
        <w:rPr>
          <w:lang w:eastAsia="ru-RU"/>
        </w:rPr>
        <w:lastRenderedPageBreak/>
        <w:t>данные моделирования или эквивалентные сведения), подтверждающей, что при испытании на удар в соответствии с Правилами №</w:t>
      </w:r>
      <w:r w:rsidRPr="00A3204F">
        <w:rPr>
          <w:lang w:eastAsia="ru-RU"/>
        </w:rPr>
        <w:t> </w:t>
      </w:r>
      <w:r w:rsidRPr="00D818EC">
        <w:rPr>
          <w:lang w:eastAsia="ru-RU"/>
        </w:rPr>
        <w:t>95 ООН (боковое столкновение):</w:t>
      </w:r>
    </w:p>
    <w:p w14:paraId="75D2E990" w14:textId="77777777" w:rsidR="005149FD" w:rsidRPr="00A3204F" w:rsidRDefault="005149FD" w:rsidP="005149FD">
      <w:pPr>
        <w:pStyle w:val="SingleTxtGR"/>
        <w:suppressAutoHyphens/>
        <w:ind w:left="2835" w:hanging="1701"/>
        <w:rPr>
          <w:lang w:eastAsia="ru-RU"/>
        </w:rPr>
      </w:pPr>
      <w:r w:rsidRPr="00A3204F">
        <w:rPr>
          <w:lang w:eastAsia="ru-RU"/>
        </w:rPr>
        <w:tab/>
      </w:r>
      <w:r>
        <w:rPr>
          <w:lang w:eastAsia="ru-RU"/>
        </w:rPr>
        <w:tab/>
      </w:r>
      <w:r w:rsidRPr="00A3204F">
        <w:rPr>
          <w:lang w:val="en-GB" w:eastAsia="ru-RU"/>
        </w:rPr>
        <w:t>a</w:t>
      </w:r>
      <w:r w:rsidRPr="00A3204F">
        <w:rPr>
          <w:lang w:eastAsia="ru-RU"/>
        </w:rPr>
        <w:t>)</w:t>
      </w:r>
      <w:r w:rsidRPr="00A3204F">
        <w:rPr>
          <w:lang w:eastAsia="ru-RU"/>
        </w:rPr>
        <w:tab/>
      </w:r>
      <w:r w:rsidRPr="00A3204F">
        <w:t>инициирующий</w:t>
      </w:r>
      <w:r w:rsidRPr="00A3204F">
        <w:rPr>
          <w:lang w:eastAsia="ru-RU"/>
        </w:rPr>
        <w:t xml:space="preserve"> сигнал был генерирован;</w:t>
      </w:r>
    </w:p>
    <w:p w14:paraId="37572B6E" w14:textId="77777777" w:rsidR="005149FD" w:rsidRPr="00A3204F" w:rsidRDefault="005149FD" w:rsidP="005149FD">
      <w:pPr>
        <w:pStyle w:val="SingleTxtGR"/>
        <w:suppressAutoHyphens/>
        <w:ind w:left="2835" w:hanging="1701"/>
        <w:rPr>
          <w:lang w:eastAsia="ru-RU"/>
        </w:rPr>
      </w:pPr>
      <w:r w:rsidRPr="00A3204F">
        <w:rPr>
          <w:lang w:eastAsia="ru-RU"/>
        </w:rPr>
        <w:tab/>
      </w:r>
      <w:r>
        <w:rPr>
          <w:lang w:eastAsia="ru-RU"/>
        </w:rPr>
        <w:tab/>
      </w:r>
      <w:r w:rsidRPr="00A3204F">
        <w:rPr>
          <w:lang w:val="en-GB" w:eastAsia="ru-RU"/>
        </w:rPr>
        <w:t>b</w:t>
      </w:r>
      <w:r w:rsidRPr="00A3204F">
        <w:rPr>
          <w:lang w:eastAsia="ru-RU"/>
        </w:rPr>
        <w:t>)</w:t>
      </w:r>
      <w:r w:rsidRPr="00A3204F">
        <w:rPr>
          <w:lang w:eastAsia="ru-RU"/>
        </w:rPr>
        <w:tab/>
        <w:t xml:space="preserve">удар, </w:t>
      </w:r>
      <w:r w:rsidRPr="00A3204F">
        <w:t>которому</w:t>
      </w:r>
      <w:r w:rsidRPr="00A3204F">
        <w:rPr>
          <w:lang w:eastAsia="ru-RU"/>
        </w:rPr>
        <w:t xml:space="preserve"> подверглось транспортное средство, не повлиял отрицательным образом на функционирование установленного УВЭС»</w:t>
      </w:r>
      <w:r w:rsidR="005615F3">
        <w:rPr>
          <w:lang w:eastAsia="ru-RU"/>
        </w:rPr>
        <w:t>.</w:t>
      </w:r>
    </w:p>
    <w:p w14:paraId="2629E704" w14:textId="77777777" w:rsidR="005149FD" w:rsidRPr="00D818EC" w:rsidRDefault="005149FD" w:rsidP="005149FD">
      <w:pPr>
        <w:pStyle w:val="SingleTxtG"/>
        <w:rPr>
          <w:i/>
          <w:lang w:eastAsia="ru-RU"/>
        </w:rPr>
      </w:pPr>
      <w:r w:rsidRPr="00D818EC">
        <w:rPr>
          <w:i/>
          <w:lang w:eastAsia="ru-RU"/>
        </w:rPr>
        <w:t xml:space="preserve">Пункт 26.2.2.1.2, </w:t>
      </w:r>
      <w:r w:rsidRPr="00D818EC">
        <w:rPr>
          <w:iCs/>
          <w:lang w:eastAsia="ru-RU"/>
        </w:rPr>
        <w:t>внести следующие поправки:</w:t>
      </w:r>
    </w:p>
    <w:p w14:paraId="309045F1" w14:textId="77777777" w:rsidR="005149FD" w:rsidRPr="00D818EC" w:rsidRDefault="005149FD" w:rsidP="005149FD">
      <w:pPr>
        <w:pStyle w:val="SingleTxtG"/>
        <w:ind w:left="2268" w:hanging="1134"/>
        <w:rPr>
          <w:lang w:eastAsia="ru-RU"/>
        </w:rPr>
      </w:pPr>
      <w:r w:rsidRPr="00D818EC">
        <w:rPr>
          <w:lang w:eastAsia="ru-RU"/>
        </w:rPr>
        <w:t>«26.2.2.1.2</w:t>
      </w:r>
      <w:r w:rsidRPr="00D818EC">
        <w:rPr>
          <w:lang w:eastAsia="ru-RU"/>
        </w:rPr>
        <w:tab/>
        <w:t>в случае распространения официальных утверждений типа на основании настоящих Правил или в случае официального утверждения типов транспортных средств, которые уже были официально утверждены на основании Правил №</w:t>
      </w:r>
      <w:r w:rsidRPr="00A3204F">
        <w:rPr>
          <w:lang w:eastAsia="ru-RU"/>
        </w:rPr>
        <w:t> </w:t>
      </w:r>
      <w:r w:rsidRPr="00D818EC">
        <w:rPr>
          <w:lang w:eastAsia="ru-RU"/>
        </w:rPr>
        <w:t>95 ООН до вступления в силу настоящих Правил, с</w:t>
      </w:r>
      <w:r>
        <w:rPr>
          <w:lang w:eastAsia="ru-RU"/>
        </w:rPr>
        <w:t> </w:t>
      </w:r>
      <w:r w:rsidRPr="00D818EC">
        <w:rPr>
          <w:lang w:eastAsia="ru-RU"/>
        </w:rPr>
        <w:t>представлением имеющейся документации (протокол, фотографии, данные моделирования или эквивалентные сведения), подтверждающей, что при испытании в соответствии с Правилами №</w:t>
      </w:r>
      <w:r w:rsidRPr="00A3204F">
        <w:rPr>
          <w:lang w:eastAsia="ru-RU"/>
        </w:rPr>
        <w:t> </w:t>
      </w:r>
      <w:r w:rsidRPr="00D818EC">
        <w:rPr>
          <w:lang w:eastAsia="ru-RU"/>
        </w:rPr>
        <w:t>95 ООН (боковое столкновение):</w:t>
      </w:r>
    </w:p>
    <w:p w14:paraId="29D7FEF3" w14:textId="77777777" w:rsidR="005149FD" w:rsidRPr="00A3204F" w:rsidRDefault="005149FD" w:rsidP="005149FD">
      <w:pPr>
        <w:pStyle w:val="SingleTxtGR"/>
        <w:suppressAutoHyphens/>
        <w:ind w:left="2835" w:hanging="1701"/>
        <w:rPr>
          <w:lang w:eastAsia="ru-RU"/>
        </w:rPr>
      </w:pPr>
      <w:r w:rsidRPr="00A3204F">
        <w:rPr>
          <w:lang w:eastAsia="ru-RU"/>
        </w:rPr>
        <w:tab/>
      </w:r>
      <w:r>
        <w:rPr>
          <w:lang w:eastAsia="ru-RU"/>
        </w:rPr>
        <w:tab/>
      </w:r>
      <w:r w:rsidRPr="00A3204F">
        <w:rPr>
          <w:lang w:val="en-GB" w:eastAsia="ru-RU"/>
        </w:rPr>
        <w:t>a</w:t>
      </w:r>
      <w:r w:rsidRPr="00A3204F">
        <w:rPr>
          <w:lang w:eastAsia="ru-RU"/>
        </w:rPr>
        <w:t>)</w:t>
      </w:r>
      <w:r w:rsidRPr="00A3204F">
        <w:rPr>
          <w:lang w:eastAsia="ru-RU"/>
        </w:rPr>
        <w:tab/>
        <w:t>инициирующий сигнал был генерирован;</w:t>
      </w:r>
    </w:p>
    <w:p w14:paraId="5E5C864B" w14:textId="77777777" w:rsidR="005149FD" w:rsidRPr="00A3204F" w:rsidRDefault="005149FD" w:rsidP="005149FD">
      <w:pPr>
        <w:pStyle w:val="SingleTxtGR"/>
        <w:suppressAutoHyphens/>
        <w:ind w:left="2835" w:hanging="1701"/>
        <w:rPr>
          <w:b/>
          <w:i/>
          <w:lang w:eastAsia="ru-RU"/>
        </w:rPr>
      </w:pPr>
      <w:r w:rsidRPr="00A3204F">
        <w:rPr>
          <w:lang w:eastAsia="ru-RU"/>
        </w:rPr>
        <w:tab/>
      </w:r>
      <w:r>
        <w:rPr>
          <w:lang w:eastAsia="ru-RU"/>
        </w:rPr>
        <w:tab/>
      </w:r>
      <w:r w:rsidRPr="00A3204F">
        <w:rPr>
          <w:lang w:val="en-GB" w:eastAsia="ru-RU"/>
        </w:rPr>
        <w:t>b</w:t>
      </w:r>
      <w:r w:rsidRPr="00A3204F">
        <w:rPr>
          <w:lang w:eastAsia="ru-RU"/>
        </w:rPr>
        <w:t>)</w:t>
      </w:r>
      <w:r w:rsidRPr="00A3204F">
        <w:rPr>
          <w:lang w:eastAsia="ru-RU"/>
        </w:rPr>
        <w:tab/>
        <w:t>удар, которому подверглось транспортное средство, не повлиял отрицательным образом на функционирование установленного УВЭС»</w:t>
      </w:r>
      <w:r w:rsidR="005F3B9E">
        <w:rPr>
          <w:lang w:eastAsia="ru-RU"/>
        </w:rPr>
        <w:t>.</w:t>
      </w:r>
    </w:p>
    <w:p w14:paraId="1E98D92B" w14:textId="77777777" w:rsidR="005149FD" w:rsidRPr="00D818EC" w:rsidRDefault="005149FD" w:rsidP="005149FD">
      <w:pPr>
        <w:pStyle w:val="SingleTxtG"/>
        <w:rPr>
          <w:i/>
          <w:lang w:eastAsia="ru-RU"/>
        </w:rPr>
      </w:pPr>
      <w:r w:rsidRPr="00D818EC">
        <w:rPr>
          <w:i/>
          <w:lang w:eastAsia="ru-RU"/>
        </w:rPr>
        <w:t xml:space="preserve">Пункт 26.3 </w:t>
      </w:r>
      <w:r w:rsidRPr="00D818EC">
        <w:rPr>
          <w:iCs/>
          <w:lang w:eastAsia="ru-RU"/>
        </w:rPr>
        <w:t>внести следующие поправки:</w:t>
      </w:r>
    </w:p>
    <w:p w14:paraId="68D00C01" w14:textId="77777777" w:rsidR="005149FD" w:rsidRPr="00D818EC" w:rsidRDefault="005149FD" w:rsidP="005149FD">
      <w:pPr>
        <w:pStyle w:val="SingleTxtG"/>
        <w:rPr>
          <w:lang w:eastAsia="ru-RU"/>
        </w:rPr>
      </w:pPr>
      <w:r w:rsidRPr="00D818EC">
        <w:rPr>
          <w:lang w:eastAsia="ru-RU"/>
        </w:rPr>
        <w:t>«26.3</w:t>
      </w:r>
      <w:r w:rsidRPr="00D818EC">
        <w:rPr>
          <w:lang w:eastAsia="ru-RU"/>
        </w:rPr>
        <w:tab/>
      </w:r>
      <w:r w:rsidRPr="00D818EC">
        <w:rPr>
          <w:lang w:eastAsia="ru-RU"/>
        </w:rPr>
        <w:tab/>
        <w:t>Определение местоположения</w:t>
      </w:r>
    </w:p>
    <w:p w14:paraId="106963D9" w14:textId="77777777" w:rsidR="005149FD" w:rsidRPr="00D818EC" w:rsidRDefault="005149FD" w:rsidP="005149FD">
      <w:pPr>
        <w:pStyle w:val="SingleTxtG"/>
        <w:rPr>
          <w:bCs/>
          <w:lang w:eastAsia="ru-RU"/>
        </w:rPr>
      </w:pPr>
      <w:r w:rsidRPr="00D818EC">
        <w:rPr>
          <w:lang w:eastAsia="ru-RU"/>
        </w:rPr>
        <w:tab/>
      </w:r>
      <w:r w:rsidRPr="00D818EC">
        <w:rPr>
          <w:lang w:eastAsia="ru-RU"/>
        </w:rPr>
        <w:tab/>
        <w:t>…</w:t>
      </w:r>
    </w:p>
    <w:p w14:paraId="36283B5F" w14:textId="77777777" w:rsidR="005149FD" w:rsidRPr="00D818EC" w:rsidRDefault="005149FD" w:rsidP="005F3B9E">
      <w:pPr>
        <w:pStyle w:val="SingleTxtG"/>
        <w:tabs>
          <w:tab w:val="clear" w:pos="1701"/>
        </w:tabs>
        <w:ind w:left="2268" w:hanging="1134"/>
        <w:rPr>
          <w:bCs/>
          <w:lang w:eastAsia="ru-RU"/>
        </w:rPr>
      </w:pPr>
      <w:r w:rsidRPr="00D818EC">
        <w:rPr>
          <w:bCs/>
          <w:lang w:eastAsia="ru-RU"/>
        </w:rPr>
        <w:tab/>
        <w:t xml:space="preserve">Соответствие СВЭС требованиям, предъявляемым к определению местоположения, подтверждают путем проведения испытаний с использованием методов, описанных в приложении 10 («Методы испытания применительно к навигационным решениям»). Это указывают в пункте </w:t>
      </w:r>
      <w:r w:rsidRPr="00D818EC">
        <w:rPr>
          <w:lang w:eastAsia="ru-RU"/>
        </w:rPr>
        <w:t>10</w:t>
      </w:r>
      <w:r w:rsidRPr="00D818EC">
        <w:rPr>
          <w:bCs/>
          <w:lang w:eastAsia="ru-RU"/>
        </w:rPr>
        <w:t xml:space="preserve"> карточки сообщения, содержащейся в приложении 3.</w:t>
      </w:r>
    </w:p>
    <w:p w14:paraId="407A868D" w14:textId="77777777" w:rsidR="005149FD" w:rsidRPr="00D818EC" w:rsidRDefault="005149FD" w:rsidP="005F3B9E">
      <w:pPr>
        <w:pStyle w:val="SingleTxtG"/>
        <w:tabs>
          <w:tab w:val="clear" w:pos="1701"/>
        </w:tabs>
        <w:ind w:left="2268" w:hanging="1134"/>
        <w:rPr>
          <w:lang w:eastAsia="ru-RU"/>
        </w:rPr>
      </w:pPr>
      <w:r w:rsidRPr="00D818EC">
        <w:rPr>
          <w:bCs/>
          <w:lang w:eastAsia="ru-RU"/>
        </w:rPr>
        <w:t>26.3.1</w:t>
      </w:r>
      <w:r w:rsidRPr="00D818EC">
        <w:rPr>
          <w:bCs/>
          <w:lang w:eastAsia="ru-RU"/>
        </w:rPr>
        <w:tab/>
        <w:t>СВЭС должна обеспечивать возможность получен</w:t>
      </w:r>
      <w:r w:rsidRPr="00D818EC">
        <w:rPr>
          <w:lang w:eastAsia="ru-RU"/>
        </w:rPr>
        <w:t xml:space="preserve">ия навигационного решения в формате протокола </w:t>
      </w:r>
      <w:r w:rsidRPr="00A3204F">
        <w:rPr>
          <w:lang w:eastAsia="ru-RU"/>
        </w:rPr>
        <w:t>NMEA</w:t>
      </w:r>
      <w:r w:rsidRPr="00D818EC">
        <w:rPr>
          <w:lang w:eastAsia="ru-RU"/>
        </w:rPr>
        <w:t xml:space="preserve">-0183 (сообщения </w:t>
      </w:r>
      <w:r w:rsidRPr="00A3204F">
        <w:rPr>
          <w:lang w:eastAsia="ru-RU"/>
        </w:rPr>
        <w:t>RMC</w:t>
      </w:r>
      <w:r w:rsidRPr="00D818EC">
        <w:rPr>
          <w:lang w:eastAsia="ru-RU"/>
        </w:rPr>
        <w:t xml:space="preserve">, </w:t>
      </w:r>
      <w:r w:rsidRPr="00A3204F">
        <w:rPr>
          <w:lang w:eastAsia="ru-RU"/>
        </w:rPr>
        <w:t>GGA</w:t>
      </w:r>
      <w:r w:rsidRPr="00D818EC">
        <w:rPr>
          <w:lang w:eastAsia="ru-RU"/>
        </w:rPr>
        <w:t xml:space="preserve">, </w:t>
      </w:r>
      <w:r w:rsidRPr="00A3204F">
        <w:rPr>
          <w:lang w:eastAsia="ru-RU"/>
        </w:rPr>
        <w:t>VTG</w:t>
      </w:r>
      <w:r w:rsidRPr="00D818EC">
        <w:rPr>
          <w:lang w:eastAsia="ru-RU"/>
        </w:rPr>
        <w:t xml:space="preserve">, </w:t>
      </w:r>
      <w:r w:rsidRPr="00A3204F">
        <w:rPr>
          <w:lang w:eastAsia="ru-RU"/>
        </w:rPr>
        <w:t>GSA</w:t>
      </w:r>
      <w:r w:rsidRPr="00D818EC">
        <w:rPr>
          <w:lang w:eastAsia="ru-RU"/>
        </w:rPr>
        <w:t xml:space="preserve"> и </w:t>
      </w:r>
      <w:r w:rsidRPr="00A3204F">
        <w:rPr>
          <w:lang w:eastAsia="ru-RU"/>
        </w:rPr>
        <w:t>GSV</w:t>
      </w:r>
      <w:r w:rsidRPr="00D818EC">
        <w:rPr>
          <w:lang w:eastAsia="ru-RU"/>
        </w:rPr>
        <w:t xml:space="preserve">). Описание порядка настройки СВЭС на вывод сообщений </w:t>
      </w:r>
      <w:r w:rsidRPr="00A3204F">
        <w:rPr>
          <w:lang w:eastAsia="ru-RU"/>
        </w:rPr>
        <w:t>NMEA</w:t>
      </w:r>
      <w:r w:rsidRPr="00D818EC">
        <w:rPr>
          <w:lang w:eastAsia="ru-RU"/>
        </w:rPr>
        <w:t>-0183 на внешние устройства приводится в руководстве по эксплуатации»</w:t>
      </w:r>
      <w:r w:rsidR="005F3B9E">
        <w:rPr>
          <w:lang w:eastAsia="ru-RU"/>
        </w:rPr>
        <w:t>.</w:t>
      </w:r>
    </w:p>
    <w:p w14:paraId="37889D4C" w14:textId="77777777" w:rsidR="005149FD" w:rsidRPr="00D818EC" w:rsidRDefault="005149FD" w:rsidP="005149FD">
      <w:pPr>
        <w:pStyle w:val="SingleTxtG"/>
        <w:rPr>
          <w:i/>
          <w:lang w:eastAsia="ru-RU"/>
        </w:rPr>
      </w:pPr>
      <w:r w:rsidRPr="00D818EC">
        <w:rPr>
          <w:i/>
          <w:lang w:eastAsia="ru-RU"/>
        </w:rPr>
        <w:t xml:space="preserve">Пункт 26.5.3 </w:t>
      </w:r>
      <w:r w:rsidRPr="00D818EC">
        <w:rPr>
          <w:lang w:eastAsia="ru-RU"/>
        </w:rPr>
        <w:t>внести следующие поправки</w:t>
      </w:r>
      <w:r w:rsidRPr="00D818EC">
        <w:rPr>
          <w:i/>
          <w:lang w:eastAsia="ru-RU"/>
        </w:rPr>
        <w:t>:</w:t>
      </w:r>
    </w:p>
    <w:p w14:paraId="0F0750CB" w14:textId="77777777" w:rsidR="005149FD" w:rsidRPr="00D818EC" w:rsidRDefault="005149FD" w:rsidP="005149FD">
      <w:pPr>
        <w:pStyle w:val="SingleTxtG"/>
        <w:ind w:left="2268" w:hanging="1134"/>
        <w:rPr>
          <w:iCs/>
          <w:lang w:eastAsia="ru-RU"/>
        </w:rPr>
      </w:pPr>
      <w:r w:rsidRPr="00D818EC">
        <w:rPr>
          <w:lang w:eastAsia="ru-RU"/>
        </w:rPr>
        <w:t>«26.5.3</w:t>
      </w:r>
      <w:r w:rsidRPr="00D818EC">
        <w:rPr>
          <w:lang w:eastAsia="ru-RU"/>
        </w:rPr>
        <w:tab/>
      </w:r>
      <w:r w:rsidRPr="00D818EC">
        <w:rPr>
          <w:iCs/>
          <w:lang w:eastAsia="ru-RU"/>
        </w:rPr>
        <w:t>Диагностический</w:t>
      </w:r>
      <w:r w:rsidRPr="00D818EC">
        <w:rPr>
          <w:lang w:eastAsia="ru-RU"/>
        </w:rPr>
        <w:t xml:space="preserve"> </w:t>
      </w:r>
      <w:r w:rsidRPr="00D818EC">
        <w:rPr>
          <w:iCs/>
          <w:lang w:eastAsia="ru-RU"/>
        </w:rPr>
        <w:t xml:space="preserve">предупреждающий сигнал подается в случае </w:t>
      </w:r>
      <w:r w:rsidRPr="00D818EC">
        <w:rPr>
          <w:lang w:eastAsia="ru-RU"/>
        </w:rPr>
        <w:t>внутреннего отказа</w:t>
      </w:r>
      <w:r w:rsidRPr="00D818EC">
        <w:rPr>
          <w:iCs/>
          <w:lang w:eastAsia="ru-RU"/>
        </w:rPr>
        <w:t xml:space="preserve"> С</w:t>
      </w:r>
      <w:r w:rsidRPr="00D818EC">
        <w:rPr>
          <w:lang w:eastAsia="ru-RU"/>
        </w:rPr>
        <w:t xml:space="preserve">ВЭС. Визуальный индикатор неисправности </w:t>
      </w:r>
      <w:r w:rsidRPr="00D818EC">
        <w:rPr>
          <w:iCs/>
          <w:lang w:eastAsia="ru-RU"/>
        </w:rPr>
        <w:t>С</w:t>
      </w:r>
      <w:r w:rsidRPr="00D818EC">
        <w:rPr>
          <w:lang w:eastAsia="ru-RU"/>
        </w:rPr>
        <w:t>ВЭС</w:t>
      </w:r>
      <w:r w:rsidRPr="00D818EC">
        <w:rPr>
          <w:iCs/>
          <w:lang w:eastAsia="ru-RU"/>
        </w:rPr>
        <w:t xml:space="preserve"> не должен гаснуть, пока сохраняется сбой. Он может на время отключаться, однако должен вновь загораться всякий раз, когда включается зажигание или активируется функция центрального управления транспортным средством (в зависимости от того, что применимо)»</w:t>
      </w:r>
      <w:r w:rsidR="005F3B9E">
        <w:rPr>
          <w:iCs/>
          <w:lang w:eastAsia="ru-RU"/>
        </w:rPr>
        <w:t>.</w:t>
      </w:r>
    </w:p>
    <w:p w14:paraId="26B3299B" w14:textId="77777777" w:rsidR="005149FD" w:rsidRPr="00D818EC" w:rsidRDefault="005149FD" w:rsidP="005149FD">
      <w:pPr>
        <w:pStyle w:val="SingleTxtG"/>
        <w:ind w:left="2268" w:hanging="1134"/>
        <w:rPr>
          <w:lang w:eastAsia="ru-RU"/>
        </w:rPr>
      </w:pPr>
      <w:r w:rsidRPr="00D818EC">
        <w:rPr>
          <w:i/>
          <w:lang w:eastAsia="ru-RU"/>
        </w:rPr>
        <w:t>Пункт 26.7.2.3,</w:t>
      </w:r>
      <w:r w:rsidRPr="00D818EC">
        <w:rPr>
          <w:lang w:eastAsia="ru-RU"/>
        </w:rPr>
        <w:t xml:space="preserve"> внести следующие поправки:</w:t>
      </w:r>
    </w:p>
    <w:p w14:paraId="424FD914" w14:textId="77777777" w:rsidR="005149FD" w:rsidRPr="00D818EC" w:rsidRDefault="005149FD" w:rsidP="005149FD">
      <w:pPr>
        <w:pStyle w:val="SingleTxtG"/>
        <w:ind w:left="2268" w:hanging="1134"/>
        <w:rPr>
          <w:lang w:eastAsia="ru-RU"/>
        </w:rPr>
      </w:pPr>
      <w:r w:rsidRPr="00D818EC">
        <w:rPr>
          <w:lang w:eastAsia="ru-RU"/>
        </w:rPr>
        <w:t>«26.7.2.3</w:t>
      </w:r>
      <w:r w:rsidRPr="00D818EC">
        <w:rPr>
          <w:lang w:eastAsia="ru-RU"/>
        </w:rPr>
        <w:tab/>
      </w:r>
      <w:r w:rsidRPr="00D818EC">
        <w:t>После испытания на удар согласно Правилам №</w:t>
      </w:r>
      <w:r w:rsidRPr="002E4EE5">
        <w:t> </w:t>
      </w:r>
      <w:r w:rsidRPr="00D818EC">
        <w:t xml:space="preserve">94 ООН и/или </w:t>
      </w:r>
      <w:r w:rsidR="00B31849">
        <w:br/>
      </w:r>
      <w:r w:rsidRPr="00D818EC">
        <w:t>Правилам №</w:t>
      </w:r>
      <w:r w:rsidRPr="002E4EE5">
        <w:t> </w:t>
      </w:r>
      <w:r w:rsidRPr="00D818EC">
        <w:t>95 ООН (в</w:t>
      </w:r>
      <w:r w:rsidRPr="002E4EE5">
        <w:t> </w:t>
      </w:r>
      <w:r w:rsidRPr="00D818EC">
        <w:t>зависимости от конкретного случая) резервный источник питания СВЭС должен обеспечивать подачу электропитания на СВЭС. Это можно проверить при помощи одного из методов, описанных в приложении 11 к настоящим Правилам»</w:t>
      </w:r>
      <w:r w:rsidR="00B31849">
        <w:t>.</w:t>
      </w:r>
    </w:p>
    <w:p w14:paraId="0C47AFD5" w14:textId="77777777" w:rsidR="005149FD" w:rsidRPr="00D818EC" w:rsidRDefault="005149FD" w:rsidP="005149FD">
      <w:pPr>
        <w:pStyle w:val="SingleTxtG"/>
        <w:keepNext/>
        <w:keepLines/>
        <w:rPr>
          <w:i/>
          <w:lang w:eastAsia="ru-RU"/>
        </w:rPr>
      </w:pPr>
      <w:r w:rsidRPr="00D818EC">
        <w:rPr>
          <w:i/>
          <w:lang w:eastAsia="ru-RU"/>
        </w:rPr>
        <w:t xml:space="preserve">Пункт 34.1, </w:t>
      </w:r>
      <w:r w:rsidRPr="00D818EC">
        <w:rPr>
          <w:iCs/>
          <w:lang w:eastAsia="ru-RU"/>
        </w:rPr>
        <w:t>внести следующие поправки:</w:t>
      </w:r>
    </w:p>
    <w:p w14:paraId="35313082" w14:textId="77777777" w:rsidR="005149FD" w:rsidRPr="00D818EC" w:rsidRDefault="005149FD" w:rsidP="00277B4D">
      <w:pPr>
        <w:pStyle w:val="SingleTxtG"/>
        <w:tabs>
          <w:tab w:val="clear" w:pos="1701"/>
        </w:tabs>
        <w:ind w:left="2268" w:hanging="1134"/>
        <w:rPr>
          <w:lang w:eastAsia="ru-RU"/>
        </w:rPr>
      </w:pPr>
      <w:r w:rsidRPr="00D818EC">
        <w:rPr>
          <w:lang w:eastAsia="ru-RU"/>
        </w:rPr>
        <w:t>«34.1</w:t>
      </w:r>
      <w:r w:rsidRPr="00D818EC">
        <w:rPr>
          <w:lang w:eastAsia="ru-RU"/>
        </w:rPr>
        <w:tab/>
        <w:t xml:space="preserve">Если тип транспортного средства, представленный на официальное утверждение в соответствии с пунктом 33 выше, отвечает требованиям пункта 35 настоящих Правил, то его считают официально утвержденным. </w:t>
      </w:r>
    </w:p>
    <w:p w14:paraId="3B1EB28F" w14:textId="77777777" w:rsidR="005149FD" w:rsidRPr="00D818EC" w:rsidRDefault="005149FD" w:rsidP="00277B4D">
      <w:pPr>
        <w:pStyle w:val="SingleTxtG"/>
        <w:tabs>
          <w:tab w:val="clear" w:pos="1701"/>
        </w:tabs>
        <w:ind w:left="2268" w:hanging="1134"/>
        <w:rPr>
          <w:lang w:eastAsia="ru-RU"/>
        </w:rPr>
      </w:pPr>
      <w:r w:rsidRPr="00D818EC">
        <w:rPr>
          <w:lang w:eastAsia="ru-RU"/>
        </w:rPr>
        <w:lastRenderedPageBreak/>
        <w:tab/>
        <w:t>Перед предоставлением официального утверждения соответствующему типу транспортного средства компетентный орган должен удостовериться, что все компоненты, перечисленные в пункте 35.10.1, были подвергнуты испытанию по приложению 9. Если подачу электропитания на СВЭС обеспечивает источник питания, кроме резервного источника питания, указанного в пункте 35.10.2, то этот источник питания также подвергают испытанию в соответствии с приложением 9 к настоящим Правилам»</w:t>
      </w:r>
      <w:r w:rsidR="00277B4D">
        <w:rPr>
          <w:lang w:eastAsia="ru-RU"/>
        </w:rPr>
        <w:t>.</w:t>
      </w:r>
    </w:p>
    <w:p w14:paraId="23B4EECB" w14:textId="77777777" w:rsidR="005149FD" w:rsidRPr="00B948DB" w:rsidRDefault="005149FD" w:rsidP="005149FD">
      <w:pPr>
        <w:pStyle w:val="SingleTxtG"/>
        <w:rPr>
          <w:i/>
          <w:lang w:eastAsia="ru-RU"/>
        </w:rPr>
      </w:pPr>
      <w:r w:rsidRPr="00B948DB">
        <w:rPr>
          <w:i/>
          <w:lang w:eastAsia="ru-RU"/>
        </w:rPr>
        <w:t xml:space="preserve">Пункт 35.5.1.2.2, </w:t>
      </w:r>
      <w:r w:rsidRPr="00B948DB">
        <w:rPr>
          <w:lang w:eastAsia="ru-RU"/>
        </w:rPr>
        <w:t>внести следующие поправки</w:t>
      </w:r>
      <w:r w:rsidRPr="00277B4D">
        <w:rPr>
          <w:iCs/>
          <w:lang w:eastAsia="ru-RU"/>
        </w:rPr>
        <w:t>:</w:t>
      </w:r>
    </w:p>
    <w:p w14:paraId="6F39A93A" w14:textId="77777777" w:rsidR="005149FD" w:rsidRPr="00D818EC" w:rsidRDefault="005149FD" w:rsidP="005149FD">
      <w:pPr>
        <w:pStyle w:val="SingleTxtG"/>
        <w:ind w:left="2268" w:hanging="1134"/>
        <w:rPr>
          <w:lang w:eastAsia="ru-RU"/>
        </w:rPr>
      </w:pPr>
      <w:r w:rsidRPr="00D818EC">
        <w:rPr>
          <w:lang w:eastAsia="ru-RU"/>
        </w:rPr>
        <w:t>«35.5.1.2.2</w:t>
      </w:r>
      <w:r w:rsidRPr="00D818EC">
        <w:rPr>
          <w:lang w:eastAsia="ru-RU"/>
        </w:rPr>
        <w:tab/>
        <w:t>в случае распространения официальных утверждений типа на основании настоящих Правил или в случае официального утверждения типов транспортных средств, которые уже были официально утверждены на основании Правил №</w:t>
      </w:r>
      <w:r w:rsidRPr="00A3204F">
        <w:rPr>
          <w:lang w:eastAsia="ru-RU"/>
        </w:rPr>
        <w:t> </w:t>
      </w:r>
      <w:r w:rsidRPr="00D818EC">
        <w:rPr>
          <w:lang w:eastAsia="ru-RU"/>
        </w:rPr>
        <w:t>94 ООН до вступления в силу настоящих Правил, с</w:t>
      </w:r>
      <w:r>
        <w:rPr>
          <w:lang w:eastAsia="ru-RU"/>
        </w:rPr>
        <w:t> </w:t>
      </w:r>
      <w:r w:rsidRPr="00D818EC">
        <w:rPr>
          <w:lang w:eastAsia="ru-RU"/>
        </w:rPr>
        <w:t>представлением имеющейся документации (протокол, фотографии, данные моделирования или эквивалентные сведения), подтверждающей, что при испытании на удар в соответствии с Правилами №</w:t>
      </w:r>
      <w:r w:rsidRPr="00A3204F">
        <w:rPr>
          <w:lang w:eastAsia="ru-RU"/>
        </w:rPr>
        <w:t> </w:t>
      </w:r>
      <w:r w:rsidRPr="00D818EC">
        <w:rPr>
          <w:lang w:eastAsia="ru-RU"/>
        </w:rPr>
        <w:t>94 ООН (лобовое столкновение):</w:t>
      </w:r>
    </w:p>
    <w:p w14:paraId="121DFADA" w14:textId="77777777" w:rsidR="005149FD" w:rsidRPr="00A3204F" w:rsidRDefault="005149FD" w:rsidP="005149FD">
      <w:pPr>
        <w:pStyle w:val="SingleTxtGR"/>
        <w:suppressAutoHyphens/>
        <w:ind w:left="2835" w:hanging="1701"/>
        <w:rPr>
          <w:lang w:eastAsia="ru-RU"/>
        </w:rPr>
      </w:pPr>
      <w:r w:rsidRPr="00A3204F">
        <w:rPr>
          <w:lang w:eastAsia="ru-RU"/>
        </w:rPr>
        <w:tab/>
      </w:r>
      <w:r>
        <w:rPr>
          <w:lang w:eastAsia="ru-RU"/>
        </w:rPr>
        <w:tab/>
      </w:r>
      <w:r w:rsidRPr="00A3204F">
        <w:rPr>
          <w:lang w:val="en-GB" w:eastAsia="ru-RU"/>
        </w:rPr>
        <w:t>a</w:t>
      </w:r>
      <w:r w:rsidRPr="00A3204F">
        <w:rPr>
          <w:lang w:eastAsia="ru-RU"/>
        </w:rPr>
        <w:t>)</w:t>
      </w:r>
      <w:r w:rsidRPr="00A3204F">
        <w:rPr>
          <w:lang w:eastAsia="ru-RU"/>
        </w:rPr>
        <w:tab/>
      </w:r>
      <w:r w:rsidRPr="00A3204F">
        <w:t>инициирующий</w:t>
      </w:r>
      <w:r w:rsidRPr="00A3204F">
        <w:rPr>
          <w:lang w:eastAsia="ru-RU"/>
        </w:rPr>
        <w:t xml:space="preserve"> сигнал был генерирован;</w:t>
      </w:r>
    </w:p>
    <w:p w14:paraId="232D3C83" w14:textId="77777777" w:rsidR="005149FD" w:rsidRPr="00A3204F" w:rsidRDefault="005149FD" w:rsidP="005149FD">
      <w:pPr>
        <w:pStyle w:val="SingleTxtGR"/>
        <w:suppressAutoHyphens/>
        <w:ind w:left="2835" w:hanging="1701"/>
        <w:rPr>
          <w:lang w:eastAsia="ru-RU"/>
        </w:rPr>
      </w:pPr>
      <w:r w:rsidRPr="00A3204F">
        <w:rPr>
          <w:lang w:eastAsia="ru-RU"/>
        </w:rPr>
        <w:tab/>
      </w:r>
      <w:r>
        <w:rPr>
          <w:lang w:eastAsia="ru-RU"/>
        </w:rPr>
        <w:tab/>
      </w:r>
      <w:r w:rsidRPr="00A3204F">
        <w:rPr>
          <w:lang w:val="en-GB" w:eastAsia="ru-RU"/>
        </w:rPr>
        <w:t>b</w:t>
      </w:r>
      <w:r w:rsidRPr="00A3204F">
        <w:rPr>
          <w:lang w:eastAsia="ru-RU"/>
        </w:rPr>
        <w:t>)</w:t>
      </w:r>
      <w:r w:rsidRPr="00A3204F">
        <w:rPr>
          <w:lang w:eastAsia="ru-RU"/>
        </w:rPr>
        <w:tab/>
        <w:t xml:space="preserve">удар, которому подверглось транспортное средство, не повлиял отрицательным образом на </w:t>
      </w:r>
      <w:r w:rsidRPr="00A3204F">
        <w:t>функционирование</w:t>
      </w:r>
      <w:r w:rsidRPr="00A3204F">
        <w:rPr>
          <w:lang w:eastAsia="ru-RU"/>
        </w:rPr>
        <w:t xml:space="preserve"> установленной СВЭС»</w:t>
      </w:r>
      <w:r w:rsidR="007F7AC2">
        <w:rPr>
          <w:lang w:eastAsia="ru-RU"/>
        </w:rPr>
        <w:t>.</w:t>
      </w:r>
    </w:p>
    <w:p w14:paraId="197733BA" w14:textId="77777777" w:rsidR="005149FD" w:rsidRPr="00D818EC" w:rsidRDefault="005149FD" w:rsidP="005149FD">
      <w:pPr>
        <w:pStyle w:val="SingleTxtG"/>
        <w:rPr>
          <w:i/>
          <w:lang w:eastAsia="ru-RU"/>
        </w:rPr>
      </w:pPr>
      <w:r w:rsidRPr="00D818EC">
        <w:rPr>
          <w:i/>
          <w:lang w:eastAsia="ru-RU"/>
        </w:rPr>
        <w:t xml:space="preserve">Пункт 35.5.1.3.2, </w:t>
      </w:r>
      <w:r w:rsidRPr="00D818EC">
        <w:rPr>
          <w:iCs/>
          <w:lang w:eastAsia="ru-RU"/>
        </w:rPr>
        <w:t>внести следующие поправки:</w:t>
      </w:r>
    </w:p>
    <w:p w14:paraId="0D081AA6" w14:textId="77777777" w:rsidR="005149FD" w:rsidRPr="00D818EC" w:rsidRDefault="005149FD" w:rsidP="005149FD">
      <w:pPr>
        <w:pStyle w:val="SingleTxtG"/>
        <w:ind w:left="2268" w:hanging="1134"/>
        <w:rPr>
          <w:lang w:eastAsia="ru-RU"/>
        </w:rPr>
      </w:pPr>
      <w:r w:rsidRPr="00D818EC">
        <w:rPr>
          <w:lang w:eastAsia="ru-RU"/>
        </w:rPr>
        <w:t>«35.5.1.3.2</w:t>
      </w:r>
      <w:r w:rsidRPr="00D818EC">
        <w:rPr>
          <w:lang w:eastAsia="ru-RU"/>
        </w:rPr>
        <w:tab/>
        <w:t>в случае распространения официальных утверждений типа на основании настоящих Правил или в случае официального утверждения типов транспортных средств, которые уже были официально утверждены на основании Правил №</w:t>
      </w:r>
      <w:r w:rsidRPr="00A3204F">
        <w:rPr>
          <w:lang w:eastAsia="ru-RU"/>
        </w:rPr>
        <w:t> </w:t>
      </w:r>
      <w:r w:rsidRPr="00D818EC">
        <w:rPr>
          <w:lang w:eastAsia="ru-RU"/>
        </w:rPr>
        <w:t>95 ООН до вступления в силу настоящих Правил, с</w:t>
      </w:r>
      <w:r>
        <w:rPr>
          <w:lang w:eastAsia="ru-RU"/>
        </w:rPr>
        <w:t> </w:t>
      </w:r>
      <w:r w:rsidRPr="00D818EC">
        <w:rPr>
          <w:lang w:eastAsia="ru-RU"/>
        </w:rPr>
        <w:t>представлением имеющейся документации (протокол, фотографии, данные моделирования или эквивалентные сведения), подтверждающей, что при испытании на удар в соответствии с Правилами №</w:t>
      </w:r>
      <w:r w:rsidRPr="00A3204F">
        <w:rPr>
          <w:lang w:eastAsia="ru-RU"/>
        </w:rPr>
        <w:t> </w:t>
      </w:r>
      <w:r w:rsidRPr="00D818EC">
        <w:rPr>
          <w:lang w:eastAsia="ru-RU"/>
        </w:rPr>
        <w:t>95 ООН (боковое столкновение):</w:t>
      </w:r>
    </w:p>
    <w:p w14:paraId="0AF30F00" w14:textId="77777777" w:rsidR="005149FD" w:rsidRPr="00A3204F" w:rsidRDefault="005149FD" w:rsidP="005149FD">
      <w:pPr>
        <w:pStyle w:val="SingleTxtGR"/>
        <w:suppressAutoHyphens/>
        <w:ind w:left="2835" w:hanging="1701"/>
        <w:rPr>
          <w:lang w:eastAsia="ru-RU"/>
        </w:rPr>
      </w:pPr>
      <w:r w:rsidRPr="00A3204F">
        <w:rPr>
          <w:lang w:eastAsia="ru-RU"/>
        </w:rPr>
        <w:tab/>
      </w:r>
      <w:r>
        <w:rPr>
          <w:lang w:eastAsia="ru-RU"/>
        </w:rPr>
        <w:tab/>
      </w:r>
      <w:r w:rsidRPr="00A3204F">
        <w:rPr>
          <w:lang w:val="en-GB" w:eastAsia="ru-RU"/>
        </w:rPr>
        <w:t>a</w:t>
      </w:r>
      <w:r w:rsidRPr="00A3204F">
        <w:rPr>
          <w:lang w:eastAsia="ru-RU"/>
        </w:rPr>
        <w:t>)</w:t>
      </w:r>
      <w:r w:rsidRPr="00A3204F">
        <w:rPr>
          <w:lang w:eastAsia="ru-RU"/>
        </w:rPr>
        <w:tab/>
      </w:r>
      <w:r w:rsidRPr="00A3204F">
        <w:t>инициирующий</w:t>
      </w:r>
      <w:r w:rsidRPr="00A3204F">
        <w:rPr>
          <w:lang w:eastAsia="ru-RU"/>
        </w:rPr>
        <w:t xml:space="preserve"> сигнал был генерирован;</w:t>
      </w:r>
    </w:p>
    <w:p w14:paraId="29932B6C" w14:textId="77777777" w:rsidR="005149FD" w:rsidRPr="00A3204F" w:rsidRDefault="005149FD" w:rsidP="005149FD">
      <w:pPr>
        <w:pStyle w:val="SingleTxtGR"/>
        <w:suppressAutoHyphens/>
        <w:ind w:left="2835" w:hanging="1701"/>
        <w:rPr>
          <w:lang w:eastAsia="ru-RU"/>
        </w:rPr>
      </w:pPr>
      <w:r w:rsidRPr="00A3204F">
        <w:rPr>
          <w:lang w:eastAsia="ru-RU"/>
        </w:rPr>
        <w:tab/>
      </w:r>
      <w:r>
        <w:rPr>
          <w:lang w:eastAsia="ru-RU"/>
        </w:rPr>
        <w:tab/>
      </w:r>
      <w:r w:rsidRPr="00A3204F">
        <w:rPr>
          <w:lang w:val="en-GB" w:eastAsia="ru-RU"/>
        </w:rPr>
        <w:t>b</w:t>
      </w:r>
      <w:r w:rsidRPr="00A3204F">
        <w:rPr>
          <w:lang w:eastAsia="ru-RU"/>
        </w:rPr>
        <w:t>)</w:t>
      </w:r>
      <w:r w:rsidRPr="00A3204F">
        <w:rPr>
          <w:lang w:eastAsia="ru-RU"/>
        </w:rPr>
        <w:tab/>
        <w:t xml:space="preserve">удар, </w:t>
      </w:r>
      <w:r w:rsidRPr="00A3204F">
        <w:t>которому</w:t>
      </w:r>
      <w:r w:rsidRPr="00A3204F">
        <w:rPr>
          <w:lang w:eastAsia="ru-RU"/>
        </w:rPr>
        <w:t xml:space="preserve"> подверглось транспортное средство, не повлиял отрицательным образом на функционирование установленной СВЭС»</w:t>
      </w:r>
      <w:r w:rsidR="00F0614A">
        <w:rPr>
          <w:lang w:eastAsia="ru-RU"/>
        </w:rPr>
        <w:t>.</w:t>
      </w:r>
    </w:p>
    <w:p w14:paraId="0DF59F76" w14:textId="77777777" w:rsidR="005149FD" w:rsidRPr="00D818EC" w:rsidRDefault="005149FD" w:rsidP="005149FD">
      <w:pPr>
        <w:pStyle w:val="SingleTxtG"/>
        <w:rPr>
          <w:i/>
          <w:lang w:eastAsia="ru-RU"/>
        </w:rPr>
      </w:pPr>
      <w:r w:rsidRPr="00D818EC">
        <w:rPr>
          <w:i/>
          <w:lang w:eastAsia="ru-RU"/>
        </w:rPr>
        <w:t xml:space="preserve">Пункт 35.5.2.1.2, </w:t>
      </w:r>
      <w:r w:rsidRPr="00D818EC">
        <w:rPr>
          <w:iCs/>
          <w:lang w:eastAsia="ru-RU"/>
        </w:rPr>
        <w:t>внести следующие поправки:</w:t>
      </w:r>
    </w:p>
    <w:p w14:paraId="22F32173" w14:textId="77777777" w:rsidR="005149FD" w:rsidRPr="00D818EC" w:rsidRDefault="005149FD" w:rsidP="005149FD">
      <w:pPr>
        <w:pStyle w:val="SingleTxtG"/>
        <w:ind w:left="2268" w:hanging="1134"/>
        <w:rPr>
          <w:lang w:eastAsia="ru-RU"/>
        </w:rPr>
      </w:pPr>
      <w:r w:rsidRPr="00D818EC">
        <w:rPr>
          <w:lang w:eastAsia="ru-RU"/>
        </w:rPr>
        <w:t>«35.5.2.1.2</w:t>
      </w:r>
      <w:r w:rsidRPr="00D818EC">
        <w:rPr>
          <w:lang w:eastAsia="ru-RU"/>
        </w:rPr>
        <w:tab/>
        <w:t>в случае распространения официальных утверждений типа на основании настоящих Правил или в случае официального утверждения типов транспортных средств, которые уже были официально утверждены на основании Правил №</w:t>
      </w:r>
      <w:r w:rsidRPr="00A3204F">
        <w:rPr>
          <w:lang w:eastAsia="ru-RU"/>
        </w:rPr>
        <w:t> </w:t>
      </w:r>
      <w:r w:rsidRPr="00D818EC">
        <w:rPr>
          <w:lang w:eastAsia="ru-RU"/>
        </w:rPr>
        <w:t>95 ООН до вступления в силу настоящих Правил, с</w:t>
      </w:r>
      <w:r>
        <w:rPr>
          <w:lang w:eastAsia="ru-RU"/>
        </w:rPr>
        <w:t> </w:t>
      </w:r>
      <w:r w:rsidRPr="00D818EC">
        <w:rPr>
          <w:lang w:eastAsia="ru-RU"/>
        </w:rPr>
        <w:t>представлением имеющейся документации (протокол, фотографии, данные моделирования или эквивалентные сведения), подтверждающей, что при испытании в соответствии с Правилами №</w:t>
      </w:r>
      <w:r w:rsidRPr="00A3204F">
        <w:rPr>
          <w:lang w:eastAsia="ru-RU"/>
        </w:rPr>
        <w:t> </w:t>
      </w:r>
      <w:r w:rsidRPr="00D818EC">
        <w:rPr>
          <w:lang w:eastAsia="ru-RU"/>
        </w:rPr>
        <w:t>95 ООН:</w:t>
      </w:r>
    </w:p>
    <w:p w14:paraId="6456F95D" w14:textId="77777777" w:rsidR="005149FD" w:rsidRPr="00A3204F" w:rsidRDefault="005149FD" w:rsidP="005149FD">
      <w:pPr>
        <w:pStyle w:val="SingleTxtGR"/>
        <w:suppressAutoHyphens/>
        <w:ind w:left="2835" w:hanging="1701"/>
        <w:rPr>
          <w:lang w:eastAsia="ru-RU"/>
        </w:rPr>
      </w:pPr>
      <w:r w:rsidRPr="00A3204F">
        <w:rPr>
          <w:lang w:eastAsia="ru-RU"/>
        </w:rPr>
        <w:tab/>
      </w:r>
      <w:r>
        <w:rPr>
          <w:lang w:eastAsia="ru-RU"/>
        </w:rPr>
        <w:tab/>
      </w:r>
      <w:r w:rsidRPr="00A3204F">
        <w:rPr>
          <w:lang w:val="en-GB" w:eastAsia="ru-RU"/>
        </w:rPr>
        <w:t>a</w:t>
      </w:r>
      <w:r w:rsidRPr="00A3204F">
        <w:rPr>
          <w:lang w:eastAsia="ru-RU"/>
        </w:rPr>
        <w:t>)</w:t>
      </w:r>
      <w:r w:rsidRPr="00A3204F">
        <w:rPr>
          <w:lang w:eastAsia="ru-RU"/>
        </w:rPr>
        <w:tab/>
      </w:r>
      <w:r w:rsidRPr="00A3204F">
        <w:t>инициирующий</w:t>
      </w:r>
      <w:r w:rsidRPr="00A3204F">
        <w:rPr>
          <w:lang w:eastAsia="ru-RU"/>
        </w:rPr>
        <w:t xml:space="preserve"> сигнал был генерирован;</w:t>
      </w:r>
    </w:p>
    <w:p w14:paraId="77A954A6" w14:textId="77777777" w:rsidR="005149FD" w:rsidRDefault="005149FD" w:rsidP="005149FD">
      <w:pPr>
        <w:pStyle w:val="SingleTxtGR"/>
        <w:suppressAutoHyphens/>
        <w:ind w:left="2835" w:hanging="1701"/>
        <w:rPr>
          <w:lang w:eastAsia="ru-RU"/>
        </w:rPr>
      </w:pPr>
      <w:r w:rsidRPr="00D96557">
        <w:rPr>
          <w:lang w:eastAsia="ru-RU"/>
        </w:rPr>
        <w:tab/>
      </w:r>
      <w:r w:rsidRPr="00D96557">
        <w:rPr>
          <w:lang w:eastAsia="ru-RU"/>
        </w:rPr>
        <w:tab/>
      </w:r>
      <w:r w:rsidRPr="00A3204F">
        <w:rPr>
          <w:lang w:eastAsia="ru-RU"/>
        </w:rPr>
        <w:t>b</w:t>
      </w:r>
      <w:r w:rsidRPr="00D96557">
        <w:rPr>
          <w:lang w:eastAsia="ru-RU"/>
        </w:rPr>
        <w:t>)</w:t>
      </w:r>
      <w:r w:rsidRPr="00D96557">
        <w:rPr>
          <w:lang w:eastAsia="ru-RU"/>
        </w:rPr>
        <w:tab/>
        <w:t xml:space="preserve">удар, которому подверглось транспортное средство, не повлиял отрицательным образом на </w:t>
      </w:r>
      <w:r w:rsidRPr="00D96557">
        <w:t>функционирование</w:t>
      </w:r>
      <w:r w:rsidRPr="00D96557">
        <w:rPr>
          <w:lang w:eastAsia="ru-RU"/>
        </w:rPr>
        <w:t xml:space="preserve"> установленного УВЭС»</w:t>
      </w:r>
      <w:r w:rsidR="00F0614A">
        <w:rPr>
          <w:lang w:eastAsia="ru-RU"/>
        </w:rPr>
        <w:t>.</w:t>
      </w:r>
    </w:p>
    <w:p w14:paraId="36216BC7" w14:textId="77777777" w:rsidR="00381C24" w:rsidRPr="00BC18B2" w:rsidRDefault="005149FD" w:rsidP="005149FD">
      <w:pPr>
        <w:pStyle w:val="SingleTxtGR"/>
        <w:suppressAutoHyphens/>
        <w:spacing w:before="240" w:after="0"/>
        <w:ind w:left="2835"/>
        <w:jc w:val="center"/>
      </w:pPr>
      <w:r>
        <w:rPr>
          <w:u w:val="single"/>
          <w:lang w:eastAsia="ru-RU"/>
        </w:rPr>
        <w:tab/>
      </w:r>
      <w:r>
        <w:rPr>
          <w:u w:val="single"/>
          <w:lang w:eastAsia="ru-RU"/>
        </w:rPr>
        <w:tab/>
      </w:r>
      <w:r>
        <w:rPr>
          <w:u w:val="single"/>
          <w:lang w:eastAsia="ru-RU"/>
        </w:rPr>
        <w:tab/>
      </w:r>
      <w:r>
        <w:rPr>
          <w:u w:val="single"/>
          <w:lang w:eastAsia="ru-RU"/>
        </w:rPr>
        <w:tab/>
      </w:r>
    </w:p>
    <w:sectPr w:rsidR="00381C24" w:rsidRPr="00BC18B2" w:rsidSect="00B16C91">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DBC93" w14:textId="77777777" w:rsidR="00EE0E15" w:rsidRPr="00A312BC" w:rsidRDefault="00EE0E15" w:rsidP="00A312BC"/>
  </w:endnote>
  <w:endnote w:type="continuationSeparator" w:id="0">
    <w:p w14:paraId="3861A3C1" w14:textId="77777777" w:rsidR="00EE0E15" w:rsidRPr="00A312BC" w:rsidRDefault="00EE0E15"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6D92C" w14:textId="77777777" w:rsidR="00B16C91" w:rsidRPr="00B16C91" w:rsidRDefault="00B16C91">
    <w:pPr>
      <w:pStyle w:val="a8"/>
    </w:pPr>
    <w:r w:rsidRPr="00B16C91">
      <w:rPr>
        <w:b/>
        <w:sz w:val="18"/>
      </w:rPr>
      <w:fldChar w:fldCharType="begin"/>
    </w:r>
    <w:r w:rsidRPr="00B16C91">
      <w:rPr>
        <w:b/>
        <w:sz w:val="18"/>
      </w:rPr>
      <w:instrText xml:space="preserve"> PAGE  \* MERGEFORMAT </w:instrText>
    </w:r>
    <w:r w:rsidRPr="00B16C91">
      <w:rPr>
        <w:b/>
        <w:sz w:val="18"/>
      </w:rPr>
      <w:fldChar w:fldCharType="separate"/>
    </w:r>
    <w:r w:rsidRPr="00B16C91">
      <w:rPr>
        <w:b/>
        <w:noProof/>
        <w:sz w:val="18"/>
      </w:rPr>
      <w:t>2</w:t>
    </w:r>
    <w:r w:rsidRPr="00B16C91">
      <w:rPr>
        <w:b/>
        <w:sz w:val="18"/>
      </w:rPr>
      <w:fldChar w:fldCharType="end"/>
    </w:r>
    <w:r>
      <w:rPr>
        <w:b/>
        <w:sz w:val="18"/>
      </w:rPr>
      <w:tab/>
    </w:r>
    <w:r>
      <w:t>GE.20-14572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BB0E1" w14:textId="77777777" w:rsidR="00B16C91" w:rsidRPr="00B16C91" w:rsidRDefault="00B16C91" w:rsidP="00B16C91">
    <w:pPr>
      <w:pStyle w:val="a8"/>
      <w:tabs>
        <w:tab w:val="clear" w:pos="9639"/>
        <w:tab w:val="right" w:pos="9638"/>
      </w:tabs>
      <w:rPr>
        <w:b/>
        <w:sz w:val="18"/>
      </w:rPr>
    </w:pPr>
    <w:r>
      <w:t>GE.20-14572</w:t>
    </w:r>
    <w:r>
      <w:tab/>
    </w:r>
    <w:r w:rsidRPr="00B16C91">
      <w:rPr>
        <w:b/>
        <w:sz w:val="18"/>
      </w:rPr>
      <w:fldChar w:fldCharType="begin"/>
    </w:r>
    <w:r w:rsidRPr="00B16C91">
      <w:rPr>
        <w:b/>
        <w:sz w:val="18"/>
      </w:rPr>
      <w:instrText xml:space="preserve"> PAGE  \* MERGEFORMAT </w:instrText>
    </w:r>
    <w:r w:rsidRPr="00B16C91">
      <w:rPr>
        <w:b/>
        <w:sz w:val="18"/>
      </w:rPr>
      <w:fldChar w:fldCharType="separate"/>
    </w:r>
    <w:r w:rsidRPr="00B16C91">
      <w:rPr>
        <w:b/>
        <w:noProof/>
        <w:sz w:val="18"/>
      </w:rPr>
      <w:t>3</w:t>
    </w:r>
    <w:r w:rsidRPr="00B16C9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550C7" w14:textId="77777777" w:rsidR="00042B72" w:rsidRPr="005149FD" w:rsidRDefault="00B16C91" w:rsidP="00B16C91">
    <w:pPr>
      <w:spacing w:before="120" w:line="240" w:lineRule="auto"/>
      <w:rPr>
        <w:lang w:val="en-US"/>
      </w:rPr>
    </w:pPr>
    <w:r>
      <w:t>GE.</w:t>
    </w:r>
    <w:r w:rsidR="00DF71B9">
      <w:rPr>
        <w:b/>
        <w:noProof/>
        <w:lang w:val="fr-CH" w:eastAsia="fr-CH"/>
      </w:rPr>
      <w:drawing>
        <wp:anchor distT="0" distB="0" distL="114300" distR="114300" simplePos="0" relativeHeight="251658240" behindDoc="0" locked="0" layoutInCell="1" allowOverlap="1" wp14:anchorId="479BBCA0" wp14:editId="3CA012A1">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20-</w:t>
    </w:r>
    <w:proofErr w:type="gramStart"/>
    <w:r>
      <w:t>14572  (</w:t>
    </w:r>
    <w:proofErr w:type="gramEnd"/>
    <w:r>
      <w:t>R)</w:t>
    </w:r>
    <w:r>
      <w:rPr>
        <w:noProof/>
      </w:rPr>
      <w:drawing>
        <wp:anchor distT="0" distB="0" distL="114300" distR="114300" simplePos="0" relativeHeight="251659264" behindDoc="0" locked="0" layoutInCell="1" allowOverlap="1" wp14:anchorId="63F7866C" wp14:editId="29ECD891">
          <wp:simplePos x="0" y="0"/>
          <wp:positionH relativeFrom="margin">
            <wp:posOffset>5489575</wp:posOffset>
          </wp:positionH>
          <wp:positionV relativeFrom="margin">
            <wp:posOffset>8855710</wp:posOffset>
          </wp:positionV>
          <wp:extent cx="638175" cy="6381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5149FD">
      <w:rPr>
        <w:lang w:val="en-US"/>
      </w:rPr>
      <w:t xml:space="preserve">  080221  0</w:t>
    </w:r>
    <w:r w:rsidR="00074E1E">
      <w:rPr>
        <w:lang w:val="en-US"/>
      </w:rPr>
      <w:t>9</w:t>
    </w:r>
    <w:r w:rsidR="005149FD">
      <w:rPr>
        <w:lang w:val="en-US"/>
      </w:rPr>
      <w:t>0221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945A0" w14:textId="77777777" w:rsidR="00EE0E15" w:rsidRPr="001075E9" w:rsidRDefault="00EE0E15" w:rsidP="001075E9">
      <w:pPr>
        <w:tabs>
          <w:tab w:val="right" w:pos="2155"/>
        </w:tabs>
        <w:spacing w:after="80" w:line="240" w:lineRule="auto"/>
        <w:ind w:left="680"/>
        <w:rPr>
          <w:u w:val="single"/>
        </w:rPr>
      </w:pPr>
      <w:r>
        <w:rPr>
          <w:u w:val="single"/>
        </w:rPr>
        <w:tab/>
      </w:r>
    </w:p>
  </w:footnote>
  <w:footnote w:type="continuationSeparator" w:id="0">
    <w:p w14:paraId="092647ED" w14:textId="77777777" w:rsidR="00EE0E15" w:rsidRDefault="00EE0E15" w:rsidP="00407B78">
      <w:pPr>
        <w:tabs>
          <w:tab w:val="right" w:pos="2155"/>
        </w:tabs>
        <w:spacing w:after="80"/>
        <w:ind w:left="680"/>
        <w:rPr>
          <w:u w:val="single"/>
        </w:rPr>
      </w:pPr>
      <w:r>
        <w:rPr>
          <w:u w:val="single"/>
        </w:rPr>
        <w:tab/>
      </w:r>
    </w:p>
  </w:footnote>
  <w:footnote w:id="1">
    <w:p w14:paraId="7E3D0BC3" w14:textId="77777777" w:rsidR="005149FD" w:rsidRPr="006E47FC" w:rsidRDefault="005149FD" w:rsidP="005149FD">
      <w:pPr>
        <w:pStyle w:val="ad"/>
      </w:pPr>
      <w:r>
        <w:tab/>
      </w:r>
      <w:r w:rsidRPr="0040426B">
        <w:rPr>
          <w:sz w:val="20"/>
        </w:rPr>
        <w:t>*</w:t>
      </w:r>
      <w:r w:rsidRPr="006E47FC">
        <w:tab/>
        <w:t>Прежние названия Соглашения:</w:t>
      </w:r>
    </w:p>
    <w:p w14:paraId="06F936EC" w14:textId="77777777" w:rsidR="005149FD" w:rsidRPr="006E47FC" w:rsidRDefault="005149FD" w:rsidP="005149FD">
      <w:pPr>
        <w:pStyle w:val="ad"/>
        <w:rPr>
          <w:sz w:val="20"/>
        </w:rPr>
      </w:pPr>
      <w:r w:rsidRPr="006E47FC">
        <w:tab/>
      </w:r>
      <w:r w:rsidRPr="006E47FC">
        <w:tab/>
        <w:t>Соглашение о принятии единообразных условий официального утверждения и о взаимном признании официального утвер</w:t>
      </w:r>
      <w:bookmarkStart w:id="2" w:name="_GoBack"/>
      <w:bookmarkEnd w:id="2"/>
      <w:r w:rsidRPr="006E47FC">
        <w:t>ждения предметов оборудования и частей механических транспортных средств, совершено в Женеве 20 марта 1958 года (первоначальный вариант).</w:t>
      </w:r>
    </w:p>
    <w:p w14:paraId="21BCB19C" w14:textId="77777777" w:rsidR="005149FD" w:rsidRPr="006E47FC" w:rsidRDefault="005149FD" w:rsidP="005149FD">
      <w:pPr>
        <w:pStyle w:val="ad"/>
        <w:rPr>
          <w:sz w:val="12"/>
          <w:szCs w:val="12"/>
        </w:rPr>
      </w:pPr>
      <w:r w:rsidRPr="006E47FC">
        <w:tab/>
      </w:r>
      <w:r w:rsidRPr="006E47FC">
        <w:tab/>
        <w:t>Соглашение о принятии единообразных технических предписаний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и об условиях взаимного признания официальных утверждений, выдаваемых на основе этих предписаний, совершено в Женеве 5</w:t>
      </w:r>
      <w:r>
        <w:t> </w:t>
      </w:r>
      <w:r w:rsidRPr="006E47FC">
        <w:t>октября 1995 года (</w:t>
      </w:r>
      <w:r w:rsidRPr="006E47FC">
        <w:rPr>
          <w:sz w:val="12"/>
          <w:szCs w:val="12"/>
        </w:rPr>
        <w:t>П</w:t>
      </w:r>
      <w:r w:rsidRPr="006E47FC">
        <w:t>ересмотр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7C4D1" w14:textId="7B77941D" w:rsidR="00B16C91" w:rsidRPr="00B16C91" w:rsidRDefault="00B80332">
    <w:pPr>
      <w:pStyle w:val="a5"/>
    </w:pPr>
    <w:r>
      <w:fldChar w:fldCharType="begin"/>
    </w:r>
    <w:r>
      <w:instrText xml:space="preserve"> TITLE  \* MERGEFORMAT </w:instrText>
    </w:r>
    <w:r>
      <w:fldChar w:fldCharType="separate"/>
    </w:r>
    <w:r>
      <w:t>E</w:t>
    </w:r>
    <w:r w:rsidRPr="00B80332">
      <w:rPr>
        <w:lang w:val="en-US"/>
      </w:rPr>
      <w:t>/</w:t>
    </w:r>
    <w:r>
      <w:t>ECE/TRANS/505/Rev.3/Add.143/Amend.1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D4917" w14:textId="2A9E99F6" w:rsidR="00B16C91" w:rsidRPr="00B16C91" w:rsidRDefault="00B80332" w:rsidP="00B16C91">
    <w:pPr>
      <w:pStyle w:val="a5"/>
      <w:jc w:val="right"/>
    </w:pPr>
    <w:r>
      <w:fldChar w:fldCharType="begin"/>
    </w:r>
    <w:r>
      <w:instrText xml:space="preserve"> TITLE  \* MERGEFORMAT </w:instrText>
    </w:r>
    <w:r>
      <w:fldChar w:fldCharType="separate"/>
    </w:r>
    <w:r>
      <w:t>E/ECE/TRANS/505/Rev.3/Add.143/Amend.1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F26FD" w14:textId="77777777" w:rsidR="005149FD" w:rsidRDefault="005149FD" w:rsidP="005149FD">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81768B"/>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6846FC5"/>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87E2A18"/>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3"/>
  </w:num>
  <w:num w:numId="3">
    <w:abstractNumId w:val="11"/>
  </w:num>
  <w:num w:numId="4">
    <w:abstractNumId w:val="12"/>
  </w:num>
  <w:num w:numId="5">
    <w:abstractNumId w:val="10"/>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6"/>
  </w:num>
  <w:num w:numId="17">
    <w:abstractNumId w:val="14"/>
  </w:num>
  <w:num w:numId="18">
    <w:abstractNumId w:val="15"/>
  </w:num>
  <w:num w:numId="19">
    <w:abstractNumId w:val="16"/>
  </w:num>
  <w:num w:numId="20">
    <w:abstractNumId w:val="14"/>
  </w:num>
  <w:num w:numId="21">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E15"/>
    <w:rsid w:val="00033EE1"/>
    <w:rsid w:val="00042B72"/>
    <w:rsid w:val="000558BD"/>
    <w:rsid w:val="00074E1E"/>
    <w:rsid w:val="000B57E7"/>
    <w:rsid w:val="000B6373"/>
    <w:rsid w:val="000F09DF"/>
    <w:rsid w:val="000F61B2"/>
    <w:rsid w:val="000F6F41"/>
    <w:rsid w:val="001075E9"/>
    <w:rsid w:val="00122EE2"/>
    <w:rsid w:val="00180183"/>
    <w:rsid w:val="0018024D"/>
    <w:rsid w:val="0018649F"/>
    <w:rsid w:val="00196389"/>
    <w:rsid w:val="001B3EF6"/>
    <w:rsid w:val="001C7A89"/>
    <w:rsid w:val="001F49C9"/>
    <w:rsid w:val="0020092A"/>
    <w:rsid w:val="00205D9D"/>
    <w:rsid w:val="00277B4D"/>
    <w:rsid w:val="00283961"/>
    <w:rsid w:val="002A2EFC"/>
    <w:rsid w:val="002A7B4A"/>
    <w:rsid w:val="002C0E18"/>
    <w:rsid w:val="002D5AAC"/>
    <w:rsid w:val="002E5067"/>
    <w:rsid w:val="002F405F"/>
    <w:rsid w:val="002F7EEC"/>
    <w:rsid w:val="00301299"/>
    <w:rsid w:val="00307FB6"/>
    <w:rsid w:val="00317339"/>
    <w:rsid w:val="00322004"/>
    <w:rsid w:val="00330198"/>
    <w:rsid w:val="003402C2"/>
    <w:rsid w:val="00373BCE"/>
    <w:rsid w:val="00381C24"/>
    <w:rsid w:val="003958D0"/>
    <w:rsid w:val="003B00E5"/>
    <w:rsid w:val="003B658E"/>
    <w:rsid w:val="003B65A9"/>
    <w:rsid w:val="0040426B"/>
    <w:rsid w:val="00407B78"/>
    <w:rsid w:val="0041453E"/>
    <w:rsid w:val="00424203"/>
    <w:rsid w:val="00426F04"/>
    <w:rsid w:val="00452493"/>
    <w:rsid w:val="00454E07"/>
    <w:rsid w:val="00471B10"/>
    <w:rsid w:val="00472C5C"/>
    <w:rsid w:val="00491047"/>
    <w:rsid w:val="004D541E"/>
    <w:rsid w:val="004D5A12"/>
    <w:rsid w:val="0050108D"/>
    <w:rsid w:val="00513081"/>
    <w:rsid w:val="005149FD"/>
    <w:rsid w:val="00517901"/>
    <w:rsid w:val="00526683"/>
    <w:rsid w:val="00553E76"/>
    <w:rsid w:val="005615F3"/>
    <w:rsid w:val="005709E0"/>
    <w:rsid w:val="00572E19"/>
    <w:rsid w:val="005917D6"/>
    <w:rsid w:val="005961C8"/>
    <w:rsid w:val="005D7914"/>
    <w:rsid w:val="005E2B41"/>
    <w:rsid w:val="005F0B42"/>
    <w:rsid w:val="005F3B9E"/>
    <w:rsid w:val="00681A10"/>
    <w:rsid w:val="006A1ED8"/>
    <w:rsid w:val="006C2031"/>
    <w:rsid w:val="006D461A"/>
    <w:rsid w:val="006E5645"/>
    <w:rsid w:val="006F35EE"/>
    <w:rsid w:val="007021FF"/>
    <w:rsid w:val="00712895"/>
    <w:rsid w:val="00757357"/>
    <w:rsid w:val="007F7AC2"/>
    <w:rsid w:val="00825F8D"/>
    <w:rsid w:val="00834B71"/>
    <w:rsid w:val="00841582"/>
    <w:rsid w:val="0086445C"/>
    <w:rsid w:val="00870BDA"/>
    <w:rsid w:val="00894693"/>
    <w:rsid w:val="008A08D7"/>
    <w:rsid w:val="008A697B"/>
    <w:rsid w:val="008B6909"/>
    <w:rsid w:val="008C1A9B"/>
    <w:rsid w:val="00906890"/>
    <w:rsid w:val="00911BE4"/>
    <w:rsid w:val="00943923"/>
    <w:rsid w:val="00951972"/>
    <w:rsid w:val="009608F3"/>
    <w:rsid w:val="009A24AC"/>
    <w:rsid w:val="009D084C"/>
    <w:rsid w:val="009F307A"/>
    <w:rsid w:val="00A04E47"/>
    <w:rsid w:val="00A312BC"/>
    <w:rsid w:val="00A84021"/>
    <w:rsid w:val="00A84D35"/>
    <w:rsid w:val="00A917B3"/>
    <w:rsid w:val="00AB4B51"/>
    <w:rsid w:val="00AC3DF0"/>
    <w:rsid w:val="00B10CC7"/>
    <w:rsid w:val="00B16C91"/>
    <w:rsid w:val="00B31849"/>
    <w:rsid w:val="00B539E7"/>
    <w:rsid w:val="00B62458"/>
    <w:rsid w:val="00B80332"/>
    <w:rsid w:val="00BB7B85"/>
    <w:rsid w:val="00BC18B2"/>
    <w:rsid w:val="00BC4F55"/>
    <w:rsid w:val="00BD33EE"/>
    <w:rsid w:val="00C106D6"/>
    <w:rsid w:val="00C60F0C"/>
    <w:rsid w:val="00C805C9"/>
    <w:rsid w:val="00C92939"/>
    <w:rsid w:val="00CA1679"/>
    <w:rsid w:val="00CB151C"/>
    <w:rsid w:val="00CB58E1"/>
    <w:rsid w:val="00CE073C"/>
    <w:rsid w:val="00CE5A1A"/>
    <w:rsid w:val="00CF55F6"/>
    <w:rsid w:val="00D33D63"/>
    <w:rsid w:val="00D90028"/>
    <w:rsid w:val="00D90138"/>
    <w:rsid w:val="00DD4D3A"/>
    <w:rsid w:val="00DF71B9"/>
    <w:rsid w:val="00E16204"/>
    <w:rsid w:val="00E73F76"/>
    <w:rsid w:val="00E74E9E"/>
    <w:rsid w:val="00EA2C9F"/>
    <w:rsid w:val="00EB1EAF"/>
    <w:rsid w:val="00ED0BDA"/>
    <w:rsid w:val="00EE0E15"/>
    <w:rsid w:val="00EF1360"/>
    <w:rsid w:val="00EF3220"/>
    <w:rsid w:val="00F03EFE"/>
    <w:rsid w:val="00F0614A"/>
    <w:rsid w:val="00F94155"/>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CADE25"/>
  <w15:docId w15:val="{25A84F92-87DE-45EE-8F28-89053AC14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49C9"/>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BB7B85"/>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E74E9E"/>
    <w:pPr>
      <w:keepNext/>
      <w:outlineLvl w:val="1"/>
    </w:pPr>
    <w:rPr>
      <w:rFonts w:cs="Arial"/>
      <w:bCs/>
      <w:iCs/>
      <w:szCs w:val="28"/>
    </w:rPr>
  </w:style>
  <w:style w:type="paragraph" w:styleId="3">
    <w:name w:val="heading 3"/>
    <w:basedOn w:val="a"/>
    <w:next w:val="a"/>
    <w:semiHidden/>
    <w:rsid w:val="00E74E9E"/>
    <w:pPr>
      <w:keepNext/>
      <w:spacing w:before="240" w:after="60"/>
      <w:outlineLvl w:val="2"/>
    </w:pPr>
    <w:rPr>
      <w:rFonts w:ascii="Arial" w:hAnsi="Arial" w:cs="Arial"/>
      <w:b/>
      <w:bCs/>
      <w:sz w:val="26"/>
      <w:szCs w:val="26"/>
    </w:rPr>
  </w:style>
  <w:style w:type="paragraph" w:styleId="4">
    <w:name w:val="heading 4"/>
    <w:basedOn w:val="a"/>
    <w:next w:val="a"/>
    <w:semiHidden/>
    <w:rsid w:val="00E74E9E"/>
    <w:pPr>
      <w:keepNext/>
      <w:spacing w:before="240" w:after="60"/>
      <w:outlineLvl w:val="3"/>
    </w:pPr>
    <w:rPr>
      <w:b/>
      <w:bCs/>
      <w:sz w:val="28"/>
      <w:szCs w:val="28"/>
    </w:rPr>
  </w:style>
  <w:style w:type="paragraph" w:styleId="5">
    <w:name w:val="heading 5"/>
    <w:basedOn w:val="a"/>
    <w:next w:val="a"/>
    <w:semiHidden/>
    <w:rsid w:val="00E74E9E"/>
    <w:pPr>
      <w:spacing w:before="240" w:after="60"/>
      <w:outlineLvl w:val="4"/>
    </w:pPr>
    <w:rPr>
      <w:b/>
      <w:bCs/>
      <w:i/>
      <w:iCs/>
      <w:sz w:val="26"/>
      <w:szCs w:val="26"/>
    </w:rPr>
  </w:style>
  <w:style w:type="paragraph" w:styleId="6">
    <w:name w:val="heading 6"/>
    <w:basedOn w:val="a"/>
    <w:next w:val="a"/>
    <w:semiHidden/>
    <w:rsid w:val="00E74E9E"/>
    <w:pPr>
      <w:spacing w:before="240" w:after="60"/>
      <w:outlineLvl w:val="5"/>
    </w:pPr>
    <w:rPr>
      <w:b/>
      <w:bCs/>
      <w:sz w:val="22"/>
    </w:rPr>
  </w:style>
  <w:style w:type="paragraph" w:styleId="7">
    <w:name w:val="heading 7"/>
    <w:basedOn w:val="a"/>
    <w:next w:val="a"/>
    <w:semiHidden/>
    <w:rsid w:val="00E74E9E"/>
    <w:pPr>
      <w:spacing w:before="240" w:after="60"/>
      <w:outlineLvl w:val="6"/>
    </w:pPr>
    <w:rPr>
      <w:sz w:val="24"/>
      <w:szCs w:val="24"/>
    </w:rPr>
  </w:style>
  <w:style w:type="paragraph" w:styleId="8">
    <w:name w:val="heading 8"/>
    <w:basedOn w:val="a"/>
    <w:next w:val="a"/>
    <w:semiHidden/>
    <w:rsid w:val="00E74E9E"/>
    <w:pPr>
      <w:spacing w:before="240" w:after="60"/>
      <w:outlineLvl w:val="7"/>
    </w:pPr>
    <w:rPr>
      <w:i/>
      <w:iCs/>
      <w:sz w:val="24"/>
      <w:szCs w:val="24"/>
    </w:rPr>
  </w:style>
  <w:style w:type="paragraph" w:styleId="9">
    <w:name w:val="heading 9"/>
    <w:basedOn w:val="a"/>
    <w:next w:val="a"/>
    <w:semiHidden/>
    <w:rsid w:val="00E74E9E"/>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semiHidden/>
    <w:rsid w:val="00E74E9E"/>
    <w:pPr>
      <w:spacing w:line="240" w:lineRule="auto"/>
    </w:pPr>
    <w:rPr>
      <w:rFonts w:ascii="Tahoma" w:hAnsi="Tahoma" w:cs="Tahoma"/>
      <w:sz w:val="16"/>
      <w:szCs w:val="16"/>
    </w:rPr>
  </w:style>
  <w:style w:type="character" w:customStyle="1" w:styleId="a4">
    <w:name w:val="Текст выноски Знак"/>
    <w:basedOn w:val="a0"/>
    <w:link w:val="a3"/>
    <w:uiPriority w:val="1"/>
    <w:semiHidden/>
    <w:rsid w:val="0041453E"/>
    <w:rPr>
      <w:rFonts w:ascii="Tahoma" w:eastAsiaTheme="minorHAnsi" w:hAnsi="Tahoma" w:cs="Tahoma"/>
      <w:sz w:val="16"/>
      <w:szCs w:val="16"/>
      <w:lang w:val="ru-RU" w:eastAsia="en-US"/>
    </w:rPr>
  </w:style>
  <w:style w:type="paragraph" w:customStyle="1" w:styleId="HMG">
    <w:name w:val="_ H __M_G"/>
    <w:basedOn w:val="a"/>
    <w:next w:val="a"/>
    <w:qFormat/>
    <w:rsid w:val="00BB7B85"/>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
    <w:next w:val="a"/>
    <w:link w:val="HChGChar"/>
    <w:qFormat/>
    <w:rsid w:val="00BB7B85"/>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
    <w:next w:val="a"/>
    <w:link w:val="H1GChar"/>
    <w:qFormat/>
    <w:rsid w:val="00BB7B85"/>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
    <w:next w:val="a"/>
    <w:qFormat/>
    <w:rsid w:val="00BB7B85"/>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
    <w:next w:val="a"/>
    <w:qFormat/>
    <w:rsid w:val="00BB7B85"/>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
    <w:next w:val="a"/>
    <w:qFormat/>
    <w:rsid w:val="00BB7B85"/>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
    <w:link w:val="SingleTxtGChar"/>
    <w:qFormat/>
    <w:rsid w:val="0041453E"/>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
    <w:next w:val="a"/>
    <w:qFormat/>
    <w:rsid w:val="00BB7B85"/>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BB7B85"/>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BB7B85"/>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BB7B85"/>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BB7B85"/>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BB7B85"/>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41453E"/>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BB7B85"/>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BB7B85"/>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BB7B85"/>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rsid w:val="00BB7B85"/>
    <w:rPr>
      <w:b/>
      <w:sz w:val="18"/>
      <w:lang w:val="en-GB" w:eastAsia="ru-RU"/>
    </w:rPr>
  </w:style>
  <w:style w:type="character" w:styleId="a7">
    <w:name w:val="page number"/>
    <w:aliases w:val="7_G"/>
    <w:basedOn w:val="a0"/>
    <w:qFormat/>
    <w:rsid w:val="00BB7B85"/>
    <w:rPr>
      <w:rFonts w:ascii="Times New Roman" w:hAnsi="Times New Roman"/>
      <w:b/>
      <w:sz w:val="18"/>
    </w:rPr>
  </w:style>
  <w:style w:type="paragraph" w:styleId="a8">
    <w:name w:val="footer"/>
    <w:aliases w:val="3_G"/>
    <w:basedOn w:val="a"/>
    <w:link w:val="a9"/>
    <w:qFormat/>
    <w:rsid w:val="00BB7B85"/>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rsid w:val="00BB7B85"/>
    <w:rPr>
      <w:sz w:val="16"/>
      <w:lang w:val="en-GB" w:eastAsia="ru-RU"/>
    </w:rPr>
  </w:style>
  <w:style w:type="character" w:styleId="aa">
    <w:name w:val="footnote reference"/>
    <w:aliases w:val="4_G"/>
    <w:basedOn w:val="a0"/>
    <w:qFormat/>
    <w:rsid w:val="00BB7B85"/>
    <w:rPr>
      <w:rFonts w:ascii="Times New Roman" w:hAnsi="Times New Roman"/>
      <w:dstrike w:val="0"/>
      <w:sz w:val="18"/>
      <w:vertAlign w:val="superscript"/>
    </w:rPr>
  </w:style>
  <w:style w:type="character" w:styleId="ab">
    <w:name w:val="endnote reference"/>
    <w:aliases w:val="1_G"/>
    <w:basedOn w:val="aa"/>
    <w:qFormat/>
    <w:rsid w:val="00BB7B85"/>
    <w:rPr>
      <w:rFonts w:ascii="Times New Roman" w:hAnsi="Times New Roman"/>
      <w:dstrike w:val="0"/>
      <w:sz w:val="18"/>
      <w:vertAlign w:val="superscript"/>
    </w:rPr>
  </w:style>
  <w:style w:type="table" w:styleId="ac">
    <w:name w:val="Table Grid"/>
    <w:basedOn w:val="a1"/>
    <w:uiPriority w:val="59"/>
    <w:rsid w:val="001F49C9"/>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PP,Footnote Text Char,5_G_6,5_GR,Fußnotentext,_GR"/>
    <w:basedOn w:val="a"/>
    <w:link w:val="ae"/>
    <w:qFormat/>
    <w:rsid w:val="00BB7B85"/>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PP Знак,Footnote Text Char Знак,5_G_6 Знак,5_GR Знак,Fußnotentext Знак,_GR Знак"/>
    <w:basedOn w:val="a0"/>
    <w:link w:val="ad"/>
    <w:rsid w:val="00BB7B85"/>
    <w:rPr>
      <w:sz w:val="18"/>
      <w:lang w:val="ru-RU" w:eastAsia="ru-RU"/>
    </w:rPr>
  </w:style>
  <w:style w:type="paragraph" w:styleId="af">
    <w:name w:val="endnote text"/>
    <w:aliases w:val="2_G"/>
    <w:basedOn w:val="ad"/>
    <w:link w:val="af0"/>
    <w:qFormat/>
    <w:rsid w:val="00BB7B85"/>
  </w:style>
  <w:style w:type="character" w:customStyle="1" w:styleId="af0">
    <w:name w:val="Текст концевой сноски Знак"/>
    <w:aliases w:val="2_G Знак"/>
    <w:basedOn w:val="a0"/>
    <w:link w:val="af"/>
    <w:rsid w:val="00BB7B85"/>
    <w:rPr>
      <w:sz w:val="18"/>
      <w:lang w:val="ru-RU" w:eastAsia="ru-RU"/>
    </w:rPr>
  </w:style>
  <w:style w:type="character" w:customStyle="1" w:styleId="10">
    <w:name w:val="Заголовок 1 Знак"/>
    <w:aliases w:val="Table_G Знак"/>
    <w:basedOn w:val="a0"/>
    <w:link w:val="1"/>
    <w:rsid w:val="00BB7B85"/>
    <w:rPr>
      <w:rFonts w:cs="Arial"/>
      <w:b/>
      <w:bCs/>
      <w:szCs w:val="32"/>
      <w:lang w:val="ru-RU" w:eastAsia="ru-RU"/>
    </w:rPr>
  </w:style>
  <w:style w:type="character" w:styleId="af1">
    <w:name w:val="FollowedHyperlink"/>
    <w:basedOn w:val="a0"/>
    <w:rsid w:val="00BB7B85"/>
    <w:rPr>
      <w:color w:val="800080" w:themeColor="followedHyperlink"/>
      <w:u w:val="none"/>
    </w:rPr>
  </w:style>
  <w:style w:type="character" w:styleId="af2">
    <w:name w:val="Hyperlink"/>
    <w:basedOn w:val="a0"/>
    <w:rsid w:val="00BB7B85"/>
    <w:rPr>
      <w:color w:val="0000FF" w:themeColor="hyperlink"/>
      <w:u w:val="none"/>
    </w:rPr>
  </w:style>
  <w:style w:type="character" w:customStyle="1" w:styleId="H1GChar">
    <w:name w:val="_ H_1_G Char"/>
    <w:link w:val="H1G"/>
    <w:rsid w:val="005149FD"/>
    <w:rPr>
      <w:b/>
      <w:sz w:val="24"/>
      <w:lang w:val="ru-RU" w:eastAsia="ru-RU"/>
    </w:rPr>
  </w:style>
  <w:style w:type="character" w:customStyle="1" w:styleId="SingleTxtGChar">
    <w:name w:val="_ Single Txt_G Char"/>
    <w:link w:val="SingleTxtG"/>
    <w:qFormat/>
    <w:rsid w:val="005149FD"/>
    <w:rPr>
      <w:lang w:val="ru-RU" w:eastAsia="en-US"/>
    </w:rPr>
  </w:style>
  <w:style w:type="character" w:customStyle="1" w:styleId="HChGChar">
    <w:name w:val="_ H _Ch_G Char"/>
    <w:link w:val="HChG"/>
    <w:rsid w:val="005149FD"/>
    <w:rPr>
      <w:b/>
      <w:sz w:val="28"/>
      <w:lang w:val="ru-RU" w:eastAsia="ru-RU"/>
    </w:rPr>
  </w:style>
  <w:style w:type="paragraph" w:customStyle="1" w:styleId="SingleTxtGR">
    <w:name w:val="_ Single Txt_GR"/>
    <w:basedOn w:val="a"/>
    <w:link w:val="SingleTxtGR0"/>
    <w:qFormat/>
    <w:rsid w:val="005149FD"/>
    <w:pPr>
      <w:tabs>
        <w:tab w:val="left" w:pos="1701"/>
        <w:tab w:val="left" w:pos="2268"/>
        <w:tab w:val="left" w:pos="2835"/>
        <w:tab w:val="left" w:pos="3402"/>
        <w:tab w:val="left" w:pos="3969"/>
      </w:tabs>
      <w:suppressAutoHyphens w:val="0"/>
      <w:spacing w:after="120"/>
      <w:ind w:left="1134" w:right="1134"/>
      <w:jc w:val="both"/>
    </w:pPr>
    <w:rPr>
      <w:rFonts w:eastAsia="Times New Roman" w:cs="Times New Roman"/>
      <w:spacing w:val="4"/>
      <w:w w:val="103"/>
      <w:kern w:val="14"/>
      <w:szCs w:val="20"/>
      <w:lang w:eastAsia="zh-CN"/>
    </w:rPr>
  </w:style>
  <w:style w:type="character" w:customStyle="1" w:styleId="SingleTxtGR0">
    <w:name w:val="_ Single Txt_GR Знак"/>
    <w:link w:val="SingleTxtGR"/>
    <w:rsid w:val="005149FD"/>
    <w:rPr>
      <w:spacing w:val="4"/>
      <w:w w:val="103"/>
      <w:kern w:val="14"/>
      <w:lang w:val="ru-RU" w:eastAsia="zh-CN"/>
    </w:rPr>
  </w:style>
  <w:style w:type="paragraph" w:customStyle="1" w:styleId="HChGR">
    <w:name w:val="_ H _Ch_GR"/>
    <w:basedOn w:val="a"/>
    <w:next w:val="a"/>
    <w:link w:val="HChGR0"/>
    <w:qFormat/>
    <w:rsid w:val="005149FD"/>
    <w:pPr>
      <w:keepNext/>
      <w:keepLines/>
      <w:tabs>
        <w:tab w:val="right" w:pos="851"/>
      </w:tabs>
      <w:spacing w:before="360" w:after="240" w:line="300" w:lineRule="exact"/>
      <w:ind w:left="1134" w:right="1134" w:hanging="1134"/>
    </w:pPr>
    <w:rPr>
      <w:rFonts w:eastAsia="Times New Roman" w:cs="Times New Roman"/>
      <w:b/>
      <w:sz w:val="28"/>
      <w:szCs w:val="20"/>
      <w:lang w:eastAsia="ru-RU"/>
    </w:rPr>
  </w:style>
  <w:style w:type="paragraph" w:customStyle="1" w:styleId="H1GR">
    <w:name w:val="_ H_1_GR"/>
    <w:basedOn w:val="a"/>
    <w:next w:val="a"/>
    <w:qFormat/>
    <w:rsid w:val="005149FD"/>
    <w:pPr>
      <w:keepNext/>
      <w:keepLines/>
      <w:tabs>
        <w:tab w:val="right" w:pos="851"/>
      </w:tabs>
      <w:spacing w:before="360" w:after="240" w:line="270" w:lineRule="exact"/>
      <w:ind w:left="1134" w:right="1134" w:hanging="1134"/>
    </w:pPr>
    <w:rPr>
      <w:rFonts w:eastAsia="Times New Roman" w:cs="Times New Roman"/>
      <w:b/>
      <w:sz w:val="24"/>
      <w:szCs w:val="20"/>
      <w:lang w:eastAsia="ru-RU"/>
    </w:rPr>
  </w:style>
  <w:style w:type="character" w:customStyle="1" w:styleId="HChGR0">
    <w:name w:val="_ H _Ch_GR Знак"/>
    <w:basedOn w:val="a0"/>
    <w:link w:val="HChGR"/>
    <w:rsid w:val="005149FD"/>
    <w:rPr>
      <w:b/>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PlainPag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3" ma:contentTypeDescription="Create a new document." ma:contentTypeScope="" ma:versionID="89c13dde5d7aa6b1840a64c3c61e7101">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49ff99f9a570207563b6136515cf8a36"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882E13-AD76-4104-9FC5-57DCA2D16730}"/>
</file>

<file path=customXml/itemProps2.xml><?xml version="1.0" encoding="utf-8"?>
<ds:datastoreItem xmlns:ds="http://schemas.openxmlformats.org/officeDocument/2006/customXml" ds:itemID="{65B96E57-E495-4E35-A4AB-D07F72D30868}"/>
</file>

<file path=customXml/itemProps3.xml><?xml version="1.0" encoding="utf-8"?>
<ds:datastoreItem xmlns:ds="http://schemas.openxmlformats.org/officeDocument/2006/customXml" ds:itemID="{CCED2E5D-C392-48EB-AAEA-0F1282EEB5BD}"/>
</file>

<file path=docProps/app.xml><?xml version="1.0" encoding="utf-8"?>
<Properties xmlns="http://schemas.openxmlformats.org/officeDocument/2006/extended-properties" xmlns:vt="http://schemas.openxmlformats.org/officeDocument/2006/docPropsVTypes">
  <Template>PlainPage.dotm</Template>
  <TotalTime>1</TotalTime>
  <Pages>4</Pages>
  <Words>1163</Words>
  <Characters>8265</Characters>
  <Application>Microsoft Office Word</Application>
  <DocSecurity>0</DocSecurity>
  <Lines>68</Lines>
  <Paragraphs>18</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E/ECE/TRANS/505/Rev.3/Add.143/Amend.1</vt:lpstr>
      <vt:lpstr>A/</vt:lpstr>
      <vt:lpstr>A/</vt:lpstr>
    </vt:vector>
  </TitlesOfParts>
  <Company>DCM</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E/ECE/TRANS/505/Rev.3/Add.143/Amend.1</dc:title>
  <dc:subject/>
  <dc:creator>Olga OVTCHINNIKOVA</dc:creator>
  <cp:keywords/>
  <cp:lastModifiedBy>Olga Ovchinnikova</cp:lastModifiedBy>
  <cp:revision>3</cp:revision>
  <cp:lastPrinted>2021-02-09T07:09:00Z</cp:lastPrinted>
  <dcterms:created xsi:type="dcterms:W3CDTF">2021-02-09T07:09:00Z</dcterms:created>
  <dcterms:modified xsi:type="dcterms:W3CDTF">2021-02-09T07:10:00Z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y fmtid="{D5CDD505-2E9C-101B-9397-08002B2CF9AE}" pid="14" name="ContentTypeId">
    <vt:lpwstr>0x0101003B8422D08C252547BB1CFA7F78E2CB83</vt:lpwstr>
  </property>
</Properties>
</file>