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14:paraId="0847AAFE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369DC744" w14:textId="77777777" w:rsidR="00F35BAF" w:rsidRPr="00DB58B5" w:rsidRDefault="00F35BAF" w:rsidP="00CE4060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DF24B47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333EB8E3" w14:textId="77777777" w:rsidR="00F35BAF" w:rsidRPr="00DB58B5" w:rsidRDefault="00CE4060" w:rsidP="00CE4060">
            <w:pPr>
              <w:jc w:val="right"/>
            </w:pPr>
            <w:r w:rsidRPr="00CE4060">
              <w:rPr>
                <w:sz w:val="40"/>
              </w:rPr>
              <w:t>E</w:t>
            </w:r>
            <w:r>
              <w:t>/ECE/TRANS/505/Rev.3/Add.143/Amend.1</w:t>
            </w:r>
          </w:p>
        </w:tc>
      </w:tr>
      <w:tr w:rsidR="00F35BAF" w:rsidRPr="00DB58B5" w14:paraId="34538C58" w14:textId="77777777" w:rsidTr="00FF10B2">
        <w:trPr>
          <w:trHeight w:hRule="exact" w:val="1289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40779389" w14:textId="77777777" w:rsidR="00F35BAF" w:rsidRPr="00DB58B5" w:rsidRDefault="00F35BAF" w:rsidP="00C97039">
            <w:pPr>
              <w:spacing w:before="120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663D0A0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7E476C81" w14:textId="77777777" w:rsidR="00CE4060" w:rsidRDefault="00CE4060" w:rsidP="007E1744">
            <w:pPr>
              <w:spacing w:before="720" w:line="240" w:lineRule="exact"/>
            </w:pPr>
            <w:r>
              <w:t>3 novembre 2020</w:t>
            </w:r>
          </w:p>
          <w:p w14:paraId="151A7DA9" w14:textId="77777777" w:rsidR="00CE4060" w:rsidRPr="00DB58B5" w:rsidRDefault="00CE4060" w:rsidP="00CE4060">
            <w:pPr>
              <w:spacing w:line="240" w:lineRule="exact"/>
            </w:pPr>
          </w:p>
        </w:tc>
      </w:tr>
    </w:tbl>
    <w:p w14:paraId="043BDE8B" w14:textId="77777777" w:rsidR="00CE4060" w:rsidRPr="00FB5D33" w:rsidRDefault="00CE4060" w:rsidP="00CE4060">
      <w:pPr>
        <w:spacing w:before="240" w:after="240"/>
        <w:rPr>
          <w:b/>
          <w:sz w:val="28"/>
          <w:lang w:val="fr-FR"/>
        </w:rPr>
      </w:pPr>
      <w:r>
        <w:rPr>
          <w:b/>
          <w:sz w:val="28"/>
          <w:lang w:val="fr-FR"/>
        </w:rPr>
        <w:tab/>
      </w:r>
      <w:r>
        <w:rPr>
          <w:b/>
          <w:sz w:val="28"/>
          <w:lang w:val="fr-FR"/>
        </w:rPr>
        <w:tab/>
      </w:r>
      <w:r w:rsidRPr="00FB5D33">
        <w:rPr>
          <w:b/>
          <w:sz w:val="28"/>
          <w:lang w:val="fr-FR"/>
        </w:rPr>
        <w:t>Accord</w:t>
      </w:r>
    </w:p>
    <w:p w14:paraId="07D5346B" w14:textId="0066969D" w:rsidR="00CE4060" w:rsidRPr="00FB5D33" w:rsidRDefault="00CE4060" w:rsidP="00CE4060">
      <w:pPr>
        <w:spacing w:before="240" w:after="240"/>
        <w:ind w:left="1134" w:right="1134" w:hanging="1134"/>
        <w:rPr>
          <w:b/>
          <w:sz w:val="24"/>
          <w:lang w:val="fr-FR"/>
        </w:rPr>
      </w:pPr>
      <w:r w:rsidRPr="00FB5D33">
        <w:rPr>
          <w:sz w:val="24"/>
          <w:lang w:val="fr-FR"/>
        </w:rPr>
        <w:tab/>
      </w:r>
      <w:r w:rsidRPr="00FB5D33">
        <w:rPr>
          <w:sz w:val="24"/>
          <w:lang w:val="fr-FR"/>
        </w:rPr>
        <w:tab/>
      </w:r>
      <w:r w:rsidRPr="00FB5D33">
        <w:rPr>
          <w:b/>
          <w:sz w:val="24"/>
          <w:lang w:val="fr-FR"/>
        </w:rPr>
        <w:t>Concernant l</w:t>
      </w:r>
      <w:r w:rsidR="00050AA5">
        <w:rPr>
          <w:b/>
          <w:sz w:val="24"/>
          <w:lang w:val="fr-FR"/>
        </w:rPr>
        <w:t>’</w:t>
      </w:r>
      <w:r w:rsidRPr="00FB5D33">
        <w:rPr>
          <w:b/>
          <w:sz w:val="24"/>
          <w:lang w:val="fr-FR"/>
        </w:rPr>
        <w:t>adoption de Règlements techniques harmonisés de l</w:t>
      </w:r>
      <w:r w:rsidR="00050AA5">
        <w:rPr>
          <w:b/>
          <w:sz w:val="24"/>
          <w:lang w:val="fr-FR"/>
        </w:rPr>
        <w:t>’</w:t>
      </w:r>
      <w:r w:rsidRPr="00FB5D33">
        <w:rPr>
          <w:b/>
          <w:sz w:val="24"/>
          <w:lang w:val="fr-FR"/>
        </w:rPr>
        <w:t>ONU applicables aux véhicules à roues et aux équipements et pièces susceptibles d</w:t>
      </w:r>
      <w:r w:rsidR="00050AA5">
        <w:rPr>
          <w:b/>
          <w:sz w:val="24"/>
          <w:lang w:val="fr-FR"/>
        </w:rPr>
        <w:t>’</w:t>
      </w:r>
      <w:r w:rsidRPr="00FB5D33">
        <w:rPr>
          <w:b/>
          <w:sz w:val="24"/>
          <w:lang w:val="fr-FR"/>
        </w:rPr>
        <w:t xml:space="preserve">être montés ou utilisés sur les véhicules à roues </w:t>
      </w:r>
      <w:r w:rsidR="009D20E8">
        <w:rPr>
          <w:b/>
          <w:sz w:val="24"/>
          <w:lang w:val="fr-FR"/>
        </w:rPr>
        <w:br/>
      </w:r>
      <w:bookmarkStart w:id="0" w:name="_GoBack"/>
      <w:bookmarkEnd w:id="0"/>
      <w:r w:rsidRPr="00FB5D33">
        <w:rPr>
          <w:b/>
          <w:sz w:val="24"/>
          <w:lang w:val="fr-FR"/>
        </w:rPr>
        <w:t>et les conditions de reconnaissance réciproque des homologations délivrées conformément à ces Règlements</w:t>
      </w:r>
      <w:r w:rsidR="00B6466D" w:rsidRPr="00B6466D">
        <w:rPr>
          <w:rStyle w:val="Appelnotedebasdep"/>
          <w:bCs/>
          <w:sz w:val="20"/>
          <w:vertAlign w:val="baseline"/>
        </w:rPr>
        <w:footnoteReference w:customMarkFollows="1" w:id="2"/>
        <w:t>*</w:t>
      </w:r>
    </w:p>
    <w:p w14:paraId="1948B002" w14:textId="77777777" w:rsidR="00CE4060" w:rsidRPr="00FB5D33" w:rsidRDefault="00CE4060" w:rsidP="00CE4060">
      <w:pPr>
        <w:pStyle w:val="SingleTxtG"/>
        <w:rPr>
          <w:lang w:val="fr-FR"/>
        </w:rPr>
      </w:pPr>
      <w:r w:rsidRPr="00FB5D33">
        <w:rPr>
          <w:lang w:val="fr-FR"/>
        </w:rPr>
        <w:t>(Révision 3, comprenant les amendements entrés en vigueur le 14 septembre 2017)</w:t>
      </w:r>
    </w:p>
    <w:p w14:paraId="14950CFA" w14:textId="77777777" w:rsidR="00CE4060" w:rsidRPr="00757242" w:rsidRDefault="00CE4060" w:rsidP="00CE4060">
      <w:pPr>
        <w:pStyle w:val="SingleTxtG"/>
        <w:jc w:val="center"/>
        <w:rPr>
          <w:lang w:val="fr-FR"/>
        </w:rPr>
      </w:pPr>
      <w:r w:rsidRPr="00757242">
        <w:rPr>
          <w:b/>
          <w:sz w:val="24"/>
          <w:lang w:val="fr-FR"/>
        </w:rPr>
        <w:t>_________</w:t>
      </w:r>
    </w:p>
    <w:p w14:paraId="351F9AE7" w14:textId="77777777" w:rsidR="00CE4060" w:rsidRPr="00757242" w:rsidRDefault="00CE4060" w:rsidP="00FF10B2">
      <w:pPr>
        <w:spacing w:before="240" w:after="240"/>
        <w:ind w:left="1134" w:right="1134" w:hanging="1134"/>
        <w:rPr>
          <w:b/>
          <w:sz w:val="24"/>
          <w:lang w:val="fr-FR"/>
        </w:rPr>
      </w:pPr>
      <w:r w:rsidRPr="00757242">
        <w:rPr>
          <w:b/>
          <w:sz w:val="24"/>
          <w:lang w:val="fr-FR"/>
        </w:rPr>
        <w:tab/>
      </w:r>
      <w:r w:rsidRPr="00757242">
        <w:rPr>
          <w:b/>
          <w:sz w:val="24"/>
          <w:lang w:val="fr-FR"/>
        </w:rPr>
        <w:tab/>
        <w:t>Additif 143 </w:t>
      </w:r>
      <w:r>
        <w:rPr>
          <w:b/>
          <w:sz w:val="24"/>
          <w:lang w:val="fr-FR"/>
        </w:rPr>
        <w:t>−</w:t>
      </w:r>
      <w:r w:rsidRPr="00757242">
        <w:rPr>
          <w:b/>
          <w:sz w:val="24"/>
          <w:lang w:val="fr-FR"/>
        </w:rPr>
        <w:t xml:space="preserve"> Règlement ONU n</w:t>
      </w:r>
      <w:r w:rsidRPr="00757242">
        <w:rPr>
          <w:b/>
          <w:sz w:val="24"/>
          <w:vertAlign w:val="superscript"/>
          <w:lang w:val="fr-FR"/>
        </w:rPr>
        <w:t>o</w:t>
      </w:r>
      <w:r w:rsidRPr="00757242">
        <w:rPr>
          <w:b/>
          <w:sz w:val="24"/>
          <w:lang w:val="fr-FR"/>
        </w:rPr>
        <w:t> 144</w:t>
      </w:r>
    </w:p>
    <w:p w14:paraId="18865FB8" w14:textId="77777777" w:rsidR="00CE4060" w:rsidRPr="00757242" w:rsidRDefault="00CE4060" w:rsidP="00FF10B2">
      <w:pPr>
        <w:pStyle w:val="H1G"/>
        <w:spacing w:before="240"/>
        <w:rPr>
          <w:lang w:val="fr-FR"/>
        </w:rPr>
      </w:pPr>
      <w:r w:rsidRPr="00757242">
        <w:rPr>
          <w:lang w:val="fr-FR"/>
        </w:rPr>
        <w:tab/>
      </w:r>
      <w:r w:rsidRPr="00757242">
        <w:rPr>
          <w:lang w:val="fr-FR"/>
        </w:rPr>
        <w:tab/>
        <w:t>Amendement 1</w:t>
      </w:r>
    </w:p>
    <w:p w14:paraId="7612DA7A" w14:textId="77777777" w:rsidR="00CE4060" w:rsidRPr="00757242" w:rsidRDefault="00CE4060" w:rsidP="00CE4060">
      <w:pPr>
        <w:pStyle w:val="SingleTxtG"/>
        <w:rPr>
          <w:lang w:val="fr-FR"/>
        </w:rPr>
      </w:pPr>
      <w:r w:rsidRPr="00757242">
        <w:rPr>
          <w:lang w:val="fr-FR"/>
        </w:rPr>
        <w:t>Complément 1 à la version originale du Règlement </w:t>
      </w:r>
      <w:r w:rsidR="00050AA5">
        <w:rPr>
          <w:lang w:val="fr-FR"/>
        </w:rPr>
        <w:t>−</w:t>
      </w:r>
      <w:r w:rsidRPr="00757242">
        <w:rPr>
          <w:lang w:val="fr-FR"/>
        </w:rPr>
        <w:t xml:space="preserve"> Date d</w:t>
      </w:r>
      <w:r w:rsidR="00050AA5">
        <w:rPr>
          <w:lang w:val="fr-FR"/>
        </w:rPr>
        <w:t>’</w:t>
      </w:r>
      <w:r w:rsidRPr="00757242">
        <w:rPr>
          <w:lang w:val="fr-FR"/>
        </w:rPr>
        <w:t>entrée en vigueur : 25 septembre 2020</w:t>
      </w:r>
    </w:p>
    <w:p w14:paraId="4C5462D8" w14:textId="77777777" w:rsidR="00CE4060" w:rsidRPr="00B6466D" w:rsidRDefault="00CE4060" w:rsidP="00B6466D">
      <w:pPr>
        <w:pStyle w:val="SingleTxtG"/>
        <w:spacing w:after="0"/>
        <w:rPr>
          <w:b/>
          <w:bCs/>
          <w:sz w:val="24"/>
          <w:szCs w:val="24"/>
          <w:lang w:val="fr-FR"/>
        </w:rPr>
      </w:pPr>
      <w:r w:rsidRPr="00B6466D">
        <w:rPr>
          <w:b/>
          <w:bCs/>
          <w:sz w:val="24"/>
          <w:szCs w:val="24"/>
          <w:lang w:val="fr-FR"/>
        </w:rPr>
        <w:t>Prescriptions uniformes relatives :</w:t>
      </w:r>
    </w:p>
    <w:p w14:paraId="5C60E14B" w14:textId="77777777" w:rsidR="00CE4060" w:rsidRPr="00B6466D" w:rsidRDefault="00CE4060" w:rsidP="00B6466D">
      <w:pPr>
        <w:pStyle w:val="SingleTxtG"/>
        <w:spacing w:after="0"/>
        <w:ind w:left="1559" w:hanging="425"/>
        <w:jc w:val="left"/>
        <w:rPr>
          <w:b/>
          <w:bCs/>
          <w:sz w:val="24"/>
          <w:szCs w:val="24"/>
          <w:lang w:val="fr-FR"/>
        </w:rPr>
      </w:pPr>
      <w:r w:rsidRPr="00B6466D">
        <w:rPr>
          <w:b/>
          <w:bCs/>
          <w:sz w:val="24"/>
          <w:szCs w:val="24"/>
          <w:lang w:val="fr-FR"/>
        </w:rPr>
        <w:t>Ia.</w:t>
      </w:r>
      <w:r w:rsidRPr="00B6466D">
        <w:rPr>
          <w:b/>
          <w:bCs/>
          <w:sz w:val="24"/>
          <w:szCs w:val="24"/>
          <w:lang w:val="fr-FR"/>
        </w:rPr>
        <w:tab/>
        <w:t>Aux éléments des dispositifs automatiques d</w:t>
      </w:r>
      <w:r w:rsidR="00050AA5">
        <w:rPr>
          <w:b/>
          <w:bCs/>
          <w:sz w:val="24"/>
          <w:szCs w:val="24"/>
          <w:lang w:val="fr-FR"/>
        </w:rPr>
        <w:t>’</w:t>
      </w:r>
      <w:r w:rsidRPr="00B6466D">
        <w:rPr>
          <w:b/>
          <w:bCs/>
          <w:sz w:val="24"/>
          <w:szCs w:val="24"/>
          <w:lang w:val="fr-FR"/>
        </w:rPr>
        <w:t>appel d</w:t>
      </w:r>
      <w:r w:rsidR="00050AA5">
        <w:rPr>
          <w:b/>
          <w:bCs/>
          <w:sz w:val="24"/>
          <w:szCs w:val="24"/>
          <w:lang w:val="fr-FR"/>
        </w:rPr>
        <w:t>’</w:t>
      </w:r>
      <w:r w:rsidRPr="00B6466D">
        <w:rPr>
          <w:b/>
          <w:bCs/>
          <w:sz w:val="24"/>
          <w:szCs w:val="24"/>
          <w:lang w:val="fr-FR"/>
        </w:rPr>
        <w:t>urgence (AECC)</w:t>
      </w:r>
    </w:p>
    <w:p w14:paraId="0BAFD882" w14:textId="77777777" w:rsidR="00CE4060" w:rsidRPr="00B6466D" w:rsidRDefault="00CE4060" w:rsidP="00B6466D">
      <w:pPr>
        <w:pStyle w:val="SingleTxtG"/>
        <w:spacing w:after="0"/>
        <w:ind w:left="1559" w:hanging="425"/>
        <w:jc w:val="left"/>
        <w:rPr>
          <w:b/>
          <w:bCs/>
          <w:sz w:val="24"/>
          <w:szCs w:val="24"/>
          <w:lang w:val="fr-FR"/>
        </w:rPr>
      </w:pPr>
      <w:r w:rsidRPr="00B6466D">
        <w:rPr>
          <w:b/>
          <w:bCs/>
          <w:sz w:val="24"/>
          <w:szCs w:val="24"/>
          <w:lang w:val="fr-FR"/>
        </w:rPr>
        <w:t>Ib.</w:t>
      </w:r>
      <w:r w:rsidRPr="00B6466D">
        <w:rPr>
          <w:b/>
          <w:bCs/>
          <w:sz w:val="24"/>
          <w:szCs w:val="24"/>
          <w:lang w:val="fr-FR"/>
        </w:rPr>
        <w:tab/>
        <w:t>Aux dispositifs automatiques d</w:t>
      </w:r>
      <w:r w:rsidR="00050AA5">
        <w:rPr>
          <w:b/>
          <w:bCs/>
          <w:sz w:val="24"/>
          <w:szCs w:val="24"/>
          <w:lang w:val="fr-FR"/>
        </w:rPr>
        <w:t>’</w:t>
      </w:r>
      <w:r w:rsidRPr="00B6466D">
        <w:rPr>
          <w:b/>
          <w:bCs/>
          <w:sz w:val="24"/>
          <w:szCs w:val="24"/>
          <w:lang w:val="fr-FR"/>
        </w:rPr>
        <w:t>appel d</w:t>
      </w:r>
      <w:r w:rsidR="00050AA5">
        <w:rPr>
          <w:b/>
          <w:bCs/>
          <w:sz w:val="24"/>
          <w:szCs w:val="24"/>
          <w:lang w:val="fr-FR"/>
        </w:rPr>
        <w:t>’</w:t>
      </w:r>
      <w:r w:rsidRPr="00B6466D">
        <w:rPr>
          <w:b/>
          <w:bCs/>
          <w:sz w:val="24"/>
          <w:szCs w:val="24"/>
          <w:lang w:val="fr-FR"/>
        </w:rPr>
        <w:t xml:space="preserve">urgence (AECD), </w:t>
      </w:r>
      <w:r w:rsidRPr="00B6466D">
        <w:rPr>
          <w:b/>
          <w:bCs/>
          <w:sz w:val="24"/>
          <w:szCs w:val="24"/>
          <w:lang w:val="fr-FR"/>
        </w:rPr>
        <w:br/>
        <w:t>destinés à être installés sur les véhicules des catégories M</w:t>
      </w:r>
      <w:r w:rsidRPr="00EB1512">
        <w:rPr>
          <w:b/>
          <w:bCs/>
          <w:sz w:val="24"/>
          <w:szCs w:val="24"/>
          <w:vertAlign w:val="subscript"/>
          <w:lang w:val="fr-FR"/>
        </w:rPr>
        <w:t>1</w:t>
      </w:r>
      <w:r w:rsidRPr="00B6466D">
        <w:rPr>
          <w:b/>
          <w:bCs/>
          <w:sz w:val="24"/>
          <w:szCs w:val="24"/>
          <w:lang w:val="fr-FR"/>
        </w:rPr>
        <w:t xml:space="preserve"> et N</w:t>
      </w:r>
      <w:r w:rsidRPr="00EB1512">
        <w:rPr>
          <w:b/>
          <w:bCs/>
          <w:sz w:val="24"/>
          <w:szCs w:val="24"/>
          <w:vertAlign w:val="subscript"/>
          <w:lang w:val="fr-FR"/>
        </w:rPr>
        <w:t>1</w:t>
      </w:r>
    </w:p>
    <w:p w14:paraId="7411BA08" w14:textId="77777777" w:rsidR="00CE4060" w:rsidRPr="00B6466D" w:rsidRDefault="00CE4060" w:rsidP="00B6466D">
      <w:pPr>
        <w:pStyle w:val="SingleTxtG"/>
        <w:spacing w:after="0"/>
        <w:ind w:left="1559" w:hanging="425"/>
        <w:jc w:val="left"/>
        <w:rPr>
          <w:b/>
          <w:bCs/>
          <w:sz w:val="24"/>
          <w:szCs w:val="24"/>
          <w:lang w:val="fr-FR"/>
        </w:rPr>
      </w:pPr>
      <w:r w:rsidRPr="00B6466D">
        <w:rPr>
          <w:b/>
          <w:bCs/>
          <w:sz w:val="24"/>
          <w:szCs w:val="24"/>
          <w:lang w:val="fr-FR"/>
        </w:rPr>
        <w:t>II.</w:t>
      </w:r>
      <w:r w:rsidRPr="00B6466D">
        <w:rPr>
          <w:b/>
          <w:bCs/>
          <w:sz w:val="24"/>
          <w:szCs w:val="24"/>
          <w:lang w:val="fr-FR"/>
        </w:rPr>
        <w:tab/>
        <w:t>Aux véhicules en ce qui concerne leur système automatique d</w:t>
      </w:r>
      <w:r w:rsidR="00050AA5">
        <w:rPr>
          <w:b/>
          <w:bCs/>
          <w:sz w:val="24"/>
          <w:szCs w:val="24"/>
          <w:lang w:val="fr-FR"/>
        </w:rPr>
        <w:t>’</w:t>
      </w:r>
      <w:r w:rsidRPr="00B6466D">
        <w:rPr>
          <w:b/>
          <w:bCs/>
          <w:sz w:val="24"/>
          <w:szCs w:val="24"/>
          <w:lang w:val="fr-FR"/>
        </w:rPr>
        <w:t>appel d</w:t>
      </w:r>
      <w:r w:rsidR="00050AA5">
        <w:rPr>
          <w:b/>
          <w:bCs/>
          <w:sz w:val="24"/>
          <w:szCs w:val="24"/>
          <w:lang w:val="fr-FR"/>
        </w:rPr>
        <w:t>’</w:t>
      </w:r>
      <w:r w:rsidRPr="00B6466D">
        <w:rPr>
          <w:b/>
          <w:bCs/>
          <w:sz w:val="24"/>
          <w:szCs w:val="24"/>
          <w:lang w:val="fr-FR"/>
        </w:rPr>
        <w:t>urgence (AECS), lorsqu</w:t>
      </w:r>
      <w:r w:rsidR="00050AA5">
        <w:rPr>
          <w:b/>
          <w:bCs/>
          <w:sz w:val="24"/>
          <w:szCs w:val="24"/>
          <w:lang w:val="fr-FR"/>
        </w:rPr>
        <w:t>’</w:t>
      </w:r>
      <w:r w:rsidRPr="00B6466D">
        <w:rPr>
          <w:b/>
          <w:bCs/>
          <w:sz w:val="24"/>
          <w:szCs w:val="24"/>
          <w:lang w:val="fr-FR"/>
        </w:rPr>
        <w:t>ils sont équipés d</w:t>
      </w:r>
      <w:r w:rsidR="00050AA5">
        <w:rPr>
          <w:b/>
          <w:bCs/>
          <w:sz w:val="24"/>
          <w:szCs w:val="24"/>
          <w:lang w:val="fr-FR"/>
        </w:rPr>
        <w:t>’</w:t>
      </w:r>
      <w:r w:rsidRPr="00B6466D">
        <w:rPr>
          <w:b/>
          <w:bCs/>
          <w:sz w:val="24"/>
          <w:szCs w:val="24"/>
          <w:lang w:val="fr-FR"/>
        </w:rPr>
        <w:t xml:space="preserve">un AECD </w:t>
      </w:r>
      <w:r w:rsidRPr="00B6466D">
        <w:rPr>
          <w:b/>
          <w:bCs/>
          <w:sz w:val="24"/>
          <w:szCs w:val="24"/>
          <w:lang w:val="fr-FR"/>
        </w:rPr>
        <w:br/>
        <w:t>d</w:t>
      </w:r>
      <w:r w:rsidR="00050AA5">
        <w:rPr>
          <w:b/>
          <w:bCs/>
          <w:sz w:val="24"/>
          <w:szCs w:val="24"/>
          <w:lang w:val="fr-FR"/>
        </w:rPr>
        <w:t>’</w:t>
      </w:r>
      <w:r w:rsidRPr="00B6466D">
        <w:rPr>
          <w:b/>
          <w:bCs/>
          <w:sz w:val="24"/>
          <w:szCs w:val="24"/>
          <w:lang w:val="fr-FR"/>
        </w:rPr>
        <w:t>un type homologué</w:t>
      </w:r>
    </w:p>
    <w:p w14:paraId="671AB7B2" w14:textId="77777777" w:rsidR="00CE4060" w:rsidRPr="00757242" w:rsidRDefault="00CE4060" w:rsidP="00B6466D">
      <w:pPr>
        <w:pStyle w:val="SingleTxtG"/>
        <w:spacing w:after="0"/>
        <w:ind w:left="1559" w:hanging="425"/>
        <w:jc w:val="left"/>
        <w:rPr>
          <w:bCs/>
          <w:sz w:val="24"/>
          <w:szCs w:val="24"/>
          <w:lang w:val="fr-FR"/>
        </w:rPr>
      </w:pPr>
      <w:r w:rsidRPr="00B6466D">
        <w:rPr>
          <w:b/>
          <w:bCs/>
          <w:sz w:val="24"/>
          <w:szCs w:val="24"/>
          <w:lang w:val="fr-FR"/>
        </w:rPr>
        <w:t>III.</w:t>
      </w:r>
      <w:r w:rsidRPr="00B6466D">
        <w:rPr>
          <w:b/>
          <w:bCs/>
          <w:sz w:val="24"/>
          <w:szCs w:val="24"/>
          <w:lang w:val="fr-FR"/>
        </w:rPr>
        <w:tab/>
        <w:t>Aux véhicules en ce qui concerne leur système automatique d</w:t>
      </w:r>
      <w:r w:rsidR="00050AA5">
        <w:rPr>
          <w:b/>
          <w:bCs/>
          <w:sz w:val="24"/>
          <w:szCs w:val="24"/>
          <w:lang w:val="fr-FR"/>
        </w:rPr>
        <w:t>’</w:t>
      </w:r>
      <w:r w:rsidRPr="00B6466D">
        <w:rPr>
          <w:b/>
          <w:bCs/>
          <w:sz w:val="24"/>
          <w:szCs w:val="24"/>
          <w:lang w:val="fr-FR"/>
        </w:rPr>
        <w:t>appel d</w:t>
      </w:r>
      <w:r w:rsidR="00050AA5">
        <w:rPr>
          <w:b/>
          <w:bCs/>
          <w:sz w:val="24"/>
          <w:szCs w:val="24"/>
          <w:lang w:val="fr-FR"/>
        </w:rPr>
        <w:t>’</w:t>
      </w:r>
      <w:r w:rsidRPr="00B6466D">
        <w:rPr>
          <w:b/>
          <w:bCs/>
          <w:sz w:val="24"/>
          <w:szCs w:val="24"/>
          <w:lang w:val="fr-FR"/>
        </w:rPr>
        <w:t>urgence (AECS), lorsqu</w:t>
      </w:r>
      <w:r w:rsidR="00050AA5">
        <w:rPr>
          <w:b/>
          <w:bCs/>
          <w:sz w:val="24"/>
          <w:szCs w:val="24"/>
          <w:lang w:val="fr-FR"/>
        </w:rPr>
        <w:t>’</w:t>
      </w:r>
      <w:r w:rsidRPr="00B6466D">
        <w:rPr>
          <w:b/>
          <w:bCs/>
          <w:sz w:val="24"/>
          <w:szCs w:val="24"/>
          <w:lang w:val="fr-FR"/>
        </w:rPr>
        <w:t>ils sont équipés d</w:t>
      </w:r>
      <w:r w:rsidR="00050AA5">
        <w:rPr>
          <w:b/>
          <w:bCs/>
          <w:sz w:val="24"/>
          <w:szCs w:val="24"/>
          <w:lang w:val="fr-FR"/>
        </w:rPr>
        <w:t>’</w:t>
      </w:r>
      <w:r w:rsidRPr="00B6466D">
        <w:rPr>
          <w:b/>
          <w:bCs/>
          <w:sz w:val="24"/>
          <w:szCs w:val="24"/>
          <w:lang w:val="fr-FR"/>
        </w:rPr>
        <w:t xml:space="preserve">un AECD </w:t>
      </w:r>
      <w:r w:rsidRPr="00B6466D">
        <w:rPr>
          <w:b/>
          <w:bCs/>
          <w:sz w:val="24"/>
          <w:szCs w:val="24"/>
          <w:lang w:val="fr-FR"/>
        </w:rPr>
        <w:br/>
        <w:t>d</w:t>
      </w:r>
      <w:r w:rsidR="00050AA5">
        <w:rPr>
          <w:b/>
          <w:bCs/>
          <w:sz w:val="24"/>
          <w:szCs w:val="24"/>
          <w:lang w:val="fr-FR"/>
        </w:rPr>
        <w:t>’</w:t>
      </w:r>
      <w:r w:rsidRPr="00B6466D">
        <w:rPr>
          <w:b/>
          <w:bCs/>
          <w:sz w:val="24"/>
          <w:szCs w:val="24"/>
          <w:lang w:val="fr-FR"/>
        </w:rPr>
        <w:t>un type non homologué</w:t>
      </w:r>
    </w:p>
    <w:p w14:paraId="07060BFF" w14:textId="77777777" w:rsidR="00CE4060" w:rsidRPr="00757242" w:rsidRDefault="00CE4060" w:rsidP="00B6466D">
      <w:pPr>
        <w:pStyle w:val="SingleTxtG"/>
        <w:spacing w:before="240"/>
        <w:rPr>
          <w:lang w:val="fr-FR" w:eastAsia="en-GB"/>
        </w:rPr>
      </w:pPr>
      <w:r w:rsidRPr="00757242">
        <w:rPr>
          <w:lang w:val="fr-FR" w:eastAsia="en-GB"/>
        </w:rPr>
        <w:t>Le présent document est communiqué uniquement à titre d</w:t>
      </w:r>
      <w:r w:rsidR="00050AA5">
        <w:rPr>
          <w:lang w:val="fr-FR" w:eastAsia="en-GB"/>
        </w:rPr>
        <w:t>’</w:t>
      </w:r>
      <w:r w:rsidRPr="00757242">
        <w:rPr>
          <w:lang w:val="fr-FR" w:eastAsia="en-GB"/>
        </w:rPr>
        <w:t>information. Le texte authentique, juridiquement contraignant, est celui du document ECE/TRANS/WP.29/2020/24.</w:t>
      </w:r>
    </w:p>
    <w:p w14:paraId="0E06F16F" w14:textId="77777777" w:rsidR="00CE4060" w:rsidRPr="00757242" w:rsidRDefault="00CE4060" w:rsidP="00B6466D">
      <w:pPr>
        <w:pStyle w:val="SingleTxtG"/>
        <w:jc w:val="center"/>
        <w:rPr>
          <w:lang w:val="fr-FR"/>
        </w:rPr>
      </w:pPr>
      <w:r w:rsidRPr="00757242">
        <w:rPr>
          <w:noProof/>
          <w:lang w:val="fr-FR"/>
        </w:rPr>
        <w:drawing>
          <wp:anchor distT="0" distB="137160" distL="114300" distR="114300" simplePos="0" relativeHeight="251659264" behindDoc="0" locked="0" layoutInCell="1" allowOverlap="1" wp14:anchorId="35B35D6F" wp14:editId="3D14374D">
            <wp:simplePos x="0" y="0"/>
            <wp:positionH relativeFrom="column">
              <wp:posOffset>2548206</wp:posOffset>
            </wp:positionH>
            <wp:positionV relativeFrom="paragraph">
              <wp:posOffset>215900</wp:posOffset>
            </wp:positionV>
            <wp:extent cx="1028700" cy="826770"/>
            <wp:effectExtent l="0" t="0" r="0" b="0"/>
            <wp:wrapTopAndBottom/>
            <wp:docPr id="6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3" r="-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66D" w:rsidRPr="00757242">
        <w:rPr>
          <w:lang w:val="fr-FR"/>
        </w:rPr>
        <w:t>_________</w:t>
      </w:r>
    </w:p>
    <w:p w14:paraId="3B68E0DA" w14:textId="77777777" w:rsidR="00CE4060" w:rsidRPr="00B6466D" w:rsidRDefault="00CE4060" w:rsidP="00B6466D">
      <w:pPr>
        <w:pStyle w:val="SingleTxtG"/>
        <w:jc w:val="center"/>
        <w:rPr>
          <w:b/>
          <w:bCs/>
          <w:sz w:val="24"/>
          <w:szCs w:val="24"/>
          <w:lang w:val="fr-FR"/>
        </w:rPr>
      </w:pPr>
      <w:r w:rsidRPr="00B6466D">
        <w:rPr>
          <w:b/>
          <w:bCs/>
          <w:sz w:val="24"/>
          <w:szCs w:val="24"/>
          <w:lang w:val="fr-FR"/>
        </w:rPr>
        <w:t>NATIONS UNIES</w:t>
      </w:r>
      <w:r w:rsidRPr="00B6466D">
        <w:rPr>
          <w:b/>
          <w:bCs/>
          <w:sz w:val="24"/>
          <w:szCs w:val="24"/>
          <w:lang w:val="fr-FR"/>
        </w:rPr>
        <w:br w:type="page"/>
      </w:r>
    </w:p>
    <w:p w14:paraId="4186E782" w14:textId="77777777" w:rsidR="00CE4060" w:rsidRPr="0090402A" w:rsidRDefault="00CE4060" w:rsidP="00B6466D">
      <w:pPr>
        <w:pStyle w:val="SingleTxtG"/>
        <w:rPr>
          <w:lang w:val="fr-FR"/>
        </w:rPr>
      </w:pPr>
      <w:bookmarkStart w:id="1" w:name="_Toc387935149"/>
      <w:r w:rsidRPr="00B6466D">
        <w:rPr>
          <w:i/>
          <w:iCs/>
          <w:lang w:val="fr-FR"/>
        </w:rPr>
        <w:lastRenderedPageBreak/>
        <w:t>Paragraphe 7.3.11</w:t>
      </w:r>
      <w:r w:rsidRPr="0090402A">
        <w:rPr>
          <w:lang w:val="fr-FR"/>
        </w:rPr>
        <w:t xml:space="preserve">, </w:t>
      </w:r>
      <w:r w:rsidRPr="0090402A">
        <w:rPr>
          <w:iCs/>
          <w:lang w:val="fr-FR"/>
        </w:rPr>
        <w:t>lire :</w:t>
      </w:r>
    </w:p>
    <w:p w14:paraId="6F6C37AC" w14:textId="77777777" w:rsidR="00CE4060" w:rsidRPr="0090402A" w:rsidRDefault="00CE4060" w:rsidP="00B6466D">
      <w:pPr>
        <w:pStyle w:val="SingleTxtG"/>
        <w:ind w:left="2268" w:hanging="1134"/>
        <w:rPr>
          <w:rFonts w:eastAsia="Calibri"/>
          <w:lang w:val="fr-FR"/>
        </w:rPr>
      </w:pPr>
      <w:r w:rsidRPr="0090402A">
        <w:rPr>
          <w:rFonts w:eastAsia="Calibri"/>
          <w:lang w:val="fr-FR"/>
        </w:rPr>
        <w:t>« 7.3.11</w:t>
      </w:r>
      <w:r w:rsidRPr="0090402A">
        <w:rPr>
          <w:rFonts w:eastAsia="Calibri"/>
          <w:lang w:val="fr-FR"/>
        </w:rPr>
        <w:tab/>
        <w:t>Les procédures d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essai prévues à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 xml:space="preserve">annexe 10 peuvent être </w:t>
      </w:r>
      <w:r w:rsidRPr="00B6466D">
        <w:rPr>
          <w:iCs/>
          <w:lang w:val="fr-FR"/>
        </w:rPr>
        <w:t>effectuées</w:t>
      </w:r>
      <w:r w:rsidRPr="0090402A">
        <w:rPr>
          <w:rFonts w:eastAsia="Calibri"/>
          <w:lang w:val="fr-FR"/>
        </w:rPr>
        <w:t xml:space="preserve"> soit sur le dispositif AECC, avec possibilité d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évaluer la capacité de traitement aval, soit directement sur le récepteur GNSS faisant partie de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AECC</w:t>
      </w:r>
      <w:bookmarkStart w:id="2" w:name="_Toc456777141"/>
      <w:bookmarkEnd w:id="1"/>
      <w:r w:rsidRPr="0090402A">
        <w:rPr>
          <w:rFonts w:eastAsia="Calibri"/>
          <w:lang w:val="fr-FR"/>
        </w:rPr>
        <w:t>. ».</w:t>
      </w:r>
    </w:p>
    <w:bookmarkEnd w:id="2"/>
    <w:p w14:paraId="25A0AC56" w14:textId="77777777" w:rsidR="00CE4060" w:rsidRPr="0090402A" w:rsidRDefault="00CE4060" w:rsidP="00B6466D">
      <w:pPr>
        <w:pStyle w:val="SingleTxtG"/>
        <w:rPr>
          <w:rFonts w:eastAsia="Calibri"/>
          <w:iCs/>
          <w:lang w:val="fr-FR"/>
        </w:rPr>
      </w:pPr>
      <w:r w:rsidRPr="0090402A">
        <w:rPr>
          <w:rFonts w:eastAsia="Calibri"/>
          <w:i/>
          <w:lang w:val="fr-FR"/>
        </w:rPr>
        <w:t>Paragraphe 17.3</w:t>
      </w:r>
      <w:r w:rsidRPr="0090402A">
        <w:rPr>
          <w:rFonts w:eastAsia="Calibri"/>
          <w:lang w:val="fr-FR"/>
        </w:rPr>
        <w:t>,</w:t>
      </w:r>
      <w:r w:rsidRPr="0090402A">
        <w:rPr>
          <w:rFonts w:eastAsia="Calibri"/>
          <w:iCs/>
          <w:lang w:val="fr-FR"/>
        </w:rPr>
        <w:t xml:space="preserve"> lire :</w:t>
      </w:r>
    </w:p>
    <w:p w14:paraId="2000139F" w14:textId="77777777" w:rsidR="00CE4060" w:rsidRPr="0090402A" w:rsidRDefault="00CE4060" w:rsidP="00B6466D">
      <w:pPr>
        <w:pStyle w:val="SingleTxtG"/>
        <w:ind w:left="2268" w:hanging="1134"/>
        <w:rPr>
          <w:rFonts w:eastAsia="Calibri"/>
          <w:lang w:val="fr-FR"/>
        </w:rPr>
      </w:pPr>
      <w:r w:rsidRPr="0090402A">
        <w:rPr>
          <w:rFonts w:eastAsia="Calibri"/>
          <w:lang w:val="fr-FR"/>
        </w:rPr>
        <w:t>« 17.3</w:t>
      </w:r>
      <w:r w:rsidRPr="0090402A">
        <w:rPr>
          <w:rFonts w:eastAsia="Calibri"/>
          <w:lang w:val="fr-FR"/>
        </w:rPr>
        <w:tab/>
        <w:t>Détermination de la position</w:t>
      </w:r>
    </w:p>
    <w:p w14:paraId="3DFD6CF7" w14:textId="77777777" w:rsidR="00CE4060" w:rsidRPr="0090402A" w:rsidRDefault="00CE4060" w:rsidP="00B6466D">
      <w:pPr>
        <w:pStyle w:val="SingleTxtG"/>
        <w:ind w:left="2268"/>
        <w:rPr>
          <w:lang w:val="fr-FR"/>
        </w:rPr>
      </w:pPr>
      <w:r w:rsidRPr="0090402A">
        <w:rPr>
          <w:lang w:val="fr-FR"/>
        </w:rPr>
        <w:t>…</w:t>
      </w:r>
    </w:p>
    <w:p w14:paraId="3E4A0E08" w14:textId="77777777" w:rsidR="00CE4060" w:rsidRPr="0090402A" w:rsidRDefault="00CE4060" w:rsidP="00B6466D">
      <w:pPr>
        <w:pStyle w:val="SingleTxtG"/>
        <w:ind w:left="2268"/>
        <w:rPr>
          <w:rFonts w:eastAsia="Calibri"/>
          <w:bCs/>
          <w:lang w:val="fr-FR"/>
        </w:rPr>
      </w:pPr>
      <w:r w:rsidRPr="0090402A">
        <w:rPr>
          <w:rFonts w:eastAsia="Calibri"/>
          <w:lang w:val="fr-FR"/>
        </w:rPr>
        <w:t>La capacité de positionnement de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AECD peut être démontrée au moyen des méthodes d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essai décrites à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annexe 10 (Méthodes d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essai pour les solutions de navigation).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information correspondante doit figurer dans le document de communication visé à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annexe 2, point</w:t>
      </w:r>
      <w:r w:rsidRPr="0090402A">
        <w:rPr>
          <w:rFonts w:eastAsia="Calibri"/>
          <w:bCs/>
          <w:lang w:val="fr-FR"/>
        </w:rPr>
        <w:t xml:space="preserve"> 12. ».</w:t>
      </w:r>
    </w:p>
    <w:p w14:paraId="3A091BA1" w14:textId="77777777" w:rsidR="00CE4060" w:rsidRPr="0090402A" w:rsidRDefault="00CE4060" w:rsidP="00B6466D">
      <w:pPr>
        <w:pStyle w:val="SingleTxtG"/>
        <w:rPr>
          <w:rFonts w:eastAsia="Calibri"/>
          <w:i/>
          <w:lang w:val="fr-FR"/>
        </w:rPr>
      </w:pPr>
      <w:r w:rsidRPr="0090402A">
        <w:rPr>
          <w:rFonts w:eastAsia="Calibri"/>
          <w:i/>
          <w:lang w:val="fr-FR"/>
        </w:rPr>
        <w:t>Paragraphe 17.5</w:t>
      </w:r>
      <w:r w:rsidRPr="0090402A">
        <w:rPr>
          <w:rFonts w:eastAsia="Calibri"/>
          <w:lang w:val="fr-FR"/>
        </w:rPr>
        <w:t>,</w:t>
      </w:r>
      <w:r w:rsidRPr="0090402A">
        <w:rPr>
          <w:rFonts w:eastAsia="Calibri"/>
          <w:i/>
          <w:lang w:val="fr-FR"/>
        </w:rPr>
        <w:t xml:space="preserve"> </w:t>
      </w:r>
      <w:r w:rsidRPr="0090402A">
        <w:rPr>
          <w:rFonts w:eastAsia="Calibri"/>
          <w:iCs/>
          <w:lang w:val="fr-FR"/>
        </w:rPr>
        <w:t>lire :</w:t>
      </w:r>
    </w:p>
    <w:p w14:paraId="0A75B759" w14:textId="77777777" w:rsidR="00CE4060" w:rsidRPr="0090402A" w:rsidRDefault="00CE4060" w:rsidP="00B6466D">
      <w:pPr>
        <w:pStyle w:val="SingleTxtG"/>
        <w:ind w:left="2268" w:hanging="1134"/>
        <w:rPr>
          <w:rFonts w:eastAsia="Calibri"/>
          <w:lang w:val="fr-FR"/>
        </w:rPr>
      </w:pPr>
      <w:r w:rsidRPr="0090402A">
        <w:rPr>
          <w:rFonts w:eastAsia="Calibri"/>
          <w:lang w:val="fr-FR"/>
        </w:rPr>
        <w:t>« 17.5</w:t>
      </w:r>
      <w:r w:rsidRPr="0090402A">
        <w:rPr>
          <w:rFonts w:eastAsia="Calibri"/>
          <w:lang w:val="fr-FR"/>
        </w:rPr>
        <w:tab/>
        <w:t>Signaux d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information et d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avertissement</w:t>
      </w:r>
    </w:p>
    <w:p w14:paraId="61078C39" w14:textId="77777777" w:rsidR="00CE4060" w:rsidRPr="0090402A" w:rsidRDefault="00CE4060" w:rsidP="00B6466D">
      <w:pPr>
        <w:pStyle w:val="SingleTxtG"/>
        <w:ind w:left="2268"/>
        <w:rPr>
          <w:rFonts w:eastAsia="Calibri"/>
          <w:lang w:val="fr-FR"/>
        </w:rPr>
      </w:pPr>
      <w:r w:rsidRPr="0090402A">
        <w:rPr>
          <w:rFonts w:eastAsia="Calibri"/>
          <w:lang w:val="fr-FR"/>
        </w:rPr>
        <w:t>Si le demandeur de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homologation le demande, la vérification des signaux d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information et d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avertissement peut faire partie de la procédure d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homologation de type d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un AECD. Dans ce cas, les dispositions des paragraphes 17.5.1 à 17.5.3 s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appliquent. Cette information doit figurer dans le document de communication de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annexe 2, point 13. Si la vérification des signaux d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information et d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avertissement ne fait pas partie de la procédure d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homologation d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un AECD en application de la partie Ib, elle doit faire partie de la procédure d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homologation en application de la partie II. ».</w:t>
      </w:r>
    </w:p>
    <w:p w14:paraId="799B5E11" w14:textId="77777777" w:rsidR="00CE4060" w:rsidRPr="0090402A" w:rsidRDefault="00CE4060" w:rsidP="00B6466D">
      <w:pPr>
        <w:pStyle w:val="SingleTxtG"/>
        <w:rPr>
          <w:rFonts w:eastAsia="Calibri"/>
          <w:i/>
          <w:lang w:val="fr-FR"/>
        </w:rPr>
      </w:pPr>
      <w:r w:rsidRPr="0090402A">
        <w:rPr>
          <w:rFonts w:eastAsia="Calibri"/>
          <w:i/>
          <w:lang w:val="fr-FR"/>
        </w:rPr>
        <w:t>Paragraphe 17.6.4</w:t>
      </w:r>
      <w:r w:rsidRPr="0090402A">
        <w:rPr>
          <w:rFonts w:eastAsia="Calibri"/>
          <w:lang w:val="fr-FR"/>
        </w:rPr>
        <w:t>,</w:t>
      </w:r>
      <w:r w:rsidRPr="0090402A">
        <w:rPr>
          <w:rFonts w:eastAsia="Calibri"/>
          <w:i/>
          <w:lang w:val="fr-FR"/>
        </w:rPr>
        <w:t xml:space="preserve"> </w:t>
      </w:r>
      <w:r w:rsidRPr="0090402A">
        <w:rPr>
          <w:rFonts w:eastAsia="Calibri"/>
          <w:iCs/>
          <w:lang w:val="fr-FR"/>
        </w:rPr>
        <w:t>lire :</w:t>
      </w:r>
    </w:p>
    <w:p w14:paraId="58749993" w14:textId="77777777" w:rsidR="00CE4060" w:rsidRPr="0090402A" w:rsidRDefault="00CE4060" w:rsidP="00B6466D">
      <w:pPr>
        <w:pStyle w:val="SingleTxtG"/>
        <w:ind w:left="2268" w:hanging="1134"/>
        <w:rPr>
          <w:rFonts w:eastAsia="Calibri"/>
          <w:lang w:val="fr-FR"/>
        </w:rPr>
      </w:pPr>
      <w:bookmarkStart w:id="3" w:name="_Toc387935155"/>
      <w:r w:rsidRPr="0090402A">
        <w:rPr>
          <w:rFonts w:eastAsia="Calibri"/>
          <w:lang w:val="fr-FR"/>
        </w:rPr>
        <w:t>« 17.6.4</w:t>
      </w:r>
      <w:r w:rsidRPr="0090402A">
        <w:rPr>
          <w:rFonts w:eastAsia="Calibri"/>
          <w:lang w:val="fr-FR"/>
        </w:rPr>
        <w:tab/>
        <w:t>Si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AECD est équipé d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une alimentation électrique de secours, il convient de vérifier, à la demande du demandeur de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homologation, qu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il peut fonctionner de façon autonome pendant au moins 5</w:t>
      </w:r>
      <w:r w:rsidR="00EB1512">
        <w:rPr>
          <w:rFonts w:eastAsia="Calibri"/>
          <w:lang w:val="fr-FR"/>
        </w:rPr>
        <w:t> </w:t>
      </w:r>
      <w:r w:rsidRPr="0090402A">
        <w:rPr>
          <w:rFonts w:eastAsia="Calibri"/>
          <w:lang w:val="fr-FR"/>
        </w:rPr>
        <w:t>minutes dans un premier temps, en mode communication vocale, puis pendant 60</w:t>
      </w:r>
      <w:r w:rsidR="00EB1512">
        <w:rPr>
          <w:rFonts w:eastAsia="Calibri"/>
          <w:lang w:val="fr-FR"/>
        </w:rPr>
        <w:t> </w:t>
      </w:r>
      <w:r w:rsidRPr="0090402A">
        <w:rPr>
          <w:rFonts w:eastAsia="Calibri"/>
          <w:lang w:val="fr-FR"/>
        </w:rPr>
        <w:t>minutes en mode rappel (mode inactif enregistré dans un réseau) et enfin au moins pendant 5 minutes en mode communication vocale. Cette information doit figurer dans le document de communication défini à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annexe 2, point 11. ».</w:t>
      </w:r>
    </w:p>
    <w:bookmarkEnd w:id="3"/>
    <w:p w14:paraId="0C348FB8" w14:textId="77777777" w:rsidR="00CE4060" w:rsidRPr="0090402A" w:rsidRDefault="00CE4060" w:rsidP="00B6466D">
      <w:pPr>
        <w:pStyle w:val="SingleTxtG"/>
        <w:rPr>
          <w:rFonts w:eastAsia="Calibri"/>
          <w:iCs/>
          <w:lang w:val="fr-FR"/>
        </w:rPr>
      </w:pPr>
      <w:r w:rsidRPr="0090402A">
        <w:rPr>
          <w:rFonts w:eastAsia="Calibri"/>
          <w:i/>
          <w:lang w:val="fr-FR"/>
        </w:rPr>
        <w:t>Paragraphe 26.2.1.2.2</w:t>
      </w:r>
      <w:r w:rsidRPr="0090402A">
        <w:rPr>
          <w:rFonts w:eastAsia="Calibri"/>
          <w:lang w:val="fr-FR"/>
        </w:rPr>
        <w:t>,</w:t>
      </w:r>
      <w:r w:rsidRPr="0090402A">
        <w:rPr>
          <w:rFonts w:eastAsia="Calibri"/>
          <w:iCs/>
          <w:lang w:val="fr-FR"/>
        </w:rPr>
        <w:t xml:space="preserve"> lire :</w:t>
      </w:r>
    </w:p>
    <w:p w14:paraId="577A4E39" w14:textId="77777777" w:rsidR="00CE4060" w:rsidRPr="0090402A" w:rsidRDefault="00CE4060" w:rsidP="00B6466D">
      <w:pPr>
        <w:pStyle w:val="SingleTxtG"/>
        <w:ind w:left="2268" w:hanging="1134"/>
        <w:rPr>
          <w:rFonts w:eastAsia="Calibri"/>
          <w:lang w:val="fr-FR"/>
        </w:rPr>
      </w:pPr>
      <w:r w:rsidRPr="0090402A">
        <w:rPr>
          <w:rFonts w:eastAsia="Calibri"/>
          <w:lang w:val="fr-FR"/>
        </w:rPr>
        <w:t>« 26.2.1.2.2</w:t>
      </w:r>
      <w:r w:rsidRPr="0090402A">
        <w:rPr>
          <w:rFonts w:eastAsia="Calibri"/>
          <w:lang w:val="fr-FR"/>
        </w:rPr>
        <w:tab/>
        <w:t>Dans le cas de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extension d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homologations de type en vertu du présent Règlement, ou dans le cas de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 xml:space="preserve">homologation de types de véhicules déjà accordée en vertu du Règlement ONU </w:t>
      </w:r>
      <w:r w:rsidRPr="0090402A">
        <w:rPr>
          <w:rFonts w:eastAsia="MS Mincho"/>
          <w:lang w:val="fr-FR"/>
        </w:rPr>
        <w:t>n</w:t>
      </w:r>
      <w:r w:rsidRPr="0090402A">
        <w:rPr>
          <w:rFonts w:eastAsia="MS Mincho"/>
          <w:vertAlign w:val="superscript"/>
          <w:lang w:val="fr-FR"/>
        </w:rPr>
        <w:t>o</w:t>
      </w:r>
      <w:r w:rsidRPr="0090402A">
        <w:rPr>
          <w:rFonts w:eastAsia="Calibri"/>
          <w:lang w:val="fr-FR"/>
        </w:rPr>
        <w:t> 94 avant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entrée en vigueur du présent Règlement, lorsqu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il est démontré, documentation existante à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appui (rapport, images, données de simulation ou éléments équivalents) que lors d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 xml:space="preserve">un choc avant (Règlement ONU </w:t>
      </w:r>
      <w:r w:rsidRPr="0090402A">
        <w:rPr>
          <w:rFonts w:eastAsia="MS Mincho"/>
          <w:lang w:val="fr-FR"/>
        </w:rPr>
        <w:t>n</w:t>
      </w:r>
      <w:r w:rsidRPr="0090402A">
        <w:rPr>
          <w:rFonts w:eastAsia="MS Mincho"/>
          <w:vertAlign w:val="superscript"/>
          <w:lang w:val="fr-FR"/>
        </w:rPr>
        <w:t>o</w:t>
      </w:r>
      <w:r w:rsidRPr="0090402A">
        <w:rPr>
          <w:rFonts w:eastAsia="Calibri"/>
          <w:lang w:val="fr-FR"/>
        </w:rPr>
        <w:t> 94) :</w:t>
      </w:r>
    </w:p>
    <w:p w14:paraId="0A17CC62" w14:textId="77777777" w:rsidR="00CE4060" w:rsidRPr="0090402A" w:rsidRDefault="00CE4060" w:rsidP="00B6466D">
      <w:pPr>
        <w:pStyle w:val="SingleTxtG"/>
        <w:ind w:left="2835" w:hanging="567"/>
        <w:rPr>
          <w:lang w:val="fr-FR"/>
        </w:rPr>
      </w:pPr>
      <w:r w:rsidRPr="0090402A">
        <w:rPr>
          <w:lang w:val="fr-FR"/>
        </w:rPr>
        <w:t>a)</w:t>
      </w:r>
      <w:r w:rsidRPr="0090402A">
        <w:rPr>
          <w:lang w:val="fr-FR"/>
        </w:rPr>
        <w:tab/>
        <w:t>Un signal de déclenchement a été émis ;</w:t>
      </w:r>
    </w:p>
    <w:p w14:paraId="4E087FC0" w14:textId="77777777" w:rsidR="00CE4060" w:rsidRPr="0090402A" w:rsidRDefault="00CE4060" w:rsidP="00B6466D">
      <w:pPr>
        <w:pStyle w:val="SingleTxtG"/>
        <w:ind w:left="2835" w:hanging="567"/>
        <w:rPr>
          <w:rFonts w:eastAsia="Calibri"/>
          <w:lang w:val="fr-FR"/>
        </w:rPr>
      </w:pPr>
      <w:r w:rsidRPr="0090402A">
        <w:rPr>
          <w:rFonts w:eastAsia="Calibri"/>
          <w:lang w:val="fr-FR"/>
        </w:rPr>
        <w:t>b)</w:t>
      </w:r>
      <w:r w:rsidRPr="0090402A">
        <w:rPr>
          <w:rFonts w:eastAsia="Calibri"/>
          <w:lang w:val="fr-FR"/>
        </w:rPr>
        <w:tab/>
        <w:t>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installation de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AECD n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 xml:space="preserve">est pas perturbée par le </w:t>
      </w:r>
      <w:r w:rsidRPr="00B6466D">
        <w:rPr>
          <w:lang w:val="fr-FR"/>
        </w:rPr>
        <w:t>choc</w:t>
      </w:r>
      <w:r w:rsidRPr="0090402A">
        <w:rPr>
          <w:rFonts w:eastAsia="Calibri"/>
          <w:lang w:val="fr-FR"/>
        </w:rPr>
        <w:t xml:space="preserve"> subi par le véhicule. ».</w:t>
      </w:r>
    </w:p>
    <w:p w14:paraId="3719D2C6" w14:textId="77777777" w:rsidR="00CE4060" w:rsidRPr="0090402A" w:rsidRDefault="00CE4060" w:rsidP="00B6466D">
      <w:pPr>
        <w:pStyle w:val="SingleTxtG"/>
        <w:rPr>
          <w:rFonts w:eastAsia="Calibri"/>
          <w:iCs/>
          <w:lang w:val="fr-FR"/>
        </w:rPr>
      </w:pPr>
      <w:r w:rsidRPr="0090402A">
        <w:rPr>
          <w:rFonts w:eastAsia="Calibri"/>
          <w:i/>
          <w:lang w:val="fr-FR"/>
        </w:rPr>
        <w:t>Paragraphe 26.2.1.3.2</w:t>
      </w:r>
      <w:r w:rsidRPr="0090402A">
        <w:rPr>
          <w:rFonts w:eastAsia="Calibri"/>
          <w:iCs/>
          <w:lang w:val="fr-FR"/>
        </w:rPr>
        <w:t>, lire :</w:t>
      </w:r>
    </w:p>
    <w:p w14:paraId="74B7D097" w14:textId="77777777" w:rsidR="00CE4060" w:rsidRPr="0090402A" w:rsidRDefault="00CE4060" w:rsidP="00B6466D">
      <w:pPr>
        <w:pStyle w:val="SingleTxtG"/>
        <w:ind w:left="2268" w:hanging="1134"/>
        <w:rPr>
          <w:rFonts w:eastAsia="Calibri"/>
          <w:lang w:val="fr-FR"/>
        </w:rPr>
      </w:pPr>
      <w:r w:rsidRPr="0090402A">
        <w:rPr>
          <w:rFonts w:eastAsia="Calibri"/>
          <w:lang w:val="fr-FR"/>
        </w:rPr>
        <w:t>« 26.2.1.3.2</w:t>
      </w:r>
      <w:r w:rsidRPr="0090402A">
        <w:rPr>
          <w:rFonts w:eastAsia="Calibri"/>
          <w:lang w:val="fr-FR"/>
        </w:rPr>
        <w:tab/>
        <w:t>Dans le cas de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extension d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homologations de type en vertu du présent Règlement, ou dans le cas de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 xml:space="preserve">homologation de types de véhicules déjà accordée en vertu du Règlement ONU </w:t>
      </w:r>
      <w:r w:rsidRPr="0090402A">
        <w:rPr>
          <w:rFonts w:eastAsia="MS Mincho"/>
          <w:szCs w:val="22"/>
          <w:lang w:val="fr-FR"/>
        </w:rPr>
        <w:t>n</w:t>
      </w:r>
      <w:r w:rsidRPr="0090402A">
        <w:rPr>
          <w:rFonts w:eastAsia="MS Mincho"/>
          <w:szCs w:val="22"/>
          <w:vertAlign w:val="superscript"/>
          <w:lang w:val="fr-FR"/>
        </w:rPr>
        <w:t>o</w:t>
      </w:r>
      <w:r w:rsidRPr="0090402A">
        <w:rPr>
          <w:rFonts w:eastAsia="MS Mincho"/>
          <w:lang w:val="fr-FR"/>
        </w:rPr>
        <w:t> </w:t>
      </w:r>
      <w:r w:rsidRPr="0090402A">
        <w:rPr>
          <w:rFonts w:eastAsia="Calibri"/>
          <w:lang w:val="fr-FR"/>
        </w:rPr>
        <w:t>95 avant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entrée en vigueur du présent Règlement, lorsqu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il est démontré, documentation existante à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appui (rapport, images, données de simulation ou éléments équivalents) que lors d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 xml:space="preserve">un choc latéral (Règlement ONU </w:t>
      </w:r>
      <w:r w:rsidRPr="0090402A">
        <w:rPr>
          <w:rFonts w:eastAsia="MS Mincho"/>
          <w:lang w:val="fr-FR"/>
        </w:rPr>
        <w:t>n</w:t>
      </w:r>
      <w:r w:rsidRPr="0090402A">
        <w:rPr>
          <w:rFonts w:eastAsia="MS Mincho"/>
          <w:vertAlign w:val="superscript"/>
          <w:lang w:val="fr-FR"/>
        </w:rPr>
        <w:t>o</w:t>
      </w:r>
      <w:r w:rsidRPr="0090402A">
        <w:rPr>
          <w:rFonts w:eastAsia="Calibri"/>
          <w:lang w:val="fr-FR"/>
        </w:rPr>
        <w:t> 95) :</w:t>
      </w:r>
    </w:p>
    <w:p w14:paraId="4ACA28D1" w14:textId="77777777" w:rsidR="00CE4060" w:rsidRPr="0090402A" w:rsidRDefault="00CE4060" w:rsidP="00B6466D">
      <w:pPr>
        <w:pStyle w:val="SingleTxtG"/>
        <w:ind w:left="2835" w:hanging="567"/>
        <w:rPr>
          <w:rFonts w:eastAsia="Calibri"/>
          <w:lang w:val="fr-FR"/>
        </w:rPr>
      </w:pPr>
      <w:r w:rsidRPr="0090402A">
        <w:rPr>
          <w:rFonts w:eastAsia="Calibri"/>
          <w:lang w:val="fr-FR"/>
        </w:rPr>
        <w:t>a)</w:t>
      </w:r>
      <w:r w:rsidRPr="0090402A">
        <w:rPr>
          <w:rFonts w:eastAsia="Calibri"/>
          <w:lang w:val="fr-FR"/>
        </w:rPr>
        <w:tab/>
        <w:t xml:space="preserve">Un signal de déclenchement a été </w:t>
      </w:r>
      <w:r w:rsidRPr="00B6466D">
        <w:rPr>
          <w:lang w:val="fr-FR"/>
        </w:rPr>
        <w:t>émis</w:t>
      </w:r>
      <w:r w:rsidRPr="0090402A">
        <w:rPr>
          <w:rFonts w:eastAsia="Calibri"/>
          <w:lang w:val="fr-FR"/>
        </w:rPr>
        <w:t> ;</w:t>
      </w:r>
    </w:p>
    <w:p w14:paraId="488CAC6C" w14:textId="77777777" w:rsidR="00CE4060" w:rsidRPr="0090402A" w:rsidRDefault="00CE4060" w:rsidP="00B6466D">
      <w:pPr>
        <w:pStyle w:val="SingleTxtG"/>
        <w:ind w:left="2835" w:hanging="567"/>
        <w:rPr>
          <w:rFonts w:eastAsia="Calibri"/>
          <w:lang w:val="fr-FR"/>
        </w:rPr>
      </w:pPr>
      <w:r w:rsidRPr="0090402A">
        <w:rPr>
          <w:rFonts w:eastAsia="Calibri"/>
          <w:lang w:val="fr-FR"/>
        </w:rPr>
        <w:t>b)</w:t>
      </w:r>
      <w:r w:rsidRPr="0090402A">
        <w:rPr>
          <w:rFonts w:eastAsia="Calibri"/>
          <w:lang w:val="fr-FR"/>
        </w:rPr>
        <w:tab/>
        <w:t>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installation de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AECD n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est pas perturbée par le choc subi par le véhicule. ».</w:t>
      </w:r>
    </w:p>
    <w:p w14:paraId="57BF848C" w14:textId="77777777" w:rsidR="00CE4060" w:rsidRPr="0090402A" w:rsidRDefault="00CE4060" w:rsidP="00050AA5">
      <w:pPr>
        <w:pStyle w:val="SingleTxtG"/>
        <w:keepNext/>
        <w:rPr>
          <w:rFonts w:eastAsia="Calibri"/>
          <w:iCs/>
          <w:lang w:val="fr-FR"/>
        </w:rPr>
      </w:pPr>
      <w:r w:rsidRPr="0090402A">
        <w:rPr>
          <w:rFonts w:eastAsia="Calibri"/>
          <w:i/>
          <w:lang w:val="fr-FR"/>
        </w:rPr>
        <w:lastRenderedPageBreak/>
        <w:t>Paragraphe 26.2.2.1.2</w:t>
      </w:r>
      <w:r w:rsidRPr="0090402A">
        <w:rPr>
          <w:rFonts w:eastAsia="Calibri"/>
          <w:lang w:val="fr-FR"/>
        </w:rPr>
        <w:t>,</w:t>
      </w:r>
      <w:r w:rsidRPr="0090402A">
        <w:rPr>
          <w:rFonts w:eastAsia="Calibri"/>
          <w:i/>
          <w:lang w:val="fr-FR"/>
        </w:rPr>
        <w:t xml:space="preserve"> </w:t>
      </w:r>
      <w:r w:rsidRPr="0090402A">
        <w:rPr>
          <w:rFonts w:eastAsia="Calibri"/>
          <w:iCs/>
          <w:lang w:val="fr-FR"/>
        </w:rPr>
        <w:t>lire :</w:t>
      </w:r>
    </w:p>
    <w:p w14:paraId="694CDC7A" w14:textId="77777777" w:rsidR="00CE4060" w:rsidRPr="0090402A" w:rsidRDefault="00CE4060" w:rsidP="00050AA5">
      <w:pPr>
        <w:pStyle w:val="SingleTxtG"/>
        <w:keepNext/>
        <w:ind w:left="2268" w:hanging="1134"/>
        <w:rPr>
          <w:rFonts w:eastAsia="Calibri"/>
          <w:lang w:val="fr-FR"/>
        </w:rPr>
      </w:pPr>
      <w:r w:rsidRPr="0090402A">
        <w:rPr>
          <w:rFonts w:eastAsia="Calibri"/>
          <w:lang w:val="fr-FR"/>
        </w:rPr>
        <w:t>« 26.2.2.1.2</w:t>
      </w:r>
      <w:r w:rsidRPr="0090402A">
        <w:rPr>
          <w:rFonts w:eastAsia="Calibri"/>
          <w:lang w:val="fr-FR"/>
        </w:rPr>
        <w:tab/>
        <w:t>Dans le cas de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extension d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homologations de type en vertu du présent Règlement ou dans le cas de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 xml:space="preserve">homologation de types de véhicules déjà homologués en vertu du Règlement ONU </w:t>
      </w:r>
      <w:r w:rsidRPr="0090402A">
        <w:rPr>
          <w:rFonts w:eastAsia="MS Mincho"/>
          <w:szCs w:val="22"/>
          <w:lang w:val="fr-FR"/>
        </w:rPr>
        <w:t>n</w:t>
      </w:r>
      <w:r w:rsidRPr="0090402A">
        <w:rPr>
          <w:rFonts w:eastAsia="MS Mincho"/>
          <w:szCs w:val="22"/>
          <w:vertAlign w:val="superscript"/>
          <w:lang w:val="fr-FR"/>
        </w:rPr>
        <w:t>o</w:t>
      </w:r>
      <w:r w:rsidRPr="0090402A">
        <w:rPr>
          <w:rFonts w:eastAsia="MS Mincho"/>
          <w:lang w:val="fr-FR"/>
        </w:rPr>
        <w:t> </w:t>
      </w:r>
      <w:r w:rsidRPr="0090402A">
        <w:rPr>
          <w:rFonts w:eastAsia="Calibri"/>
          <w:lang w:val="fr-FR"/>
        </w:rPr>
        <w:t>9</w:t>
      </w:r>
      <w:r w:rsidRPr="00757242">
        <w:rPr>
          <w:rFonts w:eastAsia="Calibri"/>
          <w:lang w:val="fr-FR"/>
        </w:rPr>
        <w:t>5</w:t>
      </w:r>
      <w:r w:rsidRPr="0090402A">
        <w:rPr>
          <w:rFonts w:eastAsia="Calibri"/>
          <w:lang w:val="fr-FR"/>
        </w:rPr>
        <w:t xml:space="preserve"> avant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entrée en vigueur du présent Règlement, lorsqu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il est démontré, documentation existante à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appui (rapport, images, données de simulation ou documents équivalents) que lors d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 xml:space="preserve">un essai de choc latéral (Règlement ONU </w:t>
      </w:r>
      <w:r w:rsidRPr="0090402A">
        <w:rPr>
          <w:rFonts w:eastAsia="MS Mincho"/>
          <w:lang w:val="fr-FR"/>
        </w:rPr>
        <w:t>n</w:t>
      </w:r>
      <w:r w:rsidRPr="0090402A">
        <w:rPr>
          <w:rFonts w:eastAsia="MS Mincho"/>
          <w:vertAlign w:val="superscript"/>
          <w:lang w:val="fr-FR"/>
        </w:rPr>
        <w:t>o</w:t>
      </w:r>
      <w:r w:rsidRPr="0090402A">
        <w:rPr>
          <w:rFonts w:eastAsia="Calibri"/>
          <w:lang w:val="fr-FR"/>
        </w:rPr>
        <w:t> 95) :</w:t>
      </w:r>
    </w:p>
    <w:p w14:paraId="44B32A8F" w14:textId="77777777" w:rsidR="00CE4060" w:rsidRPr="0090402A" w:rsidRDefault="00CE4060" w:rsidP="00B6466D">
      <w:pPr>
        <w:pStyle w:val="SingleTxtG"/>
        <w:ind w:left="2835" w:hanging="567"/>
        <w:rPr>
          <w:rFonts w:eastAsia="Calibri"/>
          <w:lang w:val="fr-FR"/>
        </w:rPr>
      </w:pPr>
      <w:r w:rsidRPr="0090402A">
        <w:rPr>
          <w:rFonts w:eastAsia="Calibri"/>
          <w:lang w:val="fr-FR"/>
        </w:rPr>
        <w:t>a)</w:t>
      </w:r>
      <w:r w:rsidRPr="0090402A">
        <w:rPr>
          <w:rFonts w:eastAsia="Calibri"/>
          <w:lang w:val="fr-FR"/>
        </w:rPr>
        <w:tab/>
        <w:t xml:space="preserve">Un signal de </w:t>
      </w:r>
      <w:r w:rsidRPr="00B6466D">
        <w:rPr>
          <w:lang w:val="fr-FR"/>
        </w:rPr>
        <w:t>déclenchement</w:t>
      </w:r>
      <w:r w:rsidRPr="0090402A">
        <w:rPr>
          <w:rFonts w:eastAsia="Calibri"/>
          <w:lang w:val="fr-FR"/>
        </w:rPr>
        <w:t xml:space="preserve"> a été émis ;</w:t>
      </w:r>
    </w:p>
    <w:p w14:paraId="28747B8E" w14:textId="77777777" w:rsidR="00CE4060" w:rsidRPr="0090402A" w:rsidRDefault="00CE4060" w:rsidP="00B6466D">
      <w:pPr>
        <w:pStyle w:val="SingleTxtG"/>
        <w:ind w:left="2835" w:hanging="567"/>
        <w:rPr>
          <w:rFonts w:eastAsia="Calibri"/>
          <w:lang w:val="fr-FR"/>
        </w:rPr>
      </w:pPr>
      <w:r w:rsidRPr="0090402A">
        <w:rPr>
          <w:rFonts w:eastAsia="Calibri"/>
          <w:lang w:val="fr-FR"/>
        </w:rPr>
        <w:t>b)</w:t>
      </w:r>
      <w:r w:rsidRPr="0090402A">
        <w:rPr>
          <w:rFonts w:eastAsia="Calibri"/>
          <w:lang w:val="fr-FR"/>
        </w:rPr>
        <w:tab/>
        <w:t>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installation de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 xml:space="preserve">AECD </w:t>
      </w:r>
      <w:r w:rsidRPr="00B6466D">
        <w:rPr>
          <w:lang w:val="fr-FR"/>
        </w:rPr>
        <w:t>n</w:t>
      </w:r>
      <w:r w:rsidR="00050AA5">
        <w:rPr>
          <w:lang w:val="fr-FR"/>
        </w:rPr>
        <w:t>’</w:t>
      </w:r>
      <w:r w:rsidRPr="00B6466D">
        <w:rPr>
          <w:lang w:val="fr-FR"/>
        </w:rPr>
        <w:t>est</w:t>
      </w:r>
      <w:r w:rsidRPr="0090402A">
        <w:rPr>
          <w:rFonts w:eastAsia="Calibri"/>
          <w:lang w:val="fr-FR"/>
        </w:rPr>
        <w:t xml:space="preserve"> pas perturbée par le choc subi par le véhicule. ».</w:t>
      </w:r>
    </w:p>
    <w:p w14:paraId="17B4B4A1" w14:textId="77777777" w:rsidR="00CE4060" w:rsidRPr="0090402A" w:rsidRDefault="00CE4060" w:rsidP="00B6466D">
      <w:pPr>
        <w:pStyle w:val="SingleTxtG"/>
        <w:rPr>
          <w:rFonts w:eastAsia="Calibri"/>
          <w:iCs/>
          <w:lang w:val="fr-FR"/>
        </w:rPr>
      </w:pPr>
      <w:r w:rsidRPr="0090402A">
        <w:rPr>
          <w:rFonts w:eastAsia="Calibri"/>
          <w:i/>
          <w:lang w:val="fr-FR"/>
        </w:rPr>
        <w:t>Paragraphe 26.3</w:t>
      </w:r>
      <w:r w:rsidRPr="0090402A">
        <w:rPr>
          <w:rFonts w:eastAsia="Calibri"/>
          <w:lang w:val="fr-FR"/>
        </w:rPr>
        <w:t>,</w:t>
      </w:r>
      <w:r w:rsidRPr="0090402A">
        <w:rPr>
          <w:rFonts w:eastAsia="Calibri"/>
          <w:i/>
          <w:lang w:val="fr-FR"/>
        </w:rPr>
        <w:t xml:space="preserve"> </w:t>
      </w:r>
      <w:r w:rsidRPr="0090402A">
        <w:rPr>
          <w:rFonts w:eastAsia="Calibri"/>
          <w:iCs/>
          <w:lang w:val="fr-FR"/>
        </w:rPr>
        <w:t>lire :</w:t>
      </w:r>
    </w:p>
    <w:p w14:paraId="0A824741" w14:textId="77777777" w:rsidR="00CE4060" w:rsidRPr="0090402A" w:rsidRDefault="00CE4060" w:rsidP="00B6466D">
      <w:pPr>
        <w:pStyle w:val="SingleTxtG"/>
        <w:ind w:left="2268" w:hanging="1134"/>
        <w:rPr>
          <w:rFonts w:eastAsia="Calibri"/>
          <w:lang w:val="fr-FR"/>
        </w:rPr>
      </w:pPr>
      <w:r w:rsidRPr="0090402A">
        <w:rPr>
          <w:rFonts w:eastAsia="Calibri"/>
          <w:lang w:val="fr-FR"/>
        </w:rPr>
        <w:t>« 26.3</w:t>
      </w:r>
      <w:r w:rsidRPr="0090402A">
        <w:rPr>
          <w:rFonts w:eastAsia="Calibri"/>
          <w:lang w:val="fr-FR"/>
        </w:rPr>
        <w:tab/>
        <w:t>Détermination de la position</w:t>
      </w:r>
    </w:p>
    <w:p w14:paraId="42F43605" w14:textId="77777777" w:rsidR="00CE4060" w:rsidRPr="0090402A" w:rsidRDefault="00CE4060" w:rsidP="00B6466D">
      <w:pPr>
        <w:pStyle w:val="SingleTxtG"/>
        <w:ind w:left="2268"/>
        <w:rPr>
          <w:rFonts w:eastAsia="Calibri"/>
          <w:lang w:val="fr-FR"/>
        </w:rPr>
      </w:pPr>
      <w:r w:rsidRPr="0090402A">
        <w:rPr>
          <w:rFonts w:eastAsia="Calibri"/>
          <w:lang w:val="fr-FR"/>
        </w:rPr>
        <w:t>…</w:t>
      </w:r>
    </w:p>
    <w:p w14:paraId="2DC93A81" w14:textId="77777777" w:rsidR="00CE4060" w:rsidRPr="0090402A" w:rsidRDefault="00CE4060" w:rsidP="00B6466D">
      <w:pPr>
        <w:pStyle w:val="SingleTxtG"/>
        <w:ind w:left="2268"/>
        <w:rPr>
          <w:rFonts w:eastAsia="Calibri"/>
          <w:lang w:val="fr-FR"/>
        </w:rPr>
      </w:pPr>
      <w:r w:rsidRPr="0090402A">
        <w:rPr>
          <w:rFonts w:eastAsia="Calibri"/>
          <w:lang w:val="fr-FR"/>
        </w:rPr>
        <w:t>La capacité de positionnement de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AECS peut être démontrée au moyen des méthodes d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essai décrites à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annexe 10 (Méthodes d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essai pour les solutions de navigation).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information correspondante doit figurer dans le document de communication visé à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annexe 3, point 10.</w:t>
      </w:r>
    </w:p>
    <w:p w14:paraId="1BD634CB" w14:textId="77777777" w:rsidR="00CE4060" w:rsidRPr="0090402A" w:rsidRDefault="00CE4060" w:rsidP="00B6466D">
      <w:pPr>
        <w:pStyle w:val="SingleTxtG"/>
        <w:ind w:left="2268" w:hanging="1134"/>
        <w:rPr>
          <w:rFonts w:eastAsia="Calibri"/>
          <w:lang w:val="fr-FR"/>
        </w:rPr>
      </w:pPr>
      <w:r w:rsidRPr="0090402A">
        <w:rPr>
          <w:rFonts w:eastAsia="Calibri"/>
          <w:lang w:val="fr-FR"/>
        </w:rPr>
        <w:t>26.3.1</w:t>
      </w:r>
      <w:r w:rsidRPr="0090402A">
        <w:rPr>
          <w:rFonts w:eastAsia="Calibri"/>
          <w:lang w:val="fr-FR"/>
        </w:rPr>
        <w:tab/>
        <w:t>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AECS doit être capable de produire la solution de navigation dans un format conforme au protocole NMEA-0183 (messages RMC, GGA, VTG, GSA ou GSV). La configuration de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AEC</w:t>
      </w:r>
      <w:r w:rsidRPr="0090402A">
        <w:rPr>
          <w:rFonts w:eastAsia="Calibri"/>
          <w:bCs/>
          <w:lang w:val="fr-FR"/>
        </w:rPr>
        <w:t>S</w:t>
      </w:r>
      <w:r w:rsidRPr="0090402A">
        <w:rPr>
          <w:rFonts w:eastAsia="Calibri"/>
          <w:lang w:val="fr-FR"/>
        </w:rPr>
        <w:t xml:space="preserve"> pour la production de messages NMEA</w:t>
      </w:r>
      <w:r w:rsidR="00050AA5">
        <w:rPr>
          <w:rFonts w:eastAsia="Calibri"/>
          <w:lang w:val="fr-FR"/>
        </w:rPr>
        <w:noBreakHyphen/>
      </w:r>
      <w:r w:rsidRPr="0090402A">
        <w:rPr>
          <w:rFonts w:eastAsia="Calibri"/>
          <w:lang w:val="fr-FR"/>
        </w:rPr>
        <w:t>0183 à destination de récepteurs extérieurs doit être décrite dans le mode d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emploi. ».</w:t>
      </w:r>
    </w:p>
    <w:p w14:paraId="03B3FFA1" w14:textId="77777777" w:rsidR="00CE4060" w:rsidRPr="0090402A" w:rsidRDefault="00CE4060" w:rsidP="00B6466D">
      <w:pPr>
        <w:pStyle w:val="SingleTxtG"/>
        <w:rPr>
          <w:rFonts w:eastAsia="Calibri"/>
          <w:iCs/>
          <w:lang w:val="fr-FR"/>
        </w:rPr>
      </w:pPr>
      <w:r w:rsidRPr="0090402A">
        <w:rPr>
          <w:rFonts w:eastAsia="Calibri"/>
          <w:i/>
          <w:lang w:val="fr-FR"/>
        </w:rPr>
        <w:t>Paragraphe 26.5.3</w:t>
      </w:r>
      <w:r w:rsidRPr="0090402A">
        <w:rPr>
          <w:rFonts w:eastAsia="Calibri"/>
          <w:lang w:val="fr-FR"/>
        </w:rPr>
        <w:t>,</w:t>
      </w:r>
      <w:r w:rsidRPr="0090402A">
        <w:rPr>
          <w:rFonts w:eastAsia="Calibri"/>
          <w:iCs/>
          <w:lang w:val="fr-FR"/>
        </w:rPr>
        <w:t xml:space="preserve"> lire :</w:t>
      </w:r>
    </w:p>
    <w:p w14:paraId="2B627997" w14:textId="77777777" w:rsidR="00CE4060" w:rsidRPr="0090402A" w:rsidRDefault="00CE4060" w:rsidP="00B6466D">
      <w:pPr>
        <w:pStyle w:val="SingleTxtG"/>
        <w:ind w:left="2268" w:hanging="1134"/>
        <w:rPr>
          <w:rFonts w:eastAsia="Calibri"/>
          <w:lang w:val="fr-FR"/>
        </w:rPr>
      </w:pPr>
      <w:r w:rsidRPr="0090402A">
        <w:rPr>
          <w:rFonts w:eastAsia="Calibri"/>
          <w:lang w:val="fr-FR"/>
        </w:rPr>
        <w:t>« 26.5.3</w:t>
      </w:r>
      <w:r w:rsidRPr="0090402A">
        <w:rPr>
          <w:rFonts w:eastAsia="Calibri"/>
          <w:lang w:val="fr-FR"/>
        </w:rPr>
        <w:tab/>
        <w:t>Un signal d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avertissement doit être émis en cas de défaillance interne de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AECS ; ce signal doit être affiché aussi longtemps que dure la défaillance. Le</w:t>
      </w:r>
      <w:r w:rsidR="003F00C7">
        <w:rPr>
          <w:rFonts w:eastAsia="Calibri"/>
          <w:lang w:val="fr-FR"/>
        </w:rPr>
        <w:t> </w:t>
      </w:r>
      <w:r w:rsidRPr="0090402A">
        <w:rPr>
          <w:rFonts w:eastAsia="Calibri"/>
          <w:lang w:val="fr-FR"/>
        </w:rPr>
        <w:t>signal peut être effacé temporairement, mais doit se rallumer chaque fois que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 xml:space="preserve">allumage du véhicule ou le coupe-circuit principal sont activés (selon le cas). ». </w:t>
      </w:r>
    </w:p>
    <w:p w14:paraId="7BDF4EDF" w14:textId="77777777" w:rsidR="00CE4060" w:rsidRPr="0090402A" w:rsidRDefault="00CE4060" w:rsidP="00B6466D">
      <w:pPr>
        <w:pStyle w:val="SingleTxtG"/>
        <w:rPr>
          <w:rFonts w:eastAsia="Calibri"/>
          <w:i/>
          <w:iCs/>
          <w:lang w:val="fr-FR"/>
        </w:rPr>
      </w:pPr>
      <w:r w:rsidRPr="0090402A">
        <w:rPr>
          <w:rFonts w:eastAsia="Calibri"/>
          <w:i/>
          <w:lang w:val="fr-FR"/>
        </w:rPr>
        <w:t xml:space="preserve">Paragraphe 26.7.2.3, </w:t>
      </w:r>
      <w:r w:rsidRPr="00B6466D">
        <w:rPr>
          <w:rFonts w:eastAsia="Calibri"/>
          <w:iCs/>
          <w:lang w:val="fr-FR"/>
        </w:rPr>
        <w:t>lire</w:t>
      </w:r>
      <w:r w:rsidR="00050AA5">
        <w:rPr>
          <w:rFonts w:eastAsia="Calibri"/>
          <w:i/>
          <w:lang w:val="fr-FR"/>
        </w:rPr>
        <w:t> </w:t>
      </w:r>
      <w:r w:rsidRPr="00B6466D">
        <w:rPr>
          <w:rFonts w:eastAsia="Calibri"/>
          <w:iCs/>
          <w:lang w:val="fr-FR"/>
        </w:rPr>
        <w:t>:</w:t>
      </w:r>
    </w:p>
    <w:p w14:paraId="40E1C9FB" w14:textId="77777777" w:rsidR="00CE4060" w:rsidRPr="0090402A" w:rsidRDefault="00CE4060" w:rsidP="00B6466D">
      <w:pPr>
        <w:pStyle w:val="SingleTxtG"/>
        <w:ind w:left="2268" w:hanging="1134"/>
        <w:rPr>
          <w:rFonts w:eastAsia="Calibri"/>
          <w:lang w:val="fr-FR"/>
        </w:rPr>
      </w:pPr>
      <w:r w:rsidRPr="0090402A">
        <w:rPr>
          <w:rFonts w:eastAsia="Calibri"/>
          <w:lang w:val="fr-FR"/>
        </w:rPr>
        <w:t>« 26.7.2.3</w:t>
      </w:r>
      <w:r w:rsidRPr="0090402A">
        <w:rPr>
          <w:rFonts w:eastAsia="Calibri"/>
          <w:lang w:val="fr-FR"/>
        </w:rPr>
        <w:tab/>
        <w:t>Après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 xml:space="preserve">essai de choc effectué conformément aux Règlements ONU </w:t>
      </w:r>
      <w:r w:rsidRPr="0090402A">
        <w:rPr>
          <w:rFonts w:eastAsia="MS Mincho"/>
          <w:szCs w:val="22"/>
          <w:lang w:val="fr-FR"/>
        </w:rPr>
        <w:t>n</w:t>
      </w:r>
      <w:r w:rsidRPr="0090402A">
        <w:rPr>
          <w:rFonts w:eastAsia="MS Mincho"/>
          <w:szCs w:val="22"/>
          <w:vertAlign w:val="superscript"/>
          <w:lang w:val="fr-FR"/>
        </w:rPr>
        <w:t>os</w:t>
      </w:r>
      <w:r w:rsidRPr="0090402A">
        <w:rPr>
          <w:rFonts w:eastAsia="Calibri"/>
          <w:lang w:val="fr-FR"/>
        </w:rPr>
        <w:t> 94 et/ou 95, selon le cas,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alimentation électrique de secours doit être capable d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alimenter en électricité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AECS. Cela peut être vérifié au moyen d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une des méthodes décrites à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annexe 11 du présent Règlement. ».</w:t>
      </w:r>
    </w:p>
    <w:p w14:paraId="310E7D86" w14:textId="77777777" w:rsidR="00CE4060" w:rsidRPr="0090402A" w:rsidRDefault="00CE4060" w:rsidP="00B6466D">
      <w:pPr>
        <w:pStyle w:val="SingleTxtG"/>
        <w:rPr>
          <w:rFonts w:eastAsia="Calibri"/>
          <w:b/>
          <w:iCs/>
          <w:lang w:val="fr-FR"/>
        </w:rPr>
      </w:pPr>
      <w:r w:rsidRPr="0090402A">
        <w:rPr>
          <w:rFonts w:eastAsia="Calibri"/>
          <w:i/>
          <w:lang w:val="fr-FR"/>
        </w:rPr>
        <w:t>Paragraphe 34.1</w:t>
      </w:r>
      <w:r w:rsidRPr="0090402A">
        <w:rPr>
          <w:rFonts w:eastAsia="Calibri"/>
          <w:lang w:val="fr-FR"/>
        </w:rPr>
        <w:t>,</w:t>
      </w:r>
      <w:r w:rsidRPr="0090402A">
        <w:rPr>
          <w:rFonts w:eastAsia="Calibri"/>
          <w:iCs/>
          <w:lang w:val="fr-FR"/>
        </w:rPr>
        <w:t xml:space="preserve"> lire :</w:t>
      </w:r>
    </w:p>
    <w:p w14:paraId="13F24145" w14:textId="77777777" w:rsidR="00CE4060" w:rsidRPr="0090402A" w:rsidRDefault="00CE4060" w:rsidP="00B6466D">
      <w:pPr>
        <w:pStyle w:val="SingleTxtG"/>
        <w:ind w:left="2268" w:hanging="1134"/>
        <w:rPr>
          <w:rFonts w:eastAsia="Calibri"/>
          <w:lang w:val="fr-FR"/>
        </w:rPr>
      </w:pPr>
      <w:r w:rsidRPr="0090402A">
        <w:rPr>
          <w:rFonts w:eastAsia="Calibri"/>
          <w:lang w:val="fr-FR"/>
        </w:rPr>
        <w:t>« 34.1</w:t>
      </w:r>
      <w:r w:rsidRPr="0090402A">
        <w:rPr>
          <w:rFonts w:eastAsia="Calibri"/>
          <w:lang w:val="fr-FR"/>
        </w:rPr>
        <w:tab/>
        <w:t>Si le type de véhicule présenté à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homologation en vertu du paragraphe</w:t>
      </w:r>
      <w:r w:rsidR="003F00C7">
        <w:rPr>
          <w:rFonts w:eastAsia="Calibri"/>
          <w:lang w:val="fr-FR"/>
        </w:rPr>
        <w:t> </w:t>
      </w:r>
      <w:r w:rsidRPr="0090402A">
        <w:rPr>
          <w:rFonts w:eastAsia="Calibri"/>
          <w:lang w:val="fr-FR"/>
        </w:rPr>
        <w:t>33 satisfait aux prescriptions du paragraphe</w:t>
      </w:r>
      <w:r w:rsidR="003F00C7">
        <w:rPr>
          <w:rFonts w:eastAsia="Calibri"/>
          <w:lang w:val="fr-FR"/>
        </w:rPr>
        <w:t> </w:t>
      </w:r>
      <w:r w:rsidRPr="0090402A">
        <w:rPr>
          <w:rFonts w:eastAsia="Calibri"/>
          <w:lang w:val="fr-FR"/>
        </w:rPr>
        <w:t>35 du présent Règlement,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homologation est accordée.</w:t>
      </w:r>
    </w:p>
    <w:p w14:paraId="4FBEA166" w14:textId="77777777" w:rsidR="00CE4060" w:rsidRPr="0090402A" w:rsidRDefault="00CE4060" w:rsidP="00B6466D">
      <w:pPr>
        <w:pStyle w:val="SingleTxtG"/>
        <w:ind w:left="2268"/>
        <w:rPr>
          <w:rFonts w:eastAsia="Calibri"/>
          <w:lang w:val="fr-FR"/>
        </w:rPr>
      </w:pPr>
      <w:r w:rsidRPr="0090402A">
        <w:rPr>
          <w:rFonts w:eastAsia="Calibri"/>
          <w:lang w:val="fr-FR"/>
        </w:rPr>
        <w:t>Avant d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accorder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homologation à un type de véhicule,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autorité compétente doit s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assurer que tous les éléments énumérés au paragraphe 35.10.1 sont soumis à des essais conformément à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annexe 9. Si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AECS est alimenté en électricité autrement que par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alimentation électrique de secours visée au paragraphe 35.10.2, son alimentation électrique doit être soumise à des essais conformément à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annexe 9 du présent Règlement. ».</w:t>
      </w:r>
    </w:p>
    <w:p w14:paraId="5F429BC5" w14:textId="77777777" w:rsidR="00CE4060" w:rsidRPr="0090402A" w:rsidRDefault="00CE4060" w:rsidP="003F00C7">
      <w:pPr>
        <w:pStyle w:val="SingleTxtG"/>
        <w:keepNext/>
        <w:keepLines/>
        <w:rPr>
          <w:rFonts w:eastAsia="Calibri"/>
          <w:iCs/>
          <w:lang w:val="fr-FR"/>
        </w:rPr>
      </w:pPr>
      <w:r w:rsidRPr="0090402A">
        <w:rPr>
          <w:rFonts w:eastAsia="Calibri"/>
          <w:i/>
          <w:lang w:val="fr-FR"/>
        </w:rPr>
        <w:lastRenderedPageBreak/>
        <w:t>Paragraphe 35.5.1.2.2</w:t>
      </w:r>
      <w:r w:rsidRPr="0090402A">
        <w:rPr>
          <w:rFonts w:eastAsia="Calibri"/>
          <w:lang w:val="fr-FR"/>
        </w:rPr>
        <w:t>,</w:t>
      </w:r>
      <w:r w:rsidRPr="0090402A">
        <w:rPr>
          <w:rFonts w:eastAsia="Calibri"/>
          <w:i/>
          <w:lang w:val="fr-FR"/>
        </w:rPr>
        <w:t xml:space="preserve"> </w:t>
      </w:r>
      <w:r w:rsidRPr="0090402A">
        <w:rPr>
          <w:rFonts w:eastAsia="Calibri"/>
          <w:iCs/>
          <w:lang w:val="fr-FR"/>
        </w:rPr>
        <w:t>lire :</w:t>
      </w:r>
    </w:p>
    <w:p w14:paraId="195ECCFB" w14:textId="77777777" w:rsidR="00CE4060" w:rsidRPr="0090402A" w:rsidRDefault="00CE4060" w:rsidP="003F00C7">
      <w:pPr>
        <w:pStyle w:val="SingleTxtG"/>
        <w:keepNext/>
        <w:keepLines/>
        <w:ind w:left="2268" w:hanging="1134"/>
        <w:rPr>
          <w:rFonts w:eastAsia="Calibri"/>
          <w:lang w:val="fr-FR"/>
        </w:rPr>
      </w:pPr>
      <w:r w:rsidRPr="0090402A">
        <w:rPr>
          <w:rFonts w:eastAsia="Calibri"/>
          <w:lang w:val="fr-FR"/>
        </w:rPr>
        <w:t>« 35.5.1.2.2</w:t>
      </w:r>
      <w:r w:rsidRPr="0090402A">
        <w:rPr>
          <w:rFonts w:eastAsia="Calibri"/>
          <w:lang w:val="fr-FR"/>
        </w:rPr>
        <w:tab/>
        <w:t>Dans le cas de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extension d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homologations de type en vertu du présent Règlement, ou dans le cas de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 xml:space="preserve">homologation de types de véhicules déjà accordée en vertu du Règlement ONU </w:t>
      </w:r>
      <w:r w:rsidRPr="0090402A">
        <w:rPr>
          <w:rFonts w:eastAsia="MS Mincho"/>
          <w:szCs w:val="22"/>
          <w:lang w:val="fr-FR"/>
        </w:rPr>
        <w:t>n</w:t>
      </w:r>
      <w:r w:rsidRPr="0090402A">
        <w:rPr>
          <w:rFonts w:eastAsia="MS Mincho"/>
          <w:szCs w:val="22"/>
          <w:vertAlign w:val="superscript"/>
          <w:lang w:val="fr-FR"/>
        </w:rPr>
        <w:t>o</w:t>
      </w:r>
      <w:r w:rsidRPr="0090402A">
        <w:rPr>
          <w:rFonts w:eastAsia="MS Mincho"/>
          <w:lang w:val="fr-FR"/>
        </w:rPr>
        <w:t xml:space="preserve"> 94 </w:t>
      </w:r>
      <w:r w:rsidRPr="0090402A">
        <w:rPr>
          <w:rFonts w:eastAsia="Calibri"/>
          <w:lang w:val="fr-FR"/>
        </w:rPr>
        <w:t>avant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entrée en vigueur du présent Règlement, lorsqu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il est démontré, documentation existante à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appui (rapport, images, données de simulation ou éléments équivalents) que lors d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 xml:space="preserve">un choc avant (Règlement ONU </w:t>
      </w:r>
      <w:r w:rsidRPr="0090402A">
        <w:rPr>
          <w:rFonts w:eastAsia="MS Mincho"/>
          <w:lang w:val="fr-FR"/>
        </w:rPr>
        <w:t>n</w:t>
      </w:r>
      <w:r w:rsidRPr="0090402A">
        <w:rPr>
          <w:rFonts w:eastAsia="MS Mincho"/>
          <w:vertAlign w:val="superscript"/>
          <w:lang w:val="fr-FR"/>
        </w:rPr>
        <w:t>o</w:t>
      </w:r>
      <w:r w:rsidRPr="0090402A">
        <w:rPr>
          <w:rFonts w:eastAsia="Calibri"/>
          <w:lang w:val="fr-FR"/>
        </w:rPr>
        <w:t> 94) :</w:t>
      </w:r>
    </w:p>
    <w:p w14:paraId="64EA68B0" w14:textId="77777777" w:rsidR="00CE4060" w:rsidRPr="0090402A" w:rsidRDefault="00CE4060" w:rsidP="003F00C7">
      <w:pPr>
        <w:pStyle w:val="SingleTxtG"/>
        <w:keepNext/>
        <w:ind w:left="2835" w:hanging="567"/>
        <w:rPr>
          <w:rFonts w:eastAsia="Calibri"/>
          <w:lang w:val="fr-FR"/>
        </w:rPr>
      </w:pPr>
      <w:r w:rsidRPr="0090402A">
        <w:rPr>
          <w:rFonts w:eastAsia="Calibri"/>
          <w:lang w:val="fr-FR"/>
        </w:rPr>
        <w:t>a)</w:t>
      </w:r>
      <w:r w:rsidRPr="0090402A">
        <w:rPr>
          <w:rFonts w:eastAsia="Calibri"/>
          <w:lang w:val="fr-FR"/>
        </w:rPr>
        <w:tab/>
        <w:t xml:space="preserve">Un signal de déclenchement a </w:t>
      </w:r>
      <w:r w:rsidRPr="00B6466D">
        <w:rPr>
          <w:lang w:val="fr-FR"/>
        </w:rPr>
        <w:t>été</w:t>
      </w:r>
      <w:r w:rsidRPr="0090402A">
        <w:rPr>
          <w:rFonts w:eastAsia="Calibri"/>
          <w:lang w:val="fr-FR"/>
        </w:rPr>
        <w:t xml:space="preserve"> émis ;</w:t>
      </w:r>
    </w:p>
    <w:p w14:paraId="0FBF07ED" w14:textId="77777777" w:rsidR="00CE4060" w:rsidRPr="0090402A" w:rsidRDefault="00CE4060" w:rsidP="00B6466D">
      <w:pPr>
        <w:pStyle w:val="SingleTxtG"/>
        <w:ind w:left="2835" w:hanging="567"/>
        <w:rPr>
          <w:rFonts w:eastAsia="Calibri"/>
          <w:lang w:val="fr-FR"/>
        </w:rPr>
      </w:pPr>
      <w:r w:rsidRPr="0090402A">
        <w:rPr>
          <w:rFonts w:eastAsia="Calibri"/>
          <w:lang w:val="fr-FR"/>
        </w:rPr>
        <w:t>b)</w:t>
      </w:r>
      <w:r w:rsidRPr="0090402A">
        <w:rPr>
          <w:rFonts w:eastAsia="Calibri"/>
          <w:lang w:val="fr-FR"/>
        </w:rPr>
        <w:tab/>
        <w:t>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installation de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AECS n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est pas perturbée par le choc subi par le véhicule. ».</w:t>
      </w:r>
    </w:p>
    <w:p w14:paraId="2E9FB65D" w14:textId="77777777" w:rsidR="00CE4060" w:rsidRPr="0090402A" w:rsidRDefault="00CE4060" w:rsidP="00B6466D">
      <w:pPr>
        <w:pStyle w:val="SingleTxtG"/>
        <w:rPr>
          <w:rFonts w:eastAsia="Calibri"/>
          <w:lang w:val="fr-FR"/>
        </w:rPr>
      </w:pPr>
      <w:r w:rsidRPr="0090402A">
        <w:rPr>
          <w:rFonts w:eastAsia="Calibri"/>
          <w:i/>
          <w:lang w:val="fr-FR"/>
        </w:rPr>
        <w:t>Paragraphe 35.5.1.3.2</w:t>
      </w:r>
      <w:r w:rsidRPr="0090402A">
        <w:rPr>
          <w:rFonts w:eastAsia="Calibri"/>
          <w:lang w:val="fr-FR"/>
        </w:rPr>
        <w:t xml:space="preserve">, </w:t>
      </w:r>
      <w:r w:rsidRPr="00B6466D">
        <w:rPr>
          <w:rFonts w:eastAsia="Calibri"/>
          <w:iCs/>
          <w:lang w:val="fr-FR"/>
        </w:rPr>
        <w:t>lire</w:t>
      </w:r>
      <w:r w:rsidRPr="0090402A">
        <w:rPr>
          <w:rFonts w:eastAsia="Calibri"/>
          <w:lang w:val="fr-FR"/>
        </w:rPr>
        <w:t> :</w:t>
      </w:r>
    </w:p>
    <w:p w14:paraId="4023C828" w14:textId="77777777" w:rsidR="00CE4060" w:rsidRPr="0090402A" w:rsidRDefault="00CE4060" w:rsidP="00B6466D">
      <w:pPr>
        <w:pStyle w:val="SingleTxtG"/>
        <w:ind w:left="2268" w:hanging="1134"/>
        <w:rPr>
          <w:rFonts w:eastAsia="Calibri"/>
          <w:lang w:val="fr-FR"/>
        </w:rPr>
      </w:pPr>
      <w:r w:rsidRPr="0090402A">
        <w:rPr>
          <w:rFonts w:eastAsia="Calibri"/>
          <w:lang w:val="fr-FR"/>
        </w:rPr>
        <w:t>« 35.5.1.3.2</w:t>
      </w:r>
      <w:r w:rsidRPr="0090402A">
        <w:rPr>
          <w:rFonts w:eastAsia="Calibri"/>
          <w:lang w:val="fr-FR"/>
        </w:rPr>
        <w:tab/>
        <w:t>Dans le cas de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extension d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homologations de type en vertu du présent Règlement, ou dans le cas de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 xml:space="preserve">homologation de types de véhicules déjà accordée en vertu du Règlement ONU </w:t>
      </w:r>
      <w:r w:rsidRPr="0090402A">
        <w:rPr>
          <w:rFonts w:eastAsia="MS Mincho"/>
          <w:szCs w:val="22"/>
          <w:lang w:val="fr-FR"/>
        </w:rPr>
        <w:t>n</w:t>
      </w:r>
      <w:r w:rsidRPr="0090402A">
        <w:rPr>
          <w:rFonts w:eastAsia="MS Mincho"/>
          <w:szCs w:val="22"/>
          <w:vertAlign w:val="superscript"/>
          <w:lang w:val="fr-FR"/>
        </w:rPr>
        <w:t>o</w:t>
      </w:r>
      <w:r w:rsidRPr="0090402A">
        <w:rPr>
          <w:rFonts w:eastAsia="MS Mincho"/>
          <w:lang w:val="fr-FR"/>
        </w:rPr>
        <w:t> </w:t>
      </w:r>
      <w:r w:rsidRPr="0090402A">
        <w:rPr>
          <w:rFonts w:eastAsia="Calibri"/>
          <w:lang w:val="fr-FR"/>
        </w:rPr>
        <w:t>95 avant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entrée en vigueur du présent Règlement, lorsqu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il est démontré, documentation existante à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appui (rapport, images, données de simulation ou éléments équivalents) que lors d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 xml:space="preserve">un choc latéral (Règlement ONU </w:t>
      </w:r>
      <w:r w:rsidRPr="0090402A">
        <w:rPr>
          <w:rFonts w:eastAsia="MS Mincho"/>
          <w:lang w:val="fr-FR"/>
        </w:rPr>
        <w:t>n</w:t>
      </w:r>
      <w:r w:rsidRPr="0090402A">
        <w:rPr>
          <w:rFonts w:eastAsia="MS Mincho"/>
          <w:vertAlign w:val="superscript"/>
          <w:lang w:val="fr-FR"/>
        </w:rPr>
        <w:t>o</w:t>
      </w:r>
      <w:r w:rsidRPr="0090402A">
        <w:rPr>
          <w:rFonts w:eastAsia="Calibri"/>
          <w:lang w:val="fr-FR"/>
        </w:rPr>
        <w:t> 95) :</w:t>
      </w:r>
    </w:p>
    <w:p w14:paraId="37C26D1D" w14:textId="77777777" w:rsidR="00CE4060" w:rsidRPr="0090402A" w:rsidRDefault="00CE4060" w:rsidP="00B6466D">
      <w:pPr>
        <w:pStyle w:val="SingleTxtG"/>
        <w:ind w:left="2835" w:hanging="567"/>
        <w:rPr>
          <w:rFonts w:eastAsia="Calibri"/>
          <w:lang w:val="fr-FR"/>
        </w:rPr>
      </w:pPr>
      <w:r w:rsidRPr="0090402A">
        <w:rPr>
          <w:rFonts w:eastAsia="Calibri"/>
          <w:lang w:val="fr-FR"/>
        </w:rPr>
        <w:t>a)</w:t>
      </w:r>
      <w:r w:rsidRPr="0090402A">
        <w:rPr>
          <w:rFonts w:eastAsia="Calibri"/>
          <w:lang w:val="fr-FR"/>
        </w:rPr>
        <w:tab/>
        <w:t xml:space="preserve">Un signal de déclenchement a été </w:t>
      </w:r>
      <w:r w:rsidRPr="00B6466D">
        <w:rPr>
          <w:lang w:val="fr-FR"/>
        </w:rPr>
        <w:t>émis</w:t>
      </w:r>
      <w:r w:rsidRPr="0090402A">
        <w:rPr>
          <w:rFonts w:eastAsia="Calibri"/>
          <w:lang w:val="fr-FR"/>
        </w:rPr>
        <w:t> ;</w:t>
      </w:r>
    </w:p>
    <w:p w14:paraId="38E0CF6C" w14:textId="77777777" w:rsidR="00CE4060" w:rsidRPr="0090402A" w:rsidRDefault="00CE4060" w:rsidP="00B6466D">
      <w:pPr>
        <w:pStyle w:val="SingleTxtG"/>
        <w:ind w:left="2835" w:hanging="567"/>
        <w:rPr>
          <w:rFonts w:eastAsia="Calibri"/>
          <w:lang w:val="fr-FR"/>
        </w:rPr>
      </w:pPr>
      <w:r w:rsidRPr="0090402A">
        <w:rPr>
          <w:rFonts w:eastAsia="Calibri"/>
          <w:lang w:val="fr-FR"/>
        </w:rPr>
        <w:t>b)</w:t>
      </w:r>
      <w:r w:rsidRPr="0090402A">
        <w:rPr>
          <w:rFonts w:eastAsia="Calibri"/>
          <w:lang w:val="fr-FR"/>
        </w:rPr>
        <w:tab/>
        <w:t>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installation de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AECS n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 xml:space="preserve">est pas </w:t>
      </w:r>
      <w:r w:rsidRPr="00B6466D">
        <w:rPr>
          <w:lang w:val="fr-FR"/>
        </w:rPr>
        <w:t>perturbée</w:t>
      </w:r>
      <w:r w:rsidRPr="0090402A">
        <w:rPr>
          <w:rFonts w:eastAsia="Calibri"/>
          <w:lang w:val="fr-FR"/>
        </w:rPr>
        <w:t xml:space="preserve"> par le choc subi par le véhicule. ».</w:t>
      </w:r>
    </w:p>
    <w:p w14:paraId="23822C91" w14:textId="77777777" w:rsidR="00CE4060" w:rsidRPr="0090402A" w:rsidRDefault="00CE4060" w:rsidP="00B6466D">
      <w:pPr>
        <w:pStyle w:val="SingleTxtG"/>
        <w:rPr>
          <w:rFonts w:eastAsia="Calibri"/>
          <w:iCs/>
          <w:lang w:val="fr-FR"/>
        </w:rPr>
      </w:pPr>
      <w:r w:rsidRPr="0090402A">
        <w:rPr>
          <w:rFonts w:eastAsia="Calibri"/>
          <w:i/>
          <w:lang w:val="fr-FR"/>
        </w:rPr>
        <w:t>Paragraphe 35.5.2.1.2</w:t>
      </w:r>
      <w:r w:rsidRPr="0090402A">
        <w:rPr>
          <w:rFonts w:eastAsia="Calibri"/>
          <w:lang w:val="fr-FR"/>
        </w:rPr>
        <w:t>,</w:t>
      </w:r>
      <w:r w:rsidRPr="0090402A">
        <w:rPr>
          <w:rFonts w:eastAsia="Calibri"/>
          <w:iCs/>
          <w:lang w:val="fr-FR"/>
        </w:rPr>
        <w:t xml:space="preserve"> lire :</w:t>
      </w:r>
    </w:p>
    <w:p w14:paraId="53F47158" w14:textId="77777777" w:rsidR="00CE4060" w:rsidRPr="0090402A" w:rsidRDefault="00CE4060" w:rsidP="00B6466D">
      <w:pPr>
        <w:pStyle w:val="SingleTxtG"/>
        <w:ind w:left="2268" w:hanging="1134"/>
        <w:rPr>
          <w:rFonts w:eastAsia="Calibri"/>
          <w:lang w:val="fr-FR"/>
        </w:rPr>
      </w:pPr>
      <w:r w:rsidRPr="0090402A">
        <w:rPr>
          <w:rFonts w:eastAsia="Calibri"/>
          <w:lang w:val="fr-FR"/>
        </w:rPr>
        <w:t>« 35.5.2.1.2</w:t>
      </w:r>
      <w:r w:rsidRPr="0090402A">
        <w:rPr>
          <w:rFonts w:eastAsia="Calibri"/>
          <w:lang w:val="fr-FR"/>
        </w:rPr>
        <w:tab/>
        <w:t>Dans le cas de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extension d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homologations de type en vertu du présent Règlement ou dans le cas de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 xml:space="preserve">homologation de types de véhicules déjà homologués en vertu du Règlement ONU </w:t>
      </w:r>
      <w:r w:rsidRPr="0090402A">
        <w:rPr>
          <w:rFonts w:eastAsia="MS Mincho"/>
          <w:szCs w:val="22"/>
          <w:lang w:val="fr-FR"/>
        </w:rPr>
        <w:t>n</w:t>
      </w:r>
      <w:r w:rsidRPr="0090402A">
        <w:rPr>
          <w:rFonts w:eastAsia="MS Mincho"/>
          <w:szCs w:val="22"/>
          <w:vertAlign w:val="superscript"/>
          <w:lang w:val="fr-FR"/>
        </w:rPr>
        <w:t>o</w:t>
      </w:r>
      <w:r w:rsidRPr="0090402A">
        <w:rPr>
          <w:rFonts w:eastAsia="MS Mincho"/>
          <w:lang w:val="fr-FR"/>
        </w:rPr>
        <w:t> </w:t>
      </w:r>
      <w:r w:rsidRPr="0090402A">
        <w:rPr>
          <w:rFonts w:eastAsia="Calibri"/>
          <w:lang w:val="fr-FR"/>
        </w:rPr>
        <w:t>95 avant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entrée en vigueur du présent Règlement, lorsqu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il est démontré, documentation existante à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appui (rapport, images, données de simulation ou documents équivalents) que lors d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 xml:space="preserve">un essai de choc latéral (Règlement ONU </w:t>
      </w:r>
      <w:r w:rsidRPr="0090402A">
        <w:rPr>
          <w:rFonts w:eastAsia="MS Mincho"/>
          <w:lang w:val="fr-FR"/>
        </w:rPr>
        <w:t>n</w:t>
      </w:r>
      <w:r w:rsidRPr="0090402A">
        <w:rPr>
          <w:rFonts w:eastAsia="MS Mincho"/>
          <w:vertAlign w:val="superscript"/>
          <w:lang w:val="fr-FR"/>
        </w:rPr>
        <w:t>o</w:t>
      </w:r>
      <w:r w:rsidRPr="0090402A">
        <w:rPr>
          <w:rFonts w:eastAsia="Calibri"/>
          <w:lang w:val="fr-FR"/>
        </w:rPr>
        <w:t> 95) :</w:t>
      </w:r>
    </w:p>
    <w:p w14:paraId="63AD1F6C" w14:textId="77777777" w:rsidR="00CE4060" w:rsidRPr="0090402A" w:rsidRDefault="00CE4060" w:rsidP="00B6466D">
      <w:pPr>
        <w:pStyle w:val="SingleTxtG"/>
        <w:ind w:left="2835" w:hanging="567"/>
        <w:rPr>
          <w:rFonts w:eastAsia="Calibri"/>
          <w:lang w:val="fr-FR"/>
        </w:rPr>
      </w:pPr>
      <w:r w:rsidRPr="0090402A">
        <w:rPr>
          <w:rFonts w:eastAsia="Calibri"/>
          <w:lang w:val="fr-FR"/>
        </w:rPr>
        <w:t>a)</w:t>
      </w:r>
      <w:r w:rsidRPr="0090402A">
        <w:rPr>
          <w:rFonts w:eastAsia="Calibri"/>
          <w:lang w:val="fr-FR"/>
        </w:rPr>
        <w:tab/>
        <w:t xml:space="preserve">Un signal de déclenchement a </w:t>
      </w:r>
      <w:r w:rsidRPr="00B6466D">
        <w:rPr>
          <w:lang w:val="fr-FR"/>
        </w:rPr>
        <w:t>été</w:t>
      </w:r>
      <w:r w:rsidRPr="0090402A">
        <w:rPr>
          <w:rFonts w:eastAsia="Calibri"/>
          <w:lang w:val="fr-FR"/>
        </w:rPr>
        <w:t xml:space="preserve"> émis ;</w:t>
      </w:r>
    </w:p>
    <w:p w14:paraId="039B6601" w14:textId="77777777" w:rsidR="00CE4060" w:rsidRDefault="00CE4060" w:rsidP="00B6466D">
      <w:pPr>
        <w:pStyle w:val="SingleTxtG"/>
        <w:ind w:left="2835" w:hanging="567"/>
        <w:rPr>
          <w:rFonts w:eastAsia="Calibri"/>
          <w:lang w:val="fr-FR"/>
        </w:rPr>
      </w:pPr>
      <w:r w:rsidRPr="0090402A">
        <w:rPr>
          <w:rFonts w:eastAsia="Calibri"/>
          <w:lang w:val="fr-FR"/>
        </w:rPr>
        <w:t>b)</w:t>
      </w:r>
      <w:r w:rsidRPr="0090402A">
        <w:rPr>
          <w:rFonts w:eastAsia="Calibri"/>
          <w:lang w:val="fr-FR"/>
        </w:rPr>
        <w:tab/>
        <w:t>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installation de l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AECD n</w:t>
      </w:r>
      <w:r w:rsidR="00050AA5">
        <w:rPr>
          <w:rFonts w:eastAsia="Calibri"/>
          <w:lang w:val="fr-FR"/>
        </w:rPr>
        <w:t>’</w:t>
      </w:r>
      <w:r w:rsidRPr="0090402A">
        <w:rPr>
          <w:rFonts w:eastAsia="Calibri"/>
          <w:lang w:val="fr-FR"/>
        </w:rPr>
        <w:t>est pas perturbée par le choc subi par le véhicule. ».</w:t>
      </w:r>
    </w:p>
    <w:p w14:paraId="7BA4D9D3" w14:textId="77777777" w:rsidR="00B6466D" w:rsidRPr="00B6466D" w:rsidRDefault="00B6466D" w:rsidP="00B6466D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B6466D" w:rsidRPr="00B6466D" w:rsidSect="00CE406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0932C" w14:textId="77777777" w:rsidR="00C14B12" w:rsidRDefault="00C14B12" w:rsidP="00F95C08">
      <w:pPr>
        <w:spacing w:line="240" w:lineRule="auto"/>
      </w:pPr>
    </w:p>
  </w:endnote>
  <w:endnote w:type="continuationSeparator" w:id="0">
    <w:p w14:paraId="21964062" w14:textId="77777777" w:rsidR="00C14B12" w:rsidRPr="00AC3823" w:rsidRDefault="00C14B12" w:rsidP="00AC3823">
      <w:pPr>
        <w:pStyle w:val="Pieddepage"/>
      </w:pPr>
    </w:p>
  </w:endnote>
  <w:endnote w:type="continuationNotice" w:id="1">
    <w:p w14:paraId="10BF2103" w14:textId="77777777" w:rsidR="00C14B12" w:rsidRDefault="00C14B1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85AB2" w14:textId="77777777" w:rsidR="00CE4060" w:rsidRPr="00CE4060" w:rsidRDefault="00CE4060" w:rsidP="00CE4060">
    <w:pPr>
      <w:pStyle w:val="Pieddepage"/>
      <w:tabs>
        <w:tab w:val="right" w:pos="9638"/>
      </w:tabs>
    </w:pPr>
    <w:r w:rsidRPr="00CE4060">
      <w:rPr>
        <w:b/>
        <w:sz w:val="18"/>
      </w:rPr>
      <w:fldChar w:fldCharType="begin"/>
    </w:r>
    <w:r w:rsidRPr="00CE4060">
      <w:rPr>
        <w:b/>
        <w:sz w:val="18"/>
      </w:rPr>
      <w:instrText xml:space="preserve"> PAGE  \* MERGEFORMAT </w:instrText>
    </w:r>
    <w:r w:rsidRPr="00CE4060">
      <w:rPr>
        <w:b/>
        <w:sz w:val="18"/>
      </w:rPr>
      <w:fldChar w:fldCharType="separate"/>
    </w:r>
    <w:r w:rsidRPr="00CE4060">
      <w:rPr>
        <w:b/>
        <w:noProof/>
        <w:sz w:val="18"/>
      </w:rPr>
      <w:t>2</w:t>
    </w:r>
    <w:r w:rsidRPr="00CE4060">
      <w:rPr>
        <w:b/>
        <w:sz w:val="18"/>
      </w:rPr>
      <w:fldChar w:fldCharType="end"/>
    </w:r>
    <w:r>
      <w:rPr>
        <w:b/>
        <w:sz w:val="18"/>
      </w:rPr>
      <w:tab/>
    </w:r>
    <w:r>
      <w:t>GE.20-14572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8A1C5" w14:textId="77777777" w:rsidR="00CE4060" w:rsidRPr="00CE4060" w:rsidRDefault="00CE4060" w:rsidP="00CE4060">
    <w:pPr>
      <w:pStyle w:val="Pieddepage"/>
      <w:tabs>
        <w:tab w:val="right" w:pos="9638"/>
      </w:tabs>
      <w:rPr>
        <w:b/>
        <w:sz w:val="18"/>
      </w:rPr>
    </w:pPr>
    <w:r>
      <w:t>GE.20-14572</w:t>
    </w:r>
    <w:r>
      <w:tab/>
    </w:r>
    <w:r w:rsidRPr="00CE4060">
      <w:rPr>
        <w:b/>
        <w:sz w:val="18"/>
      </w:rPr>
      <w:fldChar w:fldCharType="begin"/>
    </w:r>
    <w:r w:rsidRPr="00CE4060">
      <w:rPr>
        <w:b/>
        <w:sz w:val="18"/>
      </w:rPr>
      <w:instrText xml:space="preserve"> PAGE  \* MERGEFORMAT </w:instrText>
    </w:r>
    <w:r w:rsidRPr="00CE4060">
      <w:rPr>
        <w:b/>
        <w:sz w:val="18"/>
      </w:rPr>
      <w:fldChar w:fldCharType="separate"/>
    </w:r>
    <w:r w:rsidRPr="00CE4060">
      <w:rPr>
        <w:b/>
        <w:noProof/>
        <w:sz w:val="18"/>
      </w:rPr>
      <w:t>3</w:t>
    </w:r>
    <w:r w:rsidRPr="00CE4060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E490D" w14:textId="77777777" w:rsidR="007F20FA" w:rsidRPr="00CE4060" w:rsidRDefault="00CE4060" w:rsidP="00CE4060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5C5A52F9" wp14:editId="102E0EE6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20-14572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4C58DD12" wp14:editId="0825D3E2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30FC">
      <w:rPr>
        <w:sz w:val="20"/>
      </w:rPr>
      <w:t xml:space="preserve">    160221    160221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A65DB" w14:textId="77777777" w:rsidR="00C14B12" w:rsidRPr="00AC3823" w:rsidRDefault="00C14B12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5136FE8" w14:textId="77777777" w:rsidR="00C14B12" w:rsidRPr="00AC3823" w:rsidRDefault="00C14B12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26935B25" w14:textId="77777777" w:rsidR="00C14B12" w:rsidRPr="00AC3823" w:rsidRDefault="00C14B12">
      <w:pPr>
        <w:spacing w:line="240" w:lineRule="auto"/>
        <w:rPr>
          <w:sz w:val="2"/>
          <w:szCs w:val="2"/>
        </w:rPr>
      </w:pPr>
    </w:p>
  </w:footnote>
  <w:footnote w:id="2">
    <w:p w14:paraId="2E3E3E80" w14:textId="77777777" w:rsidR="00B6466D" w:rsidRPr="00E727A8" w:rsidRDefault="00B6466D" w:rsidP="00B6466D">
      <w:pPr>
        <w:pStyle w:val="Notedebasdepage"/>
        <w:rPr>
          <w:lang w:val="fr-FR"/>
        </w:rPr>
      </w:pPr>
      <w:r>
        <w:rPr>
          <w:rStyle w:val="Appelnotedebasdep"/>
        </w:rPr>
        <w:tab/>
      </w:r>
      <w:r w:rsidRPr="00B6466D">
        <w:rPr>
          <w:rStyle w:val="Appelnotedebasdep"/>
          <w:sz w:val="20"/>
          <w:vertAlign w:val="baseline"/>
        </w:rPr>
        <w:t>*</w:t>
      </w:r>
      <w:r>
        <w:rPr>
          <w:rStyle w:val="Appelnotedebasdep"/>
          <w:sz w:val="20"/>
          <w:vertAlign w:val="baseline"/>
        </w:rPr>
        <w:tab/>
      </w:r>
      <w:r w:rsidRPr="00E727A8">
        <w:rPr>
          <w:lang w:val="fr-FR"/>
        </w:rPr>
        <w:t>Anciens titres de l</w:t>
      </w:r>
      <w:r w:rsidR="00EB1512">
        <w:rPr>
          <w:lang w:val="fr-FR"/>
        </w:rPr>
        <w:t>’</w:t>
      </w:r>
      <w:r w:rsidRPr="00E727A8">
        <w:rPr>
          <w:lang w:val="fr-FR"/>
        </w:rPr>
        <w:t>Accord :</w:t>
      </w:r>
    </w:p>
    <w:p w14:paraId="24F06D39" w14:textId="77777777" w:rsidR="00B6466D" w:rsidRPr="00E727A8" w:rsidRDefault="00B6466D" w:rsidP="00B6466D">
      <w:pPr>
        <w:pStyle w:val="Notedebasdepage"/>
        <w:rPr>
          <w:sz w:val="20"/>
          <w:lang w:val="fr-FR"/>
        </w:rPr>
      </w:pPr>
      <w:r w:rsidRPr="00E727A8">
        <w:rPr>
          <w:lang w:val="fr-FR"/>
        </w:rPr>
        <w:tab/>
      </w:r>
      <w:r w:rsidRPr="00E727A8">
        <w:rPr>
          <w:lang w:val="fr-FR"/>
        </w:rPr>
        <w:tab/>
      </w:r>
      <w:r w:rsidRPr="00E727A8">
        <w:rPr>
          <w:spacing w:val="-4"/>
          <w:lang w:val="fr-FR"/>
        </w:rPr>
        <w:t>Accord concernant l</w:t>
      </w:r>
      <w:r w:rsidR="00EB1512">
        <w:rPr>
          <w:spacing w:val="-4"/>
          <w:lang w:val="fr-FR"/>
        </w:rPr>
        <w:t>’</w:t>
      </w:r>
      <w:r w:rsidRPr="00E727A8">
        <w:rPr>
          <w:spacing w:val="-4"/>
          <w:lang w:val="fr-FR"/>
        </w:rPr>
        <w:t>adoption de conditions uniformes d</w:t>
      </w:r>
      <w:r w:rsidR="00EB1512">
        <w:rPr>
          <w:spacing w:val="-4"/>
          <w:lang w:val="fr-FR"/>
        </w:rPr>
        <w:t>’</w:t>
      </w:r>
      <w:r w:rsidRPr="00E727A8">
        <w:rPr>
          <w:spacing w:val="-4"/>
          <w:lang w:val="fr-FR"/>
        </w:rPr>
        <w:t>homologation et la reconnaissance réciproque de l</w:t>
      </w:r>
      <w:r w:rsidR="00EB1512">
        <w:rPr>
          <w:spacing w:val="-4"/>
          <w:lang w:val="fr-FR"/>
        </w:rPr>
        <w:t>’</w:t>
      </w:r>
      <w:r w:rsidRPr="00E727A8">
        <w:rPr>
          <w:spacing w:val="-4"/>
          <w:lang w:val="fr-FR"/>
        </w:rPr>
        <w:t>homologation des équipements et pièces de véhicules à moteur, en date, à Genève, du 20</w:t>
      </w:r>
      <w:r>
        <w:rPr>
          <w:spacing w:val="-4"/>
          <w:lang w:val="fr-FR"/>
        </w:rPr>
        <w:t> </w:t>
      </w:r>
      <w:r w:rsidRPr="00E727A8">
        <w:rPr>
          <w:spacing w:val="-4"/>
          <w:lang w:val="fr-FR"/>
        </w:rPr>
        <w:t>mars</w:t>
      </w:r>
      <w:r>
        <w:rPr>
          <w:spacing w:val="-4"/>
          <w:lang w:val="fr-FR"/>
        </w:rPr>
        <w:t> </w:t>
      </w:r>
      <w:r w:rsidRPr="00E727A8">
        <w:rPr>
          <w:spacing w:val="-4"/>
          <w:lang w:val="fr-FR"/>
        </w:rPr>
        <w:t>1958 (version originale).</w:t>
      </w:r>
    </w:p>
    <w:p w14:paraId="369AEA71" w14:textId="77777777" w:rsidR="00B6466D" w:rsidRPr="00B6466D" w:rsidRDefault="00B6466D" w:rsidP="00B6466D">
      <w:pPr>
        <w:pStyle w:val="Notedebasdepage"/>
      </w:pPr>
      <w:r w:rsidRPr="00E727A8">
        <w:rPr>
          <w:lang w:val="fr-FR"/>
        </w:rPr>
        <w:tab/>
      </w:r>
      <w:r w:rsidRPr="00E727A8">
        <w:rPr>
          <w:lang w:val="fr-FR"/>
        </w:rPr>
        <w:tab/>
        <w:t>Accord concernant l</w:t>
      </w:r>
      <w:r w:rsidR="00EB1512">
        <w:rPr>
          <w:lang w:val="fr-FR"/>
        </w:rPr>
        <w:t>’</w:t>
      </w:r>
      <w:r w:rsidRPr="00E727A8">
        <w:rPr>
          <w:lang w:val="fr-FR"/>
        </w:rPr>
        <w:t>adoption de prescriptions techniques uniformes applicables aux véhicules à roues, aux équipements et aux pièces susceptibles d</w:t>
      </w:r>
      <w:r w:rsidR="00EB1512">
        <w:rPr>
          <w:lang w:val="fr-FR"/>
        </w:rPr>
        <w:t>’</w:t>
      </w:r>
      <w:r w:rsidRPr="00E727A8">
        <w:rPr>
          <w:lang w:val="fr-FR"/>
        </w:rPr>
        <w:t>être montés ou utilisés sur un véhicule à roues et les conditions de reconnaissance réciproque des homologations délivrées conformément à ces prescriptions, en date, à Genève, du 5</w:t>
      </w:r>
      <w:r>
        <w:rPr>
          <w:lang w:val="fr-FR"/>
        </w:rPr>
        <w:t> </w:t>
      </w:r>
      <w:r w:rsidRPr="00E727A8">
        <w:rPr>
          <w:lang w:val="fr-FR"/>
        </w:rPr>
        <w:t>octobre</w:t>
      </w:r>
      <w:r>
        <w:rPr>
          <w:lang w:val="fr-FR"/>
        </w:rPr>
        <w:t> </w:t>
      </w:r>
      <w:r w:rsidRPr="00E727A8">
        <w:rPr>
          <w:lang w:val="fr-FR"/>
        </w:rPr>
        <w:t>1995 (Révision</w:t>
      </w:r>
      <w:r>
        <w:rPr>
          <w:lang w:val="fr-FR"/>
        </w:rPr>
        <w:t> </w:t>
      </w:r>
      <w:r w:rsidRPr="00E727A8">
        <w:rPr>
          <w:lang w:val="fr-FR"/>
        </w:rPr>
        <w:t>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0042E" w14:textId="5D9CA12C" w:rsidR="00CE4060" w:rsidRPr="00CE4060" w:rsidRDefault="008076F0">
    <w:pPr>
      <w:pStyle w:val="En-tte"/>
    </w:pPr>
    <w:r>
      <w:fldChar w:fldCharType="begin"/>
    </w:r>
    <w:r>
      <w:instrText xml:space="preserve"> TITLE  \* MERGEFORMAT </w:instrText>
    </w:r>
    <w:r>
      <w:fldChar w:fldCharType="separate"/>
    </w:r>
    <w:r>
      <w:t>E/ECE/TRANS/505/Rev.3/Add.143/Amend.1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BB64D" w14:textId="15360DB3" w:rsidR="00CE4060" w:rsidRPr="00CE4060" w:rsidRDefault="008076F0" w:rsidP="00CE4060">
    <w:pPr>
      <w:pStyle w:val="En-tte"/>
      <w:jc w:val="right"/>
    </w:pPr>
    <w:r>
      <w:fldChar w:fldCharType="begin"/>
    </w:r>
    <w:r>
      <w:instrText xml:space="preserve"> TITLE  \* MERGEFORMAT </w:instrText>
    </w:r>
    <w:r>
      <w:fldChar w:fldCharType="separate"/>
    </w:r>
    <w:r>
      <w:t>E/ECE/TRANS/505/Rev.3/Add.143/Amend.1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attachedTemplate r:id="rId1"/>
  <w:defaultTabStop w:val="567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12"/>
    <w:rsid w:val="000009A8"/>
    <w:rsid w:val="00017F94"/>
    <w:rsid w:val="00023842"/>
    <w:rsid w:val="000334F9"/>
    <w:rsid w:val="00045FEB"/>
    <w:rsid w:val="00050AA5"/>
    <w:rsid w:val="0007796D"/>
    <w:rsid w:val="000B7790"/>
    <w:rsid w:val="00111F2F"/>
    <w:rsid w:val="0014365E"/>
    <w:rsid w:val="00143C66"/>
    <w:rsid w:val="00176178"/>
    <w:rsid w:val="001F525A"/>
    <w:rsid w:val="00201148"/>
    <w:rsid w:val="00223272"/>
    <w:rsid w:val="0024779E"/>
    <w:rsid w:val="00257168"/>
    <w:rsid w:val="002744B8"/>
    <w:rsid w:val="002832AC"/>
    <w:rsid w:val="002D7C93"/>
    <w:rsid w:val="00305801"/>
    <w:rsid w:val="003916DE"/>
    <w:rsid w:val="003F00C7"/>
    <w:rsid w:val="00421996"/>
    <w:rsid w:val="00441C3B"/>
    <w:rsid w:val="00446FE5"/>
    <w:rsid w:val="00452396"/>
    <w:rsid w:val="00477EB2"/>
    <w:rsid w:val="004837D8"/>
    <w:rsid w:val="004E2EED"/>
    <w:rsid w:val="004E468C"/>
    <w:rsid w:val="005505B7"/>
    <w:rsid w:val="00573BE5"/>
    <w:rsid w:val="00586ED3"/>
    <w:rsid w:val="00596AA9"/>
    <w:rsid w:val="0071601D"/>
    <w:rsid w:val="007430FC"/>
    <w:rsid w:val="007A62E6"/>
    <w:rsid w:val="007E1744"/>
    <w:rsid w:val="007F20FA"/>
    <w:rsid w:val="0080684C"/>
    <w:rsid w:val="008076F0"/>
    <w:rsid w:val="00871C75"/>
    <w:rsid w:val="008776DC"/>
    <w:rsid w:val="008D5EF9"/>
    <w:rsid w:val="009446C0"/>
    <w:rsid w:val="00946845"/>
    <w:rsid w:val="009705C8"/>
    <w:rsid w:val="009C1CF4"/>
    <w:rsid w:val="009D20E8"/>
    <w:rsid w:val="009F6B74"/>
    <w:rsid w:val="00A3029F"/>
    <w:rsid w:val="00A30353"/>
    <w:rsid w:val="00AC3823"/>
    <w:rsid w:val="00AE323C"/>
    <w:rsid w:val="00AF0CB5"/>
    <w:rsid w:val="00B00181"/>
    <w:rsid w:val="00B00B0D"/>
    <w:rsid w:val="00B45F2E"/>
    <w:rsid w:val="00B6466D"/>
    <w:rsid w:val="00B765F7"/>
    <w:rsid w:val="00B77993"/>
    <w:rsid w:val="00BA0CA9"/>
    <w:rsid w:val="00C02897"/>
    <w:rsid w:val="00C14B12"/>
    <w:rsid w:val="00C97039"/>
    <w:rsid w:val="00CE4060"/>
    <w:rsid w:val="00D07150"/>
    <w:rsid w:val="00D3439C"/>
    <w:rsid w:val="00D7622E"/>
    <w:rsid w:val="00DB1831"/>
    <w:rsid w:val="00DD3BFD"/>
    <w:rsid w:val="00DF6678"/>
    <w:rsid w:val="00E0299A"/>
    <w:rsid w:val="00E85C74"/>
    <w:rsid w:val="00EA6547"/>
    <w:rsid w:val="00EB1512"/>
    <w:rsid w:val="00ED7237"/>
    <w:rsid w:val="00EF2E22"/>
    <w:rsid w:val="00F35BAF"/>
    <w:rsid w:val="00F660DF"/>
    <w:rsid w:val="00F94664"/>
    <w:rsid w:val="00F9573C"/>
    <w:rsid w:val="00F95C08"/>
    <w:rsid w:val="00F97B03"/>
    <w:rsid w:val="00F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A3D3C7"/>
  <w15:docId w15:val="{A939DAC4-84EE-4ED0-883E-F49EED9F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qFormat/>
    <w:rsid w:val="00B77993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B77993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Appelnotedebasdep">
    <w:name w:val="footnote reference"/>
    <w:aliases w:val="4_G,(Footnote Reference),-E Fußnotenzeichen,BVI fnr, BVI fnr,Footnote symbol,Footnote,Footnote Reference Superscript,SUPERS,Fußnotenzeichen"/>
    <w:basedOn w:val="Policepardfau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,PP,Footnote Text Char,5_G_6,Fußnotentext"/>
    <w:basedOn w:val="Normal"/>
    <w:link w:val="NotedebasdepageC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,PP Car,Footnote Text Char Car,5_G_6 Car,Fußnotentext Car"/>
    <w:basedOn w:val="Policepardfaut"/>
    <w:link w:val="Notedebasdepage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3" ma:contentTypeDescription="Create a new document." ma:contentTypeScope="" ma:versionID="89c13dde5d7aa6b1840a64c3c61e7101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49ff99f9a570207563b6136515cf8a36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37F50E-27A4-4142-A9EC-7F5C39032313}"/>
</file>

<file path=customXml/itemProps2.xml><?xml version="1.0" encoding="utf-8"?>
<ds:datastoreItem xmlns:ds="http://schemas.openxmlformats.org/officeDocument/2006/customXml" ds:itemID="{425779C1-4C92-419F-825E-9D9D4237CED6}"/>
</file>

<file path=customXml/itemProps3.xml><?xml version="1.0" encoding="utf-8"?>
<ds:datastoreItem xmlns:ds="http://schemas.openxmlformats.org/officeDocument/2006/customXml" ds:itemID="{B46AAA35-C5C0-49AA-B74B-F0830F53AD10}"/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0</TotalTime>
  <Pages>4</Pages>
  <Words>1067</Words>
  <Characters>7476</Characters>
  <Application>Microsoft Office Word</Application>
  <DocSecurity>0</DocSecurity>
  <Lines>623</Lines>
  <Paragraphs>341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E/ECE/TRANS/505/Rev.3/Add.143/Amend.1</vt:lpstr>
    </vt:vector>
  </TitlesOfParts>
  <Company>DCM</Company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E/ECE/TRANS/505/Rev.3/Add.143/Amend.1</dc:title>
  <dc:subject/>
  <dc:creator>Julien OKRZESIK</dc:creator>
  <cp:keywords/>
  <cp:lastModifiedBy>Julien Okrzesik</cp:lastModifiedBy>
  <cp:revision>3</cp:revision>
  <cp:lastPrinted>2021-02-16T16:38:00Z</cp:lastPrinted>
  <dcterms:created xsi:type="dcterms:W3CDTF">2021-02-16T16:38:00Z</dcterms:created>
  <dcterms:modified xsi:type="dcterms:W3CDTF">2021-02-16T16:38:00Z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</Properties>
</file>