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D5A4E" w:rsidRPr="007D5A4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7D5A4E" w:rsidRDefault="0064636E" w:rsidP="003C3936">
            <w:pPr>
              <w:rPr>
                <w:color w:val="000000" w:themeColor="text1"/>
              </w:rPr>
            </w:pPr>
            <w:bookmarkStart w:id="0" w:name="_GoBack"/>
            <w:bookmarkEnd w:id="0"/>
          </w:p>
        </w:tc>
        <w:tc>
          <w:tcPr>
            <w:tcW w:w="8363" w:type="dxa"/>
            <w:gridSpan w:val="2"/>
            <w:tcBorders>
              <w:bottom w:val="single" w:sz="4" w:space="0" w:color="auto"/>
            </w:tcBorders>
            <w:vAlign w:val="bottom"/>
          </w:tcPr>
          <w:p w14:paraId="21FBE7EF" w14:textId="77BE96EF" w:rsidR="0064636E" w:rsidRPr="007D5A4E" w:rsidRDefault="0064636E" w:rsidP="00792EED">
            <w:pPr>
              <w:jc w:val="right"/>
              <w:rPr>
                <w:color w:val="000000" w:themeColor="text1"/>
              </w:rPr>
            </w:pPr>
            <w:r w:rsidRPr="007D5A4E">
              <w:rPr>
                <w:color w:val="000000" w:themeColor="text1"/>
                <w:sz w:val="40"/>
              </w:rPr>
              <w:t>E</w:t>
            </w:r>
            <w:r w:rsidRPr="007D5A4E">
              <w:rPr>
                <w:color w:val="000000" w:themeColor="text1"/>
              </w:rPr>
              <w:t>/ECE/324/</w:t>
            </w:r>
            <w:r w:rsidR="00841EB5" w:rsidRPr="007D5A4E">
              <w:rPr>
                <w:color w:val="000000" w:themeColor="text1"/>
              </w:rPr>
              <w:t>Rev.</w:t>
            </w:r>
            <w:r w:rsidR="00552067" w:rsidRPr="007D5A4E">
              <w:rPr>
                <w:color w:val="000000" w:themeColor="text1"/>
              </w:rPr>
              <w:t>2</w:t>
            </w:r>
            <w:r w:rsidR="00841EB5" w:rsidRPr="007D5A4E">
              <w:rPr>
                <w:color w:val="000000" w:themeColor="text1"/>
              </w:rPr>
              <w:t>/</w:t>
            </w:r>
            <w:r w:rsidRPr="007D5A4E">
              <w:rPr>
                <w:color w:val="000000" w:themeColor="text1"/>
              </w:rPr>
              <w:t>Add.</w:t>
            </w:r>
            <w:r w:rsidR="00EC75F2" w:rsidRPr="007D5A4E">
              <w:rPr>
                <w:color w:val="000000" w:themeColor="text1"/>
              </w:rPr>
              <w:t>1</w:t>
            </w:r>
            <w:r w:rsidR="00651737" w:rsidRPr="007D5A4E">
              <w:rPr>
                <w:color w:val="000000" w:themeColor="text1"/>
              </w:rPr>
              <w:t>09</w:t>
            </w:r>
            <w:r w:rsidR="000C3BA6" w:rsidRPr="007D5A4E">
              <w:rPr>
                <w:color w:val="000000" w:themeColor="text1"/>
              </w:rPr>
              <w:t>/Rev.</w:t>
            </w:r>
            <w:r w:rsidR="003D1B07" w:rsidRPr="007D5A4E">
              <w:rPr>
                <w:color w:val="000000" w:themeColor="text1"/>
              </w:rPr>
              <w:t>6</w:t>
            </w:r>
            <w:r w:rsidR="00EE0446" w:rsidRPr="007D5A4E">
              <w:rPr>
                <w:color w:val="000000" w:themeColor="text1"/>
              </w:rPr>
              <w:t>/Amend.</w:t>
            </w:r>
            <w:r w:rsidR="00316FDB" w:rsidRPr="007D5A4E">
              <w:rPr>
                <w:color w:val="000000" w:themeColor="text1"/>
              </w:rPr>
              <w:t>1</w:t>
            </w:r>
            <w:r w:rsidRPr="007D5A4E">
              <w:rPr>
                <w:color w:val="000000" w:themeColor="text1"/>
              </w:rPr>
              <w:t>−</w:t>
            </w:r>
            <w:r w:rsidRPr="007D5A4E">
              <w:rPr>
                <w:color w:val="000000" w:themeColor="text1"/>
                <w:sz w:val="40"/>
              </w:rPr>
              <w:t>E</w:t>
            </w:r>
            <w:r w:rsidRPr="007D5A4E">
              <w:rPr>
                <w:color w:val="000000" w:themeColor="text1"/>
              </w:rPr>
              <w:t>/ECE/TRANS/505</w:t>
            </w:r>
            <w:r w:rsidR="00841EB5" w:rsidRPr="007D5A4E">
              <w:rPr>
                <w:color w:val="000000" w:themeColor="text1"/>
              </w:rPr>
              <w:t>/Rev.</w:t>
            </w:r>
            <w:r w:rsidR="00552067" w:rsidRPr="007D5A4E">
              <w:rPr>
                <w:color w:val="000000" w:themeColor="text1"/>
              </w:rPr>
              <w:t>2</w:t>
            </w:r>
            <w:r w:rsidR="00841EB5" w:rsidRPr="007D5A4E">
              <w:rPr>
                <w:color w:val="000000" w:themeColor="text1"/>
              </w:rPr>
              <w:t>/Add.</w:t>
            </w:r>
            <w:r w:rsidR="00EC75F2" w:rsidRPr="007D5A4E">
              <w:rPr>
                <w:color w:val="000000" w:themeColor="text1"/>
              </w:rPr>
              <w:t>10</w:t>
            </w:r>
            <w:r w:rsidR="001710A9" w:rsidRPr="007D5A4E">
              <w:rPr>
                <w:color w:val="000000" w:themeColor="text1"/>
              </w:rPr>
              <w:t>9</w:t>
            </w:r>
            <w:r w:rsidR="00EE0446" w:rsidRPr="007D5A4E">
              <w:rPr>
                <w:color w:val="000000" w:themeColor="text1"/>
              </w:rPr>
              <w:t>/Rev.</w:t>
            </w:r>
            <w:r w:rsidR="003D1B07" w:rsidRPr="007D5A4E">
              <w:rPr>
                <w:color w:val="000000" w:themeColor="text1"/>
              </w:rPr>
              <w:t>6</w:t>
            </w:r>
            <w:r w:rsidR="00EE0446" w:rsidRPr="007D5A4E">
              <w:rPr>
                <w:color w:val="000000" w:themeColor="text1"/>
              </w:rPr>
              <w:t>/Amend.</w:t>
            </w:r>
            <w:r w:rsidR="00316FDB" w:rsidRPr="007D5A4E">
              <w:rPr>
                <w:color w:val="000000" w:themeColor="text1"/>
              </w:rPr>
              <w:t>1</w:t>
            </w:r>
          </w:p>
        </w:tc>
      </w:tr>
      <w:tr w:rsidR="007D5A4E" w:rsidRPr="007D5A4E" w14:paraId="6F985C55" w14:textId="77777777" w:rsidTr="007E5905">
        <w:trPr>
          <w:cantSplit/>
          <w:trHeight w:hRule="exact" w:val="1854"/>
        </w:trPr>
        <w:tc>
          <w:tcPr>
            <w:tcW w:w="1276" w:type="dxa"/>
            <w:tcBorders>
              <w:top w:val="single" w:sz="4" w:space="0" w:color="auto"/>
              <w:bottom w:val="single" w:sz="12" w:space="0" w:color="auto"/>
            </w:tcBorders>
          </w:tcPr>
          <w:p w14:paraId="31028A61" w14:textId="77777777" w:rsidR="003C3936" w:rsidRPr="007D5A4E" w:rsidRDefault="003C3936" w:rsidP="003C3936">
            <w:pPr>
              <w:spacing w:before="120"/>
              <w:rPr>
                <w:color w:val="000000" w:themeColor="text1"/>
              </w:rPr>
            </w:pPr>
          </w:p>
        </w:tc>
        <w:tc>
          <w:tcPr>
            <w:tcW w:w="5528" w:type="dxa"/>
            <w:tcBorders>
              <w:top w:val="single" w:sz="4" w:space="0" w:color="auto"/>
              <w:bottom w:val="single" w:sz="12" w:space="0" w:color="auto"/>
            </w:tcBorders>
          </w:tcPr>
          <w:p w14:paraId="49836FB9" w14:textId="77777777" w:rsidR="003C3936" w:rsidRPr="007D5A4E" w:rsidRDefault="003C3936" w:rsidP="003C3936">
            <w:pPr>
              <w:spacing w:before="120"/>
              <w:rPr>
                <w:color w:val="000000" w:themeColor="text1"/>
              </w:rPr>
            </w:pPr>
          </w:p>
        </w:tc>
        <w:tc>
          <w:tcPr>
            <w:tcW w:w="2835" w:type="dxa"/>
            <w:tcBorders>
              <w:top w:val="single" w:sz="4" w:space="0" w:color="auto"/>
              <w:bottom w:val="single" w:sz="12" w:space="0" w:color="auto"/>
            </w:tcBorders>
          </w:tcPr>
          <w:p w14:paraId="5261E6CB" w14:textId="77777777" w:rsidR="003C3936" w:rsidRPr="007D5A4E" w:rsidRDefault="003C3936" w:rsidP="003C3936">
            <w:pPr>
              <w:spacing w:before="120"/>
              <w:rPr>
                <w:color w:val="000000" w:themeColor="text1"/>
              </w:rPr>
            </w:pPr>
          </w:p>
          <w:p w14:paraId="3AAF3BDD" w14:textId="3593C7DF" w:rsidR="00C84414" w:rsidRPr="007D5A4E" w:rsidRDefault="007E5905" w:rsidP="00F76B47">
            <w:pPr>
              <w:spacing w:before="120"/>
              <w:rPr>
                <w:color w:val="000000" w:themeColor="text1"/>
              </w:rPr>
            </w:pPr>
            <w:r w:rsidRPr="007D5A4E">
              <w:rPr>
                <w:color w:val="000000" w:themeColor="text1"/>
              </w:rPr>
              <w:t>2 November</w:t>
            </w:r>
            <w:r w:rsidR="00690DA2" w:rsidRPr="007D5A4E">
              <w:rPr>
                <w:color w:val="000000" w:themeColor="text1"/>
              </w:rPr>
              <w:t xml:space="preserve"> </w:t>
            </w:r>
            <w:r w:rsidR="00F76B47" w:rsidRPr="007D5A4E">
              <w:rPr>
                <w:color w:val="000000" w:themeColor="text1"/>
              </w:rPr>
              <w:t>20</w:t>
            </w:r>
            <w:r w:rsidR="003D1B07" w:rsidRPr="007D5A4E">
              <w:rPr>
                <w:color w:val="000000" w:themeColor="text1"/>
              </w:rPr>
              <w:t>20</w:t>
            </w:r>
          </w:p>
        </w:tc>
      </w:tr>
    </w:tbl>
    <w:p w14:paraId="01E494E6" w14:textId="0E117653" w:rsidR="00C711C7" w:rsidRPr="007D5A4E" w:rsidRDefault="00C711C7" w:rsidP="00F76B47">
      <w:pPr>
        <w:pStyle w:val="HChG"/>
        <w:spacing w:before="240" w:after="120"/>
        <w:rPr>
          <w:color w:val="000000" w:themeColor="text1"/>
        </w:rPr>
      </w:pPr>
      <w:r w:rsidRPr="007D5A4E">
        <w:rPr>
          <w:color w:val="000000" w:themeColor="text1"/>
        </w:rPr>
        <w:tab/>
      </w:r>
      <w:r w:rsidRPr="007D5A4E">
        <w:rPr>
          <w:color w:val="000000" w:themeColor="text1"/>
        </w:rPr>
        <w:tab/>
      </w:r>
      <w:bookmarkStart w:id="1" w:name="_Toc340666199"/>
      <w:bookmarkStart w:id="2" w:name="_Toc340745062"/>
      <w:r w:rsidRPr="007D5A4E">
        <w:rPr>
          <w:color w:val="000000" w:themeColor="text1"/>
        </w:rPr>
        <w:t>Agreement</w:t>
      </w:r>
      <w:bookmarkEnd w:id="1"/>
      <w:bookmarkEnd w:id="2"/>
    </w:p>
    <w:p w14:paraId="3930E1C5" w14:textId="61AE20E7" w:rsidR="00C711C7" w:rsidRPr="007D5A4E" w:rsidRDefault="0085437C" w:rsidP="00F76B47">
      <w:pPr>
        <w:pStyle w:val="H1G"/>
        <w:rPr>
          <w:color w:val="000000" w:themeColor="text1"/>
        </w:rPr>
      </w:pPr>
      <w:r w:rsidRPr="007D5A4E">
        <w:rPr>
          <w:color w:val="000000" w:themeColor="text1"/>
        </w:rPr>
        <w:tab/>
      </w:r>
      <w:r w:rsidRPr="007D5A4E">
        <w:rPr>
          <w:color w:val="000000" w:themeColor="text1"/>
        </w:rPr>
        <w:tab/>
        <w:t>Concerning the</w:t>
      </w:r>
      <w:r w:rsidRPr="007D5A4E">
        <w:rPr>
          <w:smallCaps/>
          <w:color w:val="000000" w:themeColor="text1"/>
        </w:rPr>
        <w:t xml:space="preserve"> </w:t>
      </w:r>
      <w:r w:rsidRPr="007D5A4E">
        <w:rPr>
          <w:color w:val="000000" w:themeColor="text1"/>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7D5A4E">
        <w:rPr>
          <w:color w:val="000000" w:themeColor="text1"/>
        </w:rPr>
        <w:t>on the Basis of</w:t>
      </w:r>
      <w:proofErr w:type="gramEnd"/>
      <w:r w:rsidRPr="007D5A4E">
        <w:rPr>
          <w:color w:val="000000" w:themeColor="text1"/>
        </w:rPr>
        <w:t xml:space="preserve"> these United Nations Regulations</w:t>
      </w:r>
      <w:r w:rsidRPr="007D5A4E">
        <w:rPr>
          <w:color w:val="000000" w:themeColor="text1"/>
        </w:rPr>
        <w:footnoteReference w:customMarkFollows="1" w:id="2"/>
        <w:t>*</w:t>
      </w:r>
    </w:p>
    <w:p w14:paraId="23248D7D" w14:textId="63977BA8" w:rsidR="0085437C" w:rsidRPr="007D5A4E" w:rsidRDefault="0085437C" w:rsidP="00C711C7">
      <w:pPr>
        <w:pStyle w:val="SingleTxtG"/>
        <w:spacing w:before="120"/>
        <w:rPr>
          <w:color w:val="000000" w:themeColor="text1"/>
        </w:rPr>
      </w:pPr>
      <w:r w:rsidRPr="007D5A4E">
        <w:rPr>
          <w:color w:val="000000" w:themeColor="text1"/>
        </w:rPr>
        <w:t>(Revision 3, including the amendments which entered into force on 14 September 2017)</w:t>
      </w:r>
    </w:p>
    <w:p w14:paraId="23520E79" w14:textId="77777777" w:rsidR="0064636E" w:rsidRPr="007D5A4E" w:rsidRDefault="00C711C7" w:rsidP="00B32121">
      <w:pPr>
        <w:pStyle w:val="H1G"/>
        <w:spacing w:before="120"/>
        <w:ind w:left="0" w:right="0" w:firstLine="0"/>
        <w:jc w:val="center"/>
        <w:rPr>
          <w:color w:val="000000" w:themeColor="text1"/>
        </w:rPr>
      </w:pPr>
      <w:r w:rsidRPr="007D5A4E">
        <w:rPr>
          <w:color w:val="000000" w:themeColor="text1"/>
        </w:rPr>
        <w:t>_________</w:t>
      </w:r>
    </w:p>
    <w:p w14:paraId="1E020283" w14:textId="732458BB" w:rsidR="0064636E" w:rsidRPr="007D5A4E" w:rsidRDefault="0064636E" w:rsidP="00E26C11">
      <w:pPr>
        <w:pStyle w:val="HChG"/>
        <w:rPr>
          <w:color w:val="000000" w:themeColor="text1"/>
        </w:rPr>
      </w:pPr>
      <w:r w:rsidRPr="007D5A4E">
        <w:rPr>
          <w:color w:val="000000" w:themeColor="text1"/>
        </w:rPr>
        <w:tab/>
      </w:r>
      <w:r w:rsidRPr="007D5A4E">
        <w:rPr>
          <w:color w:val="000000" w:themeColor="text1"/>
        </w:rPr>
        <w:tab/>
        <w:t xml:space="preserve">Addendum </w:t>
      </w:r>
      <w:r w:rsidR="00EC75F2" w:rsidRPr="007D5A4E">
        <w:rPr>
          <w:color w:val="000000" w:themeColor="text1"/>
        </w:rPr>
        <w:t>1</w:t>
      </w:r>
      <w:r w:rsidR="00651737" w:rsidRPr="007D5A4E">
        <w:rPr>
          <w:color w:val="000000" w:themeColor="text1"/>
        </w:rPr>
        <w:t>09</w:t>
      </w:r>
      <w:r w:rsidR="00EE0446" w:rsidRPr="007D5A4E">
        <w:rPr>
          <w:color w:val="000000" w:themeColor="text1"/>
        </w:rPr>
        <w:t xml:space="preserve"> </w:t>
      </w:r>
      <w:r w:rsidRPr="007D5A4E">
        <w:rPr>
          <w:color w:val="000000" w:themeColor="text1"/>
        </w:rPr>
        <w:t xml:space="preserve">– </w:t>
      </w:r>
      <w:r w:rsidR="00AA2EDB" w:rsidRPr="007D5A4E">
        <w:rPr>
          <w:color w:val="000000" w:themeColor="text1"/>
        </w:rPr>
        <w:t>UN </w:t>
      </w:r>
      <w:r w:rsidRPr="007D5A4E">
        <w:rPr>
          <w:color w:val="000000" w:themeColor="text1"/>
        </w:rPr>
        <w:t>Regulation No.</w:t>
      </w:r>
      <w:r w:rsidR="00271A7F" w:rsidRPr="007D5A4E">
        <w:rPr>
          <w:color w:val="000000" w:themeColor="text1"/>
        </w:rPr>
        <w:t xml:space="preserve"> </w:t>
      </w:r>
      <w:r w:rsidR="00EC75F2" w:rsidRPr="007D5A4E">
        <w:rPr>
          <w:color w:val="000000" w:themeColor="text1"/>
        </w:rPr>
        <w:t>1</w:t>
      </w:r>
      <w:r w:rsidR="00651737" w:rsidRPr="007D5A4E">
        <w:rPr>
          <w:color w:val="000000" w:themeColor="text1"/>
        </w:rPr>
        <w:t>1</w:t>
      </w:r>
      <w:r w:rsidR="00EC75F2" w:rsidRPr="007D5A4E">
        <w:rPr>
          <w:color w:val="000000" w:themeColor="text1"/>
        </w:rPr>
        <w:t>0</w:t>
      </w:r>
    </w:p>
    <w:p w14:paraId="4E272B2A" w14:textId="6D51590D" w:rsidR="0064636E" w:rsidRPr="007D5A4E" w:rsidRDefault="0064636E" w:rsidP="00A41529">
      <w:pPr>
        <w:pStyle w:val="H1G"/>
        <w:spacing w:before="240"/>
        <w:rPr>
          <w:color w:val="000000" w:themeColor="text1"/>
        </w:rPr>
      </w:pPr>
      <w:r w:rsidRPr="007D5A4E">
        <w:rPr>
          <w:color w:val="000000" w:themeColor="text1"/>
        </w:rPr>
        <w:tab/>
      </w:r>
      <w:r w:rsidRPr="007D5A4E">
        <w:rPr>
          <w:color w:val="000000" w:themeColor="text1"/>
        </w:rPr>
        <w:tab/>
        <w:t xml:space="preserve">Revision </w:t>
      </w:r>
      <w:r w:rsidR="003D1B07" w:rsidRPr="007D5A4E">
        <w:rPr>
          <w:color w:val="000000" w:themeColor="text1"/>
        </w:rPr>
        <w:t>6</w:t>
      </w:r>
      <w:r w:rsidR="00482B12" w:rsidRPr="007D5A4E">
        <w:rPr>
          <w:color w:val="000000" w:themeColor="text1"/>
        </w:rPr>
        <w:t xml:space="preserve"> </w:t>
      </w:r>
      <w:r w:rsidR="00EB0695" w:rsidRPr="007D5A4E">
        <w:rPr>
          <w:color w:val="000000" w:themeColor="text1"/>
        </w:rPr>
        <w:t>–</w:t>
      </w:r>
      <w:r w:rsidRPr="007D5A4E">
        <w:rPr>
          <w:color w:val="000000" w:themeColor="text1"/>
        </w:rPr>
        <w:t xml:space="preserve"> </w:t>
      </w:r>
      <w:r w:rsidR="00D623A7" w:rsidRPr="007D5A4E">
        <w:rPr>
          <w:color w:val="000000" w:themeColor="text1"/>
        </w:rPr>
        <w:t>Amendment</w:t>
      </w:r>
      <w:r w:rsidRPr="007D5A4E">
        <w:rPr>
          <w:color w:val="000000" w:themeColor="text1"/>
        </w:rPr>
        <w:t xml:space="preserve"> </w:t>
      </w:r>
      <w:r w:rsidR="00316FDB" w:rsidRPr="007D5A4E">
        <w:rPr>
          <w:color w:val="000000" w:themeColor="text1"/>
        </w:rPr>
        <w:t>1</w:t>
      </w:r>
    </w:p>
    <w:p w14:paraId="4FAFC05A" w14:textId="7ABE345D" w:rsidR="0064636E" w:rsidRPr="007D5A4E" w:rsidRDefault="00316FDB" w:rsidP="0064636E">
      <w:pPr>
        <w:pStyle w:val="SingleTxtG"/>
        <w:spacing w:after="360"/>
        <w:rPr>
          <w:color w:val="000000" w:themeColor="text1"/>
          <w:spacing w:val="-2"/>
        </w:rPr>
      </w:pPr>
      <w:r w:rsidRPr="007D5A4E">
        <w:rPr>
          <w:color w:val="000000" w:themeColor="text1"/>
          <w:spacing w:val="-2"/>
        </w:rPr>
        <w:t xml:space="preserve">Supplement 1 to the </w:t>
      </w:r>
      <w:r w:rsidR="00620564" w:rsidRPr="007D5A4E">
        <w:rPr>
          <w:color w:val="000000" w:themeColor="text1"/>
          <w:spacing w:val="-2"/>
        </w:rPr>
        <w:t>0</w:t>
      </w:r>
      <w:r w:rsidR="003D1B07" w:rsidRPr="007D5A4E">
        <w:rPr>
          <w:color w:val="000000" w:themeColor="text1"/>
          <w:spacing w:val="-2"/>
        </w:rPr>
        <w:t>4</w:t>
      </w:r>
      <w:r w:rsidR="00EC75F2" w:rsidRPr="007D5A4E">
        <w:rPr>
          <w:color w:val="000000" w:themeColor="text1"/>
          <w:spacing w:val="-2"/>
        </w:rPr>
        <w:t xml:space="preserve"> series of amendments</w:t>
      </w:r>
      <w:r w:rsidR="0064636E" w:rsidRPr="007D5A4E">
        <w:rPr>
          <w:color w:val="000000" w:themeColor="text1"/>
          <w:spacing w:val="-2"/>
        </w:rPr>
        <w:t xml:space="preserve"> – Date of entry into force: </w:t>
      </w:r>
      <w:r w:rsidR="003D1B07" w:rsidRPr="007D5A4E">
        <w:rPr>
          <w:color w:val="000000" w:themeColor="text1"/>
        </w:rPr>
        <w:t>25 September 2020</w:t>
      </w:r>
    </w:p>
    <w:p w14:paraId="108E5E95" w14:textId="77777777" w:rsidR="00651737" w:rsidRPr="007D5A4E" w:rsidRDefault="0064636E" w:rsidP="000777F7">
      <w:pPr>
        <w:pStyle w:val="H1G"/>
        <w:spacing w:before="120" w:after="120" w:line="240" w:lineRule="exact"/>
        <w:ind w:left="1138" w:right="1138" w:hanging="1138"/>
        <w:rPr>
          <w:color w:val="000000" w:themeColor="text1"/>
        </w:rPr>
      </w:pPr>
      <w:r w:rsidRPr="007D5A4E">
        <w:rPr>
          <w:color w:val="000000" w:themeColor="text1"/>
        </w:rPr>
        <w:tab/>
      </w:r>
      <w:r w:rsidRPr="007D5A4E">
        <w:rPr>
          <w:color w:val="000000" w:themeColor="text1"/>
        </w:rPr>
        <w:tab/>
      </w:r>
      <w:r w:rsidR="00651737" w:rsidRPr="007D5A4E">
        <w:rPr>
          <w:color w:val="000000" w:themeColor="text1"/>
        </w:rPr>
        <w:t>Uniform provisions concerning the approval of:</w:t>
      </w:r>
    </w:p>
    <w:p w14:paraId="40CF24FD" w14:textId="0099AE05" w:rsidR="00651737" w:rsidRPr="007D5A4E" w:rsidRDefault="00651737" w:rsidP="00E26C11">
      <w:pPr>
        <w:pStyle w:val="H1G"/>
        <w:tabs>
          <w:tab w:val="clear" w:pos="851"/>
        </w:tabs>
        <w:spacing w:before="0" w:after="0" w:line="240" w:lineRule="exact"/>
        <w:ind w:left="1701" w:hanging="567"/>
        <w:rPr>
          <w:color w:val="000000" w:themeColor="text1"/>
        </w:rPr>
      </w:pPr>
      <w:r w:rsidRPr="007D5A4E">
        <w:rPr>
          <w:color w:val="000000" w:themeColor="text1"/>
        </w:rPr>
        <w:t>I.</w:t>
      </w:r>
      <w:r w:rsidRPr="007D5A4E">
        <w:rPr>
          <w:color w:val="000000" w:themeColor="text1"/>
        </w:rPr>
        <w:tab/>
        <w:t xml:space="preserve">Specific components of motor vehicles using compressed natural gas (CNG) and/or liquefied natural gas (LNG) in their propulsion system </w:t>
      </w:r>
    </w:p>
    <w:p w14:paraId="24730B39" w14:textId="06FB7F17" w:rsidR="0064636E" w:rsidRPr="007D5A4E" w:rsidRDefault="00651737" w:rsidP="00E26C11">
      <w:pPr>
        <w:pStyle w:val="H1G"/>
        <w:tabs>
          <w:tab w:val="clear" w:pos="851"/>
        </w:tabs>
        <w:spacing w:before="0" w:after="120" w:line="240" w:lineRule="exact"/>
        <w:ind w:left="1701" w:hanging="567"/>
        <w:rPr>
          <w:color w:val="000000" w:themeColor="text1"/>
        </w:rPr>
      </w:pPr>
      <w:r w:rsidRPr="007D5A4E">
        <w:rPr>
          <w:color w:val="000000" w:themeColor="text1"/>
        </w:rPr>
        <w:t>II.</w:t>
      </w:r>
      <w:r w:rsidRPr="007D5A4E">
        <w:rPr>
          <w:color w:val="000000" w:themeColor="text1"/>
        </w:rPr>
        <w:tab/>
        <w:t>Vehicles with regard to the installation of specific components of an approved type for the use of compressed natural gas (CNG) and/or liquefied natural gas (LNG) in their propulsion system</w:t>
      </w:r>
    </w:p>
    <w:p w14:paraId="02EF65D0" w14:textId="10C2E938" w:rsidR="00A41529" w:rsidRPr="007D5A4E" w:rsidRDefault="0001071D" w:rsidP="00A41529">
      <w:pPr>
        <w:pStyle w:val="SingleTxtG"/>
        <w:spacing w:after="0"/>
        <w:rPr>
          <w:color w:val="000000" w:themeColor="text1"/>
          <w:spacing w:val="-6"/>
          <w:lang w:eastAsia="en-GB"/>
        </w:rPr>
      </w:pPr>
      <w:r w:rsidRPr="007D5A4E">
        <w:rPr>
          <w:color w:val="000000" w:themeColor="text1"/>
          <w:spacing w:val="-4"/>
          <w:lang w:eastAsia="en-GB"/>
        </w:rPr>
        <w:t>This document is meant purely as documentation tool.</w:t>
      </w:r>
      <w:r w:rsidR="00A41529" w:rsidRPr="007D5A4E">
        <w:rPr>
          <w:color w:val="000000" w:themeColor="text1"/>
          <w:spacing w:val="-4"/>
          <w:lang w:eastAsia="en-GB"/>
        </w:rPr>
        <w:t xml:space="preserve"> The authentic and legal binding texts </w:t>
      </w:r>
      <w:r w:rsidR="00E313A7" w:rsidRPr="007D5A4E">
        <w:rPr>
          <w:color w:val="000000" w:themeColor="text1"/>
          <w:spacing w:val="-4"/>
          <w:lang w:eastAsia="en-GB"/>
        </w:rPr>
        <w:t>is</w:t>
      </w:r>
      <w:r w:rsidR="00A41529" w:rsidRPr="007D5A4E">
        <w:rPr>
          <w:color w:val="000000" w:themeColor="text1"/>
          <w:spacing w:val="-4"/>
          <w:lang w:eastAsia="en-GB"/>
        </w:rPr>
        <w:t>:</w:t>
      </w:r>
      <w:r w:rsidR="00A41529" w:rsidRPr="007D5A4E">
        <w:rPr>
          <w:color w:val="000000" w:themeColor="text1"/>
          <w:lang w:eastAsia="en-GB"/>
        </w:rPr>
        <w:t xml:space="preserve"> -</w:t>
      </w:r>
      <w:r w:rsidR="00A41529" w:rsidRPr="007D5A4E">
        <w:rPr>
          <w:color w:val="000000" w:themeColor="text1"/>
          <w:lang w:eastAsia="en-GB"/>
        </w:rPr>
        <w:tab/>
      </w:r>
      <w:r w:rsidR="00A41529" w:rsidRPr="007D5A4E">
        <w:rPr>
          <w:color w:val="000000" w:themeColor="text1"/>
          <w:spacing w:val="-6"/>
          <w:lang w:eastAsia="en-GB"/>
        </w:rPr>
        <w:t>ECE/TRANS/WP.29/</w:t>
      </w:r>
      <w:r w:rsidR="00620564" w:rsidRPr="007D5A4E">
        <w:rPr>
          <w:color w:val="000000" w:themeColor="text1"/>
          <w:spacing w:val="-6"/>
          <w:lang w:eastAsia="en-GB"/>
        </w:rPr>
        <w:t>20</w:t>
      </w:r>
      <w:r w:rsidR="003D1B07" w:rsidRPr="007D5A4E">
        <w:rPr>
          <w:color w:val="000000" w:themeColor="text1"/>
          <w:spacing w:val="-6"/>
          <w:lang w:eastAsia="en-GB"/>
        </w:rPr>
        <w:t>20/20</w:t>
      </w:r>
      <w:r w:rsidR="007E46D4" w:rsidRPr="007D5A4E">
        <w:rPr>
          <w:color w:val="000000" w:themeColor="text1"/>
          <w:spacing w:val="-6"/>
          <w:lang w:eastAsia="en-GB"/>
        </w:rPr>
        <w:t>.</w:t>
      </w:r>
    </w:p>
    <w:p w14:paraId="6FD49FBB" w14:textId="5A2FFB22" w:rsidR="0008249C" w:rsidRPr="007D5A4E" w:rsidRDefault="00F55704" w:rsidP="00A41529">
      <w:pPr>
        <w:suppressAutoHyphens w:val="0"/>
        <w:spacing w:line="240" w:lineRule="auto"/>
        <w:jc w:val="center"/>
        <w:rPr>
          <w:b/>
          <w:color w:val="000000" w:themeColor="text1"/>
          <w:sz w:val="24"/>
        </w:rPr>
      </w:pPr>
      <w:r w:rsidRPr="007D5A4E">
        <w:rPr>
          <w:b/>
          <w:noProof/>
          <w:color w:val="000000" w:themeColor="text1"/>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7D5A4E">
        <w:rPr>
          <w:b/>
          <w:color w:val="000000" w:themeColor="text1"/>
          <w:sz w:val="24"/>
        </w:rPr>
        <w:t>_________</w:t>
      </w:r>
    </w:p>
    <w:p w14:paraId="74E6E9AA" w14:textId="3F839D5C" w:rsidR="007E5905" w:rsidRDefault="0008249C" w:rsidP="00A41529">
      <w:pPr>
        <w:suppressAutoHyphens w:val="0"/>
        <w:spacing w:line="240" w:lineRule="auto"/>
        <w:jc w:val="center"/>
        <w:rPr>
          <w:b/>
          <w:sz w:val="24"/>
        </w:rPr>
      </w:pPr>
      <w:r w:rsidRPr="007D5A4E">
        <w:rPr>
          <w:b/>
          <w:color w:val="000000" w:themeColor="text1"/>
          <w:sz w:val="24"/>
        </w:rPr>
        <w:t>UNITED NATIONS</w:t>
      </w:r>
      <w:r w:rsidR="007E5905">
        <w:rPr>
          <w:b/>
          <w:sz w:val="24"/>
        </w:rPr>
        <w:br w:type="page"/>
      </w:r>
    </w:p>
    <w:p w14:paraId="501911C1" w14:textId="15073F8B" w:rsidR="007E5905" w:rsidRDefault="003D1B07" w:rsidP="007D5A4E">
      <w:pPr>
        <w:pStyle w:val="H4G"/>
        <w:spacing w:before="120"/>
        <w:ind w:firstLine="0"/>
        <w:rPr>
          <w:rFonts w:eastAsia="Cambria"/>
        </w:rPr>
      </w:pPr>
      <w:r>
        <w:rPr>
          <w:rFonts w:eastAsia="Cambria"/>
        </w:rPr>
        <w:lastRenderedPageBreak/>
        <w:t>Annex 3A</w:t>
      </w:r>
    </w:p>
    <w:p w14:paraId="25D38EE1" w14:textId="521D7AC8" w:rsidR="003D1B07" w:rsidRDefault="007E5905" w:rsidP="007D5A4E">
      <w:pPr>
        <w:pStyle w:val="H4G"/>
        <w:spacing w:before="120"/>
        <w:ind w:firstLine="0"/>
        <w:rPr>
          <w:rFonts w:eastAsia="Cambria"/>
          <w:lang w:eastAsia="fr-FR"/>
        </w:rPr>
      </w:pPr>
      <w:r>
        <w:rPr>
          <w:rFonts w:eastAsia="Cambria"/>
        </w:rPr>
        <w:t>P</w:t>
      </w:r>
      <w:r w:rsidR="003D1B07">
        <w:rPr>
          <w:rFonts w:eastAsia="Cambria"/>
        </w:rPr>
        <w:t xml:space="preserve">aragraph 4.1.4., </w:t>
      </w:r>
      <w:r w:rsidR="003E7EE7" w:rsidRPr="003E7EE7">
        <w:rPr>
          <w:rFonts w:eastAsia="Cambria"/>
          <w:i w:val="0"/>
          <w:iCs/>
        </w:rPr>
        <w:t xml:space="preserve">amend </w:t>
      </w:r>
      <w:r w:rsidR="003D1B07" w:rsidRPr="003E7EE7">
        <w:rPr>
          <w:rFonts w:eastAsia="Cambria"/>
          <w:i w:val="0"/>
          <w:iCs/>
        </w:rPr>
        <w:t>to read:</w:t>
      </w:r>
    </w:p>
    <w:p w14:paraId="401D14FF" w14:textId="77777777" w:rsidR="003D1B07" w:rsidRDefault="003D1B07" w:rsidP="003D1B07">
      <w:pPr>
        <w:pStyle w:val="SingleTxtG"/>
        <w:ind w:left="2268" w:hanging="1134"/>
      </w:pPr>
      <w:r>
        <w:rPr>
          <w:bCs/>
        </w:rPr>
        <w:t>"</w:t>
      </w:r>
      <w:r>
        <w:t>4.1.4.</w:t>
      </w:r>
      <w:r>
        <w:tab/>
        <w:t>Periodic technical inspections and requalification of cylinders</w:t>
      </w:r>
    </w:p>
    <w:p w14:paraId="36BB4A83" w14:textId="77777777" w:rsidR="003D1B07" w:rsidRDefault="003D1B07" w:rsidP="003D1B07">
      <w:pPr>
        <w:tabs>
          <w:tab w:val="left" w:pos="1134"/>
        </w:tabs>
        <w:spacing w:after="120"/>
        <w:ind w:left="2268" w:hanging="1134"/>
        <w:rPr>
          <w:bCs/>
        </w:rPr>
      </w:pPr>
      <w:r>
        <w:rPr>
          <w:bCs/>
        </w:rPr>
        <w:t>4.1.4.1.</w:t>
      </w:r>
      <w:r>
        <w:rPr>
          <w:bCs/>
        </w:rPr>
        <w:tab/>
        <w:t>Periodic technical inspection</w:t>
      </w:r>
    </w:p>
    <w:p w14:paraId="4A264F31" w14:textId="77777777" w:rsidR="003D1B07" w:rsidRDefault="003D1B07" w:rsidP="003D1B07">
      <w:pPr>
        <w:spacing w:after="120"/>
        <w:ind w:left="2268" w:right="1134" w:hanging="1134"/>
        <w:jc w:val="both"/>
      </w:pPr>
      <w:r>
        <w:rPr>
          <w:bCs/>
        </w:rPr>
        <w:tab/>
        <w:t>Periodic technical inspection means the inspection of vehicles performed at specified intervals according to national regulations.</w:t>
      </w:r>
      <w:r>
        <w:t xml:space="preserve"> </w:t>
      </w:r>
      <w:r>
        <w:rPr>
          <w:color w:val="000000" w:themeColor="text1"/>
        </w:rPr>
        <w:t xml:space="preserve">Guidelines for </w:t>
      </w:r>
      <w:r>
        <w:t>the visual inspection of each cylinder during its service life shall be provided by the cylinder manufacturer on the basis of use under service conditions specified herein.</w:t>
      </w:r>
    </w:p>
    <w:p w14:paraId="3AB8EF35" w14:textId="77777777" w:rsidR="003D1B07" w:rsidRDefault="003D1B07" w:rsidP="003D1B07">
      <w:pPr>
        <w:spacing w:after="120"/>
        <w:ind w:left="2268" w:right="1134"/>
        <w:jc w:val="both"/>
      </w:pPr>
      <w:r>
        <w:t xml:space="preserve">Each cylinder shall be visually inspected at least every 48 months after the date of its entry into service on the vehicle (vehicle registration), and at the time of any reinstallation, for external damage and deterioration. The visual inspection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w:t>
      </w:r>
      <w:r>
        <w:rPr>
          <w:bCs/>
        </w:rPr>
        <w:t>the</w:t>
      </w:r>
      <w:r>
        <w:t xml:space="preserve"> manufacturer and serial number, a replacement label may be applied, allowing the cylinder to remain in service. </w:t>
      </w:r>
    </w:p>
    <w:p w14:paraId="63BD8703" w14:textId="77777777" w:rsidR="003D1B07" w:rsidRDefault="003D1B07" w:rsidP="003D1B07">
      <w:pPr>
        <w:tabs>
          <w:tab w:val="left" w:pos="1134"/>
        </w:tabs>
        <w:spacing w:after="120"/>
        <w:ind w:left="2268" w:hanging="1134"/>
        <w:rPr>
          <w:bCs/>
        </w:rPr>
      </w:pPr>
      <w:r>
        <w:rPr>
          <w:bCs/>
        </w:rPr>
        <w:t>4.1.4.2.</w:t>
      </w:r>
      <w:r>
        <w:rPr>
          <w:bCs/>
        </w:rPr>
        <w:tab/>
        <w:t>Periodic requalification</w:t>
      </w:r>
    </w:p>
    <w:p w14:paraId="78F17838" w14:textId="77777777" w:rsidR="003D1B07" w:rsidRDefault="003D1B07" w:rsidP="003D1B07">
      <w:pPr>
        <w:spacing w:after="120"/>
        <w:ind w:left="2268" w:right="1134" w:hanging="18"/>
        <w:jc w:val="both"/>
        <w:rPr>
          <w:bCs/>
        </w:rPr>
      </w:pPr>
      <w:r>
        <w:rPr>
          <w:bCs/>
        </w:rPr>
        <w:t>Periodic requalification means an inspection or testing of cylinders at specified intervals according to national regulations whereby cylinders are re-qualified for a further period of service. For those countries that require a periodic requalification, the procedure shall be performed in accordance with the relevant regulations of the country(</w:t>
      </w:r>
      <w:proofErr w:type="spellStart"/>
      <w:r>
        <w:rPr>
          <w:bCs/>
        </w:rPr>
        <w:t>ies</w:t>
      </w:r>
      <w:proofErr w:type="spellEnd"/>
      <w:r>
        <w:rPr>
          <w:bCs/>
        </w:rPr>
        <w:t>) where the cylinders are used and also in consideration of the manufacturer’s specifications.</w:t>
      </w:r>
    </w:p>
    <w:p w14:paraId="629DFF64" w14:textId="77777777" w:rsidR="003D1B07" w:rsidRDefault="003D1B07" w:rsidP="003D1B07">
      <w:pPr>
        <w:pStyle w:val="SingleTxtG"/>
        <w:ind w:left="2268"/>
      </w:pPr>
      <w:r>
        <w:t>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Pr>
          <w:bCs/>
        </w:rPr>
        <w:t>"</w:t>
      </w:r>
    </w:p>
    <w:p w14:paraId="625B93B1" w14:textId="77777777" w:rsidR="003D1B07" w:rsidRDefault="003D1B07" w:rsidP="003D1B07">
      <w:pPr>
        <w:tabs>
          <w:tab w:val="left" w:pos="1134"/>
        </w:tabs>
        <w:spacing w:after="120"/>
      </w:pPr>
      <w:r>
        <w:rPr>
          <w:i/>
          <w:iCs/>
        </w:rPr>
        <w:tab/>
        <w:t>In accordance with the inserted paragraphs above</w:t>
      </w:r>
      <w:r>
        <w:t>, re-number the following paragraphs:</w:t>
      </w:r>
    </w:p>
    <w:p w14:paraId="6E3DCA82" w14:textId="77777777" w:rsidR="003D1B07" w:rsidRDefault="003D1B07" w:rsidP="003D1B07">
      <w:pPr>
        <w:spacing w:after="120"/>
        <w:ind w:left="2268" w:hanging="1134"/>
      </w:pPr>
      <w:r>
        <w:rPr>
          <w:bCs/>
        </w:rPr>
        <w:t>"</w:t>
      </w:r>
      <w:r>
        <w:t>4.1.4.</w:t>
      </w:r>
      <w:r>
        <w:rPr>
          <w:bCs/>
        </w:rPr>
        <w:t>3.</w:t>
      </w:r>
      <w:r>
        <w:tab/>
        <w:t>Cylinders involved in collisions</w:t>
      </w:r>
    </w:p>
    <w:p w14:paraId="538EDBEE" w14:textId="77777777" w:rsidR="003D1B07" w:rsidRDefault="003D1B07" w:rsidP="003D1B07">
      <w:pPr>
        <w:spacing w:after="120"/>
        <w:ind w:left="2268" w:hanging="1134"/>
      </w:pPr>
      <w:r>
        <w:t>4.1.4.</w:t>
      </w:r>
      <w:r>
        <w:rPr>
          <w:bCs/>
        </w:rPr>
        <w:t>4.</w:t>
      </w:r>
      <w:r>
        <w:tab/>
        <w:t>Cylinders involved in fires</w:t>
      </w:r>
      <w:r>
        <w:rPr>
          <w:bCs/>
        </w:rPr>
        <w:t>"</w:t>
      </w:r>
    </w:p>
    <w:p w14:paraId="7AC2CFE6" w14:textId="17B7A64F" w:rsidR="00A9172C" w:rsidRDefault="003D1B07" w:rsidP="00A9172C">
      <w:pPr>
        <w:spacing w:before="120" w:after="120" w:line="240" w:lineRule="auto"/>
        <w:ind w:left="1134"/>
        <w:jc w:val="both"/>
        <w:rPr>
          <w:rFonts w:eastAsia="Cambria"/>
          <w:i/>
        </w:rPr>
      </w:pPr>
      <w:r>
        <w:rPr>
          <w:rFonts w:eastAsia="Cambria"/>
          <w:i/>
        </w:rPr>
        <w:t xml:space="preserve">Annex 3B </w:t>
      </w:r>
    </w:p>
    <w:p w14:paraId="2A98194C" w14:textId="7B73F53E" w:rsidR="003D1B07" w:rsidRDefault="00A9172C" w:rsidP="00A9172C">
      <w:pPr>
        <w:spacing w:before="120" w:after="120" w:line="240" w:lineRule="auto"/>
        <w:ind w:left="1134"/>
        <w:jc w:val="both"/>
        <w:rPr>
          <w:rFonts w:eastAsia="Cambria"/>
        </w:rPr>
      </w:pPr>
      <w:r>
        <w:rPr>
          <w:rFonts w:eastAsia="Cambria"/>
          <w:i/>
        </w:rPr>
        <w:t xml:space="preserve">Paragraph </w:t>
      </w:r>
      <w:r w:rsidR="003D1B07">
        <w:rPr>
          <w:rFonts w:eastAsia="Cambria"/>
          <w:i/>
        </w:rPr>
        <w:t>2.1.3.,</w:t>
      </w:r>
      <w:r w:rsidR="003D1B07">
        <w:rPr>
          <w:rFonts w:eastAsia="Cambria"/>
        </w:rPr>
        <w:t xml:space="preserve"> amend to read:</w:t>
      </w:r>
    </w:p>
    <w:p w14:paraId="280F384D" w14:textId="77777777" w:rsidR="003D1B07" w:rsidRDefault="003D1B07" w:rsidP="003D1B07">
      <w:pPr>
        <w:spacing w:after="120"/>
        <w:ind w:left="2268" w:hanging="1134"/>
      </w:pPr>
      <w:r>
        <w:rPr>
          <w:bCs/>
        </w:rPr>
        <w:t>"</w:t>
      </w:r>
      <w:r>
        <w:t>2.1.3.</w:t>
      </w:r>
      <w:r>
        <w:tab/>
        <w:t>Periodic technical inspections and requalification of tanks</w:t>
      </w:r>
    </w:p>
    <w:p w14:paraId="6AEFA495" w14:textId="77777777" w:rsidR="003D1B07" w:rsidRDefault="003D1B07" w:rsidP="003D1B07">
      <w:pPr>
        <w:tabs>
          <w:tab w:val="left" w:pos="1134"/>
        </w:tabs>
        <w:spacing w:after="120"/>
        <w:ind w:left="2268" w:hanging="1134"/>
      </w:pPr>
      <w:r>
        <w:t>2.1.3.1.</w:t>
      </w:r>
      <w:r>
        <w:tab/>
        <w:t>Periodic technical inspection</w:t>
      </w:r>
    </w:p>
    <w:p w14:paraId="0689D454" w14:textId="77777777" w:rsidR="003D1B07" w:rsidRDefault="003D1B07" w:rsidP="003D1B07">
      <w:pPr>
        <w:pStyle w:val="SingleTxtG"/>
        <w:ind w:left="2268"/>
      </w:pPr>
      <w:r>
        <w:t xml:space="preserve">Periodic technical inspection means the inspection of vehicles performed at specified intervals according to national regulations. </w:t>
      </w:r>
      <w:r>
        <w:rPr>
          <w:color w:val="000000" w:themeColor="text1"/>
        </w:rPr>
        <w:t xml:space="preserve">Guidelines for </w:t>
      </w:r>
      <w:r>
        <w:t>the visual inspection of each tank during its service life shall be provided by the tank manufacturer on the basis of use under service conditions specified herein.</w:t>
      </w:r>
    </w:p>
    <w:p w14:paraId="70A35914" w14:textId="77777777" w:rsidR="003D1B07" w:rsidRDefault="003D1B07" w:rsidP="003D1B07">
      <w:pPr>
        <w:pStyle w:val="SingleTxtG"/>
        <w:ind w:left="2268"/>
      </w:pPr>
      <w:r>
        <w:t xml:space="preserve">Each tank shall be visually inspected at least every 120 months after the date of its entry into service on the vehicle (vehicle registration), and at the time of any reinstallation, for external damage and deterioration. The visual inspection shall be performed in accordance with the manufacturer's specifications: Tanks without a label containing mandatory information or with labels containing </w:t>
      </w:r>
      <w:r>
        <w:lastRenderedPageBreak/>
        <w:t>mandatory information that are illegible in any way shall be removed from service. If the tank can be positively identified by manufacturer and serial number, a replacement label may be applied, allowing the tank to remain in service.</w:t>
      </w:r>
    </w:p>
    <w:p w14:paraId="459D47CE" w14:textId="77777777" w:rsidR="003D1B07" w:rsidRDefault="003D1B07" w:rsidP="003D1B07">
      <w:pPr>
        <w:spacing w:after="120"/>
        <w:ind w:left="2268" w:hanging="1134"/>
        <w:rPr>
          <w:bCs/>
        </w:rPr>
      </w:pPr>
      <w:r>
        <w:rPr>
          <w:bCs/>
        </w:rPr>
        <w:t>2.1.3.2.</w:t>
      </w:r>
      <w:r>
        <w:rPr>
          <w:bCs/>
        </w:rPr>
        <w:tab/>
        <w:t>Periodic requalification</w:t>
      </w:r>
    </w:p>
    <w:p w14:paraId="3DD88746" w14:textId="77777777" w:rsidR="003D1B07" w:rsidRDefault="003D1B07" w:rsidP="003D1B07">
      <w:pPr>
        <w:pStyle w:val="SingleTxtG"/>
        <w:ind w:left="2268"/>
        <w:rPr>
          <w:bCs/>
        </w:rPr>
      </w:pPr>
      <w:r>
        <w:rPr>
          <w:bCs/>
        </w:rPr>
        <w:t>Periodic requalification means an inspection or testing of tanks at specified intervals according to national regulations whereby tanks are re-qualified for a further period of service. For those countries that require a periodic requalification, the procedure shall be performed in accordance with the relevant regulations of the country(</w:t>
      </w:r>
      <w:proofErr w:type="spellStart"/>
      <w:r>
        <w:rPr>
          <w:bCs/>
        </w:rPr>
        <w:t>ies</w:t>
      </w:r>
      <w:proofErr w:type="spellEnd"/>
      <w:r>
        <w:rPr>
          <w:bCs/>
        </w:rPr>
        <w:t xml:space="preserve">) where the tanks are used </w:t>
      </w:r>
      <w:proofErr w:type="gramStart"/>
      <w:r>
        <w:rPr>
          <w:bCs/>
        </w:rPr>
        <w:t>and also</w:t>
      </w:r>
      <w:proofErr w:type="gramEnd"/>
      <w:r>
        <w:rPr>
          <w:bCs/>
        </w:rPr>
        <w:t xml:space="preserve"> in consideration of the manufacturer’s specifications.</w:t>
      </w:r>
    </w:p>
    <w:p w14:paraId="4A0F13AB" w14:textId="77777777" w:rsidR="003D1B07" w:rsidRDefault="003D1B07" w:rsidP="003D1B07">
      <w:pPr>
        <w:pStyle w:val="SingleTxtG"/>
        <w:ind w:left="2268"/>
        <w:rPr>
          <w:bCs/>
        </w:rPr>
      </w:pPr>
      <w:r>
        <w:t xml:space="preserve">Periodic requalification shall be done at least every 120 months after the date of its entry into service on the vehicle (vehicle registration), and at the time of any reinstallation, for external damage and deterioration. The requalification shall be performed in accordance with the </w:t>
      </w:r>
      <w:r w:rsidRPr="003D1B07">
        <w:rPr>
          <w:bCs/>
        </w:rPr>
        <w:t>manufacturer's</w:t>
      </w:r>
      <w:r>
        <w:t xml:space="preserve"> specifications: Tanks without a label containing mandatory information or with labels containing mandatory information that are illegible in any way shall be removed from service. If the tank can be positively identified by manufacturer and serial number, a replacement label may be applied, allowing the tank to remain in service.</w:t>
      </w:r>
      <w:r>
        <w:rPr>
          <w:bCs/>
        </w:rPr>
        <w:t>"</w:t>
      </w:r>
    </w:p>
    <w:p w14:paraId="4FD037E4" w14:textId="77777777" w:rsidR="003D1B07" w:rsidRDefault="003D1B07" w:rsidP="003D1B07">
      <w:pPr>
        <w:ind w:left="4395"/>
        <w:jc w:val="both"/>
        <w:rPr>
          <w:lang w:eastAsia="fr-FR"/>
        </w:rPr>
      </w:pPr>
      <w:r>
        <w:rPr>
          <w:u w:val="single"/>
        </w:rPr>
        <w:tab/>
      </w:r>
      <w:r>
        <w:rPr>
          <w:u w:val="single"/>
        </w:rPr>
        <w:tab/>
      </w:r>
      <w:r>
        <w:rPr>
          <w:u w:val="single"/>
        </w:rPr>
        <w:tab/>
      </w:r>
    </w:p>
    <w:sectPr w:rsidR="003D1B07" w:rsidSect="009B7D8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8D7E" w14:textId="77777777" w:rsidR="004D1BBC" w:rsidRDefault="004D1BBC"/>
  </w:endnote>
  <w:endnote w:type="continuationSeparator" w:id="0">
    <w:p w14:paraId="6673C6AE" w14:textId="77777777" w:rsidR="004D1BBC" w:rsidRDefault="004D1BBC"/>
  </w:endnote>
  <w:endnote w:type="continuationNotice" w:id="1">
    <w:p w14:paraId="65F376AF" w14:textId="77777777" w:rsidR="004D1BBC" w:rsidRDefault="004D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F19920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92E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8CDCAD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92EE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75AD" w14:textId="30879371" w:rsidR="00F234C1" w:rsidRDefault="00F234C1" w:rsidP="00F234C1">
    <w:pPr>
      <w:pStyle w:val="Footer"/>
    </w:pPr>
    <w:r>
      <w:rPr>
        <w:lang w:eastAsia="zh-CN"/>
      </w:rPr>
      <w:drawing>
        <wp:anchor distT="0" distB="0" distL="114300" distR="114300" simplePos="0" relativeHeight="251659264" behindDoc="1" locked="1" layoutInCell="1" allowOverlap="1" wp14:anchorId="17CA05EC" wp14:editId="3C51FDE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3012D1" w14:textId="69854975" w:rsidR="00F234C1" w:rsidRDefault="00F234C1" w:rsidP="00F234C1">
    <w:pPr>
      <w:pStyle w:val="Footer"/>
      <w:ind w:right="1134"/>
      <w:rPr>
        <w:sz w:val="20"/>
      </w:rPr>
    </w:pPr>
    <w:r>
      <w:rPr>
        <w:sz w:val="20"/>
      </w:rPr>
      <w:t>GE.20-14496(E)</w:t>
    </w:r>
  </w:p>
  <w:p w14:paraId="396005EA" w14:textId="7AB18A94" w:rsidR="00F234C1" w:rsidRPr="00F234C1" w:rsidRDefault="00F234C1" w:rsidP="00F234C1">
    <w:pPr>
      <w:pStyle w:val="Footer"/>
      <w:ind w:right="1134"/>
      <w:rPr>
        <w:rFonts w:ascii="C39T30Lfz" w:hAnsi="C39T30Lfz"/>
        <w:sz w:val="56"/>
      </w:rPr>
    </w:pPr>
    <w:r>
      <w:rPr>
        <w:rFonts w:ascii="C39T30Lfz" w:hAnsi="C39T30Lfz"/>
        <w:sz w:val="56"/>
      </w:rPr>
      <w:t>*2014496*</w:t>
    </w:r>
    <w:r>
      <w:rPr>
        <w:rFonts w:ascii="C39T30Lfz" w:hAnsi="C39T30Lfz"/>
        <w:noProof/>
        <w:sz w:val="56"/>
      </w:rPr>
      <w:drawing>
        <wp:anchor distT="0" distB="0" distL="114300" distR="114300" simplePos="0" relativeHeight="251660288" behindDoc="0" locked="0" layoutInCell="1" allowOverlap="1" wp14:anchorId="61D46360" wp14:editId="66E33963">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E7F1" w14:textId="77777777" w:rsidR="004D1BBC" w:rsidRPr="000B175B" w:rsidRDefault="004D1BBC" w:rsidP="000B175B">
      <w:pPr>
        <w:tabs>
          <w:tab w:val="right" w:pos="2155"/>
        </w:tabs>
        <w:spacing w:after="80"/>
        <w:ind w:left="680"/>
        <w:rPr>
          <w:u w:val="single"/>
        </w:rPr>
      </w:pPr>
      <w:r>
        <w:rPr>
          <w:u w:val="single"/>
        </w:rPr>
        <w:tab/>
      </w:r>
    </w:p>
  </w:footnote>
  <w:footnote w:type="continuationSeparator" w:id="0">
    <w:p w14:paraId="67963DFC" w14:textId="77777777" w:rsidR="004D1BBC" w:rsidRPr="00FC68B7" w:rsidRDefault="004D1BBC" w:rsidP="00FC68B7">
      <w:pPr>
        <w:tabs>
          <w:tab w:val="left" w:pos="2155"/>
        </w:tabs>
        <w:spacing w:after="80"/>
        <w:ind w:left="680"/>
        <w:rPr>
          <w:u w:val="single"/>
        </w:rPr>
      </w:pPr>
      <w:r>
        <w:rPr>
          <w:u w:val="single"/>
        </w:rPr>
        <w:tab/>
      </w:r>
    </w:p>
  </w:footnote>
  <w:footnote w:type="continuationNotice" w:id="1">
    <w:p w14:paraId="443B8515" w14:textId="77777777" w:rsidR="004D1BBC" w:rsidRDefault="004D1BBC"/>
  </w:footnote>
  <w:footnote w:id="2">
    <w:p w14:paraId="2F32DBC9" w14:textId="77777777" w:rsidR="0085437C" w:rsidRPr="007D5A4E" w:rsidRDefault="0085437C" w:rsidP="0085437C">
      <w:pPr>
        <w:pStyle w:val="FootnoteText"/>
        <w:rPr>
          <w:color w:val="000000" w:themeColor="text1"/>
        </w:rPr>
      </w:pPr>
      <w:r w:rsidRPr="007D5A4E">
        <w:rPr>
          <w:color w:val="000000" w:themeColor="text1"/>
        </w:rPr>
        <w:tab/>
      </w:r>
      <w:r w:rsidRPr="007D5A4E">
        <w:rPr>
          <w:rStyle w:val="FootnoteReference"/>
          <w:color w:val="000000" w:themeColor="text1"/>
          <w:sz w:val="20"/>
        </w:rPr>
        <w:t>*</w:t>
      </w:r>
      <w:r w:rsidRPr="007D5A4E">
        <w:rPr>
          <w:color w:val="000000" w:themeColor="text1"/>
          <w:sz w:val="20"/>
        </w:rPr>
        <w:tab/>
      </w:r>
      <w:r w:rsidRPr="007D5A4E">
        <w:rPr>
          <w:color w:val="000000" w:themeColor="text1"/>
        </w:rPr>
        <w:t>Former titles of the Agreement:</w:t>
      </w:r>
    </w:p>
    <w:p w14:paraId="4D267FFE" w14:textId="77777777" w:rsidR="0085437C" w:rsidRPr="007D5A4E" w:rsidRDefault="0085437C" w:rsidP="0085437C">
      <w:pPr>
        <w:pStyle w:val="FootnoteText"/>
        <w:rPr>
          <w:color w:val="000000" w:themeColor="text1"/>
          <w:sz w:val="20"/>
        </w:rPr>
      </w:pPr>
      <w:r w:rsidRPr="007D5A4E">
        <w:rPr>
          <w:color w:val="000000" w:themeColor="text1"/>
        </w:rPr>
        <w:tab/>
      </w:r>
      <w:r w:rsidRPr="007D5A4E">
        <w:rPr>
          <w:color w:val="000000" w:themeColor="text1"/>
        </w:rPr>
        <w:tab/>
      </w:r>
      <w:r w:rsidRPr="007D5A4E">
        <w:rPr>
          <w:color w:val="000000" w:themeColor="text1"/>
          <w:spacing w:val="-4"/>
        </w:rPr>
        <w:t>Agreement concerning the Adoption of Uniform Conditions of Approval and Reciprocal Recognition of Approval for Motor Vehicle Equipment and Parts, done at Geneva on 20 March 1958 (original version);</w:t>
      </w:r>
    </w:p>
    <w:p w14:paraId="5909022C" w14:textId="77777777" w:rsidR="0085437C" w:rsidRDefault="0085437C" w:rsidP="0085437C">
      <w:pPr>
        <w:pStyle w:val="FootnoteText"/>
      </w:pPr>
      <w:r w:rsidRPr="007D5A4E">
        <w:rPr>
          <w:color w:val="000000" w:themeColor="text1"/>
        </w:rPr>
        <w:tab/>
      </w:r>
      <w:r w:rsidRPr="007D5A4E">
        <w:rPr>
          <w:color w:val="000000" w:themeColor="text1"/>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22C5B07" w:rsidR="00B701B3" w:rsidRDefault="00B701B3">
    <w:pPr>
      <w:pStyle w:val="Header"/>
    </w:pPr>
    <w:r w:rsidRPr="00D623A7">
      <w:t>E/ECE/324</w:t>
    </w:r>
    <w:r w:rsidRPr="00841EB5">
      <w:t>/Rev.</w:t>
    </w:r>
    <w:r w:rsidR="00552067">
      <w:t>2</w:t>
    </w:r>
    <w:r w:rsidRPr="00841EB5">
      <w:t>/</w:t>
    </w:r>
    <w:r w:rsidR="004D2C93" w:rsidRPr="00D623A7">
      <w:t>Add.</w:t>
    </w:r>
    <w:r w:rsidR="00425B9D">
      <w:t>1</w:t>
    </w:r>
    <w:r w:rsidR="00651737">
      <w:t>09</w:t>
    </w:r>
    <w:r w:rsidR="004D2C93" w:rsidRPr="00D623A7">
      <w:t>/Rev.</w:t>
    </w:r>
    <w:r w:rsidR="003D1B07">
      <w:t>6</w:t>
    </w:r>
    <w:r w:rsidR="004D2C93" w:rsidRPr="00D623A7">
      <w:t>/Amend.</w:t>
    </w:r>
    <w:r w:rsidR="00316FDB">
      <w:t>1</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51737">
      <w:t>09</w:t>
    </w:r>
    <w:r w:rsidR="00CC4838" w:rsidRPr="00D623A7">
      <w:t>/Rev.</w:t>
    </w:r>
    <w:r w:rsidR="003D1B07">
      <w:t>6</w:t>
    </w:r>
    <w:r w:rsidR="00E511B0">
      <w:t>/</w:t>
    </w:r>
    <w:r w:rsidR="00CC4838" w:rsidRPr="00D623A7">
      <w:t>Amend.</w:t>
    </w:r>
    <w:r w:rsidR="00316FDB">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4365622"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FA2495">
      <w:t>0</w:t>
    </w:r>
    <w:r w:rsidR="00651737">
      <w:t>9</w:t>
    </w:r>
    <w:r w:rsidR="00CC4838" w:rsidRPr="00D623A7">
      <w:t>/Rev.</w:t>
    </w:r>
    <w:r w:rsidR="003D1B07">
      <w:t>6</w:t>
    </w:r>
    <w:r w:rsidR="00CC4838" w:rsidRPr="00D623A7">
      <w:t>/Amend.</w:t>
    </w:r>
    <w:r w:rsidR="00316FDB">
      <w:t>1</w:t>
    </w:r>
    <w:r>
      <w:br/>
    </w:r>
    <w:r w:rsidRPr="00D623A7">
      <w:t>E/ECE/TRANS/505/</w:t>
    </w:r>
    <w:r w:rsidR="0001071D">
      <w:t>Rev.</w:t>
    </w:r>
    <w:r w:rsidR="00552067">
      <w:t>2</w:t>
    </w:r>
    <w:r w:rsidR="00CC4838">
      <w:t>/</w:t>
    </w:r>
    <w:r w:rsidR="00CC4838" w:rsidRPr="00D623A7">
      <w:t>Add.</w:t>
    </w:r>
    <w:r w:rsidR="00425B9D">
      <w:t>1</w:t>
    </w:r>
    <w:r w:rsidR="00FA2495">
      <w:t>0</w:t>
    </w:r>
    <w:r w:rsidR="00651737">
      <w:t>9</w:t>
    </w:r>
    <w:r w:rsidR="00CC4838" w:rsidRPr="00D623A7">
      <w:t>/Rev.</w:t>
    </w:r>
    <w:r w:rsidR="003D1B07">
      <w:t>6</w:t>
    </w:r>
    <w:r w:rsidR="00CC4838" w:rsidRPr="00D623A7">
      <w:t>/Amend.</w:t>
    </w:r>
    <w:r w:rsidR="00316FDB">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72C8C"/>
    <w:rsid w:val="000777F7"/>
    <w:rsid w:val="0008249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B7C2E"/>
    <w:rsid w:val="001C6663"/>
    <w:rsid w:val="001C7895"/>
    <w:rsid w:val="001D26DF"/>
    <w:rsid w:val="001D4607"/>
    <w:rsid w:val="0020139A"/>
    <w:rsid w:val="002070FE"/>
    <w:rsid w:val="00211E0B"/>
    <w:rsid w:val="00226068"/>
    <w:rsid w:val="002405A7"/>
    <w:rsid w:val="00271A7F"/>
    <w:rsid w:val="00295CB5"/>
    <w:rsid w:val="002A1E3A"/>
    <w:rsid w:val="002A7FC2"/>
    <w:rsid w:val="002D1113"/>
    <w:rsid w:val="003107FA"/>
    <w:rsid w:val="00312914"/>
    <w:rsid w:val="00312E48"/>
    <w:rsid w:val="00316FDB"/>
    <w:rsid w:val="003229D8"/>
    <w:rsid w:val="00324746"/>
    <w:rsid w:val="0033745A"/>
    <w:rsid w:val="003852F5"/>
    <w:rsid w:val="0039277A"/>
    <w:rsid w:val="003972E0"/>
    <w:rsid w:val="003C2CC4"/>
    <w:rsid w:val="003C3936"/>
    <w:rsid w:val="003D1B07"/>
    <w:rsid w:val="003D4B23"/>
    <w:rsid w:val="003E7EE7"/>
    <w:rsid w:val="003F1ED3"/>
    <w:rsid w:val="00425B9D"/>
    <w:rsid w:val="004325CB"/>
    <w:rsid w:val="00440758"/>
    <w:rsid w:val="00445C26"/>
    <w:rsid w:val="00446DE4"/>
    <w:rsid w:val="00482B12"/>
    <w:rsid w:val="004A41CA"/>
    <w:rsid w:val="004D1BBC"/>
    <w:rsid w:val="004D2C93"/>
    <w:rsid w:val="004E3FEB"/>
    <w:rsid w:val="004F5176"/>
    <w:rsid w:val="00503228"/>
    <w:rsid w:val="00504750"/>
    <w:rsid w:val="00505384"/>
    <w:rsid w:val="00526B4F"/>
    <w:rsid w:val="005420F2"/>
    <w:rsid w:val="0054561B"/>
    <w:rsid w:val="00552067"/>
    <w:rsid w:val="00582B38"/>
    <w:rsid w:val="005B3DB3"/>
    <w:rsid w:val="005E1409"/>
    <w:rsid w:val="00611FC4"/>
    <w:rsid w:val="006176FB"/>
    <w:rsid w:val="00620564"/>
    <w:rsid w:val="00627ED0"/>
    <w:rsid w:val="00640B26"/>
    <w:rsid w:val="0064636E"/>
    <w:rsid w:val="00651737"/>
    <w:rsid w:val="00665595"/>
    <w:rsid w:val="00690DA2"/>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92EED"/>
    <w:rsid w:val="007B6BA5"/>
    <w:rsid w:val="007C3390"/>
    <w:rsid w:val="007C4F4B"/>
    <w:rsid w:val="007D5A4E"/>
    <w:rsid w:val="007E46D4"/>
    <w:rsid w:val="007E5905"/>
    <w:rsid w:val="007F0B83"/>
    <w:rsid w:val="007F6611"/>
    <w:rsid w:val="008159AF"/>
    <w:rsid w:val="008175E9"/>
    <w:rsid w:val="008242D7"/>
    <w:rsid w:val="00827E05"/>
    <w:rsid w:val="008311A3"/>
    <w:rsid w:val="00841EB5"/>
    <w:rsid w:val="008518D5"/>
    <w:rsid w:val="0085437C"/>
    <w:rsid w:val="00871FD5"/>
    <w:rsid w:val="008724B7"/>
    <w:rsid w:val="008979B1"/>
    <w:rsid w:val="008A6B25"/>
    <w:rsid w:val="008A6C4F"/>
    <w:rsid w:val="008C3804"/>
    <w:rsid w:val="008E0E46"/>
    <w:rsid w:val="008E1CDB"/>
    <w:rsid w:val="00907AD2"/>
    <w:rsid w:val="00963CBA"/>
    <w:rsid w:val="009672A1"/>
    <w:rsid w:val="00974A8D"/>
    <w:rsid w:val="00991261"/>
    <w:rsid w:val="009952F1"/>
    <w:rsid w:val="00995BA1"/>
    <w:rsid w:val="009B7D89"/>
    <w:rsid w:val="009F015A"/>
    <w:rsid w:val="009F3A17"/>
    <w:rsid w:val="00A034CA"/>
    <w:rsid w:val="00A1427D"/>
    <w:rsid w:val="00A22277"/>
    <w:rsid w:val="00A41529"/>
    <w:rsid w:val="00A569D6"/>
    <w:rsid w:val="00A72F22"/>
    <w:rsid w:val="00A748A6"/>
    <w:rsid w:val="00A85956"/>
    <w:rsid w:val="00A879A4"/>
    <w:rsid w:val="00A9172C"/>
    <w:rsid w:val="00AA1401"/>
    <w:rsid w:val="00AA2EDB"/>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23AE"/>
    <w:rsid w:val="00C84414"/>
    <w:rsid w:val="00CC4838"/>
    <w:rsid w:val="00CD6208"/>
    <w:rsid w:val="00CE4A8F"/>
    <w:rsid w:val="00CE5E33"/>
    <w:rsid w:val="00CF4C18"/>
    <w:rsid w:val="00D2031B"/>
    <w:rsid w:val="00D25FE2"/>
    <w:rsid w:val="00D317BB"/>
    <w:rsid w:val="00D43252"/>
    <w:rsid w:val="00D5540C"/>
    <w:rsid w:val="00D623A7"/>
    <w:rsid w:val="00D62A81"/>
    <w:rsid w:val="00D6614F"/>
    <w:rsid w:val="00D76C73"/>
    <w:rsid w:val="00D978C6"/>
    <w:rsid w:val="00DA67AD"/>
    <w:rsid w:val="00DB5D0F"/>
    <w:rsid w:val="00DC3F07"/>
    <w:rsid w:val="00DF12F7"/>
    <w:rsid w:val="00DF3A2D"/>
    <w:rsid w:val="00E02C81"/>
    <w:rsid w:val="00E10908"/>
    <w:rsid w:val="00E130AB"/>
    <w:rsid w:val="00E26C11"/>
    <w:rsid w:val="00E313A7"/>
    <w:rsid w:val="00E506F0"/>
    <w:rsid w:val="00E511B0"/>
    <w:rsid w:val="00E53330"/>
    <w:rsid w:val="00E7260F"/>
    <w:rsid w:val="00E77FF9"/>
    <w:rsid w:val="00E87921"/>
    <w:rsid w:val="00E96630"/>
    <w:rsid w:val="00EA0ED6"/>
    <w:rsid w:val="00EA264E"/>
    <w:rsid w:val="00EB0695"/>
    <w:rsid w:val="00EB7E25"/>
    <w:rsid w:val="00EC75F2"/>
    <w:rsid w:val="00ED3114"/>
    <w:rsid w:val="00ED6474"/>
    <w:rsid w:val="00ED7A2A"/>
    <w:rsid w:val="00ED7F82"/>
    <w:rsid w:val="00EE0446"/>
    <w:rsid w:val="00EF1D7F"/>
    <w:rsid w:val="00F134E9"/>
    <w:rsid w:val="00F234C1"/>
    <w:rsid w:val="00F43A63"/>
    <w:rsid w:val="00F43C58"/>
    <w:rsid w:val="00F45331"/>
    <w:rsid w:val="00F53EDA"/>
    <w:rsid w:val="00F55704"/>
    <w:rsid w:val="00F60A2D"/>
    <w:rsid w:val="00F67B72"/>
    <w:rsid w:val="00F76B47"/>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85437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8690">
      <w:bodyDiv w:val="1"/>
      <w:marLeft w:val="0"/>
      <w:marRight w:val="0"/>
      <w:marTop w:val="0"/>
      <w:marBottom w:val="0"/>
      <w:divBdr>
        <w:top w:val="none" w:sz="0" w:space="0" w:color="auto"/>
        <w:left w:val="none" w:sz="0" w:space="0" w:color="auto"/>
        <w:bottom w:val="none" w:sz="0" w:space="0" w:color="auto"/>
        <w:right w:val="none" w:sz="0" w:space="0" w:color="auto"/>
      </w:divBdr>
    </w:div>
    <w:div w:id="519121641">
      <w:bodyDiv w:val="1"/>
      <w:marLeft w:val="0"/>
      <w:marRight w:val="0"/>
      <w:marTop w:val="0"/>
      <w:marBottom w:val="0"/>
      <w:divBdr>
        <w:top w:val="none" w:sz="0" w:space="0" w:color="auto"/>
        <w:left w:val="none" w:sz="0" w:space="0" w:color="auto"/>
        <w:bottom w:val="none" w:sz="0" w:space="0" w:color="auto"/>
        <w:right w:val="none" w:sz="0" w:space="0" w:color="auto"/>
      </w:divBdr>
    </w:div>
    <w:div w:id="6916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CD20E-5979-42BB-983F-E5D3AD777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EE01F-869E-4F32-9EED-56D971C2132F}"/>
</file>

<file path=customXml/itemProps3.xml><?xml version="1.0" encoding="utf-8"?>
<ds:datastoreItem xmlns:ds="http://schemas.openxmlformats.org/officeDocument/2006/customXml" ds:itemID="{2B9C71FC-451B-4BDA-AC58-62BE5CE26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4948</Characters>
  <Application>Microsoft Office Word</Application>
  <DocSecurity>0</DocSecurity>
  <Lines>99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E/ECE/324/Rev.2/Add.109/Rev.6/Amend.1</dc:title>
  <dc:subject>2014496</dc:subject>
  <dc:creator>Una Philippa GILTSOFF</dc:creator>
  <cp:keywords/>
  <dc:description/>
  <cp:lastModifiedBy>Una Philippa GILTSOFF</cp:lastModifiedBy>
  <cp:revision>2</cp:revision>
  <cp:lastPrinted>2015-05-06T11:39:00Z</cp:lastPrinted>
  <dcterms:created xsi:type="dcterms:W3CDTF">2020-11-02T16:21:00Z</dcterms:created>
  <dcterms:modified xsi:type="dcterms:W3CDTF">2020-11-02T16:21:00Z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2453800</vt:r8>
  </property>
</Properties>
</file>