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43A19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3A19" w:rsidRPr="00743A19" w:rsidRDefault="00743A19" w:rsidP="00743A19">
            <w:pPr>
              <w:jc w:val="right"/>
              <w:rPr>
                <w:lang w:val="en-US"/>
              </w:rPr>
            </w:pPr>
            <w:r w:rsidRPr="00743A19">
              <w:rPr>
                <w:sz w:val="40"/>
                <w:lang w:val="en-US"/>
              </w:rPr>
              <w:t>E</w:t>
            </w:r>
            <w:r w:rsidRPr="00743A19">
              <w:rPr>
                <w:lang w:val="en-US"/>
              </w:rPr>
              <w:t>/ECE/324/Rev.2/Add.105/Rev.2/Amend.8−</w:t>
            </w:r>
            <w:r w:rsidRPr="00743A19">
              <w:rPr>
                <w:sz w:val="40"/>
                <w:lang w:val="en-US"/>
              </w:rPr>
              <w:t>E</w:t>
            </w:r>
            <w:r w:rsidRPr="00743A19">
              <w:rPr>
                <w:lang w:val="en-US"/>
              </w:rPr>
              <w:t>/ECE/TRANS/505/Rev.2/Add.105/Rev.2/Amend.8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743A19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743A19" w:rsidP="00A27C92">
            <w:pPr>
              <w:spacing w:before="480" w:line="240" w:lineRule="exact"/>
            </w:pPr>
            <w:r>
              <w:t>2 novembre 2020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BC7700">
        <w:rPr>
          <w:bCs/>
          <w:lang w:val="fr-FR"/>
        </w:rPr>
        <w:t>Concernant l’adoption de Règlements techniques harmonisés de l’ONU applicables aux véhicules à roues et aux équipements et pièces susceptibles d’être montés ou utilisés sur les véhicules à roues et les</w:t>
      </w:r>
      <w:r w:rsidR="00404766">
        <w:rPr>
          <w:bCs/>
          <w:lang w:val="fr-FR"/>
        </w:rPr>
        <w:t> </w:t>
      </w:r>
      <w:r w:rsidR="00BC7700">
        <w:rPr>
          <w:bCs/>
          <w:lang w:val="fr-FR"/>
        </w:rPr>
        <w:t>conditions de reconnaissance réciproque des homologations délivrées conformément à ces Règlements</w:t>
      </w:r>
      <w:r w:rsidR="00BC7700" w:rsidRPr="00BC7700">
        <w:rPr>
          <w:b w:val="0"/>
          <w:bCs/>
          <w:color w:val="000000" w:themeColor="text1"/>
          <w:sz w:val="20"/>
          <w:lang w:val="fr-FR"/>
        </w:rPr>
        <w:footnoteReference w:customMarkFollows="1" w:id="2"/>
        <w:t>*</w:t>
      </w:r>
    </w:p>
    <w:p w:rsidR="00421A10" w:rsidRPr="00A12483" w:rsidRDefault="00BC7700" w:rsidP="0029791D">
      <w:pPr>
        <w:pStyle w:val="SingleTxtG"/>
        <w:jc w:val="left"/>
        <w:rPr>
          <w:b/>
          <w:sz w:val="24"/>
          <w:szCs w:val="24"/>
        </w:rPr>
      </w:pPr>
      <w:r w:rsidRPr="00BC7700">
        <w:rPr>
          <w:lang w:val="fr-FR"/>
        </w:rPr>
        <w:t>Révision 3, comprenant les amendements entrés en vigueur le 14</w:t>
      </w:r>
      <w:r w:rsidR="00404766">
        <w:rPr>
          <w:lang w:val="fr-FR"/>
        </w:rPr>
        <w:t> </w:t>
      </w:r>
      <w:r w:rsidRPr="00BC7700">
        <w:rPr>
          <w:lang w:val="fr-FR"/>
        </w:rPr>
        <w:t>septembre 2017</w:t>
      </w:r>
      <w:r w:rsidR="00421A10"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BC7700">
        <w:rPr>
          <w:bCs/>
          <w:lang w:val="fr-FR"/>
        </w:rPr>
        <w:t xml:space="preserve">Additif 105 </w:t>
      </w:r>
      <w:r w:rsidR="00BC7700">
        <w:rPr>
          <w:bCs/>
          <w:lang w:val="fr-FR"/>
        </w:rPr>
        <w:t>−</w:t>
      </w:r>
      <w:r w:rsidR="00BC7700">
        <w:rPr>
          <w:bCs/>
          <w:lang w:val="fr-FR"/>
        </w:rPr>
        <w:t xml:space="preserve"> Règlement ONU n</w:t>
      </w:r>
      <w:r w:rsidR="00BC7700">
        <w:rPr>
          <w:bCs/>
          <w:vertAlign w:val="superscript"/>
          <w:lang w:val="fr-FR"/>
        </w:rPr>
        <w:t>o</w:t>
      </w:r>
      <w:r w:rsidR="00404766">
        <w:rPr>
          <w:bCs/>
          <w:lang w:val="fr-FR"/>
        </w:rPr>
        <w:t> </w:t>
      </w:r>
      <w:r w:rsidR="00BC7700">
        <w:rPr>
          <w:bCs/>
          <w:lang w:val="fr-FR"/>
        </w:rPr>
        <w:t>106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BC7700">
        <w:rPr>
          <w:bCs/>
          <w:lang w:val="fr-FR"/>
        </w:rPr>
        <w:t>Révision 2 − Amendement 8</w:t>
      </w:r>
    </w:p>
    <w:p w:rsidR="00421A10" w:rsidRPr="004A7E44" w:rsidRDefault="00BC7700" w:rsidP="0029791D">
      <w:pPr>
        <w:pStyle w:val="SingleTxtG"/>
        <w:spacing w:after="0"/>
      </w:pPr>
      <w:r>
        <w:rPr>
          <w:lang w:val="fr-FR"/>
        </w:rPr>
        <w:t xml:space="preserve">Complément 18 </w:t>
      </w:r>
      <w:r w:rsidRPr="00E95A43">
        <w:rPr>
          <w:lang w:val="fr-FR"/>
        </w:rPr>
        <w:t>à la version originale du Règlement</w:t>
      </w:r>
      <w:r>
        <w:rPr>
          <w:lang w:val="fr-FR"/>
        </w:rPr>
        <w:t xml:space="preserve"> </w:t>
      </w:r>
      <w:r>
        <w:rPr>
          <w:lang w:val="fr-FR"/>
        </w:rPr>
        <w:t>−</w:t>
      </w:r>
      <w:r>
        <w:rPr>
          <w:lang w:val="fr-FR"/>
        </w:rPr>
        <w:t xml:space="preserve"> Date d’entrée en vigueur</w:t>
      </w:r>
      <w:r w:rsidR="00272381">
        <w:rPr>
          <w:lang w:val="fr-FR"/>
        </w:rPr>
        <w:t> :</w:t>
      </w:r>
      <w:r>
        <w:rPr>
          <w:lang w:val="fr-FR"/>
        </w:rPr>
        <w:t xml:space="preserve"> 25</w:t>
      </w:r>
      <w:r>
        <w:rPr>
          <w:lang w:val="fr-FR"/>
        </w:rPr>
        <w:t> </w:t>
      </w:r>
      <w:r>
        <w:rPr>
          <w:lang w:val="fr-FR"/>
        </w:rPr>
        <w:t>septembre 2020</w:t>
      </w:r>
    </w:p>
    <w:p w:rsidR="00421A10" w:rsidRDefault="0029791D" w:rsidP="0029791D">
      <w:pPr>
        <w:pStyle w:val="H1G"/>
      </w:pPr>
      <w:r>
        <w:tab/>
      </w:r>
      <w:r>
        <w:tab/>
      </w:r>
      <w:r w:rsidR="00BC7700" w:rsidRPr="00BC7700">
        <w:rPr>
          <w:bCs/>
          <w:lang w:val="fr-FR"/>
        </w:rPr>
        <w:t>Prescriptions uniformes concernant l’homologation des pneumatiques pour véhicules agricoles et leurs remorques</w:t>
      </w:r>
    </w:p>
    <w:p w:rsidR="00BC7700" w:rsidRDefault="00442E31" w:rsidP="00BC7700">
      <w:pPr>
        <w:pStyle w:val="SingleTxtG"/>
        <w:ind w:firstLine="567"/>
        <w:rPr>
          <w:spacing w:val="-1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7700" w:rsidRPr="00BC7700">
        <w:rPr>
          <w:spacing w:val="-1"/>
          <w:lang w:val="fr-FR"/>
        </w:rPr>
        <w:t>Le présent document est communiqué uniquement à titre d’information. Le texte authentique, juridiquement contraignant, est celui du document ECE/TRANS/WP.29/2020/5.</w:t>
      </w:r>
    </w:p>
    <w:p w:rsidR="00BC7700" w:rsidRDefault="00BC7700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spacing w:val="-1"/>
          <w:lang w:val="fr-FR"/>
        </w:rPr>
      </w:pPr>
      <w:r>
        <w:rPr>
          <w:spacing w:val="-1"/>
          <w:lang w:val="fr-FR"/>
        </w:rPr>
        <w:br w:type="page"/>
      </w:r>
    </w:p>
    <w:p w:rsidR="00272381" w:rsidRPr="00B4406B" w:rsidRDefault="00272381" w:rsidP="00272381">
      <w:pPr>
        <w:pStyle w:val="SingleTxtG"/>
        <w:rPr>
          <w:b/>
          <w:lang w:val="fr-FR"/>
        </w:rPr>
      </w:pPr>
      <w:r w:rsidRPr="00272381">
        <w:rPr>
          <w:i/>
          <w:iCs/>
          <w:lang w:val="fr-FR"/>
        </w:rPr>
        <w:lastRenderedPageBreak/>
        <w:t>Ajouter le nouveau paragraphe 2.18.13 et la nouvelle note de bas de page 2</w:t>
      </w:r>
      <w:r w:rsidRPr="00B4406B">
        <w:rPr>
          <w:lang w:val="fr-FR"/>
        </w:rPr>
        <w:t xml:space="preserve">, </w:t>
      </w:r>
      <w:r>
        <w:rPr>
          <w:lang w:val="fr-FR"/>
        </w:rPr>
        <w:t xml:space="preserve">libellés </w:t>
      </w:r>
      <w:r w:rsidRPr="00B4406B">
        <w:rPr>
          <w:lang w:val="fr-FR"/>
        </w:rPr>
        <w:t>comme suit</w:t>
      </w:r>
      <w:r>
        <w:rPr>
          <w:lang w:val="fr-FR"/>
        </w:rPr>
        <w:t> :</w:t>
      </w:r>
    </w:p>
    <w:p w:rsidR="00272381" w:rsidRPr="00A02A46" w:rsidRDefault="00272381" w:rsidP="00272381">
      <w:pPr>
        <w:pStyle w:val="SingleTxtG"/>
        <w:ind w:left="2268" w:hanging="1134"/>
        <w:rPr>
          <w:lang w:val="fr-FR"/>
        </w:rPr>
      </w:pPr>
      <w:r w:rsidRPr="00A02A46">
        <w:rPr>
          <w:lang w:val="fr-FR"/>
        </w:rPr>
        <w:t>« 2.18.13</w:t>
      </w:r>
      <w:r w:rsidRPr="00A02A46">
        <w:rPr>
          <w:lang w:val="fr-FR"/>
        </w:rPr>
        <w:tab/>
        <w:t xml:space="preserve">Les lettres </w:t>
      </w:r>
      <w:r w:rsidRPr="005064E5">
        <w:rPr>
          <w:lang w:val="fr-FR"/>
        </w:rPr>
        <w:t>“</w:t>
      </w:r>
      <w:r w:rsidRPr="00A02A46">
        <w:rPr>
          <w:lang w:val="fr-FR"/>
        </w:rPr>
        <w:t>LS</w:t>
      </w:r>
      <w:r w:rsidRPr="005064E5">
        <w:rPr>
          <w:lang w:val="fr-FR"/>
        </w:rPr>
        <w:t>”</w:t>
      </w:r>
      <w:r w:rsidRPr="00A02A46">
        <w:rPr>
          <w:lang w:val="fr-FR"/>
        </w:rPr>
        <w:t xml:space="preserve"> après l</w:t>
      </w:r>
      <w:r>
        <w:rPr>
          <w:lang w:val="fr-FR"/>
        </w:rPr>
        <w:t>’</w:t>
      </w:r>
      <w:r w:rsidRPr="00A02A46">
        <w:rPr>
          <w:lang w:val="fr-FR"/>
        </w:rPr>
        <w:t>indication du diamètre nominal de la jante dans le cas des pneumatiques pour machines forestières</w:t>
      </w:r>
      <w:r w:rsidRPr="00272381">
        <w:rPr>
          <w:sz w:val="18"/>
          <w:szCs w:val="18"/>
          <w:vertAlign w:val="superscript"/>
          <w:lang w:val="fr-FR"/>
        </w:rPr>
        <w:t>2</w:t>
      </w:r>
    </w:p>
    <w:p w:rsidR="00272381" w:rsidRPr="00A02A46" w:rsidRDefault="00272381" w:rsidP="00272381">
      <w:pPr>
        <w:pStyle w:val="SingleTxtG"/>
        <w:ind w:left="2268"/>
        <w:rPr>
          <w:lang w:val="fr-FR"/>
        </w:rPr>
      </w:pPr>
      <w:r w:rsidRPr="00A02A46">
        <w:rPr>
          <w:lang w:val="fr-FR"/>
        </w:rPr>
        <w:t>…</w:t>
      </w:r>
    </w:p>
    <w:p w:rsidR="00272381" w:rsidRPr="00A02A46" w:rsidRDefault="00272381" w:rsidP="00272381">
      <w:pPr>
        <w:pStyle w:val="Notedebasdepage"/>
        <w:rPr>
          <w:lang w:val="fr-FR"/>
        </w:rPr>
      </w:pPr>
      <w:r w:rsidRPr="00272381">
        <w:rPr>
          <w:vertAlign w:val="superscript"/>
          <w:lang w:val="fr-FR"/>
        </w:rPr>
        <w:tab/>
        <w:t>2</w:t>
      </w:r>
      <w:r w:rsidRPr="00272381">
        <w:rPr>
          <w:vertAlign w:val="superscript"/>
          <w:lang w:val="fr-FR"/>
        </w:rPr>
        <w:tab/>
      </w:r>
      <w:r w:rsidRPr="008B699F">
        <w:rPr>
          <w:szCs w:val="18"/>
          <w:lang w:val="fr-FR"/>
        </w:rPr>
        <w:t>Cette mention n</w:t>
      </w:r>
      <w:r>
        <w:rPr>
          <w:szCs w:val="18"/>
          <w:lang w:val="fr-FR"/>
        </w:rPr>
        <w:t>’</w:t>
      </w:r>
      <w:r w:rsidRPr="008B699F">
        <w:rPr>
          <w:szCs w:val="18"/>
          <w:lang w:val="fr-FR"/>
        </w:rPr>
        <w:t>est obligatoire que pour les types de pneumatiques homologués en vertu du présent Règlement une fois entré en vigueur le complément 18 au Règlement.</w:t>
      </w:r>
      <w:r>
        <w:rPr>
          <w:lang w:val="fr-FR"/>
        </w:rPr>
        <w:t> </w:t>
      </w:r>
      <w:r w:rsidRPr="008B699F">
        <w:rPr>
          <w:sz w:val="20"/>
          <w:lang w:val="fr-FR"/>
        </w:rPr>
        <w:t>».</w:t>
      </w:r>
    </w:p>
    <w:p w:rsidR="00272381" w:rsidRPr="00B4406B" w:rsidRDefault="00272381" w:rsidP="00272381">
      <w:pPr>
        <w:pStyle w:val="SingleTxtG"/>
        <w:spacing w:before="240"/>
        <w:rPr>
          <w:b/>
          <w:lang w:val="fr-FR"/>
        </w:rPr>
      </w:pPr>
      <w:r w:rsidRPr="00B4406B">
        <w:rPr>
          <w:lang w:val="fr-FR"/>
        </w:rPr>
        <w:t xml:space="preserve">Renuméroter les </w:t>
      </w:r>
      <w:r w:rsidRPr="00094FA8">
        <w:rPr>
          <w:i/>
          <w:lang w:val="fr-FR"/>
        </w:rPr>
        <w:t>notes de bas de page suivantes</w:t>
      </w:r>
      <w:r w:rsidRPr="00B4406B">
        <w:rPr>
          <w:lang w:val="fr-FR"/>
        </w:rPr>
        <w:t xml:space="preserve"> en conséquence</w:t>
      </w:r>
      <w:r w:rsidRPr="00B4406B">
        <w:rPr>
          <w:iCs/>
          <w:lang w:val="fr-FR"/>
        </w:rPr>
        <w:t>.</w:t>
      </w:r>
      <w:r w:rsidRPr="00B4406B">
        <w:rPr>
          <w:lang w:val="fr-FR"/>
        </w:rPr>
        <w:t xml:space="preserve"> </w:t>
      </w:r>
    </w:p>
    <w:p w:rsidR="00272381" w:rsidRPr="00B4406B" w:rsidRDefault="00272381" w:rsidP="00272381">
      <w:pPr>
        <w:pStyle w:val="SingleTxtG"/>
        <w:rPr>
          <w:b/>
          <w:iCs/>
          <w:lang w:val="fr-FR"/>
        </w:rPr>
      </w:pPr>
      <w:r w:rsidRPr="00094FA8">
        <w:rPr>
          <w:i/>
          <w:lang w:val="fr-FR"/>
        </w:rPr>
        <w:t>Paragraphes 3.1.9 et 3.1.9.1</w:t>
      </w:r>
      <w:r w:rsidRPr="00B4406B">
        <w:rPr>
          <w:lang w:val="fr-FR"/>
        </w:rPr>
        <w:t>,</w:t>
      </w:r>
      <w:r w:rsidRPr="00B4406B">
        <w:rPr>
          <w:iCs/>
          <w:lang w:val="fr-FR"/>
        </w:rPr>
        <w:t xml:space="preserve"> </w:t>
      </w:r>
      <w:r>
        <w:rPr>
          <w:iCs/>
          <w:lang w:val="fr-FR"/>
        </w:rPr>
        <w:t>fusionner et lire</w:t>
      </w:r>
      <w:r>
        <w:rPr>
          <w:iCs/>
          <w:lang w:val="fr-FR"/>
        </w:rPr>
        <w:t> :</w:t>
      </w:r>
    </w:p>
    <w:p w:rsidR="00272381" w:rsidRPr="00883C00" w:rsidRDefault="00272381" w:rsidP="00272381">
      <w:pPr>
        <w:pStyle w:val="SingleTxtG"/>
        <w:ind w:left="2268" w:hanging="1134"/>
        <w:rPr>
          <w:lang w:val="fr-FR"/>
        </w:rPr>
      </w:pPr>
      <w:r w:rsidRPr="00883C00">
        <w:rPr>
          <w:lang w:val="fr-FR"/>
        </w:rPr>
        <w:t>« 3.1.9</w:t>
      </w:r>
      <w:r w:rsidRPr="00883C00">
        <w:rPr>
          <w:lang w:val="fr-FR"/>
        </w:rPr>
        <w:tab/>
      </w:r>
      <w:r w:rsidRPr="00883C00">
        <w:rPr>
          <w:lang w:val="fr-FR"/>
        </w:rPr>
        <w:tab/>
        <w:t xml:space="preserve">La mention </w:t>
      </w:r>
      <w:r w:rsidRPr="005064E5">
        <w:rPr>
          <w:lang w:val="fr-FR"/>
        </w:rPr>
        <w:t>“</w:t>
      </w:r>
      <w:r w:rsidRPr="00883C00">
        <w:rPr>
          <w:lang w:val="fr-FR"/>
        </w:rPr>
        <w:t>LS-3</w:t>
      </w:r>
      <w:r w:rsidRPr="005064E5">
        <w:rPr>
          <w:lang w:val="fr-FR"/>
        </w:rPr>
        <w:t>”</w:t>
      </w:r>
      <w:r w:rsidRPr="00883C00">
        <w:rPr>
          <w:lang w:val="fr-FR"/>
        </w:rPr>
        <w:t xml:space="preserve"> pour les pneumatiques à bande de roulement spéciale destinés aux débusqueurs forestiers.</w:t>
      </w:r>
      <w:r>
        <w:rPr>
          <w:lang w:val="fr-FR"/>
        </w:rPr>
        <w:t> </w:t>
      </w:r>
      <w:r w:rsidRPr="00883C00">
        <w:rPr>
          <w:lang w:val="fr-FR"/>
        </w:rPr>
        <w:t>»</w:t>
      </w:r>
      <w:r>
        <w:rPr>
          <w:lang w:val="fr-FR"/>
        </w:rPr>
        <w:t>.</w:t>
      </w:r>
    </w:p>
    <w:p w:rsidR="00272381" w:rsidRDefault="00272381" w:rsidP="00272381">
      <w:pPr>
        <w:pStyle w:val="SingleTxtG"/>
        <w:keepNext/>
        <w:rPr>
          <w:i/>
          <w:lang w:val="fr-FR"/>
        </w:rPr>
      </w:pPr>
      <w:r w:rsidRPr="007E58CA">
        <w:rPr>
          <w:i/>
          <w:lang w:val="fr-FR"/>
        </w:rPr>
        <w:t>Annexe 1</w:t>
      </w:r>
      <w:r w:rsidRPr="00272381">
        <w:rPr>
          <w:iCs/>
          <w:lang w:val="fr-FR"/>
        </w:rPr>
        <w:t>,</w:t>
      </w:r>
    </w:p>
    <w:p w:rsidR="00272381" w:rsidRPr="00B4406B" w:rsidRDefault="00272381" w:rsidP="00272381">
      <w:pPr>
        <w:pStyle w:val="SingleTxtG"/>
        <w:keepNext/>
        <w:rPr>
          <w:lang w:val="fr-FR"/>
        </w:rPr>
      </w:pPr>
      <w:r>
        <w:rPr>
          <w:i/>
          <w:lang w:val="fr-FR"/>
        </w:rPr>
        <w:t>P</w:t>
      </w:r>
      <w:r w:rsidRPr="007E58CA">
        <w:rPr>
          <w:i/>
          <w:lang w:val="fr-FR"/>
        </w:rPr>
        <w:t>oint 4.1</w:t>
      </w:r>
      <w:r w:rsidRPr="00B4406B">
        <w:rPr>
          <w:iCs/>
          <w:lang w:val="fr-FR"/>
        </w:rPr>
        <w:t xml:space="preserve">, </w:t>
      </w:r>
      <w:r>
        <w:rPr>
          <w:iCs/>
          <w:lang w:val="fr-FR"/>
        </w:rPr>
        <w:t>lire</w:t>
      </w:r>
      <w:r>
        <w:rPr>
          <w:iCs/>
          <w:lang w:val="fr-FR"/>
        </w:rPr>
        <w:t> :</w:t>
      </w:r>
    </w:p>
    <w:p w:rsidR="00272381" w:rsidRPr="00883C00" w:rsidRDefault="00272381" w:rsidP="00404766">
      <w:pPr>
        <w:pStyle w:val="SingleTxtG"/>
        <w:tabs>
          <w:tab w:val="right" w:leader="dot" w:pos="8505"/>
        </w:tabs>
        <w:ind w:left="2268" w:hanging="1134"/>
        <w:rPr>
          <w:lang w:val="fr-FR"/>
        </w:rPr>
      </w:pPr>
      <w:r w:rsidRPr="00883C00">
        <w:rPr>
          <w:lang w:val="fr-FR"/>
        </w:rPr>
        <w:t>« 4.1</w:t>
      </w:r>
      <w:r w:rsidRPr="00883C00">
        <w:rPr>
          <w:lang w:val="fr-FR"/>
        </w:rPr>
        <w:tab/>
        <w:t>Désignation de la dimension du pneumatique</w:t>
      </w:r>
      <w:r w:rsidR="00404766">
        <w:rPr>
          <w:lang w:val="fr-FR"/>
        </w:rPr>
        <w:tab/>
      </w:r>
      <w:r w:rsidRPr="00883C00">
        <w:rPr>
          <w:lang w:val="fr-FR"/>
        </w:rPr>
        <w:t> »</w:t>
      </w:r>
      <w:r>
        <w:rPr>
          <w:lang w:val="fr-FR"/>
        </w:rPr>
        <w:t>.</w:t>
      </w:r>
    </w:p>
    <w:p w:rsidR="00272381" w:rsidRPr="00B4406B" w:rsidRDefault="00272381" w:rsidP="00272381">
      <w:pPr>
        <w:pStyle w:val="SingleTxtG"/>
        <w:rPr>
          <w:lang w:val="fr-FR"/>
        </w:rPr>
      </w:pPr>
      <w:r w:rsidRPr="00AB6E9A">
        <w:rPr>
          <w:i/>
          <w:lang w:val="fr-FR"/>
        </w:rPr>
        <w:t>Ajouter un nouveau point 4.8</w:t>
      </w:r>
      <w:r w:rsidRPr="00B4406B">
        <w:rPr>
          <w:lang w:val="fr-FR"/>
        </w:rPr>
        <w:t xml:space="preserve">, </w:t>
      </w:r>
      <w:r>
        <w:rPr>
          <w:lang w:val="fr-FR"/>
        </w:rPr>
        <w:t xml:space="preserve">libellé </w:t>
      </w:r>
      <w:r w:rsidRPr="00B4406B">
        <w:rPr>
          <w:iCs/>
          <w:lang w:val="fr-FR"/>
        </w:rPr>
        <w:t>comme suit</w:t>
      </w:r>
      <w:r>
        <w:rPr>
          <w:iCs/>
          <w:lang w:val="fr-FR"/>
        </w:rPr>
        <w:t> :</w:t>
      </w:r>
    </w:p>
    <w:p w:rsidR="00272381" w:rsidRPr="00883C00" w:rsidRDefault="00272381" w:rsidP="00404766">
      <w:pPr>
        <w:pStyle w:val="SingleTxtG"/>
        <w:tabs>
          <w:tab w:val="right" w:leader="dot" w:pos="8505"/>
        </w:tabs>
        <w:ind w:left="2268" w:hanging="1134"/>
        <w:rPr>
          <w:lang w:val="fr-FR"/>
        </w:rPr>
      </w:pPr>
      <w:r w:rsidRPr="00883C00">
        <w:rPr>
          <w:lang w:val="fr-FR"/>
        </w:rPr>
        <w:t>« 4.8</w:t>
      </w:r>
      <w:r w:rsidRPr="00883C00">
        <w:rPr>
          <w:lang w:val="fr-FR"/>
        </w:rPr>
        <w:tab/>
        <w:t>Pression</w:t>
      </w:r>
      <w:r>
        <w:rPr>
          <w:lang w:val="fr-FR"/>
        </w:rPr>
        <w:t xml:space="preserve"> </w:t>
      </w:r>
      <w:r w:rsidRPr="00883C00">
        <w:rPr>
          <w:lang w:val="fr-FR"/>
        </w:rPr>
        <w:t>de</w:t>
      </w:r>
      <w:r>
        <w:rPr>
          <w:lang w:val="fr-FR"/>
        </w:rPr>
        <w:t xml:space="preserve"> </w:t>
      </w:r>
      <w:r w:rsidRPr="00883C00">
        <w:rPr>
          <w:lang w:val="fr-FR"/>
        </w:rPr>
        <w:t>gonflage</w:t>
      </w:r>
      <w:r>
        <w:rPr>
          <w:lang w:val="fr-FR"/>
        </w:rPr>
        <w:t xml:space="preserve"> </w:t>
      </w:r>
      <w:r w:rsidRPr="00883C00">
        <w:rPr>
          <w:lang w:val="fr-FR"/>
        </w:rPr>
        <w:t>(kPa/bar</w:t>
      </w:r>
      <w:r w:rsidRPr="00272381">
        <w:rPr>
          <w:sz w:val="18"/>
          <w:szCs w:val="18"/>
          <w:vertAlign w:val="superscript"/>
          <w:lang w:val="fr-FR"/>
        </w:rPr>
        <w:t>2</w:t>
      </w:r>
      <w:r w:rsidRPr="00883C00">
        <w:rPr>
          <w:lang w:val="fr-FR"/>
        </w:rPr>
        <w:t>)</w:t>
      </w:r>
      <w:r w:rsidR="00404766">
        <w:rPr>
          <w:lang w:val="fr-FR"/>
        </w:rPr>
        <w:tab/>
      </w:r>
      <w:r w:rsidRPr="00883C00">
        <w:rPr>
          <w:lang w:val="fr-FR"/>
        </w:rPr>
        <w:t> »</w:t>
      </w:r>
      <w:r>
        <w:rPr>
          <w:lang w:val="fr-FR"/>
        </w:rPr>
        <w:t>.</w:t>
      </w:r>
    </w:p>
    <w:p w:rsidR="00272381" w:rsidRPr="00B4406B" w:rsidRDefault="00272381" w:rsidP="00272381">
      <w:pPr>
        <w:pStyle w:val="SingleTxtG"/>
        <w:keepNext/>
        <w:rPr>
          <w:b/>
          <w:lang w:val="fr-FR"/>
        </w:rPr>
      </w:pPr>
      <w:r w:rsidRPr="00AB6E9A">
        <w:rPr>
          <w:i/>
          <w:lang w:val="fr-FR"/>
        </w:rPr>
        <w:t>Annexe 3</w:t>
      </w:r>
      <w:r>
        <w:rPr>
          <w:lang w:val="fr-FR"/>
        </w:rPr>
        <w:t>,</w:t>
      </w:r>
    </w:p>
    <w:p w:rsidR="00272381" w:rsidRPr="00B4406B" w:rsidRDefault="00272381" w:rsidP="00272381">
      <w:pPr>
        <w:pStyle w:val="SingleTxtG"/>
        <w:keepNext/>
        <w:rPr>
          <w:b/>
          <w:lang w:val="fr-FR"/>
        </w:rPr>
      </w:pPr>
      <w:r w:rsidRPr="00272381">
        <w:rPr>
          <w:i/>
          <w:lang w:val="fr-FR"/>
        </w:rPr>
        <w:t>Partie C, exemple</w:t>
      </w:r>
      <w:r w:rsidRPr="009004B0">
        <w:rPr>
          <w:lang w:val="fr-FR"/>
        </w:rPr>
        <w:t>,</w:t>
      </w:r>
      <w:r>
        <w:rPr>
          <w:lang w:val="fr-FR"/>
        </w:rPr>
        <w:t xml:space="preserve"> lire</w:t>
      </w:r>
      <w:r>
        <w:rPr>
          <w:lang w:val="fr-FR"/>
        </w:rPr>
        <w:t> :</w:t>
      </w:r>
    </w:p>
    <w:p w:rsidR="00272381" w:rsidRDefault="00272381" w:rsidP="00272381">
      <w:pPr>
        <w:pStyle w:val="SingleTxtG"/>
        <w:rPr>
          <w:lang w:val="fr-FR"/>
        </w:rPr>
      </w:pPr>
      <w:r w:rsidRPr="00B4406B">
        <w:rPr>
          <w:lang w:val="fr-FR"/>
        </w:rPr>
        <w:t>«</w:t>
      </w:r>
      <w:r>
        <w:rPr>
          <w:lang w:val="fr-FR"/>
        </w:rPr>
        <w:t> </w:t>
      </w:r>
      <w:r w:rsidRPr="00B4406B">
        <w:rPr>
          <w:lang w:val="fr-FR"/>
        </w:rPr>
        <w:t>…</w:t>
      </w:r>
    </w:p>
    <w:tbl>
      <w:tblPr>
        <w:tblW w:w="0" w:type="auto"/>
        <w:tblInd w:w="11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1000"/>
        <w:gridCol w:w="502"/>
        <w:gridCol w:w="616"/>
        <w:gridCol w:w="1502"/>
        <w:gridCol w:w="39"/>
        <w:gridCol w:w="546"/>
      </w:tblGrid>
      <w:tr w:rsidR="00272381" w:rsidRPr="00B03218" w:rsidTr="00272381">
        <w:trPr>
          <w:cantSplit/>
        </w:trPr>
        <w:tc>
          <w:tcPr>
            <w:tcW w:w="234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↓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iCs/>
                <w:noProof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iCs/>
                <w:noProof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rPr>
                <w:iCs/>
                <w:noProof/>
                <w:sz w:val="32"/>
                <w:szCs w:val="32"/>
              </w:rPr>
            </w:pPr>
            <w:r w:rsidRPr="00B03218">
              <w:rPr>
                <w:iCs/>
                <w:noProof/>
                <w:sz w:val="32"/>
                <w:szCs w:val="32"/>
              </w:rPr>
              <w:t>↓</w:t>
            </w:r>
          </w:p>
        </w:tc>
      </w:tr>
      <w:tr w:rsidR="00272381" w:rsidRPr="00B03218" w:rsidTr="00272381">
        <w:trPr>
          <w:cantSplit/>
        </w:trPr>
        <w:tc>
          <w:tcPr>
            <w:tcW w:w="234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250/70 R 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2381" w:rsidRPr="00B03218" w:rsidRDefault="00272381" w:rsidP="00EF380F">
            <w:pPr>
              <w:tabs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191" w:right="-57" w:firstLine="49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IMP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b</w:t>
            </w:r>
          </w:p>
        </w:tc>
        <w:tc>
          <w:tcPr>
            <w:tcW w:w="2118" w:type="dxa"/>
            <w:gridSpan w:val="2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410" w:right="-250" w:firstLine="142"/>
              <w:jc w:val="center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@ 240 kPa</w:t>
            </w:r>
          </w:p>
        </w:tc>
        <w:tc>
          <w:tcPr>
            <w:tcW w:w="585" w:type="dxa"/>
            <w:gridSpan w:val="2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250" w:right="-129"/>
              <w:jc w:val="center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c</w:t>
            </w:r>
          </w:p>
        </w:tc>
      </w:tr>
      <w:tr w:rsidR="00272381" w:rsidRPr="00B03218" w:rsidTr="00272381">
        <w:trPr>
          <w:cantSplit/>
        </w:trPr>
        <w:tc>
          <w:tcPr>
            <w:tcW w:w="234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↑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546" w:type="dxa"/>
            <w:tcBorders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rPr>
                <w:b/>
                <w:iCs/>
                <w:noProof/>
                <w:sz w:val="32"/>
                <w:szCs w:val="32"/>
              </w:rPr>
            </w:pPr>
            <w:r w:rsidRPr="00B03218">
              <w:rPr>
                <w:b/>
                <w:iCs/>
                <w:noProof/>
                <w:sz w:val="32"/>
                <w:szCs w:val="32"/>
              </w:rPr>
              <w:t>↑</w:t>
            </w:r>
          </w:p>
        </w:tc>
      </w:tr>
    </w:tbl>
    <w:p w:rsidR="00272381" w:rsidRPr="00B4406B" w:rsidRDefault="00272381" w:rsidP="00655D00">
      <w:pPr>
        <w:pStyle w:val="SingleTxtG"/>
        <w:rPr>
          <w:b/>
          <w:lang w:val="fr-FR"/>
        </w:rPr>
      </w:pPr>
      <w:r w:rsidRPr="00B4406B">
        <w:rPr>
          <w:lang w:val="fr-FR"/>
        </w:rPr>
        <w:t>…</w:t>
      </w:r>
      <w:r>
        <w:rPr>
          <w:lang w:val="fr-FR"/>
        </w:rPr>
        <w:t> </w:t>
      </w:r>
      <w:r w:rsidRPr="00B4406B">
        <w:rPr>
          <w:lang w:val="fr-FR"/>
        </w:rPr>
        <w:t>»</w:t>
      </w:r>
      <w:r>
        <w:rPr>
          <w:lang w:val="fr-FR"/>
        </w:rPr>
        <w:t>.</w:t>
      </w:r>
    </w:p>
    <w:p w:rsidR="00272381" w:rsidRPr="00B4406B" w:rsidRDefault="00272381" w:rsidP="00272381">
      <w:pPr>
        <w:pStyle w:val="SingleTxtG"/>
        <w:rPr>
          <w:b/>
          <w:lang w:val="fr-FR"/>
        </w:rPr>
      </w:pPr>
      <w:r w:rsidRPr="00AB6E9A">
        <w:rPr>
          <w:bCs/>
          <w:i/>
          <w:lang w:val="fr-FR"/>
        </w:rPr>
        <w:t>Partie D</w:t>
      </w:r>
      <w:r w:rsidRPr="00B4406B">
        <w:rPr>
          <w:lang w:val="fr-FR"/>
        </w:rPr>
        <w:t>,</w:t>
      </w:r>
      <w:r>
        <w:rPr>
          <w:lang w:val="fr-FR"/>
        </w:rPr>
        <w:t xml:space="preserve"> </w:t>
      </w:r>
      <w:r w:rsidRPr="009004B0">
        <w:rPr>
          <w:i/>
          <w:lang w:val="fr-FR"/>
        </w:rPr>
        <w:t>exemple,</w:t>
      </w:r>
      <w:r>
        <w:rPr>
          <w:lang w:val="fr-FR"/>
        </w:rPr>
        <w:t xml:space="preserve"> lire</w:t>
      </w:r>
      <w:r>
        <w:rPr>
          <w:lang w:val="fr-FR"/>
        </w:rPr>
        <w:t> :</w:t>
      </w:r>
    </w:p>
    <w:p w:rsidR="00272381" w:rsidRDefault="00272381" w:rsidP="00272381">
      <w:pPr>
        <w:pStyle w:val="SingleTxtG"/>
        <w:rPr>
          <w:lang w:val="fr-FR"/>
        </w:rPr>
      </w:pPr>
      <w:r w:rsidRPr="00B4406B">
        <w:rPr>
          <w:lang w:val="fr-FR"/>
        </w:rPr>
        <w:t>«</w:t>
      </w:r>
      <w:r>
        <w:rPr>
          <w:lang w:val="fr-FR"/>
        </w:rPr>
        <w:t> </w:t>
      </w:r>
      <w:r w:rsidRPr="00B4406B">
        <w:rPr>
          <w:lang w:val="fr-FR"/>
        </w:rPr>
        <w:t>…</w:t>
      </w:r>
    </w:p>
    <w:tbl>
      <w:tblPr>
        <w:tblW w:w="8505" w:type="dxa"/>
        <w:tblInd w:w="11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707"/>
        <w:gridCol w:w="943"/>
        <w:gridCol w:w="502"/>
        <w:gridCol w:w="361"/>
        <w:gridCol w:w="748"/>
        <w:gridCol w:w="87"/>
        <w:gridCol w:w="265"/>
        <w:gridCol w:w="124"/>
        <w:gridCol w:w="276"/>
        <w:gridCol w:w="184"/>
        <w:gridCol w:w="1289"/>
        <w:gridCol w:w="180"/>
        <w:gridCol w:w="91"/>
        <w:gridCol w:w="433"/>
      </w:tblGrid>
      <w:tr w:rsidR="00272381" w:rsidRPr="00B03218" w:rsidTr="00655D0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iCs/>
                <w:strike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iCs/>
                <w:strike/>
                <w:noProof/>
                <w:sz w:val="32"/>
                <w:szCs w:val="32"/>
              </w:rPr>
              <w:t>↓</w:t>
            </w:r>
          </w:p>
        </w:tc>
        <w:tc>
          <w:tcPr>
            <w:tcW w:w="94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iCs/>
                <w:noProof/>
                <w:sz w:val="32"/>
                <w:szCs w:val="32"/>
              </w:rPr>
              <w:t>↓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</w:p>
        </w:tc>
        <w:tc>
          <w:tcPr>
            <w:tcW w:w="352" w:type="dxa"/>
            <w:gridSpan w:val="2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iCs/>
                <w:noProof/>
                <w:sz w:val="32"/>
                <w:szCs w:val="32"/>
              </w:rPr>
            </w:pPr>
            <w:r w:rsidRPr="00B03218">
              <w:rPr>
                <w:iCs/>
                <w:noProof/>
                <w:sz w:val="32"/>
                <w:szCs w:val="32"/>
              </w:rPr>
              <w:t>↓</w:t>
            </w:r>
          </w:p>
        </w:tc>
        <w:tc>
          <w:tcPr>
            <w:tcW w:w="584" w:type="dxa"/>
            <w:gridSpan w:val="3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iCs/>
                <w:noProof/>
                <w:sz w:val="32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iCs/>
                <w:noProof/>
                <w:sz w:val="32"/>
                <w:szCs w:val="32"/>
              </w:rPr>
            </w:pPr>
          </w:p>
        </w:tc>
        <w:tc>
          <w:tcPr>
            <w:tcW w:w="524" w:type="dxa"/>
            <w:gridSpan w:val="2"/>
            <w:tcBorders>
              <w:top w:val="nil"/>
            </w:tcBorders>
          </w:tcPr>
          <w:p w:rsidR="00272381" w:rsidRPr="00B03218" w:rsidRDefault="00272381" w:rsidP="00655D00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center"/>
              <w:rPr>
                <w:iCs/>
                <w:noProof/>
                <w:sz w:val="32"/>
                <w:szCs w:val="32"/>
              </w:rPr>
            </w:pPr>
            <w:r w:rsidRPr="00B03218">
              <w:rPr>
                <w:iCs/>
                <w:noProof/>
                <w:sz w:val="32"/>
                <w:szCs w:val="32"/>
              </w:rPr>
              <w:t>↓</w:t>
            </w:r>
          </w:p>
        </w:tc>
      </w:tr>
      <w:tr w:rsidR="00272381" w:rsidRPr="00B03218" w:rsidTr="00655D0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600/55 </w:t>
            </w: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−</w:t>
            </w: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26.5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strike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LS</w:t>
            </w:r>
          </w:p>
        </w:tc>
        <w:tc>
          <w:tcPr>
            <w:tcW w:w="94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2381" w:rsidRPr="00B03218" w:rsidRDefault="00272381" w:rsidP="00EF380F">
            <w:pPr>
              <w:tabs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191" w:right="-57" w:firstLine="49"/>
              <w:rPr>
                <w:rFonts w:ascii="Arial" w:hAnsi="Arial" w:cs="Arial"/>
                <w:b/>
                <w:bCs/>
                <w:iCs/>
                <w:strike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b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134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154 A8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b</w:t>
            </w:r>
          </w:p>
        </w:tc>
        <w:tc>
          <w:tcPr>
            <w:tcW w:w="2020" w:type="dxa"/>
            <w:gridSpan w:val="5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410" w:right="-250" w:firstLine="142"/>
              <w:jc w:val="center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@ 240 kPa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250" w:right="-129"/>
              <w:jc w:val="center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c</w:t>
            </w:r>
          </w:p>
        </w:tc>
      </w:tr>
      <w:tr w:rsidR="00272381" w:rsidRPr="00B03218" w:rsidTr="00655D0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70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strike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strike/>
                <w:noProof/>
                <w:sz w:val="32"/>
                <w:szCs w:val="32"/>
              </w:rPr>
              <w:t>↑</w:t>
            </w:r>
          </w:p>
        </w:tc>
        <w:tc>
          <w:tcPr>
            <w:tcW w:w="94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↑</w:t>
            </w: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352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b/>
                <w:iCs/>
                <w:noProof/>
                <w:sz w:val="32"/>
                <w:szCs w:val="32"/>
              </w:rPr>
            </w:pPr>
            <w:r w:rsidRPr="00B03218">
              <w:rPr>
                <w:b/>
                <w:iCs/>
                <w:noProof/>
                <w:sz w:val="32"/>
                <w:szCs w:val="32"/>
              </w:rPr>
              <w:t>↑</w:t>
            </w:r>
          </w:p>
        </w:tc>
        <w:tc>
          <w:tcPr>
            <w:tcW w:w="584" w:type="dxa"/>
            <w:gridSpan w:val="3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</w:tcPr>
          <w:p w:rsidR="00272381" w:rsidRPr="00B03218" w:rsidRDefault="00272381" w:rsidP="00655D00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center"/>
              <w:rPr>
                <w:b/>
                <w:iCs/>
                <w:noProof/>
                <w:sz w:val="32"/>
                <w:szCs w:val="32"/>
              </w:rPr>
            </w:pPr>
            <w:r w:rsidRPr="00B03218">
              <w:rPr>
                <w:b/>
                <w:iCs/>
                <w:noProof/>
                <w:sz w:val="32"/>
                <w:szCs w:val="32"/>
              </w:rPr>
              <w:t>↑</w:t>
            </w:r>
          </w:p>
        </w:tc>
      </w:tr>
      <w:tr w:rsidR="00272381" w:rsidRPr="00B03218" w:rsidTr="00655D0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↓</w:t>
            </w:r>
          </w:p>
        </w:tc>
        <w:tc>
          <w:tcPr>
            <w:tcW w:w="94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835" w:type="dxa"/>
            <w:gridSpan w:val="2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↓</w:t>
            </w:r>
          </w:p>
        </w:tc>
        <w:tc>
          <w:tcPr>
            <w:tcW w:w="265" w:type="dxa"/>
            <w:tcBorders>
              <w:top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400" w:type="dxa"/>
            <w:gridSpan w:val="2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1473" w:type="dxa"/>
            <w:gridSpan w:val="2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704" w:type="dxa"/>
            <w:gridSpan w:val="3"/>
          </w:tcPr>
          <w:p w:rsidR="00272381" w:rsidRPr="00B03218" w:rsidRDefault="00272381" w:rsidP="00655D00">
            <w:pPr>
              <w:suppressAutoHyphens w:val="0"/>
              <w:spacing w:line="240" w:lineRule="auto"/>
              <w:jc w:val="center"/>
            </w:pPr>
            <w:r w:rsidRPr="00B03218">
              <w:rPr>
                <w:rFonts w:ascii="Arial" w:hAnsi="Arial" w:cs="Arial"/>
                <w:iCs/>
                <w:noProof/>
                <w:sz w:val="32"/>
                <w:szCs w:val="32"/>
              </w:rPr>
              <w:t>↓</w:t>
            </w:r>
          </w:p>
        </w:tc>
      </w:tr>
      <w:tr w:rsidR="00272381" w:rsidRPr="00B03218" w:rsidTr="00655D0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sz w:val="32"/>
                <w:szCs w:val="32"/>
              </w:rPr>
              <w:t>TUBELESS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c</w:t>
            </w:r>
          </w:p>
        </w:tc>
        <w:tc>
          <w:tcPr>
            <w:tcW w:w="94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2506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c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</w:p>
        </w:tc>
        <w:tc>
          <w:tcPr>
            <w:tcW w:w="400" w:type="dxa"/>
            <w:gridSpan w:val="2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</w:p>
        </w:tc>
        <w:tc>
          <w:tcPr>
            <w:tcW w:w="1473" w:type="dxa"/>
            <w:gridSpan w:val="2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LS-3</w:t>
            </w:r>
          </w:p>
        </w:tc>
        <w:tc>
          <w:tcPr>
            <w:tcW w:w="704" w:type="dxa"/>
            <w:gridSpan w:val="3"/>
          </w:tcPr>
          <w:p w:rsidR="00272381" w:rsidRPr="00B03218" w:rsidRDefault="00272381" w:rsidP="00655D0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c</w:t>
            </w:r>
          </w:p>
        </w:tc>
      </w:tr>
      <w:tr w:rsidR="00272381" w:rsidRPr="00B03218" w:rsidTr="00655D00">
        <w:trPr>
          <w:cantSplit/>
        </w:trPr>
        <w:tc>
          <w:tcPr>
            <w:tcW w:w="231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70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↑</w:t>
            </w:r>
          </w:p>
        </w:tc>
        <w:tc>
          <w:tcPr>
            <w:tcW w:w="94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835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↑</w:t>
            </w:r>
          </w:p>
        </w:tc>
        <w:tc>
          <w:tcPr>
            <w:tcW w:w="265" w:type="dxa"/>
            <w:tcBorders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400" w:type="dxa"/>
            <w:gridSpan w:val="2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1473" w:type="dxa"/>
            <w:gridSpan w:val="2"/>
            <w:tcBorders>
              <w:top w:val="nil"/>
              <w:bottom w:val="nil"/>
            </w:tcBorders>
          </w:tcPr>
          <w:p w:rsidR="00272381" w:rsidRPr="00B03218" w:rsidRDefault="00272381" w:rsidP="00EF380F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704" w:type="dxa"/>
            <w:gridSpan w:val="3"/>
          </w:tcPr>
          <w:p w:rsidR="00272381" w:rsidRPr="00B03218" w:rsidRDefault="00272381" w:rsidP="00655D00">
            <w:pPr>
              <w:suppressAutoHyphens w:val="0"/>
              <w:spacing w:line="240" w:lineRule="auto"/>
              <w:jc w:val="center"/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↑</w:t>
            </w:r>
          </w:p>
        </w:tc>
      </w:tr>
    </w:tbl>
    <w:p w:rsidR="00272381" w:rsidRPr="00B4406B" w:rsidRDefault="00272381" w:rsidP="00272381">
      <w:pPr>
        <w:pStyle w:val="SingleTxtG"/>
        <w:ind w:left="2268"/>
        <w:rPr>
          <w:lang w:val="fr-FR"/>
        </w:rPr>
      </w:pPr>
      <w:r w:rsidRPr="00B4406B">
        <w:rPr>
          <w:lang w:val="fr-FR"/>
        </w:rPr>
        <w:t>…</w:t>
      </w:r>
    </w:p>
    <w:p w:rsidR="00272381" w:rsidRPr="00883C00" w:rsidRDefault="00272381" w:rsidP="00272381">
      <w:pPr>
        <w:pStyle w:val="SingleTxtG"/>
        <w:ind w:left="2268"/>
        <w:rPr>
          <w:lang w:val="fr-FR"/>
        </w:rPr>
      </w:pPr>
      <w:r w:rsidRPr="00883C00">
        <w:rPr>
          <w:lang w:val="fr-FR"/>
        </w:rPr>
        <w:t>Ces inscriptions signifient que le pneumatique pour machines forestières faisant l</w:t>
      </w:r>
      <w:r>
        <w:rPr>
          <w:lang w:val="fr-FR"/>
        </w:rPr>
        <w:t>’</w:t>
      </w:r>
      <w:r w:rsidRPr="00883C00">
        <w:rPr>
          <w:lang w:val="fr-FR"/>
        </w:rPr>
        <w:t>objet du paragraphe 2.18.13</w:t>
      </w:r>
      <w:r>
        <w:rPr>
          <w:lang w:val="fr-FR"/>
        </w:rPr>
        <w:t> :</w:t>
      </w:r>
    </w:p>
    <w:p w:rsidR="00272381" w:rsidRPr="00B4406B" w:rsidRDefault="00272381" w:rsidP="00272381">
      <w:pPr>
        <w:pStyle w:val="SingleTxtG"/>
        <w:ind w:left="2268"/>
        <w:rPr>
          <w:lang w:val="fr-FR"/>
        </w:rPr>
      </w:pPr>
      <w:r w:rsidRPr="00B4406B">
        <w:rPr>
          <w:lang w:val="fr-FR"/>
        </w:rPr>
        <w:t>a)</w:t>
      </w:r>
      <w:r w:rsidRPr="00B4406B">
        <w:rPr>
          <w:lang w:val="fr-FR"/>
        </w:rPr>
        <w:tab/>
        <w:t>A une grosseur nominale de boudin de</w:t>
      </w:r>
      <w:r>
        <w:rPr>
          <w:lang w:val="fr-FR"/>
        </w:rPr>
        <w:t xml:space="preserve"> </w:t>
      </w:r>
      <w:r w:rsidRPr="00B4406B">
        <w:rPr>
          <w:lang w:val="fr-FR"/>
        </w:rPr>
        <w:t>600</w:t>
      </w:r>
      <w:r>
        <w:rPr>
          <w:lang w:val="fr-FR"/>
        </w:rPr>
        <w:t> ;</w:t>
      </w:r>
    </w:p>
    <w:p w:rsidR="00272381" w:rsidRPr="00B4406B" w:rsidRDefault="00272381" w:rsidP="00272381">
      <w:pPr>
        <w:pStyle w:val="SingleTxtG"/>
        <w:ind w:left="2268"/>
        <w:rPr>
          <w:bCs/>
          <w:lang w:val="fr-FR"/>
        </w:rPr>
      </w:pPr>
      <w:r w:rsidRPr="00B4406B">
        <w:rPr>
          <w:bCs/>
          <w:lang w:val="fr-FR"/>
        </w:rPr>
        <w:t>b)</w:t>
      </w:r>
      <w:r w:rsidRPr="00B4406B">
        <w:rPr>
          <w:bCs/>
          <w:lang w:val="fr-FR"/>
        </w:rPr>
        <w:tab/>
        <w:t>A un rapport nominal d</w:t>
      </w:r>
      <w:r>
        <w:rPr>
          <w:bCs/>
          <w:lang w:val="fr-FR"/>
        </w:rPr>
        <w:t>’</w:t>
      </w:r>
      <w:r w:rsidRPr="00B4406B">
        <w:rPr>
          <w:bCs/>
          <w:lang w:val="fr-FR"/>
        </w:rPr>
        <w:t>aspect de</w:t>
      </w:r>
      <w:r>
        <w:rPr>
          <w:bCs/>
          <w:lang w:val="fr-FR"/>
        </w:rPr>
        <w:t xml:space="preserve"> </w:t>
      </w:r>
      <w:r w:rsidRPr="00B4406B">
        <w:rPr>
          <w:bCs/>
          <w:lang w:val="fr-FR"/>
        </w:rPr>
        <w:t>55</w:t>
      </w:r>
      <w:r>
        <w:rPr>
          <w:bCs/>
          <w:lang w:val="fr-FR"/>
        </w:rPr>
        <w:t> ;</w:t>
      </w:r>
    </w:p>
    <w:p w:rsidR="00272381" w:rsidRPr="00B4406B" w:rsidRDefault="00272381" w:rsidP="00272381">
      <w:pPr>
        <w:pStyle w:val="SingleTxtG"/>
        <w:ind w:left="2268"/>
        <w:rPr>
          <w:bCs/>
          <w:lang w:val="fr-FR"/>
        </w:rPr>
      </w:pPr>
      <w:r w:rsidRPr="00B4406B">
        <w:rPr>
          <w:bCs/>
          <w:lang w:val="fr-FR"/>
        </w:rPr>
        <w:t>c)</w:t>
      </w:r>
      <w:r w:rsidRPr="00B4406B">
        <w:rPr>
          <w:bCs/>
          <w:lang w:val="fr-FR"/>
        </w:rPr>
        <w:tab/>
        <w:t>A une structure diagonale</w:t>
      </w:r>
      <w:r>
        <w:rPr>
          <w:bCs/>
          <w:lang w:val="fr-FR"/>
        </w:rPr>
        <w:t xml:space="preserve"> </w:t>
      </w:r>
      <w:r w:rsidRPr="00B4406B">
        <w:rPr>
          <w:bCs/>
          <w:lang w:val="fr-FR"/>
        </w:rPr>
        <w:t>(-)</w:t>
      </w:r>
      <w:r>
        <w:rPr>
          <w:bCs/>
          <w:lang w:val="fr-FR"/>
        </w:rPr>
        <w:t> ;</w:t>
      </w:r>
    </w:p>
    <w:p w:rsidR="00272381" w:rsidRPr="00B4406B" w:rsidRDefault="00272381" w:rsidP="00272381">
      <w:pPr>
        <w:pStyle w:val="SingleTxtG"/>
        <w:ind w:left="2268"/>
        <w:rPr>
          <w:bCs/>
          <w:lang w:val="fr-FR"/>
        </w:rPr>
      </w:pPr>
      <w:r w:rsidRPr="00B4406B">
        <w:rPr>
          <w:bCs/>
          <w:lang w:val="fr-FR"/>
        </w:rPr>
        <w:t>d)</w:t>
      </w:r>
      <w:r w:rsidRPr="00B4406B">
        <w:rPr>
          <w:bCs/>
          <w:lang w:val="fr-FR"/>
        </w:rPr>
        <w:tab/>
        <w:t>A un diamètre nominal de jante de 673</w:t>
      </w:r>
      <w:r>
        <w:rPr>
          <w:bCs/>
          <w:lang w:val="fr-FR"/>
        </w:rPr>
        <w:t xml:space="preserve"> </w:t>
      </w:r>
      <w:r w:rsidRPr="00B4406B">
        <w:rPr>
          <w:bCs/>
          <w:lang w:val="fr-FR"/>
        </w:rPr>
        <w:t>mm (code</w:t>
      </w:r>
      <w:r>
        <w:rPr>
          <w:bCs/>
          <w:lang w:val="fr-FR"/>
        </w:rPr>
        <w:t xml:space="preserve"> </w:t>
      </w:r>
      <w:r w:rsidRPr="00B4406B">
        <w:rPr>
          <w:bCs/>
          <w:lang w:val="fr-FR"/>
        </w:rPr>
        <w:t>26.5)</w:t>
      </w:r>
      <w:r>
        <w:rPr>
          <w:bCs/>
          <w:lang w:val="fr-FR"/>
        </w:rPr>
        <w:t> ;</w:t>
      </w:r>
      <w:r w:rsidRPr="00B4406B">
        <w:rPr>
          <w:bCs/>
          <w:lang w:val="fr-FR"/>
        </w:rPr>
        <w:t xml:space="preserve"> </w:t>
      </w:r>
    </w:p>
    <w:p w:rsidR="00272381" w:rsidRPr="00B4406B" w:rsidRDefault="00272381" w:rsidP="00272381">
      <w:pPr>
        <w:pStyle w:val="SingleTxtG"/>
        <w:ind w:left="2268"/>
        <w:rPr>
          <w:bCs/>
          <w:lang w:val="fr-FR"/>
        </w:rPr>
      </w:pPr>
      <w:r w:rsidRPr="00B4406B">
        <w:rPr>
          <w:bCs/>
          <w:lang w:val="fr-FR"/>
        </w:rPr>
        <w:t>e)</w:t>
      </w:r>
      <w:r w:rsidRPr="00B4406B">
        <w:rPr>
          <w:bCs/>
          <w:lang w:val="fr-FR"/>
        </w:rPr>
        <w:tab/>
        <w:t xml:space="preserve">A une bande de roulement </w:t>
      </w:r>
      <w:r w:rsidRPr="00883C00">
        <w:rPr>
          <w:bCs/>
          <w:lang w:val="fr-FR"/>
        </w:rPr>
        <w:t>spéciale (</w:t>
      </w:r>
      <w:r w:rsidRPr="005064E5">
        <w:rPr>
          <w:bCs/>
          <w:lang w:val="fr-FR"/>
        </w:rPr>
        <w:t>“</w:t>
      </w:r>
      <w:r w:rsidRPr="00883C00">
        <w:rPr>
          <w:bCs/>
          <w:lang w:val="fr-FR"/>
        </w:rPr>
        <w:t>LS-3</w:t>
      </w:r>
      <w:r w:rsidRPr="005064E5">
        <w:rPr>
          <w:bCs/>
          <w:lang w:val="fr-FR"/>
        </w:rPr>
        <w:t>”</w:t>
      </w:r>
      <w:r w:rsidRPr="00B4406B">
        <w:rPr>
          <w:bCs/>
          <w:lang w:val="fr-FR"/>
        </w:rPr>
        <w:t>)</w:t>
      </w:r>
      <w:r>
        <w:rPr>
          <w:lang w:val="fr-FR"/>
        </w:rPr>
        <w:t> ;</w:t>
      </w:r>
    </w:p>
    <w:p w:rsidR="00272381" w:rsidRPr="00B4406B" w:rsidRDefault="00272381" w:rsidP="00272381">
      <w:pPr>
        <w:pStyle w:val="SingleTxtG"/>
        <w:ind w:left="2835" w:hanging="567"/>
        <w:rPr>
          <w:lang w:val="fr-FR"/>
        </w:rPr>
      </w:pPr>
      <w:r w:rsidRPr="00B4406B">
        <w:rPr>
          <w:lang w:val="fr-FR"/>
        </w:rPr>
        <w:lastRenderedPageBreak/>
        <w:t>f)</w:t>
      </w:r>
      <w:r w:rsidRPr="00B4406B">
        <w:rPr>
          <w:lang w:val="fr-FR"/>
        </w:rPr>
        <w:tab/>
        <w:t>A une capacité de charge de 3</w:t>
      </w:r>
      <w:r>
        <w:rPr>
          <w:lang w:val="fr-FR"/>
        </w:rPr>
        <w:t> </w:t>
      </w:r>
      <w:r w:rsidRPr="00B4406B">
        <w:rPr>
          <w:lang w:val="fr-FR"/>
        </w:rPr>
        <w:t>750 kg (soit un indice de 154 selon l</w:t>
      </w:r>
      <w:r>
        <w:rPr>
          <w:lang w:val="fr-FR"/>
        </w:rPr>
        <w:t>’</w:t>
      </w:r>
      <w:r w:rsidRPr="00B4406B">
        <w:rPr>
          <w:lang w:val="fr-FR"/>
        </w:rPr>
        <w:t>annexe 4)</w:t>
      </w:r>
      <w:r>
        <w:rPr>
          <w:lang w:val="fr-FR"/>
        </w:rPr>
        <w:t> ;</w:t>
      </w:r>
    </w:p>
    <w:p w:rsidR="00272381" w:rsidRPr="00B4406B" w:rsidRDefault="00272381" w:rsidP="00272381">
      <w:pPr>
        <w:pStyle w:val="SingleTxtG"/>
        <w:ind w:left="2835" w:hanging="567"/>
        <w:rPr>
          <w:lang w:val="fr-FR"/>
        </w:rPr>
      </w:pPr>
      <w:r w:rsidRPr="00B4406B">
        <w:rPr>
          <w:lang w:val="fr-FR"/>
        </w:rPr>
        <w:t>g)</w:t>
      </w:r>
      <w:r w:rsidRPr="00B4406B">
        <w:rPr>
          <w:lang w:val="fr-FR"/>
        </w:rPr>
        <w:tab/>
        <w:t>A une catégorie de vitesse A8 (vitesse de référence 40</w:t>
      </w:r>
      <w:r>
        <w:rPr>
          <w:lang w:val="fr-FR"/>
        </w:rPr>
        <w:t> </w:t>
      </w:r>
      <w:r w:rsidRPr="00B4406B">
        <w:rPr>
          <w:lang w:val="fr-FR"/>
        </w:rPr>
        <w:t>km/h)</w:t>
      </w:r>
      <w:r>
        <w:rPr>
          <w:lang w:val="fr-FR"/>
        </w:rPr>
        <w:t> ;</w:t>
      </w:r>
    </w:p>
    <w:p w:rsidR="00272381" w:rsidRPr="00B4406B" w:rsidRDefault="00272381" w:rsidP="00272381">
      <w:pPr>
        <w:pStyle w:val="SingleTxtG"/>
        <w:ind w:left="2835" w:hanging="567"/>
        <w:rPr>
          <w:lang w:val="fr-FR"/>
        </w:rPr>
      </w:pPr>
      <w:r w:rsidRPr="00B4406B">
        <w:rPr>
          <w:lang w:val="fr-FR"/>
        </w:rPr>
        <w:t>h)</w:t>
      </w:r>
      <w:r w:rsidRPr="00B4406B">
        <w:rPr>
          <w:lang w:val="fr-FR"/>
        </w:rPr>
        <w:tab/>
        <w:t>Doit être monté sans chambre à air (</w:t>
      </w:r>
      <w:r w:rsidRPr="005064E5">
        <w:rPr>
          <w:bCs/>
          <w:lang w:val="fr-FR"/>
        </w:rPr>
        <w:t>“</w:t>
      </w:r>
      <w:r w:rsidRPr="00B4406B">
        <w:rPr>
          <w:lang w:val="fr-FR"/>
        </w:rPr>
        <w:t>tubeless</w:t>
      </w:r>
      <w:r w:rsidRPr="005064E5">
        <w:rPr>
          <w:bCs/>
          <w:lang w:val="fr-FR"/>
        </w:rPr>
        <w:t>”</w:t>
      </w:r>
      <w:r w:rsidRPr="00B4406B">
        <w:rPr>
          <w:lang w:val="fr-FR"/>
        </w:rPr>
        <w:t>)</w:t>
      </w:r>
      <w:r>
        <w:rPr>
          <w:lang w:val="fr-FR"/>
        </w:rPr>
        <w:t> ;</w:t>
      </w:r>
    </w:p>
    <w:p w:rsidR="00272381" w:rsidRPr="00B4406B" w:rsidRDefault="00272381" w:rsidP="00272381">
      <w:pPr>
        <w:pStyle w:val="SingleTxtG"/>
        <w:ind w:left="2835" w:hanging="567"/>
        <w:rPr>
          <w:lang w:val="fr-FR"/>
        </w:rPr>
      </w:pPr>
      <w:r w:rsidRPr="00B4406B">
        <w:rPr>
          <w:lang w:val="fr-FR"/>
        </w:rPr>
        <w:t>i)</w:t>
      </w:r>
      <w:r w:rsidRPr="00B4406B">
        <w:rPr>
          <w:lang w:val="fr-FR"/>
        </w:rPr>
        <w:tab/>
        <w:t>A été fabriqué pendant la vingt-cinquième semaine de l</w:t>
      </w:r>
      <w:r>
        <w:rPr>
          <w:lang w:val="fr-FR"/>
        </w:rPr>
        <w:t>’</w:t>
      </w:r>
      <w:r w:rsidRPr="00B4406B">
        <w:rPr>
          <w:lang w:val="fr-FR"/>
        </w:rPr>
        <w:t>année 2006 (voir par.</w:t>
      </w:r>
      <w:r>
        <w:rPr>
          <w:lang w:val="fr-FR"/>
        </w:rPr>
        <w:t> </w:t>
      </w:r>
      <w:r w:rsidRPr="00B4406B">
        <w:rPr>
          <w:lang w:val="fr-FR"/>
        </w:rPr>
        <w:t>3.2 du présent Règlement)</w:t>
      </w:r>
      <w:r>
        <w:rPr>
          <w:lang w:val="fr-FR"/>
        </w:rPr>
        <w:t> ;</w:t>
      </w:r>
    </w:p>
    <w:p w:rsidR="00272381" w:rsidRPr="00B4406B" w:rsidRDefault="00272381" w:rsidP="00272381">
      <w:pPr>
        <w:pStyle w:val="SingleTxtG"/>
        <w:ind w:left="2835" w:hanging="567"/>
        <w:rPr>
          <w:lang w:val="fr-FR"/>
        </w:rPr>
      </w:pPr>
      <w:r w:rsidRPr="00B4406B">
        <w:rPr>
          <w:lang w:val="fr-FR"/>
        </w:rPr>
        <w:t>j)</w:t>
      </w:r>
      <w:r w:rsidRPr="00B4406B">
        <w:rPr>
          <w:lang w:val="fr-FR"/>
        </w:rPr>
        <w:tab/>
      </w:r>
      <w:r w:rsidRPr="00B4406B">
        <w:rPr>
          <w:bCs/>
          <w:lang w:val="fr-FR"/>
        </w:rPr>
        <w:t>Doit être gonflé à 240</w:t>
      </w:r>
      <w:r>
        <w:rPr>
          <w:bCs/>
          <w:lang w:val="fr-FR"/>
        </w:rPr>
        <w:t> </w:t>
      </w:r>
      <w:r w:rsidRPr="00B4406B">
        <w:rPr>
          <w:bCs/>
          <w:lang w:val="fr-FR"/>
        </w:rPr>
        <w:t>kPa aux fins des mesures et de l</w:t>
      </w:r>
      <w:r>
        <w:rPr>
          <w:bCs/>
          <w:lang w:val="fr-FR"/>
        </w:rPr>
        <w:t>’</w:t>
      </w:r>
      <w:r w:rsidRPr="00B4406B">
        <w:rPr>
          <w:bCs/>
          <w:lang w:val="fr-FR"/>
        </w:rPr>
        <w:t>essai de résistance à l</w:t>
      </w:r>
      <w:r>
        <w:rPr>
          <w:bCs/>
          <w:lang w:val="fr-FR"/>
        </w:rPr>
        <w:t>’</w:t>
      </w:r>
      <w:r w:rsidRPr="00B4406B">
        <w:rPr>
          <w:bCs/>
          <w:lang w:val="fr-FR"/>
        </w:rPr>
        <w:t>éclatement.</w:t>
      </w:r>
    </w:p>
    <w:p w:rsidR="00272381" w:rsidRPr="00B4406B" w:rsidRDefault="00272381" w:rsidP="00272381">
      <w:pPr>
        <w:pStyle w:val="SingleTxtG"/>
        <w:ind w:left="2268"/>
        <w:rPr>
          <w:lang w:val="fr-FR"/>
        </w:rPr>
      </w:pPr>
      <w:r w:rsidRPr="00B4406B">
        <w:rPr>
          <w:lang w:val="fr-FR"/>
        </w:rPr>
        <w:t>Les inscriptions constituant la désignation du pneumatique doivent être disposées comme suit</w:t>
      </w:r>
      <w:r>
        <w:rPr>
          <w:lang w:val="fr-FR"/>
        </w:rPr>
        <w:t> :</w:t>
      </w:r>
    </w:p>
    <w:p w:rsidR="00272381" w:rsidRPr="00B4406B" w:rsidRDefault="00272381" w:rsidP="00272381">
      <w:pPr>
        <w:pStyle w:val="SingleTxtG"/>
        <w:ind w:left="2835" w:hanging="567"/>
        <w:rPr>
          <w:lang w:val="fr-FR"/>
        </w:rPr>
      </w:pPr>
      <w:r w:rsidRPr="00B4406B">
        <w:rPr>
          <w:lang w:val="fr-FR"/>
        </w:rPr>
        <w:t>a)</w:t>
      </w:r>
      <w:r w:rsidRPr="00B4406B">
        <w:rPr>
          <w:lang w:val="fr-FR"/>
        </w:rPr>
        <w:tab/>
        <w:t>La désignation de la dimension, qui se compose de la grosseur nominale du boudin, du rapport nominal d</w:t>
      </w:r>
      <w:r>
        <w:rPr>
          <w:lang w:val="fr-FR"/>
        </w:rPr>
        <w:t>’</w:t>
      </w:r>
      <w:r w:rsidRPr="00B4406B">
        <w:rPr>
          <w:lang w:val="fr-FR"/>
        </w:rPr>
        <w:t>aspect, du symbole du type de structure</w:t>
      </w:r>
      <w:r>
        <w:rPr>
          <w:lang w:val="fr-FR"/>
        </w:rPr>
        <w:t>,</w:t>
      </w:r>
      <w:r w:rsidRPr="00B4406B">
        <w:rPr>
          <w:lang w:val="fr-FR"/>
        </w:rPr>
        <w:t xml:space="preserve"> du diamètre nominal de la jante </w:t>
      </w:r>
      <w:r w:rsidRPr="00883C00">
        <w:rPr>
          <w:lang w:val="fr-FR"/>
        </w:rPr>
        <w:t>et du suffixe LS, doit apparaître sous forme groupée, comme indiqué dans l</w:t>
      </w:r>
      <w:r>
        <w:rPr>
          <w:lang w:val="fr-FR"/>
        </w:rPr>
        <w:t>’</w:t>
      </w:r>
      <w:r w:rsidRPr="00883C00">
        <w:rPr>
          <w:lang w:val="fr-FR"/>
        </w:rPr>
        <w:t>exemple</w:t>
      </w:r>
      <w:r w:rsidRPr="00B4406B">
        <w:rPr>
          <w:lang w:val="fr-FR"/>
        </w:rPr>
        <w:t xml:space="preserve"> ci</w:t>
      </w:r>
      <w:r>
        <w:rPr>
          <w:lang w:val="fr-FR"/>
        </w:rPr>
        <w:noBreakHyphen/>
      </w:r>
      <w:r w:rsidRPr="00B4406B">
        <w:rPr>
          <w:lang w:val="fr-FR"/>
        </w:rPr>
        <w:t>dessus</w:t>
      </w:r>
      <w:r>
        <w:rPr>
          <w:lang w:val="fr-FR"/>
        </w:rPr>
        <w:t> :</w:t>
      </w:r>
      <w:r w:rsidRPr="00B4406B">
        <w:rPr>
          <w:lang w:val="fr-FR"/>
        </w:rPr>
        <w:t xml:space="preserve"> 600/55 </w:t>
      </w:r>
      <w:r>
        <w:rPr>
          <w:lang w:val="fr-FR"/>
        </w:rPr>
        <w:t>−</w:t>
      </w:r>
      <w:r>
        <w:rPr>
          <w:lang w:val="fr-FR"/>
        </w:rPr>
        <w:t xml:space="preserve"> </w:t>
      </w:r>
      <w:r w:rsidRPr="00B4406B">
        <w:rPr>
          <w:lang w:val="fr-FR"/>
        </w:rPr>
        <w:t xml:space="preserve">26.5 </w:t>
      </w:r>
      <w:r w:rsidRPr="00883C00">
        <w:rPr>
          <w:lang w:val="fr-FR"/>
        </w:rPr>
        <w:t>LS</w:t>
      </w:r>
      <w:r>
        <w:rPr>
          <w:lang w:val="fr-FR"/>
        </w:rPr>
        <w:t> ;</w:t>
      </w:r>
    </w:p>
    <w:p w:rsidR="00272381" w:rsidRPr="00B4406B" w:rsidRDefault="00272381" w:rsidP="00272381">
      <w:pPr>
        <w:pStyle w:val="SingleTxtG"/>
        <w:jc w:val="right"/>
        <w:rPr>
          <w:lang w:val="fr-FR"/>
        </w:rPr>
      </w:pPr>
      <w:r w:rsidRPr="00B4406B">
        <w:rPr>
          <w:lang w:val="fr-FR"/>
        </w:rPr>
        <w:t>…</w:t>
      </w:r>
      <w:r>
        <w:rPr>
          <w:lang w:val="fr-FR"/>
        </w:rPr>
        <w:t> </w:t>
      </w:r>
      <w:r w:rsidRPr="00B4406B">
        <w:rPr>
          <w:lang w:val="fr-FR"/>
        </w:rPr>
        <w:t>»</w:t>
      </w:r>
      <w:r>
        <w:rPr>
          <w:lang w:val="fr-FR"/>
        </w:rPr>
        <w:t>.</w:t>
      </w:r>
    </w:p>
    <w:p w:rsidR="00272381" w:rsidRDefault="00272381" w:rsidP="00272381">
      <w:pPr>
        <w:pStyle w:val="SingleTxtG"/>
        <w:rPr>
          <w:i/>
          <w:lang w:val="fr-FR"/>
        </w:rPr>
      </w:pPr>
      <w:r w:rsidRPr="00BA14AA">
        <w:rPr>
          <w:i/>
          <w:lang w:val="fr-FR"/>
        </w:rPr>
        <w:t>Annexe 6</w:t>
      </w:r>
      <w:r w:rsidRPr="00272381">
        <w:rPr>
          <w:iCs/>
          <w:lang w:val="fr-FR"/>
        </w:rPr>
        <w:t>,</w:t>
      </w:r>
    </w:p>
    <w:p w:rsidR="00272381" w:rsidRPr="00B4406B" w:rsidRDefault="00272381" w:rsidP="00272381">
      <w:pPr>
        <w:pStyle w:val="SingleTxtG"/>
        <w:rPr>
          <w:lang w:val="fr-FR"/>
        </w:rPr>
      </w:pPr>
      <w:r>
        <w:rPr>
          <w:i/>
          <w:lang w:val="fr-FR"/>
        </w:rPr>
        <w:t>P</w:t>
      </w:r>
      <w:r w:rsidRPr="00BA14AA">
        <w:rPr>
          <w:i/>
          <w:lang w:val="fr-FR"/>
        </w:rPr>
        <w:t>aragraphe 1</w:t>
      </w:r>
      <w:r w:rsidRPr="00B4406B">
        <w:rPr>
          <w:lang w:val="fr-FR"/>
        </w:rPr>
        <w:t xml:space="preserve">, </w:t>
      </w:r>
      <w:r>
        <w:rPr>
          <w:lang w:val="fr-FR"/>
        </w:rPr>
        <w:t>lire</w:t>
      </w:r>
      <w:r>
        <w:rPr>
          <w:lang w:val="fr-FR"/>
        </w:rPr>
        <w:t> :</w:t>
      </w:r>
    </w:p>
    <w:p w:rsidR="00272381" w:rsidRPr="00B4406B" w:rsidRDefault="00272381" w:rsidP="00272381">
      <w:pPr>
        <w:pStyle w:val="SingleTxtG"/>
        <w:ind w:left="2268" w:hanging="1134"/>
        <w:rPr>
          <w:i/>
          <w:lang w:val="fr-FR"/>
        </w:rPr>
      </w:pPr>
      <w:r w:rsidRPr="00B4406B">
        <w:rPr>
          <w:lang w:val="fr-FR"/>
        </w:rPr>
        <w:t>«</w:t>
      </w:r>
      <w:r>
        <w:rPr>
          <w:lang w:val="fr-FR"/>
        </w:rPr>
        <w:t> </w:t>
      </w:r>
      <w:r w:rsidRPr="00B4406B">
        <w:rPr>
          <w:lang w:val="fr-FR"/>
        </w:rPr>
        <w:t>1.</w:t>
      </w:r>
      <w:r w:rsidRPr="00B4406B">
        <w:rPr>
          <w:lang w:val="fr-FR"/>
        </w:rPr>
        <w:tab/>
      </w:r>
      <w:r w:rsidRPr="00883C00">
        <w:rPr>
          <w:lang w:val="fr-FR"/>
        </w:rPr>
        <w:t xml:space="preserve">Monter le pneumatique sur la jante de mesure définie par le fabricant </w:t>
      </w:r>
      <w:r w:rsidRPr="00883C00">
        <w:rPr>
          <w:bCs/>
          <w:lang w:val="fr-FR"/>
        </w:rPr>
        <w:t>conformément au paragraphe 4.1.10 du présent Règlement</w:t>
      </w:r>
      <w:r w:rsidRPr="00883C00">
        <w:rPr>
          <w:lang w:val="fr-FR"/>
        </w:rPr>
        <w:t xml:space="preserve"> et gonfler à la pression indiquée par le fabricant </w:t>
      </w:r>
      <w:r w:rsidRPr="00883C00">
        <w:rPr>
          <w:bCs/>
          <w:lang w:val="fr-FR"/>
        </w:rPr>
        <w:t>conformément au paragraphe 4.1.12 du présent Règlement. »</w:t>
      </w:r>
      <w:r>
        <w:rPr>
          <w:bCs/>
          <w:lang w:val="fr-FR"/>
        </w:rPr>
        <w:t>.</w:t>
      </w:r>
    </w:p>
    <w:p w:rsidR="00272381" w:rsidRDefault="00272381" w:rsidP="00272381">
      <w:pPr>
        <w:pStyle w:val="SingleTxtG"/>
        <w:rPr>
          <w:i/>
          <w:iCs/>
          <w:lang w:val="fr-FR"/>
        </w:rPr>
      </w:pPr>
      <w:r w:rsidRPr="00BA14AA">
        <w:rPr>
          <w:i/>
          <w:iCs/>
          <w:lang w:val="fr-FR"/>
        </w:rPr>
        <w:t>Annexe 7</w:t>
      </w:r>
      <w:r w:rsidRPr="00272381">
        <w:rPr>
          <w:lang w:val="fr-FR"/>
        </w:rPr>
        <w:t>,</w:t>
      </w:r>
    </w:p>
    <w:p w:rsidR="00272381" w:rsidRPr="00B4406B" w:rsidRDefault="00272381" w:rsidP="00272381">
      <w:pPr>
        <w:pStyle w:val="SingleTxtG"/>
        <w:rPr>
          <w:lang w:val="fr-FR"/>
        </w:rPr>
      </w:pPr>
      <w:r>
        <w:rPr>
          <w:i/>
          <w:iCs/>
          <w:lang w:val="fr-FR"/>
        </w:rPr>
        <w:t>P</w:t>
      </w:r>
      <w:r w:rsidRPr="00BA14AA">
        <w:rPr>
          <w:i/>
          <w:iCs/>
          <w:lang w:val="fr-FR"/>
        </w:rPr>
        <w:t xml:space="preserve">artie A, </w:t>
      </w:r>
      <w:r w:rsidRPr="00BA14AA">
        <w:rPr>
          <w:i/>
          <w:lang w:val="fr-FR"/>
        </w:rPr>
        <w:t>tableau et texte ci-après</w:t>
      </w:r>
      <w:r w:rsidRPr="00B4406B">
        <w:rPr>
          <w:lang w:val="fr-FR"/>
        </w:rPr>
        <w:t xml:space="preserve">, </w:t>
      </w:r>
      <w:r>
        <w:rPr>
          <w:iCs/>
          <w:lang w:val="fr-FR"/>
        </w:rPr>
        <w:t>lire</w:t>
      </w:r>
      <w:r>
        <w:rPr>
          <w:iCs/>
          <w:lang w:val="fr-FR"/>
        </w:rPr>
        <w:t> :</w:t>
      </w:r>
    </w:p>
    <w:p w:rsidR="00272381" w:rsidRPr="00B4406B" w:rsidRDefault="00272381" w:rsidP="00272381">
      <w:pPr>
        <w:pStyle w:val="SingleTxtG"/>
        <w:rPr>
          <w:lang w:val="fr-FR"/>
        </w:rPr>
      </w:pPr>
      <w:r w:rsidRPr="00B4406B">
        <w:rPr>
          <w:lang w:val="fr-FR"/>
        </w:rPr>
        <w:t>«</w:t>
      </w:r>
      <w:r>
        <w:rPr>
          <w:lang w:val="fr-FR"/>
        </w:rPr>
        <w:t> </w:t>
      </w:r>
      <w:r w:rsidRPr="00B4406B">
        <w:rPr>
          <w:lang w:val="fr-FR"/>
        </w:rPr>
        <w:t>…</w:t>
      </w:r>
    </w:p>
    <w:p w:rsidR="00272381" w:rsidRPr="00B4406B" w:rsidRDefault="00272381" w:rsidP="00272381">
      <w:pPr>
        <w:pStyle w:val="SingleTxtG"/>
        <w:rPr>
          <w:lang w:val="fr-FR"/>
        </w:rPr>
      </w:pPr>
      <w:r w:rsidRPr="00B4406B">
        <w:rPr>
          <w:lang w:val="fr-FR"/>
        </w:rPr>
        <w:t>Partie</w:t>
      </w:r>
      <w:r>
        <w:rPr>
          <w:lang w:val="fr-FR"/>
        </w:rPr>
        <w:t xml:space="preserve"> </w:t>
      </w:r>
      <w:r w:rsidRPr="00B4406B">
        <w:rPr>
          <w:lang w:val="fr-FR"/>
        </w:rPr>
        <w:t>A</w:t>
      </w:r>
      <w:r>
        <w:rPr>
          <w:lang w:val="fr-FR"/>
        </w:rPr>
        <w:t> :</w:t>
      </w:r>
      <w:r w:rsidRPr="00B4406B">
        <w:rPr>
          <w:lang w:val="fr-FR"/>
        </w:rPr>
        <w:t xml:space="preserve"> Pneumatiques pour roues motrices de tracteurs agricoles</w:t>
      </w:r>
    </w:p>
    <w:p w:rsidR="00272381" w:rsidRPr="00B4406B" w:rsidRDefault="00272381" w:rsidP="00272381">
      <w:pPr>
        <w:pStyle w:val="SingleTxtG"/>
        <w:rPr>
          <w:lang w:val="fr-FR"/>
        </w:rPr>
      </w:pPr>
      <w:r w:rsidRPr="00B4406B">
        <w:rPr>
          <w:bCs/>
          <w:lang w:val="fr-FR"/>
        </w:rPr>
        <w:t>Applicable aux pneumatiques appartenant à la catégorie</w:t>
      </w:r>
      <w:r w:rsidRPr="00B4406B">
        <w:rPr>
          <w:lang w:val="fr-FR"/>
        </w:rPr>
        <w:t xml:space="preserve"> d</w:t>
      </w:r>
      <w:r>
        <w:rPr>
          <w:lang w:val="fr-FR"/>
        </w:rPr>
        <w:t>’</w:t>
      </w:r>
      <w:r w:rsidRPr="00B4406B">
        <w:rPr>
          <w:lang w:val="fr-FR"/>
        </w:rPr>
        <w:t>utilisation</w:t>
      </w:r>
      <w:r w:rsidRPr="00B4406B">
        <w:rPr>
          <w:bCs/>
          <w:lang w:val="fr-FR"/>
        </w:rPr>
        <w:t xml:space="preserve"> </w:t>
      </w:r>
      <w:r w:rsidRPr="005064E5">
        <w:rPr>
          <w:lang w:val="fr-FR"/>
        </w:rPr>
        <w:t>“</w:t>
      </w:r>
      <w:r w:rsidRPr="00B4406B">
        <w:rPr>
          <w:lang w:val="fr-FR"/>
        </w:rPr>
        <w:t>Pneumatiques pour roues motrices de tracteur</w:t>
      </w:r>
      <w:r w:rsidRPr="005064E5">
        <w:rPr>
          <w:bCs/>
          <w:lang w:val="fr-FR"/>
        </w:rPr>
        <w:t>”</w:t>
      </w:r>
      <w:r w:rsidRPr="00B4406B">
        <w:rPr>
          <w:lang w:val="fr-FR"/>
        </w:rPr>
        <w:t xml:space="preserve"> (</w:t>
      </w:r>
      <w:r>
        <w:rPr>
          <w:lang w:val="fr-FR"/>
        </w:rPr>
        <w:t>v</w:t>
      </w:r>
      <w:r w:rsidRPr="00B4406B">
        <w:rPr>
          <w:lang w:val="fr-FR"/>
        </w:rPr>
        <w:t>oir par. 2.23 du présent Règlement)</w:t>
      </w:r>
    </w:p>
    <w:p w:rsidR="00272381" w:rsidRPr="00883C00" w:rsidRDefault="00272381" w:rsidP="00272381">
      <w:pPr>
        <w:pStyle w:val="SingleTxtG"/>
        <w:ind w:left="0"/>
        <w:rPr>
          <w:b/>
          <w:i/>
          <w:lang w:val="fr-FR"/>
        </w:rPr>
      </w:pPr>
      <w:r w:rsidRPr="00883C00">
        <w:rPr>
          <w:i/>
          <w:lang w:val="fr-FR"/>
        </w:rPr>
        <w:t>Variation de la capacité de charge (en pourcentage)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67"/>
        <w:gridCol w:w="920"/>
        <w:gridCol w:w="919"/>
        <w:gridCol w:w="920"/>
        <w:gridCol w:w="919"/>
        <w:gridCol w:w="766"/>
        <w:gridCol w:w="766"/>
        <w:gridCol w:w="919"/>
        <w:gridCol w:w="307"/>
        <w:gridCol w:w="765"/>
        <w:gridCol w:w="921"/>
      </w:tblGrid>
      <w:tr w:rsidR="00272381" w:rsidRPr="00B03218" w:rsidTr="00EF380F">
        <w:trPr>
          <w:cantSplit/>
          <w:tblHeader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sz w:val="18"/>
                <w:szCs w:val="18"/>
                <w:lang w:eastAsia="zh-CN"/>
              </w:rPr>
            </w:pPr>
            <w:r w:rsidRPr="002C4F95">
              <w:rPr>
                <w:i/>
                <w:sz w:val="16"/>
                <w:lang w:val="fr-FR" w:eastAsia="zh-CN"/>
              </w:rPr>
              <w:t>Vitesse</w:t>
            </w:r>
            <w:r>
              <w:rPr>
                <w:i/>
                <w:sz w:val="16"/>
                <w:lang w:val="fr-FR" w:eastAsia="zh-CN"/>
              </w:rPr>
              <w:br/>
            </w:r>
            <w:r w:rsidRPr="002C4F95">
              <w:rPr>
                <w:i/>
                <w:sz w:val="16"/>
                <w:lang w:val="fr-FR" w:eastAsia="zh-CN"/>
              </w:rPr>
              <w:t>(en km/h)</w:t>
            </w:r>
          </w:p>
        </w:tc>
        <w:tc>
          <w:tcPr>
            <w:tcW w:w="6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5064E5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b/>
                <w:sz w:val="18"/>
                <w:szCs w:val="18"/>
                <w:lang w:val="fr-FR" w:eastAsia="zh-CN"/>
              </w:rPr>
            </w:pPr>
            <w:r w:rsidRPr="002C4F95">
              <w:rPr>
                <w:i/>
                <w:sz w:val="16"/>
                <w:lang w:val="fr-FR" w:eastAsia="zh-CN"/>
              </w:rPr>
              <w:t>Code de la catégorie de vitesse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2381" w:rsidRPr="005064E5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eastAsia="zh-CN"/>
              </w:rPr>
            </w:pPr>
            <w:r w:rsidRPr="00671E7A">
              <w:rPr>
                <w:bCs/>
                <w:i/>
                <w:sz w:val="16"/>
                <w:szCs w:val="16"/>
                <w:lang w:eastAsia="zh-CN"/>
              </w:rPr>
              <w:t>2)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</w:rPr>
            </w:pPr>
            <w:r w:rsidRPr="00671E7A">
              <w:rPr>
                <w:bCs/>
                <w:i/>
                <w:sz w:val="16"/>
                <w:szCs w:val="16"/>
                <w:lang w:eastAsia="zh-CN"/>
              </w:rPr>
              <w:t>3)</w:t>
            </w:r>
          </w:p>
        </w:tc>
      </w:tr>
      <w:tr w:rsidR="00272381" w:rsidRPr="001322F4" w:rsidTr="00EF380F">
        <w:trPr>
          <w:cantSplit/>
          <w:tblHeader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i/>
                <w:sz w:val="16"/>
                <w:szCs w:val="16"/>
                <w:lang w:val="fr-FR" w:eastAsia="zh-CN"/>
              </w:rPr>
              <w:t>Pneumatiques standard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381" w:rsidRPr="005064E5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sz w:val="18"/>
                <w:szCs w:val="18"/>
                <w:lang w:val="fr-FR" w:eastAsia="zh-CN"/>
              </w:rPr>
            </w:pPr>
            <w:r w:rsidRPr="00633599">
              <w:rPr>
                <w:i/>
                <w:sz w:val="16"/>
                <w:szCs w:val="16"/>
                <w:lang w:val="fr-FR" w:eastAsia="zh-CN"/>
              </w:rPr>
              <w:t>Pneumatiques</w:t>
            </w:r>
            <w:r w:rsidRPr="00633599">
              <w:rPr>
                <w:i/>
                <w:sz w:val="16"/>
                <w:szCs w:val="16"/>
                <w:lang w:val="fr-FR" w:eastAsia="zh-CN"/>
              </w:rPr>
              <w:br/>
              <w:t xml:space="preserve">à enfoncement </w:t>
            </w:r>
            <w:r w:rsidRPr="00633599">
              <w:rPr>
                <w:i/>
                <w:sz w:val="16"/>
                <w:szCs w:val="16"/>
                <w:lang w:val="fr-FR" w:eastAsia="zh-CN"/>
              </w:rPr>
              <w:br/>
              <w:t>amélioré (IF)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381" w:rsidRPr="005064E5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sz w:val="18"/>
                <w:szCs w:val="18"/>
                <w:lang w:val="fr-FR" w:eastAsia="zh-CN"/>
              </w:rPr>
            </w:pPr>
            <w:r w:rsidRPr="00633599">
              <w:rPr>
                <w:i/>
                <w:sz w:val="16"/>
                <w:szCs w:val="16"/>
                <w:lang w:val="fr-FR" w:eastAsia="zh-CN"/>
              </w:rPr>
              <w:t xml:space="preserve">Pneumatiques </w:t>
            </w:r>
            <w:r w:rsidRPr="00633599">
              <w:rPr>
                <w:i/>
                <w:sz w:val="16"/>
                <w:szCs w:val="16"/>
                <w:lang w:val="fr-FR" w:eastAsia="zh-CN"/>
              </w:rPr>
              <w:br/>
              <w:t xml:space="preserve">à très grand </w:t>
            </w:r>
            <w:r w:rsidRPr="00633599">
              <w:rPr>
                <w:i/>
                <w:sz w:val="16"/>
                <w:szCs w:val="16"/>
                <w:lang w:val="fr-FR" w:eastAsia="zh-CN"/>
              </w:rPr>
              <w:br/>
              <w:t>enfoncement (VF)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2381" w:rsidRPr="005064E5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381" w:rsidRPr="005064E5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381" w:rsidRPr="005064E5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272381" w:rsidRPr="00B03218" w:rsidTr="00EF380F">
        <w:trPr>
          <w:cantSplit/>
          <w:tblHeader/>
        </w:trPr>
        <w:tc>
          <w:tcPr>
            <w:tcW w:w="7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5064E5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bCs/>
                <w:sz w:val="18"/>
                <w:szCs w:val="18"/>
                <w:lang w:eastAsia="zh-CN"/>
              </w:rPr>
            </w:pPr>
            <w:r w:rsidRPr="00633599">
              <w:rPr>
                <w:bCs/>
                <w:i/>
                <w:sz w:val="16"/>
                <w:szCs w:val="16"/>
                <w:lang w:eastAsia="zh-CN"/>
              </w:rPr>
              <w:t>A2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bCs/>
                <w:i/>
                <w:sz w:val="16"/>
                <w:szCs w:val="16"/>
                <w:lang w:eastAsia="zh-CN"/>
              </w:rPr>
              <w:t>A6 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bCs/>
                <w:i/>
                <w:sz w:val="16"/>
                <w:szCs w:val="16"/>
                <w:lang w:eastAsia="zh-CN"/>
              </w:rPr>
              <w:t>A8 1)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bCs/>
                <w:i/>
                <w:sz w:val="16"/>
                <w:szCs w:val="16"/>
                <w:lang w:eastAsia="zh-CN"/>
              </w:rPr>
              <w:t>D 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i/>
                <w:sz w:val="16"/>
                <w:szCs w:val="16"/>
                <w:lang w:eastAsia="zh-CN"/>
              </w:rPr>
              <w:t>A8 1)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i/>
                <w:sz w:val="16"/>
                <w:szCs w:val="16"/>
                <w:lang w:eastAsia="zh-CN"/>
              </w:rPr>
              <w:t>D 1)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i/>
                <w:sz w:val="16"/>
                <w:szCs w:val="16"/>
                <w:lang w:eastAsia="zh-CN"/>
              </w:rPr>
              <w:t>A8 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i/>
                <w:sz w:val="16"/>
                <w:szCs w:val="16"/>
                <w:lang w:eastAsia="zh-CN"/>
              </w:rPr>
              <w:t>D 1)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272381" w:rsidRPr="00B03218" w:rsidTr="00EF380F">
        <w:trPr>
          <w:cantSplit/>
        </w:trPr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bCs/>
                <w:sz w:val="18"/>
                <w:szCs w:val="18"/>
                <w:lang w:eastAsia="zh-CN"/>
              </w:rPr>
            </w:pPr>
            <w:r w:rsidRPr="00633599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+40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+50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+50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+27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+27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+10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+58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</w:rPr>
              <w:t>+56</w:t>
            </w:r>
          </w:p>
        </w:tc>
      </w:tr>
      <w:tr w:rsidR="00272381" w:rsidRPr="00B03218" w:rsidTr="00EF380F">
        <w:trPr>
          <w:cantSplit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-6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+30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+34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+34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+15</w:t>
            </w:r>
          </w:p>
        </w:tc>
        <w:tc>
          <w:tcPr>
            <w:tcW w:w="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+5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+5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+32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</w:rPr>
              <w:t>+44</w:t>
            </w:r>
          </w:p>
        </w:tc>
      </w:tr>
      <w:tr w:rsidR="00272381" w:rsidRPr="00B03218" w:rsidTr="00EF380F">
        <w:trPr>
          <w:cantSplit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-11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+20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+23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+23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+8</w:t>
            </w:r>
          </w:p>
        </w:tc>
        <w:tc>
          <w:tcPr>
            <w:tcW w:w="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+4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+4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+26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</w:rPr>
              <w:t>+33</w:t>
            </w:r>
          </w:p>
        </w:tc>
      </w:tr>
      <w:tr w:rsidR="00272381" w:rsidRPr="00B03218" w:rsidTr="00EF380F">
        <w:trPr>
          <w:cantSplit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-16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+11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+18,5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 xml:space="preserve">+6 </w:t>
            </w:r>
          </w:p>
        </w:tc>
        <w:tc>
          <w:tcPr>
            <w:tcW w:w="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 xml:space="preserve">+6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+19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</w:rPr>
              <w:t>+22</w:t>
            </w:r>
          </w:p>
        </w:tc>
      </w:tr>
      <w:tr w:rsidR="00272381" w:rsidRPr="00B03218" w:rsidTr="00EF380F">
        <w:trPr>
          <w:cantSplit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-20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633599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+15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 xml:space="preserve">+4 </w:t>
            </w:r>
          </w:p>
        </w:tc>
        <w:tc>
          <w:tcPr>
            <w:tcW w:w="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 xml:space="preserve">+4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+2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+12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</w:rPr>
              <w:t>+11</w:t>
            </w:r>
          </w:p>
        </w:tc>
      </w:tr>
      <w:tr w:rsidR="00272381" w:rsidRPr="00B03218" w:rsidTr="00EF380F">
        <w:trPr>
          <w:cantSplit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-24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-5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+12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 xml:space="preserve">+2 </w:t>
            </w:r>
          </w:p>
        </w:tc>
        <w:tc>
          <w:tcPr>
            <w:tcW w:w="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 xml:space="preserve">+2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+1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+10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</w:rPr>
              <w:t>+6</w:t>
            </w:r>
          </w:p>
        </w:tc>
      </w:tr>
      <w:tr w:rsidR="00272381" w:rsidRPr="00B03218" w:rsidTr="00EF380F">
        <w:trPr>
          <w:cantSplit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-27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-10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633599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+9,5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+6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</w:rPr>
              <w:t>0</w:t>
            </w:r>
          </w:p>
        </w:tc>
      </w:tr>
      <w:tr w:rsidR="00272381" w:rsidRPr="00B03218" w:rsidTr="00EF380F">
        <w:trPr>
          <w:cantSplit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-4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-4</w:t>
            </w:r>
          </w:p>
        </w:tc>
        <w:tc>
          <w:tcPr>
            <w:tcW w:w="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-4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+2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272381" w:rsidRPr="00B03218" w:rsidTr="00EF380F">
        <w:trPr>
          <w:cantSplit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+5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Default="00272381" w:rsidP="00EF380F">
            <w:pPr>
              <w:spacing w:before="60" w:after="60" w:line="220" w:lineRule="atLeast"/>
              <w:jc w:val="center"/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272381" w:rsidRPr="00B03218" w:rsidTr="00EF380F">
        <w:trPr>
          <w:cantSplit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Default="00272381" w:rsidP="00EF380F">
            <w:pPr>
              <w:spacing w:before="60" w:after="60" w:line="220" w:lineRule="atLeast"/>
              <w:jc w:val="center"/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Default="00272381" w:rsidP="00EF380F">
            <w:pPr>
              <w:spacing w:before="60" w:after="60" w:line="220" w:lineRule="atLeast"/>
              <w:jc w:val="center"/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272381" w:rsidRPr="00B03218" w:rsidTr="00EF380F">
        <w:trPr>
          <w:cantSplit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lastRenderedPageBreak/>
              <w:t>60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+1,5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Default="00272381" w:rsidP="00EF380F">
            <w:pPr>
              <w:spacing w:before="60" w:after="60" w:line="220" w:lineRule="atLeast"/>
              <w:jc w:val="center"/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Default="00272381" w:rsidP="00EF380F">
            <w:pPr>
              <w:spacing w:before="60" w:after="60" w:line="220" w:lineRule="atLeast"/>
              <w:jc w:val="center"/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272381" w:rsidRPr="00B03218" w:rsidTr="00EF380F">
        <w:trPr>
          <w:cantSplit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655D00">
            <w:pPr>
              <w:keepNext/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655D00">
            <w:pPr>
              <w:keepNext/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655D00">
            <w:pPr>
              <w:keepNext/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655D00">
            <w:pPr>
              <w:keepNext/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655D00">
            <w:pPr>
              <w:keepNext/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633599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655D00">
            <w:pPr>
              <w:keepNext/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655D00">
            <w:pPr>
              <w:keepNext/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655D00">
            <w:pPr>
              <w:keepNext/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655D00">
            <w:pPr>
              <w:keepNext/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655D00">
            <w:pPr>
              <w:keepNext/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Default="00272381" w:rsidP="00655D00">
            <w:pPr>
              <w:keepNext/>
              <w:spacing w:before="60" w:after="60" w:line="220" w:lineRule="atLeast"/>
              <w:jc w:val="center"/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Default="00272381" w:rsidP="00655D00">
            <w:pPr>
              <w:keepNext/>
              <w:spacing w:before="60" w:after="60" w:line="220" w:lineRule="atLeast"/>
              <w:jc w:val="center"/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272381" w:rsidRPr="00B03218" w:rsidTr="00EF380F">
        <w:trPr>
          <w:cantSplit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spacing w:before="60" w:after="60" w:line="220" w:lineRule="atLeast"/>
              <w:jc w:val="center"/>
            </w:pPr>
            <w:r w:rsidRPr="0063359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6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Pr="00633599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633599">
              <w:rPr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72381" w:rsidRPr="00B03218" w:rsidRDefault="00272381" w:rsidP="00EF380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60" w:after="60" w:line="220" w:lineRule="atLeast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2381" w:rsidRDefault="00272381" w:rsidP="00EF380F">
            <w:pPr>
              <w:spacing w:before="60" w:after="60" w:line="220" w:lineRule="atLeast"/>
              <w:jc w:val="center"/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72381" w:rsidRDefault="00272381" w:rsidP="00EF380F">
            <w:pPr>
              <w:spacing w:before="60" w:after="60" w:line="220" w:lineRule="atLeast"/>
              <w:jc w:val="center"/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</w:tr>
    </w:tbl>
    <w:p w:rsidR="00272381" w:rsidRPr="00B4406B" w:rsidRDefault="00272381" w:rsidP="00272381">
      <w:pPr>
        <w:pStyle w:val="SingleTxtG"/>
        <w:spacing w:before="240"/>
        <w:rPr>
          <w:lang w:val="fr-FR"/>
        </w:rPr>
      </w:pPr>
      <w:r w:rsidRPr="00B4406B">
        <w:rPr>
          <w:lang w:val="fr-FR"/>
        </w:rPr>
        <w:t>Ces chiffres s</w:t>
      </w:r>
      <w:r>
        <w:rPr>
          <w:lang w:val="fr-FR"/>
        </w:rPr>
        <w:t>’</w:t>
      </w:r>
      <w:r w:rsidRPr="00B4406B">
        <w:rPr>
          <w:lang w:val="fr-FR"/>
        </w:rPr>
        <w:t>appliquent lorsque le pneumatique n</w:t>
      </w:r>
      <w:r>
        <w:rPr>
          <w:lang w:val="fr-FR"/>
        </w:rPr>
        <w:t>’</w:t>
      </w:r>
      <w:r w:rsidRPr="00B4406B">
        <w:rPr>
          <w:lang w:val="fr-FR"/>
        </w:rPr>
        <w:t>est pas soumis à des efforts de traction soutenus.</w:t>
      </w:r>
    </w:p>
    <w:p w:rsidR="00272381" w:rsidRPr="00633599" w:rsidRDefault="00272381" w:rsidP="00272381">
      <w:pPr>
        <w:pStyle w:val="SingleTxtG"/>
        <w:ind w:left="1701" w:hanging="567"/>
        <w:rPr>
          <w:lang w:val="fr-FR"/>
        </w:rPr>
      </w:pPr>
      <w:r w:rsidRPr="00633599">
        <w:rPr>
          <w:lang w:val="fr-FR"/>
        </w:rPr>
        <w:t>1)</w:t>
      </w:r>
      <w:r w:rsidRPr="00633599">
        <w:rPr>
          <w:lang w:val="fr-FR"/>
        </w:rPr>
        <w:tab/>
        <w:t>Pour les efforts de traction soutenus, ce sont les valeurs figurant sur la ligne des 30 km/h qui s</w:t>
      </w:r>
      <w:r>
        <w:rPr>
          <w:lang w:val="fr-FR"/>
        </w:rPr>
        <w:t>’</w:t>
      </w:r>
      <w:r w:rsidRPr="00633599">
        <w:rPr>
          <w:lang w:val="fr-FR"/>
        </w:rPr>
        <w:t>appliquent.</w:t>
      </w:r>
    </w:p>
    <w:p w:rsidR="00272381" w:rsidRPr="005064E5" w:rsidRDefault="00272381" w:rsidP="00272381">
      <w:pPr>
        <w:pStyle w:val="SingleTxtG"/>
        <w:ind w:left="1701" w:hanging="567"/>
        <w:rPr>
          <w:lang w:val="fr-FR"/>
        </w:rPr>
      </w:pPr>
      <w:r w:rsidRPr="00B4406B">
        <w:rPr>
          <w:lang w:val="fr-FR"/>
        </w:rPr>
        <w:t>2)</w:t>
      </w:r>
      <w:r w:rsidRPr="00B4406B">
        <w:rPr>
          <w:lang w:val="fr-FR"/>
        </w:rPr>
        <w:tab/>
        <w:t>Ces pourcentages ne s</w:t>
      </w:r>
      <w:r>
        <w:rPr>
          <w:lang w:val="fr-FR"/>
        </w:rPr>
        <w:t>’</w:t>
      </w:r>
      <w:r w:rsidRPr="00B4406B">
        <w:rPr>
          <w:lang w:val="fr-FR"/>
        </w:rPr>
        <w:t>appliquent qu</w:t>
      </w:r>
      <w:r>
        <w:rPr>
          <w:lang w:val="fr-FR"/>
        </w:rPr>
        <w:t>’</w:t>
      </w:r>
      <w:r w:rsidRPr="00B4406B">
        <w:rPr>
          <w:lang w:val="fr-FR"/>
        </w:rPr>
        <w:t>aux pneumatiques énumérés dans le tableau</w:t>
      </w:r>
      <w:r w:rsidR="0016320D">
        <w:rPr>
          <w:lang w:val="fr-FR"/>
        </w:rPr>
        <w:t xml:space="preserve"> </w:t>
      </w:r>
      <w:r w:rsidRPr="00B4406B">
        <w:rPr>
          <w:lang w:val="fr-FR"/>
        </w:rPr>
        <w:t>7 de l</w:t>
      </w:r>
      <w:r>
        <w:rPr>
          <w:lang w:val="fr-FR"/>
        </w:rPr>
        <w:t>’</w:t>
      </w:r>
      <w:r w:rsidRPr="00B4406B">
        <w:rPr>
          <w:lang w:val="fr-FR"/>
        </w:rPr>
        <w:t>annexe 5, pour lesquels le diamètre nominal de la jante (d) est de 381</w:t>
      </w:r>
      <w:r>
        <w:rPr>
          <w:lang w:val="fr-FR"/>
        </w:rPr>
        <w:t> </w:t>
      </w:r>
      <w:r w:rsidRPr="00B4406B">
        <w:rPr>
          <w:lang w:val="fr-FR"/>
        </w:rPr>
        <w:t xml:space="preserve">mm ou plus et </w:t>
      </w:r>
      <w:r w:rsidRPr="005064E5">
        <w:rPr>
          <w:lang w:val="fr-FR"/>
        </w:rPr>
        <w:t>qui portent le code de catégorie de vitesse “B”.</w:t>
      </w:r>
    </w:p>
    <w:p w:rsidR="00272381" w:rsidRPr="00B4406B" w:rsidRDefault="00272381" w:rsidP="00272381">
      <w:pPr>
        <w:pStyle w:val="SingleTxtG"/>
        <w:ind w:left="1701" w:hanging="567"/>
        <w:rPr>
          <w:bCs/>
          <w:lang w:val="fr-FR"/>
        </w:rPr>
      </w:pPr>
      <w:r w:rsidRPr="00B4406B">
        <w:rPr>
          <w:lang w:val="fr-FR"/>
        </w:rPr>
        <w:t>3)</w:t>
      </w:r>
      <w:r w:rsidRPr="00B4406B">
        <w:rPr>
          <w:lang w:val="fr-FR"/>
        </w:rPr>
        <w:tab/>
      </w:r>
      <w:r w:rsidRPr="0016320D">
        <w:rPr>
          <w:spacing w:val="-2"/>
          <w:lang w:val="fr-FR"/>
        </w:rPr>
        <w:t>Ces pourcentages concernent uniquement les pneumatiques à structure diagonale énumérés au tableau 2 de l’annexe 5 (“Pneumatiques pour roues motrices de tracteur agricole −</w:t>
      </w:r>
      <w:r w:rsidRPr="0016320D">
        <w:rPr>
          <w:spacing w:val="-2"/>
          <w:lang w:val="fr-FR"/>
        </w:rPr>
        <w:t xml:space="preserve"> </w:t>
      </w:r>
      <w:r w:rsidRPr="0016320D">
        <w:rPr>
          <w:spacing w:val="-2"/>
          <w:lang w:val="fr-FR"/>
        </w:rPr>
        <w:t>Tailles normales”) d’une grosseur nominale de boudin (S1) supérieure ou égale à 211</w:t>
      </w:r>
      <w:r w:rsidRPr="0016320D">
        <w:rPr>
          <w:spacing w:val="-2"/>
          <w:lang w:val="fr-FR"/>
        </w:rPr>
        <w:t> </w:t>
      </w:r>
      <w:r w:rsidRPr="0016320D">
        <w:rPr>
          <w:spacing w:val="-2"/>
          <w:lang w:val="fr-FR"/>
        </w:rPr>
        <w:t>mm (correspondant à un code de largeur de section supérieur ou égal à</w:t>
      </w:r>
      <w:r w:rsidR="0016320D">
        <w:rPr>
          <w:spacing w:val="-2"/>
          <w:lang w:val="fr-FR"/>
        </w:rPr>
        <w:t xml:space="preserve"> </w:t>
      </w:r>
      <w:bookmarkStart w:id="0" w:name="_GoBack"/>
      <w:bookmarkEnd w:id="0"/>
      <w:r w:rsidRPr="0016320D">
        <w:rPr>
          <w:spacing w:val="-2"/>
          <w:lang w:val="fr-FR"/>
        </w:rPr>
        <w:t>8.3),</w:t>
      </w:r>
      <w:r w:rsidRPr="00B4406B">
        <w:rPr>
          <w:lang w:val="fr-FR"/>
        </w:rPr>
        <w:t xml:space="preserve"> portant le code de vitesse </w:t>
      </w:r>
      <w:r w:rsidRPr="005064E5">
        <w:rPr>
          <w:lang w:val="fr-FR"/>
        </w:rPr>
        <w:t>“</w:t>
      </w:r>
      <w:r w:rsidRPr="00B4406B">
        <w:rPr>
          <w:lang w:val="fr-FR"/>
        </w:rPr>
        <w:t>A8</w:t>
      </w:r>
      <w:r w:rsidRPr="005064E5">
        <w:rPr>
          <w:lang w:val="fr-FR"/>
        </w:rPr>
        <w:t>”</w:t>
      </w:r>
      <w:r w:rsidRPr="00B4406B">
        <w:rPr>
          <w:lang w:val="fr-FR"/>
        </w:rPr>
        <w:t>.</w:t>
      </w:r>
      <w:r>
        <w:rPr>
          <w:lang w:val="fr-FR"/>
        </w:rPr>
        <w:t> </w:t>
      </w:r>
      <w:r w:rsidRPr="00B4406B">
        <w:rPr>
          <w:lang w:val="fr-FR"/>
        </w:rPr>
        <w:t>»</w:t>
      </w:r>
      <w:r>
        <w:rPr>
          <w:lang w:val="fr-FR"/>
        </w:rPr>
        <w:t>.</w:t>
      </w:r>
    </w:p>
    <w:p w:rsidR="005F0207" w:rsidRPr="00272381" w:rsidRDefault="00272381" w:rsidP="0027238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272381" w:rsidSect="00743A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9BD" w:rsidRDefault="002769BD"/>
  </w:endnote>
  <w:endnote w:type="continuationSeparator" w:id="0">
    <w:p w:rsidR="002769BD" w:rsidRDefault="002769BD">
      <w:pPr>
        <w:pStyle w:val="Pieddepage"/>
      </w:pPr>
    </w:p>
  </w:endnote>
  <w:endnote w:type="continuationNotice" w:id="1">
    <w:p w:rsidR="002769BD" w:rsidRPr="00C451B9" w:rsidRDefault="002769B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19" w:rsidRPr="00743A19" w:rsidRDefault="00743A19" w:rsidP="00743A19">
    <w:pPr>
      <w:pStyle w:val="Pieddepage"/>
      <w:tabs>
        <w:tab w:val="right" w:pos="9638"/>
      </w:tabs>
    </w:pPr>
    <w:r w:rsidRPr="00743A19">
      <w:rPr>
        <w:b/>
        <w:sz w:val="18"/>
      </w:rPr>
      <w:fldChar w:fldCharType="begin"/>
    </w:r>
    <w:r w:rsidRPr="00743A19">
      <w:rPr>
        <w:b/>
        <w:sz w:val="18"/>
      </w:rPr>
      <w:instrText xml:space="preserve"> PAGE  \* MERGEFORMAT </w:instrText>
    </w:r>
    <w:r w:rsidRPr="00743A19">
      <w:rPr>
        <w:b/>
        <w:sz w:val="18"/>
      </w:rPr>
      <w:fldChar w:fldCharType="separate"/>
    </w:r>
    <w:r w:rsidRPr="00743A19">
      <w:rPr>
        <w:b/>
        <w:noProof/>
        <w:sz w:val="18"/>
      </w:rPr>
      <w:t>2</w:t>
    </w:r>
    <w:r w:rsidRPr="00743A19">
      <w:rPr>
        <w:b/>
        <w:sz w:val="18"/>
      </w:rPr>
      <w:fldChar w:fldCharType="end"/>
    </w:r>
    <w:r>
      <w:rPr>
        <w:b/>
        <w:sz w:val="18"/>
      </w:rPr>
      <w:tab/>
    </w:r>
    <w:r>
      <w:t>GE.20-14489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19" w:rsidRPr="00743A19" w:rsidRDefault="00743A19" w:rsidP="00743A19">
    <w:pPr>
      <w:pStyle w:val="Pieddepage"/>
      <w:tabs>
        <w:tab w:val="right" w:pos="9638"/>
      </w:tabs>
      <w:rPr>
        <w:b/>
        <w:sz w:val="18"/>
      </w:rPr>
    </w:pPr>
    <w:r>
      <w:t>GE.20-14489</w:t>
    </w:r>
    <w:r>
      <w:tab/>
    </w:r>
    <w:r w:rsidRPr="00743A19">
      <w:rPr>
        <w:b/>
        <w:sz w:val="18"/>
      </w:rPr>
      <w:fldChar w:fldCharType="begin"/>
    </w:r>
    <w:r w:rsidRPr="00743A19">
      <w:rPr>
        <w:b/>
        <w:sz w:val="18"/>
      </w:rPr>
      <w:instrText xml:space="preserve"> PAGE  \* MERGEFORMAT </w:instrText>
    </w:r>
    <w:r w:rsidRPr="00743A19">
      <w:rPr>
        <w:b/>
        <w:sz w:val="18"/>
      </w:rPr>
      <w:fldChar w:fldCharType="separate"/>
    </w:r>
    <w:r w:rsidRPr="00743A19">
      <w:rPr>
        <w:b/>
        <w:noProof/>
        <w:sz w:val="18"/>
      </w:rPr>
      <w:t>3</w:t>
    </w:r>
    <w:r w:rsidRPr="00743A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743A19" w:rsidRDefault="00743A19" w:rsidP="00743A19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20-14489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150221    150221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9BD" w:rsidRPr="00D27D5E" w:rsidRDefault="002769B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69BD" w:rsidRPr="00D171D4" w:rsidRDefault="002769B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2769BD" w:rsidRPr="00C451B9" w:rsidRDefault="002769BD" w:rsidP="00C451B9">
      <w:pPr>
        <w:spacing w:line="240" w:lineRule="auto"/>
        <w:rPr>
          <w:sz w:val="2"/>
          <w:szCs w:val="2"/>
        </w:rPr>
      </w:pPr>
    </w:p>
  </w:footnote>
  <w:footnote w:id="2">
    <w:p w:rsidR="00BC7700" w:rsidRPr="008362B8" w:rsidRDefault="00BC7700" w:rsidP="00BC7700">
      <w:pPr>
        <w:pStyle w:val="Notedebasdepage"/>
        <w:rPr>
          <w:color w:val="000000" w:themeColor="text1"/>
          <w:lang w:val="fr-FR"/>
        </w:rPr>
      </w:pPr>
      <w:r w:rsidRPr="00272381">
        <w:rPr>
          <w:sz w:val="20"/>
          <w:lang w:val="fr-FR"/>
        </w:rPr>
        <w:tab/>
        <w:t>*</w:t>
      </w:r>
      <w:r w:rsidRPr="00272381">
        <w:rPr>
          <w:sz w:val="20"/>
          <w:lang w:val="fr-FR"/>
        </w:rPr>
        <w:tab/>
      </w:r>
      <w:r>
        <w:rPr>
          <w:lang w:val="fr-FR"/>
        </w:rPr>
        <w:t>Anciens titres de l’Accord</w:t>
      </w:r>
      <w:r w:rsidR="00272381">
        <w:rPr>
          <w:lang w:val="fr-FR"/>
        </w:rPr>
        <w:t> :</w:t>
      </w:r>
    </w:p>
    <w:p w:rsidR="00BC7700" w:rsidRPr="008362B8" w:rsidRDefault="00BC7700" w:rsidP="00BC7700">
      <w:pPr>
        <w:pStyle w:val="Notedebasdepage"/>
        <w:rPr>
          <w:color w:val="000000" w:themeColor="text1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Accord concernant l’adoption de conditions uniformes d’homologation et la reconnaissance réciproque de l’homologation des équipements et pièces de véhicules à moteur, en date, à Genève, du</w:t>
      </w:r>
      <w:r w:rsidR="00404766">
        <w:rPr>
          <w:lang w:val="fr-FR"/>
        </w:rPr>
        <w:t> </w:t>
      </w:r>
      <w:r>
        <w:rPr>
          <w:lang w:val="fr-FR"/>
        </w:rPr>
        <w:t>20</w:t>
      </w:r>
      <w:r w:rsidR="00404766">
        <w:rPr>
          <w:lang w:val="fr-FR"/>
        </w:rPr>
        <w:t> </w:t>
      </w:r>
      <w:r>
        <w:rPr>
          <w:lang w:val="fr-FR"/>
        </w:rPr>
        <w:t>mars 1958 (version originale)</w:t>
      </w:r>
      <w:r w:rsidR="00272381">
        <w:rPr>
          <w:lang w:val="fr-FR"/>
        </w:rPr>
        <w:t> ;</w:t>
      </w:r>
    </w:p>
    <w:p w:rsidR="00BC7700" w:rsidRPr="008362B8" w:rsidRDefault="00BC7700" w:rsidP="00BC7700">
      <w:pPr>
        <w:pStyle w:val="Notedebasdepag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Accord concernant l’adoption de prescriptions techniques uniformes applicables aux véhicules à roues, aux équipements et aux pièces susceptibles d’être montés ou utilisés sur un véhicule à roues et</w:t>
      </w:r>
      <w:r w:rsidR="00404766">
        <w:rPr>
          <w:lang w:val="fr-FR"/>
        </w:rPr>
        <w:t> </w:t>
      </w:r>
      <w:r>
        <w:rPr>
          <w:lang w:val="fr-FR"/>
        </w:rPr>
        <w:t>les conditions de reconnaissance réciproque des homologations délivrées conformément à ces</w:t>
      </w:r>
      <w:r w:rsidR="00404766">
        <w:rPr>
          <w:lang w:val="fr-FR"/>
        </w:rPr>
        <w:t> </w:t>
      </w:r>
      <w:r>
        <w:rPr>
          <w:lang w:val="fr-FR"/>
        </w:rPr>
        <w:t>prescriptions, en date, à Genève, du 5</w:t>
      </w:r>
      <w:r w:rsidR="00404766">
        <w:rPr>
          <w:lang w:val="fr-FR"/>
        </w:rPr>
        <w:t> </w:t>
      </w:r>
      <w:r>
        <w:rPr>
          <w:lang w:val="fr-FR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19" w:rsidRPr="00743A19" w:rsidRDefault="00743A19">
    <w:pPr>
      <w:pStyle w:val="En-tte"/>
      <w:rPr>
        <w:lang w:val="en-US"/>
      </w:rPr>
    </w:pPr>
    <w:r>
      <w:fldChar w:fldCharType="begin"/>
    </w:r>
    <w:r w:rsidRPr="00743A19">
      <w:rPr>
        <w:lang w:val="en-US"/>
      </w:rPr>
      <w:instrText xml:space="preserve"> TITLE  \* MERGEFORMAT </w:instrText>
    </w:r>
    <w:r>
      <w:fldChar w:fldCharType="separate"/>
    </w:r>
    <w:r w:rsidRPr="00743A19">
      <w:rPr>
        <w:lang w:val="en-US"/>
      </w:rPr>
      <w:t>E/ECE/324/Rev.2/Add.105/Rev.2/Amend.8</w:t>
    </w:r>
    <w:r>
      <w:fldChar w:fldCharType="end"/>
    </w:r>
    <w:r w:rsidRPr="00743A19">
      <w:rPr>
        <w:lang w:val="en-US"/>
      </w:rPr>
      <w:br/>
    </w:r>
    <w:r>
      <w:fldChar w:fldCharType="begin"/>
    </w:r>
    <w:r w:rsidRPr="00743A19">
      <w:rPr>
        <w:lang w:val="en-US"/>
      </w:rPr>
      <w:instrText xml:space="preserve"> KEYWORDS  \* MERGEFORMAT </w:instrText>
    </w:r>
    <w:r>
      <w:fldChar w:fldCharType="separate"/>
    </w:r>
    <w:r w:rsidRPr="00743A19">
      <w:rPr>
        <w:lang w:val="en-US"/>
      </w:rPr>
      <w:t>E/ECE/TRANS/505/Rev.2/Add.105/Rev.2/Amend.8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19" w:rsidRPr="00743A19" w:rsidRDefault="00743A19" w:rsidP="00743A19">
    <w:pPr>
      <w:pStyle w:val="En-tte"/>
      <w:jc w:val="right"/>
      <w:rPr>
        <w:lang w:val="en-US"/>
      </w:rPr>
    </w:pPr>
    <w:r>
      <w:fldChar w:fldCharType="begin"/>
    </w:r>
    <w:r w:rsidRPr="00743A19">
      <w:rPr>
        <w:lang w:val="en-US"/>
      </w:rPr>
      <w:instrText xml:space="preserve"> TITLE  \* MERGEFORMAT </w:instrText>
    </w:r>
    <w:r>
      <w:fldChar w:fldCharType="separate"/>
    </w:r>
    <w:r w:rsidRPr="00743A19">
      <w:rPr>
        <w:lang w:val="en-US"/>
      </w:rPr>
      <w:t>E/ECE/324/Rev.2/Add.105/Rev.2/Amend.8</w:t>
    </w:r>
    <w:r>
      <w:fldChar w:fldCharType="end"/>
    </w:r>
    <w:r w:rsidRPr="00743A19">
      <w:rPr>
        <w:lang w:val="en-US"/>
      </w:rPr>
      <w:br/>
    </w:r>
    <w:r>
      <w:fldChar w:fldCharType="begin"/>
    </w:r>
    <w:r w:rsidRPr="00743A19">
      <w:rPr>
        <w:lang w:val="en-US"/>
      </w:rPr>
      <w:instrText xml:space="preserve"> KEYWORDS  \* MERGEFORMAT </w:instrText>
    </w:r>
    <w:r>
      <w:fldChar w:fldCharType="separate"/>
    </w:r>
    <w:r w:rsidRPr="00743A19">
      <w:rPr>
        <w:lang w:val="en-US"/>
      </w:rPr>
      <w:t>E/ECE/TRANS/505/Rev.2/Add.105/Rev.2/Amend.8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B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320D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72381"/>
    <w:rsid w:val="002769BD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4766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55D00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43A19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C770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5E83625"/>
  <w15:docId w15:val="{83D62E66-AA88-40B2-9CAA-286CBBA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,PP,5_G_6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,PP Car,5_G_6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5BE3D-7A29-4056-9156-0DC4CD445678}"/>
</file>

<file path=customXml/itemProps2.xml><?xml version="1.0" encoding="utf-8"?>
<ds:datastoreItem xmlns:ds="http://schemas.openxmlformats.org/officeDocument/2006/customXml" ds:itemID="{21F9CF46-67B9-4F8F-A9D6-831B74682844}"/>
</file>

<file path=customXml/itemProps3.xml><?xml version="1.0" encoding="utf-8"?>
<ds:datastoreItem xmlns:ds="http://schemas.openxmlformats.org/officeDocument/2006/customXml" ds:itemID="{F56D6738-15D7-461C-9D39-6140291ADA96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5</TotalTime>
  <Pages>4</Pages>
  <Words>698</Words>
  <Characters>4539</Characters>
  <Application>Microsoft Office Word</Application>
  <DocSecurity>0</DocSecurity>
  <Lines>453</Lines>
  <Paragraphs>308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E/ECE/324/Rev.2/Add.105/Rev.2/Amend.8</vt:lpstr>
    </vt:vector>
  </TitlesOfParts>
  <Company>CSD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E/ECE/324/Rev.2/Add.105/Rev.2/Amend.8</dc:title>
  <dc:creator>Nicolas MORIN</dc:creator>
  <cp:keywords>E/ECE/TRANS/505/Rev.2/Add.105/Rev.2/Amend.8</cp:keywords>
  <cp:lastModifiedBy>Nicolas Morin</cp:lastModifiedBy>
  <cp:revision>2</cp:revision>
  <cp:lastPrinted>2008-11-04T15:54:00Z</cp:lastPrinted>
  <dcterms:created xsi:type="dcterms:W3CDTF">2021-02-15T13:55:00Z</dcterms:created>
  <dcterms:modified xsi:type="dcterms:W3CDTF">2021-02-15T13:55:00Z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