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491F67" w14:paraId="505BEEBC" w14:textId="77777777" w:rsidTr="00A27C92">
        <w:trPr>
          <w:trHeight w:hRule="exact" w:val="851"/>
        </w:trPr>
        <w:tc>
          <w:tcPr>
            <w:tcW w:w="9639" w:type="dxa"/>
            <w:gridSpan w:val="2"/>
            <w:tcBorders>
              <w:bottom w:val="single" w:sz="4" w:space="0" w:color="auto"/>
            </w:tcBorders>
            <w:shd w:val="clear" w:color="auto" w:fill="auto"/>
            <w:vAlign w:val="bottom"/>
          </w:tcPr>
          <w:p w14:paraId="2C22DBED" w14:textId="77777777" w:rsidR="00491F67" w:rsidRPr="00491F67" w:rsidRDefault="00491F67" w:rsidP="00491F67">
            <w:pPr>
              <w:jc w:val="right"/>
              <w:rPr>
                <w:lang w:val="en-US"/>
              </w:rPr>
            </w:pPr>
            <w:r w:rsidRPr="00491F67">
              <w:rPr>
                <w:sz w:val="40"/>
                <w:lang w:val="en-US"/>
              </w:rPr>
              <w:t>E</w:t>
            </w:r>
            <w:r w:rsidRPr="00491F67">
              <w:rPr>
                <w:lang w:val="en-US"/>
              </w:rPr>
              <w:t>/ECE/324/Rev.1/Add.45/Rev.6/Amend.5−</w:t>
            </w:r>
            <w:r w:rsidRPr="00491F67">
              <w:rPr>
                <w:sz w:val="40"/>
                <w:lang w:val="en-US"/>
              </w:rPr>
              <w:t>E</w:t>
            </w:r>
            <w:r w:rsidRPr="00491F67">
              <w:rPr>
                <w:lang w:val="en-US"/>
              </w:rPr>
              <w:t>/ECE/TRANS/505/Rev.1/Add.45/Rev.6/Amend.5</w:t>
            </w:r>
          </w:p>
        </w:tc>
      </w:tr>
      <w:tr w:rsidR="00421A10" w:rsidRPr="00DB58B5" w14:paraId="120BE13B" w14:textId="77777777" w:rsidTr="00A27C92">
        <w:trPr>
          <w:trHeight w:hRule="exact" w:val="2835"/>
        </w:trPr>
        <w:tc>
          <w:tcPr>
            <w:tcW w:w="6804" w:type="dxa"/>
            <w:tcBorders>
              <w:top w:val="single" w:sz="4" w:space="0" w:color="auto"/>
              <w:bottom w:val="single" w:sz="12" w:space="0" w:color="auto"/>
            </w:tcBorders>
            <w:shd w:val="clear" w:color="auto" w:fill="auto"/>
          </w:tcPr>
          <w:p w14:paraId="71E281C1" w14:textId="77777777" w:rsidR="00421A10" w:rsidRPr="00491F67"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1998B2B1" w14:textId="77777777" w:rsidR="00421A10" w:rsidRPr="00DB58B5" w:rsidRDefault="00491F67" w:rsidP="00A27C92">
            <w:pPr>
              <w:spacing w:before="480" w:line="240" w:lineRule="exact"/>
            </w:pPr>
            <w:r>
              <w:t>2 novembre 2020</w:t>
            </w:r>
          </w:p>
        </w:tc>
      </w:tr>
    </w:tbl>
    <w:p w14:paraId="6CCC5F5C" w14:textId="77777777" w:rsidR="00421A10" w:rsidRPr="006549FF" w:rsidRDefault="0029791D" w:rsidP="0029791D">
      <w:pPr>
        <w:pStyle w:val="HChG"/>
      </w:pPr>
      <w:r>
        <w:tab/>
      </w:r>
      <w:r>
        <w:tab/>
      </w:r>
      <w:r w:rsidR="00421A10" w:rsidRPr="006549FF">
        <w:t>Accord</w:t>
      </w:r>
    </w:p>
    <w:p w14:paraId="77733ED6" w14:textId="77777777" w:rsidR="00421A10" w:rsidRPr="00583D68" w:rsidRDefault="0029791D" w:rsidP="0029791D">
      <w:pPr>
        <w:pStyle w:val="H1G"/>
      </w:pPr>
      <w:r>
        <w:tab/>
      </w:r>
      <w:r>
        <w:tab/>
      </w:r>
      <w:r w:rsidR="00421A10" w:rsidRPr="00583D68">
        <w:t xml:space="preserve">Concernant l’adoption </w:t>
      </w:r>
      <w:r w:rsidR="00491F67" w:rsidRPr="00491F67">
        <w:rPr>
          <w:bCs/>
          <w:lang w:val="fr-FR"/>
        </w:rPr>
        <w:t xml:space="preserve">de Règlements techniques harmonisés </w:t>
      </w:r>
      <w:r w:rsidR="00491F67">
        <w:rPr>
          <w:bCs/>
          <w:lang w:val="fr-FR"/>
        </w:rPr>
        <w:br/>
      </w:r>
      <w:r w:rsidR="00491F67" w:rsidRPr="00491F67">
        <w:rPr>
          <w:bCs/>
          <w:lang w:val="fr-FR"/>
        </w:rPr>
        <w:t xml:space="preserve">de l’ONU applicables aux véhicules à roues et aux équipements </w:t>
      </w:r>
      <w:r w:rsidR="00491F67">
        <w:rPr>
          <w:bCs/>
          <w:lang w:val="fr-FR"/>
        </w:rPr>
        <w:br/>
      </w:r>
      <w:r w:rsidR="00491F67" w:rsidRPr="00491F67">
        <w:rPr>
          <w:bCs/>
          <w:lang w:val="fr-FR"/>
        </w:rPr>
        <w:t xml:space="preserve">et pièces susceptibles d’être montés ou utilisés sur les véhicules </w:t>
      </w:r>
      <w:r w:rsidR="00491F67">
        <w:rPr>
          <w:bCs/>
          <w:lang w:val="fr-FR"/>
        </w:rPr>
        <w:br/>
      </w:r>
      <w:r w:rsidR="00491F67" w:rsidRPr="00491F67">
        <w:rPr>
          <w:bCs/>
          <w:lang w:val="fr-FR"/>
        </w:rPr>
        <w:t>à roues et les conditions de reconnaissance réciproque des homologations délivrées conformément à ces Règlements</w:t>
      </w:r>
      <w:r w:rsidR="00442E31" w:rsidRPr="00491F67">
        <w:rPr>
          <w:rStyle w:val="Appelnotedebasdep"/>
          <w:b w:val="0"/>
          <w:bCs/>
          <w:sz w:val="20"/>
          <w:vertAlign w:val="baseline"/>
        </w:rPr>
        <w:footnoteReference w:customMarkFollows="1" w:id="2"/>
        <w:t>*</w:t>
      </w:r>
    </w:p>
    <w:p w14:paraId="1B3E7FAC" w14:textId="77777777" w:rsidR="00421A10" w:rsidRPr="00A12483" w:rsidRDefault="00421A10" w:rsidP="0029791D">
      <w:pPr>
        <w:pStyle w:val="SingleTxtG"/>
        <w:jc w:val="left"/>
        <w:rPr>
          <w:b/>
          <w:sz w:val="24"/>
          <w:szCs w:val="24"/>
        </w:rPr>
      </w:pPr>
      <w:r w:rsidRPr="006549FF">
        <w:t xml:space="preserve">(Révision </w:t>
      </w:r>
      <w:r w:rsidR="00491F67" w:rsidRPr="00491F67">
        <w:rPr>
          <w:lang w:val="fr-FR"/>
        </w:rPr>
        <w:t>3, comprenant les amendements entrés en vigueur le 14 septembre 2017)</w:t>
      </w:r>
    </w:p>
    <w:p w14:paraId="47B49A90" w14:textId="77777777" w:rsidR="00421A10" w:rsidRPr="006549FF" w:rsidRDefault="0029791D" w:rsidP="0029791D">
      <w:pPr>
        <w:jc w:val="center"/>
      </w:pPr>
      <w:r>
        <w:t>_______________</w:t>
      </w:r>
    </w:p>
    <w:p w14:paraId="769A5F2D" w14:textId="77777777" w:rsidR="00421A10" w:rsidRPr="006549FF" w:rsidRDefault="0029791D" w:rsidP="0029791D">
      <w:pPr>
        <w:pStyle w:val="HChG"/>
      </w:pPr>
      <w:r>
        <w:tab/>
      </w:r>
      <w:r>
        <w:tab/>
      </w:r>
      <w:r w:rsidR="00421A10" w:rsidRPr="006549FF">
        <w:t xml:space="preserve">Additif </w:t>
      </w:r>
      <w:r w:rsidR="00491F67">
        <w:t>45 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491F67">
        <w:t>46</w:t>
      </w:r>
    </w:p>
    <w:p w14:paraId="1B422B86" w14:textId="77777777" w:rsidR="00421A10" w:rsidRPr="006549FF" w:rsidRDefault="0029791D" w:rsidP="0029791D">
      <w:pPr>
        <w:pStyle w:val="H1G"/>
      </w:pPr>
      <w:r>
        <w:tab/>
      </w:r>
      <w:r>
        <w:tab/>
      </w:r>
      <w:r w:rsidR="00421A10" w:rsidRPr="006549FF">
        <w:t xml:space="preserve">Révision </w:t>
      </w:r>
      <w:r w:rsidR="00491F67">
        <w:t xml:space="preserve">6 − </w:t>
      </w:r>
      <w:r w:rsidR="00491F67" w:rsidRPr="002E4449">
        <w:rPr>
          <w:bCs/>
          <w:lang w:val="fr-FR"/>
        </w:rPr>
        <w:t>Amendement 5</w:t>
      </w:r>
    </w:p>
    <w:p w14:paraId="548C75FE" w14:textId="77777777" w:rsidR="00421A10" w:rsidRPr="00491F67" w:rsidRDefault="00491F67" w:rsidP="00491F67">
      <w:pPr>
        <w:pStyle w:val="SingleTxtG"/>
        <w:spacing w:after="0"/>
        <w:rPr>
          <w:spacing w:val="-2"/>
        </w:rPr>
      </w:pPr>
      <w:r w:rsidRPr="00491F67">
        <w:rPr>
          <w:spacing w:val="-2"/>
          <w:lang w:val="fr-FR"/>
        </w:rPr>
        <w:t xml:space="preserve">Complément 7 à la série 04 d’amendements </w:t>
      </w:r>
      <w:r w:rsidRPr="00491F67">
        <w:rPr>
          <w:spacing w:val="-2"/>
          <w:lang w:val="fr-FR"/>
        </w:rPr>
        <w:t>−</w:t>
      </w:r>
      <w:r w:rsidRPr="00491F67">
        <w:rPr>
          <w:spacing w:val="-2"/>
          <w:lang w:val="fr-FR"/>
        </w:rPr>
        <w:t xml:space="preserve"> Date d’entrée en vigueur : 25 septembre 2020</w:t>
      </w:r>
    </w:p>
    <w:p w14:paraId="2B976199" w14:textId="77777777" w:rsidR="00421A10" w:rsidRDefault="0029791D" w:rsidP="0029791D">
      <w:pPr>
        <w:pStyle w:val="H1G"/>
      </w:pPr>
      <w:r>
        <w:tab/>
      </w:r>
      <w:r>
        <w:tab/>
      </w:r>
      <w:r w:rsidR="00421A10" w:rsidRPr="007619D3">
        <w:t xml:space="preserve">Prescriptions uniformes relatives </w:t>
      </w:r>
      <w:r w:rsidR="00491F67" w:rsidRPr="00491F67">
        <w:rPr>
          <w:lang w:val="fr-FR"/>
        </w:rPr>
        <w:t xml:space="preserve">à l’homologation des systèmes </w:t>
      </w:r>
      <w:r w:rsidR="00491F67">
        <w:rPr>
          <w:lang w:val="fr-FR"/>
        </w:rPr>
        <w:br/>
      </w:r>
      <w:r w:rsidR="00491F67" w:rsidRPr="00491F67">
        <w:rPr>
          <w:lang w:val="fr-FR"/>
        </w:rPr>
        <w:t xml:space="preserve">de vision indirecte et des véhicules à moteur en ce qui concerne </w:t>
      </w:r>
      <w:r w:rsidR="00491F67">
        <w:rPr>
          <w:lang w:val="fr-FR"/>
        </w:rPr>
        <w:br/>
      </w:r>
      <w:r w:rsidR="00491F67" w:rsidRPr="00491F67">
        <w:rPr>
          <w:lang w:val="fr-FR"/>
        </w:rPr>
        <w:t>le montage de ces systèmes</w:t>
      </w:r>
    </w:p>
    <w:p w14:paraId="6987F9A1" w14:textId="77777777" w:rsidR="00491F67" w:rsidRPr="00491F67" w:rsidRDefault="00442E31" w:rsidP="00491F67">
      <w:pPr>
        <w:pStyle w:val="SingleTxtG"/>
        <w:rPr>
          <w:spacing w:val="-3"/>
        </w:rPr>
      </w:pPr>
      <w:r>
        <w:rPr>
          <w:noProof/>
          <w:lang w:eastAsia="fr-CH"/>
        </w:rPr>
        <mc:AlternateContent>
          <mc:Choice Requires="wps">
            <w:drawing>
              <wp:anchor distT="0" distB="0" distL="114300" distR="114300" simplePos="0" relativeHeight="251658240" behindDoc="0" locked="0" layoutInCell="1" allowOverlap="1" wp14:anchorId="43F9A684" wp14:editId="5B75EF91">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076D8FBD" w14:textId="77777777" w:rsidR="00442E31" w:rsidRPr="0029791D" w:rsidRDefault="00442E31" w:rsidP="00C9521D">
                            <w:pPr>
                              <w:ind w:left="1134" w:right="1134"/>
                              <w:jc w:val="center"/>
                            </w:pPr>
                            <w:r>
                              <w:t>_______________</w:t>
                            </w:r>
                          </w:p>
                          <w:p w14:paraId="112FEAAE" w14:textId="77777777" w:rsidR="00442E31" w:rsidRDefault="00442E31" w:rsidP="00C9521D">
                            <w:pPr>
                              <w:jc w:val="center"/>
                              <w:rPr>
                                <w:b/>
                                <w:bCs/>
                                <w:sz w:val="22"/>
                              </w:rPr>
                            </w:pPr>
                            <w:r>
                              <w:rPr>
                                <w:noProof/>
                                <w:lang w:eastAsia="fr-CH"/>
                              </w:rPr>
                              <w:drawing>
                                <wp:inline distT="0" distB="0" distL="0" distR="0" wp14:anchorId="09F5254E" wp14:editId="1CA4DEA1">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64ABE58"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9A684"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14:paraId="076D8FBD" w14:textId="77777777" w:rsidR="00442E31" w:rsidRPr="0029791D" w:rsidRDefault="00442E31" w:rsidP="00C9521D">
                      <w:pPr>
                        <w:ind w:left="1134" w:right="1134"/>
                        <w:jc w:val="center"/>
                      </w:pPr>
                      <w:r>
                        <w:t>_______________</w:t>
                      </w:r>
                    </w:p>
                    <w:p w14:paraId="112FEAAE" w14:textId="77777777" w:rsidR="00442E31" w:rsidRDefault="00442E31" w:rsidP="00C9521D">
                      <w:pPr>
                        <w:jc w:val="center"/>
                        <w:rPr>
                          <w:b/>
                          <w:bCs/>
                          <w:sz w:val="22"/>
                        </w:rPr>
                      </w:pPr>
                      <w:r>
                        <w:rPr>
                          <w:noProof/>
                          <w:lang w:eastAsia="fr-CH"/>
                        </w:rPr>
                        <w:drawing>
                          <wp:inline distT="0" distB="0" distL="0" distR="0" wp14:anchorId="09F5254E" wp14:editId="1CA4DEA1">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64ABE58"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r w:rsidR="00491F67">
        <w:tab/>
      </w:r>
      <w:r w:rsidR="00491F67" w:rsidRPr="00491F67">
        <w:rPr>
          <w:spacing w:val="-3"/>
          <w:lang w:val="fr-FR"/>
        </w:rPr>
        <w:t>Le présent document est communiqué uniquement à titre d’information. Le texte authentique, juridiquement contraignant, est celui du document ECE/TRANS/WP.29/2020/16.</w:t>
      </w:r>
    </w:p>
    <w:p w14:paraId="20808788" w14:textId="77777777" w:rsidR="00491F67" w:rsidRPr="002E4449" w:rsidRDefault="00491F67" w:rsidP="00491F67">
      <w:pPr>
        <w:pStyle w:val="SingleTxtG"/>
        <w:keepNext/>
        <w:rPr>
          <w:lang w:val="fr-FR"/>
        </w:rPr>
      </w:pPr>
      <w:r>
        <w:br w:type="page"/>
      </w:r>
      <w:r w:rsidRPr="002E4449">
        <w:rPr>
          <w:i/>
          <w:lang w:val="fr-FR"/>
        </w:rPr>
        <w:lastRenderedPageBreak/>
        <w:t xml:space="preserve">Paragraphe </w:t>
      </w:r>
      <w:r w:rsidRPr="002E4449">
        <w:rPr>
          <w:i/>
          <w:lang w:val="fr-FR" w:eastAsia="fr-FR"/>
        </w:rPr>
        <w:t>13.5</w:t>
      </w:r>
      <w:r w:rsidRPr="002E4449">
        <w:rPr>
          <w:lang w:val="fr-FR" w:eastAsia="fr-FR"/>
        </w:rPr>
        <w:t>,</w:t>
      </w:r>
      <w:r>
        <w:rPr>
          <w:lang w:val="fr-FR" w:eastAsia="fr-FR"/>
        </w:rPr>
        <w:t xml:space="preserve"> lire </w:t>
      </w:r>
      <w:r w:rsidRPr="002E4449">
        <w:rPr>
          <w:lang w:val="fr-FR"/>
        </w:rPr>
        <w:t>:</w:t>
      </w:r>
    </w:p>
    <w:p w14:paraId="7DDC3169" w14:textId="77777777" w:rsidR="00491F67" w:rsidRPr="002E4449" w:rsidRDefault="00491F67" w:rsidP="00491F67">
      <w:pPr>
        <w:pStyle w:val="SingleTxtG"/>
        <w:ind w:left="2268" w:hanging="1134"/>
        <w:rPr>
          <w:lang w:val="fr-FR" w:eastAsia="fr-FR"/>
        </w:rPr>
      </w:pPr>
      <w:r w:rsidRPr="002E4449">
        <w:rPr>
          <w:bCs/>
          <w:lang w:val="fr-FR" w:eastAsia="fr-FR"/>
        </w:rPr>
        <w:t>« </w:t>
      </w:r>
      <w:r w:rsidRPr="002E4449">
        <w:rPr>
          <w:lang w:val="fr-FR" w:eastAsia="fr-FR"/>
        </w:rPr>
        <w:t>13.5</w:t>
      </w:r>
      <w:r w:rsidRPr="002E4449">
        <w:rPr>
          <w:lang w:val="fr-FR" w:eastAsia="fr-FR"/>
        </w:rPr>
        <w:tab/>
        <w:t>Le CMS doit être fourni par le demandeur avec les documents suivants :</w:t>
      </w:r>
    </w:p>
    <w:p w14:paraId="03609484" w14:textId="77777777" w:rsidR="00491F67" w:rsidRPr="002E4449" w:rsidRDefault="00491F67" w:rsidP="00491F67">
      <w:pPr>
        <w:pStyle w:val="SingleTxtG"/>
        <w:ind w:left="2268"/>
        <w:rPr>
          <w:lang w:val="fr-FR" w:eastAsia="fr-FR"/>
        </w:rPr>
      </w:pPr>
      <w:r w:rsidRPr="002E4449">
        <w:rPr>
          <w:lang w:val="fr-FR" w:eastAsia="fr-FR"/>
        </w:rPr>
        <w:t>a)</w:t>
      </w:r>
      <w:r w:rsidRPr="002E4449">
        <w:rPr>
          <w:lang w:val="fr-FR" w:eastAsia="fr-FR"/>
        </w:rPr>
        <w:tab/>
        <w:t>Spécifications techniques du CMS ;</w:t>
      </w:r>
    </w:p>
    <w:p w14:paraId="2B2E39BC" w14:textId="77777777" w:rsidR="00491F67" w:rsidRPr="002E4449" w:rsidRDefault="00491F67" w:rsidP="00491F67">
      <w:pPr>
        <w:pStyle w:val="SingleTxtG"/>
        <w:ind w:left="2268"/>
        <w:rPr>
          <w:lang w:val="fr-FR" w:eastAsia="fr-FR"/>
        </w:rPr>
      </w:pPr>
      <w:r w:rsidRPr="002E4449">
        <w:rPr>
          <w:lang w:val="fr-FR" w:eastAsia="fr-FR"/>
        </w:rPr>
        <w:t>b)</w:t>
      </w:r>
      <w:r w:rsidRPr="002E4449">
        <w:rPr>
          <w:lang w:val="fr-FR" w:eastAsia="fr-FR"/>
        </w:rPr>
        <w:tab/>
        <w:t>Manuel d</w:t>
      </w:r>
      <w:r>
        <w:rPr>
          <w:lang w:val="fr-FR" w:eastAsia="fr-FR"/>
        </w:rPr>
        <w:t>’</w:t>
      </w:r>
      <w:r w:rsidRPr="002E4449">
        <w:rPr>
          <w:lang w:val="fr-FR" w:eastAsia="fr-FR"/>
        </w:rPr>
        <w:t>utilisation ;</w:t>
      </w:r>
    </w:p>
    <w:p w14:paraId="2769BA77" w14:textId="77777777" w:rsidR="00491F67" w:rsidRPr="002E4449" w:rsidRDefault="00491F67" w:rsidP="00491F67">
      <w:pPr>
        <w:pStyle w:val="SingleTxtG"/>
        <w:ind w:left="2268"/>
        <w:rPr>
          <w:lang w:val="fr-FR" w:eastAsia="fr-FR"/>
        </w:rPr>
      </w:pPr>
      <w:r w:rsidRPr="002E4449">
        <w:rPr>
          <w:lang w:val="fr-FR" w:eastAsia="fr-FR"/>
        </w:rPr>
        <w:t>c)</w:t>
      </w:r>
      <w:r w:rsidRPr="002E4449">
        <w:rPr>
          <w:lang w:val="fr-FR" w:eastAsia="fr-FR"/>
        </w:rPr>
        <w:tab/>
        <w:t>Documentation mentionnée au paragraphe 2.3 de l</w:t>
      </w:r>
      <w:r>
        <w:rPr>
          <w:lang w:val="fr-FR" w:eastAsia="fr-FR"/>
        </w:rPr>
        <w:t>’</w:t>
      </w:r>
      <w:r w:rsidRPr="002E4449">
        <w:rPr>
          <w:lang w:val="fr-FR" w:eastAsia="fr-FR"/>
        </w:rPr>
        <w:t>annexe 12 ;</w:t>
      </w:r>
    </w:p>
    <w:p w14:paraId="1E23208E" w14:textId="77777777" w:rsidR="00491F67" w:rsidRPr="002E4449" w:rsidRDefault="00491F67" w:rsidP="00491F67">
      <w:pPr>
        <w:pStyle w:val="SingleTxtG"/>
        <w:ind w:left="2268"/>
        <w:rPr>
          <w:spacing w:val="-2"/>
          <w:lang w:val="fr-FR" w:eastAsia="fr-FR"/>
        </w:rPr>
      </w:pPr>
      <w:r w:rsidRPr="002E4449">
        <w:rPr>
          <w:spacing w:val="-2"/>
          <w:lang w:val="fr-FR" w:eastAsia="fr-FR"/>
        </w:rPr>
        <w:t>d)</w:t>
      </w:r>
      <w:r w:rsidRPr="002E4449">
        <w:rPr>
          <w:spacing w:val="-2"/>
          <w:lang w:val="fr-FR" w:eastAsia="fr-FR"/>
        </w:rPr>
        <w:tab/>
        <w:t>Documentation mentionnée au paragraphe 16.1.1.1.1, le cas échéant. ».</w:t>
      </w:r>
    </w:p>
    <w:p w14:paraId="44A49957" w14:textId="77777777" w:rsidR="00491F67" w:rsidRPr="002E4449" w:rsidRDefault="00491F67" w:rsidP="00491F67">
      <w:pPr>
        <w:pStyle w:val="SingleTxtG"/>
        <w:keepNext/>
        <w:rPr>
          <w:bCs/>
          <w:i/>
          <w:lang w:val="fr-FR" w:eastAsia="fr-FR"/>
        </w:rPr>
      </w:pPr>
      <w:r w:rsidRPr="002E4449">
        <w:rPr>
          <w:bCs/>
          <w:i/>
          <w:lang w:val="fr-FR" w:eastAsia="fr-FR"/>
        </w:rPr>
        <w:t>Paragraphe 15.2.1.1.2</w:t>
      </w:r>
      <w:r w:rsidRPr="002E4449">
        <w:rPr>
          <w:bCs/>
          <w:lang w:val="fr-FR" w:eastAsia="fr-FR"/>
        </w:rPr>
        <w:t>,</w:t>
      </w:r>
      <w:r w:rsidRPr="002E4449">
        <w:rPr>
          <w:lang w:val="fr-FR" w:eastAsia="fr-FR"/>
        </w:rPr>
        <w:t xml:space="preserve"> </w:t>
      </w:r>
      <w:r>
        <w:rPr>
          <w:lang w:val="fr-FR" w:eastAsia="fr-FR"/>
        </w:rPr>
        <w:t xml:space="preserve">lire </w:t>
      </w:r>
      <w:r w:rsidRPr="002E4449">
        <w:rPr>
          <w:bCs/>
          <w:iCs/>
          <w:lang w:val="fr-FR" w:eastAsia="fr-FR"/>
        </w:rPr>
        <w:t>:</w:t>
      </w:r>
    </w:p>
    <w:p w14:paraId="799B6975" w14:textId="77777777" w:rsidR="00491F67" w:rsidRPr="002E4449" w:rsidRDefault="00491F67" w:rsidP="00491F67">
      <w:pPr>
        <w:pStyle w:val="SingleTxtG"/>
        <w:ind w:left="2268" w:hanging="1134"/>
        <w:rPr>
          <w:lang w:val="fr-FR" w:eastAsia="fr-FR"/>
        </w:rPr>
      </w:pPr>
      <w:bookmarkStart w:id="0" w:name="_Hlk30083050"/>
      <w:r w:rsidRPr="002E4449">
        <w:rPr>
          <w:lang w:val="fr-FR" w:eastAsia="fr-FR"/>
        </w:rPr>
        <w:t>« 15.2.1.1.2</w:t>
      </w:r>
      <w:r w:rsidRPr="002E4449">
        <w:rPr>
          <w:lang w:val="fr-FR" w:eastAsia="fr-FR"/>
        </w:rPr>
        <w:tab/>
      </w:r>
      <w:bookmarkEnd w:id="0"/>
      <w:r w:rsidRPr="002E4449">
        <w:rPr>
          <w:lang w:val="fr-FR" w:eastAsia="fr-FR"/>
        </w:rPr>
        <w:t>Dans le cas où un système à caméra et moniteur est utilisé pour afficher le ou les champs de vision, ces champs de vision doivent pouvoir être vus en permanence par le conducteur lorsque le contact moteur est mis ou lorsque le commutateur de contact du véhicule est activé (selon le cas) et il ne sert pas à afficher d</w:t>
      </w:r>
      <w:r>
        <w:rPr>
          <w:lang w:val="fr-FR" w:eastAsia="fr-FR"/>
        </w:rPr>
        <w:t>’</w:t>
      </w:r>
      <w:r w:rsidRPr="002E4449">
        <w:rPr>
          <w:lang w:val="fr-FR" w:eastAsia="fr-FR"/>
        </w:rPr>
        <w:t>autres renseignements. Toutefois, lorsque le véhicule avance à une vitesse supérieure à 10 km/h ou recule, le moniteur ou la partie du moniteur affichant le champ de vision du système de la classe VI peut servir à afficher d</w:t>
      </w:r>
      <w:r>
        <w:rPr>
          <w:lang w:val="fr-FR" w:eastAsia="fr-FR"/>
        </w:rPr>
        <w:t>’</w:t>
      </w:r>
      <w:r w:rsidRPr="002E4449">
        <w:rPr>
          <w:lang w:val="fr-FR" w:eastAsia="fr-FR"/>
        </w:rPr>
        <w:t>autres renseig</w:t>
      </w:r>
      <w:bookmarkStart w:id="1" w:name="_GoBack"/>
      <w:bookmarkEnd w:id="1"/>
      <w:r w:rsidRPr="002E4449">
        <w:rPr>
          <w:lang w:val="fr-FR" w:eastAsia="fr-FR"/>
        </w:rPr>
        <w:t>nements. Plusieurs images peuvent être utilisées ou affichées en même temps sous réserve que le moniteur ait été homologué dans le mode d</w:t>
      </w:r>
      <w:r>
        <w:rPr>
          <w:lang w:val="fr-FR" w:eastAsia="fr-FR"/>
        </w:rPr>
        <w:t>’</w:t>
      </w:r>
      <w:r w:rsidRPr="002E4449">
        <w:rPr>
          <w:lang w:val="fr-FR" w:eastAsia="fr-FR"/>
        </w:rPr>
        <w:t>utilisation correspondant. ».</w:t>
      </w:r>
    </w:p>
    <w:p w14:paraId="5A2998F3" w14:textId="77777777" w:rsidR="00491F67" w:rsidRPr="002E4449" w:rsidRDefault="00491F67" w:rsidP="00491F67">
      <w:pPr>
        <w:pStyle w:val="SingleTxtG"/>
        <w:keepNext/>
        <w:rPr>
          <w:i/>
          <w:lang w:val="fr-FR" w:eastAsia="fr-FR"/>
        </w:rPr>
      </w:pPr>
      <w:r w:rsidRPr="002E4449">
        <w:rPr>
          <w:i/>
          <w:lang w:val="fr-FR" w:eastAsia="fr-FR"/>
        </w:rPr>
        <w:t>Après le paragraphe 16.1.1.1</w:t>
      </w:r>
      <w:r w:rsidRPr="002E4449">
        <w:rPr>
          <w:iCs/>
          <w:lang w:val="fr-FR" w:eastAsia="fr-FR"/>
        </w:rPr>
        <w:t>, ajouter un nouveau paragraphe 16.1.1.1.1</w:t>
      </w:r>
      <w:r w:rsidRPr="002E4449">
        <w:rPr>
          <w:i/>
          <w:lang w:val="fr-FR" w:eastAsia="fr-FR"/>
        </w:rPr>
        <w:t xml:space="preserve"> </w:t>
      </w:r>
      <w:r w:rsidRPr="002E4449">
        <w:rPr>
          <w:iCs/>
          <w:lang w:val="fr-FR" w:eastAsia="fr-FR"/>
        </w:rPr>
        <w:t>libellé comme suit :</w:t>
      </w:r>
    </w:p>
    <w:p w14:paraId="08DD8E67" w14:textId="77777777" w:rsidR="00491F67" w:rsidRPr="002E4449" w:rsidRDefault="00491F67" w:rsidP="00491F67">
      <w:pPr>
        <w:pStyle w:val="SingleTxtG"/>
        <w:ind w:left="2268" w:hanging="1134"/>
        <w:rPr>
          <w:lang w:val="fr-FR" w:eastAsia="fr-FR"/>
        </w:rPr>
      </w:pPr>
      <w:r w:rsidRPr="002E4449">
        <w:rPr>
          <w:bCs/>
          <w:lang w:val="fr-FR" w:eastAsia="fr-FR"/>
        </w:rPr>
        <w:t>« </w:t>
      </w:r>
      <w:r w:rsidRPr="002E4449">
        <w:rPr>
          <w:lang w:val="fr-FR" w:eastAsia="fr-FR"/>
        </w:rPr>
        <w:t>16.1.1.1.1</w:t>
      </w:r>
      <w:r w:rsidRPr="002E4449">
        <w:rPr>
          <w:lang w:val="fr-FR" w:eastAsia="fr-FR"/>
        </w:rPr>
        <w:tab/>
        <w:t>Modification temporaire du champ de visibilité</w:t>
      </w:r>
    </w:p>
    <w:p w14:paraId="36ACBD04" w14:textId="77777777" w:rsidR="00491F67" w:rsidRPr="002E4449" w:rsidRDefault="00491F67" w:rsidP="00491F67">
      <w:pPr>
        <w:pStyle w:val="SingleTxtG"/>
        <w:ind w:left="2268"/>
        <w:rPr>
          <w:lang w:val="fr-FR" w:eastAsia="fr-FR"/>
        </w:rPr>
      </w:pPr>
      <w:r w:rsidRPr="002E4449">
        <w:rPr>
          <w:lang w:val="fr-FR" w:eastAsia="fr-FR"/>
        </w:rPr>
        <w:t>Afin d</w:t>
      </w:r>
      <w:r>
        <w:rPr>
          <w:lang w:val="fr-FR" w:eastAsia="fr-FR"/>
        </w:rPr>
        <w:t>’</w:t>
      </w:r>
      <w:r w:rsidRPr="002E4449">
        <w:rPr>
          <w:lang w:val="fr-FR" w:eastAsia="fr-FR"/>
        </w:rPr>
        <w:t>augmenter le champ de visibilité pendant certaines manœuvres (par exemple, dans le cas des rétroviseurs/</w:t>
      </w:r>
      <w:proofErr w:type="spellStart"/>
      <w:r w:rsidRPr="002E4449">
        <w:rPr>
          <w:lang w:val="fr-FR" w:eastAsia="fr-FR"/>
        </w:rPr>
        <w:t>antéviseurs</w:t>
      </w:r>
      <w:proofErr w:type="spellEnd"/>
      <w:r w:rsidRPr="002E4449">
        <w:rPr>
          <w:lang w:val="fr-FR" w:eastAsia="fr-FR"/>
        </w:rPr>
        <w:t xml:space="preserve"> classiques, le conducteur modifie généralement le champ de vision en inclinant le miroir pour obtenir l</w:t>
      </w:r>
      <w:r>
        <w:rPr>
          <w:lang w:val="fr-FR" w:eastAsia="fr-FR"/>
        </w:rPr>
        <w:t>’</w:t>
      </w:r>
      <w:r w:rsidRPr="002E4449">
        <w:rPr>
          <w:lang w:val="fr-FR" w:eastAsia="fr-FR"/>
        </w:rPr>
        <w:t>angle d</w:t>
      </w:r>
      <w:r>
        <w:rPr>
          <w:lang w:val="fr-FR" w:eastAsia="fr-FR"/>
        </w:rPr>
        <w:t>’</w:t>
      </w:r>
      <w:r w:rsidRPr="002E4449">
        <w:rPr>
          <w:lang w:val="fr-FR" w:eastAsia="fr-FR"/>
        </w:rPr>
        <w:t>incidence voulu), la modification du champ de visibilité est autorisée pendant un temps limité, pendant lequel les dispositions des paragraphes 15.2.4 (Champ de vision) et 16.1.3 (Grossissement et résolution) peuvent ne pas être respectées.</w:t>
      </w:r>
    </w:p>
    <w:p w14:paraId="1BDC13C1" w14:textId="77777777" w:rsidR="00491F67" w:rsidRPr="002E4449" w:rsidRDefault="00491F67" w:rsidP="00491F67">
      <w:pPr>
        <w:pStyle w:val="SingleTxtG"/>
        <w:ind w:left="2268"/>
        <w:rPr>
          <w:bCs/>
          <w:lang w:val="fr-FR" w:eastAsia="fr-FR"/>
        </w:rPr>
      </w:pPr>
      <w:r w:rsidRPr="002E4449">
        <w:rPr>
          <w:bCs/>
          <w:lang w:val="fr-FR" w:eastAsia="fr-FR"/>
        </w:rPr>
        <w:t>Il faut que cette fonction soit intuitive et que son utilisation par le conducteur ne comporte pas de risques accrus en matière de sécurité, tels que des angles morts supplémentaires. Dans le cas d</w:t>
      </w:r>
      <w:r>
        <w:rPr>
          <w:bCs/>
          <w:lang w:val="fr-FR" w:eastAsia="fr-FR"/>
        </w:rPr>
        <w:t>’</w:t>
      </w:r>
      <w:r w:rsidRPr="002E4449">
        <w:rPr>
          <w:bCs/>
          <w:lang w:val="fr-FR" w:eastAsia="fr-FR"/>
        </w:rPr>
        <w:t>un véhicule articulé, la vue modifiée doit le montrer sur toute sa longueur. Cette fonction doit être désactivée dès que la manœuvre est terminée et le CMS doit alors revenir à la vision par défaut.</w:t>
      </w:r>
    </w:p>
    <w:p w14:paraId="64EE89A9" w14:textId="77777777" w:rsidR="00491F67" w:rsidRPr="002E4449" w:rsidRDefault="00491F67" w:rsidP="00491F67">
      <w:pPr>
        <w:pStyle w:val="SingleTxtG"/>
        <w:ind w:left="2268"/>
        <w:rPr>
          <w:bCs/>
          <w:lang w:val="fr-FR" w:eastAsia="fr-FR"/>
        </w:rPr>
      </w:pPr>
      <w:r w:rsidRPr="002E4449">
        <w:rPr>
          <w:bCs/>
          <w:lang w:val="fr-FR" w:eastAsia="fr-FR"/>
        </w:rPr>
        <w:t>Le conducteur doit être prévenu que la vision offerte est temporairement modifiée. Il doit être en mesure de désactiver cette fonction à tout moment. Le manuel d</w:t>
      </w:r>
      <w:r>
        <w:rPr>
          <w:bCs/>
          <w:lang w:val="fr-FR" w:eastAsia="fr-FR"/>
        </w:rPr>
        <w:t>’</w:t>
      </w:r>
      <w:r w:rsidRPr="002E4449">
        <w:rPr>
          <w:bCs/>
          <w:lang w:val="fr-FR" w:eastAsia="fr-FR"/>
        </w:rPr>
        <w:t>utilisation doit informer le conducteur en conséquence.</w:t>
      </w:r>
    </w:p>
    <w:p w14:paraId="2E23FB3A" w14:textId="77777777" w:rsidR="00491F67" w:rsidRPr="002E4449" w:rsidRDefault="00491F67" w:rsidP="00491F67">
      <w:pPr>
        <w:pStyle w:val="SingleTxtG"/>
        <w:ind w:left="2268"/>
        <w:rPr>
          <w:bCs/>
          <w:lang w:val="fr-FR" w:eastAsia="fr-FR"/>
        </w:rPr>
      </w:pPr>
      <w:r w:rsidRPr="002E4449">
        <w:rPr>
          <w:bCs/>
          <w:lang w:val="fr-FR" w:eastAsia="fr-FR"/>
        </w:rPr>
        <w:t>Le constructeur doit présenter au service technique et à l</w:t>
      </w:r>
      <w:r>
        <w:rPr>
          <w:bCs/>
          <w:lang w:val="fr-FR" w:eastAsia="fr-FR"/>
        </w:rPr>
        <w:t>’</w:t>
      </w:r>
      <w:r w:rsidRPr="002E4449">
        <w:rPr>
          <w:bCs/>
          <w:lang w:val="fr-FR" w:eastAsia="fr-FR"/>
        </w:rPr>
        <w:t>autorité d</w:t>
      </w:r>
      <w:r>
        <w:rPr>
          <w:bCs/>
          <w:lang w:val="fr-FR" w:eastAsia="fr-FR"/>
        </w:rPr>
        <w:t>’</w:t>
      </w:r>
      <w:r w:rsidRPr="002E4449">
        <w:rPr>
          <w:bCs/>
          <w:lang w:val="fr-FR" w:eastAsia="fr-FR"/>
        </w:rPr>
        <w:t>homologation de type une étude prouvant que le champ de visibilité est amélioré. ».</w:t>
      </w:r>
    </w:p>
    <w:p w14:paraId="3569A9F3" w14:textId="77777777" w:rsidR="00491F67" w:rsidRPr="002E4449" w:rsidRDefault="00491F67" w:rsidP="00491F67">
      <w:pPr>
        <w:pStyle w:val="SingleTxtG"/>
        <w:keepNext/>
        <w:rPr>
          <w:lang w:val="fr-FR" w:eastAsia="fr-FR"/>
        </w:rPr>
      </w:pPr>
      <w:r>
        <w:rPr>
          <w:i/>
          <w:lang w:val="fr-FR" w:eastAsia="fr-FR"/>
        </w:rPr>
        <w:t>A</w:t>
      </w:r>
      <w:r w:rsidRPr="002E4449">
        <w:rPr>
          <w:i/>
          <w:lang w:val="fr-FR" w:eastAsia="fr-FR"/>
        </w:rPr>
        <w:t>nnexe 2</w:t>
      </w:r>
      <w:r w:rsidRPr="002E4449">
        <w:rPr>
          <w:lang w:val="fr-FR" w:eastAsia="fr-FR"/>
        </w:rPr>
        <w:t>,</w:t>
      </w:r>
      <w:r w:rsidRPr="002E4449">
        <w:rPr>
          <w:iCs/>
          <w:lang w:val="fr-FR" w:eastAsia="fr-FR"/>
        </w:rPr>
        <w:t xml:space="preserve"> après le paragraphe 12.1.2.2.8,</w:t>
      </w:r>
      <w:r w:rsidRPr="002E4449">
        <w:rPr>
          <w:i/>
          <w:lang w:val="fr-FR" w:eastAsia="fr-FR"/>
        </w:rPr>
        <w:t xml:space="preserve"> </w:t>
      </w:r>
      <w:r w:rsidRPr="002E4449">
        <w:rPr>
          <w:iCs/>
          <w:lang w:val="fr-FR" w:eastAsia="fr-FR"/>
        </w:rPr>
        <w:t>ajouter un nouveau paragraphe 12.1.2.2.9</w:t>
      </w:r>
      <w:r w:rsidRPr="002E4449">
        <w:rPr>
          <w:i/>
          <w:lang w:val="fr-FR" w:eastAsia="fr-FR"/>
        </w:rPr>
        <w:t xml:space="preserve"> </w:t>
      </w:r>
      <w:r w:rsidRPr="002E4449">
        <w:rPr>
          <w:lang w:val="fr-FR" w:eastAsia="fr-FR"/>
        </w:rPr>
        <w:t>libellé comme suit :</w:t>
      </w:r>
    </w:p>
    <w:p w14:paraId="31A9ACDD" w14:textId="77777777" w:rsidR="00491F67" w:rsidRPr="002E4449" w:rsidRDefault="00491F67" w:rsidP="00491F67">
      <w:pPr>
        <w:pStyle w:val="SingleTxtG"/>
        <w:ind w:left="2268" w:hanging="1134"/>
        <w:rPr>
          <w:lang w:val="fr-FR" w:eastAsia="fr-FR"/>
        </w:rPr>
      </w:pPr>
      <w:r w:rsidRPr="002E4449">
        <w:rPr>
          <w:bCs/>
          <w:lang w:val="fr-FR" w:eastAsia="fr-FR"/>
        </w:rPr>
        <w:t>« </w:t>
      </w:r>
      <w:r w:rsidRPr="002E4449">
        <w:rPr>
          <w:lang w:val="fr-FR" w:eastAsia="fr-FR"/>
        </w:rPr>
        <w:t>12.1.2.2.9</w:t>
      </w:r>
      <w:r w:rsidRPr="002E4449">
        <w:rPr>
          <w:lang w:val="fr-FR" w:eastAsia="fr-FR"/>
        </w:rPr>
        <w:tab/>
        <w:t>Documentation mentionnée au paragraphe 16.1.1.1.1, le cas échéant :</w:t>
      </w:r>
    </w:p>
    <w:p w14:paraId="55596F1A" w14:textId="77777777" w:rsidR="005F0207" w:rsidRDefault="00491F67" w:rsidP="00491F67">
      <w:pPr>
        <w:pStyle w:val="SingleTxtG"/>
        <w:keepNext/>
        <w:kinsoku/>
        <w:overflowPunct/>
        <w:autoSpaceDE/>
        <w:autoSpaceDN/>
        <w:adjustRightInd/>
        <w:snapToGrid/>
        <w:spacing w:after="240" w:line="240" w:lineRule="exact"/>
        <w:ind w:left="2268"/>
        <w:rPr>
          <w:szCs w:val="22"/>
          <w:lang w:val="fr-FR"/>
        </w:rPr>
      </w:pPr>
      <w:r w:rsidRPr="002E4449">
        <w:rPr>
          <w:szCs w:val="22"/>
          <w:lang w:val="fr-FR"/>
        </w:rPr>
        <w:t>........................................................................................................................ ».</w:t>
      </w:r>
    </w:p>
    <w:p w14:paraId="630829F6" w14:textId="77777777" w:rsidR="00491F67" w:rsidRPr="00491F67" w:rsidRDefault="00491F67" w:rsidP="00491F67">
      <w:pPr>
        <w:pStyle w:val="SingleTxtG"/>
        <w:spacing w:before="240" w:after="0"/>
        <w:jc w:val="center"/>
        <w:rPr>
          <w:u w:val="single"/>
        </w:rPr>
      </w:pPr>
      <w:r>
        <w:rPr>
          <w:u w:val="single"/>
        </w:rPr>
        <w:tab/>
      </w:r>
      <w:r>
        <w:rPr>
          <w:u w:val="single"/>
        </w:rPr>
        <w:tab/>
      </w:r>
      <w:r>
        <w:rPr>
          <w:u w:val="single"/>
        </w:rPr>
        <w:tab/>
      </w:r>
    </w:p>
    <w:sectPr w:rsidR="00491F67" w:rsidRPr="00491F67" w:rsidSect="00491F67">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D774A" w14:textId="77777777" w:rsidR="002E59AB" w:rsidRDefault="002E59AB"/>
  </w:endnote>
  <w:endnote w:type="continuationSeparator" w:id="0">
    <w:p w14:paraId="4A7A8D5F" w14:textId="77777777" w:rsidR="002E59AB" w:rsidRDefault="002E59AB">
      <w:pPr>
        <w:pStyle w:val="Pieddepage"/>
      </w:pPr>
    </w:p>
  </w:endnote>
  <w:endnote w:type="continuationNotice" w:id="1">
    <w:p w14:paraId="1FE328BE" w14:textId="77777777" w:rsidR="002E59AB" w:rsidRPr="00C451B9" w:rsidRDefault="002E59AB"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BF52D" w14:textId="77777777" w:rsidR="00491F67" w:rsidRPr="00491F67" w:rsidRDefault="00491F67" w:rsidP="00491F67">
    <w:pPr>
      <w:pStyle w:val="Pieddepage"/>
      <w:tabs>
        <w:tab w:val="right" w:pos="9638"/>
      </w:tabs>
    </w:pPr>
    <w:r w:rsidRPr="00491F67">
      <w:rPr>
        <w:b/>
        <w:sz w:val="18"/>
      </w:rPr>
      <w:fldChar w:fldCharType="begin"/>
    </w:r>
    <w:r w:rsidRPr="00491F67">
      <w:rPr>
        <w:b/>
        <w:sz w:val="18"/>
      </w:rPr>
      <w:instrText xml:space="preserve"> PAGE  \* MERGEFORMAT </w:instrText>
    </w:r>
    <w:r w:rsidRPr="00491F67">
      <w:rPr>
        <w:b/>
        <w:sz w:val="18"/>
      </w:rPr>
      <w:fldChar w:fldCharType="separate"/>
    </w:r>
    <w:r w:rsidRPr="00491F67">
      <w:rPr>
        <w:b/>
        <w:noProof/>
        <w:sz w:val="18"/>
      </w:rPr>
      <w:t>2</w:t>
    </w:r>
    <w:r w:rsidRPr="00491F67">
      <w:rPr>
        <w:b/>
        <w:sz w:val="18"/>
      </w:rPr>
      <w:fldChar w:fldCharType="end"/>
    </w:r>
    <w:r>
      <w:rPr>
        <w:b/>
        <w:sz w:val="18"/>
      </w:rPr>
      <w:tab/>
    </w:r>
    <w:r>
      <w:t>GE.20-14411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5FC85" w14:textId="77777777" w:rsidR="00491F67" w:rsidRPr="00491F67" w:rsidRDefault="00491F67" w:rsidP="00491F67">
    <w:pPr>
      <w:pStyle w:val="Pieddepage"/>
      <w:tabs>
        <w:tab w:val="right" w:pos="9638"/>
      </w:tabs>
      <w:rPr>
        <w:b/>
        <w:sz w:val="18"/>
      </w:rPr>
    </w:pPr>
    <w:r>
      <w:t>GE.20-14411</w:t>
    </w:r>
    <w:r>
      <w:tab/>
    </w:r>
    <w:r w:rsidRPr="00491F67">
      <w:rPr>
        <w:b/>
        <w:sz w:val="18"/>
      </w:rPr>
      <w:fldChar w:fldCharType="begin"/>
    </w:r>
    <w:r w:rsidRPr="00491F67">
      <w:rPr>
        <w:b/>
        <w:sz w:val="18"/>
      </w:rPr>
      <w:instrText xml:space="preserve"> PAGE  \* MERGEFORMAT </w:instrText>
    </w:r>
    <w:r w:rsidRPr="00491F67">
      <w:rPr>
        <w:b/>
        <w:sz w:val="18"/>
      </w:rPr>
      <w:fldChar w:fldCharType="separate"/>
    </w:r>
    <w:r w:rsidRPr="00491F67">
      <w:rPr>
        <w:b/>
        <w:noProof/>
        <w:sz w:val="18"/>
      </w:rPr>
      <w:t>3</w:t>
    </w:r>
    <w:r w:rsidRPr="00491F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8FE47" w14:textId="77777777" w:rsidR="00467F2C" w:rsidRPr="00491F67" w:rsidRDefault="00491F67" w:rsidP="00491F67">
    <w:pPr>
      <w:pStyle w:val="Pieddepage"/>
      <w:spacing w:before="120"/>
      <w:rPr>
        <w:sz w:val="20"/>
      </w:rPr>
    </w:pPr>
    <w:r>
      <w:rPr>
        <w:sz w:val="20"/>
      </w:rPr>
      <w:t>GE.</w:t>
    </w:r>
    <w:r w:rsidR="00467F2C">
      <w:rPr>
        <w:noProof/>
        <w:lang w:eastAsia="fr-CH"/>
      </w:rPr>
      <w:drawing>
        <wp:anchor distT="0" distB="0" distL="114300" distR="114300" simplePos="0" relativeHeight="251660288" behindDoc="0" locked="0" layoutInCell="1" allowOverlap="1" wp14:anchorId="46ED083F" wp14:editId="0EF33407">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20-14411  (F)    181120    181120</w:t>
    </w:r>
    <w:r>
      <w:rPr>
        <w:sz w:val="20"/>
      </w:rPr>
      <w:br/>
    </w:r>
    <w:r w:rsidRPr="00491F67">
      <w:rPr>
        <w:rFonts w:ascii="C39T30Lfz" w:hAnsi="C39T30Lfz"/>
        <w:sz w:val="56"/>
      </w:rPr>
      <w:t>*2014411*</w:t>
    </w:r>
    <w:r>
      <w:rPr>
        <w:noProof/>
        <w:sz w:val="20"/>
      </w:rPr>
      <w:drawing>
        <wp:anchor distT="0" distB="0" distL="114300" distR="114300" simplePos="0" relativeHeight="251658240" behindDoc="0" locked="0" layoutInCell="1" allowOverlap="1" wp14:anchorId="551DC08F" wp14:editId="231FB302">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470CE" w14:textId="77777777" w:rsidR="002E59AB" w:rsidRPr="00D27D5E" w:rsidRDefault="002E59AB" w:rsidP="00D27D5E">
      <w:pPr>
        <w:tabs>
          <w:tab w:val="right" w:pos="2155"/>
        </w:tabs>
        <w:spacing w:after="80"/>
        <w:ind w:left="680"/>
        <w:rPr>
          <w:u w:val="single"/>
        </w:rPr>
      </w:pPr>
      <w:r>
        <w:rPr>
          <w:u w:val="single"/>
        </w:rPr>
        <w:tab/>
      </w:r>
    </w:p>
  </w:footnote>
  <w:footnote w:type="continuationSeparator" w:id="0">
    <w:p w14:paraId="613D91F4" w14:textId="77777777" w:rsidR="002E59AB" w:rsidRPr="00D171D4" w:rsidRDefault="002E59AB" w:rsidP="00D171D4">
      <w:pPr>
        <w:tabs>
          <w:tab w:val="right" w:pos="2155"/>
        </w:tabs>
        <w:spacing w:after="80"/>
        <w:ind w:left="680"/>
        <w:rPr>
          <w:u w:val="single"/>
        </w:rPr>
      </w:pPr>
      <w:r w:rsidRPr="00D171D4">
        <w:rPr>
          <w:u w:val="single"/>
        </w:rPr>
        <w:tab/>
      </w:r>
    </w:p>
  </w:footnote>
  <w:footnote w:type="continuationNotice" w:id="1">
    <w:p w14:paraId="536B3F38" w14:textId="77777777" w:rsidR="002E59AB" w:rsidRPr="00C451B9" w:rsidRDefault="002E59AB" w:rsidP="00C451B9">
      <w:pPr>
        <w:spacing w:line="240" w:lineRule="auto"/>
        <w:rPr>
          <w:sz w:val="2"/>
          <w:szCs w:val="2"/>
        </w:rPr>
      </w:pPr>
    </w:p>
  </w:footnote>
  <w:footnote w:id="2">
    <w:p w14:paraId="1AF0C347" w14:textId="77777777"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14:paraId="21803E75" w14:textId="77777777" w:rsidR="00591072" w:rsidRPr="00591072" w:rsidRDefault="00591072" w:rsidP="00591072">
      <w:pPr>
        <w:pStyle w:val="Notedebasdepage"/>
      </w:pPr>
      <w:r w:rsidRPr="00491F67">
        <w:tab/>
      </w:r>
      <w:r w:rsidRPr="00491F67">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4FE8C2CE" w14:textId="77777777" w:rsidR="00591072" w:rsidRPr="00591072" w:rsidRDefault="00591072" w:rsidP="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14:paraId="2F862A6F" w14:textId="77777777" w:rsidR="00442E31" w:rsidRPr="00442E31" w:rsidRDefault="00442E3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33CCD" w14:textId="3599C7C5" w:rsidR="00491F67" w:rsidRPr="00491F67" w:rsidRDefault="00491F67">
    <w:pPr>
      <w:pStyle w:val="En-tte"/>
      <w:rPr>
        <w:lang w:val="en-US"/>
      </w:rPr>
    </w:pPr>
    <w:r>
      <w:fldChar w:fldCharType="begin"/>
    </w:r>
    <w:r w:rsidRPr="00491F67">
      <w:rPr>
        <w:lang w:val="en-US"/>
      </w:rPr>
      <w:instrText xml:space="preserve"> TITLE  \* MERGEFORMAT </w:instrText>
    </w:r>
    <w:r>
      <w:fldChar w:fldCharType="separate"/>
    </w:r>
    <w:r w:rsidR="00940324">
      <w:rPr>
        <w:lang w:val="en-US"/>
      </w:rPr>
      <w:t>E/ECE/324/Rev.1/Add.45/Rev.6/Amend.5</w:t>
    </w:r>
    <w:r>
      <w:fldChar w:fldCharType="end"/>
    </w:r>
    <w:r w:rsidRPr="00491F67">
      <w:rPr>
        <w:lang w:val="en-US"/>
      </w:rPr>
      <w:br/>
    </w:r>
    <w:r>
      <w:fldChar w:fldCharType="begin"/>
    </w:r>
    <w:r w:rsidRPr="00491F67">
      <w:rPr>
        <w:lang w:val="en-US"/>
      </w:rPr>
      <w:instrText xml:space="preserve"> KEYWORDS  \* MERGEFORMAT </w:instrText>
    </w:r>
    <w:r>
      <w:fldChar w:fldCharType="separate"/>
    </w:r>
    <w:r w:rsidR="00940324">
      <w:rPr>
        <w:lang w:val="en-US"/>
      </w:rPr>
      <w:t>E/ECE/TRANS/505/Rev.1/Add.45/Rev.6/Amend.5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89DA8" w14:textId="4910759F" w:rsidR="00491F67" w:rsidRPr="00491F67" w:rsidRDefault="00491F67" w:rsidP="00491F67">
    <w:pPr>
      <w:pStyle w:val="En-tte"/>
      <w:jc w:val="right"/>
      <w:rPr>
        <w:lang w:val="en-US"/>
      </w:rPr>
    </w:pPr>
    <w:r>
      <w:fldChar w:fldCharType="begin"/>
    </w:r>
    <w:r w:rsidRPr="00491F67">
      <w:rPr>
        <w:lang w:val="en-US"/>
      </w:rPr>
      <w:instrText xml:space="preserve"> TITLE  \* MERGEFORMAT </w:instrText>
    </w:r>
    <w:r>
      <w:fldChar w:fldCharType="separate"/>
    </w:r>
    <w:r w:rsidR="00940324">
      <w:rPr>
        <w:lang w:val="en-US"/>
      </w:rPr>
      <w:t>E/ECE/324/Rev.1/Add.45/Rev.6/Amend.5</w:t>
    </w:r>
    <w:r>
      <w:fldChar w:fldCharType="end"/>
    </w:r>
    <w:r w:rsidRPr="00491F67">
      <w:rPr>
        <w:lang w:val="en-US"/>
      </w:rPr>
      <w:br/>
    </w:r>
    <w:r>
      <w:fldChar w:fldCharType="begin"/>
    </w:r>
    <w:r w:rsidRPr="00491F67">
      <w:rPr>
        <w:lang w:val="en-US"/>
      </w:rPr>
      <w:instrText xml:space="preserve"> KEYWORDS  \* MERGEFORMAT </w:instrText>
    </w:r>
    <w:r>
      <w:fldChar w:fldCharType="separate"/>
    </w:r>
    <w:r w:rsidR="00940324">
      <w:rPr>
        <w:lang w:val="en-US"/>
      </w:rPr>
      <w:t>E/ECE/TRANS/505/Rev.1/Add.45/Rev.6/Amend.5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59AB"/>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612"/>
    <w:rsid w:val="00286E23"/>
    <w:rsid w:val="002876A1"/>
    <w:rsid w:val="00287CA6"/>
    <w:rsid w:val="00287E79"/>
    <w:rsid w:val="002928F9"/>
    <w:rsid w:val="00294D5B"/>
    <w:rsid w:val="0029791D"/>
    <w:rsid w:val="002A2A2C"/>
    <w:rsid w:val="002A5D07"/>
    <w:rsid w:val="002D25CA"/>
    <w:rsid w:val="002D3DA4"/>
    <w:rsid w:val="002E2F5C"/>
    <w:rsid w:val="002E59AB"/>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91F67"/>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0324"/>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7BFD904A"/>
  <w15:docId w15:val="{25335F4E-DE6E-437C-B267-345948D9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A51A76-556F-4F6F-86BF-90C56B75EA87}"/>
</file>

<file path=customXml/itemProps2.xml><?xml version="1.0" encoding="utf-8"?>
<ds:datastoreItem xmlns:ds="http://schemas.openxmlformats.org/officeDocument/2006/customXml" ds:itemID="{007D252A-F8F0-4F11-A593-6A0E5EA76BC6}"/>
</file>

<file path=customXml/itemProps3.xml><?xml version="1.0" encoding="utf-8"?>
<ds:datastoreItem xmlns:ds="http://schemas.openxmlformats.org/officeDocument/2006/customXml" ds:itemID="{777ABE26-00CB-46A2-A6BF-1C14D1558379}"/>
</file>

<file path=docProps/app.xml><?xml version="1.0" encoding="utf-8"?>
<Properties xmlns="http://schemas.openxmlformats.org/officeDocument/2006/extended-properties" xmlns:vt="http://schemas.openxmlformats.org/officeDocument/2006/docPropsVTypes">
  <Template>E_ECE_324.dotm</Template>
  <TotalTime>1</TotalTime>
  <Pages>2</Pages>
  <Words>502</Words>
  <Characters>3269</Characters>
  <Application>Microsoft Office Word</Application>
  <DocSecurity>0</DocSecurity>
  <Lines>326</Lines>
  <Paragraphs>221</Paragraphs>
  <ScaleCrop>false</ScaleCrop>
  <HeadingPairs>
    <vt:vector size="2" baseType="variant">
      <vt:variant>
        <vt:lpstr>Titre</vt:lpstr>
      </vt:variant>
      <vt:variant>
        <vt:i4>1</vt:i4>
      </vt:variant>
    </vt:vector>
  </HeadingPairs>
  <TitlesOfParts>
    <vt:vector size="1" baseType="lpstr">
      <vt:lpstr>E/ECE/324/Rev</vt:lpstr>
    </vt:vector>
  </TitlesOfParts>
  <Company>CSD</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E/ECE/324/Rev.1/Add.45/Rev.6/Amend.5</dc:title>
  <dc:creator>Maud DARICHE</dc:creator>
  <cp:keywords>E/ECE/TRANS/505/Rev.1/Add.45/Rev.6/Amend.5</cp:keywords>
  <cp:lastModifiedBy>Maud Dariche</cp:lastModifiedBy>
  <cp:revision>3</cp:revision>
  <cp:lastPrinted>2020-11-18T09:04:00Z</cp:lastPrinted>
  <dcterms:created xsi:type="dcterms:W3CDTF">2020-11-18T09:04:00Z</dcterms:created>
  <dcterms:modified xsi:type="dcterms:W3CDTF">2020-11-18T09:05:00Z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