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2E1D95" w14:paraId="0E8C50F9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46ED1" w14:textId="77777777" w:rsidR="002E1D95" w:rsidRPr="002E1D95" w:rsidRDefault="002E1D95" w:rsidP="002E1D95">
            <w:pPr>
              <w:jc w:val="right"/>
              <w:rPr>
                <w:lang w:val="en-US"/>
              </w:rPr>
            </w:pPr>
            <w:r w:rsidRPr="002E1D95">
              <w:rPr>
                <w:sz w:val="40"/>
                <w:lang w:val="en-US"/>
              </w:rPr>
              <w:t>E</w:t>
            </w:r>
            <w:r w:rsidRPr="002E1D95">
              <w:rPr>
                <w:lang w:val="en-US"/>
              </w:rPr>
              <w:t>/ECE/324/Rev.1/Add.41/Amend.2−</w:t>
            </w:r>
            <w:r w:rsidRPr="002E1D95">
              <w:rPr>
                <w:sz w:val="40"/>
                <w:lang w:val="en-US"/>
              </w:rPr>
              <w:t>E</w:t>
            </w:r>
            <w:r w:rsidRPr="002E1D95">
              <w:rPr>
                <w:lang w:val="en-US"/>
              </w:rPr>
              <w:t>/ECE/TRANS/505/Rev.1/Add.41/Amend.2</w:t>
            </w:r>
          </w:p>
        </w:tc>
      </w:tr>
      <w:tr w:rsidR="00421A10" w:rsidRPr="00DB58B5" w14:paraId="29EACE10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0B1C7A" w14:textId="77777777" w:rsidR="00421A10" w:rsidRPr="002E1D95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503AC1" w14:textId="77777777" w:rsidR="00421A10" w:rsidRPr="00DB58B5" w:rsidRDefault="002E1D95" w:rsidP="00A27C92">
            <w:pPr>
              <w:spacing w:before="480" w:line="240" w:lineRule="exact"/>
            </w:pPr>
            <w:r>
              <w:t>2 février 2021</w:t>
            </w:r>
          </w:p>
        </w:tc>
      </w:tr>
    </w:tbl>
    <w:p w14:paraId="2FF00E63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2764A5E3" w14:textId="04CA7C54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</w:t>
      </w:r>
      <w:r w:rsidR="002E1D95" w:rsidRPr="00821A4D">
        <w:rPr>
          <w:lang w:val="fr-FR"/>
        </w:rPr>
        <w:t>l</w:t>
      </w:r>
      <w:r w:rsidR="002E1D95">
        <w:rPr>
          <w:lang w:val="fr-FR"/>
        </w:rPr>
        <w:t>’</w:t>
      </w:r>
      <w:r w:rsidR="002E1D95" w:rsidRPr="00821A4D">
        <w:rPr>
          <w:lang w:val="fr-FR"/>
        </w:rPr>
        <w:t xml:space="preserve">adoption de Règlements techniques harmonisés </w:t>
      </w:r>
      <w:r w:rsidR="001212B2">
        <w:rPr>
          <w:lang w:val="fr-FR"/>
        </w:rPr>
        <w:br/>
      </w:r>
      <w:r w:rsidR="002E1D95" w:rsidRPr="00821A4D">
        <w:rPr>
          <w:lang w:val="fr-FR"/>
        </w:rPr>
        <w:t>de l</w:t>
      </w:r>
      <w:r w:rsidR="002E1D95">
        <w:rPr>
          <w:lang w:val="fr-FR"/>
        </w:rPr>
        <w:t>’</w:t>
      </w:r>
      <w:r w:rsidR="002E1D95" w:rsidRPr="00821A4D">
        <w:rPr>
          <w:lang w:val="fr-FR"/>
        </w:rPr>
        <w:t xml:space="preserve">ONU applicables aux véhicules à roues et aux équipements </w:t>
      </w:r>
      <w:r w:rsidR="001212B2">
        <w:rPr>
          <w:lang w:val="fr-FR"/>
        </w:rPr>
        <w:br/>
      </w:r>
      <w:r w:rsidR="002E1D95" w:rsidRPr="00821A4D">
        <w:rPr>
          <w:lang w:val="fr-FR"/>
        </w:rPr>
        <w:t>et pièces susceptibles d</w:t>
      </w:r>
      <w:r w:rsidR="002E1D95">
        <w:rPr>
          <w:lang w:val="fr-FR"/>
        </w:rPr>
        <w:t>’</w:t>
      </w:r>
      <w:r w:rsidR="002E1D95" w:rsidRPr="00821A4D">
        <w:rPr>
          <w:lang w:val="fr-FR"/>
        </w:rPr>
        <w:t xml:space="preserve">être montés ou utilisés sur les véhicules </w:t>
      </w:r>
      <w:r w:rsidR="001212B2">
        <w:rPr>
          <w:lang w:val="fr-FR"/>
        </w:rPr>
        <w:br/>
      </w:r>
      <w:r w:rsidR="002E1D95" w:rsidRPr="00821A4D">
        <w:rPr>
          <w:lang w:val="fr-FR"/>
        </w:rPr>
        <w:t>à roues et les conditions de reconnaissance réciproque des homologations délivrées conformément à ces Règlements</w:t>
      </w:r>
      <w:r w:rsidR="00442E31" w:rsidRPr="002E1D95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5B3CB899" w14:textId="3A06A43A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="002E1D95" w:rsidRPr="00821A4D">
        <w:rPr>
          <w:rFonts w:eastAsia="Calibri"/>
          <w:lang w:val="fr-FR"/>
        </w:rPr>
        <w:t>3, comprenant les amendements entrés en vigueur le 14 septembre 2017</w:t>
      </w:r>
      <w:r w:rsidRPr="006549FF">
        <w:t>)</w:t>
      </w:r>
    </w:p>
    <w:p w14:paraId="4382BC32" w14:textId="77777777" w:rsidR="00421A10" w:rsidRPr="006549FF" w:rsidRDefault="0029791D" w:rsidP="0029791D">
      <w:pPr>
        <w:jc w:val="center"/>
      </w:pPr>
      <w:r>
        <w:t>_______________</w:t>
      </w:r>
    </w:p>
    <w:p w14:paraId="097A9240" w14:textId="7B6BFEAB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2E1D95">
        <w:t xml:space="preserve">41 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2E1D95">
        <w:t>42</w:t>
      </w:r>
    </w:p>
    <w:p w14:paraId="3E494AB0" w14:textId="4F69AABC" w:rsidR="00421A10" w:rsidRPr="006549FF" w:rsidRDefault="0029791D" w:rsidP="0029791D">
      <w:pPr>
        <w:pStyle w:val="H1G"/>
      </w:pPr>
      <w:r>
        <w:tab/>
      </w:r>
      <w:r>
        <w:tab/>
      </w:r>
      <w:r w:rsidR="002E1D95" w:rsidRPr="00821A4D">
        <w:rPr>
          <w:lang w:val="fr-FR"/>
        </w:rPr>
        <w:t>Amendement 2</w:t>
      </w:r>
    </w:p>
    <w:p w14:paraId="1CC30693" w14:textId="337609DC" w:rsidR="00421A10" w:rsidRPr="004A7E44" w:rsidRDefault="002E1D95" w:rsidP="0029791D">
      <w:pPr>
        <w:pStyle w:val="SingleTxtG"/>
        <w:spacing w:after="0"/>
      </w:pPr>
      <w:r w:rsidRPr="00821A4D">
        <w:rPr>
          <w:spacing w:val="-2"/>
          <w:lang w:val="fr-FR"/>
        </w:rPr>
        <w:t>Complément 2 à la version originale du Règlement − Date d</w:t>
      </w:r>
      <w:r>
        <w:rPr>
          <w:spacing w:val="-2"/>
          <w:lang w:val="fr-FR"/>
        </w:rPr>
        <w:t>’</w:t>
      </w:r>
      <w:r w:rsidRPr="00821A4D">
        <w:rPr>
          <w:spacing w:val="-2"/>
          <w:lang w:val="fr-FR"/>
        </w:rPr>
        <w:t xml:space="preserve">entrée en vigueur : </w:t>
      </w:r>
      <w:r w:rsidRPr="00821A4D">
        <w:rPr>
          <w:lang w:val="fr-FR"/>
        </w:rPr>
        <w:t>3 janvier 2021</w:t>
      </w:r>
    </w:p>
    <w:p w14:paraId="2133FC89" w14:textId="06635862" w:rsidR="002E1D95" w:rsidRPr="00821A4D" w:rsidRDefault="0029791D" w:rsidP="002E1D95">
      <w:pPr>
        <w:pStyle w:val="H1G"/>
        <w:rPr>
          <w:lang w:val="fr-FR"/>
        </w:rPr>
      </w:pPr>
      <w:r>
        <w:tab/>
      </w:r>
      <w:r>
        <w:tab/>
      </w:r>
      <w:r w:rsidR="002E1D95" w:rsidRPr="002E1D95">
        <w:t>Prescriptions</w:t>
      </w:r>
      <w:r w:rsidR="002E1D95" w:rsidRPr="00821A4D">
        <w:rPr>
          <w:lang w:val="fr-FR"/>
        </w:rPr>
        <w:t xml:space="preserve"> uniformes relatives à l</w:t>
      </w:r>
      <w:r w:rsidR="002E1D95">
        <w:rPr>
          <w:lang w:val="fr-FR"/>
        </w:rPr>
        <w:t>’</w:t>
      </w:r>
      <w:r w:rsidR="002E1D95" w:rsidRPr="00821A4D">
        <w:rPr>
          <w:lang w:val="fr-FR"/>
        </w:rPr>
        <w:t xml:space="preserve">homologation des véhicules </w:t>
      </w:r>
      <w:r w:rsidR="002E1D95">
        <w:rPr>
          <w:lang w:val="fr-FR"/>
        </w:rPr>
        <w:br/>
      </w:r>
      <w:r w:rsidR="002E1D95" w:rsidRPr="00821A4D">
        <w:rPr>
          <w:lang w:val="fr-FR"/>
        </w:rPr>
        <w:t xml:space="preserve">en ce qui concerne leurs dispositifs de protection (pare-chocs, etc.) </w:t>
      </w:r>
      <w:r w:rsidR="002E1D95">
        <w:rPr>
          <w:lang w:val="fr-FR"/>
        </w:rPr>
        <w:br/>
      </w:r>
      <w:r w:rsidR="002E1D95" w:rsidRPr="00821A4D">
        <w:rPr>
          <w:lang w:val="fr-FR"/>
        </w:rPr>
        <w:t>à l</w:t>
      </w:r>
      <w:r w:rsidR="002E1D95">
        <w:rPr>
          <w:lang w:val="fr-FR"/>
        </w:rPr>
        <w:t>’</w:t>
      </w:r>
      <w:r w:rsidR="002E1D95" w:rsidRPr="00821A4D">
        <w:rPr>
          <w:lang w:val="fr-FR"/>
        </w:rPr>
        <w:t>avant et à l</w:t>
      </w:r>
      <w:r w:rsidR="002E1D95">
        <w:rPr>
          <w:lang w:val="fr-FR"/>
        </w:rPr>
        <w:t>’</w:t>
      </w:r>
      <w:r w:rsidR="002E1D95" w:rsidRPr="00821A4D">
        <w:rPr>
          <w:lang w:val="fr-FR"/>
        </w:rPr>
        <w:t>arrière</w:t>
      </w:r>
    </w:p>
    <w:p w14:paraId="4C5D033D" w14:textId="6D18A703" w:rsidR="002E1D95" w:rsidRDefault="002E1D95" w:rsidP="002E1D95">
      <w:pPr>
        <w:pStyle w:val="SingleTxtG"/>
        <w:rPr>
          <w:spacing w:val="-6"/>
          <w:lang w:val="fr-FR" w:eastAsia="en-GB"/>
        </w:rPr>
      </w:pPr>
      <w:r w:rsidRPr="00821A4D">
        <w:rPr>
          <w:lang w:val="fr-FR" w:eastAsia="en-GB"/>
        </w:rPr>
        <w:tab/>
        <w:t>Le présent document est communiqué uniquement à titre d</w:t>
      </w:r>
      <w:r>
        <w:rPr>
          <w:lang w:val="fr-FR" w:eastAsia="en-GB"/>
        </w:rPr>
        <w:t>’</w:t>
      </w:r>
      <w:r w:rsidRPr="00821A4D">
        <w:rPr>
          <w:lang w:val="fr-FR" w:eastAsia="en-GB"/>
        </w:rPr>
        <w:t xml:space="preserve">information. Le texte authentique, juridiquement contraignant, est celui du document </w:t>
      </w:r>
      <w:r w:rsidRPr="00821A4D">
        <w:rPr>
          <w:spacing w:val="-6"/>
          <w:lang w:val="fr-FR" w:eastAsia="en-GB"/>
        </w:rPr>
        <w:t>ECE/TRANS/WP.29/2020/52.</w:t>
      </w:r>
    </w:p>
    <w:p w14:paraId="4EFD0753" w14:textId="65CC0C88" w:rsidR="002E1D95" w:rsidRDefault="00233BDE">
      <w:pPr>
        <w:suppressAutoHyphens w:val="0"/>
        <w:kinsoku/>
        <w:overflowPunct/>
        <w:autoSpaceDE/>
        <w:autoSpaceDN/>
        <w:adjustRightInd/>
        <w:snapToGrid/>
        <w:spacing w:line="240" w:lineRule="auto"/>
        <w:rPr>
          <w:spacing w:val="-6"/>
          <w:lang w:val="fr-FR" w:eastAsia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215D3" wp14:editId="340C149E">
                <wp:simplePos x="0" y="0"/>
                <wp:positionH relativeFrom="margin">
                  <wp:posOffset>6985</wp:posOffset>
                </wp:positionH>
                <wp:positionV relativeFrom="margin">
                  <wp:posOffset>6348276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C82D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448F3552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19010962" wp14:editId="57D1BC02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D75DD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215D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.55pt;margin-top:499.8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" stroked="f">
                <v:textbox inset="0,0,0,0">
                  <w:txbxContent>
                    <w:p w14:paraId="1B5FC82D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448F3552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19010962" wp14:editId="57D1BC02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D75DD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1D95">
        <w:rPr>
          <w:spacing w:val="-6"/>
          <w:lang w:val="fr-FR" w:eastAsia="en-GB"/>
        </w:rPr>
        <w:br w:type="page"/>
      </w:r>
    </w:p>
    <w:p w14:paraId="6285F06E" w14:textId="77777777" w:rsidR="002E1D95" w:rsidRPr="00821A4D" w:rsidRDefault="002E1D95" w:rsidP="002E1D95">
      <w:pPr>
        <w:spacing w:after="120"/>
        <w:ind w:left="1134" w:right="1134"/>
        <w:jc w:val="both"/>
        <w:rPr>
          <w:rFonts w:eastAsia="Calibri"/>
          <w:lang w:val="fr-FR"/>
        </w:rPr>
      </w:pPr>
      <w:r w:rsidRPr="00821A4D">
        <w:rPr>
          <w:rFonts w:eastAsia="Calibri"/>
          <w:i/>
          <w:lang w:val="fr-FR"/>
        </w:rPr>
        <w:lastRenderedPageBreak/>
        <w:t>Paragraphe 6.1.5</w:t>
      </w:r>
      <w:r w:rsidRPr="00821A4D">
        <w:rPr>
          <w:rFonts w:eastAsia="Calibri"/>
          <w:lang w:val="fr-FR"/>
        </w:rPr>
        <w:t>, lire :</w:t>
      </w:r>
    </w:p>
    <w:p w14:paraId="4765A1AC" w14:textId="77777777" w:rsidR="002E1D95" w:rsidRPr="00821A4D" w:rsidRDefault="002E1D95" w:rsidP="002E1D95">
      <w:pPr>
        <w:tabs>
          <w:tab w:val="left" w:pos="2268"/>
        </w:tabs>
        <w:spacing w:after="120"/>
        <w:ind w:left="2268" w:right="1134" w:hanging="1134"/>
        <w:jc w:val="both"/>
        <w:rPr>
          <w:rFonts w:eastAsia="Calibri"/>
          <w:lang w:val="fr-FR"/>
        </w:rPr>
      </w:pPr>
      <w:r w:rsidRPr="00821A4D">
        <w:rPr>
          <w:rFonts w:eastAsia="Calibri"/>
          <w:lang w:val="fr-FR"/>
        </w:rPr>
        <w:t>« 6.1.5</w:t>
      </w:r>
      <w:r w:rsidRPr="00821A4D">
        <w:rPr>
          <w:rFonts w:eastAsia="Calibri"/>
          <w:lang w:val="fr-FR"/>
        </w:rPr>
        <w:tab/>
        <w:t>Les systèmes de propulsion, suspension, y compris les pneumatiques, direction et freinage du véhicule doivent rester en bon état et fonctionner normalement.</w:t>
      </w:r>
    </w:p>
    <w:p w14:paraId="5E3FD5C5" w14:textId="7A753C4F" w:rsidR="005F0207" w:rsidRDefault="002E1D95" w:rsidP="002E1D95">
      <w:pPr>
        <w:pStyle w:val="SingleTxtG"/>
        <w:ind w:left="2268"/>
        <w:rPr>
          <w:rFonts w:eastAsia="Calibri"/>
          <w:lang w:val="fr-FR"/>
        </w:rPr>
      </w:pPr>
      <w:r w:rsidRPr="00821A4D">
        <w:rPr>
          <w:rFonts w:eastAsia="Calibri"/>
          <w:lang w:val="fr-FR"/>
        </w:rPr>
        <w:t>La présente prescription ne s</w:t>
      </w:r>
      <w:r>
        <w:rPr>
          <w:rFonts w:eastAsia="Calibri"/>
          <w:lang w:val="fr-FR"/>
        </w:rPr>
        <w:t>’</w:t>
      </w:r>
      <w:r w:rsidRPr="00821A4D">
        <w:rPr>
          <w:rFonts w:eastAsia="Calibri"/>
          <w:lang w:val="fr-FR"/>
        </w:rPr>
        <w:t>applique pas aux capteurs, caméras, dispositifs radar, etc., qui font partie des systèmes actifs d</w:t>
      </w:r>
      <w:r>
        <w:rPr>
          <w:rFonts w:eastAsia="Calibri"/>
          <w:lang w:val="fr-FR"/>
        </w:rPr>
        <w:t>’</w:t>
      </w:r>
      <w:r w:rsidRPr="00821A4D">
        <w:rPr>
          <w:rFonts w:eastAsia="Calibri"/>
          <w:lang w:val="fr-FR"/>
        </w:rPr>
        <w:t>aide à la conduite. Ces composants peuvent être endommagés, perdre leur orientation ou se briser à la suite d</w:t>
      </w:r>
      <w:r>
        <w:rPr>
          <w:rFonts w:eastAsia="Calibri"/>
          <w:lang w:val="fr-FR"/>
        </w:rPr>
        <w:t>’</w:t>
      </w:r>
      <w:r w:rsidRPr="00821A4D">
        <w:rPr>
          <w:rFonts w:eastAsia="Calibri"/>
          <w:lang w:val="fr-FR"/>
        </w:rPr>
        <w:t>un choc survenu conformément aux dispositions de l</w:t>
      </w:r>
      <w:r>
        <w:rPr>
          <w:rFonts w:eastAsia="Calibri"/>
          <w:lang w:val="fr-FR"/>
        </w:rPr>
        <w:t>’</w:t>
      </w:r>
      <w:r w:rsidRPr="00821A4D">
        <w:rPr>
          <w:rFonts w:eastAsia="Calibri"/>
          <w:lang w:val="fr-FR"/>
        </w:rPr>
        <w:t>annexe 3, sous réserve que les systèmes de base qui assurent le freinage et la direction du véhicule restent intacts. ».</w:t>
      </w:r>
    </w:p>
    <w:p w14:paraId="652D4820" w14:textId="19D88F19" w:rsidR="002E1D95" w:rsidRPr="002E1D95" w:rsidRDefault="002E1D95" w:rsidP="002E1D9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E1D95" w:rsidRPr="002E1D95" w:rsidSect="002E1D9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CF7D9" w14:textId="77777777" w:rsidR="003B7249" w:rsidRDefault="003B7249"/>
  </w:endnote>
  <w:endnote w:type="continuationSeparator" w:id="0">
    <w:p w14:paraId="1E3514CA" w14:textId="77777777" w:rsidR="003B7249" w:rsidRDefault="003B7249">
      <w:pPr>
        <w:pStyle w:val="Pieddepage"/>
      </w:pPr>
    </w:p>
  </w:endnote>
  <w:endnote w:type="continuationNotice" w:id="1">
    <w:p w14:paraId="2FED7FDE" w14:textId="77777777" w:rsidR="003B7249" w:rsidRPr="00C451B9" w:rsidRDefault="003B7249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275A" w14:textId="77777777" w:rsidR="002E1D95" w:rsidRPr="002E1D95" w:rsidRDefault="002E1D95" w:rsidP="002E1D95">
    <w:pPr>
      <w:pStyle w:val="Pieddepage"/>
      <w:tabs>
        <w:tab w:val="right" w:pos="9638"/>
      </w:tabs>
    </w:pPr>
    <w:r w:rsidRPr="002E1D95">
      <w:rPr>
        <w:b/>
        <w:sz w:val="18"/>
      </w:rPr>
      <w:fldChar w:fldCharType="begin"/>
    </w:r>
    <w:r w:rsidRPr="002E1D95">
      <w:rPr>
        <w:b/>
        <w:sz w:val="18"/>
      </w:rPr>
      <w:instrText xml:space="preserve"> PAGE  \* MERGEFORMAT </w:instrText>
    </w:r>
    <w:r w:rsidRPr="002E1D95">
      <w:rPr>
        <w:b/>
        <w:sz w:val="18"/>
      </w:rPr>
      <w:fldChar w:fldCharType="separate"/>
    </w:r>
    <w:r w:rsidRPr="002E1D95">
      <w:rPr>
        <w:b/>
        <w:noProof/>
        <w:sz w:val="18"/>
      </w:rPr>
      <w:t>2</w:t>
    </w:r>
    <w:r w:rsidRPr="002E1D95">
      <w:rPr>
        <w:b/>
        <w:sz w:val="18"/>
      </w:rPr>
      <w:fldChar w:fldCharType="end"/>
    </w:r>
    <w:r>
      <w:rPr>
        <w:b/>
        <w:sz w:val="18"/>
      </w:rPr>
      <w:tab/>
    </w:r>
    <w:r>
      <w:t>GE.21-01312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0323F" w14:textId="77777777" w:rsidR="002E1D95" w:rsidRPr="002E1D95" w:rsidRDefault="002E1D95" w:rsidP="002E1D95">
    <w:pPr>
      <w:pStyle w:val="Pieddepage"/>
      <w:tabs>
        <w:tab w:val="right" w:pos="9638"/>
      </w:tabs>
      <w:rPr>
        <w:b/>
        <w:sz w:val="18"/>
      </w:rPr>
    </w:pPr>
    <w:r>
      <w:t>GE.21-01312</w:t>
    </w:r>
    <w:r>
      <w:tab/>
    </w:r>
    <w:r w:rsidRPr="002E1D95">
      <w:rPr>
        <w:b/>
        <w:sz w:val="18"/>
      </w:rPr>
      <w:fldChar w:fldCharType="begin"/>
    </w:r>
    <w:r w:rsidRPr="002E1D95">
      <w:rPr>
        <w:b/>
        <w:sz w:val="18"/>
      </w:rPr>
      <w:instrText xml:space="preserve"> PAGE  \* MERGEFORMAT </w:instrText>
    </w:r>
    <w:r w:rsidRPr="002E1D95">
      <w:rPr>
        <w:b/>
        <w:sz w:val="18"/>
      </w:rPr>
      <w:fldChar w:fldCharType="separate"/>
    </w:r>
    <w:r w:rsidRPr="002E1D95">
      <w:rPr>
        <w:b/>
        <w:noProof/>
        <w:sz w:val="18"/>
      </w:rPr>
      <w:t>3</w:t>
    </w:r>
    <w:r w:rsidRPr="002E1D9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6FAE" w14:textId="58733553" w:rsidR="00467F2C" w:rsidRPr="002E1D95" w:rsidRDefault="002E1D95" w:rsidP="002E1D95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88B65A6" wp14:editId="36C7448E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21-01312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8A7D50C" wp14:editId="59A5325B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230421    260321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D861" w14:textId="77777777" w:rsidR="003B7249" w:rsidRPr="00D27D5E" w:rsidRDefault="003B7249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30F7179" w14:textId="77777777" w:rsidR="003B7249" w:rsidRPr="00D171D4" w:rsidRDefault="003B7249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263F0535" w14:textId="77777777" w:rsidR="003B7249" w:rsidRPr="00C451B9" w:rsidRDefault="003B7249" w:rsidP="00C451B9">
      <w:pPr>
        <w:spacing w:line="240" w:lineRule="auto"/>
        <w:rPr>
          <w:sz w:val="2"/>
          <w:szCs w:val="2"/>
        </w:rPr>
      </w:pPr>
    </w:p>
  </w:footnote>
  <w:footnote w:id="2">
    <w:p w14:paraId="3189B6C9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0B35FBD0" w14:textId="77777777" w:rsidR="00591072" w:rsidRPr="00591072" w:rsidRDefault="00591072" w:rsidP="00591072">
      <w:pPr>
        <w:pStyle w:val="Notedebasdepage"/>
      </w:pPr>
      <w:r w:rsidRPr="002E1D95">
        <w:tab/>
      </w:r>
      <w:r w:rsidRPr="002E1D95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6B059914" w14:textId="57F16C29" w:rsidR="00442E31" w:rsidRPr="00442E31" w:rsidRDefault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FADB5" w14:textId="77777777" w:rsidR="002E1D95" w:rsidRPr="002E1D95" w:rsidRDefault="002E1D95">
    <w:pPr>
      <w:pStyle w:val="En-tte"/>
      <w:rPr>
        <w:lang w:val="en-US"/>
      </w:rPr>
    </w:pPr>
    <w:r>
      <w:fldChar w:fldCharType="begin"/>
    </w:r>
    <w:r w:rsidRPr="002E1D95">
      <w:rPr>
        <w:lang w:val="en-US"/>
      </w:rPr>
      <w:instrText xml:space="preserve"> TITLE  \* MERGEFORMAT </w:instrText>
    </w:r>
    <w:r>
      <w:fldChar w:fldCharType="separate"/>
    </w:r>
    <w:r w:rsidRPr="002E1D95">
      <w:rPr>
        <w:lang w:val="en-US"/>
      </w:rPr>
      <w:t>E/ECE/324/Rev.1/Add.41/Amend.2</w:t>
    </w:r>
    <w:r>
      <w:fldChar w:fldCharType="end"/>
    </w:r>
    <w:r w:rsidRPr="002E1D95">
      <w:rPr>
        <w:lang w:val="en-US"/>
      </w:rPr>
      <w:br/>
    </w:r>
    <w:r>
      <w:fldChar w:fldCharType="begin"/>
    </w:r>
    <w:r w:rsidRPr="002E1D95">
      <w:rPr>
        <w:lang w:val="en-US"/>
      </w:rPr>
      <w:instrText xml:space="preserve"> KEYWORDS  \* MERGEFORMAT </w:instrText>
    </w:r>
    <w:r>
      <w:fldChar w:fldCharType="separate"/>
    </w:r>
    <w:r w:rsidRPr="002E1D95">
      <w:rPr>
        <w:lang w:val="en-US"/>
      </w:rPr>
      <w:t>E/ECE/TRANS/505/Rev.1/Add.41/Amend.2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1655E" w14:textId="77777777" w:rsidR="002E1D95" w:rsidRPr="002E1D95" w:rsidRDefault="002E1D95" w:rsidP="002E1D95">
    <w:pPr>
      <w:pStyle w:val="En-tte"/>
      <w:jc w:val="right"/>
      <w:rPr>
        <w:lang w:val="en-US"/>
      </w:rPr>
    </w:pPr>
    <w:r>
      <w:fldChar w:fldCharType="begin"/>
    </w:r>
    <w:r w:rsidRPr="002E1D95">
      <w:rPr>
        <w:lang w:val="en-US"/>
      </w:rPr>
      <w:instrText xml:space="preserve"> TITLE  \* MERGEFORMAT </w:instrText>
    </w:r>
    <w:r>
      <w:fldChar w:fldCharType="separate"/>
    </w:r>
    <w:r w:rsidRPr="002E1D95">
      <w:rPr>
        <w:lang w:val="en-US"/>
      </w:rPr>
      <w:t>E/ECE/324/Rev.1/Add.41/Amend.2</w:t>
    </w:r>
    <w:r>
      <w:fldChar w:fldCharType="end"/>
    </w:r>
    <w:r w:rsidRPr="002E1D95">
      <w:rPr>
        <w:lang w:val="en-US"/>
      </w:rPr>
      <w:br/>
    </w:r>
    <w:r>
      <w:fldChar w:fldCharType="begin"/>
    </w:r>
    <w:r w:rsidRPr="002E1D95">
      <w:rPr>
        <w:lang w:val="en-US"/>
      </w:rPr>
      <w:instrText xml:space="preserve"> KEYWORDS  \* MERGEFORMAT </w:instrText>
    </w:r>
    <w:r>
      <w:fldChar w:fldCharType="separate"/>
    </w:r>
    <w:r w:rsidRPr="002E1D95">
      <w:rPr>
        <w:lang w:val="en-US"/>
      </w:rPr>
      <w:t>E/ECE/TRANS/505/Rev.1/Add.41/Amend.2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49"/>
    <w:rsid w:val="0001470D"/>
    <w:rsid w:val="00016165"/>
    <w:rsid w:val="00016AC5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4D9D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12B2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33BDE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1D95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B7249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9DDEB8"/>
  <w15:docId w15:val="{0B29B2FD-9180-4FEC-9965-3BEED13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link w:val="H1GChar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  <w:style w:type="character" w:customStyle="1" w:styleId="H1GChar">
    <w:name w:val="_ H_1_G Char"/>
    <w:link w:val="H1G"/>
    <w:rsid w:val="002E1D95"/>
    <w:rPr>
      <w:rFonts w:eastAsiaTheme="minorHAnsi"/>
      <w:b/>
      <w:sz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76869-8FA8-4E3C-B391-A88DD9EA3C29}"/>
</file>

<file path=customXml/itemProps2.xml><?xml version="1.0" encoding="utf-8"?>
<ds:datastoreItem xmlns:ds="http://schemas.openxmlformats.org/officeDocument/2006/customXml" ds:itemID="{3267AD63-D8DF-4FE1-B994-1F80030D4A5A}"/>
</file>

<file path=customXml/itemProps3.xml><?xml version="1.0" encoding="utf-8"?>
<ds:datastoreItem xmlns:ds="http://schemas.openxmlformats.org/officeDocument/2006/customXml" ds:itemID="{990D3E88-5AA0-4F57-A3C0-6C6EBB496881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0</TotalTime>
  <Pages>2</Pages>
  <Words>210</Words>
  <Characters>1370</Characters>
  <Application>Microsoft Office Word</Application>
  <DocSecurity>0</DocSecurity>
  <Lines>137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E/ECE/324/Rev.1/Add.41/Amend.2</dc:title>
  <dc:creator>Corinne ROBERT</dc:creator>
  <cp:keywords>E/ECE/TRANS/505/Rev.1/Add.41/Amend.2</cp:keywords>
  <cp:lastModifiedBy>Corinne ROBERT</cp:lastModifiedBy>
  <cp:revision>2</cp:revision>
  <cp:lastPrinted>2008-11-04T15:54:00Z</cp:lastPrinted>
  <dcterms:created xsi:type="dcterms:W3CDTF">2021-04-26T06:27:00Z</dcterms:created>
  <dcterms:modified xsi:type="dcterms:W3CDTF">2021-04-26T06:27:00Z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