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8C7A" w14:textId="7A0D8E7F" w:rsidR="00446FE5" w:rsidRPr="00B72385" w:rsidRDefault="00472D21" w:rsidP="00472D21">
      <w:pPr>
        <w:jc w:val="right"/>
        <w:rPr>
          <w:sz w:val="24"/>
          <w:szCs w:val="24"/>
        </w:rPr>
      </w:pPr>
      <w:r>
        <w:rPr>
          <w:noProof/>
        </w:rPr>
        <w:drawing>
          <wp:inline distT="0" distB="0" distL="0" distR="0" wp14:anchorId="52143E2C" wp14:editId="412315F1">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p w14:paraId="68C161D1" w14:textId="5DD28A08" w:rsidR="00472D21" w:rsidRPr="00B72385" w:rsidRDefault="00472D21" w:rsidP="00150DB2">
      <w:pPr>
        <w:rPr>
          <w:sz w:val="24"/>
          <w:szCs w:val="24"/>
        </w:rPr>
      </w:pPr>
    </w:p>
    <w:p w14:paraId="71063F74" w14:textId="646CF11D" w:rsidR="00472D21" w:rsidRPr="00B72385" w:rsidRDefault="00472D21" w:rsidP="00150DB2">
      <w:pPr>
        <w:rPr>
          <w:sz w:val="24"/>
          <w:szCs w:val="24"/>
        </w:rPr>
      </w:pPr>
    </w:p>
    <w:p w14:paraId="426AE1C4" w14:textId="5F096ABB" w:rsidR="00472D21" w:rsidRDefault="00472D21" w:rsidP="00150DB2">
      <w:pPr>
        <w:rPr>
          <w:sz w:val="24"/>
          <w:szCs w:val="24"/>
        </w:rPr>
      </w:pPr>
    </w:p>
    <w:p w14:paraId="07506479" w14:textId="77777777" w:rsidR="00B72385" w:rsidRPr="00B72385" w:rsidRDefault="00B72385" w:rsidP="00150DB2">
      <w:pPr>
        <w:rPr>
          <w:sz w:val="24"/>
          <w:szCs w:val="24"/>
        </w:rPr>
      </w:pPr>
    </w:p>
    <w:p w14:paraId="5CD25115" w14:textId="77777777" w:rsidR="00472D21" w:rsidRDefault="00472D21" w:rsidP="00472D21">
      <w:pPr>
        <w:pStyle w:val="HChG"/>
        <w:spacing w:before="0" w:after="0" w:line="240" w:lineRule="auto"/>
        <w:rPr>
          <w:lang w:eastAsia="en-US"/>
        </w:rPr>
      </w:pPr>
      <w:r>
        <w:rPr>
          <w:lang w:eastAsia="en-US"/>
        </w:rPr>
        <w:tab/>
      </w:r>
      <w:r w:rsidRPr="00472D21">
        <w:rPr>
          <w:lang w:eastAsia="en-US"/>
        </w:rPr>
        <w:t>United Nations Economic Commission for Europe Steering Committee</w:t>
      </w:r>
    </w:p>
    <w:p w14:paraId="348E312E" w14:textId="77777777" w:rsidR="00472D21" w:rsidRDefault="00472D21" w:rsidP="00472D21">
      <w:pPr>
        <w:pStyle w:val="HChG"/>
        <w:spacing w:before="0" w:after="0" w:line="240" w:lineRule="auto"/>
        <w:rPr>
          <w:lang w:eastAsia="en-US"/>
        </w:rPr>
      </w:pPr>
      <w:r w:rsidRPr="00472D21">
        <w:rPr>
          <w:lang w:eastAsia="en-US"/>
        </w:rPr>
        <w:t>on Education for Sustainable Development</w:t>
      </w:r>
    </w:p>
    <w:p w14:paraId="2BBB18C0" w14:textId="77777777" w:rsidR="00472D21" w:rsidRPr="00472D21" w:rsidRDefault="00472D21" w:rsidP="00472D21">
      <w:pPr>
        <w:pStyle w:val="HChG"/>
        <w:spacing w:before="0" w:after="0" w:line="240" w:lineRule="auto"/>
        <w:rPr>
          <w:sz w:val="24"/>
          <w:szCs w:val="24"/>
          <w:lang w:eastAsia="en-US"/>
        </w:rPr>
      </w:pPr>
    </w:p>
    <w:p w14:paraId="3658AC10" w14:textId="4E018794" w:rsidR="00472D21" w:rsidRPr="00472D21" w:rsidRDefault="00472D21" w:rsidP="00472D21">
      <w:pPr>
        <w:pStyle w:val="HChG"/>
        <w:spacing w:before="0" w:after="0" w:line="240" w:lineRule="auto"/>
        <w:rPr>
          <w:sz w:val="24"/>
          <w:szCs w:val="24"/>
          <w:lang w:eastAsia="en-US"/>
        </w:rPr>
      </w:pPr>
      <w:r w:rsidRPr="00472D21">
        <w:rPr>
          <w:b w:val="0"/>
          <w:bCs/>
          <w:sz w:val="24"/>
          <w:szCs w:val="24"/>
          <w:lang w:eastAsia="en-US"/>
        </w:rPr>
        <w:t>16</w:t>
      </w:r>
      <w:r w:rsidRPr="00472D21">
        <w:rPr>
          <w:b w:val="0"/>
          <w:bCs/>
          <w:sz w:val="24"/>
          <w:szCs w:val="24"/>
          <w:vertAlign w:val="superscript"/>
          <w:lang w:eastAsia="en-US"/>
        </w:rPr>
        <w:t>th</w:t>
      </w:r>
      <w:r w:rsidRPr="00472D21">
        <w:rPr>
          <w:b w:val="0"/>
          <w:bCs/>
          <w:sz w:val="24"/>
          <w:szCs w:val="24"/>
          <w:lang w:eastAsia="en-US"/>
        </w:rPr>
        <w:t xml:space="preserve"> meeting, 10 and 11 May 2021</w:t>
      </w:r>
    </w:p>
    <w:p w14:paraId="4F098188" w14:textId="322B35F2" w:rsidR="00472D21" w:rsidRDefault="00472D21" w:rsidP="00150DB2"/>
    <w:p w14:paraId="3EC16366" w14:textId="1C0F1BC5" w:rsidR="00B72385" w:rsidRDefault="00B72385" w:rsidP="00150DB2"/>
    <w:p w14:paraId="0AA914A2" w14:textId="138949F2" w:rsidR="00B72385" w:rsidRDefault="00B72385" w:rsidP="00150DB2"/>
    <w:p w14:paraId="14E67A25" w14:textId="68E89DE1" w:rsidR="00B72385" w:rsidRDefault="00B72385" w:rsidP="00150DB2"/>
    <w:p w14:paraId="3EFDA2AC" w14:textId="23566379" w:rsidR="00B72385" w:rsidRDefault="00B72385" w:rsidP="00150DB2"/>
    <w:p w14:paraId="4432DB45" w14:textId="6E12B663" w:rsidR="00B72385" w:rsidRDefault="00B72385" w:rsidP="00150DB2"/>
    <w:p w14:paraId="5EEBE960" w14:textId="77777777" w:rsidR="00B72385" w:rsidRDefault="00B72385" w:rsidP="00150DB2"/>
    <w:p w14:paraId="62C9A043" w14:textId="44D256B5" w:rsidR="00472D21" w:rsidRPr="00472D21" w:rsidRDefault="00472D21" w:rsidP="00B72385">
      <w:pPr>
        <w:pStyle w:val="HChG"/>
        <w:spacing w:after="360"/>
        <w:rPr>
          <w:lang w:eastAsia="en-US"/>
        </w:rPr>
      </w:pPr>
      <w:r>
        <w:rPr>
          <w:lang w:eastAsia="en-US"/>
        </w:rPr>
        <w:tab/>
      </w:r>
      <w:r w:rsidRPr="00472D21">
        <w:rPr>
          <w:lang w:eastAsia="en-US"/>
        </w:rPr>
        <w:t>Information Paper 1</w:t>
      </w:r>
    </w:p>
    <w:p w14:paraId="78EE9FC9" w14:textId="1746856F" w:rsidR="00472D21" w:rsidRPr="00472D21" w:rsidRDefault="00472D21" w:rsidP="00B72385">
      <w:pPr>
        <w:pStyle w:val="H1G"/>
        <w:tabs>
          <w:tab w:val="clear" w:pos="851"/>
        </w:tabs>
        <w:spacing w:before="240" w:after="0" w:line="240" w:lineRule="auto"/>
        <w:ind w:left="0" w:firstLine="0"/>
        <w:rPr>
          <w:sz w:val="28"/>
          <w:szCs w:val="28"/>
          <w:lang w:eastAsia="en-US"/>
        </w:rPr>
      </w:pPr>
      <w:r w:rsidRPr="00472D21">
        <w:rPr>
          <w:sz w:val="28"/>
          <w:szCs w:val="28"/>
          <w:lang w:eastAsia="en-US"/>
        </w:rPr>
        <w:t>Proposed topics for reporting on progress in the implementation of the UNECE</w:t>
      </w:r>
      <w:r>
        <w:rPr>
          <w:sz w:val="28"/>
          <w:szCs w:val="28"/>
          <w:lang w:eastAsia="en-US"/>
        </w:rPr>
        <w:t xml:space="preserve"> </w:t>
      </w:r>
      <w:r w:rsidRPr="00472D21">
        <w:rPr>
          <w:sz w:val="28"/>
          <w:szCs w:val="28"/>
          <w:lang w:eastAsia="en-US"/>
        </w:rPr>
        <w:t>Strategy for Education for Sustainable Development</w:t>
      </w:r>
    </w:p>
    <w:p w14:paraId="36F156CF" w14:textId="0779B2F1" w:rsidR="00472D21" w:rsidRDefault="00472D21" w:rsidP="00150DB2"/>
    <w:p w14:paraId="2A34E3CB"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Item 2 (b) of the provisional agenda:</w:t>
      </w:r>
    </w:p>
    <w:p w14:paraId="4A139EEA"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 xml:space="preserve">Implementation of the UNECE Strategy for Education </w:t>
      </w:r>
    </w:p>
    <w:p w14:paraId="6DC456E0" w14:textId="77777777" w:rsidR="00472D21" w:rsidRPr="00472D21" w:rsidRDefault="00472D21" w:rsidP="00472D21">
      <w:pPr>
        <w:kinsoku/>
        <w:overflowPunct/>
        <w:autoSpaceDE/>
        <w:autoSpaceDN/>
        <w:adjustRightInd/>
        <w:snapToGrid/>
        <w:spacing w:after="120"/>
        <w:rPr>
          <w:rFonts w:eastAsia="Times New Roman"/>
          <w:lang w:eastAsia="en-US"/>
        </w:rPr>
      </w:pPr>
      <w:r w:rsidRPr="00472D21">
        <w:rPr>
          <w:rFonts w:eastAsia="Times New Roman"/>
          <w:lang w:eastAsia="en-US"/>
        </w:rPr>
        <w:t>for Sustainable Development: Progress in implementing the Strategy</w:t>
      </w:r>
    </w:p>
    <w:p w14:paraId="2045CC0F" w14:textId="416D4737" w:rsidR="00472D21" w:rsidRDefault="00472D21" w:rsidP="00472D21">
      <w:pPr>
        <w:kinsoku/>
        <w:overflowPunct/>
        <w:autoSpaceDE/>
        <w:autoSpaceDN/>
        <w:adjustRightInd/>
        <w:snapToGrid/>
        <w:rPr>
          <w:rFonts w:eastAsia="Times New Roman"/>
          <w:b/>
          <w:lang w:eastAsia="en-US"/>
        </w:rPr>
      </w:pPr>
    </w:p>
    <w:p w14:paraId="1851D470" w14:textId="77777777" w:rsidR="00B72385" w:rsidRPr="00472D21" w:rsidRDefault="00B72385" w:rsidP="00472D21">
      <w:pPr>
        <w:kinsoku/>
        <w:overflowPunct/>
        <w:autoSpaceDE/>
        <w:autoSpaceDN/>
        <w:adjustRightInd/>
        <w:snapToGrid/>
        <w:rPr>
          <w:rFonts w:eastAsia="Times New Roman"/>
          <w:b/>
          <w:lang w:eastAsia="en-US"/>
        </w:rPr>
      </w:pPr>
    </w:p>
    <w:p w14:paraId="30B21884"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 xml:space="preserve">Prepared by the Secretariat </w:t>
      </w:r>
    </w:p>
    <w:p w14:paraId="62D28331" w14:textId="164F7CCB" w:rsidR="00472D21" w:rsidRDefault="00472D21" w:rsidP="00150DB2"/>
    <w:p w14:paraId="027342C1" w14:textId="1AD492C6" w:rsidR="00B72385" w:rsidRDefault="00B72385" w:rsidP="00150DB2"/>
    <w:p w14:paraId="680F734C" w14:textId="77777777" w:rsidR="00B72385" w:rsidRDefault="00B72385" w:rsidP="00150DB2"/>
    <w:tbl>
      <w:tblPr>
        <w:tblStyle w:val="a9"/>
        <w:tblW w:w="0" w:type="auto"/>
        <w:jc w:val="center"/>
        <w:tblBorders>
          <w:insideH w:val="none" w:sz="0" w:space="0" w:color="auto"/>
        </w:tblBorders>
        <w:tblLook w:val="05E0" w:firstRow="1" w:lastRow="1" w:firstColumn="1" w:lastColumn="1" w:noHBand="0" w:noVBand="1"/>
      </w:tblPr>
      <w:tblGrid>
        <w:gridCol w:w="9628"/>
      </w:tblGrid>
      <w:tr w:rsidR="00472D21" w14:paraId="03A124BD" w14:textId="77777777" w:rsidTr="00472D21">
        <w:trPr>
          <w:jc w:val="center"/>
        </w:trPr>
        <w:tc>
          <w:tcPr>
            <w:tcW w:w="9628" w:type="dxa"/>
            <w:shd w:val="clear" w:color="auto" w:fill="auto"/>
          </w:tcPr>
          <w:p w14:paraId="047A597A" w14:textId="13090339" w:rsidR="00472D21" w:rsidRPr="0069364F" w:rsidRDefault="00472D21" w:rsidP="00472D21">
            <w:pPr>
              <w:rPr>
                <w:rFonts w:eastAsia="Times New Roman"/>
                <w:lang w:eastAsia="en-US"/>
              </w:rPr>
            </w:pPr>
            <w:r w:rsidRPr="0069364F">
              <w:rPr>
                <w:i/>
              </w:rPr>
              <w:t xml:space="preserve">Note for your attention: </w:t>
            </w:r>
            <w:r w:rsidRPr="0069364F">
              <w:rPr>
                <w:rFonts w:eastAsia="Times New Roman"/>
                <w:lang w:eastAsia="en-US"/>
              </w:rPr>
              <w:t>This questionnaire is not a formal reporting, but an intermediate informal reporting exercise to report on the current situation in your country at the beginning of the period 2021-2030, particularly regarding new policy developments with regard to progress on SDGs and impact of C</w:t>
            </w:r>
            <w:r w:rsidR="00401E99">
              <w:rPr>
                <w:rFonts w:eastAsia="Times New Roman"/>
                <w:lang w:eastAsia="en-US"/>
              </w:rPr>
              <w:t>OVID</w:t>
            </w:r>
            <w:r w:rsidRPr="0069364F">
              <w:rPr>
                <w:rFonts w:eastAsia="Times New Roman"/>
                <w:lang w:eastAsia="en-US"/>
              </w:rPr>
              <w:t>-19.</w:t>
            </w:r>
          </w:p>
          <w:p w14:paraId="64C75118" w14:textId="77777777" w:rsidR="00472D21" w:rsidRPr="0069364F" w:rsidRDefault="00472D21" w:rsidP="00472D21">
            <w:pPr>
              <w:kinsoku/>
              <w:overflowPunct/>
              <w:autoSpaceDE/>
              <w:autoSpaceDN/>
              <w:adjustRightInd/>
              <w:snapToGrid/>
              <w:rPr>
                <w:rFonts w:eastAsia="Times New Roman"/>
                <w:lang w:eastAsia="en-US"/>
              </w:rPr>
            </w:pPr>
          </w:p>
          <w:p w14:paraId="3D626A9F" w14:textId="61789D7D" w:rsidR="00472D21" w:rsidRPr="00472D21" w:rsidRDefault="00472D21" w:rsidP="00472D21">
            <w:pPr>
              <w:kinsoku/>
              <w:overflowPunct/>
              <w:autoSpaceDE/>
              <w:autoSpaceDN/>
              <w:adjustRightInd/>
              <w:snapToGrid/>
              <w:rPr>
                <w:rFonts w:eastAsia="Times New Roman"/>
                <w:lang w:eastAsia="en-US"/>
              </w:rPr>
            </w:pPr>
            <w:r w:rsidRPr="0069364F">
              <w:rPr>
                <w:rFonts w:eastAsia="Times New Roman"/>
                <w:lang w:eastAsia="en-US"/>
              </w:rPr>
              <w:t>Some questions follow the updated format for reporting which is currently in progress of finalising and the four strands of work which were discussed during the recent meetings of the ECE Steering Committee on ESD. A formal format for reporting will be finalised as soon as the new concept note for strategic planning 2021-2030 is approved and the questionnaire/format for reporting is brought further in line with the UNESCO scheme for reporting.</w:t>
            </w:r>
          </w:p>
        </w:tc>
      </w:tr>
      <w:tr w:rsidR="00472D21" w14:paraId="603924EB" w14:textId="77777777" w:rsidTr="00472D21">
        <w:trPr>
          <w:jc w:val="center"/>
        </w:trPr>
        <w:tc>
          <w:tcPr>
            <w:tcW w:w="9628" w:type="dxa"/>
            <w:shd w:val="clear" w:color="auto" w:fill="auto"/>
          </w:tcPr>
          <w:p w14:paraId="6B380C34" w14:textId="77777777" w:rsidR="00472D21" w:rsidRDefault="00472D21" w:rsidP="006E5E26"/>
        </w:tc>
      </w:tr>
    </w:tbl>
    <w:p w14:paraId="623F886A" w14:textId="6B3EACC8" w:rsidR="00472D21" w:rsidRDefault="00472D21" w:rsidP="00472D21"/>
    <w:p w14:paraId="5E7775D5" w14:textId="489D1A30" w:rsidR="00472D21" w:rsidRDefault="00472D21" w:rsidP="00472D21">
      <w:r>
        <w:br w:type="page"/>
      </w:r>
    </w:p>
    <w:p w14:paraId="40ED5C0B" w14:textId="77777777" w:rsidR="00472D21" w:rsidRPr="00472D21" w:rsidRDefault="00472D21" w:rsidP="00472D21">
      <w:pPr>
        <w:pStyle w:val="SingleTxtG"/>
        <w:rPr>
          <w:lang w:eastAsia="en-US"/>
        </w:rPr>
      </w:pPr>
      <w:r w:rsidRPr="00472D21">
        <w:rPr>
          <w:lang w:eastAsia="en-US"/>
        </w:rPr>
        <w:lastRenderedPageBreak/>
        <w:t>1.</w:t>
      </w:r>
      <w:r w:rsidRPr="00472D21">
        <w:rPr>
          <w:lang w:eastAsia="en-US"/>
        </w:rPr>
        <w:tab/>
        <w:t xml:space="preserve">National reporting on the progress achieved in the implementation of the United Nations Economic Commission for Europe (ECE) Strategy for Education for Sustainable Development offers a valuable opportunity for countries to learn from each other and to share newly produced resources and materials within and beyond the ECE region. </w:t>
      </w:r>
    </w:p>
    <w:p w14:paraId="6CF0DB0C" w14:textId="77777777" w:rsidR="00472D21" w:rsidRPr="00472D21" w:rsidRDefault="00472D21" w:rsidP="00472D21">
      <w:pPr>
        <w:pStyle w:val="SingleTxtG"/>
        <w:rPr>
          <w:lang w:eastAsia="en-US"/>
        </w:rPr>
      </w:pPr>
      <w:r w:rsidRPr="00472D21">
        <w:rPr>
          <w:lang w:eastAsia="en-US"/>
        </w:rPr>
        <w:t>2.</w:t>
      </w:r>
      <w:r w:rsidRPr="00472D21">
        <w:rPr>
          <w:lang w:eastAsia="en-US"/>
        </w:rPr>
        <w:tab/>
        <w:t>In preparation for the sixteenth meeting of the ECE Steering Committee on Education for Sustainable Development, countries are requested to fill in the questionnaire below, informing on progress made and challenges encountered in working on  priority action areas after the fourth mandatory reporting cycle carried out in 2018 and since the fourteenth Steering Committee meeting (Geneva, 2 and 3 May 2019).</w:t>
      </w:r>
    </w:p>
    <w:p w14:paraId="6F105F61" w14:textId="42338BE9" w:rsidR="00472D21" w:rsidRPr="00472D21" w:rsidRDefault="00472D21" w:rsidP="00472D21">
      <w:pPr>
        <w:pStyle w:val="SingleTxtG"/>
        <w:rPr>
          <w:lang w:eastAsia="en-US"/>
        </w:rPr>
      </w:pPr>
      <w:r w:rsidRPr="00472D21">
        <w:rPr>
          <w:lang w:eastAsia="en-US"/>
        </w:rPr>
        <w:t>4.</w:t>
      </w:r>
      <w:r w:rsidRPr="00472D21">
        <w:rPr>
          <w:lang w:eastAsia="en-US"/>
        </w:rPr>
        <w:tab/>
        <w:t>Countries are kindly requested to submit this information in writing to the secretariat via e-mail (</w:t>
      </w:r>
      <w:hyperlink r:id="rId9" w:history="1">
        <w:r w:rsidRPr="00472D21">
          <w:rPr>
            <w:color w:val="0070C0"/>
            <w:lang w:eastAsia="en-US"/>
          </w:rPr>
          <w:t>nona.iliukhina@un.org</w:t>
        </w:r>
      </w:hyperlink>
      <w:r w:rsidRPr="00472D21">
        <w:rPr>
          <w:lang w:eastAsia="en-US"/>
        </w:rPr>
        <w:t xml:space="preserve"> and </w:t>
      </w:r>
      <w:hyperlink r:id="rId10" w:history="1">
        <w:r w:rsidRPr="00472D21">
          <w:rPr>
            <w:color w:val="0070C0"/>
            <w:lang w:eastAsia="en-US"/>
          </w:rPr>
          <w:t>esd@unece.org</w:t>
        </w:r>
      </w:hyperlink>
      <w:r w:rsidRPr="00472D21">
        <w:rPr>
          <w:lang w:eastAsia="en-US"/>
        </w:rPr>
        <w:t xml:space="preserve">) by </w:t>
      </w:r>
      <w:r w:rsidR="00095FF1">
        <w:rPr>
          <w:b/>
          <w:bCs/>
          <w:lang w:eastAsia="en-US"/>
        </w:rPr>
        <w:t>2</w:t>
      </w:r>
      <w:r w:rsidR="00D37392">
        <w:rPr>
          <w:b/>
          <w:bCs/>
          <w:lang w:eastAsia="en-US"/>
        </w:rPr>
        <w:t>0</w:t>
      </w:r>
      <w:r w:rsidRPr="00472D21">
        <w:rPr>
          <w:b/>
          <w:bCs/>
          <w:lang w:eastAsia="en-US"/>
        </w:rPr>
        <w:t xml:space="preserve"> </w:t>
      </w:r>
      <w:r w:rsidRPr="00472D21">
        <w:rPr>
          <w:b/>
          <w:lang w:eastAsia="en-US"/>
        </w:rPr>
        <w:t>April 2021.</w:t>
      </w:r>
    </w:p>
    <w:p w14:paraId="62280E89" w14:textId="77777777" w:rsidR="00472D21" w:rsidRPr="00472D21" w:rsidRDefault="00472D21" w:rsidP="00472D21">
      <w:pPr>
        <w:pStyle w:val="SingleTxtG"/>
        <w:rPr>
          <w:lang w:eastAsia="en-US"/>
        </w:rPr>
      </w:pPr>
      <w:r w:rsidRPr="00472D21">
        <w:rPr>
          <w:lang w:eastAsia="en-US"/>
        </w:rPr>
        <w:t>5.</w:t>
      </w:r>
      <w:r w:rsidRPr="00472D21">
        <w:rPr>
          <w:lang w:eastAsia="en-US"/>
        </w:rPr>
        <w:tab/>
        <w:t>The secretariat will review the information submitted and deliver a brief synthesis presentation at the Steering Committee’s sixteenth meeting. The presentation will be followed by an interactive discussion.</w:t>
      </w:r>
    </w:p>
    <w:p w14:paraId="35C2992D" w14:textId="77777777" w:rsidR="00472D21" w:rsidRPr="00472D21" w:rsidRDefault="00472D21" w:rsidP="00472D21">
      <w:pPr>
        <w:pStyle w:val="SingleTxtG"/>
        <w:rPr>
          <w:lang w:eastAsia="en-US"/>
        </w:rPr>
      </w:pPr>
      <w:r w:rsidRPr="00472D21">
        <w:rPr>
          <w:lang w:eastAsia="en-US"/>
        </w:rPr>
        <w:t>6.</w:t>
      </w:r>
      <w:r w:rsidRPr="00472D21">
        <w:rPr>
          <w:lang w:eastAsia="en-US"/>
        </w:rPr>
        <w:tab/>
        <w:t>In the below questionnaire, particular attention is be paid to: (a) the priority action areas of the proposed newly drafted concept note for the post-2019 implementation framework (quality education and ESD; whole institution approach and ESD; digital education, information and communications technology and ESD; entrepreneurship, employability, innovation and ESD); (b) the impacts of the coronavirus disease (COVID-19) pandemic on ESD implementation.</w:t>
      </w:r>
    </w:p>
    <w:p w14:paraId="4E027688" w14:textId="455E9B8C" w:rsidR="00472D21" w:rsidRDefault="00472D21" w:rsidP="00472D21">
      <w:pPr>
        <w:pStyle w:val="SingleTxtG"/>
        <w:rPr>
          <w:lang w:eastAsia="en-US"/>
        </w:rPr>
      </w:pPr>
      <w:r w:rsidRPr="00472D21">
        <w:rPr>
          <w:lang w:eastAsia="en-US"/>
        </w:rPr>
        <w:t>7.</w:t>
      </w:r>
      <w:r>
        <w:rPr>
          <w:lang w:eastAsia="en-US"/>
        </w:rPr>
        <w:tab/>
      </w:r>
      <w:r w:rsidRPr="00472D21">
        <w:rPr>
          <w:lang w:eastAsia="en-US"/>
        </w:rPr>
        <w:t>Countries will be invited to complement the secretariat’s presentation with interventions on outstanding activities and initiatives implemented since the fourteenth Steering Committee meeting (Geneva, 2 and 3 May 2019), in particular with regard to how the implementation of national strategies for ESD contributes to the new developments and challenges for ESD in the region. Given the limited time available, countries will only have up to three minutes each for interventions from the floor.</w:t>
      </w:r>
    </w:p>
    <w:p w14:paraId="598228A4" w14:textId="715E1329" w:rsidR="00472D21" w:rsidRDefault="00472D21" w:rsidP="00472D21">
      <w:pPr>
        <w:pStyle w:val="SingleTxtG"/>
        <w:rPr>
          <w:lang w:eastAsia="en-US"/>
        </w:rPr>
      </w:pPr>
    </w:p>
    <w:p w14:paraId="41120833" w14:textId="5D4ADF0F" w:rsidR="00472D21" w:rsidRDefault="00472D21" w:rsidP="00472D21">
      <w:pPr>
        <w:pStyle w:val="SingleTxtG"/>
        <w:rPr>
          <w:lang w:eastAsia="en-US"/>
        </w:rPr>
      </w:pPr>
      <w:r>
        <w:rPr>
          <w:lang w:eastAsia="en-US"/>
        </w:rPr>
        <w:br w:type="page"/>
      </w:r>
    </w:p>
    <w:p w14:paraId="1AFFE113" w14:textId="35B47734" w:rsidR="004E4F21" w:rsidRPr="004E4F21" w:rsidRDefault="004E4F21" w:rsidP="004E4F21">
      <w:pPr>
        <w:pStyle w:val="HChG"/>
      </w:pPr>
      <w:r>
        <w:lastRenderedPageBreak/>
        <w:tab/>
      </w:r>
      <w:r>
        <w:tab/>
      </w:r>
      <w:r w:rsidRPr="004E4F21">
        <w:t>Questionnaire for 2021 informal country</w:t>
      </w:r>
      <w:r w:rsidRPr="004E4F21">
        <w:rPr>
          <w:vertAlign w:val="superscript"/>
        </w:rPr>
        <w:footnoteReference w:id="2"/>
      </w:r>
      <w:r w:rsidRPr="004E4F21">
        <w:t xml:space="preserve"> reporting on the implementation of the priority action areas of the newly drafted concept note for the post-2019 implementation framework</w:t>
      </w:r>
      <w:r w:rsidRPr="004E4F21">
        <w:rPr>
          <w:vertAlign w:val="superscript"/>
        </w:rPr>
        <w:footnoteReference w:id="3"/>
      </w:r>
      <w:r w:rsidRPr="004E4F21">
        <w:t xml:space="preserve"> </w:t>
      </w:r>
    </w:p>
    <w:p w14:paraId="656A6327" w14:textId="77777777" w:rsidR="004E4F21" w:rsidRPr="004E4F21" w:rsidRDefault="004E4F21" w:rsidP="004E4F21">
      <w:pPr>
        <w:pStyle w:val="H1G"/>
      </w:pPr>
      <w:r w:rsidRPr="004E4F21">
        <w:tab/>
      </w:r>
      <w:r w:rsidRPr="004E4F21">
        <w:tab/>
        <w:t>Advances made and challenges encountered since the fourteenth Steering Committee meeting in May 2019</w:t>
      </w:r>
    </w:p>
    <w:p w14:paraId="1C5C1F96" w14:textId="46C3D602" w:rsidR="00472D21" w:rsidRDefault="004E4F21" w:rsidP="004E4F21">
      <w:pPr>
        <w:pStyle w:val="H4G"/>
        <w:rPr>
          <w:b/>
          <w:bCs/>
        </w:rPr>
      </w:pPr>
      <w:r w:rsidRPr="004E4F21">
        <w:tab/>
      </w:r>
      <w:r>
        <w:tab/>
      </w:r>
      <w:r w:rsidRPr="004E4F21">
        <w:rPr>
          <w:b/>
          <w:bCs/>
        </w:rPr>
        <w:t>I.</w:t>
      </w:r>
      <w:r w:rsidRPr="004E4F21">
        <w:rPr>
          <w:b/>
          <w:bCs/>
        </w:rPr>
        <w:tab/>
        <w:t>Priority action area (a</w:t>
      </w:r>
      <w:r>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5278"/>
      </w:tblGrid>
      <w:tr w:rsidR="004E4F21" w:rsidRPr="004E4F21" w14:paraId="3C59B0B9" w14:textId="77777777" w:rsidTr="004F6E96">
        <w:trPr>
          <w:tblHeader/>
        </w:trPr>
        <w:tc>
          <w:tcPr>
            <w:tcW w:w="7370" w:type="dxa"/>
            <w:gridSpan w:val="2"/>
            <w:tcBorders>
              <w:top w:val="single" w:sz="4" w:space="0" w:color="auto"/>
              <w:bottom w:val="single" w:sz="12" w:space="0" w:color="auto"/>
            </w:tcBorders>
            <w:shd w:val="clear" w:color="auto" w:fill="auto"/>
            <w:vAlign w:val="bottom"/>
          </w:tcPr>
          <w:p w14:paraId="3A788381" w14:textId="77777777" w:rsidR="004E4F21" w:rsidRPr="004E4F21" w:rsidRDefault="004E4F21" w:rsidP="004E4F21">
            <w:pPr>
              <w:suppressAutoHyphens w:val="0"/>
              <w:kinsoku/>
              <w:overflowPunct/>
              <w:autoSpaceDE/>
              <w:autoSpaceDN/>
              <w:adjustRightInd/>
              <w:snapToGrid/>
              <w:spacing w:before="80" w:after="80" w:line="240" w:lineRule="auto"/>
              <w:ind w:right="113"/>
              <w:rPr>
                <w:rFonts w:eastAsia="Times New Roman"/>
                <w:i/>
                <w:sz w:val="18"/>
                <w:szCs w:val="18"/>
                <w:lang w:eastAsia="en-US"/>
              </w:rPr>
            </w:pPr>
            <w:r w:rsidRPr="004E4F21">
              <w:rPr>
                <w:rFonts w:eastAsia="Times New Roman"/>
                <w:i/>
                <w:sz w:val="18"/>
                <w:szCs w:val="18"/>
                <w:lang w:eastAsia="en-US"/>
              </w:rPr>
              <w:t>Encouraging countries to embed ESD i</w:t>
            </w:r>
            <w:r w:rsidRPr="004E4F21">
              <w:rPr>
                <w:rFonts w:eastAsia="Times New Roman"/>
                <w:i/>
                <w:sz w:val="18"/>
                <w:szCs w:val="18"/>
                <w:lang w:eastAsia="en-GB"/>
              </w:rPr>
              <w:t xml:space="preserve">nto </w:t>
            </w:r>
            <w:r w:rsidRPr="004E4F21">
              <w:rPr>
                <w:rFonts w:eastAsia="Times New Roman"/>
                <w:i/>
                <w:sz w:val="18"/>
                <w:szCs w:val="18"/>
                <w:lang w:val="en-US" w:eastAsia="en-GB"/>
              </w:rPr>
              <w:t xml:space="preserve">quality </w:t>
            </w:r>
            <w:r w:rsidRPr="004E4F21">
              <w:rPr>
                <w:rFonts w:eastAsia="Times New Roman"/>
                <w:i/>
                <w:sz w:val="18"/>
                <w:szCs w:val="18"/>
                <w:lang w:eastAsia="en-GB"/>
              </w:rPr>
              <w:t>stan</w:t>
            </w:r>
            <w:proofErr w:type="spellStart"/>
            <w:r w:rsidRPr="004E4F21">
              <w:rPr>
                <w:rFonts w:eastAsia="Times New Roman"/>
                <w:i/>
                <w:sz w:val="18"/>
                <w:szCs w:val="18"/>
                <w:lang w:val="en-US" w:eastAsia="en-GB"/>
              </w:rPr>
              <w:t>dards</w:t>
            </w:r>
            <w:proofErr w:type="spellEnd"/>
            <w:r w:rsidRPr="004E4F21">
              <w:rPr>
                <w:rFonts w:eastAsia="Times New Roman"/>
                <w:i/>
                <w:sz w:val="18"/>
                <w:szCs w:val="18"/>
                <w:lang w:val="en-US" w:eastAsia="en-GB"/>
              </w:rPr>
              <w:t xml:space="preserve">, frameworks and resources </w:t>
            </w:r>
            <w:r w:rsidRPr="004E4F21">
              <w:rPr>
                <w:rFonts w:eastAsia="Times New Roman"/>
                <w:i/>
                <w:sz w:val="18"/>
                <w:szCs w:val="18"/>
                <w:lang w:eastAsia="en-GB"/>
              </w:rPr>
              <w:t xml:space="preserve">associated with </w:t>
            </w:r>
            <w:r w:rsidRPr="004E4F21">
              <w:rPr>
                <w:rFonts w:eastAsia="Times New Roman"/>
                <w:i/>
                <w:sz w:val="18"/>
                <w:szCs w:val="18"/>
                <w:lang w:val="en-US" w:eastAsia="en-GB"/>
              </w:rPr>
              <w:t>formal quality assessments and institutional reviews</w:t>
            </w:r>
          </w:p>
        </w:tc>
      </w:tr>
      <w:tr w:rsidR="004E4F21" w:rsidRPr="004E4F21" w14:paraId="678ED9D0" w14:textId="77777777" w:rsidTr="004F6E96">
        <w:trPr>
          <w:trHeight w:hRule="exact" w:val="113"/>
          <w:tblHeader/>
        </w:trPr>
        <w:tc>
          <w:tcPr>
            <w:tcW w:w="7370" w:type="dxa"/>
            <w:gridSpan w:val="2"/>
            <w:tcBorders>
              <w:top w:val="single" w:sz="12" w:space="0" w:color="auto"/>
              <w:bottom w:val="nil"/>
            </w:tcBorders>
            <w:shd w:val="clear" w:color="auto" w:fill="auto"/>
            <w:vAlign w:val="bottom"/>
          </w:tcPr>
          <w:p w14:paraId="57DD8046" w14:textId="77777777" w:rsidR="004E4F21" w:rsidRPr="004E4F21" w:rsidRDefault="004E4F21" w:rsidP="004E4F21">
            <w:pPr>
              <w:suppressAutoHyphens w:val="0"/>
              <w:kinsoku/>
              <w:overflowPunct/>
              <w:autoSpaceDE/>
              <w:autoSpaceDN/>
              <w:adjustRightInd/>
              <w:snapToGrid/>
              <w:spacing w:before="80" w:after="80" w:line="240" w:lineRule="auto"/>
              <w:ind w:right="113"/>
              <w:rPr>
                <w:rFonts w:eastAsia="Times New Roman"/>
                <w:i/>
                <w:sz w:val="16"/>
                <w:szCs w:val="16"/>
                <w:lang w:eastAsia="en-US"/>
              </w:rPr>
            </w:pPr>
          </w:p>
        </w:tc>
      </w:tr>
      <w:tr w:rsidR="004E4F21" w:rsidRPr="004E4F21" w14:paraId="34BE9355" w14:textId="77777777" w:rsidTr="004F6E96">
        <w:tc>
          <w:tcPr>
            <w:tcW w:w="7370" w:type="dxa"/>
            <w:gridSpan w:val="2"/>
            <w:tcBorders>
              <w:top w:val="nil"/>
            </w:tcBorders>
            <w:shd w:val="clear" w:color="auto" w:fill="auto"/>
          </w:tcPr>
          <w:p w14:paraId="6E46FF57"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1.</w:t>
            </w:r>
            <w:r w:rsidRPr="004E4F21">
              <w:rPr>
                <w:rFonts w:eastAsia="Times New Roman"/>
                <w:b/>
                <w:lang w:eastAsia="en-US"/>
              </w:rPr>
              <w:tab/>
            </w:r>
            <w:r w:rsidRPr="00F52124">
              <w:rPr>
                <w:rFonts w:eastAsia="Times New Roman"/>
                <w:b/>
                <w:bCs/>
                <w:lang w:val="en-US" w:eastAsia="en-US"/>
              </w:rPr>
              <w:t>Are there currently any national or subnational quality assessment/enhancement systems that address ESD in your country</w:t>
            </w:r>
            <w:r w:rsidRPr="004E4F21">
              <w:rPr>
                <w:rFonts w:eastAsia="Times New Roman"/>
                <w:b/>
                <w:lang w:eastAsia="en-US"/>
              </w:rPr>
              <w:t>?</w:t>
            </w:r>
          </w:p>
        </w:tc>
      </w:tr>
      <w:tr w:rsidR="004E4F21" w:rsidRPr="004E4F21" w14:paraId="0694F371" w14:textId="77777777" w:rsidTr="004F6E96">
        <w:tc>
          <w:tcPr>
            <w:tcW w:w="2092" w:type="dxa"/>
            <w:shd w:val="clear" w:color="auto" w:fill="auto"/>
          </w:tcPr>
          <w:p w14:paraId="0E26FEEC" w14:textId="2E67AE38" w:rsidR="004E4F21" w:rsidRPr="004E4F21" w:rsidRDefault="004E4F21" w:rsidP="004E4F21">
            <w:pPr>
              <w:tabs>
                <w:tab w:val="left" w:pos="42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0817BC">
              <w:rPr>
                <w:rFonts w:eastAsia="Times New Roman"/>
                <w:lang w:eastAsia="en-US"/>
              </w:rPr>
            </w:r>
            <w:r w:rsidR="000817BC">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002D3498">
              <w:rPr>
                <w:rFonts w:ascii="Yu Gothic" w:eastAsia="Yu Gothic" w:hAnsi="Yu Gothic" w:hint="eastAsia"/>
                <w:lang w:eastAsia="en-US"/>
              </w:rPr>
              <w:t>⊠</w:t>
            </w:r>
          </w:p>
        </w:tc>
        <w:tc>
          <w:tcPr>
            <w:tcW w:w="5278" w:type="dxa"/>
            <w:shd w:val="clear" w:color="auto" w:fill="auto"/>
          </w:tcPr>
          <w:p w14:paraId="090E4B73"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right="113"/>
              <w:rPr>
                <w:rFonts w:eastAsia="Times New Roman"/>
                <w:i/>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p>
          <w:p w14:paraId="04713899"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6" w:right="113" w:hanging="426"/>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presentation on this topic or if there is an outstanding initiative in your country on this topic</w:t>
            </w:r>
          </w:p>
        </w:tc>
      </w:tr>
      <w:tr w:rsidR="004E4F21" w:rsidRPr="004E4F21" w14:paraId="4B3C26DA" w14:textId="77777777" w:rsidTr="004F6E96">
        <w:tc>
          <w:tcPr>
            <w:tcW w:w="7370" w:type="dxa"/>
            <w:gridSpan w:val="2"/>
            <w:tcBorders>
              <w:bottom w:val="nil"/>
            </w:tcBorders>
            <w:shd w:val="clear" w:color="auto" w:fill="auto"/>
          </w:tcPr>
          <w:p w14:paraId="1B4BEFD3" w14:textId="6275A26A"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2.</w:t>
            </w:r>
            <w:r w:rsidRPr="004E4F21">
              <w:rPr>
                <w:rFonts w:eastAsia="Times New Roman"/>
                <w:b/>
                <w:lang w:eastAsia="en-US"/>
              </w:rPr>
              <w:tab/>
              <w:t xml:space="preserve">Do quality frameworks exist in your country, for integrating ESD/SDGs in teachers’ professional development? </w:t>
            </w:r>
          </w:p>
        </w:tc>
      </w:tr>
      <w:tr w:rsidR="004E4F21" w:rsidRPr="004E4F21" w14:paraId="24723F21" w14:textId="77777777" w:rsidTr="004F6E96">
        <w:tc>
          <w:tcPr>
            <w:tcW w:w="2092" w:type="dxa"/>
            <w:tcBorders>
              <w:top w:val="nil"/>
              <w:bottom w:val="nil"/>
            </w:tcBorders>
            <w:shd w:val="clear" w:color="auto" w:fill="auto"/>
          </w:tcPr>
          <w:p w14:paraId="5DAB51AF" w14:textId="57E4C47E" w:rsidR="004E4F21" w:rsidRPr="004E4F21" w:rsidRDefault="004E4F21" w:rsidP="004E4F21">
            <w:pPr>
              <w:tabs>
                <w:tab w:val="left" w:pos="42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0817BC">
              <w:rPr>
                <w:rFonts w:eastAsia="Times New Roman"/>
                <w:lang w:eastAsia="en-US"/>
              </w:rPr>
            </w:r>
            <w:r w:rsidR="000817BC">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002D3498" w:rsidRPr="004E4F21">
              <w:rPr>
                <w:rFonts w:eastAsia="Times New Roman"/>
                <w:lang w:eastAsia="en-US"/>
              </w:rPr>
              <w:t xml:space="preserve"> </w:t>
            </w:r>
            <w:r w:rsidR="002D3498">
              <w:rPr>
                <w:rFonts w:ascii="Yu Gothic" w:eastAsia="Yu Gothic" w:hAnsi="Yu Gothic" w:hint="eastAsia"/>
                <w:lang w:eastAsia="en-US"/>
              </w:rPr>
              <w:t>⊠</w:t>
            </w:r>
          </w:p>
        </w:tc>
        <w:tc>
          <w:tcPr>
            <w:tcW w:w="5278" w:type="dxa"/>
            <w:tcBorders>
              <w:top w:val="nil"/>
              <w:bottom w:val="nil"/>
            </w:tcBorders>
            <w:shd w:val="clear" w:color="auto" w:fill="auto"/>
          </w:tcPr>
          <w:p w14:paraId="10699446"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right="113"/>
              <w:rPr>
                <w:rFonts w:eastAsia="Times New Roman"/>
                <w:i/>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p>
          <w:p w14:paraId="3D69F1E9"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6" w:right="113" w:hanging="426"/>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presentation on this topic or if there is an outstanding initiative in your country on this topic</w:t>
            </w:r>
          </w:p>
        </w:tc>
      </w:tr>
      <w:tr w:rsidR="004E4F21" w:rsidRPr="004E4F21" w14:paraId="07DFBC06" w14:textId="77777777" w:rsidTr="004F6E96">
        <w:tc>
          <w:tcPr>
            <w:tcW w:w="7370" w:type="dxa"/>
            <w:gridSpan w:val="2"/>
            <w:shd w:val="clear" w:color="auto" w:fill="auto"/>
          </w:tcPr>
          <w:p w14:paraId="4DEC9367"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p>
        </w:tc>
      </w:tr>
    </w:tbl>
    <w:p w14:paraId="61F5E2D7" w14:textId="55E4B704" w:rsidR="004E4F21" w:rsidRDefault="004E4F21" w:rsidP="004E4F21"/>
    <w:p w14:paraId="424DED9E" w14:textId="73EBD569" w:rsidR="004E4F21" w:rsidRPr="004E4F21" w:rsidRDefault="004E4F21" w:rsidP="004E4F21">
      <w:pPr>
        <w:pStyle w:val="H4G"/>
        <w:rPr>
          <w:b/>
          <w:bCs/>
          <w:lang w:eastAsia="en-US"/>
        </w:rPr>
      </w:pPr>
      <w:r>
        <w:rPr>
          <w:lang w:eastAsia="en-US"/>
        </w:rPr>
        <w:tab/>
      </w:r>
      <w:r>
        <w:rPr>
          <w:lang w:eastAsia="en-US"/>
        </w:rPr>
        <w:tab/>
      </w:r>
      <w:r w:rsidRPr="004E4F21">
        <w:rPr>
          <w:b/>
          <w:bCs/>
          <w:lang w:eastAsia="en-US"/>
        </w:rPr>
        <w:t>II.</w:t>
      </w:r>
      <w:r w:rsidRPr="004E4F21">
        <w:rPr>
          <w:b/>
          <w:bCs/>
          <w:lang w:eastAsia="en-US"/>
        </w:rPr>
        <w:tab/>
        <w:t>Priority action area (b)</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5278"/>
      </w:tblGrid>
      <w:tr w:rsidR="004E4F21" w:rsidRPr="004E4F21" w14:paraId="48DF903F" w14:textId="77777777" w:rsidTr="004F6E96">
        <w:trPr>
          <w:tblHeader/>
        </w:trPr>
        <w:tc>
          <w:tcPr>
            <w:tcW w:w="7370" w:type="dxa"/>
            <w:gridSpan w:val="2"/>
            <w:tcBorders>
              <w:top w:val="single" w:sz="4" w:space="0" w:color="auto"/>
              <w:bottom w:val="single" w:sz="12" w:space="0" w:color="auto"/>
            </w:tcBorders>
            <w:shd w:val="clear" w:color="auto" w:fill="auto"/>
            <w:vAlign w:val="bottom"/>
          </w:tcPr>
          <w:p w14:paraId="11DC3B67" w14:textId="77777777" w:rsidR="004E4F21" w:rsidRPr="004E4F21" w:rsidRDefault="004E4F21" w:rsidP="004E4F21">
            <w:pPr>
              <w:suppressAutoHyphens w:val="0"/>
              <w:kinsoku/>
              <w:overflowPunct/>
              <w:autoSpaceDE/>
              <w:autoSpaceDN/>
              <w:adjustRightInd/>
              <w:snapToGrid/>
              <w:spacing w:before="80" w:after="80" w:line="200" w:lineRule="exact"/>
              <w:ind w:right="113"/>
              <w:rPr>
                <w:rFonts w:eastAsia="Times New Roman"/>
                <w:i/>
                <w:sz w:val="16"/>
                <w:szCs w:val="16"/>
                <w:lang w:eastAsia="en-US"/>
              </w:rPr>
            </w:pPr>
            <w:r w:rsidRPr="004E4F21">
              <w:rPr>
                <w:rFonts w:eastAsia="Times New Roman"/>
                <w:i/>
                <w:sz w:val="16"/>
                <w:szCs w:val="16"/>
                <w:lang w:eastAsia="en-US"/>
              </w:rPr>
              <w:t xml:space="preserve">Promoting the whole institution approach (WIA) in every institution of formal, non-formal and informal education </w:t>
            </w:r>
          </w:p>
        </w:tc>
      </w:tr>
      <w:tr w:rsidR="004E4F21" w:rsidRPr="004E4F21" w14:paraId="74E21114" w14:textId="77777777" w:rsidTr="004F6E96">
        <w:trPr>
          <w:trHeight w:hRule="exact" w:val="113"/>
          <w:tblHeader/>
        </w:trPr>
        <w:tc>
          <w:tcPr>
            <w:tcW w:w="7370" w:type="dxa"/>
            <w:gridSpan w:val="2"/>
            <w:tcBorders>
              <w:top w:val="single" w:sz="12" w:space="0" w:color="auto"/>
              <w:bottom w:val="nil"/>
            </w:tcBorders>
            <w:shd w:val="clear" w:color="auto" w:fill="auto"/>
            <w:vAlign w:val="bottom"/>
          </w:tcPr>
          <w:p w14:paraId="43AD92B5" w14:textId="77777777" w:rsidR="004E4F21" w:rsidRPr="004E4F21" w:rsidRDefault="004E4F21" w:rsidP="004E4F21">
            <w:pPr>
              <w:suppressAutoHyphens w:val="0"/>
              <w:kinsoku/>
              <w:overflowPunct/>
              <w:autoSpaceDE/>
              <w:autoSpaceDN/>
              <w:adjustRightInd/>
              <w:snapToGrid/>
              <w:spacing w:before="80" w:after="80" w:line="200" w:lineRule="exact"/>
              <w:ind w:right="113"/>
              <w:rPr>
                <w:rFonts w:eastAsia="Times New Roman"/>
                <w:i/>
                <w:sz w:val="16"/>
                <w:szCs w:val="16"/>
                <w:lang w:eastAsia="en-US"/>
              </w:rPr>
            </w:pPr>
          </w:p>
        </w:tc>
      </w:tr>
      <w:tr w:rsidR="004E4F21" w:rsidRPr="004E4F21" w14:paraId="27DB0BB0" w14:textId="77777777" w:rsidTr="004F6E96">
        <w:tc>
          <w:tcPr>
            <w:tcW w:w="7370" w:type="dxa"/>
            <w:gridSpan w:val="2"/>
            <w:tcBorders>
              <w:top w:val="nil"/>
            </w:tcBorders>
            <w:shd w:val="clear" w:color="auto" w:fill="auto"/>
          </w:tcPr>
          <w:p w14:paraId="1FB6189D"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1.</w:t>
            </w:r>
            <w:r w:rsidRPr="004E4F21">
              <w:rPr>
                <w:rFonts w:eastAsia="Times New Roman"/>
                <w:b/>
                <w:lang w:eastAsia="en-US"/>
              </w:rPr>
              <w:tab/>
              <w:t>Has there been any significant advancement made in your country for promoting WIA in formal education?</w:t>
            </w:r>
          </w:p>
        </w:tc>
      </w:tr>
      <w:tr w:rsidR="004E4F21" w:rsidRPr="004E4F21" w14:paraId="4EA1ACA1" w14:textId="77777777" w:rsidTr="004F6E96">
        <w:tc>
          <w:tcPr>
            <w:tcW w:w="2092" w:type="dxa"/>
            <w:shd w:val="clear" w:color="auto" w:fill="auto"/>
          </w:tcPr>
          <w:p w14:paraId="195C31D0" w14:textId="3227D91E"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proofErr w:type="gramStart"/>
            <w:r w:rsidRPr="004E4F21">
              <w:rPr>
                <w:rFonts w:eastAsia="Times New Roman"/>
                <w:lang w:eastAsia="en-US"/>
              </w:rPr>
              <w:t xml:space="preserve">Yes </w:t>
            </w:r>
            <w:r w:rsidR="002D3498" w:rsidRPr="004E4F21">
              <w:rPr>
                <w:rFonts w:eastAsia="Times New Roman"/>
                <w:lang w:eastAsia="en-US"/>
              </w:rPr>
              <w:t xml:space="preserve"> </w:t>
            </w:r>
            <w:r w:rsidR="002D3498">
              <w:rPr>
                <w:rFonts w:ascii="Yu Gothic" w:eastAsia="Yu Gothic" w:hAnsi="Yu Gothic" w:hint="eastAsia"/>
                <w:lang w:eastAsia="en-US"/>
              </w:rPr>
              <w:t>⊠</w:t>
            </w:r>
            <w:proofErr w:type="gramEnd"/>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817BC">
              <w:rPr>
                <w:rFonts w:eastAsia="Times New Roman"/>
                <w:lang w:eastAsia="en-US"/>
              </w:rPr>
            </w:r>
            <w:r w:rsidR="000817BC">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00EFA7FF" w14:textId="4C5F08BC" w:rsidR="004E4F21" w:rsidRPr="002D3498"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i/>
                <w:lang w:val="ky-KG" w:eastAsia="en-GB"/>
              </w:rPr>
            </w:pPr>
            <w:r w:rsidRPr="004E4F21">
              <w:rPr>
                <w:rFonts w:ascii="Symbol" w:eastAsia="Times New Roman" w:hAnsi="Symbol"/>
                <w:lang w:eastAsia="en-GB"/>
              </w:rPr>
              <w:t></w:t>
            </w:r>
            <w:r w:rsidRPr="004E4F21">
              <w:rPr>
                <w:rFonts w:ascii="Symbol" w:eastAsia="Times New Roman" w:hAnsi="Symbol"/>
                <w:lang w:eastAsia="en-GB"/>
              </w:rPr>
              <w:tab/>
            </w:r>
            <w:r w:rsidRPr="004E4F21">
              <w:rPr>
                <w:rFonts w:eastAsia="Times New Roman"/>
                <w:i/>
                <w:lang w:eastAsia="en-US"/>
              </w:rPr>
              <w:t>Please specify</w:t>
            </w:r>
            <w:r w:rsidR="002D3498">
              <w:rPr>
                <w:rFonts w:eastAsia="Times New Roman"/>
                <w:i/>
                <w:lang w:val="ky-KG" w:eastAsia="en-US"/>
              </w:rPr>
              <w:t xml:space="preserve">. </w:t>
            </w:r>
            <w:r w:rsidR="002D3498" w:rsidRPr="00835700">
              <w:rPr>
                <w:rFonts w:eastAsia="Times New Roman"/>
                <w:b/>
                <w:bCs/>
                <w:iCs/>
                <w:lang w:val="ky-KG" w:eastAsia="en-US"/>
              </w:rPr>
              <w:t>ESD issues are now included in program and strategic documents</w:t>
            </w:r>
          </w:p>
          <w:p w14:paraId="050C944B"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6443691D" w14:textId="77777777" w:rsidTr="004F6E96">
        <w:tc>
          <w:tcPr>
            <w:tcW w:w="7370" w:type="dxa"/>
            <w:gridSpan w:val="2"/>
            <w:shd w:val="clear" w:color="auto" w:fill="auto"/>
          </w:tcPr>
          <w:p w14:paraId="2B688858"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2.</w:t>
            </w:r>
            <w:r w:rsidRPr="004E4F21">
              <w:rPr>
                <w:rFonts w:eastAsia="Times New Roman"/>
                <w:b/>
                <w:lang w:eastAsia="en-US"/>
              </w:rPr>
              <w:tab/>
            </w:r>
            <w:r w:rsidRPr="004E4F21">
              <w:rPr>
                <w:rFonts w:eastAsia="Times New Roman"/>
                <w:b/>
                <w:bCs/>
                <w:lang w:eastAsia="en-US"/>
              </w:rPr>
              <w:t>Has there been any incentives in your country for integrating WIA in formal, non-formal and in-formal education</w:t>
            </w:r>
            <w:r w:rsidRPr="004E4F21">
              <w:rPr>
                <w:rFonts w:eastAsia="Times New Roman"/>
                <w:b/>
                <w:lang w:eastAsia="en-US"/>
              </w:rPr>
              <w:t>?</w:t>
            </w:r>
          </w:p>
        </w:tc>
      </w:tr>
      <w:tr w:rsidR="004E4F21" w:rsidRPr="004E4F21" w14:paraId="26ACEAE4" w14:textId="77777777" w:rsidTr="004F6E96">
        <w:tc>
          <w:tcPr>
            <w:tcW w:w="2092" w:type="dxa"/>
            <w:shd w:val="clear" w:color="auto" w:fill="auto"/>
          </w:tcPr>
          <w:p w14:paraId="092472E0" w14:textId="4CEDEC8C"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proofErr w:type="gramStart"/>
            <w:r w:rsidR="002D3498">
              <w:rPr>
                <w:rFonts w:ascii="Yu Gothic" w:eastAsia="Yu Gothic" w:hAnsi="Yu Gothic" w:hint="eastAsia"/>
                <w:lang w:eastAsia="en-US"/>
              </w:rPr>
              <w:t>⊠</w:t>
            </w:r>
            <w:r w:rsidRPr="004E4F21">
              <w:rPr>
                <w:rFonts w:eastAsia="Times New Roman"/>
                <w:lang w:eastAsia="en-US"/>
              </w:rPr>
              <w:t xml:space="preserve">  No</w:t>
            </w:r>
            <w:proofErr w:type="gramEnd"/>
            <w:r w:rsidRPr="004E4F21">
              <w:rPr>
                <w:rFonts w:eastAsia="Times New Roman"/>
                <w:lang w:eastAsia="en-US"/>
              </w:rPr>
              <w:t xml:space="preserve">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817BC">
              <w:rPr>
                <w:rFonts w:eastAsia="Times New Roman"/>
                <w:lang w:eastAsia="en-US"/>
              </w:rPr>
            </w:r>
            <w:r w:rsidR="000817BC">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5657C015" w14:textId="4E2824FA" w:rsidR="004E4F21" w:rsidRPr="00835700"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i/>
                <w:lang w:val="ky-KG" w:eastAsia="en-GB"/>
              </w:rPr>
            </w:pPr>
            <w:r w:rsidRPr="004E4F21">
              <w:rPr>
                <w:rFonts w:ascii="Symbol" w:eastAsia="Times New Roman" w:hAnsi="Symbol"/>
                <w:lang w:eastAsia="en-GB"/>
              </w:rPr>
              <w:t></w:t>
            </w:r>
            <w:r w:rsidRPr="004E4F21">
              <w:rPr>
                <w:rFonts w:ascii="Symbol" w:eastAsia="Times New Roman" w:hAnsi="Symbol"/>
                <w:lang w:eastAsia="en-GB"/>
              </w:rPr>
              <w:tab/>
            </w:r>
            <w:r w:rsidRPr="004E4F21">
              <w:rPr>
                <w:rFonts w:eastAsia="Times New Roman"/>
                <w:i/>
                <w:lang w:eastAsia="en-US"/>
              </w:rPr>
              <w:t>Please specify</w:t>
            </w:r>
            <w:r w:rsidR="00835700">
              <w:rPr>
                <w:rFonts w:eastAsia="Times New Roman"/>
                <w:i/>
                <w:lang w:val="ky-KG" w:eastAsia="en-US"/>
              </w:rPr>
              <w:t xml:space="preserve">. </w:t>
            </w:r>
            <w:r w:rsidR="00835700" w:rsidRPr="00835700">
              <w:rPr>
                <w:rFonts w:eastAsia="Times New Roman"/>
                <w:b/>
                <w:bCs/>
                <w:iCs/>
                <w:lang w:val="ky-KG" w:eastAsia="en-US"/>
              </w:rPr>
              <w:t xml:space="preserve">With the support of the Institute of Global Environmental Strategies, 10-Year Framework of Programs on Sustainable Consumption and Production Patterns, UNEP, within the framework of the Sustainable Education and Lifestyle Program, </w:t>
            </w:r>
            <w:r w:rsidR="00835700" w:rsidRPr="00835700">
              <w:rPr>
                <w:rFonts w:eastAsia="Times New Roman"/>
                <w:b/>
                <w:bCs/>
                <w:iCs/>
                <w:lang w:val="ky-KG" w:eastAsia="en-US"/>
              </w:rPr>
              <w:lastRenderedPageBreak/>
              <w:t>Kyrgyzstan participates in the project "Global Search for Sustainable Schools". Nine partner countries have begun to search for schools with action plans for the transition to sustainable development in all areas. The authors of the best plans received grants for the implementation of activities on ESD and SCP, incorporating these principles into formal, non-formal and informal education at the school level. This initiative includes 9 countries of the world - Brazil, Suriname, South Africa, Namibia, Uganda, Cambodia, the Philippines, Vietnam and the Kyrgyz Republic</w:t>
            </w:r>
            <w:r w:rsidR="00835700" w:rsidRPr="00835700">
              <w:rPr>
                <w:rFonts w:eastAsia="Times New Roman"/>
                <w:i/>
                <w:lang w:val="ky-KG" w:eastAsia="en-US"/>
              </w:rPr>
              <w:t>.</w:t>
            </w:r>
          </w:p>
          <w:p w14:paraId="7F70D51E"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1208236B" w14:textId="77777777" w:rsidTr="004F6E96">
        <w:tc>
          <w:tcPr>
            <w:tcW w:w="7370" w:type="dxa"/>
            <w:gridSpan w:val="2"/>
            <w:tcBorders>
              <w:bottom w:val="nil"/>
            </w:tcBorders>
            <w:shd w:val="clear" w:color="auto" w:fill="auto"/>
          </w:tcPr>
          <w:p w14:paraId="52BC0491" w14:textId="235B688C"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lastRenderedPageBreak/>
              <w:t>3.</w:t>
            </w:r>
            <w:r w:rsidRPr="004E4F21">
              <w:rPr>
                <w:rFonts w:eastAsia="Times New Roman"/>
                <w:b/>
                <w:lang w:eastAsia="en-US"/>
              </w:rPr>
              <w:tab/>
              <w:t xml:space="preserve">Has there been any initiatives in your country for integrating WIA in non-formal and in-formal education? </w:t>
            </w:r>
          </w:p>
        </w:tc>
      </w:tr>
      <w:tr w:rsidR="004E4F21" w:rsidRPr="004E4F21" w14:paraId="125E6403" w14:textId="77777777" w:rsidTr="004F6E96">
        <w:tc>
          <w:tcPr>
            <w:tcW w:w="2092" w:type="dxa"/>
            <w:tcBorders>
              <w:top w:val="nil"/>
              <w:bottom w:val="nil"/>
            </w:tcBorders>
            <w:shd w:val="clear" w:color="auto" w:fill="auto"/>
          </w:tcPr>
          <w:p w14:paraId="5D437332" w14:textId="790C6EA5"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Yes</w:t>
            </w:r>
            <w:proofErr w:type="gramStart"/>
            <w:r w:rsidR="0052225A">
              <w:rPr>
                <w:rFonts w:ascii="Yu Gothic" w:eastAsia="Yu Gothic" w:hAnsi="Yu Gothic" w:hint="eastAsia"/>
                <w:lang w:eastAsia="en-US"/>
              </w:rPr>
              <w:t>⊠</w:t>
            </w:r>
            <w:r w:rsidRPr="004E4F21">
              <w:rPr>
                <w:rFonts w:eastAsia="Times New Roman"/>
                <w:lang w:eastAsia="en-US"/>
              </w:rPr>
              <w:t xml:space="preserve">  No</w:t>
            </w:r>
            <w:proofErr w:type="gramEnd"/>
            <w:r w:rsidRPr="004E4F21">
              <w:rPr>
                <w:rFonts w:eastAsia="Times New Roman"/>
                <w:lang w:eastAsia="en-US"/>
              </w:rPr>
              <w:t xml:space="preserve">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817BC">
              <w:rPr>
                <w:rFonts w:eastAsia="Times New Roman"/>
                <w:lang w:eastAsia="en-US"/>
              </w:rPr>
            </w:r>
            <w:r w:rsidR="000817BC">
              <w:rPr>
                <w:rFonts w:eastAsia="Times New Roman"/>
                <w:lang w:eastAsia="en-US"/>
              </w:rPr>
              <w:fldChar w:fldCharType="separate"/>
            </w:r>
            <w:r w:rsidRPr="004E4F21">
              <w:rPr>
                <w:rFonts w:eastAsia="Times New Roman"/>
                <w:lang w:eastAsia="en-US"/>
              </w:rPr>
              <w:fldChar w:fldCharType="end"/>
            </w:r>
          </w:p>
        </w:tc>
        <w:tc>
          <w:tcPr>
            <w:tcW w:w="5278" w:type="dxa"/>
            <w:tcBorders>
              <w:top w:val="nil"/>
              <w:bottom w:val="nil"/>
            </w:tcBorders>
            <w:shd w:val="clear" w:color="auto" w:fill="auto"/>
          </w:tcPr>
          <w:p w14:paraId="7FA72F42" w14:textId="05FA1608" w:rsidR="004E4F21" w:rsidRPr="00920D9E"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val="ky-K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r w:rsidR="0052225A">
              <w:t xml:space="preserve"> </w:t>
            </w:r>
            <w:r w:rsidR="0052225A" w:rsidRPr="0052225A">
              <w:rPr>
                <w:rFonts w:eastAsia="Times New Roman"/>
                <w:b/>
                <w:bCs/>
                <w:iCs/>
                <w:lang w:eastAsia="en-US"/>
              </w:rPr>
              <w:t>Schools of the Global Search for Sustainable Schools in the Kyrgyz Republic reviewed and revised all aspects of internal activities and external relations of the institution, taking into account the principles of SD and SCP.</w:t>
            </w:r>
            <w:r w:rsidR="00920D9E">
              <w:rPr>
                <w:rFonts w:eastAsia="Times New Roman"/>
                <w:b/>
                <w:bCs/>
                <w:iCs/>
                <w:lang w:val="ky-KG" w:eastAsia="en-US"/>
              </w:rPr>
              <w:t xml:space="preserve"> </w:t>
            </w:r>
            <w:r w:rsidR="00920D9E" w:rsidRPr="00920D9E">
              <w:rPr>
                <w:rFonts w:eastAsia="Times New Roman"/>
                <w:b/>
                <w:bCs/>
                <w:iCs/>
                <w:lang w:val="ky-KG" w:eastAsia="en-US"/>
              </w:rPr>
              <w:t>Each institution decides on its actions in three interrelated areas: campus (management activities); curriculum (teaching / learning and research) and community (external relations)</w:t>
            </w:r>
          </w:p>
          <w:p w14:paraId="4BCCFEF9"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1A7AFE7B" w14:textId="77777777" w:rsidTr="004F6E96">
        <w:tc>
          <w:tcPr>
            <w:tcW w:w="7370" w:type="dxa"/>
            <w:gridSpan w:val="2"/>
            <w:tcBorders>
              <w:top w:val="nil"/>
              <w:bottom w:val="single" w:sz="12" w:space="0" w:color="auto"/>
            </w:tcBorders>
            <w:shd w:val="clear" w:color="auto" w:fill="auto"/>
          </w:tcPr>
          <w:p w14:paraId="4A2F7A7E" w14:textId="77777777" w:rsidR="004E4F21" w:rsidRPr="004E4F21" w:rsidRDefault="004E4F21" w:rsidP="004E4F21">
            <w:pPr>
              <w:tabs>
                <w:tab w:val="left" w:pos="416"/>
              </w:tabs>
              <w:suppressAutoHyphens w:val="0"/>
              <w:kinsoku/>
              <w:overflowPunct/>
              <w:autoSpaceDE/>
              <w:autoSpaceDN/>
              <w:adjustRightInd/>
              <w:snapToGrid/>
              <w:spacing w:before="40" w:after="120" w:line="240" w:lineRule="auto"/>
              <w:ind w:left="425" w:right="113"/>
              <w:rPr>
                <w:rFonts w:eastAsia="Times New Roman"/>
                <w:b/>
                <w:lang w:eastAsia="en-US"/>
              </w:rPr>
            </w:pPr>
          </w:p>
        </w:tc>
      </w:tr>
    </w:tbl>
    <w:p w14:paraId="34487C2E" w14:textId="7766DEC8" w:rsidR="004E4F21" w:rsidRDefault="004E4F21" w:rsidP="004E4F21"/>
    <w:p w14:paraId="407D8635" w14:textId="0B4E7D01" w:rsidR="004E4F21" w:rsidRPr="004E4F21" w:rsidRDefault="004E4F21" w:rsidP="004E4F21">
      <w:pPr>
        <w:pStyle w:val="H4G"/>
        <w:rPr>
          <w:b/>
          <w:bCs/>
          <w:lang w:eastAsia="en-US"/>
        </w:rPr>
      </w:pPr>
      <w:r>
        <w:rPr>
          <w:lang w:eastAsia="en-US"/>
        </w:rPr>
        <w:tab/>
      </w:r>
      <w:r>
        <w:rPr>
          <w:lang w:eastAsia="en-US"/>
        </w:rPr>
        <w:tab/>
      </w:r>
      <w:r w:rsidRPr="004E4F21">
        <w:rPr>
          <w:b/>
          <w:bCs/>
          <w:lang w:eastAsia="en-US"/>
        </w:rPr>
        <w:t>III.</w:t>
      </w:r>
      <w:r w:rsidRPr="004E4F21">
        <w:rPr>
          <w:b/>
          <w:bCs/>
          <w:lang w:eastAsia="en-US"/>
        </w:rPr>
        <w:tab/>
        <w:t>Priority action area (c)</w:t>
      </w:r>
    </w:p>
    <w:tbl>
      <w:tblPr>
        <w:tblW w:w="7370" w:type="dxa"/>
        <w:tblInd w:w="1134" w:type="dxa"/>
        <w:tblLayout w:type="fixed"/>
        <w:tblCellMar>
          <w:left w:w="0" w:type="dxa"/>
          <w:right w:w="0" w:type="dxa"/>
        </w:tblCellMar>
        <w:tblLook w:val="04A0" w:firstRow="1" w:lastRow="0" w:firstColumn="1" w:lastColumn="0" w:noHBand="0" w:noVBand="1"/>
      </w:tblPr>
      <w:tblGrid>
        <w:gridCol w:w="2093"/>
        <w:gridCol w:w="5277"/>
      </w:tblGrid>
      <w:tr w:rsidR="004E4F21" w:rsidRPr="004E4F21" w14:paraId="3C203F1A" w14:textId="77777777" w:rsidTr="004E4F21">
        <w:trPr>
          <w:tblHeader/>
        </w:trPr>
        <w:tc>
          <w:tcPr>
            <w:tcW w:w="7370" w:type="dxa"/>
            <w:gridSpan w:val="2"/>
            <w:tcBorders>
              <w:top w:val="single" w:sz="4" w:space="0" w:color="auto"/>
              <w:bottom w:val="single" w:sz="12" w:space="0" w:color="auto"/>
            </w:tcBorders>
            <w:shd w:val="clear" w:color="auto" w:fill="auto"/>
            <w:vAlign w:val="bottom"/>
          </w:tcPr>
          <w:p w14:paraId="7E812974" w14:textId="77777777" w:rsidR="004E4F21" w:rsidRPr="004E4F21" w:rsidRDefault="004E4F21" w:rsidP="004E4F21">
            <w:pPr>
              <w:spacing w:before="80" w:after="80" w:line="200" w:lineRule="exact"/>
              <w:ind w:right="113"/>
              <w:rPr>
                <w:i/>
                <w:sz w:val="16"/>
                <w:szCs w:val="16"/>
                <w:lang w:eastAsia="en-US"/>
              </w:rPr>
            </w:pPr>
            <w:r w:rsidRPr="004E4F21">
              <w:rPr>
                <w:i/>
                <w:sz w:val="16"/>
                <w:lang w:eastAsia="en-US"/>
              </w:rPr>
              <w:br w:type="page"/>
              <w:t xml:space="preserve">Supporting ESD within ICT and digital education </w:t>
            </w:r>
          </w:p>
        </w:tc>
      </w:tr>
      <w:tr w:rsidR="004E4F21" w:rsidRPr="004E4F21" w14:paraId="1FB6765C" w14:textId="77777777" w:rsidTr="004E4F21">
        <w:trPr>
          <w:trHeight w:hRule="exact" w:val="113"/>
          <w:tblHeader/>
        </w:trPr>
        <w:tc>
          <w:tcPr>
            <w:tcW w:w="7370" w:type="dxa"/>
            <w:gridSpan w:val="2"/>
            <w:tcBorders>
              <w:top w:val="single" w:sz="12" w:space="0" w:color="auto"/>
            </w:tcBorders>
            <w:shd w:val="clear" w:color="auto" w:fill="auto"/>
          </w:tcPr>
          <w:p w14:paraId="263A2552" w14:textId="77777777" w:rsidR="004E4F21" w:rsidRPr="004E4F21" w:rsidRDefault="004E4F21" w:rsidP="004E4F21">
            <w:pPr>
              <w:spacing w:before="40" w:after="120"/>
              <w:ind w:right="113"/>
              <w:rPr>
                <w:lang w:eastAsia="en-US"/>
              </w:rPr>
            </w:pPr>
          </w:p>
        </w:tc>
      </w:tr>
      <w:tr w:rsidR="004E4F21" w:rsidRPr="004E4F21" w14:paraId="3492BB3B" w14:textId="77777777" w:rsidTr="004E4F21">
        <w:tc>
          <w:tcPr>
            <w:tcW w:w="7370" w:type="dxa"/>
            <w:gridSpan w:val="2"/>
            <w:shd w:val="clear" w:color="auto" w:fill="auto"/>
          </w:tcPr>
          <w:p w14:paraId="2B8F53E8" w14:textId="77777777" w:rsidR="004E4F21" w:rsidRPr="004E4F21" w:rsidRDefault="004E4F21" w:rsidP="004E4F21">
            <w:pPr>
              <w:spacing w:before="40" w:after="120"/>
              <w:ind w:right="113"/>
              <w:rPr>
                <w:b/>
                <w:lang w:eastAsia="en-US"/>
              </w:rPr>
            </w:pPr>
            <w:r w:rsidRPr="004E4F21">
              <w:rPr>
                <w:b/>
                <w:lang w:eastAsia="en-US"/>
              </w:rPr>
              <w:t xml:space="preserve">1. Did COVID-19 importantly change ICT and digital education used for teaching and learning on ESD in your country? </w:t>
            </w:r>
          </w:p>
        </w:tc>
      </w:tr>
      <w:tr w:rsidR="004E4F21" w:rsidRPr="004E4F21" w14:paraId="49EA892B" w14:textId="77777777" w:rsidTr="004E4F21">
        <w:tc>
          <w:tcPr>
            <w:tcW w:w="2093" w:type="dxa"/>
            <w:shd w:val="clear" w:color="auto" w:fill="auto"/>
          </w:tcPr>
          <w:p w14:paraId="7C259900" w14:textId="0779CB8E" w:rsidR="004E4F21" w:rsidRPr="004E4F21" w:rsidRDefault="004E4F21" w:rsidP="004E4F21">
            <w:pPr>
              <w:spacing w:before="40" w:after="120"/>
              <w:ind w:right="113"/>
              <w:rPr>
                <w:lang w:eastAsia="en-US"/>
              </w:rPr>
            </w:pPr>
            <w:r w:rsidRPr="004E4F21">
              <w:rPr>
                <w:lang w:eastAsia="en-US"/>
              </w:rPr>
              <w:t xml:space="preserve">Yes </w:t>
            </w:r>
            <w:proofErr w:type="gramStart"/>
            <w:r w:rsidR="0052225A">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277" w:type="dxa"/>
            <w:shd w:val="clear" w:color="auto" w:fill="auto"/>
          </w:tcPr>
          <w:p w14:paraId="496B9BA5" w14:textId="3997511F" w:rsidR="004E4F21" w:rsidRPr="0052225A" w:rsidRDefault="004E4F21" w:rsidP="004E4F21">
            <w:pPr>
              <w:spacing w:before="40" w:after="120"/>
              <w:ind w:right="113"/>
              <w:rPr>
                <w:lang w:val="ky-KG" w:eastAsia="en-GB"/>
              </w:rPr>
            </w:pPr>
            <w:r w:rsidRPr="004E4F21">
              <w:rPr>
                <w:lang w:eastAsia="en-GB"/>
              </w:rPr>
              <w:t></w:t>
            </w:r>
            <w:r w:rsidRPr="004E4F21">
              <w:rPr>
                <w:lang w:eastAsia="en-GB"/>
              </w:rPr>
              <w:tab/>
            </w:r>
            <w:r w:rsidRPr="004E4F21">
              <w:rPr>
                <w:lang w:eastAsia="en-US"/>
              </w:rPr>
              <w:t>Please specify</w:t>
            </w:r>
            <w:r w:rsidR="0052225A">
              <w:rPr>
                <w:lang w:val="ky-KG" w:eastAsia="en-US"/>
              </w:rPr>
              <w:t xml:space="preserve"> </w:t>
            </w:r>
            <w:r w:rsidR="0052225A" w:rsidRPr="0052225A">
              <w:rPr>
                <w:b/>
                <w:bCs/>
                <w:lang w:val="ky-KG" w:eastAsia="en-US"/>
              </w:rPr>
              <w:t>Yes, 2021 in the Kyrgyz Republic was declared the year of regional development and digitalization. Video tutorials have been created and are being created, digitalization of education has reached a new level in connection with the COVID19 pandemic.</w:t>
            </w:r>
          </w:p>
          <w:p w14:paraId="403EF284"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3805B417" w14:textId="77777777" w:rsidTr="004E4F21">
        <w:tc>
          <w:tcPr>
            <w:tcW w:w="7370" w:type="dxa"/>
            <w:gridSpan w:val="2"/>
            <w:shd w:val="clear" w:color="auto" w:fill="auto"/>
          </w:tcPr>
          <w:p w14:paraId="459D20F2" w14:textId="5F7840D1" w:rsidR="004E4F21" w:rsidRPr="004E4F21" w:rsidRDefault="004E4F21" w:rsidP="004E4F21">
            <w:pPr>
              <w:spacing w:before="40" w:after="120"/>
              <w:ind w:right="113"/>
              <w:rPr>
                <w:b/>
                <w:lang w:eastAsia="en-US"/>
              </w:rPr>
            </w:pPr>
            <w:r w:rsidRPr="004E4F21">
              <w:rPr>
                <w:b/>
                <w:lang w:eastAsia="en-US"/>
              </w:rPr>
              <w:t>2.</w:t>
            </w:r>
            <w:r w:rsidRPr="004E4F21">
              <w:rPr>
                <w:b/>
                <w:lang w:eastAsia="en-US"/>
              </w:rPr>
              <w:tab/>
              <w:t xml:space="preserve">In your country, do there exist any programs that support educational actors (teachers, mentors, inspectors etc) to integrate ICT and digital education </w:t>
            </w:r>
            <w:r w:rsidR="00401E99">
              <w:rPr>
                <w:b/>
                <w:lang w:eastAsia="en-US"/>
              </w:rPr>
              <w:t>i</w:t>
            </w:r>
            <w:r w:rsidRPr="004E4F21">
              <w:rPr>
                <w:b/>
                <w:lang w:eastAsia="en-US"/>
              </w:rPr>
              <w:t xml:space="preserve">n ESD? </w:t>
            </w:r>
          </w:p>
        </w:tc>
      </w:tr>
      <w:tr w:rsidR="004E4F21" w:rsidRPr="004E4F21" w14:paraId="05F059AB" w14:textId="77777777" w:rsidTr="004E4F21">
        <w:tc>
          <w:tcPr>
            <w:tcW w:w="2093" w:type="dxa"/>
            <w:shd w:val="clear" w:color="auto" w:fill="auto"/>
          </w:tcPr>
          <w:p w14:paraId="4DDA9778" w14:textId="470F8A15" w:rsidR="004E4F21" w:rsidRPr="004E4F21" w:rsidRDefault="004E4F21" w:rsidP="004E4F21">
            <w:pPr>
              <w:spacing w:before="40" w:after="120"/>
              <w:ind w:right="113"/>
              <w:rPr>
                <w:lang w:eastAsia="en-US"/>
              </w:rPr>
            </w:pPr>
            <w:r w:rsidRPr="004E4F21">
              <w:rPr>
                <w:lang w:eastAsia="en-US"/>
              </w:rPr>
              <w:t xml:space="preserve">Yes </w:t>
            </w:r>
            <w:proofErr w:type="gramStart"/>
            <w:r w:rsidR="0052225A">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277" w:type="dxa"/>
            <w:shd w:val="clear" w:color="auto" w:fill="auto"/>
          </w:tcPr>
          <w:p w14:paraId="55F1AA83" w14:textId="5DD78C8F" w:rsidR="004E4F21" w:rsidRPr="000D796A" w:rsidRDefault="004E4F21" w:rsidP="004E4F21">
            <w:pPr>
              <w:spacing w:before="40" w:after="120"/>
              <w:ind w:right="113"/>
              <w:rPr>
                <w:b/>
                <w:bCs/>
                <w:lang w:val="ky-KG" w:eastAsia="en-GB"/>
              </w:rPr>
            </w:pPr>
            <w:r w:rsidRPr="004E4F21">
              <w:rPr>
                <w:lang w:eastAsia="en-GB"/>
              </w:rPr>
              <w:t></w:t>
            </w:r>
            <w:r w:rsidRPr="004E4F21">
              <w:rPr>
                <w:lang w:eastAsia="en-GB"/>
              </w:rPr>
              <w:tab/>
            </w:r>
            <w:r w:rsidRPr="004E4F21">
              <w:rPr>
                <w:lang w:eastAsia="en-US"/>
              </w:rPr>
              <w:t>Please specify</w:t>
            </w:r>
            <w:r w:rsidR="00920D9E">
              <w:rPr>
                <w:lang w:val="ky-KG" w:eastAsia="en-US"/>
              </w:rPr>
              <w:t xml:space="preserve">. </w:t>
            </w:r>
            <w:r w:rsidR="00920D9E" w:rsidRPr="000D796A">
              <w:rPr>
                <w:b/>
                <w:bCs/>
                <w:lang w:val="ky-KG" w:eastAsia="en-US"/>
              </w:rPr>
              <w:t xml:space="preserve">The Kyrgyz Republic has outlined its development priorities for the next few years, betting on the total digital transformation of the country, as reflected in the state conceptual document “Digital Kyrgyzstan 2019-2023”, which will lay the foundation for a new digital, smart and developed society. The goal of the Concept is to form </w:t>
            </w:r>
            <w:r w:rsidR="00920D9E" w:rsidRPr="000D796A">
              <w:rPr>
                <w:b/>
                <w:bCs/>
                <w:lang w:val="ky-KG" w:eastAsia="en-US"/>
              </w:rPr>
              <w:lastRenderedPageBreak/>
              <w:t>approaches to the creation and development of an e-learning and digital management system in the education system at the national, regional and institutional levels, based on the principles of media information literacy and allowing citizens to access inclusive and quality education at all levels, ensuring territorial and social equality , individualization of educational trajectories throughout life, effective use of financial and human resources.</w:t>
            </w:r>
          </w:p>
          <w:p w14:paraId="33274E37"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2A5F8C2B" w14:textId="77777777" w:rsidTr="004E4F21">
        <w:tc>
          <w:tcPr>
            <w:tcW w:w="7370" w:type="dxa"/>
            <w:gridSpan w:val="2"/>
            <w:shd w:val="clear" w:color="auto" w:fill="auto"/>
          </w:tcPr>
          <w:p w14:paraId="70ACA5BF" w14:textId="77777777" w:rsidR="004E4F21" w:rsidRPr="004E4F21" w:rsidRDefault="004E4F21" w:rsidP="004E4F21">
            <w:pPr>
              <w:spacing w:before="40" w:after="120"/>
              <w:ind w:right="113"/>
              <w:rPr>
                <w:b/>
                <w:lang w:eastAsia="en-US"/>
              </w:rPr>
            </w:pPr>
            <w:r w:rsidRPr="004E4F21">
              <w:rPr>
                <w:b/>
                <w:lang w:eastAsia="en-US"/>
              </w:rPr>
              <w:lastRenderedPageBreak/>
              <w:t>3.</w:t>
            </w:r>
            <w:r w:rsidRPr="004E4F21">
              <w:rPr>
                <w:b/>
                <w:lang w:eastAsia="en-US"/>
              </w:rPr>
              <w:tab/>
              <w:t>Is any assistance provided</w:t>
            </w:r>
            <w:r w:rsidRPr="004E4F21">
              <w:rPr>
                <w:b/>
                <w:lang w:val="en-US" w:eastAsia="en-US"/>
              </w:rPr>
              <w:t xml:space="preserve"> on national level for embedding ICT and digital education on ESD/SDGs? </w:t>
            </w:r>
          </w:p>
        </w:tc>
      </w:tr>
      <w:tr w:rsidR="004E4F21" w:rsidRPr="004E4F21" w14:paraId="2AD47835" w14:textId="77777777" w:rsidTr="004E4F21">
        <w:tc>
          <w:tcPr>
            <w:tcW w:w="2093" w:type="dxa"/>
            <w:tcBorders>
              <w:bottom w:val="single" w:sz="12" w:space="0" w:color="auto"/>
            </w:tcBorders>
            <w:shd w:val="clear" w:color="auto" w:fill="auto"/>
          </w:tcPr>
          <w:p w14:paraId="2E912A29" w14:textId="7D926A7E" w:rsidR="004E4F21" w:rsidRPr="004E4F21" w:rsidRDefault="004E4F21" w:rsidP="004E4F21">
            <w:pPr>
              <w:spacing w:before="40" w:after="120"/>
              <w:ind w:right="113"/>
              <w:rPr>
                <w:lang w:eastAsia="en-US"/>
              </w:rPr>
            </w:pPr>
            <w:r w:rsidRPr="004E4F21">
              <w:rPr>
                <w:lang w:eastAsia="en-US"/>
              </w:rPr>
              <w:t xml:space="preserve">Yes </w:t>
            </w:r>
            <w:proofErr w:type="gramStart"/>
            <w:r w:rsidR="000911DF">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277" w:type="dxa"/>
            <w:tcBorders>
              <w:bottom w:val="single" w:sz="12" w:space="0" w:color="auto"/>
            </w:tcBorders>
            <w:shd w:val="clear" w:color="auto" w:fill="auto"/>
          </w:tcPr>
          <w:p w14:paraId="0D327467" w14:textId="70D3B1C9" w:rsidR="000911DF" w:rsidRPr="000D796A" w:rsidRDefault="004E4F21" w:rsidP="000911DF">
            <w:pPr>
              <w:spacing w:line="240" w:lineRule="auto"/>
              <w:ind w:right="113"/>
              <w:rPr>
                <w:b/>
                <w:bCs/>
                <w:lang w:val="ky-KG" w:eastAsia="en-US"/>
              </w:rPr>
            </w:pPr>
            <w:r w:rsidRPr="004E4F21">
              <w:rPr>
                <w:lang w:eastAsia="en-US"/>
              </w:rPr>
              <w:t></w:t>
            </w:r>
            <w:r w:rsidRPr="004E4F21">
              <w:rPr>
                <w:lang w:eastAsia="en-US"/>
              </w:rPr>
              <w:tab/>
              <w:t>Please specify</w:t>
            </w:r>
            <w:r w:rsidR="000911DF">
              <w:rPr>
                <w:lang w:val="ky-KG" w:eastAsia="en-US"/>
              </w:rPr>
              <w:t xml:space="preserve">. </w:t>
            </w:r>
            <w:r w:rsidR="000911DF" w:rsidRPr="000D796A">
              <w:rPr>
                <w:b/>
                <w:bCs/>
                <w:lang w:val="ky-KG" w:eastAsia="en-US"/>
              </w:rPr>
              <w:t>In the Concept of Information Security of the Kyrgyz Republic for 2019-2023 and in the Cybersecurity Strategy, 2019 is declared the Year of Regional Development and Digitalization</w:t>
            </w:r>
            <w:r w:rsidR="000911DF" w:rsidRPr="000D796A">
              <w:rPr>
                <w:b/>
                <w:bCs/>
                <w:lang w:val="ky-KG" w:eastAsia="en-US"/>
              </w:rPr>
              <w:t xml:space="preserve">. </w:t>
            </w:r>
            <w:r w:rsidR="000911DF" w:rsidRPr="000D796A">
              <w:rPr>
                <w:b/>
                <w:bCs/>
                <w:lang w:val="ky-KG" w:eastAsia="en-US"/>
              </w:rPr>
              <w:t>The Kyrgyz Republic for 2019-2023 is also faced with the task of revising and updating educational standards. As you know, in Kyrgyzstan, at the secondary school level, the Smart School program is being introduced, which is a comprehensive program for the introduction of digital technologies into the educational process. The program has four main components: As noted in the official sources of the Ministry of Education and Science</w:t>
            </w:r>
            <w:r w:rsidR="000D796A">
              <w:rPr>
                <w:b/>
                <w:bCs/>
                <w:lang w:val="ky-KG" w:eastAsia="en-US"/>
              </w:rPr>
              <w:t>:</w:t>
            </w:r>
          </w:p>
          <w:p w14:paraId="63A8549B" w14:textId="77777777" w:rsidR="000911DF" w:rsidRPr="000D796A" w:rsidRDefault="000911DF" w:rsidP="000911DF">
            <w:pPr>
              <w:spacing w:line="240" w:lineRule="auto"/>
              <w:ind w:right="113"/>
              <w:rPr>
                <w:b/>
                <w:bCs/>
                <w:lang w:val="ky-KG" w:eastAsia="en-US"/>
              </w:rPr>
            </w:pPr>
            <w:r w:rsidRPr="000D796A">
              <w:rPr>
                <w:b/>
                <w:bCs/>
                <w:lang w:val="ky-KG" w:eastAsia="en-US"/>
              </w:rPr>
              <w:t>1. development of IT competencies of teachers;</w:t>
            </w:r>
          </w:p>
          <w:p w14:paraId="4BC29932" w14:textId="77777777" w:rsidR="000911DF" w:rsidRPr="000D796A" w:rsidRDefault="000911DF" w:rsidP="000911DF">
            <w:pPr>
              <w:spacing w:line="240" w:lineRule="auto"/>
              <w:ind w:right="113"/>
              <w:rPr>
                <w:b/>
                <w:bCs/>
                <w:lang w:val="ky-KG" w:eastAsia="en-US"/>
              </w:rPr>
            </w:pPr>
            <w:r w:rsidRPr="000D796A">
              <w:rPr>
                <w:b/>
                <w:bCs/>
                <w:lang w:val="ky-KG" w:eastAsia="en-US"/>
              </w:rPr>
              <w:t>2. development of digital skills in students;</w:t>
            </w:r>
          </w:p>
          <w:p w14:paraId="037BF9AC" w14:textId="77777777" w:rsidR="000911DF" w:rsidRPr="000D796A" w:rsidRDefault="000911DF" w:rsidP="000911DF">
            <w:pPr>
              <w:spacing w:line="240" w:lineRule="auto"/>
              <w:ind w:right="113"/>
              <w:rPr>
                <w:b/>
                <w:bCs/>
                <w:lang w:val="ky-KG" w:eastAsia="en-US"/>
              </w:rPr>
            </w:pPr>
            <w:r w:rsidRPr="000D796A">
              <w:rPr>
                <w:b/>
                <w:bCs/>
                <w:lang w:val="ky-KG" w:eastAsia="en-US"/>
              </w:rPr>
              <w:t>3. development of digital educational content;</w:t>
            </w:r>
          </w:p>
          <w:p w14:paraId="120B26E3" w14:textId="47651CAF" w:rsidR="004E4F21" w:rsidRPr="000D796A" w:rsidRDefault="000911DF" w:rsidP="000911DF">
            <w:pPr>
              <w:spacing w:line="240" w:lineRule="auto"/>
              <w:ind w:right="113"/>
              <w:rPr>
                <w:b/>
                <w:bCs/>
                <w:lang w:val="ky-KG" w:eastAsia="en-US"/>
              </w:rPr>
            </w:pPr>
            <w:r w:rsidRPr="000D796A">
              <w:rPr>
                <w:b/>
                <w:bCs/>
                <w:lang w:val="ky-KG" w:eastAsia="en-US"/>
              </w:rPr>
              <w:t>4.development of school ICT infrastructure</w:t>
            </w:r>
          </w:p>
          <w:p w14:paraId="0D0A4C01" w14:textId="4B4E85B8" w:rsidR="000911DF" w:rsidRPr="000D796A" w:rsidRDefault="000911DF" w:rsidP="000D796A">
            <w:pPr>
              <w:spacing w:line="240" w:lineRule="auto"/>
              <w:ind w:right="113"/>
              <w:rPr>
                <w:b/>
                <w:bCs/>
                <w:lang w:val="ky-KG" w:eastAsia="en-US"/>
              </w:rPr>
            </w:pPr>
            <w:r w:rsidRPr="000D796A">
              <w:rPr>
                <w:b/>
                <w:bCs/>
                <w:lang w:val="ky-KG" w:eastAsia="en-US"/>
              </w:rPr>
              <w:t>The Ministry of Education of the Kyrgyz Republic has developed a METHODOLOGICAL GUIDE FOR THE IMPLEMENTATION OF DIGITAL EDUCATION IN THE EDUCATIONAL SYSTEM OF THE KYRGYZ REPUBLIC.</w:t>
            </w:r>
            <w:r w:rsidR="000D796A" w:rsidRPr="000D796A">
              <w:rPr>
                <w:b/>
                <w:bCs/>
                <w:lang w:val="ky-KG" w:eastAsia="en-US"/>
              </w:rPr>
              <w:t xml:space="preserve"> </w:t>
            </w:r>
            <w:r w:rsidR="000D796A" w:rsidRPr="000D796A">
              <w:rPr>
                <w:b/>
                <w:bCs/>
                <w:lang w:val="ky-KG" w:eastAsia="en-US"/>
              </w:rPr>
              <w:t>All the recommendations in the methodological manual are a requirement of the digital time and are aimed at increasing the digital and media and information literacy of the population.</w:t>
            </w:r>
            <w:r w:rsidR="000D796A">
              <w:rPr>
                <w:b/>
                <w:bCs/>
                <w:lang w:val="ky-KG" w:eastAsia="en-US"/>
              </w:rPr>
              <w:t xml:space="preserve"> </w:t>
            </w:r>
            <w:r w:rsidR="000D796A" w:rsidRPr="000D796A">
              <w:rPr>
                <w:b/>
                <w:bCs/>
                <w:lang w:val="ky-KG" w:eastAsia="en-US"/>
              </w:rPr>
              <w:t>Thus, increasing digital and media and information literacy makes it possible to create an educational environment in which it is possible to achieve the most important goal of education - improving its quality.</w:t>
            </w:r>
          </w:p>
          <w:p w14:paraId="50DF8A96"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indicate if you wish to make a p</w:t>
            </w:r>
            <w:r w:rsidRPr="004E4F21">
              <w:rPr>
                <w:lang w:eastAsia="en-GB"/>
              </w:rPr>
              <w:t>resentation on this topic or if there is an outstanding initiative in your country on this topic</w:t>
            </w:r>
          </w:p>
        </w:tc>
      </w:tr>
    </w:tbl>
    <w:p w14:paraId="204D5326" w14:textId="09EA0076" w:rsidR="004E4F21" w:rsidRDefault="004E4F21" w:rsidP="004E4F21"/>
    <w:p w14:paraId="00FC8C12" w14:textId="2AAB6BA5" w:rsidR="004E4F21" w:rsidRPr="004E4F21" w:rsidRDefault="004E4F21" w:rsidP="004E4F21">
      <w:pPr>
        <w:pStyle w:val="H4G"/>
        <w:rPr>
          <w:b/>
          <w:bCs/>
          <w:sz w:val="18"/>
          <w:szCs w:val="18"/>
          <w:u w:val="single"/>
          <w:lang w:eastAsia="en-US"/>
        </w:rPr>
      </w:pPr>
      <w:r>
        <w:rPr>
          <w:lang w:eastAsia="en-US"/>
        </w:rPr>
        <w:tab/>
      </w:r>
      <w:r>
        <w:rPr>
          <w:lang w:eastAsia="en-US"/>
        </w:rPr>
        <w:tab/>
      </w:r>
      <w:r w:rsidRPr="004E4F21">
        <w:rPr>
          <w:b/>
          <w:bCs/>
          <w:lang w:eastAsia="en-US"/>
        </w:rPr>
        <w:t>IV.</w:t>
      </w:r>
      <w:r w:rsidRPr="004E4F21">
        <w:rPr>
          <w:b/>
          <w:bCs/>
          <w:lang w:eastAsia="en-US"/>
        </w:rPr>
        <w:tab/>
        <w:t>Priority action area (d)</w:t>
      </w:r>
      <w:r w:rsidRPr="004E4F21" w:rsidDel="006329AA">
        <w:rPr>
          <w:b/>
          <w:bCs/>
          <w:u w:val="single"/>
          <w:lang w:eastAsia="en-US"/>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090"/>
        <w:gridCol w:w="5280"/>
      </w:tblGrid>
      <w:tr w:rsidR="004E4F21" w:rsidRPr="004E4F21" w14:paraId="79CA7FBD" w14:textId="77777777" w:rsidTr="004E4F21">
        <w:trPr>
          <w:tblHeader/>
        </w:trPr>
        <w:tc>
          <w:tcPr>
            <w:tcW w:w="7370" w:type="dxa"/>
            <w:gridSpan w:val="2"/>
            <w:tcBorders>
              <w:top w:val="single" w:sz="4" w:space="0" w:color="auto"/>
              <w:bottom w:val="single" w:sz="12" w:space="0" w:color="auto"/>
            </w:tcBorders>
            <w:shd w:val="clear" w:color="auto" w:fill="auto"/>
            <w:vAlign w:val="bottom"/>
          </w:tcPr>
          <w:p w14:paraId="771EF5D9" w14:textId="77777777" w:rsidR="004E4F21" w:rsidRPr="004E4F21" w:rsidRDefault="004E4F21" w:rsidP="004E4F21">
            <w:pPr>
              <w:spacing w:before="80" w:after="80" w:line="200" w:lineRule="exact"/>
              <w:ind w:right="113"/>
              <w:rPr>
                <w:i/>
                <w:sz w:val="16"/>
                <w:lang w:eastAsia="en-US"/>
              </w:rPr>
            </w:pPr>
            <w:r w:rsidRPr="004E4F21">
              <w:rPr>
                <w:i/>
                <w:sz w:val="16"/>
                <w:lang w:eastAsia="en-US"/>
              </w:rPr>
              <w:br w:type="page"/>
              <w:t xml:space="preserve">Enhancing entrepreneurship and employment within ESD </w:t>
            </w:r>
          </w:p>
        </w:tc>
      </w:tr>
      <w:tr w:rsidR="004E4F21" w:rsidRPr="004E4F21" w14:paraId="772370FB" w14:textId="77777777" w:rsidTr="004E4F21">
        <w:trPr>
          <w:trHeight w:hRule="exact" w:val="113"/>
          <w:tblHeader/>
        </w:trPr>
        <w:tc>
          <w:tcPr>
            <w:tcW w:w="7370" w:type="dxa"/>
            <w:gridSpan w:val="2"/>
            <w:tcBorders>
              <w:top w:val="single" w:sz="12" w:space="0" w:color="auto"/>
            </w:tcBorders>
            <w:shd w:val="clear" w:color="auto" w:fill="auto"/>
          </w:tcPr>
          <w:p w14:paraId="24BCB975" w14:textId="77777777" w:rsidR="004E4F21" w:rsidRPr="004E4F21" w:rsidRDefault="004E4F21" w:rsidP="004E4F21">
            <w:pPr>
              <w:spacing w:before="40" w:after="120"/>
              <w:ind w:right="113"/>
              <w:rPr>
                <w:b/>
                <w:lang w:eastAsia="en-US"/>
              </w:rPr>
            </w:pPr>
          </w:p>
        </w:tc>
      </w:tr>
      <w:tr w:rsidR="004E4F21" w:rsidRPr="004E4F21" w14:paraId="6D056A4A" w14:textId="77777777" w:rsidTr="004E4F21">
        <w:tc>
          <w:tcPr>
            <w:tcW w:w="7370" w:type="dxa"/>
            <w:gridSpan w:val="2"/>
            <w:shd w:val="clear" w:color="auto" w:fill="auto"/>
          </w:tcPr>
          <w:p w14:paraId="2E82DA82" w14:textId="77777777" w:rsidR="004E4F21" w:rsidRPr="004E4F21" w:rsidRDefault="004E4F21" w:rsidP="004E4F21">
            <w:pPr>
              <w:spacing w:before="40" w:after="120"/>
              <w:ind w:right="113"/>
              <w:rPr>
                <w:b/>
                <w:lang w:eastAsia="en-US"/>
              </w:rPr>
            </w:pPr>
            <w:r w:rsidRPr="004E4F21">
              <w:rPr>
                <w:b/>
                <w:lang w:eastAsia="en-US"/>
              </w:rPr>
              <w:t>1.</w:t>
            </w:r>
            <w:r w:rsidRPr="004E4F21">
              <w:rPr>
                <w:b/>
                <w:lang w:eastAsia="en-US"/>
              </w:rPr>
              <w:tab/>
              <w:t>Do you have in your country ESD programs that support students/youth entrepreneurship?</w:t>
            </w:r>
          </w:p>
        </w:tc>
      </w:tr>
      <w:tr w:rsidR="004E4F21" w:rsidRPr="004E4F21" w14:paraId="491930AA" w14:textId="77777777" w:rsidTr="004E4F21">
        <w:tc>
          <w:tcPr>
            <w:tcW w:w="2090" w:type="dxa"/>
            <w:shd w:val="clear" w:color="auto" w:fill="auto"/>
          </w:tcPr>
          <w:p w14:paraId="03CB9A83" w14:textId="53F3816B" w:rsidR="004E4F21" w:rsidRPr="004E4F21" w:rsidRDefault="004E4F21" w:rsidP="004E4F21">
            <w:pPr>
              <w:spacing w:before="40" w:after="120"/>
              <w:ind w:right="113"/>
              <w:rPr>
                <w:lang w:eastAsia="en-US"/>
              </w:rPr>
            </w:pPr>
            <w:r w:rsidRPr="004E4F21">
              <w:rPr>
                <w:lang w:eastAsia="en-US"/>
              </w:rPr>
              <w:t xml:space="preserve">Yes </w:t>
            </w:r>
            <w:proofErr w:type="gramStart"/>
            <w:r w:rsidR="000911DF">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280" w:type="dxa"/>
            <w:shd w:val="clear" w:color="auto" w:fill="auto"/>
          </w:tcPr>
          <w:p w14:paraId="74352A89" w14:textId="169E2D6F" w:rsidR="000911DF" w:rsidRPr="000D796A" w:rsidRDefault="004E4F21" w:rsidP="000911DF">
            <w:pPr>
              <w:spacing w:before="40" w:after="120"/>
              <w:ind w:right="113"/>
              <w:rPr>
                <w:b/>
                <w:bCs/>
                <w:lang w:val="ky-KG" w:eastAsia="en-US"/>
              </w:rPr>
            </w:pPr>
            <w:r w:rsidRPr="004E4F21">
              <w:rPr>
                <w:lang w:eastAsia="en-GB"/>
              </w:rPr>
              <w:t></w:t>
            </w:r>
            <w:r w:rsidRPr="004E4F21">
              <w:rPr>
                <w:lang w:eastAsia="en-GB"/>
              </w:rPr>
              <w:tab/>
            </w:r>
            <w:r w:rsidRPr="004E4F21">
              <w:rPr>
                <w:lang w:eastAsia="en-US"/>
              </w:rPr>
              <w:t>Please specify</w:t>
            </w:r>
            <w:r w:rsidR="000911DF">
              <w:rPr>
                <w:lang w:val="ky-KG" w:eastAsia="en-US"/>
              </w:rPr>
              <w:t xml:space="preserve">. </w:t>
            </w:r>
            <w:r w:rsidR="000911DF" w:rsidRPr="000911DF">
              <w:rPr>
                <w:lang w:val="ky-KG" w:eastAsia="en-US"/>
              </w:rPr>
              <w:t xml:space="preserve">A </w:t>
            </w:r>
            <w:r w:rsidR="000911DF" w:rsidRPr="000D796A">
              <w:rPr>
                <w:b/>
                <w:bCs/>
                <w:lang w:val="ky-KG" w:eastAsia="en-US"/>
              </w:rPr>
              <w:t xml:space="preserve">Returnable Fund for the Development of Youth Entrepreneurship has been created in Kyrgyzstan. According to the Institute for Youth Development, in 2018 it launched a component to expand </w:t>
            </w:r>
            <w:r w:rsidR="000911DF" w:rsidRPr="000D796A">
              <w:rPr>
                <w:b/>
                <w:bCs/>
                <w:lang w:val="ky-KG" w:eastAsia="en-US"/>
              </w:rPr>
              <w:lastRenderedPageBreak/>
              <w:t>the economic opportunities of young people. One of the directions of the component is the development of youth entrepreneurship and increasing youth access to financing instruments.</w:t>
            </w:r>
            <w:r w:rsidR="000911DF" w:rsidRPr="000D796A">
              <w:rPr>
                <w:b/>
                <w:bCs/>
                <w:lang w:val="ky-KG" w:eastAsia="en-US"/>
              </w:rPr>
              <w:t xml:space="preserve"> </w:t>
            </w:r>
            <w:r w:rsidR="000911DF" w:rsidRPr="000D796A">
              <w:rPr>
                <w:b/>
                <w:bCs/>
                <w:lang w:val="ky-KG" w:eastAsia="en-US"/>
              </w:rPr>
              <w:t>For this, with the financial support of UNDP and the Embassy of Japan in the Kyrgyz Republic, a Returning Fund was created. This is a fund of financial resources provided to young people and youth enterprises to start or expand activities on an interest-free basis and without collateral for a period of 6 to 12 months.</w:t>
            </w:r>
            <w:r w:rsidR="000911DF" w:rsidRPr="000D796A">
              <w:rPr>
                <w:b/>
                <w:bCs/>
                <w:lang w:val="ky-KG" w:eastAsia="en-US"/>
              </w:rPr>
              <w:t xml:space="preserve"> </w:t>
            </w:r>
          </w:p>
          <w:p w14:paraId="34F3505C" w14:textId="36ADB5D1" w:rsidR="004E4F21" w:rsidRPr="000D796A" w:rsidRDefault="000911DF" w:rsidP="000911DF">
            <w:pPr>
              <w:spacing w:before="40" w:after="120"/>
              <w:ind w:right="113"/>
              <w:rPr>
                <w:b/>
                <w:bCs/>
                <w:lang w:val="ky-KG" w:eastAsia="en-GB"/>
              </w:rPr>
            </w:pPr>
            <w:r w:rsidRPr="000D796A">
              <w:rPr>
                <w:b/>
                <w:bCs/>
                <w:lang w:val="ky-KG" w:eastAsia="en-US"/>
              </w:rPr>
              <w:t>The Returning Fund is an opportunity where young entrepreneurs can receive interest-free and non-collateralized financing (not a grant) to develop their business. The possibility of obtaining financial support from the funds of the Returning Fund will be available on a competitive basis, in which all interested persons (applicants) can take part, noted the Institute for Youth Development.</w:t>
            </w:r>
          </w:p>
          <w:p w14:paraId="755E98CF"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75145C33" w14:textId="77777777" w:rsidTr="004E4F21">
        <w:tc>
          <w:tcPr>
            <w:tcW w:w="7370" w:type="dxa"/>
            <w:gridSpan w:val="2"/>
            <w:shd w:val="clear" w:color="auto" w:fill="auto"/>
          </w:tcPr>
          <w:p w14:paraId="666CC026" w14:textId="77777777" w:rsidR="004E4F21" w:rsidRPr="004E4F21" w:rsidRDefault="004E4F21" w:rsidP="004E4F21">
            <w:pPr>
              <w:spacing w:before="40" w:after="120"/>
              <w:ind w:right="113"/>
              <w:rPr>
                <w:b/>
                <w:lang w:eastAsia="en-US"/>
              </w:rPr>
            </w:pPr>
            <w:r w:rsidRPr="004E4F21">
              <w:rPr>
                <w:b/>
                <w:lang w:eastAsia="en-US"/>
              </w:rPr>
              <w:lastRenderedPageBreak/>
              <w:t>2.</w:t>
            </w:r>
            <w:r w:rsidRPr="004E4F21">
              <w:rPr>
                <w:b/>
                <w:lang w:eastAsia="en-US"/>
              </w:rPr>
              <w:tab/>
              <w:t>Are there any mechanisms on national level that strengthen students/youth entrepreneurship competences related to ESD?</w:t>
            </w:r>
          </w:p>
        </w:tc>
      </w:tr>
      <w:tr w:rsidR="004E4F21" w:rsidRPr="004E4F21" w14:paraId="0C60D7EF" w14:textId="77777777" w:rsidTr="004E4F21">
        <w:tc>
          <w:tcPr>
            <w:tcW w:w="2090" w:type="dxa"/>
            <w:shd w:val="clear" w:color="auto" w:fill="auto"/>
          </w:tcPr>
          <w:p w14:paraId="29220E09" w14:textId="423D8F44" w:rsidR="004E4F21" w:rsidRPr="004E4F21" w:rsidRDefault="004E4F21" w:rsidP="004E4F21">
            <w:pPr>
              <w:spacing w:before="40" w:after="120"/>
              <w:ind w:right="113"/>
              <w:rPr>
                <w:lang w:eastAsia="en-US"/>
              </w:rPr>
            </w:pPr>
            <w:r w:rsidRPr="004E4F21">
              <w:rPr>
                <w:lang w:eastAsia="en-US"/>
              </w:rPr>
              <w:t xml:space="preserve">Yes </w:t>
            </w:r>
            <w:proofErr w:type="gramStart"/>
            <w:r w:rsidR="000911DF">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280" w:type="dxa"/>
            <w:shd w:val="clear" w:color="auto" w:fill="auto"/>
          </w:tcPr>
          <w:p w14:paraId="1A812C57" w14:textId="1CC1093C" w:rsidR="004E4F21" w:rsidRPr="000D796A" w:rsidRDefault="004E4F21" w:rsidP="000911DF">
            <w:pPr>
              <w:spacing w:before="40" w:after="120"/>
              <w:ind w:right="113"/>
              <w:rPr>
                <w:b/>
                <w:bCs/>
                <w:lang w:val="ky-KG" w:eastAsia="en-GB"/>
              </w:rPr>
            </w:pPr>
            <w:r w:rsidRPr="004E4F21">
              <w:rPr>
                <w:lang w:eastAsia="en-GB"/>
              </w:rPr>
              <w:t></w:t>
            </w:r>
            <w:r w:rsidRPr="004E4F21">
              <w:rPr>
                <w:lang w:eastAsia="en-GB"/>
              </w:rPr>
              <w:tab/>
            </w:r>
            <w:r w:rsidRPr="004E4F21">
              <w:rPr>
                <w:lang w:eastAsia="en-US"/>
              </w:rPr>
              <w:t>Please specify</w:t>
            </w:r>
            <w:r w:rsidR="000911DF">
              <w:rPr>
                <w:lang w:val="ky-KG" w:eastAsia="en-US"/>
              </w:rPr>
              <w:t xml:space="preserve">. </w:t>
            </w:r>
            <w:r w:rsidR="000911DF" w:rsidRPr="000D796A">
              <w:rPr>
                <w:b/>
                <w:bCs/>
                <w:lang w:val="ky-KG" w:eastAsia="en-US"/>
              </w:rPr>
              <w:t>Every year, "Enaktas Kyrgyzstan" announces a year dedicated to a topical topic. 2020-2021 declared the years of environmental and food security.</w:t>
            </w:r>
            <w:r w:rsidR="000911DF" w:rsidRPr="000D796A">
              <w:rPr>
                <w:b/>
                <w:bCs/>
                <w:lang w:val="ky-KG" w:eastAsia="en-US"/>
              </w:rPr>
              <w:t xml:space="preserve"> </w:t>
            </w:r>
            <w:r w:rsidR="000911DF" w:rsidRPr="000D796A">
              <w:rPr>
                <w:b/>
                <w:bCs/>
                <w:lang w:val="ky-KG" w:eastAsia="en-US"/>
              </w:rPr>
              <w:t>From November 16 to 21, "Enaktas Kyrgyzstan" hosted a festival of youth entrepreneurship in seven regions of Kyrgyzstan with the participation and involvement of more than 25,000 young people, government agencies and successful entrepreneurs through a series of interesting events.</w:t>
            </w:r>
            <w:r w:rsidR="000911DF" w:rsidRPr="000D796A">
              <w:rPr>
                <w:b/>
                <w:bCs/>
                <w:lang w:val="ky-KG" w:eastAsia="en-US"/>
              </w:rPr>
              <w:t xml:space="preserve"> </w:t>
            </w:r>
            <w:r w:rsidR="000911DF" w:rsidRPr="000D796A">
              <w:rPr>
                <w:b/>
                <w:bCs/>
                <w:lang w:val="ky-KG" w:eastAsia="en-US"/>
              </w:rPr>
              <w:t>During the week, more than 30 interactive events took place on online and offline platforms with the participation of successful entrepreneurs, young entrepreneurs and youth, who: revealed the topic of entrepreneurship and mentoring for motivation and personal growth of the festival participants;</w:t>
            </w:r>
            <w:r w:rsidR="00016264" w:rsidRPr="000D796A">
              <w:rPr>
                <w:b/>
                <w:bCs/>
                <w:lang w:val="ky-KG" w:eastAsia="en-US"/>
              </w:rPr>
              <w:t xml:space="preserve"> </w:t>
            </w:r>
            <w:r w:rsidR="000911DF" w:rsidRPr="000D796A">
              <w:rPr>
                <w:b/>
                <w:bCs/>
                <w:lang w:val="ky-KG" w:eastAsia="en-US"/>
              </w:rPr>
              <w:t>raised youth awareness of economic opportunities;</w:t>
            </w:r>
            <w:r w:rsidR="00016264" w:rsidRPr="000D796A">
              <w:rPr>
                <w:b/>
                <w:bCs/>
                <w:lang w:val="ky-KG" w:eastAsia="en-US"/>
              </w:rPr>
              <w:t xml:space="preserve"> </w:t>
            </w:r>
            <w:r w:rsidR="000911DF" w:rsidRPr="000D796A">
              <w:rPr>
                <w:b/>
                <w:bCs/>
                <w:lang w:val="ky-KG" w:eastAsia="en-US"/>
              </w:rPr>
              <w:t>shared knowledge and experience in environmental and food security issues to motivate young people to address pressing problems.</w:t>
            </w:r>
          </w:p>
          <w:p w14:paraId="7B6D3B48" w14:textId="37597CF6" w:rsidR="004E4F21" w:rsidRPr="004E4F21" w:rsidRDefault="004E4F21" w:rsidP="00252239">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288834DD" w14:textId="77777777" w:rsidR="004E4F21" w:rsidRPr="004E4F21" w:rsidRDefault="004E4F21" w:rsidP="004E4F21">
            <w:pPr>
              <w:spacing w:before="40" w:after="120"/>
              <w:ind w:right="113"/>
              <w:rPr>
                <w:lang w:eastAsia="en-GB"/>
              </w:rPr>
            </w:pPr>
          </w:p>
        </w:tc>
      </w:tr>
      <w:tr w:rsidR="004E4F21" w:rsidRPr="004E4F21" w14:paraId="4CDDD81F" w14:textId="77777777" w:rsidTr="004E4F21">
        <w:tc>
          <w:tcPr>
            <w:tcW w:w="7370" w:type="dxa"/>
            <w:gridSpan w:val="2"/>
            <w:shd w:val="clear" w:color="auto" w:fill="auto"/>
          </w:tcPr>
          <w:p w14:paraId="7A489089" w14:textId="77777777" w:rsidR="004E4F21" w:rsidRPr="004E4F21" w:rsidRDefault="004E4F21" w:rsidP="004E4F21">
            <w:pPr>
              <w:spacing w:before="40" w:after="120"/>
              <w:ind w:right="113"/>
              <w:rPr>
                <w:b/>
                <w:lang w:eastAsia="en-US"/>
              </w:rPr>
            </w:pPr>
            <w:r w:rsidRPr="004E4F21">
              <w:rPr>
                <w:b/>
                <w:lang w:eastAsia="en-US"/>
              </w:rPr>
              <w:t>3.</w:t>
            </w:r>
            <w:r w:rsidRPr="004E4F21">
              <w:rPr>
                <w:b/>
                <w:lang w:eastAsia="en-US"/>
              </w:rPr>
              <w:tab/>
              <w:t>Are there any incentives for ESD on national level which prepare students/youth for the sustainable entrepreneurship and green jobs?</w:t>
            </w:r>
          </w:p>
        </w:tc>
      </w:tr>
      <w:tr w:rsidR="004E4F21" w:rsidRPr="004E4F21" w14:paraId="0784CEED" w14:textId="77777777" w:rsidTr="004E4F21">
        <w:tc>
          <w:tcPr>
            <w:tcW w:w="2090" w:type="dxa"/>
            <w:shd w:val="clear" w:color="auto" w:fill="auto"/>
          </w:tcPr>
          <w:p w14:paraId="75B8FCF1" w14:textId="2B1D26FB" w:rsidR="004E4F21" w:rsidRPr="004E4F21" w:rsidRDefault="004E4F21" w:rsidP="004E4F21">
            <w:pPr>
              <w:spacing w:before="40" w:after="120"/>
              <w:ind w:right="113"/>
              <w:rPr>
                <w:lang w:eastAsia="en-US"/>
              </w:rPr>
            </w:pPr>
            <w:r w:rsidRPr="004E4F21">
              <w:rPr>
                <w:lang w:eastAsia="en-US"/>
              </w:rPr>
              <w:t xml:space="preserve">Yes </w:t>
            </w:r>
            <w:proofErr w:type="gramStart"/>
            <w:r w:rsidR="00016264">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280" w:type="dxa"/>
            <w:shd w:val="clear" w:color="auto" w:fill="auto"/>
          </w:tcPr>
          <w:p w14:paraId="54CCA807" w14:textId="6C177E35" w:rsidR="004E4F21" w:rsidRPr="00016264" w:rsidRDefault="004E4F21" w:rsidP="004E4F21">
            <w:pPr>
              <w:spacing w:before="40" w:after="120"/>
              <w:ind w:right="113"/>
              <w:rPr>
                <w:lang w:val="ky-KG" w:eastAsia="en-US"/>
              </w:rPr>
            </w:pPr>
            <w:r w:rsidRPr="004E4F21">
              <w:rPr>
                <w:lang w:eastAsia="en-US"/>
              </w:rPr>
              <w:t></w:t>
            </w:r>
            <w:r w:rsidRPr="004E4F21">
              <w:rPr>
                <w:lang w:eastAsia="en-US"/>
              </w:rPr>
              <w:tab/>
              <w:t>Please specify</w:t>
            </w:r>
            <w:r w:rsidR="00016264">
              <w:rPr>
                <w:lang w:val="ky-KG" w:eastAsia="en-US"/>
              </w:rPr>
              <w:t xml:space="preserve">. </w:t>
            </w:r>
            <w:r w:rsidR="00016264" w:rsidRPr="000D796A">
              <w:rPr>
                <w:b/>
                <w:bCs/>
                <w:lang w:val="ky-KG" w:eastAsia="en-US"/>
              </w:rPr>
              <w:t>Yes, this is all at the development stage.</w:t>
            </w:r>
          </w:p>
          <w:p w14:paraId="4A5705C2"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indicate if you wish to make a p</w:t>
            </w:r>
            <w:r w:rsidRPr="004E4F21">
              <w:rPr>
                <w:lang w:eastAsia="en-GB"/>
              </w:rPr>
              <w:t>resentation on this topic or if there is an outstanding initiative in your country on this topic</w:t>
            </w:r>
          </w:p>
        </w:tc>
      </w:tr>
      <w:tr w:rsidR="004E4F21" w:rsidRPr="004E4F21" w14:paraId="0C7CD5D6" w14:textId="77777777" w:rsidTr="004E4F21">
        <w:tc>
          <w:tcPr>
            <w:tcW w:w="2090" w:type="dxa"/>
            <w:tcBorders>
              <w:bottom w:val="single" w:sz="12" w:space="0" w:color="auto"/>
            </w:tcBorders>
            <w:shd w:val="clear" w:color="auto" w:fill="auto"/>
          </w:tcPr>
          <w:p w14:paraId="0D031FB6" w14:textId="77777777" w:rsidR="004E4F21" w:rsidRPr="004E4F21" w:rsidRDefault="004E4F21" w:rsidP="004E4F21">
            <w:pPr>
              <w:spacing w:before="40" w:after="120"/>
              <w:ind w:right="113"/>
              <w:rPr>
                <w:lang w:eastAsia="en-US"/>
              </w:rPr>
            </w:pPr>
          </w:p>
        </w:tc>
        <w:tc>
          <w:tcPr>
            <w:tcW w:w="5280" w:type="dxa"/>
            <w:tcBorders>
              <w:bottom w:val="single" w:sz="12" w:space="0" w:color="auto"/>
            </w:tcBorders>
            <w:shd w:val="clear" w:color="auto" w:fill="auto"/>
          </w:tcPr>
          <w:p w14:paraId="4BE432C7" w14:textId="77777777" w:rsidR="004E4F21" w:rsidRPr="004E4F21" w:rsidRDefault="004E4F21" w:rsidP="004E4F21">
            <w:pPr>
              <w:spacing w:before="40" w:after="120"/>
              <w:ind w:right="113"/>
              <w:rPr>
                <w:lang w:eastAsia="en-GB"/>
              </w:rPr>
            </w:pPr>
          </w:p>
        </w:tc>
      </w:tr>
    </w:tbl>
    <w:p w14:paraId="712058D3" w14:textId="68A29F75" w:rsidR="004E4F21" w:rsidRDefault="004E4F21" w:rsidP="004E4F21"/>
    <w:p w14:paraId="41CC4184" w14:textId="6DAD98A7" w:rsidR="004E4F21" w:rsidRDefault="004E4F21" w:rsidP="004E4F21">
      <w:pPr>
        <w:pStyle w:val="H4G"/>
        <w:rPr>
          <w:b/>
          <w:bCs/>
          <w:lang w:eastAsia="en-US"/>
        </w:rPr>
      </w:pPr>
      <w:r>
        <w:rPr>
          <w:lang w:eastAsia="en-US"/>
        </w:rPr>
        <w:tab/>
      </w:r>
      <w:r>
        <w:rPr>
          <w:lang w:eastAsia="en-US"/>
        </w:rPr>
        <w:tab/>
      </w:r>
      <w:r w:rsidRPr="004E4F21">
        <w:rPr>
          <w:b/>
          <w:bCs/>
          <w:lang w:eastAsia="en-US"/>
        </w:rPr>
        <w:t>V.</w:t>
      </w:r>
      <w:r w:rsidRPr="004E4F21">
        <w:rPr>
          <w:b/>
          <w:bCs/>
          <w:lang w:eastAsia="en-US"/>
        </w:rPr>
        <w:tab/>
        <w:t>C</w:t>
      </w:r>
      <w:r w:rsidR="00401E99">
        <w:rPr>
          <w:b/>
          <w:bCs/>
          <w:lang w:eastAsia="en-US"/>
        </w:rPr>
        <w:t>OVID</w:t>
      </w:r>
      <w:r w:rsidRPr="004E4F21">
        <w:rPr>
          <w:b/>
          <w:bCs/>
          <w:lang w:eastAsia="en-US"/>
        </w:rPr>
        <w:t>-19 and ESD</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5810"/>
      </w:tblGrid>
      <w:tr w:rsidR="004E4F21" w:rsidRPr="004E4F21" w14:paraId="21CF1D96" w14:textId="77777777" w:rsidTr="004E4F21">
        <w:trPr>
          <w:trHeight w:hRule="exact" w:val="113"/>
          <w:tblHeader/>
        </w:trPr>
        <w:tc>
          <w:tcPr>
            <w:tcW w:w="7370" w:type="dxa"/>
            <w:gridSpan w:val="2"/>
            <w:tcBorders>
              <w:top w:val="single" w:sz="12" w:space="0" w:color="auto"/>
              <w:bottom w:val="single" w:sz="12" w:space="0" w:color="auto"/>
            </w:tcBorders>
            <w:shd w:val="clear" w:color="auto" w:fill="auto"/>
          </w:tcPr>
          <w:p w14:paraId="013322EA" w14:textId="77777777" w:rsidR="004E4F21" w:rsidRPr="004E4F21" w:rsidRDefault="004E4F21" w:rsidP="004E4F21">
            <w:pPr>
              <w:spacing w:before="40" w:after="120"/>
              <w:ind w:right="113"/>
              <w:rPr>
                <w:lang w:eastAsia="en-US"/>
              </w:rPr>
            </w:pPr>
          </w:p>
        </w:tc>
      </w:tr>
      <w:tr w:rsidR="004E4F21" w:rsidRPr="004E4F21" w14:paraId="7281111B" w14:textId="77777777" w:rsidTr="004E4F21">
        <w:trPr>
          <w:tblHeader/>
        </w:trPr>
        <w:tc>
          <w:tcPr>
            <w:tcW w:w="7370" w:type="dxa"/>
            <w:gridSpan w:val="2"/>
            <w:tcBorders>
              <w:top w:val="single" w:sz="12" w:space="0" w:color="auto"/>
            </w:tcBorders>
            <w:shd w:val="clear" w:color="auto" w:fill="auto"/>
          </w:tcPr>
          <w:p w14:paraId="650E5934" w14:textId="77777777" w:rsidR="004E4F21" w:rsidRPr="004E4F21" w:rsidRDefault="004E4F21" w:rsidP="004E4F21">
            <w:pPr>
              <w:spacing w:line="240" w:lineRule="auto"/>
              <w:ind w:right="113"/>
              <w:rPr>
                <w:sz w:val="16"/>
                <w:szCs w:val="16"/>
                <w:lang w:eastAsia="en-US"/>
              </w:rPr>
            </w:pPr>
          </w:p>
        </w:tc>
      </w:tr>
      <w:tr w:rsidR="004E4F21" w:rsidRPr="004E4F21" w14:paraId="54CDBDBC" w14:textId="77777777" w:rsidTr="004E4F21">
        <w:tc>
          <w:tcPr>
            <w:tcW w:w="7370" w:type="dxa"/>
            <w:gridSpan w:val="2"/>
            <w:shd w:val="clear" w:color="auto" w:fill="auto"/>
          </w:tcPr>
          <w:p w14:paraId="5C7A2441" w14:textId="27B14D02" w:rsidR="004E4F21" w:rsidRPr="004E4F21" w:rsidRDefault="004E4F21" w:rsidP="004E4F21">
            <w:pPr>
              <w:spacing w:before="40" w:after="120"/>
              <w:ind w:right="113"/>
              <w:rPr>
                <w:lang w:eastAsia="en-US"/>
              </w:rPr>
            </w:pPr>
            <w:r w:rsidRPr="00252239">
              <w:rPr>
                <w:b/>
                <w:bCs/>
                <w:lang w:eastAsia="en-US"/>
              </w:rPr>
              <w:t>1.</w:t>
            </w:r>
            <w:r w:rsidRPr="004E4F21">
              <w:rPr>
                <w:lang w:eastAsia="en-US"/>
              </w:rPr>
              <w:tab/>
            </w:r>
            <w:r w:rsidRPr="00252239">
              <w:rPr>
                <w:b/>
                <w:bCs/>
                <w:lang w:eastAsia="en-US"/>
              </w:rPr>
              <w:t>Has C</w:t>
            </w:r>
            <w:r w:rsidR="00401E99">
              <w:rPr>
                <w:b/>
                <w:bCs/>
                <w:lang w:eastAsia="en-US"/>
              </w:rPr>
              <w:t>OVID</w:t>
            </w:r>
            <w:r w:rsidRPr="00252239">
              <w:rPr>
                <w:b/>
                <w:bCs/>
                <w:lang w:eastAsia="en-US"/>
              </w:rPr>
              <w:t>-19 impacted the implementation of UNECE Strategy for ESD in your country?</w:t>
            </w:r>
          </w:p>
        </w:tc>
      </w:tr>
      <w:tr w:rsidR="004E4F21" w:rsidRPr="004E4F21" w14:paraId="56430E75" w14:textId="77777777" w:rsidTr="004E4F21">
        <w:tc>
          <w:tcPr>
            <w:tcW w:w="1560" w:type="dxa"/>
            <w:shd w:val="clear" w:color="auto" w:fill="auto"/>
          </w:tcPr>
          <w:p w14:paraId="73F4B341" w14:textId="50F00A42" w:rsidR="004E4F21" w:rsidRPr="004E4F21" w:rsidRDefault="004E4F21" w:rsidP="004E4F21">
            <w:pPr>
              <w:spacing w:before="40" w:after="120"/>
              <w:ind w:right="113"/>
              <w:rPr>
                <w:lang w:eastAsia="en-US"/>
              </w:rPr>
            </w:pPr>
            <w:r w:rsidRPr="004E4F21">
              <w:rPr>
                <w:lang w:eastAsia="en-US"/>
              </w:rPr>
              <w:t xml:space="preserve">Yes </w:t>
            </w:r>
            <w:proofErr w:type="gramStart"/>
            <w:r w:rsidR="00016264">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810" w:type="dxa"/>
            <w:shd w:val="clear" w:color="auto" w:fill="auto"/>
          </w:tcPr>
          <w:p w14:paraId="0D8DBC47" w14:textId="5812128D" w:rsidR="004E4F21" w:rsidRPr="00016264" w:rsidRDefault="004E4F21" w:rsidP="004E4F21">
            <w:pPr>
              <w:spacing w:before="40" w:after="120"/>
              <w:ind w:right="113"/>
              <w:rPr>
                <w:lang w:val="ky-KG" w:eastAsia="en-GB"/>
              </w:rPr>
            </w:pPr>
            <w:r w:rsidRPr="004E4F21">
              <w:rPr>
                <w:lang w:eastAsia="en-GB"/>
              </w:rPr>
              <w:t></w:t>
            </w:r>
            <w:r w:rsidRPr="004E4F21">
              <w:rPr>
                <w:lang w:eastAsia="en-GB"/>
              </w:rPr>
              <w:tab/>
            </w:r>
            <w:r w:rsidRPr="004E4F21">
              <w:rPr>
                <w:lang w:eastAsia="en-US"/>
              </w:rPr>
              <w:t>Please specify</w:t>
            </w:r>
            <w:r w:rsidR="00016264">
              <w:rPr>
                <w:lang w:val="ky-KG" w:eastAsia="en-US"/>
              </w:rPr>
              <w:t xml:space="preserve">. </w:t>
            </w:r>
            <w:r w:rsidR="00016264" w:rsidRPr="000D796A">
              <w:rPr>
                <w:b/>
                <w:bCs/>
                <w:lang w:val="ky-KG" w:eastAsia="en-US"/>
              </w:rPr>
              <w:t>Yes, as in all countries</w:t>
            </w:r>
          </w:p>
          <w:p w14:paraId="117CA66B"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76091A4E" w14:textId="77777777" w:rsidR="004E4F21" w:rsidRPr="004E4F21" w:rsidRDefault="004E4F21" w:rsidP="004E4F21">
            <w:pPr>
              <w:spacing w:before="40" w:after="120"/>
              <w:ind w:right="113"/>
              <w:rPr>
                <w:lang w:eastAsia="en-GB"/>
              </w:rPr>
            </w:pPr>
          </w:p>
        </w:tc>
      </w:tr>
      <w:tr w:rsidR="004E4F21" w:rsidRPr="004E4F21" w14:paraId="264C9266" w14:textId="77777777" w:rsidTr="004E4F21">
        <w:tc>
          <w:tcPr>
            <w:tcW w:w="7370" w:type="dxa"/>
            <w:gridSpan w:val="2"/>
            <w:shd w:val="clear" w:color="auto" w:fill="auto"/>
          </w:tcPr>
          <w:p w14:paraId="658E7C89" w14:textId="4BAA1DC0" w:rsidR="004E4F21" w:rsidRPr="00252239" w:rsidRDefault="004E4F21" w:rsidP="004E4F21">
            <w:pPr>
              <w:spacing w:before="40" w:after="120"/>
              <w:ind w:right="113"/>
              <w:rPr>
                <w:b/>
                <w:bCs/>
                <w:lang w:eastAsia="en-US"/>
              </w:rPr>
            </w:pPr>
            <w:r w:rsidRPr="00252239">
              <w:rPr>
                <w:b/>
                <w:bCs/>
                <w:lang w:eastAsia="en-US"/>
              </w:rPr>
              <w:t>2.</w:t>
            </w:r>
            <w:r w:rsidRPr="00252239">
              <w:rPr>
                <w:b/>
                <w:bCs/>
                <w:lang w:eastAsia="en-US"/>
              </w:rPr>
              <w:tab/>
              <w:t>Does your country face specific challenges for integrating ESD on the national level during C</w:t>
            </w:r>
            <w:r w:rsidR="00401E99">
              <w:rPr>
                <w:b/>
                <w:bCs/>
                <w:lang w:eastAsia="en-US"/>
              </w:rPr>
              <w:t>OVID</w:t>
            </w:r>
            <w:r w:rsidRPr="00252239">
              <w:rPr>
                <w:b/>
                <w:bCs/>
                <w:lang w:eastAsia="en-US"/>
              </w:rPr>
              <w:t xml:space="preserve">-19? </w:t>
            </w:r>
          </w:p>
        </w:tc>
      </w:tr>
      <w:tr w:rsidR="004E4F21" w:rsidRPr="004E4F21" w14:paraId="7CD0A13B" w14:textId="77777777" w:rsidTr="004E4F21">
        <w:tc>
          <w:tcPr>
            <w:tcW w:w="1560" w:type="dxa"/>
            <w:shd w:val="clear" w:color="auto" w:fill="auto"/>
          </w:tcPr>
          <w:p w14:paraId="62992BD8" w14:textId="517F634A" w:rsidR="004E4F21" w:rsidRPr="004E4F21" w:rsidRDefault="004E4F21" w:rsidP="004E4F21">
            <w:pPr>
              <w:spacing w:before="40" w:after="120"/>
              <w:ind w:right="113"/>
              <w:rPr>
                <w:lang w:eastAsia="en-US"/>
              </w:rPr>
            </w:pPr>
            <w:r w:rsidRPr="004E4F21">
              <w:rPr>
                <w:lang w:eastAsia="en-US"/>
              </w:rPr>
              <w:t xml:space="preserve">Yes </w:t>
            </w:r>
            <w:proofErr w:type="gramStart"/>
            <w:r w:rsidR="00016264">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810" w:type="dxa"/>
            <w:shd w:val="clear" w:color="auto" w:fill="auto"/>
          </w:tcPr>
          <w:p w14:paraId="2933E0AD" w14:textId="5D3A7F7E" w:rsidR="004E4F21" w:rsidRPr="00016264" w:rsidRDefault="004E4F21" w:rsidP="004E4F21">
            <w:pPr>
              <w:spacing w:before="40" w:after="120"/>
              <w:ind w:right="113"/>
              <w:rPr>
                <w:lang w:val="ky-KG" w:eastAsia="en-GB"/>
              </w:rPr>
            </w:pPr>
            <w:r w:rsidRPr="004E4F21">
              <w:rPr>
                <w:lang w:eastAsia="en-GB"/>
              </w:rPr>
              <w:t></w:t>
            </w:r>
            <w:r w:rsidRPr="004E4F21">
              <w:rPr>
                <w:lang w:eastAsia="en-GB"/>
              </w:rPr>
              <w:tab/>
            </w:r>
            <w:r w:rsidRPr="004E4F21">
              <w:rPr>
                <w:lang w:eastAsia="en-US"/>
              </w:rPr>
              <w:t>Please specify</w:t>
            </w:r>
            <w:r w:rsidR="00016264">
              <w:rPr>
                <w:lang w:val="ky-KG" w:eastAsia="en-US"/>
              </w:rPr>
              <w:t xml:space="preserve">. </w:t>
            </w:r>
            <w:r w:rsidR="00016264" w:rsidRPr="000D796A">
              <w:rPr>
                <w:b/>
                <w:bCs/>
                <w:lang w:val="ky-KG" w:eastAsia="en-US"/>
              </w:rPr>
              <w:t>Yes, as in all countries</w:t>
            </w:r>
          </w:p>
          <w:p w14:paraId="463F1335"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55310864" w14:textId="77777777" w:rsidTr="004E4F21">
        <w:tc>
          <w:tcPr>
            <w:tcW w:w="7370" w:type="dxa"/>
            <w:gridSpan w:val="2"/>
            <w:shd w:val="clear" w:color="auto" w:fill="auto"/>
          </w:tcPr>
          <w:p w14:paraId="6AC6517D" w14:textId="414A1CA3" w:rsidR="004E4F21" w:rsidRPr="00252239" w:rsidRDefault="004E4F21" w:rsidP="004E4F21">
            <w:pPr>
              <w:spacing w:before="40" w:after="120"/>
              <w:ind w:right="113"/>
              <w:rPr>
                <w:b/>
                <w:bCs/>
                <w:lang w:eastAsia="en-US"/>
              </w:rPr>
            </w:pPr>
            <w:r w:rsidRPr="00252239">
              <w:rPr>
                <w:b/>
                <w:bCs/>
                <w:lang w:eastAsia="en-US"/>
              </w:rPr>
              <w:t>3.</w:t>
            </w:r>
            <w:r w:rsidRPr="00252239">
              <w:rPr>
                <w:b/>
                <w:bCs/>
                <w:lang w:eastAsia="en-US"/>
              </w:rPr>
              <w:tab/>
              <w:t>What are the lessons learnt in your country from C</w:t>
            </w:r>
            <w:r w:rsidR="00401E99">
              <w:rPr>
                <w:b/>
                <w:bCs/>
                <w:lang w:eastAsia="en-US"/>
              </w:rPr>
              <w:t>OVID</w:t>
            </w:r>
            <w:r w:rsidRPr="00252239">
              <w:rPr>
                <w:b/>
                <w:bCs/>
                <w:lang w:eastAsia="en-US"/>
              </w:rPr>
              <w:t xml:space="preserve">-19, which, to your opinion, would strengthen the role of ESD in the national context as a vehicle for empowering youth and citizens to be more resilient in future emergencies? </w:t>
            </w:r>
          </w:p>
        </w:tc>
      </w:tr>
      <w:tr w:rsidR="004E4F21" w:rsidRPr="004E4F21" w14:paraId="38444FF4" w14:textId="77777777" w:rsidTr="004E4F21">
        <w:tc>
          <w:tcPr>
            <w:tcW w:w="1560" w:type="dxa"/>
            <w:tcBorders>
              <w:bottom w:val="single" w:sz="12" w:space="0" w:color="auto"/>
            </w:tcBorders>
            <w:shd w:val="clear" w:color="auto" w:fill="auto"/>
          </w:tcPr>
          <w:p w14:paraId="551BD864" w14:textId="536F2F64" w:rsidR="004E4F21" w:rsidRPr="004E4F21" w:rsidRDefault="004E4F21" w:rsidP="004E4F21">
            <w:pPr>
              <w:spacing w:before="40" w:after="120"/>
              <w:ind w:right="113"/>
              <w:rPr>
                <w:lang w:eastAsia="en-US"/>
              </w:rPr>
            </w:pPr>
            <w:r w:rsidRPr="004E4F21">
              <w:rPr>
                <w:lang w:eastAsia="en-US"/>
              </w:rPr>
              <w:t xml:space="preserve">Yes </w:t>
            </w:r>
            <w:proofErr w:type="gramStart"/>
            <w:r w:rsidR="00016264">
              <w:rPr>
                <w:rFonts w:ascii="Yu Gothic" w:eastAsia="Yu Gothic" w:hAnsi="Yu Gothic" w:hint="eastAsia"/>
                <w:lang w:eastAsia="en-US"/>
              </w:rPr>
              <w:t>⊠</w:t>
            </w:r>
            <w:r w:rsidRPr="004E4F21">
              <w:rPr>
                <w:lang w:eastAsia="en-US"/>
              </w:rPr>
              <w:t xml:space="preserve">  No</w:t>
            </w:r>
            <w:proofErr w:type="gramEnd"/>
            <w:r w:rsidRPr="004E4F21">
              <w:rPr>
                <w:lang w:eastAsia="en-US"/>
              </w:rPr>
              <w:t xml:space="preserve">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817BC">
              <w:rPr>
                <w:lang w:eastAsia="en-US"/>
              </w:rPr>
            </w:r>
            <w:r w:rsidR="000817BC">
              <w:rPr>
                <w:lang w:eastAsia="en-US"/>
              </w:rPr>
              <w:fldChar w:fldCharType="separate"/>
            </w:r>
            <w:r w:rsidRPr="004E4F21">
              <w:rPr>
                <w:lang w:eastAsia="en-US"/>
              </w:rPr>
              <w:fldChar w:fldCharType="end"/>
            </w:r>
          </w:p>
        </w:tc>
        <w:tc>
          <w:tcPr>
            <w:tcW w:w="5810" w:type="dxa"/>
            <w:tcBorders>
              <w:bottom w:val="single" w:sz="12" w:space="0" w:color="auto"/>
            </w:tcBorders>
            <w:shd w:val="clear" w:color="auto" w:fill="auto"/>
          </w:tcPr>
          <w:p w14:paraId="28495C08" w14:textId="296C5589" w:rsidR="004E4F21" w:rsidRPr="00016264" w:rsidRDefault="004E4F21" w:rsidP="004E4F21">
            <w:pPr>
              <w:spacing w:before="40" w:after="120"/>
              <w:ind w:right="113"/>
              <w:rPr>
                <w:lang w:val="ky-KG" w:eastAsia="en-GB"/>
              </w:rPr>
            </w:pPr>
            <w:r w:rsidRPr="004E4F21">
              <w:rPr>
                <w:lang w:eastAsia="en-GB"/>
              </w:rPr>
              <w:t></w:t>
            </w:r>
            <w:r w:rsidRPr="004E4F21">
              <w:rPr>
                <w:lang w:eastAsia="en-GB"/>
              </w:rPr>
              <w:tab/>
            </w:r>
            <w:r w:rsidRPr="004E4F21">
              <w:rPr>
                <w:lang w:eastAsia="en-US"/>
              </w:rPr>
              <w:t>Please specify</w:t>
            </w:r>
            <w:r w:rsidR="00016264">
              <w:rPr>
                <w:lang w:val="ky-KG" w:eastAsia="en-US"/>
              </w:rPr>
              <w:t xml:space="preserve">. </w:t>
            </w:r>
            <w:r w:rsidR="00016264" w:rsidRPr="000D796A">
              <w:rPr>
                <w:b/>
                <w:bCs/>
                <w:lang w:val="ky-KG" w:eastAsia="en-US"/>
              </w:rPr>
              <w:t>During the pandemic, schools and universities in Kyrgyzstan were closed for a lockdown. Educational institutions were faced with the task of quickly organizing online education without losing the quality of education. Soon, the authorities set the same goal for local companies, which had to establish remote work on a tight schedule. At first, "remote" seemed inconvenient, but it is precisely this that makes the system mobile and flexible, erasing boundaries and barriers. The technologies and methods that we are urgently mastering now can be used in further work.</w:t>
            </w:r>
          </w:p>
          <w:p w14:paraId="215C615F"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70103168" w14:textId="77777777" w:rsidR="004E4F21" w:rsidRPr="004E4F21" w:rsidRDefault="004E4F21" w:rsidP="004E4F21">
            <w:pPr>
              <w:spacing w:before="40" w:after="120"/>
              <w:ind w:right="113"/>
              <w:rPr>
                <w:lang w:eastAsia="en-GB"/>
              </w:rPr>
            </w:pPr>
          </w:p>
        </w:tc>
      </w:tr>
    </w:tbl>
    <w:p w14:paraId="7AFA04C0" w14:textId="77777777" w:rsidR="004E4F21" w:rsidRPr="004E4F21" w:rsidRDefault="004E4F21" w:rsidP="004E4F21">
      <w:pPr>
        <w:rPr>
          <w:lang w:eastAsia="en-US"/>
        </w:rPr>
      </w:pPr>
      <w:bookmarkStart w:id="0" w:name="_GoBack"/>
      <w:bookmarkEnd w:id="0"/>
    </w:p>
    <w:sectPr w:rsidR="004E4F21" w:rsidRPr="004E4F21" w:rsidSect="00DF4FAC">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9ADD" w14:textId="77777777" w:rsidR="000817BC" w:rsidRDefault="000817BC" w:rsidP="00F95C08">
      <w:pPr>
        <w:spacing w:line="240" w:lineRule="auto"/>
      </w:pPr>
    </w:p>
  </w:endnote>
  <w:endnote w:type="continuationSeparator" w:id="0">
    <w:p w14:paraId="58EA5495" w14:textId="77777777" w:rsidR="000817BC" w:rsidRPr="00AC3823" w:rsidRDefault="000817BC" w:rsidP="00AC3823">
      <w:pPr>
        <w:pStyle w:val="a5"/>
      </w:pPr>
    </w:p>
  </w:endnote>
  <w:endnote w:type="continuationNotice" w:id="1">
    <w:p w14:paraId="2AC432FC" w14:textId="77777777" w:rsidR="000817BC" w:rsidRDefault="000817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930E" w14:textId="00A11C52" w:rsidR="00DF4FAC" w:rsidRPr="00DF4FAC" w:rsidRDefault="00DF4FAC">
    <w:pPr>
      <w:pStyle w:val="a5"/>
      <w:rPr>
        <w:lang w:val="fr-CH"/>
      </w:rPr>
    </w:pPr>
    <w:r>
      <w:rPr>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90782"/>
      <w:docPartObj>
        <w:docPartGallery w:val="Page Numbers (Bottom of Page)"/>
        <w:docPartUnique/>
      </w:docPartObj>
    </w:sdtPr>
    <w:sdtEndPr>
      <w:rPr>
        <w:noProof/>
      </w:rPr>
    </w:sdtEndPr>
    <w:sdtContent>
      <w:p w14:paraId="431CB180" w14:textId="23497D00" w:rsidR="00DF4FAC" w:rsidRDefault="00DF4FAC">
        <w:pPr>
          <w:pStyle w:val="a5"/>
        </w:pPr>
        <w:r>
          <w:fldChar w:fldCharType="begin"/>
        </w:r>
        <w:r>
          <w:instrText xml:space="preserve"> PAGE   \* MERGEFORMAT </w:instrText>
        </w:r>
        <w:r>
          <w:fldChar w:fldCharType="separate"/>
        </w:r>
        <w:r>
          <w:rPr>
            <w:noProof/>
          </w:rPr>
          <w:t>2</w:t>
        </w:r>
        <w:r>
          <w:rPr>
            <w:noProof/>
          </w:rPr>
          <w:fldChar w:fldCharType="end"/>
        </w:r>
      </w:p>
    </w:sdtContent>
  </w:sdt>
  <w:p w14:paraId="444C0180" w14:textId="77777777" w:rsidR="00DF4FAC" w:rsidRDefault="00DF4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6BF4" w14:textId="77777777" w:rsidR="000817BC" w:rsidRPr="00AC3823" w:rsidRDefault="000817BC" w:rsidP="00AC3823">
      <w:pPr>
        <w:pStyle w:val="a5"/>
        <w:tabs>
          <w:tab w:val="right" w:pos="2155"/>
        </w:tabs>
        <w:spacing w:after="80" w:line="240" w:lineRule="atLeast"/>
        <w:ind w:left="680"/>
        <w:rPr>
          <w:u w:val="single"/>
        </w:rPr>
      </w:pPr>
      <w:r>
        <w:rPr>
          <w:u w:val="single"/>
        </w:rPr>
        <w:tab/>
      </w:r>
    </w:p>
  </w:footnote>
  <w:footnote w:type="continuationSeparator" w:id="0">
    <w:p w14:paraId="2021E58B" w14:textId="77777777" w:rsidR="000817BC" w:rsidRPr="00AC3823" w:rsidRDefault="000817BC" w:rsidP="00AC3823">
      <w:pPr>
        <w:pStyle w:val="a5"/>
        <w:tabs>
          <w:tab w:val="right" w:pos="2155"/>
        </w:tabs>
        <w:spacing w:after="80" w:line="240" w:lineRule="atLeast"/>
        <w:ind w:left="680"/>
        <w:rPr>
          <w:u w:val="single"/>
        </w:rPr>
      </w:pPr>
      <w:r>
        <w:rPr>
          <w:u w:val="single"/>
        </w:rPr>
        <w:tab/>
      </w:r>
    </w:p>
  </w:footnote>
  <w:footnote w:type="continuationNotice" w:id="1">
    <w:p w14:paraId="0F53D4E3" w14:textId="77777777" w:rsidR="000817BC" w:rsidRPr="00AC3823" w:rsidRDefault="000817BC">
      <w:pPr>
        <w:spacing w:line="240" w:lineRule="auto"/>
        <w:rPr>
          <w:sz w:val="2"/>
          <w:szCs w:val="2"/>
        </w:rPr>
      </w:pPr>
    </w:p>
  </w:footnote>
  <w:footnote w:id="2">
    <w:p w14:paraId="4172116C" w14:textId="77777777" w:rsidR="004E4F21" w:rsidRPr="00B430C9" w:rsidRDefault="004E4F21" w:rsidP="004E4F21">
      <w:pPr>
        <w:pStyle w:val="ac"/>
        <w:rPr>
          <w:lang w:val="en-US"/>
        </w:rPr>
      </w:pPr>
      <w:r>
        <w:tab/>
      </w:r>
      <w:r>
        <w:rPr>
          <w:rStyle w:val="a7"/>
        </w:rPr>
        <w:footnoteRef/>
      </w:r>
      <w:r>
        <w:tab/>
      </w:r>
      <w:r w:rsidRPr="00F4137C">
        <w:t>Countries</w:t>
      </w:r>
      <w:r>
        <w:rPr>
          <w:lang w:val="en-US"/>
        </w:rPr>
        <w:t xml:space="preserve"> with a federal structure are free to provide several inputs or questionnaires from different states or entities, if appropriate. </w:t>
      </w:r>
    </w:p>
  </w:footnote>
  <w:footnote w:id="3">
    <w:p w14:paraId="5013383F" w14:textId="18C96724" w:rsidR="004E4F21" w:rsidRPr="00234AC5" w:rsidRDefault="004E4F21" w:rsidP="004E4F21">
      <w:pPr>
        <w:pStyle w:val="ac"/>
        <w:rPr>
          <w:lang w:val="en-US"/>
        </w:rPr>
      </w:pPr>
      <w:r>
        <w:tab/>
      </w:r>
      <w:r>
        <w:rPr>
          <w:rStyle w:val="a7"/>
        </w:rPr>
        <w:footnoteRef/>
      </w:r>
      <w:r>
        <w:tab/>
        <w:t xml:space="preserve">The </w:t>
      </w:r>
      <w:r w:rsidR="00202AEB">
        <w:t xml:space="preserve">latest </w:t>
      </w:r>
      <w:r>
        <w:t>draft (to be updated for the upcoming 16</w:t>
      </w:r>
      <w:r w:rsidRPr="00644E0E">
        <w:rPr>
          <w:vertAlign w:val="superscript"/>
        </w:rPr>
        <w:t>th</w:t>
      </w:r>
      <w:r>
        <w:t xml:space="preserve"> meeting) </w:t>
      </w:r>
      <w:r w:rsidR="00202AEB">
        <w:t xml:space="preserve">is </w:t>
      </w:r>
      <w:r>
        <w:t>a</w:t>
      </w:r>
      <w:r w:rsidRPr="00234AC5">
        <w:t xml:space="preserve">vailable </w:t>
      </w:r>
      <w:r>
        <w:t xml:space="preserve">from </w:t>
      </w:r>
      <w:r w:rsidRPr="00445414">
        <w:t>http://staging2.unece.org.net4all.ch/fileadmin/DAM/env/esd/15th_Meeting_SC/Doc/Informal_documents/Information_Paper_No._7_-_Draft_concept_note_post-2019_implementation.pdf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1"/>
    <w:rsid w:val="00016264"/>
    <w:rsid w:val="00017F94"/>
    <w:rsid w:val="00023842"/>
    <w:rsid w:val="000334F9"/>
    <w:rsid w:val="00042C02"/>
    <w:rsid w:val="0007796D"/>
    <w:rsid w:val="000817BC"/>
    <w:rsid w:val="000911DF"/>
    <w:rsid w:val="00095FF1"/>
    <w:rsid w:val="000B7790"/>
    <w:rsid w:val="000C390E"/>
    <w:rsid w:val="000D796A"/>
    <w:rsid w:val="00103267"/>
    <w:rsid w:val="00111F2F"/>
    <w:rsid w:val="001202D8"/>
    <w:rsid w:val="0014365E"/>
    <w:rsid w:val="0014660A"/>
    <w:rsid w:val="00150DB2"/>
    <w:rsid w:val="00176178"/>
    <w:rsid w:val="001F525A"/>
    <w:rsid w:val="00202AEB"/>
    <w:rsid w:val="00223272"/>
    <w:rsid w:val="0024779E"/>
    <w:rsid w:val="00252239"/>
    <w:rsid w:val="00291F1D"/>
    <w:rsid w:val="0029407C"/>
    <w:rsid w:val="002D3498"/>
    <w:rsid w:val="00350987"/>
    <w:rsid w:val="00353ED5"/>
    <w:rsid w:val="00382A1F"/>
    <w:rsid w:val="0038684C"/>
    <w:rsid w:val="00390178"/>
    <w:rsid w:val="003D1AD0"/>
    <w:rsid w:val="00401E99"/>
    <w:rsid w:val="00446FE5"/>
    <w:rsid w:val="00452396"/>
    <w:rsid w:val="00472D21"/>
    <w:rsid w:val="004D1CEB"/>
    <w:rsid w:val="004E4F21"/>
    <w:rsid w:val="0052225A"/>
    <w:rsid w:val="005505B7"/>
    <w:rsid w:val="0057359C"/>
    <w:rsid w:val="00573BE5"/>
    <w:rsid w:val="00586ED3"/>
    <w:rsid w:val="00596AA9"/>
    <w:rsid w:val="006122C4"/>
    <w:rsid w:val="0069364F"/>
    <w:rsid w:val="006E2C9B"/>
    <w:rsid w:val="0071601D"/>
    <w:rsid w:val="0076624F"/>
    <w:rsid w:val="00766CEC"/>
    <w:rsid w:val="0079527C"/>
    <w:rsid w:val="007A62E6"/>
    <w:rsid w:val="007D0A06"/>
    <w:rsid w:val="007D38F5"/>
    <w:rsid w:val="0080684C"/>
    <w:rsid w:val="00815502"/>
    <w:rsid w:val="00835700"/>
    <w:rsid w:val="00871C75"/>
    <w:rsid w:val="008776DC"/>
    <w:rsid w:val="008F2A1D"/>
    <w:rsid w:val="00920D9E"/>
    <w:rsid w:val="0093050C"/>
    <w:rsid w:val="00957790"/>
    <w:rsid w:val="009705C8"/>
    <w:rsid w:val="00A12AB5"/>
    <w:rsid w:val="00AC3823"/>
    <w:rsid w:val="00AD3959"/>
    <w:rsid w:val="00AE323C"/>
    <w:rsid w:val="00AE7D9F"/>
    <w:rsid w:val="00B00181"/>
    <w:rsid w:val="00B27C2D"/>
    <w:rsid w:val="00B43C66"/>
    <w:rsid w:val="00B72385"/>
    <w:rsid w:val="00B765F7"/>
    <w:rsid w:val="00BA0CA9"/>
    <w:rsid w:val="00BB3E59"/>
    <w:rsid w:val="00BC5FB9"/>
    <w:rsid w:val="00BE1F4C"/>
    <w:rsid w:val="00BE4745"/>
    <w:rsid w:val="00BF3C2C"/>
    <w:rsid w:val="00C02897"/>
    <w:rsid w:val="00C94FD2"/>
    <w:rsid w:val="00CE4459"/>
    <w:rsid w:val="00CF3AE1"/>
    <w:rsid w:val="00D3439C"/>
    <w:rsid w:val="00D37392"/>
    <w:rsid w:val="00D40AEB"/>
    <w:rsid w:val="00DA22F4"/>
    <w:rsid w:val="00DB1831"/>
    <w:rsid w:val="00DD3BFD"/>
    <w:rsid w:val="00DE0EC4"/>
    <w:rsid w:val="00DF4FAC"/>
    <w:rsid w:val="00DF6678"/>
    <w:rsid w:val="00E163CE"/>
    <w:rsid w:val="00E22CF2"/>
    <w:rsid w:val="00E33F14"/>
    <w:rsid w:val="00E52D9F"/>
    <w:rsid w:val="00F12269"/>
    <w:rsid w:val="00F164B0"/>
    <w:rsid w:val="00F52124"/>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6C48"/>
  <w15:chartTrackingRefBased/>
  <w15:docId w15:val="{56936201-3E23-4A3A-A110-EE4C8D0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050C"/>
    <w:pPr>
      <w:suppressAutoHyphens/>
      <w:kinsoku w:val="0"/>
      <w:overflowPunct w:val="0"/>
      <w:autoSpaceDE w:val="0"/>
      <w:autoSpaceDN w:val="0"/>
      <w:adjustRightInd w:val="0"/>
      <w:snapToGrid w:val="0"/>
      <w:spacing w:after="0" w:line="240" w:lineRule="atLeast"/>
    </w:pPr>
    <w:rPr>
      <w:lang w:val="en-GB"/>
    </w:rPr>
  </w:style>
  <w:style w:type="paragraph" w:styleId="1">
    <w:name w:val="heading 1"/>
    <w:aliases w:val="Table_G"/>
    <w:basedOn w:val="SingleTxtG"/>
    <w:next w:val="SingleTxtG"/>
    <w:link w:val="10"/>
    <w:qFormat/>
    <w:rsid w:val="0080684C"/>
    <w:pPr>
      <w:keepNext/>
      <w:keepLines/>
      <w:spacing w:after="0" w:line="240" w:lineRule="auto"/>
      <w:ind w:right="0"/>
      <w:jc w:val="left"/>
      <w:outlineLvl w:val="0"/>
    </w:pPr>
  </w:style>
  <w:style w:type="paragraph" w:styleId="2">
    <w:name w:val="heading 2"/>
    <w:basedOn w:val="a"/>
    <w:next w:val="a"/>
    <w:link w:val="20"/>
    <w:semiHidden/>
    <w:qFormat/>
    <w:rsid w:val="00023842"/>
    <w:pPr>
      <w:outlineLvl w:val="1"/>
    </w:pPr>
  </w:style>
  <w:style w:type="paragraph" w:styleId="3">
    <w:name w:val="heading 3"/>
    <w:basedOn w:val="a"/>
    <w:next w:val="a"/>
    <w:link w:val="30"/>
    <w:semiHidden/>
    <w:qFormat/>
    <w:rsid w:val="00023842"/>
    <w:pPr>
      <w:outlineLvl w:val="2"/>
    </w:pPr>
  </w:style>
  <w:style w:type="paragraph" w:styleId="4">
    <w:name w:val="heading 4"/>
    <w:basedOn w:val="a"/>
    <w:next w:val="a"/>
    <w:link w:val="40"/>
    <w:semiHidden/>
    <w:qFormat/>
    <w:rsid w:val="00023842"/>
    <w:pPr>
      <w:outlineLvl w:val="3"/>
    </w:pPr>
  </w:style>
  <w:style w:type="paragraph" w:styleId="5">
    <w:name w:val="heading 5"/>
    <w:basedOn w:val="a"/>
    <w:next w:val="a"/>
    <w:link w:val="50"/>
    <w:semiHidden/>
    <w:qFormat/>
    <w:rsid w:val="00023842"/>
    <w:pPr>
      <w:outlineLvl w:val="4"/>
    </w:pPr>
  </w:style>
  <w:style w:type="paragraph" w:styleId="6">
    <w:name w:val="heading 6"/>
    <w:basedOn w:val="a"/>
    <w:next w:val="a"/>
    <w:link w:val="60"/>
    <w:semiHidden/>
    <w:qFormat/>
    <w:rsid w:val="00023842"/>
    <w:pPr>
      <w:outlineLvl w:val="5"/>
    </w:pPr>
  </w:style>
  <w:style w:type="paragraph" w:styleId="7">
    <w:name w:val="heading 7"/>
    <w:basedOn w:val="a"/>
    <w:next w:val="a"/>
    <w:link w:val="70"/>
    <w:semiHidden/>
    <w:qFormat/>
    <w:rsid w:val="00023842"/>
    <w:pPr>
      <w:outlineLvl w:val="6"/>
    </w:pPr>
  </w:style>
  <w:style w:type="paragraph" w:styleId="8">
    <w:name w:val="heading 8"/>
    <w:basedOn w:val="a"/>
    <w:next w:val="a"/>
    <w:link w:val="80"/>
    <w:semiHidden/>
    <w:qFormat/>
    <w:rsid w:val="00023842"/>
    <w:pPr>
      <w:outlineLvl w:val="7"/>
    </w:pPr>
  </w:style>
  <w:style w:type="paragraph" w:styleId="9">
    <w:name w:val="heading 9"/>
    <w:basedOn w:val="a"/>
    <w:next w:val="a"/>
    <w:link w:val="90"/>
    <w:semiHidden/>
    <w:qFormat/>
    <w:rsid w:val="0002384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a4">
    <w:name w:val="Верхний колонтитул Знак"/>
    <w:aliases w:val="6_G Знак"/>
    <w:basedOn w:val="a0"/>
    <w:link w:val="a3"/>
    <w:rsid w:val="0080684C"/>
    <w:rPr>
      <w:rFonts w:ascii="Times New Roman" w:eastAsia="Times New Roman" w:hAnsi="Times New Roman" w:cs="Times New Roman"/>
      <w:b/>
      <w:sz w:val="18"/>
      <w:szCs w:val="20"/>
      <w:lang w:val="en-GB"/>
    </w:rPr>
  </w:style>
  <w:style w:type="paragraph" w:styleId="a5">
    <w:name w:val="footer"/>
    <w:aliases w:val="3_G"/>
    <w:basedOn w:val="a"/>
    <w:next w:val="a"/>
    <w:link w:val="a6"/>
    <w:uiPriority w:val="99"/>
    <w:qFormat/>
    <w:rsid w:val="0080684C"/>
    <w:pPr>
      <w:spacing w:line="240" w:lineRule="auto"/>
    </w:pPr>
    <w:rPr>
      <w:sz w:val="16"/>
    </w:rPr>
  </w:style>
  <w:style w:type="character" w:customStyle="1" w:styleId="a6">
    <w:name w:val="Нижний колонтитул Знак"/>
    <w:aliases w:val="3_G Знак"/>
    <w:basedOn w:val="a0"/>
    <w:link w:val="a5"/>
    <w:uiPriority w:val="99"/>
    <w:rsid w:val="0080684C"/>
    <w:rPr>
      <w:rFonts w:ascii="Times New Roman" w:eastAsia="Times New Roman" w:hAnsi="Times New Roman" w:cs="Times New Roman"/>
      <w:sz w:val="16"/>
      <w:szCs w:val="20"/>
      <w:lang w:eastAsia="en-US"/>
    </w:rPr>
  </w:style>
  <w:style w:type="paragraph" w:customStyle="1" w:styleId="HMG">
    <w:name w:val="_ H __M_G"/>
    <w:basedOn w:val="a"/>
    <w:next w:val="a"/>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a"/>
    <w:next w:val="a"/>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a"/>
    <w:next w:val="a"/>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a"/>
    <w:next w:val="a"/>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a"/>
    <w:qFormat/>
    <w:rsid w:val="0080684C"/>
    <w:pPr>
      <w:spacing w:after="120"/>
      <w:ind w:left="1134" w:right="1134"/>
      <w:jc w:val="both"/>
    </w:pPr>
  </w:style>
  <w:style w:type="paragraph" w:customStyle="1" w:styleId="SLG">
    <w:name w:val="__S_L_G"/>
    <w:basedOn w:val="a"/>
    <w:next w:val="a"/>
    <w:rsid w:val="0080684C"/>
    <w:pPr>
      <w:keepNext/>
      <w:keepLines/>
      <w:spacing w:before="240" w:after="240" w:line="580" w:lineRule="exact"/>
      <w:ind w:left="1134" w:right="1134"/>
    </w:pPr>
    <w:rPr>
      <w:b/>
      <w:sz w:val="56"/>
    </w:rPr>
  </w:style>
  <w:style w:type="paragraph" w:customStyle="1" w:styleId="SMG">
    <w:name w:val="__S_M_G"/>
    <w:basedOn w:val="a"/>
    <w:next w:val="a"/>
    <w:rsid w:val="0080684C"/>
    <w:pPr>
      <w:keepNext/>
      <w:keepLines/>
      <w:spacing w:before="240" w:after="240" w:line="420" w:lineRule="exact"/>
      <w:ind w:left="1134" w:right="1134"/>
    </w:pPr>
    <w:rPr>
      <w:b/>
      <w:sz w:val="40"/>
    </w:rPr>
  </w:style>
  <w:style w:type="paragraph" w:customStyle="1" w:styleId="SSG">
    <w:name w:val="__S_S_G"/>
    <w:basedOn w:val="a"/>
    <w:next w:val="a"/>
    <w:rsid w:val="0080684C"/>
    <w:pPr>
      <w:keepNext/>
      <w:keepLines/>
      <w:spacing w:before="240" w:after="240" w:line="300" w:lineRule="exact"/>
      <w:ind w:left="1134" w:right="1134"/>
    </w:pPr>
    <w:rPr>
      <w:b/>
      <w:sz w:val="28"/>
    </w:rPr>
  </w:style>
  <w:style w:type="paragraph" w:customStyle="1" w:styleId="XLargeG">
    <w:name w:val="__XLarge_G"/>
    <w:basedOn w:val="a"/>
    <w:next w:val="a"/>
    <w:rsid w:val="00871C75"/>
    <w:pPr>
      <w:keepNext/>
      <w:keepLines/>
      <w:spacing w:before="240" w:after="240" w:line="420" w:lineRule="exact"/>
      <w:ind w:left="1134" w:right="1134"/>
    </w:pPr>
    <w:rPr>
      <w:b/>
      <w:sz w:val="40"/>
    </w:rPr>
  </w:style>
  <w:style w:type="paragraph" w:customStyle="1" w:styleId="Bullet1G">
    <w:name w:val="_Bullet 1_G"/>
    <w:basedOn w:val="a"/>
    <w:qFormat/>
    <w:rsid w:val="0080684C"/>
    <w:pPr>
      <w:numPr>
        <w:numId w:val="1"/>
      </w:numPr>
      <w:spacing w:after="120"/>
      <w:ind w:right="1134"/>
      <w:jc w:val="both"/>
    </w:pPr>
  </w:style>
  <w:style w:type="paragraph" w:customStyle="1" w:styleId="Bullet2G">
    <w:name w:val="_Bullet 2_G"/>
    <w:basedOn w:val="a"/>
    <w:qFormat/>
    <w:rsid w:val="0080684C"/>
    <w:pPr>
      <w:numPr>
        <w:numId w:val="2"/>
      </w:numPr>
      <w:spacing w:after="120"/>
      <w:ind w:right="1134"/>
      <w:jc w:val="both"/>
    </w:pPr>
  </w:style>
  <w:style w:type="character" w:styleId="a7">
    <w:name w:val="footnote reference"/>
    <w:aliases w:val="4_G"/>
    <w:basedOn w:val="a0"/>
    <w:qFormat/>
    <w:rsid w:val="00023842"/>
    <w:rPr>
      <w:rFonts w:ascii="Times New Roman" w:hAnsi="Times New Roman"/>
      <w:sz w:val="18"/>
      <w:vertAlign w:val="superscript"/>
      <w:lang w:val="fr-CH"/>
    </w:rPr>
  </w:style>
  <w:style w:type="character" w:styleId="a8">
    <w:name w:val="endnote reference"/>
    <w:aliases w:val="1_G"/>
    <w:basedOn w:val="a7"/>
    <w:qFormat/>
    <w:rsid w:val="00023842"/>
    <w:rPr>
      <w:rFonts w:ascii="Times New Roman" w:hAnsi="Times New Roman"/>
      <w:sz w:val="18"/>
      <w:vertAlign w:val="superscript"/>
      <w:lang w:val="fr-CH"/>
    </w:rPr>
  </w:style>
  <w:style w:type="table" w:styleId="a9">
    <w:name w:val="Table Grid"/>
    <w:basedOn w:val="a1"/>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a">
    <w:name w:val="Hyperlink"/>
    <w:basedOn w:val="a0"/>
    <w:rsid w:val="00957790"/>
    <w:rPr>
      <w:color w:val="0000FF"/>
      <w:u w:val="none"/>
    </w:rPr>
  </w:style>
  <w:style w:type="character" w:styleId="ab">
    <w:name w:val="FollowedHyperlink"/>
    <w:basedOn w:val="a0"/>
    <w:rsid w:val="00957790"/>
    <w:rPr>
      <w:color w:val="0000FF"/>
      <w:u w:val="none"/>
    </w:rPr>
  </w:style>
  <w:style w:type="paragraph" w:styleId="ac">
    <w:name w:val="footnote text"/>
    <w:aliases w:val="5_G"/>
    <w:basedOn w:val="a"/>
    <w:link w:val="ad"/>
    <w:qFormat/>
    <w:rsid w:val="0080684C"/>
    <w:pPr>
      <w:tabs>
        <w:tab w:val="right" w:pos="1021"/>
      </w:tabs>
      <w:spacing w:line="220" w:lineRule="exact"/>
      <w:ind w:left="1134" w:right="1134" w:hanging="1134"/>
    </w:pPr>
    <w:rPr>
      <w:sz w:val="18"/>
    </w:rPr>
  </w:style>
  <w:style w:type="character" w:customStyle="1" w:styleId="ad">
    <w:name w:val="Текст сноски Знак"/>
    <w:aliases w:val="5_G Знак"/>
    <w:basedOn w:val="a0"/>
    <w:link w:val="ac"/>
    <w:rsid w:val="0080684C"/>
    <w:rPr>
      <w:rFonts w:ascii="Times New Roman" w:eastAsia="Times New Roman" w:hAnsi="Times New Roman" w:cs="Times New Roman"/>
      <w:sz w:val="18"/>
      <w:szCs w:val="20"/>
      <w:lang w:eastAsia="en-US"/>
    </w:rPr>
  </w:style>
  <w:style w:type="paragraph" w:styleId="ae">
    <w:name w:val="endnote text"/>
    <w:aliases w:val="2_G"/>
    <w:basedOn w:val="ac"/>
    <w:link w:val="af"/>
    <w:qFormat/>
    <w:rsid w:val="0080684C"/>
  </w:style>
  <w:style w:type="character" w:customStyle="1" w:styleId="af">
    <w:name w:val="Текст концевой сноски Знак"/>
    <w:aliases w:val="2_G Знак"/>
    <w:basedOn w:val="a0"/>
    <w:link w:val="ae"/>
    <w:rsid w:val="0080684C"/>
    <w:rPr>
      <w:rFonts w:ascii="Times New Roman" w:eastAsia="Times New Roman" w:hAnsi="Times New Roman" w:cs="Times New Roman"/>
      <w:sz w:val="18"/>
      <w:szCs w:val="20"/>
      <w:lang w:eastAsia="en-US"/>
    </w:rPr>
  </w:style>
  <w:style w:type="character" w:styleId="af0">
    <w:name w:val="page number"/>
    <w:aliases w:val="7_G"/>
    <w:basedOn w:val="a0"/>
    <w:qFormat/>
    <w:rsid w:val="00023842"/>
    <w:rPr>
      <w:rFonts w:ascii="Times New Roman" w:hAnsi="Times New Roman"/>
      <w:b/>
      <w:sz w:val="18"/>
      <w:lang w:val="fr-CH"/>
    </w:rPr>
  </w:style>
  <w:style w:type="character" w:customStyle="1" w:styleId="10">
    <w:name w:val="Заголовок 1 Знак"/>
    <w:aliases w:val="Table_G Знак"/>
    <w:basedOn w:val="a0"/>
    <w:link w:val="1"/>
    <w:rsid w:val="0080684C"/>
    <w:rPr>
      <w:rFonts w:ascii="Times New Roman" w:eastAsia="Times New Roman" w:hAnsi="Times New Roman" w:cs="Times New Roman"/>
      <w:sz w:val="20"/>
      <w:szCs w:val="20"/>
      <w:lang w:eastAsia="en-US"/>
    </w:rPr>
  </w:style>
  <w:style w:type="character" w:customStyle="1" w:styleId="20">
    <w:name w:val="Заголовок 2 Знак"/>
    <w:basedOn w:val="a0"/>
    <w:link w:val="2"/>
    <w:semiHidden/>
    <w:rsid w:val="00023842"/>
    <w:rPr>
      <w:rFonts w:ascii="Times New Roman" w:eastAsia="Times New Roman" w:hAnsi="Times New Roman" w:cs="Times New Roman"/>
      <w:sz w:val="20"/>
      <w:szCs w:val="20"/>
      <w:lang w:eastAsia="en-US"/>
    </w:rPr>
  </w:style>
  <w:style w:type="character" w:customStyle="1" w:styleId="30">
    <w:name w:val="Заголовок 3 Знак"/>
    <w:basedOn w:val="a0"/>
    <w:link w:val="3"/>
    <w:semiHidden/>
    <w:rsid w:val="00023842"/>
    <w:rPr>
      <w:rFonts w:ascii="Times New Roman" w:eastAsia="Times New Roman" w:hAnsi="Times New Roman" w:cs="Times New Roman"/>
      <w:sz w:val="20"/>
      <w:szCs w:val="20"/>
      <w:lang w:eastAsia="en-US"/>
    </w:rPr>
  </w:style>
  <w:style w:type="character" w:customStyle="1" w:styleId="40">
    <w:name w:val="Заголовок 4 Знак"/>
    <w:basedOn w:val="a0"/>
    <w:link w:val="4"/>
    <w:semiHidden/>
    <w:rsid w:val="00023842"/>
    <w:rPr>
      <w:rFonts w:ascii="Times New Roman" w:eastAsia="Times New Roman" w:hAnsi="Times New Roman" w:cs="Times New Roman"/>
      <w:sz w:val="20"/>
      <w:szCs w:val="20"/>
      <w:lang w:eastAsia="en-US"/>
    </w:rPr>
  </w:style>
  <w:style w:type="character" w:customStyle="1" w:styleId="50">
    <w:name w:val="Заголовок 5 Знак"/>
    <w:basedOn w:val="a0"/>
    <w:link w:val="5"/>
    <w:semiHidden/>
    <w:rsid w:val="00023842"/>
    <w:rPr>
      <w:rFonts w:ascii="Times New Roman" w:eastAsia="Times New Roman" w:hAnsi="Times New Roman" w:cs="Times New Roman"/>
      <w:sz w:val="20"/>
      <w:szCs w:val="20"/>
      <w:lang w:eastAsia="en-US"/>
    </w:rPr>
  </w:style>
  <w:style w:type="character" w:customStyle="1" w:styleId="60">
    <w:name w:val="Заголовок 6 Знак"/>
    <w:basedOn w:val="a0"/>
    <w:link w:val="6"/>
    <w:semiHidden/>
    <w:rsid w:val="00023842"/>
    <w:rPr>
      <w:rFonts w:ascii="Times New Roman" w:eastAsia="Times New Roman" w:hAnsi="Times New Roman" w:cs="Times New Roman"/>
      <w:sz w:val="20"/>
      <w:szCs w:val="20"/>
      <w:lang w:eastAsia="en-US"/>
    </w:rPr>
  </w:style>
  <w:style w:type="character" w:customStyle="1" w:styleId="70">
    <w:name w:val="Заголовок 7 Знак"/>
    <w:basedOn w:val="a0"/>
    <w:link w:val="7"/>
    <w:semiHidden/>
    <w:rsid w:val="00023842"/>
    <w:rPr>
      <w:rFonts w:ascii="Times New Roman" w:eastAsia="Times New Roman" w:hAnsi="Times New Roman" w:cs="Times New Roman"/>
      <w:sz w:val="20"/>
      <w:szCs w:val="20"/>
      <w:lang w:eastAsia="en-US"/>
    </w:rPr>
  </w:style>
  <w:style w:type="character" w:customStyle="1" w:styleId="80">
    <w:name w:val="Заголовок 8 Знак"/>
    <w:basedOn w:val="a0"/>
    <w:link w:val="8"/>
    <w:semiHidden/>
    <w:rsid w:val="00023842"/>
    <w:rPr>
      <w:rFonts w:ascii="Times New Roman" w:eastAsia="Times New Roman" w:hAnsi="Times New Roman" w:cs="Times New Roman"/>
      <w:sz w:val="20"/>
      <w:szCs w:val="20"/>
      <w:lang w:eastAsia="en-US"/>
    </w:rPr>
  </w:style>
  <w:style w:type="character" w:customStyle="1" w:styleId="90">
    <w:name w:val="Заголовок 9 Знак"/>
    <w:basedOn w:val="a0"/>
    <w:link w:val="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af1">
    <w:name w:val="Balloon Text"/>
    <w:basedOn w:val="a"/>
    <w:link w:val="af2"/>
    <w:uiPriority w:val="99"/>
    <w:semiHidden/>
    <w:unhideWhenUsed/>
    <w:rsid w:val="004E4F21"/>
    <w:pPr>
      <w:kinsoku/>
      <w:overflowPunct/>
      <w:autoSpaceDE/>
      <w:autoSpaceDN/>
      <w:adjustRightInd/>
      <w:snapToGrid/>
      <w:spacing w:line="240" w:lineRule="auto"/>
    </w:pPr>
    <w:rPr>
      <w:rFonts w:ascii="Segoe UI" w:eastAsia="Times New Roman" w:hAnsi="Segoe UI" w:cs="Segoe UI"/>
      <w:sz w:val="18"/>
      <w:szCs w:val="18"/>
      <w:lang w:eastAsia="en-US"/>
    </w:rPr>
  </w:style>
  <w:style w:type="character" w:customStyle="1" w:styleId="af2">
    <w:name w:val="Текст выноски Знак"/>
    <w:basedOn w:val="a0"/>
    <w:link w:val="af1"/>
    <w:uiPriority w:val="99"/>
    <w:semiHidden/>
    <w:rsid w:val="004E4F21"/>
    <w:rPr>
      <w:rFonts w:ascii="Segoe UI" w:eastAsia="Times New Roman" w:hAnsi="Segoe UI" w:cs="Segoe UI"/>
      <w:sz w:val="18"/>
      <w:szCs w:val="18"/>
      <w:lang w:val="en-GB" w:eastAsia="en-US"/>
    </w:rPr>
  </w:style>
  <w:style w:type="paragraph" w:styleId="af3">
    <w:name w:val="annotation text"/>
    <w:basedOn w:val="a"/>
    <w:link w:val="af4"/>
    <w:uiPriority w:val="99"/>
    <w:semiHidden/>
    <w:unhideWhenUsed/>
    <w:rsid w:val="004E4F21"/>
    <w:pPr>
      <w:spacing w:line="240" w:lineRule="auto"/>
    </w:pPr>
  </w:style>
  <w:style w:type="character" w:customStyle="1" w:styleId="af4">
    <w:name w:val="Текст примечания Знак"/>
    <w:basedOn w:val="a0"/>
    <w:link w:val="af3"/>
    <w:uiPriority w:val="99"/>
    <w:semiHidden/>
    <w:rsid w:val="004E4F21"/>
    <w:rPr>
      <w:lang w:val="en-GB"/>
    </w:rPr>
  </w:style>
  <w:style w:type="character" w:styleId="af5">
    <w:name w:val="annotation reference"/>
    <w:uiPriority w:val="99"/>
    <w:semiHidden/>
    <w:unhideWhenUsed/>
    <w:rsid w:val="004E4F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d@unece.org" TargetMode="External"/><Relationship Id="rId4" Type="http://schemas.openxmlformats.org/officeDocument/2006/relationships/settings" Target="settings.xml"/><Relationship Id="rId9" Type="http://schemas.openxmlformats.org/officeDocument/2006/relationships/hyperlink" Target="mailto:nona.iliukhina@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FC36-84AA-4BC6-A996-2EF23B89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2229</Words>
  <Characters>12710</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De_La_Cruz</dc:creator>
  <cp:keywords/>
  <dc:description/>
  <cp:lastModifiedBy>Jyldyz Jyldyz</cp:lastModifiedBy>
  <cp:revision>3</cp:revision>
  <cp:lastPrinted>2014-05-14T10:59:00Z</cp:lastPrinted>
  <dcterms:created xsi:type="dcterms:W3CDTF">2021-04-06T11:08:00Z</dcterms:created>
  <dcterms:modified xsi:type="dcterms:W3CDTF">2021-04-06T11:18:00Z</dcterms:modified>
</cp:coreProperties>
</file>