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CB1D9" w14:textId="77777777" w:rsidR="005A3499" w:rsidRPr="005A3499" w:rsidRDefault="005A3499" w:rsidP="005A3499">
      <w:pPr>
        <w:keepNext/>
        <w:keepLines/>
        <w:tabs>
          <w:tab w:val="left" w:pos="1096"/>
        </w:tabs>
        <w:spacing w:after="240"/>
        <w:ind w:left="993" w:hanging="993"/>
        <w:jc w:val="both"/>
      </w:pPr>
      <w:bookmarkStart w:id="0" w:name="bookmark10"/>
    </w:p>
    <w:p w14:paraId="052A9CBE" w14:textId="0FFF5A25" w:rsidR="005A3499" w:rsidRDefault="005A3499" w:rsidP="005A3499">
      <w:pPr>
        <w:pStyle w:val="berschrift30"/>
        <w:keepNext/>
        <w:keepLines/>
        <w:spacing w:after="240"/>
        <w:ind w:left="1560" w:right="1700"/>
        <w:jc w:val="center"/>
        <w:rPr>
          <w:b w:val="0"/>
          <w:bCs w:val="0"/>
          <w:sz w:val="26"/>
          <w:szCs w:val="26"/>
          <w:lang w:val="en-GB"/>
        </w:rPr>
      </w:pPr>
      <w:r w:rsidRPr="005A3499">
        <w:rPr>
          <w:lang w:val="en-GB"/>
        </w:rPr>
        <w:t>Proposal for amendments to UN Regulation No. 46 (Devices for indirect vision</w:t>
      </w:r>
      <w:r w:rsidRPr="005A3499">
        <w:rPr>
          <w:b w:val="0"/>
          <w:bCs w:val="0"/>
          <w:sz w:val="26"/>
          <w:szCs w:val="26"/>
          <w:lang w:val="en-GB"/>
        </w:rPr>
        <w:t>)</w:t>
      </w:r>
      <w:bookmarkEnd w:id="0"/>
    </w:p>
    <w:p w14:paraId="5231F32A" w14:textId="77777777" w:rsidR="005A3499" w:rsidRPr="005A3499" w:rsidRDefault="005A3499" w:rsidP="005A3499">
      <w:pPr>
        <w:pStyle w:val="berschrift30"/>
        <w:keepNext/>
        <w:keepLines/>
        <w:spacing w:after="240"/>
        <w:ind w:left="1560" w:right="1700"/>
        <w:jc w:val="center"/>
        <w:rPr>
          <w:lang w:val="en-GB"/>
        </w:rPr>
      </w:pPr>
    </w:p>
    <w:p w14:paraId="689D326D" w14:textId="126A4781" w:rsidR="005A3499" w:rsidRPr="005A3499" w:rsidRDefault="005A3499" w:rsidP="005A3499">
      <w:pPr>
        <w:pStyle w:val="berschrift30"/>
        <w:keepNext/>
        <w:keepLines/>
        <w:numPr>
          <w:ilvl w:val="0"/>
          <w:numId w:val="36"/>
        </w:numPr>
        <w:tabs>
          <w:tab w:val="left" w:pos="1096"/>
        </w:tabs>
        <w:spacing w:after="240"/>
        <w:ind w:left="993" w:hanging="993"/>
        <w:jc w:val="both"/>
        <w:rPr>
          <w:lang w:val="en-GB"/>
        </w:rPr>
      </w:pPr>
      <w:r w:rsidRPr="005A3499">
        <w:rPr>
          <w:lang w:val="en-GB"/>
        </w:rPr>
        <w:t>Proposal</w:t>
      </w:r>
    </w:p>
    <w:p w14:paraId="4ECBD92C" w14:textId="77777777" w:rsidR="005A3499" w:rsidRPr="005A3499" w:rsidRDefault="005A3499" w:rsidP="005A3499">
      <w:pPr>
        <w:pStyle w:val="Flietext0"/>
        <w:ind w:left="1140" w:hanging="993"/>
        <w:jc w:val="both"/>
        <w:rPr>
          <w:lang w:val="en-GB"/>
        </w:rPr>
      </w:pPr>
      <w:r w:rsidRPr="005A3499">
        <w:rPr>
          <w:b w:val="0"/>
          <w:bCs w:val="0"/>
          <w:i/>
          <w:iCs/>
          <w:lang w:val="en-GB"/>
        </w:rPr>
        <w:t>Paragraph 6.2.2.1.2.,</w:t>
      </w:r>
      <w:r w:rsidRPr="005A3499">
        <w:rPr>
          <w:b w:val="0"/>
          <w:bCs w:val="0"/>
          <w:lang w:val="en-GB"/>
        </w:rPr>
        <w:t xml:space="preserve"> amend to read:</w:t>
      </w:r>
    </w:p>
    <w:p w14:paraId="7D575701" w14:textId="77777777" w:rsidR="005A3499" w:rsidRPr="005A3499" w:rsidRDefault="005A3499" w:rsidP="005A3499">
      <w:pPr>
        <w:pStyle w:val="Flietext0"/>
        <w:tabs>
          <w:tab w:val="left" w:pos="2236"/>
        </w:tabs>
        <w:spacing w:after="0"/>
        <w:ind w:left="1418" w:hanging="1134"/>
        <w:jc w:val="both"/>
        <w:rPr>
          <w:b w:val="0"/>
          <w:bCs w:val="0"/>
          <w:strike/>
          <w:lang w:val="en-GB"/>
        </w:rPr>
      </w:pPr>
      <w:r w:rsidRPr="005A3499">
        <w:rPr>
          <w:b w:val="0"/>
          <w:bCs w:val="0"/>
          <w:lang w:val="en-GB"/>
        </w:rPr>
        <w:t>"6.2.2.1.2.</w:t>
      </w:r>
      <w:r w:rsidRPr="005A3499">
        <w:rPr>
          <w:bCs w:val="0"/>
          <w:lang w:val="en-GB"/>
        </w:rPr>
        <w:tab/>
      </w:r>
      <w:r w:rsidRPr="005A3499">
        <w:rPr>
          <w:b w:val="0"/>
          <w:bCs w:val="0"/>
          <w:strike/>
          <w:lang w:val="en-GB"/>
        </w:rPr>
        <w:t>Edges of fixing holes or recesses of which the diameter or longest diagonal is less than 12 mm are exempt from the radius requirements of paragraph 6.2.2.1.1. above provided that they are blunted.</w:t>
      </w:r>
      <w:r w:rsidRPr="005A3499">
        <w:rPr>
          <w:b w:val="0"/>
          <w:bCs w:val="0"/>
          <w:lang w:val="en-GB"/>
        </w:rPr>
        <w:t xml:space="preserve"> </w:t>
      </w:r>
    </w:p>
    <w:p w14:paraId="1AB1C264" w14:textId="77777777" w:rsidR="005A3499" w:rsidRPr="005A3499" w:rsidRDefault="005A3499" w:rsidP="005A3499">
      <w:pPr>
        <w:pStyle w:val="Flietext0"/>
        <w:tabs>
          <w:tab w:val="left" w:pos="2236"/>
        </w:tabs>
        <w:spacing w:after="0"/>
        <w:ind w:left="1418" w:hanging="1134"/>
        <w:jc w:val="both"/>
        <w:rPr>
          <w:bCs w:val="0"/>
          <w:lang w:val="en-GB"/>
        </w:rPr>
      </w:pPr>
      <w:r w:rsidRPr="005A3499">
        <w:rPr>
          <w:bCs w:val="0"/>
          <w:lang w:val="en-GB"/>
        </w:rPr>
        <w:tab/>
        <w:t>The requirements in paragraph 6.2.2.1.1. above shall not apply to parts of the external surface which protrude less than 5 mm, but the outward facing angles of such parts shall be blunted, save where such parts protrude less than 1.5 mm. For determining the dimension of the projection, the following method shall apply:</w:t>
      </w:r>
      <w:r w:rsidRPr="005A3499">
        <w:rPr>
          <w:b w:val="0"/>
          <w:bCs w:val="0"/>
          <w:lang w:val="en-GB"/>
        </w:rPr>
        <w:t>"</w:t>
      </w:r>
    </w:p>
    <w:p w14:paraId="307B4813" w14:textId="77777777" w:rsidR="005A3499" w:rsidRPr="005A3499" w:rsidRDefault="005A3499" w:rsidP="005A3499">
      <w:pPr>
        <w:pStyle w:val="Flietext0"/>
        <w:tabs>
          <w:tab w:val="left" w:pos="2236"/>
        </w:tabs>
        <w:spacing w:after="0"/>
        <w:ind w:left="1276" w:hanging="993"/>
        <w:jc w:val="both"/>
        <w:rPr>
          <w:bCs w:val="0"/>
          <w:lang w:val="en-GB"/>
        </w:rPr>
      </w:pPr>
    </w:p>
    <w:p w14:paraId="0488E144" w14:textId="77777777" w:rsidR="005A3499" w:rsidRPr="005A3499" w:rsidRDefault="005A3499" w:rsidP="005A3499">
      <w:pPr>
        <w:pStyle w:val="Flietext0"/>
        <w:ind w:left="1140" w:hanging="993"/>
        <w:jc w:val="both"/>
        <w:rPr>
          <w:lang w:val="en-GB"/>
        </w:rPr>
      </w:pPr>
      <w:r w:rsidRPr="005A3499">
        <w:rPr>
          <w:b w:val="0"/>
          <w:bCs w:val="0"/>
          <w:i/>
          <w:iCs/>
          <w:lang w:val="en-GB"/>
        </w:rPr>
        <w:t>Insert a new paragraph 6.2.2.1.2.1.,</w:t>
      </w:r>
      <w:r w:rsidRPr="005A3499">
        <w:rPr>
          <w:b w:val="0"/>
          <w:bCs w:val="0"/>
          <w:lang w:val="en-GB"/>
        </w:rPr>
        <w:t xml:space="preserve"> to read:</w:t>
      </w:r>
    </w:p>
    <w:p w14:paraId="12369172" w14:textId="77777777" w:rsidR="005A3499" w:rsidRPr="005A3499" w:rsidRDefault="005A3499" w:rsidP="005A3499">
      <w:pPr>
        <w:pStyle w:val="Flietext0"/>
        <w:tabs>
          <w:tab w:val="left" w:pos="2236"/>
        </w:tabs>
        <w:spacing w:after="0"/>
        <w:ind w:left="1418" w:hanging="1134"/>
        <w:jc w:val="both"/>
        <w:rPr>
          <w:b w:val="0"/>
          <w:bCs w:val="0"/>
          <w:strike/>
          <w:lang w:val="en-GB"/>
        </w:rPr>
      </w:pPr>
      <w:r w:rsidRPr="005A3499">
        <w:rPr>
          <w:b w:val="0"/>
          <w:bCs w:val="0"/>
          <w:lang w:val="en-GB"/>
        </w:rPr>
        <w:t>"</w:t>
      </w:r>
      <w:r w:rsidRPr="005A3499">
        <w:rPr>
          <w:bCs w:val="0"/>
          <w:lang w:val="en-GB"/>
        </w:rPr>
        <w:t>6.2.2.1.2.1.</w:t>
      </w:r>
      <w:r w:rsidRPr="005A3499">
        <w:rPr>
          <w:bCs w:val="0"/>
          <w:lang w:val="en-GB"/>
        </w:rPr>
        <w:tab/>
      </w:r>
      <w:r w:rsidRPr="005A3499">
        <w:rPr>
          <w:lang w:val="en-GB"/>
        </w:rPr>
        <w:t>The dimension of the projection of a component which is mounted on a convex surface may be determined either directly or by reference to a</w:t>
      </w:r>
      <w:r w:rsidRPr="005A3499">
        <w:rPr>
          <w:b w:val="0"/>
          <w:bCs w:val="0"/>
          <w:strike/>
          <w:lang w:val="en-GB"/>
        </w:rPr>
        <w:t xml:space="preserve"> </w:t>
      </w:r>
      <w:r w:rsidRPr="005A3499">
        <w:rPr>
          <w:lang w:val="en-GB"/>
        </w:rPr>
        <w:t>drawing of an appropriate section of this component in its installed condition.</w:t>
      </w:r>
      <w:r w:rsidRPr="005A3499">
        <w:rPr>
          <w:b w:val="0"/>
          <w:bCs w:val="0"/>
          <w:lang w:val="en-GB"/>
        </w:rPr>
        <w:t>"</w:t>
      </w:r>
    </w:p>
    <w:p w14:paraId="52768E8A" w14:textId="77777777" w:rsidR="005A3499" w:rsidRPr="005A3499" w:rsidRDefault="005A3499" w:rsidP="005A3499">
      <w:pPr>
        <w:pStyle w:val="Flietext0"/>
        <w:tabs>
          <w:tab w:val="left" w:pos="2236"/>
        </w:tabs>
        <w:spacing w:after="0"/>
        <w:ind w:left="1276" w:hanging="998"/>
        <w:jc w:val="both"/>
        <w:rPr>
          <w:b w:val="0"/>
          <w:bCs w:val="0"/>
          <w:lang w:val="en-GB"/>
        </w:rPr>
      </w:pPr>
    </w:p>
    <w:p w14:paraId="294732F4" w14:textId="77777777" w:rsidR="005A3499" w:rsidRPr="005A3499" w:rsidRDefault="005A3499" w:rsidP="005A3499">
      <w:pPr>
        <w:pStyle w:val="Flietext0"/>
        <w:ind w:left="1140" w:hanging="993"/>
        <w:jc w:val="both"/>
        <w:rPr>
          <w:lang w:val="en-GB"/>
        </w:rPr>
      </w:pPr>
      <w:r w:rsidRPr="005A3499">
        <w:rPr>
          <w:b w:val="0"/>
          <w:bCs w:val="0"/>
          <w:i/>
          <w:iCs/>
          <w:lang w:val="en-GB"/>
        </w:rPr>
        <w:t>Insert a new paragraph 6.2.2.1.2.2.,</w:t>
      </w:r>
      <w:r w:rsidRPr="005A3499">
        <w:rPr>
          <w:b w:val="0"/>
          <w:bCs w:val="0"/>
          <w:lang w:val="en-GB"/>
        </w:rPr>
        <w:t xml:space="preserve"> to read:</w:t>
      </w:r>
    </w:p>
    <w:p w14:paraId="2B7A86EB" w14:textId="77777777" w:rsidR="005A3499" w:rsidRPr="005A3499" w:rsidRDefault="005A3499" w:rsidP="005A3499">
      <w:pPr>
        <w:pStyle w:val="Flietext0"/>
        <w:tabs>
          <w:tab w:val="left" w:pos="2236"/>
        </w:tabs>
        <w:spacing w:after="0"/>
        <w:ind w:left="1418" w:hanging="1134"/>
        <w:jc w:val="both"/>
        <w:rPr>
          <w:b w:val="0"/>
          <w:bCs w:val="0"/>
          <w:strike/>
          <w:lang w:val="en-GB"/>
        </w:rPr>
      </w:pPr>
      <w:r w:rsidRPr="005A3499">
        <w:rPr>
          <w:b w:val="0"/>
          <w:bCs w:val="0"/>
          <w:lang w:val="en-GB"/>
        </w:rPr>
        <w:t>"</w:t>
      </w:r>
      <w:r w:rsidRPr="005A3499">
        <w:rPr>
          <w:bCs w:val="0"/>
          <w:lang w:val="en-GB"/>
        </w:rPr>
        <w:t>6.2.2.1.2.2.</w:t>
      </w:r>
      <w:r w:rsidRPr="005A3499">
        <w:rPr>
          <w:b w:val="0"/>
          <w:bCs w:val="0"/>
          <w:lang w:val="en-GB"/>
        </w:rPr>
        <w:tab/>
      </w:r>
      <w:r w:rsidRPr="005A3499">
        <w:rPr>
          <w:bCs w:val="0"/>
          <w:lang w:val="en-GB"/>
        </w:rPr>
        <w:t>If the dimension of the projection of a component which is mounted on a</w:t>
      </w:r>
      <w:r w:rsidRPr="005A3499">
        <w:rPr>
          <w:b w:val="0"/>
          <w:bCs w:val="0"/>
          <w:strike/>
          <w:lang w:val="en-GB"/>
        </w:rPr>
        <w:t xml:space="preserve"> </w:t>
      </w:r>
      <w:r w:rsidRPr="005A3499">
        <w:rPr>
          <w:bCs w:val="0"/>
          <w:lang w:val="en-GB"/>
        </w:rPr>
        <w:t>surface other than convex cannot be determined by simple measurement, it shall be determined by the maximum variation of the distance of the centre of a 100 mm diameter sphere from the nominal line of the panel when the sphere is moved over and is in constant contact with that component. Figure 1 shows an example of the use of this procedure.</w:t>
      </w:r>
    </w:p>
    <w:p w14:paraId="1696BBC4" w14:textId="77777777" w:rsidR="005A3499" w:rsidRPr="005A3499" w:rsidRDefault="005A3499" w:rsidP="005A3499">
      <w:pPr>
        <w:pStyle w:val="Flietext0"/>
        <w:tabs>
          <w:tab w:val="left" w:pos="2236"/>
        </w:tabs>
        <w:spacing w:after="0"/>
        <w:ind w:left="1418" w:hanging="993"/>
        <w:jc w:val="both"/>
        <w:rPr>
          <w:bCs w:val="0"/>
          <w:lang w:val="en-GB"/>
        </w:rPr>
      </w:pPr>
    </w:p>
    <w:p w14:paraId="2FAE123D" w14:textId="77777777" w:rsidR="005A3499" w:rsidRPr="005A3499" w:rsidRDefault="005A3499" w:rsidP="005A3499">
      <w:pPr>
        <w:pStyle w:val="Flietext0"/>
        <w:tabs>
          <w:tab w:val="left" w:pos="2236"/>
        </w:tabs>
        <w:spacing w:after="0"/>
        <w:ind w:left="1140" w:hanging="573"/>
        <w:jc w:val="both"/>
        <w:rPr>
          <w:bCs w:val="0"/>
          <w:lang w:val="en-GB"/>
        </w:rPr>
      </w:pPr>
      <w:r w:rsidRPr="005A3499">
        <w:rPr>
          <w:bCs w:val="0"/>
          <w:lang w:val="en-GB"/>
        </w:rPr>
        <w:t xml:space="preserve"> Figure 1</w:t>
      </w:r>
    </w:p>
    <w:p w14:paraId="43FE854D" w14:textId="77777777" w:rsidR="005A3499" w:rsidRPr="005A3499" w:rsidRDefault="005A3499" w:rsidP="005A3499">
      <w:pPr>
        <w:pStyle w:val="Flietext0"/>
        <w:tabs>
          <w:tab w:val="left" w:pos="2236"/>
        </w:tabs>
        <w:spacing w:after="0"/>
        <w:ind w:left="1140" w:hanging="573"/>
        <w:jc w:val="both"/>
        <w:rPr>
          <w:bCs w:val="0"/>
          <w:lang w:val="en-GB"/>
        </w:rPr>
      </w:pPr>
      <w:r w:rsidRPr="005A3499">
        <w:rPr>
          <w:bCs w:val="0"/>
          <w:lang w:val="en-GB"/>
        </w:rPr>
        <w:t xml:space="preserve"> Example for the measurement by maximum variation</w:t>
      </w:r>
      <w:r w:rsidRPr="005A3499">
        <w:rPr>
          <w:b w:val="0"/>
          <w:bCs w:val="0"/>
          <w:lang w:val="en-GB"/>
        </w:rPr>
        <w:t>"</w:t>
      </w:r>
    </w:p>
    <w:p w14:paraId="164CBE55" w14:textId="77777777" w:rsidR="005A3499" w:rsidRPr="005A3499" w:rsidRDefault="005A3499" w:rsidP="005A3499">
      <w:pPr>
        <w:pStyle w:val="Flietext0"/>
        <w:ind w:left="1140" w:hanging="993"/>
        <w:jc w:val="both"/>
        <w:rPr>
          <w:b w:val="0"/>
          <w:bCs w:val="0"/>
          <w:lang w:val="en-GB"/>
        </w:rPr>
      </w:pPr>
      <w:r w:rsidRPr="005A3499">
        <w:rPr>
          <w:noProof/>
          <w:lang w:val="en-GB" w:eastAsia="de-DE"/>
        </w:rPr>
        <w:drawing>
          <wp:anchor distT="0" distB="0" distL="114300" distR="114300" simplePos="0" relativeHeight="251659264" behindDoc="1" locked="0" layoutInCell="1" allowOverlap="1" wp14:anchorId="3C81E7A7" wp14:editId="5EA0BC98">
            <wp:simplePos x="0" y="0"/>
            <wp:positionH relativeFrom="margin">
              <wp:posOffset>1176131</wp:posOffset>
            </wp:positionH>
            <wp:positionV relativeFrom="paragraph">
              <wp:posOffset>62009</wp:posOffset>
            </wp:positionV>
            <wp:extent cx="3409950" cy="1552575"/>
            <wp:effectExtent l="0" t="0" r="0" b="9525"/>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95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E70D0" w14:textId="77777777" w:rsidR="005A3499" w:rsidRPr="005A3499" w:rsidRDefault="005A3499" w:rsidP="005A3499">
      <w:pPr>
        <w:pStyle w:val="Flietext0"/>
        <w:ind w:left="1140" w:hanging="993"/>
        <w:jc w:val="both"/>
        <w:rPr>
          <w:b w:val="0"/>
          <w:bCs w:val="0"/>
          <w:lang w:val="en-GB"/>
        </w:rPr>
      </w:pPr>
    </w:p>
    <w:p w14:paraId="25AA9C4D" w14:textId="77777777" w:rsidR="005A3499" w:rsidRPr="005A3499" w:rsidRDefault="005A3499" w:rsidP="005A3499">
      <w:pPr>
        <w:pStyle w:val="Flietext0"/>
        <w:ind w:left="1140" w:hanging="993"/>
        <w:jc w:val="both"/>
        <w:rPr>
          <w:b w:val="0"/>
          <w:bCs w:val="0"/>
          <w:i/>
          <w:iCs/>
          <w:lang w:val="en-GB"/>
        </w:rPr>
      </w:pPr>
    </w:p>
    <w:p w14:paraId="1D3B0D6B" w14:textId="77777777" w:rsidR="005A3499" w:rsidRPr="005A3499" w:rsidRDefault="005A3499" w:rsidP="005A3499">
      <w:pPr>
        <w:pStyle w:val="Flietext0"/>
        <w:ind w:left="1140" w:hanging="993"/>
        <w:jc w:val="both"/>
        <w:rPr>
          <w:b w:val="0"/>
          <w:bCs w:val="0"/>
          <w:i/>
          <w:iCs/>
          <w:lang w:val="en-GB"/>
        </w:rPr>
      </w:pPr>
    </w:p>
    <w:p w14:paraId="7D7E745F" w14:textId="77777777" w:rsidR="005A3499" w:rsidRPr="005A3499" w:rsidRDefault="005A3499" w:rsidP="005A3499">
      <w:pPr>
        <w:pStyle w:val="Flietext0"/>
        <w:ind w:left="1140" w:hanging="993"/>
        <w:jc w:val="both"/>
        <w:rPr>
          <w:b w:val="0"/>
          <w:bCs w:val="0"/>
          <w:i/>
          <w:iCs/>
          <w:lang w:val="en-GB"/>
        </w:rPr>
      </w:pPr>
    </w:p>
    <w:p w14:paraId="77434AAF" w14:textId="77777777" w:rsidR="005A3499" w:rsidRPr="005A3499" w:rsidRDefault="005A3499" w:rsidP="005A3499">
      <w:pPr>
        <w:pStyle w:val="Flietext0"/>
        <w:ind w:left="1140" w:hanging="993"/>
        <w:jc w:val="both"/>
        <w:rPr>
          <w:b w:val="0"/>
          <w:bCs w:val="0"/>
          <w:i/>
          <w:iCs/>
          <w:lang w:val="en-GB"/>
        </w:rPr>
      </w:pPr>
    </w:p>
    <w:p w14:paraId="6B95043F" w14:textId="77777777" w:rsidR="005A3499" w:rsidRPr="005A3499" w:rsidRDefault="005A3499" w:rsidP="005A3499">
      <w:pPr>
        <w:pStyle w:val="Flietext0"/>
        <w:ind w:hanging="993"/>
        <w:jc w:val="both"/>
        <w:rPr>
          <w:b w:val="0"/>
          <w:bCs w:val="0"/>
          <w:i/>
          <w:iCs/>
          <w:lang w:val="en-GB"/>
        </w:rPr>
      </w:pPr>
    </w:p>
    <w:p w14:paraId="4ED0DBA6" w14:textId="77777777" w:rsidR="005A3499" w:rsidRPr="005A3499" w:rsidRDefault="005A3499" w:rsidP="005A3499">
      <w:pPr>
        <w:pStyle w:val="Flietext0"/>
        <w:ind w:left="1140" w:hanging="993"/>
        <w:jc w:val="both"/>
        <w:rPr>
          <w:lang w:val="en-GB"/>
        </w:rPr>
      </w:pPr>
      <w:r w:rsidRPr="005A3499">
        <w:rPr>
          <w:b w:val="0"/>
          <w:bCs w:val="0"/>
          <w:i/>
          <w:iCs/>
          <w:lang w:val="en-GB"/>
        </w:rPr>
        <w:t>Paragraph 6.2.2.1.3.,</w:t>
      </w:r>
      <w:r w:rsidRPr="005A3499">
        <w:rPr>
          <w:b w:val="0"/>
          <w:bCs w:val="0"/>
          <w:lang w:val="en-GB"/>
        </w:rPr>
        <w:t xml:space="preserve"> amend to read:</w:t>
      </w:r>
    </w:p>
    <w:p w14:paraId="3D874566" w14:textId="77777777" w:rsidR="005A3499" w:rsidRPr="005A3499" w:rsidRDefault="005A3499" w:rsidP="005A3499">
      <w:pPr>
        <w:pStyle w:val="Flietext0"/>
        <w:tabs>
          <w:tab w:val="left" w:pos="2236"/>
        </w:tabs>
        <w:spacing w:after="0"/>
        <w:ind w:left="1418" w:hanging="1134"/>
        <w:jc w:val="both"/>
        <w:rPr>
          <w:b w:val="0"/>
          <w:bCs w:val="0"/>
          <w:strike/>
          <w:lang w:val="en-GB"/>
        </w:rPr>
      </w:pPr>
      <w:r w:rsidRPr="005A3499">
        <w:rPr>
          <w:b w:val="0"/>
          <w:bCs w:val="0"/>
          <w:lang w:val="en-GB"/>
        </w:rPr>
        <w:t>"6.2.2.1.3.</w:t>
      </w:r>
      <w:r w:rsidRPr="005A3499">
        <w:rPr>
          <w:bCs w:val="0"/>
          <w:lang w:val="en-GB"/>
        </w:rPr>
        <w:tab/>
      </w:r>
      <w:r w:rsidRPr="005A3499">
        <w:rPr>
          <w:b w:val="0"/>
          <w:bCs w:val="0"/>
          <w:strike/>
          <w:lang w:val="en-GB"/>
        </w:rPr>
        <w:t>For parts of the camera and the monitor which are made of a material with a Shore A hardness of less than 60 and which are mounted on a rigid support, the requirements of paragraph 6.2.2.1.1. above shall only apply to the support.</w:t>
      </w:r>
    </w:p>
    <w:p w14:paraId="097E2895" w14:textId="77777777" w:rsidR="005A3499" w:rsidRPr="005A3499" w:rsidRDefault="005A3499" w:rsidP="005A3499">
      <w:pPr>
        <w:pStyle w:val="Flietext0"/>
        <w:tabs>
          <w:tab w:val="left" w:pos="2236"/>
        </w:tabs>
        <w:spacing w:after="0"/>
        <w:ind w:left="1418" w:hanging="1134"/>
        <w:jc w:val="both"/>
        <w:rPr>
          <w:bCs w:val="0"/>
          <w:lang w:val="en-GB"/>
        </w:rPr>
      </w:pPr>
      <w:r w:rsidRPr="005A3499">
        <w:rPr>
          <w:bCs w:val="0"/>
          <w:lang w:val="en-GB"/>
        </w:rPr>
        <w:tab/>
        <w:t>Edges of fixing holes or recesses of which the diameter or longest diagonalis less than 12 mm are exempt from the radius requirements of paragraph 6.2.2.1.1. above provided that they are blunted</w:t>
      </w:r>
      <w:r w:rsidRPr="005A3499">
        <w:rPr>
          <w:b w:val="0"/>
          <w:bCs w:val="0"/>
          <w:lang w:val="en-GB"/>
        </w:rPr>
        <w:t xml:space="preserve">." </w:t>
      </w:r>
    </w:p>
    <w:p w14:paraId="47E79D64" w14:textId="77777777" w:rsidR="005A3499" w:rsidRPr="005A3499" w:rsidRDefault="005A3499" w:rsidP="005A3499">
      <w:pPr>
        <w:pStyle w:val="Flietext0"/>
        <w:tabs>
          <w:tab w:val="left" w:pos="2236"/>
        </w:tabs>
        <w:spacing w:after="0"/>
        <w:ind w:left="1418" w:hanging="1134"/>
        <w:jc w:val="both"/>
        <w:rPr>
          <w:b w:val="0"/>
          <w:bCs w:val="0"/>
          <w:lang w:val="en-GB"/>
        </w:rPr>
      </w:pPr>
    </w:p>
    <w:p w14:paraId="1B8DE730" w14:textId="77777777" w:rsidR="005A3499" w:rsidRPr="005A3499" w:rsidRDefault="005A3499" w:rsidP="005A3499">
      <w:pPr>
        <w:pStyle w:val="Flietext0"/>
        <w:ind w:left="1140" w:hanging="993"/>
        <w:jc w:val="both"/>
        <w:rPr>
          <w:lang w:val="en-GB"/>
        </w:rPr>
      </w:pPr>
      <w:r w:rsidRPr="005A3499">
        <w:rPr>
          <w:b w:val="0"/>
          <w:bCs w:val="0"/>
          <w:i/>
          <w:iCs/>
          <w:lang w:val="en-GB"/>
        </w:rPr>
        <w:t>Insert a new paragraph 6.2.2.1.4.,</w:t>
      </w:r>
      <w:r w:rsidRPr="005A3499">
        <w:rPr>
          <w:b w:val="0"/>
          <w:bCs w:val="0"/>
          <w:lang w:val="en-GB"/>
        </w:rPr>
        <w:t xml:space="preserve"> to read:</w:t>
      </w:r>
    </w:p>
    <w:p w14:paraId="2DEAD875" w14:textId="77777777" w:rsidR="005A3499" w:rsidRPr="005A3499" w:rsidRDefault="005A3499" w:rsidP="005A3499">
      <w:pPr>
        <w:pStyle w:val="Flietext0"/>
        <w:tabs>
          <w:tab w:val="left" w:pos="2236"/>
        </w:tabs>
        <w:spacing w:after="0"/>
        <w:ind w:left="1418" w:hanging="1134"/>
        <w:jc w:val="both"/>
        <w:rPr>
          <w:bCs w:val="0"/>
          <w:lang w:val="en-GB"/>
        </w:rPr>
      </w:pPr>
      <w:r w:rsidRPr="005A3499">
        <w:rPr>
          <w:b w:val="0"/>
          <w:bCs w:val="0"/>
          <w:lang w:val="en-GB"/>
        </w:rPr>
        <w:t>"</w:t>
      </w:r>
      <w:r w:rsidRPr="005A3499">
        <w:rPr>
          <w:bCs w:val="0"/>
          <w:lang w:val="en-GB"/>
        </w:rPr>
        <w:t>6.2.2.1.4.</w:t>
      </w:r>
      <w:r w:rsidRPr="005A3499">
        <w:rPr>
          <w:bCs w:val="0"/>
          <w:lang w:val="en-GB"/>
        </w:rPr>
        <w:tab/>
        <w:t>For parts of the camera and the monitor which are made of a material with a Shore A hardness of less than 60 and which are mounted on a rigid support, the requirements of paragraph 6.2.2.1.1. above shall only apply to the support.</w:t>
      </w:r>
      <w:r w:rsidRPr="005A3499">
        <w:rPr>
          <w:b w:val="0"/>
          <w:bCs w:val="0"/>
          <w:lang w:val="en-GB"/>
        </w:rPr>
        <w:t>"</w:t>
      </w:r>
    </w:p>
    <w:p w14:paraId="257EC6F0" w14:textId="77777777" w:rsidR="005A3499" w:rsidRPr="005A3499" w:rsidRDefault="005A3499" w:rsidP="005A3499">
      <w:pPr>
        <w:rPr>
          <w:i/>
          <w:iCs/>
        </w:rPr>
      </w:pPr>
      <w:r w:rsidRPr="005A3499">
        <w:rPr>
          <w:b/>
          <w:bCs/>
          <w:i/>
          <w:iCs/>
        </w:rPr>
        <w:br w:type="page"/>
      </w:r>
    </w:p>
    <w:p w14:paraId="0BA2B524" w14:textId="77777777" w:rsidR="005A3499" w:rsidRPr="005A3499" w:rsidRDefault="005A3499" w:rsidP="005A3499">
      <w:pPr>
        <w:pStyle w:val="berschrift30"/>
        <w:keepNext/>
        <w:keepLines/>
        <w:numPr>
          <w:ilvl w:val="0"/>
          <w:numId w:val="36"/>
        </w:numPr>
        <w:tabs>
          <w:tab w:val="left" w:pos="1096"/>
        </w:tabs>
        <w:spacing w:after="240"/>
        <w:ind w:left="0"/>
        <w:rPr>
          <w:lang w:val="en-GB"/>
        </w:rPr>
      </w:pPr>
      <w:bookmarkStart w:id="1" w:name="bookmark12"/>
      <w:r w:rsidRPr="005A3499">
        <w:rPr>
          <w:lang w:val="en-GB"/>
        </w:rPr>
        <w:lastRenderedPageBreak/>
        <w:t>Justification</w:t>
      </w:r>
      <w:bookmarkEnd w:id="1"/>
    </w:p>
    <w:p w14:paraId="7C0BD248" w14:textId="77777777" w:rsidR="005A3499" w:rsidRPr="005A3499" w:rsidRDefault="005A3499" w:rsidP="005A3499">
      <w:pPr>
        <w:pStyle w:val="Flietext0"/>
        <w:tabs>
          <w:tab w:val="left" w:pos="1692"/>
          <w:tab w:val="left" w:pos="1695"/>
        </w:tabs>
        <w:spacing w:after="0"/>
        <w:ind w:left="1134"/>
        <w:jc w:val="both"/>
        <w:rPr>
          <w:b w:val="0"/>
          <w:bCs w:val="0"/>
          <w:lang w:val="en-GB"/>
        </w:rPr>
      </w:pPr>
      <w:r w:rsidRPr="005A3499">
        <w:rPr>
          <w:b w:val="0"/>
          <w:bCs w:val="0"/>
          <w:lang w:val="en-GB"/>
        </w:rPr>
        <w:t xml:space="preserve">In the UN Regulation No. 46 actually we have different requirements of the outer radius for a mirror system for indirect vision and a camera-monitor-device for indirect vision. For some safety functions (e.g. rain deflector, wind deflector) on the camera-monitor device, it would be useful to have the same requirements as a mirror system. </w:t>
      </w:r>
    </w:p>
    <w:p w14:paraId="6C8F1ACD" w14:textId="77777777" w:rsidR="005A3499" w:rsidRPr="005A3499" w:rsidRDefault="005A3499" w:rsidP="005A3499">
      <w:pPr>
        <w:pStyle w:val="Flietext0"/>
        <w:tabs>
          <w:tab w:val="left" w:pos="1692"/>
          <w:tab w:val="left" w:pos="1695"/>
        </w:tabs>
        <w:spacing w:after="0"/>
        <w:ind w:left="1134"/>
        <w:jc w:val="both"/>
        <w:rPr>
          <w:b w:val="0"/>
          <w:bCs w:val="0"/>
          <w:lang w:val="en-GB"/>
        </w:rPr>
      </w:pPr>
    </w:p>
    <w:p w14:paraId="4904140C" w14:textId="77777777" w:rsidR="005A3499" w:rsidRPr="005A3499" w:rsidRDefault="005A3499" w:rsidP="005A3499">
      <w:pPr>
        <w:pStyle w:val="Flietext0"/>
        <w:tabs>
          <w:tab w:val="left" w:pos="1692"/>
          <w:tab w:val="left" w:pos="1695"/>
        </w:tabs>
        <w:spacing w:after="0"/>
        <w:ind w:left="1134"/>
        <w:jc w:val="both"/>
        <w:rPr>
          <w:b w:val="0"/>
          <w:lang w:val="en-GB"/>
        </w:rPr>
      </w:pPr>
      <w:r w:rsidRPr="005A3499">
        <w:rPr>
          <w:b w:val="0"/>
          <w:lang w:val="en-GB"/>
        </w:rPr>
        <w:t>In the area of camera lenses special deflector geometry is necessary to improve the image quality captured by the camera. These deflectors are influencing or preventing air turbulences and through this are keeping rainwater and dirt particles away from the optical system.</w:t>
      </w:r>
    </w:p>
    <w:p w14:paraId="6AE0E1D9" w14:textId="56EC8A49" w:rsidR="00F607C0" w:rsidRPr="005A3499" w:rsidRDefault="00F607C0" w:rsidP="00226884">
      <w:pPr>
        <w:tabs>
          <w:tab w:val="left" w:pos="8505"/>
        </w:tabs>
        <w:ind w:left="1134" w:right="1134"/>
        <w:jc w:val="both"/>
      </w:pPr>
    </w:p>
    <w:p w14:paraId="4B81EA8F" w14:textId="52105A32" w:rsidR="006F0A02" w:rsidRPr="005A3499" w:rsidRDefault="006F0A02" w:rsidP="00226884">
      <w:pPr>
        <w:tabs>
          <w:tab w:val="left" w:pos="8505"/>
        </w:tabs>
        <w:ind w:left="1134" w:right="1134"/>
        <w:jc w:val="both"/>
      </w:pPr>
    </w:p>
    <w:p w14:paraId="58611FBB" w14:textId="724AB428" w:rsidR="006F0A02" w:rsidRPr="005A3499" w:rsidRDefault="006F0A02" w:rsidP="006F0A02">
      <w:pPr>
        <w:tabs>
          <w:tab w:val="left" w:pos="8505"/>
        </w:tabs>
        <w:ind w:left="1134" w:right="1134"/>
        <w:jc w:val="center"/>
      </w:pPr>
      <w:r w:rsidRPr="005A3499">
        <w:t>____________</w:t>
      </w:r>
    </w:p>
    <w:sectPr w:rsidR="006F0A02" w:rsidRPr="005A3499" w:rsidSect="00151208">
      <w:headerReference w:type="even" r:id="rId12"/>
      <w:headerReference w:type="default" r:id="rId13"/>
      <w:footerReference w:type="even" r:id="rId14"/>
      <w:footerReference w:type="default" r:id="rId15"/>
      <w:headerReference w:type="first" r:id="rId16"/>
      <w:footerReference w:type="first" r:id="rId17"/>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B39E3" w14:textId="77777777" w:rsidR="00307ACB" w:rsidRDefault="00307ACB" w:rsidP="00203C11">
      <w:pPr>
        <w:spacing w:line="240" w:lineRule="auto"/>
      </w:pPr>
      <w:r>
        <w:separator/>
      </w:r>
    </w:p>
  </w:endnote>
  <w:endnote w:type="continuationSeparator" w:id="0">
    <w:p w14:paraId="767BFDB2" w14:textId="77777777" w:rsidR="00307ACB" w:rsidRDefault="00307ACB" w:rsidP="00203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4A33A" w14:textId="77777777" w:rsidR="00B62610" w:rsidRDefault="00B62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33535" w14:textId="0D7F8876" w:rsidR="00226884" w:rsidRDefault="00226884">
    <w:pPr>
      <w:pStyle w:val="Footer"/>
    </w:pPr>
    <w:r>
      <w:rPr>
        <w:noProof/>
      </w:rPr>
      <mc:AlternateContent>
        <mc:Choice Requires="wps">
          <w:drawing>
            <wp:anchor distT="0" distB="0" distL="114300" distR="114300" simplePos="1" relativeHeight="251659264" behindDoc="0" locked="0" layoutInCell="0" allowOverlap="1" wp14:anchorId="70A2C4F2" wp14:editId="3FEC533C">
              <wp:simplePos x="0" y="10249218"/>
              <wp:positionH relativeFrom="page">
                <wp:posOffset>0</wp:posOffset>
              </wp:positionH>
              <wp:positionV relativeFrom="page">
                <wp:posOffset>10248900</wp:posOffset>
              </wp:positionV>
              <wp:extent cx="7560310" cy="252095"/>
              <wp:effectExtent l="0" t="0" r="0" b="14605"/>
              <wp:wrapNone/>
              <wp:docPr id="1" name="MSIPCMbbce4f3996d15126cd3c444c"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F529C1" w14:textId="19F7D42E" w:rsidR="00226884" w:rsidRPr="00226884" w:rsidRDefault="00226884" w:rsidP="00226884">
                          <w:pPr>
                            <w:jc w:val="right"/>
                            <w:rPr>
                              <w:rFonts w:ascii="Arial" w:hAnsi="Arial" w:cs="Arial"/>
                              <w:color w:val="000000"/>
                            </w:rPr>
                          </w:pPr>
                          <w:r w:rsidRPr="00226884">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0A2C4F2" id="_x0000_t202" coordsize="21600,21600" o:spt="202" path="m,l,21600r21600,l21600,xe">
              <v:stroke joinstyle="miter"/>
              <v:path gradientshapeok="t" o:connecttype="rect"/>
            </v:shapetype>
            <v:shape id="MSIPCMbbce4f3996d15126cd3c444c"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" o:allowincell="f" filled="f" stroked="f" strokeweight=".5pt">
              <v:textbox inset=",0,20pt,0">
                <w:txbxContent>
                  <w:p w14:paraId="4AF529C1" w14:textId="19F7D42E" w:rsidR="00226884" w:rsidRPr="00226884" w:rsidRDefault="00226884" w:rsidP="00226884">
                    <w:pPr>
                      <w:jc w:val="right"/>
                      <w:rPr>
                        <w:rFonts w:ascii="Arial" w:hAnsi="Arial" w:cs="Arial"/>
                        <w:color w:val="000000"/>
                      </w:rPr>
                    </w:pPr>
                    <w:r w:rsidRPr="00226884">
                      <w:rPr>
                        <w:rFonts w:ascii="Arial" w:hAnsi="Arial" w:cs="Arial"/>
                        <w:color w:val="00000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CB931" w14:textId="77777777" w:rsidR="00B62610" w:rsidRDefault="00B62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9DDA8" w14:textId="77777777" w:rsidR="00307ACB" w:rsidRPr="00E378AC" w:rsidRDefault="00307ACB" w:rsidP="00E378AC">
      <w:pPr>
        <w:tabs>
          <w:tab w:val="right" w:pos="2155"/>
        </w:tabs>
        <w:spacing w:after="80"/>
        <w:ind w:left="680"/>
        <w:rPr>
          <w:u w:val="single"/>
        </w:rPr>
      </w:pPr>
      <w:r>
        <w:rPr>
          <w:u w:val="single"/>
        </w:rPr>
        <w:tab/>
      </w:r>
    </w:p>
  </w:footnote>
  <w:footnote w:type="continuationSeparator" w:id="0">
    <w:p w14:paraId="2702C71C" w14:textId="77777777" w:rsidR="00307ACB" w:rsidRDefault="0030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82866" w14:textId="77777777" w:rsidR="00B62610" w:rsidRDefault="00B62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3BC96" w14:textId="77777777" w:rsidR="00B62610" w:rsidRDefault="00B626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Look w:val="04A0" w:firstRow="1" w:lastRow="0" w:firstColumn="1" w:lastColumn="0" w:noHBand="0" w:noVBand="1"/>
    </w:tblPr>
    <w:tblGrid>
      <w:gridCol w:w="4253"/>
      <w:gridCol w:w="5245"/>
    </w:tblGrid>
    <w:tr w:rsidR="00B156BC" w:rsidRPr="00DD5F08" w14:paraId="2B30589E" w14:textId="77777777" w:rsidTr="002E70EC">
      <w:tc>
        <w:tcPr>
          <w:tcW w:w="4253" w:type="dxa"/>
          <w:hideMark/>
        </w:tcPr>
        <w:p w14:paraId="47DD0A6F" w14:textId="77777777" w:rsidR="00B156BC" w:rsidRPr="00DD5F08" w:rsidRDefault="00B156BC" w:rsidP="00B156BC">
          <w:pPr>
            <w:tabs>
              <w:tab w:val="center" w:pos="4536"/>
              <w:tab w:val="right" w:pos="9072"/>
            </w:tabs>
            <w:suppressAutoHyphens w:val="0"/>
            <w:spacing w:line="240" w:lineRule="auto"/>
            <w:rPr>
              <w:rFonts w:eastAsia="Calibri"/>
              <w:kern w:val="2"/>
            </w:rPr>
          </w:pPr>
          <w:r w:rsidRPr="00DD5F08">
            <w:rPr>
              <w:rFonts w:eastAsia="Calibri"/>
              <w:kern w:val="2"/>
            </w:rPr>
            <w:t xml:space="preserve">Submitted by </w:t>
          </w:r>
          <w:r>
            <w:rPr>
              <w:rFonts w:eastAsia="Calibri"/>
              <w:kern w:val="2"/>
            </w:rPr>
            <w:t>OICA</w:t>
          </w:r>
        </w:p>
      </w:tc>
      <w:tc>
        <w:tcPr>
          <w:tcW w:w="5245" w:type="dxa"/>
          <w:hideMark/>
        </w:tcPr>
        <w:p w14:paraId="05E61DA5" w14:textId="2EB45D5B" w:rsidR="00B156BC" w:rsidRPr="00DD5F08" w:rsidRDefault="00B156BC" w:rsidP="00B156BC">
          <w:pPr>
            <w:suppressAutoHyphens w:val="0"/>
            <w:spacing w:line="240" w:lineRule="auto"/>
            <w:ind w:left="2155"/>
            <w:jc w:val="right"/>
            <w:rPr>
              <w:rFonts w:eastAsia="Calibri"/>
              <w:b/>
              <w:bCs/>
              <w:kern w:val="2"/>
            </w:rPr>
          </w:pPr>
          <w:r w:rsidRPr="00DD5F08">
            <w:rPr>
              <w:rFonts w:eastAsia="Calibri"/>
              <w:kern w:val="2"/>
              <w:u w:val="single"/>
            </w:rPr>
            <w:t>Informal document</w:t>
          </w:r>
          <w:r w:rsidRPr="00DD5F08">
            <w:rPr>
              <w:rFonts w:eastAsia="Calibri"/>
              <w:kern w:val="2"/>
            </w:rPr>
            <w:t xml:space="preserve"> </w:t>
          </w:r>
          <w:r w:rsidRPr="00DD5F08">
            <w:rPr>
              <w:rFonts w:eastAsia="Calibri"/>
              <w:b/>
              <w:bCs/>
              <w:kern w:val="2"/>
            </w:rPr>
            <w:t>GRSG-1</w:t>
          </w:r>
          <w:r w:rsidR="00E46099">
            <w:rPr>
              <w:rFonts w:eastAsia="Calibri"/>
              <w:b/>
              <w:bCs/>
              <w:kern w:val="2"/>
            </w:rPr>
            <w:t>21</w:t>
          </w:r>
          <w:r w:rsidRPr="00DD5F08">
            <w:rPr>
              <w:rFonts w:eastAsia="Calibri"/>
              <w:b/>
              <w:bCs/>
              <w:kern w:val="2"/>
            </w:rPr>
            <w:t>-</w:t>
          </w:r>
          <w:r w:rsidR="00297709">
            <w:rPr>
              <w:rFonts w:eastAsia="Calibri"/>
              <w:b/>
              <w:bCs/>
              <w:kern w:val="2"/>
            </w:rPr>
            <w:t>1</w:t>
          </w:r>
          <w:r w:rsidR="00B62610">
            <w:rPr>
              <w:rFonts w:eastAsia="Calibri"/>
              <w:b/>
              <w:bCs/>
              <w:kern w:val="2"/>
            </w:rPr>
            <w:t>9</w:t>
          </w:r>
        </w:p>
        <w:p w14:paraId="680BE3D5" w14:textId="1D49A1E9" w:rsidR="00B156BC" w:rsidRPr="00DD5F08" w:rsidRDefault="00B156BC" w:rsidP="00B156BC">
          <w:pPr>
            <w:tabs>
              <w:tab w:val="center" w:pos="4536"/>
              <w:tab w:val="right" w:pos="9072"/>
            </w:tabs>
            <w:suppressAutoHyphens w:val="0"/>
            <w:spacing w:line="240" w:lineRule="auto"/>
            <w:ind w:left="2155"/>
            <w:jc w:val="right"/>
            <w:rPr>
              <w:rFonts w:eastAsia="Calibri"/>
              <w:kern w:val="2"/>
            </w:rPr>
          </w:pPr>
          <w:r w:rsidRPr="00DD5F08">
            <w:rPr>
              <w:rFonts w:eastAsia="Calibri"/>
              <w:kern w:val="2"/>
            </w:rPr>
            <w:t>(1</w:t>
          </w:r>
          <w:r w:rsidR="00E46099">
            <w:rPr>
              <w:rFonts w:eastAsia="Calibri"/>
              <w:kern w:val="2"/>
            </w:rPr>
            <w:t>21</w:t>
          </w:r>
          <w:r w:rsidR="005A3499" w:rsidRPr="005A3499">
            <w:rPr>
              <w:rFonts w:eastAsia="Calibri"/>
              <w:kern w:val="2"/>
              <w:vertAlign w:val="superscript"/>
            </w:rPr>
            <w:t>st</w:t>
          </w:r>
          <w:r w:rsidR="005A3499">
            <w:rPr>
              <w:rFonts w:eastAsia="Calibri"/>
              <w:kern w:val="2"/>
            </w:rPr>
            <w:t xml:space="preserve"> </w:t>
          </w:r>
          <w:r w:rsidRPr="00DD5F08">
            <w:rPr>
              <w:rFonts w:eastAsia="Calibri"/>
              <w:kern w:val="2"/>
            </w:rPr>
            <w:t xml:space="preserve">GRSG, </w:t>
          </w:r>
          <w:r w:rsidR="00E46099">
            <w:rPr>
              <w:rFonts w:eastAsia="Calibri"/>
              <w:kern w:val="2"/>
            </w:rPr>
            <w:t>12</w:t>
          </w:r>
          <w:r w:rsidRPr="00DD5F08">
            <w:rPr>
              <w:rFonts w:eastAsia="Calibri"/>
              <w:kern w:val="2"/>
            </w:rPr>
            <w:t>-</w:t>
          </w:r>
          <w:r w:rsidR="00E46099">
            <w:rPr>
              <w:rFonts w:eastAsia="Calibri"/>
              <w:kern w:val="2"/>
            </w:rPr>
            <w:t>16</w:t>
          </w:r>
          <w:r w:rsidRPr="00DD5F08">
            <w:rPr>
              <w:rFonts w:eastAsia="Calibri"/>
              <w:kern w:val="2"/>
            </w:rPr>
            <w:t xml:space="preserve"> </w:t>
          </w:r>
          <w:r w:rsidR="00E46099">
            <w:rPr>
              <w:rFonts w:eastAsia="Calibri"/>
              <w:kern w:val="2"/>
            </w:rPr>
            <w:t>April</w:t>
          </w:r>
          <w:r w:rsidRPr="00DD5F08">
            <w:rPr>
              <w:rFonts w:eastAsia="Calibri"/>
              <w:kern w:val="2"/>
            </w:rPr>
            <w:t xml:space="preserve"> 202</w:t>
          </w:r>
          <w:r w:rsidR="00E46099">
            <w:rPr>
              <w:rFonts w:eastAsia="Calibri"/>
              <w:kern w:val="2"/>
            </w:rPr>
            <w:t>1</w:t>
          </w:r>
          <w:r>
            <w:rPr>
              <w:rFonts w:eastAsia="Calibri"/>
              <w:kern w:val="2"/>
            </w:rPr>
            <w:t xml:space="preserve"> </w:t>
          </w:r>
          <w:r w:rsidRPr="00DD5F08">
            <w:rPr>
              <w:rFonts w:eastAsia="Calibri"/>
              <w:kern w:val="2"/>
            </w:rPr>
            <w:t>Agenda item</w:t>
          </w:r>
          <w:r w:rsidR="005A3499">
            <w:rPr>
              <w:rFonts w:eastAsia="Calibri"/>
              <w:kern w:val="2"/>
            </w:rPr>
            <w:t xml:space="preserve"> </w:t>
          </w:r>
          <w:r w:rsidR="005D3A72">
            <w:rPr>
              <w:rFonts w:eastAsia="Calibri"/>
              <w:kern w:val="2"/>
            </w:rPr>
            <w:t>4 (a)</w:t>
          </w:r>
          <w:r w:rsidRPr="00DD5F08">
            <w:rPr>
              <w:rFonts w:eastAsia="Calibri"/>
              <w:kern w:val="2"/>
            </w:rPr>
            <w:t>)</w:t>
          </w:r>
        </w:p>
      </w:tc>
    </w:tr>
  </w:tbl>
  <w:p w14:paraId="5DE79F76" w14:textId="62003EB9" w:rsidR="00D06F91" w:rsidRPr="006E324D" w:rsidRDefault="00D06F91" w:rsidP="006E3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1" w15:restartNumberingAfterBreak="0">
    <w:nsid w:val="07CC574A"/>
    <w:multiLevelType w:val="hybridMultilevel"/>
    <w:tmpl w:val="9FB6A0C2"/>
    <w:lvl w:ilvl="0" w:tplc="DE0C3794">
      <w:start w:val="1"/>
      <w:numFmt w:val="upperRoman"/>
      <w:lvlText w:val="%1."/>
      <w:lvlJc w:val="right"/>
      <w:pPr>
        <w:ind w:left="2705" w:hanging="360"/>
      </w:p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2" w15:restartNumberingAfterBreak="0">
    <w:nsid w:val="142452B6"/>
    <w:multiLevelType w:val="hybridMultilevel"/>
    <w:tmpl w:val="AB24EF14"/>
    <w:lvl w:ilvl="0" w:tplc="040C000D">
      <w:start w:val="1"/>
      <w:numFmt w:val="bullet"/>
      <w:lvlText w:val=""/>
      <w:lvlJc w:val="left"/>
      <w:pPr>
        <w:ind w:left="3969" w:hanging="360"/>
      </w:pPr>
      <w:rPr>
        <w:rFonts w:ascii="Wingdings" w:hAnsi="Wingdings" w:hint="default"/>
      </w:rPr>
    </w:lvl>
    <w:lvl w:ilvl="1" w:tplc="08090003">
      <w:start w:val="1"/>
      <w:numFmt w:val="bullet"/>
      <w:lvlText w:val="o"/>
      <w:lvlJc w:val="left"/>
      <w:pPr>
        <w:ind w:left="4689" w:hanging="360"/>
      </w:pPr>
      <w:rPr>
        <w:rFonts w:ascii="Courier New" w:hAnsi="Courier New" w:cs="Courier New" w:hint="default"/>
      </w:rPr>
    </w:lvl>
    <w:lvl w:ilvl="2" w:tplc="08090005" w:tentative="1">
      <w:start w:val="1"/>
      <w:numFmt w:val="bullet"/>
      <w:lvlText w:val=""/>
      <w:lvlJc w:val="left"/>
      <w:pPr>
        <w:ind w:left="5409" w:hanging="360"/>
      </w:pPr>
      <w:rPr>
        <w:rFonts w:ascii="Wingdings" w:hAnsi="Wingdings" w:hint="default"/>
      </w:rPr>
    </w:lvl>
    <w:lvl w:ilvl="3" w:tplc="08090001" w:tentative="1">
      <w:start w:val="1"/>
      <w:numFmt w:val="bullet"/>
      <w:lvlText w:val=""/>
      <w:lvlJc w:val="left"/>
      <w:pPr>
        <w:ind w:left="6129" w:hanging="360"/>
      </w:pPr>
      <w:rPr>
        <w:rFonts w:ascii="Symbol" w:hAnsi="Symbol" w:hint="default"/>
      </w:rPr>
    </w:lvl>
    <w:lvl w:ilvl="4" w:tplc="08090003" w:tentative="1">
      <w:start w:val="1"/>
      <w:numFmt w:val="bullet"/>
      <w:lvlText w:val="o"/>
      <w:lvlJc w:val="left"/>
      <w:pPr>
        <w:ind w:left="6849" w:hanging="360"/>
      </w:pPr>
      <w:rPr>
        <w:rFonts w:ascii="Courier New" w:hAnsi="Courier New" w:cs="Courier New" w:hint="default"/>
      </w:rPr>
    </w:lvl>
    <w:lvl w:ilvl="5" w:tplc="08090005" w:tentative="1">
      <w:start w:val="1"/>
      <w:numFmt w:val="bullet"/>
      <w:lvlText w:val=""/>
      <w:lvlJc w:val="left"/>
      <w:pPr>
        <w:ind w:left="7569" w:hanging="360"/>
      </w:pPr>
      <w:rPr>
        <w:rFonts w:ascii="Wingdings" w:hAnsi="Wingdings" w:hint="default"/>
      </w:rPr>
    </w:lvl>
    <w:lvl w:ilvl="6" w:tplc="08090001" w:tentative="1">
      <w:start w:val="1"/>
      <w:numFmt w:val="bullet"/>
      <w:lvlText w:val=""/>
      <w:lvlJc w:val="left"/>
      <w:pPr>
        <w:ind w:left="8289" w:hanging="360"/>
      </w:pPr>
      <w:rPr>
        <w:rFonts w:ascii="Symbol" w:hAnsi="Symbol" w:hint="default"/>
      </w:rPr>
    </w:lvl>
    <w:lvl w:ilvl="7" w:tplc="08090003" w:tentative="1">
      <w:start w:val="1"/>
      <w:numFmt w:val="bullet"/>
      <w:lvlText w:val="o"/>
      <w:lvlJc w:val="left"/>
      <w:pPr>
        <w:ind w:left="9009" w:hanging="360"/>
      </w:pPr>
      <w:rPr>
        <w:rFonts w:ascii="Courier New" w:hAnsi="Courier New" w:cs="Courier New" w:hint="default"/>
      </w:rPr>
    </w:lvl>
    <w:lvl w:ilvl="8" w:tplc="08090005" w:tentative="1">
      <w:start w:val="1"/>
      <w:numFmt w:val="bullet"/>
      <w:lvlText w:val=""/>
      <w:lvlJc w:val="left"/>
      <w:pPr>
        <w:ind w:left="9729" w:hanging="360"/>
      </w:pPr>
      <w:rPr>
        <w:rFonts w:ascii="Wingdings" w:hAnsi="Wingdings" w:hint="default"/>
      </w:rPr>
    </w:lvl>
  </w:abstractNum>
  <w:abstractNum w:abstractNumId="13" w15:restartNumberingAfterBreak="0">
    <w:nsid w:val="15B45B68"/>
    <w:multiLevelType w:val="hybridMultilevel"/>
    <w:tmpl w:val="3FEA7244"/>
    <w:lvl w:ilvl="0" w:tplc="040C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C0435"/>
    <w:multiLevelType w:val="hybridMultilevel"/>
    <w:tmpl w:val="137AA68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F3E1186"/>
    <w:multiLevelType w:val="multilevel"/>
    <w:tmpl w:val="D5D268F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2353362"/>
    <w:multiLevelType w:val="hybridMultilevel"/>
    <w:tmpl w:val="EEA859AA"/>
    <w:lvl w:ilvl="0" w:tplc="0E6832D2">
      <w:start w:val="1"/>
      <w:numFmt w:val="upperRoman"/>
      <w:lvlText w:val="%1."/>
      <w:lvlJc w:val="left"/>
      <w:pPr>
        <w:ind w:left="1287" w:hanging="72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55EA2ADD"/>
    <w:multiLevelType w:val="hybridMultilevel"/>
    <w:tmpl w:val="54665C28"/>
    <w:lvl w:ilvl="0" w:tplc="D21E7AA0">
      <w:start w:val="1"/>
      <w:numFmt w:val="decimal"/>
      <w:lvlText w:val="%1."/>
      <w:lvlJc w:val="left"/>
      <w:pPr>
        <w:ind w:left="24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787B5131"/>
    <w:multiLevelType w:val="hybridMultilevel"/>
    <w:tmpl w:val="F7E2241E"/>
    <w:lvl w:ilvl="0" w:tplc="9B84C19C">
      <w:start w:val="3"/>
      <w:numFmt w:val="upperRoman"/>
      <w:lvlText w:val="%1."/>
      <w:lvlJc w:val="righ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25" w15:restartNumberingAfterBreak="0">
    <w:nsid w:val="7B275E25"/>
    <w:multiLevelType w:val="hybridMultilevel"/>
    <w:tmpl w:val="30F8110C"/>
    <w:lvl w:ilvl="0" w:tplc="040C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4"/>
  </w:num>
  <w:num w:numId="23">
    <w:abstractNumId w:val="20"/>
  </w:num>
  <w:num w:numId="24">
    <w:abstractNumId w:val="22"/>
  </w:num>
  <w:num w:numId="25">
    <w:abstractNumId w:val="21"/>
  </w:num>
  <w:num w:numId="26">
    <w:abstractNumId w:val="17"/>
  </w:num>
  <w:num w:numId="27">
    <w:abstractNumId w:val="15"/>
  </w:num>
  <w:num w:numId="28">
    <w:abstractNumId w:val="25"/>
  </w:num>
  <w:num w:numId="29">
    <w:abstractNumId w:val="12"/>
  </w:num>
  <w:num w:numId="30">
    <w:abstractNumId w:val="13"/>
  </w:num>
  <w:num w:numId="31">
    <w:abstractNumId w:val="23"/>
  </w:num>
  <w:num w:numId="32">
    <w:abstractNumId w:val="19"/>
  </w:num>
  <w:num w:numId="33">
    <w:abstractNumId w:val="11"/>
  </w:num>
  <w:num w:numId="34">
    <w:abstractNumId w:val="18"/>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5715A"/>
    <w:rsid w:val="000C75E6"/>
    <w:rsid w:val="000D367D"/>
    <w:rsid w:val="000D44E5"/>
    <w:rsid w:val="000E1E99"/>
    <w:rsid w:val="001309F4"/>
    <w:rsid w:val="00143D77"/>
    <w:rsid w:val="00151208"/>
    <w:rsid w:val="00170E8B"/>
    <w:rsid w:val="00180E18"/>
    <w:rsid w:val="001A33AD"/>
    <w:rsid w:val="001B5B00"/>
    <w:rsid w:val="001D6C5C"/>
    <w:rsid w:val="001F1DCE"/>
    <w:rsid w:val="00203BAB"/>
    <w:rsid w:val="00203C11"/>
    <w:rsid w:val="00214421"/>
    <w:rsid w:val="0021630E"/>
    <w:rsid w:val="00222D9F"/>
    <w:rsid w:val="00226884"/>
    <w:rsid w:val="00226B1A"/>
    <w:rsid w:val="00242021"/>
    <w:rsid w:val="00255851"/>
    <w:rsid w:val="0027542D"/>
    <w:rsid w:val="00297709"/>
    <w:rsid w:val="002B4811"/>
    <w:rsid w:val="002D7709"/>
    <w:rsid w:val="002E6B62"/>
    <w:rsid w:val="00307ACB"/>
    <w:rsid w:val="00326F61"/>
    <w:rsid w:val="00340A6E"/>
    <w:rsid w:val="00343F08"/>
    <w:rsid w:val="00351879"/>
    <w:rsid w:val="00384A16"/>
    <w:rsid w:val="0039598B"/>
    <w:rsid w:val="003C5401"/>
    <w:rsid w:val="003E5A82"/>
    <w:rsid w:val="003F6115"/>
    <w:rsid w:val="00411DA6"/>
    <w:rsid w:val="00416C08"/>
    <w:rsid w:val="00461D8F"/>
    <w:rsid w:val="00494339"/>
    <w:rsid w:val="0049466C"/>
    <w:rsid w:val="004A29E9"/>
    <w:rsid w:val="004A4780"/>
    <w:rsid w:val="004A5BFD"/>
    <w:rsid w:val="004D5A4F"/>
    <w:rsid w:val="004E652D"/>
    <w:rsid w:val="00541748"/>
    <w:rsid w:val="00543311"/>
    <w:rsid w:val="005762BC"/>
    <w:rsid w:val="00592DED"/>
    <w:rsid w:val="005A3499"/>
    <w:rsid w:val="005B3E3F"/>
    <w:rsid w:val="005D37CC"/>
    <w:rsid w:val="005D3A72"/>
    <w:rsid w:val="006321A9"/>
    <w:rsid w:val="00686461"/>
    <w:rsid w:val="006B40F3"/>
    <w:rsid w:val="006E324D"/>
    <w:rsid w:val="006F0A02"/>
    <w:rsid w:val="006F13D9"/>
    <w:rsid w:val="006F2B2E"/>
    <w:rsid w:val="006F6664"/>
    <w:rsid w:val="00752996"/>
    <w:rsid w:val="00785AC2"/>
    <w:rsid w:val="007929D7"/>
    <w:rsid w:val="007D1397"/>
    <w:rsid w:val="007D1613"/>
    <w:rsid w:val="007D1EE3"/>
    <w:rsid w:val="008058D9"/>
    <w:rsid w:val="0082103C"/>
    <w:rsid w:val="00834FE5"/>
    <w:rsid w:val="00847D15"/>
    <w:rsid w:val="00851340"/>
    <w:rsid w:val="00852CAE"/>
    <w:rsid w:val="00896C5E"/>
    <w:rsid w:val="008D28DC"/>
    <w:rsid w:val="008D5A13"/>
    <w:rsid w:val="008F3F56"/>
    <w:rsid w:val="00926B71"/>
    <w:rsid w:val="00930D94"/>
    <w:rsid w:val="00941811"/>
    <w:rsid w:val="00955848"/>
    <w:rsid w:val="00966715"/>
    <w:rsid w:val="0097132E"/>
    <w:rsid w:val="00973A7E"/>
    <w:rsid w:val="009A41FC"/>
    <w:rsid w:val="009B279C"/>
    <w:rsid w:val="009C5365"/>
    <w:rsid w:val="009D0DA6"/>
    <w:rsid w:val="009E646F"/>
    <w:rsid w:val="009E6A52"/>
    <w:rsid w:val="00A51A2B"/>
    <w:rsid w:val="00AC4428"/>
    <w:rsid w:val="00AC74F7"/>
    <w:rsid w:val="00AE439A"/>
    <w:rsid w:val="00AE6268"/>
    <w:rsid w:val="00B156BC"/>
    <w:rsid w:val="00B37371"/>
    <w:rsid w:val="00B477C3"/>
    <w:rsid w:val="00B62610"/>
    <w:rsid w:val="00B9350C"/>
    <w:rsid w:val="00B975D5"/>
    <w:rsid w:val="00BA2AF9"/>
    <w:rsid w:val="00BE7A0C"/>
    <w:rsid w:val="00C0489C"/>
    <w:rsid w:val="00C07EB1"/>
    <w:rsid w:val="00C26092"/>
    <w:rsid w:val="00C56F54"/>
    <w:rsid w:val="00CD29FA"/>
    <w:rsid w:val="00D06F91"/>
    <w:rsid w:val="00D557AA"/>
    <w:rsid w:val="00D55DBE"/>
    <w:rsid w:val="00D87D12"/>
    <w:rsid w:val="00D87F6B"/>
    <w:rsid w:val="00D9262A"/>
    <w:rsid w:val="00D9479F"/>
    <w:rsid w:val="00DB2FAD"/>
    <w:rsid w:val="00DC0D2A"/>
    <w:rsid w:val="00DD5F08"/>
    <w:rsid w:val="00DF0C11"/>
    <w:rsid w:val="00DF0E34"/>
    <w:rsid w:val="00E01D68"/>
    <w:rsid w:val="00E2686B"/>
    <w:rsid w:val="00E378AC"/>
    <w:rsid w:val="00E43A91"/>
    <w:rsid w:val="00E46099"/>
    <w:rsid w:val="00E80937"/>
    <w:rsid w:val="00E8137B"/>
    <w:rsid w:val="00E866A5"/>
    <w:rsid w:val="00E967C3"/>
    <w:rsid w:val="00ED2A2A"/>
    <w:rsid w:val="00EF30A9"/>
    <w:rsid w:val="00F00C55"/>
    <w:rsid w:val="00F14CB8"/>
    <w:rsid w:val="00F44D0B"/>
    <w:rsid w:val="00F607C0"/>
    <w:rsid w:val="00F7502A"/>
    <w:rsid w:val="00FC5A7E"/>
    <w:rsid w:val="0BD459FA"/>
    <w:rsid w:val="1006EB6B"/>
    <w:rsid w:val="3CC19FE5"/>
    <w:rsid w:val="5B3A0C8C"/>
    <w:rsid w:val="69481054"/>
    <w:rsid w:val="6CD4B0DC"/>
    <w:rsid w:val="6D91684B"/>
    <w:rsid w:val="6DE88E2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semiHidden="1" w:uiPriority="0"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203C11"/>
  </w:style>
  <w:style w:type="character" w:customStyle="1" w:styleId="FootnoteTextChar1">
    <w:name w:val="Footnote Text Char1"/>
    <w:uiPriority w:val="99"/>
    <w:semiHidden/>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paragraph" w:styleId="Revision">
    <w:name w:val="Revision"/>
    <w:hidden/>
    <w:uiPriority w:val="99"/>
    <w:semiHidden/>
    <w:rsid w:val="00F14CB8"/>
    <w:rPr>
      <w:lang w:val="en-GB" w:eastAsia="en-US"/>
    </w:rPr>
  </w:style>
  <w:style w:type="character" w:customStyle="1" w:styleId="Flietext">
    <w:name w:val="Fließtext_"/>
    <w:basedOn w:val="DefaultParagraphFont"/>
    <w:link w:val="Flietext0"/>
    <w:rsid w:val="005A3499"/>
    <w:rPr>
      <w:b/>
      <w:bCs/>
    </w:rPr>
  </w:style>
  <w:style w:type="character" w:customStyle="1" w:styleId="berschrift3">
    <w:name w:val="Überschrift #3_"/>
    <w:basedOn w:val="DefaultParagraphFont"/>
    <w:link w:val="berschrift30"/>
    <w:rsid w:val="005A3499"/>
    <w:rPr>
      <w:b/>
      <w:bCs/>
      <w:sz w:val="28"/>
      <w:szCs w:val="28"/>
    </w:rPr>
  </w:style>
  <w:style w:type="paragraph" w:customStyle="1" w:styleId="Flietext0">
    <w:name w:val="Fließtext"/>
    <w:basedOn w:val="Normal"/>
    <w:link w:val="Flietext"/>
    <w:rsid w:val="005A3499"/>
    <w:pPr>
      <w:widowControl w:val="0"/>
      <w:suppressAutoHyphens w:val="0"/>
      <w:spacing w:after="120" w:line="240" w:lineRule="auto"/>
    </w:pPr>
    <w:rPr>
      <w:b/>
      <w:bCs/>
      <w:lang w:val="fr-FR" w:eastAsia="fr-FR"/>
    </w:rPr>
  </w:style>
  <w:style w:type="paragraph" w:customStyle="1" w:styleId="berschrift30">
    <w:name w:val="Überschrift #3"/>
    <w:basedOn w:val="Normal"/>
    <w:link w:val="berschrift3"/>
    <w:rsid w:val="005A3499"/>
    <w:pPr>
      <w:widowControl w:val="0"/>
      <w:suppressAutoHyphens w:val="0"/>
      <w:spacing w:after="340" w:line="240" w:lineRule="auto"/>
      <w:ind w:left="1140"/>
      <w:outlineLvl w:val="2"/>
    </w:pPr>
    <w:rPr>
      <w:b/>
      <w:bCs/>
      <w:sz w:val="28"/>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5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19DBE0-98D0-49F1-8215-A05391141361}">
  <ds:schemaRefs>
    <ds:schemaRef ds:uri="http://schemas.openxmlformats.org/officeDocument/2006/bibliography"/>
  </ds:schemaRefs>
</ds:datastoreItem>
</file>

<file path=customXml/itemProps2.xml><?xml version="1.0" encoding="utf-8"?>
<ds:datastoreItem xmlns:ds="http://schemas.openxmlformats.org/officeDocument/2006/customXml" ds:itemID="{DD21262B-0D8F-4A47-80A2-45FAD85DD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416349-6FC4-43CA-8BE0-915E040DDB33}">
  <ds:schemaRefs>
    <ds:schemaRef ds:uri="http://schemas.microsoft.com/sharepoint/v3/contenttype/forms"/>
  </ds:schemaRefs>
</ds:datastoreItem>
</file>

<file path=customXml/itemProps4.xml><?xml version="1.0" encoding="utf-8"?>
<ds:datastoreItem xmlns:ds="http://schemas.openxmlformats.org/officeDocument/2006/customXml" ds:itemID="{BD119EBB-8908-40A2-934E-C6E4DC514C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433</Words>
  <Characters>2469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ECE/TRANS/WP.29/GRSG/2020/19</vt:lpstr>
    </vt:vector>
  </TitlesOfParts>
  <Company>MIT</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ECE/TRANS/WP.29/GRSG/2020/19</dc:title>
  <dc:subject>2010004</dc:subject>
  <dc:creator>MIT</dc:creator>
  <cp:keywords/>
  <dc:description/>
  <cp:lastModifiedBy>WN</cp:lastModifiedBy>
  <cp:revision>6</cp:revision>
  <cp:lastPrinted>2019-07-19T11:29:00Z</cp:lastPrinted>
  <dcterms:created xsi:type="dcterms:W3CDTF">2021-04-08T13:37:00Z</dcterms:created>
  <dcterms:modified xsi:type="dcterms:W3CDTF">2021-04-09T08:42:00Z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MSIP_Label_fd1c0902-ed92-4fed-896d-2e7725de02d4_Enabled">
    <vt:lpwstr>true</vt:lpwstr>
  </property>
  <property fmtid="{D5CDD505-2E9C-101B-9397-08002B2CF9AE}" pid="11" name="MSIP_Label_fd1c0902-ed92-4fed-896d-2e7725de02d4_SetDate">
    <vt:lpwstr>2021-02-18T16:00:50Z</vt:lpwstr>
  </property>
  <property fmtid="{D5CDD505-2E9C-101B-9397-08002B2CF9AE}" pid="12" name="MSIP_Label_fd1c0902-ed92-4fed-896d-2e7725de02d4_Method">
    <vt:lpwstr>Standard</vt:lpwstr>
  </property>
  <property fmtid="{D5CDD505-2E9C-101B-9397-08002B2CF9AE}" pid="13" name="MSIP_Label_fd1c0902-ed92-4fed-896d-2e7725de02d4_Name">
    <vt:lpwstr>Anyone (not protected)</vt:lpwstr>
  </property>
  <property fmtid="{D5CDD505-2E9C-101B-9397-08002B2CF9AE}" pid="14" name="MSIP_Label_fd1c0902-ed92-4fed-896d-2e7725de02d4_SiteId">
    <vt:lpwstr>d6b0bbee-7cd9-4d60-bce6-4a67b543e2ae</vt:lpwstr>
  </property>
  <property fmtid="{D5CDD505-2E9C-101B-9397-08002B2CF9AE}" pid="15" name="MSIP_Label_fd1c0902-ed92-4fed-896d-2e7725de02d4_ActionId">
    <vt:lpwstr>f6ebd82d-908c-4e84-8c6f-75eeb0f0ba5e</vt:lpwstr>
  </property>
  <property fmtid="{D5CDD505-2E9C-101B-9397-08002B2CF9AE}" pid="16" name="MSIP_Label_fd1c0902-ed92-4fed-896d-2e7725de02d4_ContentBits">
    <vt:lpwstr>2</vt:lpwstr>
  </property>
</Properties>
</file>