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68A62" w14:textId="730ED820" w:rsidR="00095BBA" w:rsidRDefault="00095BBA" w:rsidP="008C0C40">
      <w:pPr>
        <w:pStyle w:val="HChG"/>
      </w:pPr>
    </w:p>
    <w:p w14:paraId="1B8642A2" w14:textId="08B6EFD6" w:rsidR="00CD6F60" w:rsidRDefault="00CD6F60" w:rsidP="00CD6F60"/>
    <w:p w14:paraId="6D1B93F2" w14:textId="77777777" w:rsidR="00CD6F60" w:rsidRPr="00CD6F60" w:rsidRDefault="00CD6F60" w:rsidP="00CD6F60"/>
    <w:p w14:paraId="4881D067" w14:textId="08324325" w:rsidR="008C0C40" w:rsidRPr="004F2EA2" w:rsidRDefault="008C0C40" w:rsidP="008C0C40">
      <w:pPr>
        <w:pStyle w:val="HChG"/>
        <w:rPr>
          <w:bCs/>
        </w:rPr>
      </w:pPr>
      <w:r>
        <w:tab/>
      </w:r>
      <w:r>
        <w:tab/>
      </w:r>
      <w:r>
        <w:rPr>
          <w:bCs/>
        </w:rPr>
        <w:t>Proposal for</w:t>
      </w:r>
      <w:r w:rsidRPr="00D73265">
        <w:rPr>
          <w:bCs/>
        </w:rPr>
        <w:t xml:space="preserve"> </w:t>
      </w:r>
      <w:r w:rsidR="00CC1D22">
        <w:rPr>
          <w:bCs/>
        </w:rPr>
        <w:t>the 0</w:t>
      </w:r>
      <w:r w:rsidR="00AA2E18">
        <w:rPr>
          <w:bCs/>
        </w:rPr>
        <w:t>2</w:t>
      </w:r>
      <w:r w:rsidR="00CC1D22">
        <w:rPr>
          <w:bCs/>
        </w:rPr>
        <w:t xml:space="preserve"> series of amendments</w:t>
      </w:r>
      <w:r>
        <w:rPr>
          <w:bCs/>
        </w:rPr>
        <w:t xml:space="preserve"> to Regulation No. 1</w:t>
      </w:r>
      <w:r w:rsidR="00AA2E18">
        <w:rPr>
          <w:bCs/>
        </w:rPr>
        <w:t>25</w:t>
      </w:r>
      <w:r>
        <w:rPr>
          <w:bCs/>
        </w:rPr>
        <w:t xml:space="preserve"> </w:t>
      </w:r>
    </w:p>
    <w:p w14:paraId="3724D8BC" w14:textId="27B93EFC" w:rsidR="008C0C40" w:rsidRDefault="008C0C40" w:rsidP="00AA2E18">
      <w:pPr>
        <w:pStyle w:val="H1G"/>
        <w:ind w:firstLine="0"/>
        <w:rPr>
          <w:bCs/>
          <w:lang w:val="en-US"/>
        </w:rPr>
      </w:pPr>
      <w:r>
        <w:t xml:space="preserve">Submitted by the expert from the Netherlands </w:t>
      </w:r>
      <w:r w:rsidR="00AA2E18">
        <w:br/>
        <w:t>on behalf of the Task Force on FVA</w:t>
      </w:r>
      <w:r w:rsidRPr="004F2EA2">
        <w:rPr>
          <w:bCs/>
          <w:lang w:val="en-US"/>
        </w:rPr>
        <w:footnoteReference w:customMarkFollows="1" w:id="2"/>
        <w:t>*</w:t>
      </w:r>
    </w:p>
    <w:p w14:paraId="08B21335" w14:textId="1B57315D" w:rsidR="0069264A" w:rsidRDefault="0069264A" w:rsidP="0069264A">
      <w:pPr>
        <w:rPr>
          <w:lang w:val="en-US"/>
        </w:rPr>
      </w:pPr>
    </w:p>
    <w:p w14:paraId="7B0D7833" w14:textId="4EC93E4D" w:rsidR="0069264A" w:rsidRDefault="0069264A" w:rsidP="0069264A">
      <w:pPr>
        <w:rPr>
          <w:lang w:val="en-US"/>
        </w:rPr>
      </w:pPr>
    </w:p>
    <w:p w14:paraId="196800E4" w14:textId="77777777" w:rsidR="0069264A" w:rsidRPr="0069264A" w:rsidRDefault="0069264A" w:rsidP="0069264A">
      <w:pPr>
        <w:rPr>
          <w:lang w:val="en-US"/>
        </w:rPr>
      </w:pPr>
    </w:p>
    <w:p w14:paraId="0A3D9926" w14:textId="77777777" w:rsidR="00AA2E18" w:rsidRDefault="00AA2E18" w:rsidP="00AA2E18">
      <w:pPr>
        <w:pStyle w:val="SingleTxtG"/>
        <w:ind w:firstLine="567"/>
        <w:rPr>
          <w:sz w:val="21"/>
          <w:szCs w:val="21"/>
        </w:rPr>
      </w:pPr>
      <w:r>
        <w:rPr>
          <w:szCs w:val="23"/>
        </w:rPr>
        <w:t xml:space="preserve">The text reproduced below was prepared by the GRSG Task Force on FVA to </w:t>
      </w:r>
      <w:r>
        <w:t xml:space="preserve">introduce provisions for Field of Vision Assistant (FVA). It is based on Working Document GRSG/2021/12. </w:t>
      </w:r>
      <w:r>
        <w:rPr>
          <w:szCs w:val="23"/>
        </w:rPr>
        <w:t xml:space="preserve">The modifications to the current text of the UN Regulation 125 are marked </w:t>
      </w:r>
      <w:r w:rsidRPr="00444332">
        <w:rPr>
          <w:b/>
          <w:szCs w:val="23"/>
        </w:rPr>
        <w:t>in bold</w:t>
      </w:r>
      <w:r>
        <w:rPr>
          <w:sz w:val="21"/>
          <w:szCs w:val="21"/>
        </w:rPr>
        <w:t xml:space="preserve"> and changes to the Working document GRSG/2021/12 are marked in </w:t>
      </w:r>
      <w:r w:rsidRPr="003D2512">
        <w:rPr>
          <w:color w:val="0070C0"/>
          <w:sz w:val="21"/>
          <w:szCs w:val="21"/>
        </w:rPr>
        <w:t>blue</w:t>
      </w:r>
    </w:p>
    <w:p w14:paraId="66F49E22" w14:textId="612A23AD" w:rsidR="00AA2E18" w:rsidRDefault="008C0C40" w:rsidP="00AA2E18">
      <w:pPr>
        <w:pStyle w:val="HChG"/>
        <w:ind w:firstLine="0"/>
      </w:pPr>
      <w:r>
        <w:br w:type="page"/>
      </w:r>
      <w:r w:rsidR="00AA2E18">
        <w:rPr>
          <w:lang w:val="en-US"/>
        </w:rPr>
        <w:lastRenderedPageBreak/>
        <w:t xml:space="preserve">02 series of amendments </w:t>
      </w:r>
      <w:r w:rsidR="00AA798F">
        <w:rPr>
          <w:lang w:val="en-US"/>
        </w:rPr>
        <w:t>to</w:t>
      </w:r>
      <w:r w:rsidR="00AA2E18">
        <w:rPr>
          <w:lang w:val="en-US"/>
        </w:rPr>
        <w:t xml:space="preserve"> UN Regulation No. 125</w:t>
      </w:r>
    </w:p>
    <w:p w14:paraId="51636933" w14:textId="77777777" w:rsidR="00AA2E18" w:rsidRPr="00EA229B" w:rsidRDefault="00AA2E18" w:rsidP="00AA2E18">
      <w:pPr>
        <w:pStyle w:val="HChG"/>
        <w:numPr>
          <w:ilvl w:val="0"/>
          <w:numId w:val="21"/>
        </w:numPr>
        <w:tabs>
          <w:tab w:val="clear" w:pos="851"/>
          <w:tab w:val="right" w:pos="1134"/>
        </w:tabs>
      </w:pPr>
      <w:r w:rsidRPr="00EA229B">
        <w:t>Proposal</w:t>
      </w:r>
    </w:p>
    <w:p w14:paraId="6DC7A41D" w14:textId="77777777" w:rsidR="00AA2E18" w:rsidRPr="005B45A4" w:rsidRDefault="00AA2E18" w:rsidP="00AA2E18">
      <w:pPr>
        <w:pStyle w:val="SingleTxtG"/>
        <w:ind w:left="1287" w:hanging="153"/>
        <w:rPr>
          <w:bCs/>
        </w:rPr>
      </w:pPr>
      <w:r>
        <w:rPr>
          <w:bCs/>
          <w:i/>
          <w:iCs/>
          <w:lang w:val="en-US"/>
        </w:rPr>
        <w:t>I</w:t>
      </w:r>
      <w:proofErr w:type="spellStart"/>
      <w:r>
        <w:rPr>
          <w:bCs/>
          <w:iCs/>
        </w:rPr>
        <w:t>nsert</w:t>
      </w:r>
      <w:proofErr w:type="spellEnd"/>
      <w:r>
        <w:rPr>
          <w:bCs/>
          <w:iCs/>
        </w:rPr>
        <w:t xml:space="preserve"> new paragraphs 2.19. and 2.20.</w:t>
      </w:r>
      <w:r w:rsidRPr="005B45A4">
        <w:rPr>
          <w:bCs/>
        </w:rPr>
        <w:t>:</w:t>
      </w:r>
    </w:p>
    <w:p w14:paraId="1EEFDD88" w14:textId="77777777" w:rsidR="00AA2E18" w:rsidRDefault="00AA2E18" w:rsidP="00AA2E18">
      <w:pPr>
        <w:pStyle w:val="Para0"/>
      </w:pPr>
      <w:r w:rsidRPr="005B45A4">
        <w:rPr>
          <w:b/>
          <w:bCs/>
        </w:rPr>
        <w:t>"2.19</w:t>
      </w:r>
      <w:r>
        <w:rPr>
          <w:b/>
          <w:bCs/>
        </w:rPr>
        <w:t>.</w:t>
      </w:r>
      <w:r w:rsidRPr="005B45A4">
        <w:rPr>
          <w:b/>
          <w:bCs/>
        </w:rPr>
        <w:tab/>
      </w:r>
      <w:r w:rsidRPr="00A078FF">
        <w:rPr>
          <w:b/>
          <w:bCs/>
        </w:rPr>
        <w:t xml:space="preserve">Obstruction: </w:t>
      </w:r>
      <w:r>
        <w:rPr>
          <w:b/>
          <w:bCs/>
          <w:lang w:val="en-US"/>
        </w:rPr>
        <w:t>mean</w:t>
      </w:r>
      <w:r w:rsidRPr="00112191">
        <w:rPr>
          <w:b/>
          <w:bCs/>
          <w:lang w:val="en-US"/>
        </w:rPr>
        <w:t xml:space="preserve">s </w:t>
      </w:r>
      <w:r w:rsidRPr="00526925">
        <w:rPr>
          <w:b/>
          <w:bCs/>
          <w:lang w:val="en-US"/>
        </w:rPr>
        <w:t>physical parts or interference in the field of vision reducing perception of light transmittance</w:t>
      </w:r>
      <w:r w:rsidRPr="00526925">
        <w:rPr>
          <w:b/>
          <w:bCs/>
        </w:rPr>
        <w:t xml:space="preserve"> </w:t>
      </w:r>
      <w:proofErr w:type="gramStart"/>
      <w:r w:rsidRPr="00526925">
        <w:rPr>
          <w:b/>
          <w:bCs/>
        </w:rPr>
        <w:t>with the exception of</w:t>
      </w:r>
      <w:proofErr w:type="gramEnd"/>
      <w:r w:rsidRPr="00526925">
        <w:rPr>
          <w:b/>
          <w:bCs/>
        </w:rPr>
        <w:t xml:space="preserve"> </w:t>
      </w:r>
      <w:r w:rsidRPr="00526925">
        <w:rPr>
          <w:b/>
          <w:lang w:val="en-US"/>
        </w:rPr>
        <w:t>stray light, e.g. reflection from vehicle interior, sunlight glare.</w:t>
      </w:r>
    </w:p>
    <w:p w14:paraId="73125A95" w14:textId="77777777" w:rsidR="00AA2E18" w:rsidRPr="00B26F17" w:rsidRDefault="00AA2E18" w:rsidP="00AA2E18">
      <w:pPr>
        <w:pStyle w:val="Para0"/>
        <w:rPr>
          <w:b/>
          <w:bCs/>
        </w:rPr>
      </w:pPr>
      <w:r w:rsidRPr="00A078FF">
        <w:rPr>
          <w:b/>
          <w:bCs/>
        </w:rPr>
        <w:t>2.2</w:t>
      </w:r>
      <w:r>
        <w:rPr>
          <w:b/>
          <w:bCs/>
        </w:rPr>
        <w:t>0</w:t>
      </w:r>
      <w:r w:rsidRPr="00A078FF">
        <w:rPr>
          <w:b/>
          <w:bCs/>
        </w:rPr>
        <w:t>.</w:t>
      </w:r>
      <w:r w:rsidRPr="00A078FF">
        <w:rPr>
          <w:b/>
          <w:bCs/>
        </w:rPr>
        <w:tab/>
      </w:r>
      <w:r w:rsidRPr="005B45A4">
        <w:rPr>
          <w:b/>
          <w:bCs/>
        </w:rPr>
        <w:t xml:space="preserve">Field of Vision Assistant (FVA): </w:t>
      </w:r>
      <w:r>
        <w:rPr>
          <w:b/>
          <w:bCs/>
          <w:lang w:val="en-US"/>
        </w:rPr>
        <w:t>means</w:t>
      </w:r>
      <w:r>
        <w:rPr>
          <w:rFonts w:ascii="Arial" w:hAnsi="Arial" w:cs="Arial"/>
          <w:color w:val="1B365E"/>
          <w:lang w:val="en-US"/>
        </w:rPr>
        <w:t xml:space="preserve"> </w:t>
      </w:r>
      <w:r>
        <w:rPr>
          <w:b/>
          <w:bCs/>
          <w:lang w:val="en-US"/>
        </w:rPr>
        <w:t xml:space="preserve">visual information displayed on the </w:t>
      </w:r>
      <w:r w:rsidRPr="00B9062A">
        <w:rPr>
          <w:b/>
          <w:bCs/>
          <w:lang w:val="en-US"/>
        </w:rPr>
        <w:t>vehicle windscreen or other glazed surface to support the awareness of the driver</w:t>
      </w:r>
      <w:r w:rsidRPr="00B9062A">
        <w:t>.”</w:t>
      </w:r>
    </w:p>
    <w:p w14:paraId="2229FE77" w14:textId="77777777" w:rsidR="00AA2E18" w:rsidRPr="000E3B84" w:rsidRDefault="00AA2E18" w:rsidP="00AA2E18">
      <w:pPr>
        <w:pStyle w:val="Para0"/>
      </w:pPr>
      <w:r w:rsidRPr="000E3B84">
        <w:rPr>
          <w:i/>
        </w:rPr>
        <w:t>Paragraph 5.1.3.,</w:t>
      </w:r>
      <w:r w:rsidRPr="000E3B84">
        <w:t xml:space="preserve"> amend to read:</w:t>
      </w:r>
    </w:p>
    <w:p w14:paraId="4013EA48" w14:textId="77777777" w:rsidR="00AA2E18" w:rsidRPr="000E3B84" w:rsidRDefault="00AA2E18" w:rsidP="00AA2E18">
      <w:pPr>
        <w:pStyle w:val="Para0"/>
        <w:rPr>
          <w:lang w:val="en-US"/>
        </w:rPr>
      </w:pPr>
      <w:r>
        <w:rPr>
          <w:lang w:val="en-US"/>
        </w:rPr>
        <w:t>“</w:t>
      </w:r>
      <w:r w:rsidRPr="000E3B84">
        <w:rPr>
          <w:lang w:val="en-US"/>
        </w:rPr>
        <w:t>5.1.3</w:t>
      </w:r>
      <w:r w:rsidRPr="000E3B84">
        <w:rPr>
          <w:lang w:val="en-US"/>
        </w:rPr>
        <w:tab/>
        <w:t xml:space="preserve">Except as provided in paragraph 5.1.3.3., 5.1.3.4. </w:t>
      </w:r>
      <w:r w:rsidRPr="000E3B84">
        <w:rPr>
          <w:b/>
          <w:lang w:val="en-US"/>
        </w:rPr>
        <w:t>or 5.1.3.5</w:t>
      </w:r>
      <w:r w:rsidRPr="000E3B84">
        <w:rPr>
          <w:lang w:val="en-US"/>
        </w:rPr>
        <w:t xml:space="preserve"> below, other than the obstructions created by the "A" pillars, the fixed or movable vent or side window division bars, outside radio aerials, devices for indirect vision, covering the mandatory field of indirect vision, and windscreen wipers, there shall be. no obstruction in the driver’s 180° forward direct field of vision below a horizontal plane passing through V1, and above three planes through V2, one being perpendicular to the plane X-Z and declining forward 4° below the horizontal, and the other two being perpendicular to the plane Y-Z and declining 4° below the horizontal (see Annex 4, Appendix, Figure 4).       </w:t>
      </w:r>
    </w:p>
    <w:p w14:paraId="570F97D5" w14:textId="77777777" w:rsidR="00AA2E18" w:rsidRPr="000E3B84" w:rsidRDefault="00AA2E18" w:rsidP="00AA2E18">
      <w:pPr>
        <w:pStyle w:val="Para0"/>
        <w:ind w:left="3402"/>
        <w:rPr>
          <w:lang w:val="en-US"/>
        </w:rPr>
      </w:pPr>
      <w:r w:rsidRPr="000E3B84">
        <w:rPr>
          <w:lang w:val="en-US"/>
        </w:rPr>
        <w:t xml:space="preserve">The following are not considered to be obstructions to the field of vision: </w:t>
      </w:r>
    </w:p>
    <w:p w14:paraId="0C40B1C1" w14:textId="77777777" w:rsidR="00AA2E18" w:rsidRPr="000E3B84" w:rsidRDefault="00AA2E18" w:rsidP="00AA2E18">
      <w:pPr>
        <w:pStyle w:val="Para0"/>
        <w:ind w:left="3402"/>
        <w:rPr>
          <w:lang w:val="en-US"/>
        </w:rPr>
      </w:pPr>
      <w:r w:rsidRPr="000E3B84">
        <w:rPr>
          <w:lang w:val="en-US"/>
        </w:rPr>
        <w:t>(a)</w:t>
      </w:r>
      <w:r w:rsidRPr="000E3B84">
        <w:rPr>
          <w:lang w:val="en-US"/>
        </w:rPr>
        <w:tab/>
        <w:t xml:space="preserve">Embedded or printed "radio aerial" conductors, no wider than the following: </w:t>
      </w:r>
    </w:p>
    <w:p w14:paraId="28EFF7C1" w14:textId="77777777" w:rsidR="00AA2E18" w:rsidRPr="000E3B84" w:rsidRDefault="00AA2E18" w:rsidP="00AA2E18">
      <w:pPr>
        <w:pStyle w:val="Para0"/>
        <w:ind w:left="3402" w:hanging="567"/>
        <w:rPr>
          <w:lang w:val="en-US"/>
        </w:rPr>
      </w:pPr>
      <w:r w:rsidRPr="000E3B84">
        <w:rPr>
          <w:lang w:val="en-US"/>
        </w:rPr>
        <w:t>(</w:t>
      </w:r>
      <w:proofErr w:type="spellStart"/>
      <w:r w:rsidRPr="000E3B84">
        <w:rPr>
          <w:lang w:val="en-US"/>
        </w:rPr>
        <w:t>i</w:t>
      </w:r>
      <w:proofErr w:type="spellEnd"/>
      <w:r w:rsidRPr="000E3B84">
        <w:rPr>
          <w:lang w:val="en-US"/>
        </w:rPr>
        <w:t>)</w:t>
      </w:r>
      <w:r w:rsidRPr="000E3B84">
        <w:rPr>
          <w:lang w:val="en-US"/>
        </w:rPr>
        <w:tab/>
        <w:t xml:space="preserve">Embedded conductors: 0.5 mm, </w:t>
      </w:r>
    </w:p>
    <w:p w14:paraId="19007B43" w14:textId="77777777" w:rsidR="00AA2E18" w:rsidRPr="000E3B84" w:rsidRDefault="00AA2E18" w:rsidP="00AA2E18">
      <w:pPr>
        <w:pStyle w:val="Para0"/>
        <w:ind w:left="3402" w:hanging="567"/>
        <w:rPr>
          <w:lang w:val="en-US"/>
        </w:rPr>
      </w:pPr>
      <w:r w:rsidRPr="000E3B84">
        <w:rPr>
          <w:lang w:val="en-US"/>
        </w:rPr>
        <w:t>(ii)</w:t>
      </w:r>
      <w:r w:rsidRPr="000E3B84">
        <w:rPr>
          <w:lang w:val="en-US"/>
        </w:rPr>
        <w:tab/>
        <w:t xml:space="preserve">Printed conductors: 1.0 mm. These "radio aerial" conductors shall not cross zone A5 However, three "radio aerial" conductors may cross zone A if their width does not exceed 0.5 mm. </w:t>
      </w:r>
    </w:p>
    <w:p w14:paraId="42856C24" w14:textId="77777777" w:rsidR="00AA2E18" w:rsidRPr="000E3B84" w:rsidRDefault="00AA2E18" w:rsidP="00AA2E18">
      <w:pPr>
        <w:pStyle w:val="Para0"/>
        <w:ind w:left="3402"/>
        <w:rPr>
          <w:lang w:val="en-US"/>
        </w:rPr>
      </w:pPr>
      <w:r w:rsidRPr="000E3B84">
        <w:rPr>
          <w:lang w:val="en-US"/>
        </w:rPr>
        <w:t>(b)</w:t>
      </w:r>
      <w:r w:rsidRPr="000E3B84">
        <w:rPr>
          <w:lang w:val="en-US"/>
        </w:rPr>
        <w:tab/>
        <w:t xml:space="preserve">Within zone A located "defrosting/demisting" normally in "zigzag" or sinusoidal form having the following dimensions: </w:t>
      </w:r>
    </w:p>
    <w:p w14:paraId="139280C4" w14:textId="77777777" w:rsidR="00AA2E18" w:rsidRPr="000E3B84" w:rsidRDefault="00AA2E18" w:rsidP="00AA2E18">
      <w:pPr>
        <w:pStyle w:val="Para0"/>
        <w:ind w:left="2977" w:hanging="142"/>
        <w:rPr>
          <w:lang w:val="en-US"/>
        </w:rPr>
      </w:pPr>
      <w:r w:rsidRPr="000E3B84">
        <w:rPr>
          <w:lang w:val="en-US"/>
        </w:rPr>
        <w:t>(</w:t>
      </w:r>
      <w:proofErr w:type="spellStart"/>
      <w:r w:rsidRPr="000E3B84">
        <w:rPr>
          <w:lang w:val="en-US"/>
        </w:rPr>
        <w:t>i</w:t>
      </w:r>
      <w:proofErr w:type="spellEnd"/>
      <w:r w:rsidRPr="000E3B84">
        <w:rPr>
          <w:lang w:val="en-US"/>
        </w:rPr>
        <w:t>)</w:t>
      </w:r>
      <w:r w:rsidRPr="000E3B84">
        <w:rPr>
          <w:lang w:val="en-US"/>
        </w:rPr>
        <w:tab/>
        <w:t xml:space="preserve">Maximum visible width: 0.030 mm, </w:t>
      </w:r>
    </w:p>
    <w:p w14:paraId="766290F4" w14:textId="77777777" w:rsidR="00AA2E18" w:rsidRPr="000E3B84" w:rsidRDefault="00AA2E18" w:rsidP="00AA2E18">
      <w:pPr>
        <w:pStyle w:val="Para0"/>
        <w:ind w:left="2977" w:hanging="142"/>
        <w:rPr>
          <w:lang w:val="en-US"/>
        </w:rPr>
      </w:pPr>
      <w:r w:rsidRPr="000E3B84">
        <w:rPr>
          <w:lang w:val="en-US"/>
        </w:rPr>
        <w:t>(ii)</w:t>
      </w:r>
      <w:r w:rsidRPr="000E3B84">
        <w:rPr>
          <w:lang w:val="en-US"/>
        </w:rPr>
        <w:tab/>
        <w:t xml:space="preserve">Maximum conductor density: </w:t>
      </w:r>
    </w:p>
    <w:p w14:paraId="3E5FD1DC" w14:textId="77777777" w:rsidR="00AA2E18" w:rsidRPr="000E3B84" w:rsidRDefault="00AA2E18" w:rsidP="00AA2E18">
      <w:pPr>
        <w:pStyle w:val="Para0"/>
        <w:ind w:left="3686" w:hanging="284"/>
        <w:rPr>
          <w:lang w:val="en-US"/>
        </w:rPr>
      </w:pPr>
      <w:r w:rsidRPr="000E3B84">
        <w:rPr>
          <w:lang w:val="en-US"/>
        </w:rPr>
        <w:t>a.</w:t>
      </w:r>
      <w:r w:rsidRPr="000E3B84">
        <w:rPr>
          <w:lang w:val="en-US"/>
        </w:rPr>
        <w:tab/>
        <w:t xml:space="preserve">If the conductors are vertical: 8/cm, </w:t>
      </w:r>
    </w:p>
    <w:p w14:paraId="7D02AA14" w14:textId="77777777" w:rsidR="00AA2E18" w:rsidRDefault="00AA2E18" w:rsidP="00AA2E18">
      <w:pPr>
        <w:pStyle w:val="Para0"/>
        <w:ind w:left="3686" w:hanging="284"/>
        <w:rPr>
          <w:lang w:val="en-US"/>
        </w:rPr>
      </w:pPr>
      <w:r w:rsidRPr="000E3B84">
        <w:rPr>
          <w:lang w:val="en-US"/>
        </w:rPr>
        <w:t>b.</w:t>
      </w:r>
      <w:r w:rsidRPr="000E3B84">
        <w:rPr>
          <w:lang w:val="en-US"/>
        </w:rPr>
        <w:tab/>
        <w:t>If the conductors are horizontal: 5/cm.</w:t>
      </w:r>
      <w:r>
        <w:rPr>
          <w:lang w:val="en-US"/>
        </w:rPr>
        <w:t>”</w:t>
      </w:r>
    </w:p>
    <w:p w14:paraId="6A43B434" w14:textId="77777777" w:rsidR="00AA2E18" w:rsidRPr="003D2512" w:rsidRDefault="00AA2E18" w:rsidP="00AA2E18">
      <w:pPr>
        <w:pStyle w:val="Para0"/>
        <w:rPr>
          <w:color w:val="0070C0"/>
        </w:rPr>
      </w:pPr>
      <w:r w:rsidRPr="003D2512">
        <w:rPr>
          <w:i/>
          <w:color w:val="0070C0"/>
        </w:rPr>
        <w:t>Paragraph 5.1.3.4.,</w:t>
      </w:r>
      <w:r w:rsidRPr="003D2512">
        <w:rPr>
          <w:color w:val="0070C0"/>
        </w:rPr>
        <w:t xml:space="preserve"> amend to read:</w:t>
      </w:r>
    </w:p>
    <w:p w14:paraId="4265214E" w14:textId="77777777" w:rsidR="00AA2E18" w:rsidRPr="003D2512" w:rsidRDefault="00AA2E18" w:rsidP="00AA2E18">
      <w:pPr>
        <w:pStyle w:val="SingleTxtG"/>
        <w:ind w:left="2268" w:hanging="1134"/>
        <w:rPr>
          <w:bCs/>
          <w:iCs/>
          <w:strike/>
          <w:color w:val="0070C0"/>
          <w:lang w:val="en-US"/>
        </w:rPr>
      </w:pPr>
      <w:r w:rsidRPr="003D2512">
        <w:rPr>
          <w:color w:val="0070C0"/>
          <w:lang w:val="en-US"/>
        </w:rPr>
        <w:t>“5.1.3.4.</w:t>
      </w:r>
      <w:r w:rsidRPr="003D2512">
        <w:rPr>
          <w:color w:val="0070C0"/>
          <w:lang w:val="en-US"/>
        </w:rPr>
        <w:tab/>
        <w:t xml:space="preserve">An obstruction between a plane through V2, and declined at least 1° below the horizontal and a plane through V2 and declined 4° below the horizontal will be tolerated if the conical projection of this obstruction, starting from V2, on an area "S" as defined in paragraph 5.1.3.2.1. below does not exceed 20 per cent of this area. </w:t>
      </w:r>
      <w:r w:rsidRPr="003D2512">
        <w:rPr>
          <w:b/>
          <w:strike/>
          <w:color w:val="0070C0"/>
          <w:lang w:val="en-US"/>
        </w:rPr>
        <w:t>The steering wheel, if adjustable, shall be placed in the normal position indicated by the manufacturer or, failing that, midway between the limits of its range(s) of adjustment.</w:t>
      </w:r>
      <w:r w:rsidRPr="003D2512">
        <w:rPr>
          <w:b/>
          <w:color w:val="0070C0"/>
          <w:lang w:val="en-US"/>
        </w:rPr>
        <w:t>”</w:t>
      </w:r>
    </w:p>
    <w:p w14:paraId="3CBB9530" w14:textId="77777777" w:rsidR="00AA2E18" w:rsidRPr="00956F6A" w:rsidRDefault="00AA2E18" w:rsidP="00AA2E18">
      <w:pPr>
        <w:pStyle w:val="Para0"/>
        <w:ind w:left="0" w:firstLine="0"/>
        <w:rPr>
          <w:lang w:val="en-US"/>
        </w:rPr>
      </w:pPr>
    </w:p>
    <w:p w14:paraId="035722D7" w14:textId="77777777" w:rsidR="00AA2E18" w:rsidRPr="005B45A4" w:rsidRDefault="00AA2E18" w:rsidP="00AA2E18">
      <w:pPr>
        <w:pStyle w:val="SingleTxtG"/>
        <w:ind w:left="1287" w:hanging="153"/>
        <w:rPr>
          <w:bCs/>
        </w:rPr>
      </w:pPr>
      <w:r w:rsidRPr="00215B45">
        <w:rPr>
          <w:bCs/>
          <w:i/>
          <w:iCs/>
          <w:lang w:val="en-US"/>
        </w:rPr>
        <w:t>I</w:t>
      </w:r>
      <w:proofErr w:type="spellStart"/>
      <w:r>
        <w:rPr>
          <w:bCs/>
          <w:iCs/>
        </w:rPr>
        <w:t>nsert</w:t>
      </w:r>
      <w:proofErr w:type="spellEnd"/>
      <w:r>
        <w:rPr>
          <w:bCs/>
          <w:iCs/>
        </w:rPr>
        <w:t xml:space="preserve"> new paragraph 5.1.3.5.</w:t>
      </w:r>
      <w:r w:rsidRPr="005B45A4">
        <w:rPr>
          <w:bCs/>
        </w:rPr>
        <w:t>:</w:t>
      </w:r>
    </w:p>
    <w:p w14:paraId="40E041C3" w14:textId="77777777" w:rsidR="00AA2E18" w:rsidRPr="003D2512" w:rsidRDefault="00AA2E18" w:rsidP="00AA2E18">
      <w:pPr>
        <w:pStyle w:val="Para0"/>
        <w:spacing w:after="0"/>
        <w:rPr>
          <w:b/>
          <w:color w:val="0070C0"/>
        </w:rPr>
      </w:pPr>
      <w:r w:rsidRPr="00E877E8">
        <w:t>"</w:t>
      </w:r>
      <w:r w:rsidRPr="00E877E8">
        <w:rPr>
          <w:b/>
        </w:rPr>
        <w:t>5.1.3.5.</w:t>
      </w:r>
      <w:r w:rsidRPr="00E877E8">
        <w:rPr>
          <w:b/>
        </w:rPr>
        <w:tab/>
        <w:t xml:space="preserve">The transparent field of vision as defined in paragraph 5.1.1. may be overlaid by information of a Field of Vision Assistant. </w:t>
      </w:r>
      <w:r w:rsidRPr="003D2512">
        <w:rPr>
          <w:b/>
          <w:color w:val="0070C0"/>
        </w:rPr>
        <w:t>The provisions of paragraph 5.1.3.5.1 to 5.1.3.5.5 and of paragraph 5.1.3.6 are applying to information from an FVA if overlaid in the transparent field of vision and outside of area S.</w:t>
      </w:r>
    </w:p>
    <w:p w14:paraId="76479D65" w14:textId="77777777" w:rsidR="00AA2E18" w:rsidRPr="003D2512" w:rsidRDefault="00AA2E18" w:rsidP="00AA2E18">
      <w:pPr>
        <w:pStyle w:val="Para0"/>
        <w:spacing w:after="0"/>
        <w:ind w:left="0" w:firstLine="0"/>
        <w:rPr>
          <w:b/>
          <w:color w:val="0070C0"/>
        </w:rPr>
      </w:pPr>
    </w:p>
    <w:p w14:paraId="346E1770" w14:textId="77777777" w:rsidR="00AA2E18" w:rsidRPr="003D2512" w:rsidRDefault="00AA2E18" w:rsidP="00AA2E18">
      <w:pPr>
        <w:pStyle w:val="Para0"/>
        <w:spacing w:after="0"/>
        <w:ind w:firstLine="0"/>
        <w:rPr>
          <w:b/>
          <w:bCs/>
          <w:color w:val="0070C0"/>
        </w:rPr>
      </w:pPr>
      <w:r w:rsidRPr="003D2512">
        <w:rPr>
          <w:b/>
          <w:bCs/>
          <w:color w:val="0070C0"/>
        </w:rPr>
        <w:t xml:space="preserve">The information displayed by the FVA may be non-driving related, hence different to that listed in paragraph 5.1.3.5.1 and not submitted to the provisions of paragraph 5.1.3.5.1 to 5.1.3.5.5, as long as the parking gear/brake has not been released for the first time after the activation of the vehicle master control switch. </w:t>
      </w:r>
    </w:p>
    <w:p w14:paraId="7E860551" w14:textId="77777777" w:rsidR="00AA2E18" w:rsidRPr="003C1FA9" w:rsidRDefault="00AA2E18" w:rsidP="00AA2E18">
      <w:pPr>
        <w:pStyle w:val="Para0"/>
        <w:ind w:firstLine="0"/>
        <w:rPr>
          <w:b/>
          <w:color w:val="FF0000"/>
        </w:rPr>
      </w:pPr>
    </w:p>
    <w:p w14:paraId="7686E843" w14:textId="77777777" w:rsidR="00AA2E18" w:rsidRPr="00B418DE" w:rsidRDefault="00AA2E18" w:rsidP="00AA2E18">
      <w:pPr>
        <w:pStyle w:val="Para0"/>
        <w:rPr>
          <w:b/>
        </w:rPr>
      </w:pPr>
      <w:r w:rsidRPr="00ED4F9E">
        <w:rPr>
          <w:b/>
        </w:rPr>
        <w:t>5.1.3.5.1.</w:t>
      </w:r>
      <w:r w:rsidRPr="00ED4F9E">
        <w:rPr>
          <w:b/>
        </w:rPr>
        <w:tab/>
      </w:r>
      <w:r>
        <w:rPr>
          <w:b/>
        </w:rPr>
        <w:t>W</w:t>
      </w:r>
      <w:r w:rsidRPr="00B144FE">
        <w:rPr>
          <w:b/>
        </w:rPr>
        <w:t xml:space="preserve">hen the ignition is on or the vehicle master control switch is activated (whichever is applicable) </w:t>
      </w:r>
      <w:r w:rsidRPr="00B418DE">
        <w:rPr>
          <w:b/>
        </w:rPr>
        <w:t xml:space="preserve">the FVA information shall be driving related only and limited to: </w:t>
      </w:r>
    </w:p>
    <w:p w14:paraId="30894BA6" w14:textId="77777777" w:rsidR="00AA2E18" w:rsidRPr="00B418DE" w:rsidRDefault="00AA2E18" w:rsidP="00AA2E18">
      <w:pPr>
        <w:pStyle w:val="Para0"/>
        <w:ind w:left="2790" w:hanging="540"/>
        <w:rPr>
          <w:b/>
        </w:rPr>
      </w:pPr>
      <w:r w:rsidRPr="00B418DE">
        <w:rPr>
          <w:b/>
        </w:rPr>
        <w:t>(a)</w:t>
      </w:r>
      <w:r w:rsidRPr="00B418DE">
        <w:rPr>
          <w:b/>
        </w:rPr>
        <w:tab/>
        <w:t>Warning/Highlight hazardous traffic situation</w:t>
      </w:r>
    </w:p>
    <w:p w14:paraId="1E27FC25" w14:textId="77777777" w:rsidR="00AA2E18" w:rsidRPr="00B418DE" w:rsidRDefault="00AA2E18" w:rsidP="00AA2E18">
      <w:pPr>
        <w:pStyle w:val="Para0"/>
        <w:ind w:left="2790" w:hanging="540"/>
        <w:rPr>
          <w:b/>
        </w:rPr>
      </w:pPr>
      <w:r w:rsidRPr="00B418DE">
        <w:rPr>
          <w:b/>
        </w:rPr>
        <w:t>(b)</w:t>
      </w:r>
      <w:r w:rsidRPr="00B418DE">
        <w:rPr>
          <w:b/>
        </w:rPr>
        <w:tab/>
        <w:t>Warning/Highlight vulnerable road users or other road users which may be overseen</w:t>
      </w:r>
    </w:p>
    <w:p w14:paraId="7F00CCF0" w14:textId="77777777" w:rsidR="00AA2E18" w:rsidRPr="00B418DE" w:rsidRDefault="00AA2E18" w:rsidP="00AA2E18">
      <w:pPr>
        <w:pStyle w:val="Para0"/>
        <w:ind w:left="2790" w:hanging="540"/>
        <w:rPr>
          <w:b/>
        </w:rPr>
      </w:pPr>
      <w:r w:rsidRPr="00B418DE">
        <w:rPr>
          <w:b/>
        </w:rPr>
        <w:t>(c)</w:t>
      </w:r>
      <w:r w:rsidRPr="00B418DE">
        <w:rPr>
          <w:b/>
        </w:rPr>
        <w:tab/>
        <w:t xml:space="preserve">Information to maintain the distances to surrounding road users </w:t>
      </w:r>
    </w:p>
    <w:p w14:paraId="5CC3078D" w14:textId="77777777" w:rsidR="00AA2E18" w:rsidRDefault="00AA2E18" w:rsidP="00AA2E18">
      <w:pPr>
        <w:pStyle w:val="Para0"/>
        <w:ind w:left="2790" w:hanging="540"/>
        <w:rPr>
          <w:b/>
        </w:rPr>
      </w:pPr>
      <w:r w:rsidRPr="00B418DE">
        <w:rPr>
          <w:b/>
        </w:rPr>
        <w:t>(d)</w:t>
      </w:r>
      <w:r w:rsidRPr="00B418DE">
        <w:rPr>
          <w:b/>
        </w:rPr>
        <w:tab/>
        <w:t>Information to find and maintain the correct driveway</w:t>
      </w:r>
    </w:p>
    <w:p w14:paraId="41058982" w14:textId="77777777" w:rsidR="00AA2E18" w:rsidRPr="00ED4F9E" w:rsidRDefault="00AA2E18" w:rsidP="00AA2E18">
      <w:pPr>
        <w:pStyle w:val="Para0"/>
        <w:ind w:left="2250" w:firstLine="0"/>
        <w:rPr>
          <w:b/>
        </w:rPr>
      </w:pPr>
      <w:r w:rsidRPr="00E229AE">
        <w:rPr>
          <w:b/>
        </w:rPr>
        <w:t>Examples of the above</w:t>
      </w:r>
      <w:r>
        <w:rPr>
          <w:b/>
        </w:rPr>
        <w:t xml:space="preserve"> Warning/Highlights/Information</w:t>
      </w:r>
      <w:r w:rsidRPr="00E229AE">
        <w:rPr>
          <w:b/>
        </w:rPr>
        <w:t xml:space="preserve"> are given in </w:t>
      </w:r>
      <w:r w:rsidRPr="00ED4F9E">
        <w:rPr>
          <w:b/>
        </w:rPr>
        <w:t>Annex 5.</w:t>
      </w:r>
    </w:p>
    <w:p w14:paraId="0C791F8A" w14:textId="77777777" w:rsidR="00AA2E18" w:rsidRPr="00ED4F9E" w:rsidRDefault="00AA2E18" w:rsidP="00AA2E18">
      <w:pPr>
        <w:pStyle w:val="Para0"/>
        <w:ind w:firstLine="0"/>
        <w:rPr>
          <w:b/>
        </w:rPr>
      </w:pPr>
      <w:r w:rsidRPr="00ED4F9E">
        <w:rPr>
          <w:b/>
        </w:rPr>
        <w:t>In the case the FVA displays information sourced external to the FVA subject to approval (e.g. external GNSS handheld device), this display shall respect the intended content (e.g. type, time, appearance, size, and colour) as described by the manufacturer in the Type Approval documentation. The fulfilment of the provisions of this paragraph shall be demonstrated by the manufacturer to the technical service during the inspection of the safety approach.</w:t>
      </w:r>
    </w:p>
    <w:p w14:paraId="1DBBA669" w14:textId="77777777" w:rsidR="00AA2E18" w:rsidRPr="007D6879" w:rsidRDefault="00AA2E18" w:rsidP="00AA2E18">
      <w:pPr>
        <w:pStyle w:val="Para0"/>
        <w:rPr>
          <w:b/>
          <w:lang w:val="en-US"/>
        </w:rPr>
      </w:pPr>
      <w:r w:rsidRPr="007E2673">
        <w:rPr>
          <w:b/>
          <w:bCs/>
        </w:rPr>
        <w:t>5.1.3.5.</w:t>
      </w:r>
      <w:r>
        <w:rPr>
          <w:b/>
          <w:bCs/>
        </w:rPr>
        <w:t>2</w:t>
      </w:r>
      <w:r w:rsidRPr="007E2673">
        <w:rPr>
          <w:b/>
          <w:bCs/>
        </w:rPr>
        <w:t xml:space="preserve">. </w:t>
      </w:r>
      <w:r w:rsidRPr="007E2673">
        <w:rPr>
          <w:b/>
          <w:bCs/>
        </w:rPr>
        <w:tab/>
      </w:r>
      <w:r w:rsidRPr="007D6879">
        <w:rPr>
          <w:b/>
          <w:lang w:val="en-US"/>
        </w:rPr>
        <w:t xml:space="preserve">The symbols and graphics shown by the FVA shall disappear when the </w:t>
      </w:r>
      <w:r w:rsidRPr="00B418DE">
        <w:rPr>
          <w:b/>
          <w:lang w:val="en-US"/>
        </w:rPr>
        <w:t xml:space="preserve">underlying condition for their display </w:t>
      </w:r>
      <w:r w:rsidRPr="007D6879">
        <w:rPr>
          <w:b/>
          <w:lang w:val="en-US"/>
        </w:rPr>
        <w:t>does not exist anymore.</w:t>
      </w:r>
    </w:p>
    <w:p w14:paraId="42EBC33D" w14:textId="77777777" w:rsidR="00AA2E18" w:rsidRPr="007D6879" w:rsidRDefault="00AA2E18" w:rsidP="00AA2E18">
      <w:pPr>
        <w:pStyle w:val="Para0"/>
        <w:rPr>
          <w:b/>
          <w:lang w:val="en-US"/>
        </w:rPr>
      </w:pPr>
      <w:r w:rsidRPr="007D6879">
        <w:rPr>
          <w:b/>
          <w:lang w:val="en-US"/>
        </w:rPr>
        <w:t>5.1.3.5.</w:t>
      </w:r>
      <w:r>
        <w:rPr>
          <w:b/>
          <w:lang w:val="en-US"/>
        </w:rPr>
        <w:t>3.</w:t>
      </w:r>
      <w:r w:rsidRPr="007D6879">
        <w:rPr>
          <w:b/>
          <w:lang w:val="en-US"/>
        </w:rPr>
        <w:tab/>
        <w:t>The FVA shall</w:t>
      </w:r>
      <w:r>
        <w:rPr>
          <w:b/>
          <w:lang w:val="en-US"/>
        </w:rPr>
        <w:t xml:space="preserve"> aim to minimize the </w:t>
      </w:r>
      <w:r w:rsidRPr="007D6879">
        <w:rPr>
          <w:b/>
          <w:lang w:val="en-US"/>
        </w:rPr>
        <w:t>mask</w:t>
      </w:r>
      <w:r>
        <w:rPr>
          <w:b/>
          <w:lang w:val="en-US"/>
        </w:rPr>
        <w:t>ing of</w:t>
      </w:r>
      <w:r w:rsidRPr="007D6879">
        <w:rPr>
          <w:b/>
          <w:lang w:val="en-US"/>
        </w:rPr>
        <w:t xml:space="preserve"> objects.</w:t>
      </w:r>
    </w:p>
    <w:p w14:paraId="69ADE4BB" w14:textId="77777777" w:rsidR="00AA2E18" w:rsidRDefault="00AA2E18" w:rsidP="00AA2E18">
      <w:pPr>
        <w:pStyle w:val="Para0"/>
        <w:rPr>
          <w:b/>
          <w:lang w:val="en-US"/>
        </w:rPr>
      </w:pPr>
      <w:r w:rsidRPr="007D6879">
        <w:rPr>
          <w:b/>
          <w:lang w:val="en-US"/>
        </w:rPr>
        <w:t>5.1.3.5.</w:t>
      </w:r>
      <w:r>
        <w:rPr>
          <w:b/>
          <w:lang w:val="en-US"/>
        </w:rPr>
        <w:t>4.</w:t>
      </w:r>
      <w:r w:rsidRPr="007D6879">
        <w:rPr>
          <w:b/>
          <w:lang w:val="en-US"/>
        </w:rPr>
        <w:tab/>
      </w:r>
      <w:r>
        <w:rPr>
          <w:b/>
          <w:lang w:val="en-US"/>
        </w:rPr>
        <w:t xml:space="preserve">It shall be possible </w:t>
      </w:r>
      <w:r w:rsidRPr="00526925">
        <w:rPr>
          <w:b/>
          <w:lang w:val="en-US"/>
        </w:rPr>
        <w:t>for the driver</w:t>
      </w:r>
      <w:r>
        <w:rPr>
          <w:b/>
          <w:lang w:val="en-US"/>
        </w:rPr>
        <w:t xml:space="preserve"> </w:t>
      </w:r>
      <w:r w:rsidRPr="007D6879">
        <w:rPr>
          <w:b/>
          <w:lang w:val="en-US"/>
        </w:rPr>
        <w:t>to adjust the light intensity of the FVA</w:t>
      </w:r>
      <w:r>
        <w:rPr>
          <w:b/>
          <w:lang w:val="en-US"/>
        </w:rPr>
        <w:t>.</w:t>
      </w:r>
    </w:p>
    <w:p w14:paraId="4F2CD783" w14:textId="77777777" w:rsidR="00AA2E18" w:rsidRPr="002C3957" w:rsidRDefault="00AA2E18" w:rsidP="00AA2E18">
      <w:pPr>
        <w:pStyle w:val="Para0"/>
        <w:rPr>
          <w:color w:val="0070C0"/>
          <w:lang w:val="en-US"/>
        </w:rPr>
      </w:pPr>
      <w:r w:rsidRPr="00CF4678">
        <w:rPr>
          <w:b/>
          <w:lang w:val="en-US"/>
        </w:rPr>
        <w:t>5.1.3.5.5.</w:t>
      </w:r>
      <w:r w:rsidRPr="00CF4678">
        <w:rPr>
          <w:b/>
          <w:lang w:val="en-US"/>
        </w:rPr>
        <w:tab/>
      </w:r>
      <w:r w:rsidRPr="00E877E8">
        <w:rPr>
          <w:b/>
          <w:lang w:val="en-US"/>
        </w:rPr>
        <w:t xml:space="preserve">It shall be possible for the driver to switch off the FVA by a </w:t>
      </w:r>
      <w:r w:rsidRPr="002C3957">
        <w:rPr>
          <w:b/>
          <w:strike/>
          <w:color w:val="0070C0"/>
          <w:lang w:val="en-US"/>
        </w:rPr>
        <w:t xml:space="preserve">direct </w:t>
      </w:r>
      <w:r w:rsidRPr="00E877E8">
        <w:rPr>
          <w:b/>
          <w:lang w:val="en-US"/>
        </w:rPr>
        <w:t xml:space="preserve">deliberate action </w:t>
      </w:r>
      <w:r w:rsidRPr="002C3957">
        <w:rPr>
          <w:b/>
          <w:color w:val="0070C0"/>
          <w:lang w:val="en-US"/>
        </w:rPr>
        <w:t xml:space="preserve">consisting of at least one manual option with maximum of 2 consecutive steps. Intuitive action (e.g. double press, </w:t>
      </w:r>
      <w:proofErr w:type="gramStart"/>
      <w:r w:rsidRPr="002C3957">
        <w:rPr>
          <w:b/>
          <w:color w:val="0070C0"/>
          <w:lang w:val="en-US"/>
        </w:rPr>
        <w:t>swipe</w:t>
      </w:r>
      <w:proofErr w:type="gramEnd"/>
      <w:r w:rsidRPr="002C3957">
        <w:rPr>
          <w:b/>
          <w:color w:val="0070C0"/>
          <w:lang w:val="en-US"/>
        </w:rPr>
        <w:t xml:space="preserve"> and press) is considered as a single step.</w:t>
      </w:r>
    </w:p>
    <w:p w14:paraId="0654A6EB" w14:textId="77777777" w:rsidR="00AA2E18" w:rsidRPr="002C3957" w:rsidRDefault="00AA2E18" w:rsidP="00AA2E18">
      <w:pPr>
        <w:pStyle w:val="Para0"/>
        <w:rPr>
          <w:b/>
          <w:strike/>
          <w:color w:val="0070C0"/>
          <w:lang w:val="en-US"/>
        </w:rPr>
      </w:pPr>
      <w:r w:rsidRPr="00E877E8">
        <w:rPr>
          <w:b/>
          <w:lang w:val="en-US"/>
        </w:rPr>
        <w:t>5.1.3.6.</w:t>
      </w:r>
      <w:r w:rsidRPr="00E877E8">
        <w:rPr>
          <w:b/>
          <w:lang w:val="en-US"/>
        </w:rPr>
        <w:tab/>
        <w:t xml:space="preserve">The FVA shall be deactivated automatically in case of an electrically detectable failure of the FVA that affects the visual information </w:t>
      </w:r>
      <w:r w:rsidRPr="002C3957">
        <w:rPr>
          <w:b/>
          <w:strike/>
          <w:color w:val="0070C0"/>
          <w:lang w:val="en-US"/>
        </w:rPr>
        <w:t>in an uncontrolled manner</w:t>
      </w:r>
      <w:r w:rsidRPr="002C3957">
        <w:rPr>
          <w:b/>
          <w:color w:val="0070C0"/>
          <w:lang w:val="en-US"/>
        </w:rPr>
        <w:t xml:space="preserve"> as an identified risk considered in the safety approach.” </w:t>
      </w:r>
    </w:p>
    <w:p w14:paraId="78942F2E" w14:textId="77777777" w:rsidR="00AA2E18" w:rsidRPr="002C3957" w:rsidRDefault="00AA2E18" w:rsidP="00AA2E18">
      <w:pPr>
        <w:pStyle w:val="Para0"/>
        <w:rPr>
          <w:b/>
          <w:strike/>
          <w:color w:val="0070C0"/>
          <w:lang w:val="en-US"/>
        </w:rPr>
      </w:pPr>
    </w:p>
    <w:p w14:paraId="67E2DF2F" w14:textId="77777777" w:rsidR="00AA2E18" w:rsidRPr="002C3957" w:rsidRDefault="00AA2E18" w:rsidP="00AA2E18">
      <w:pPr>
        <w:pStyle w:val="SingleTxtG"/>
        <w:ind w:left="1287" w:hanging="153"/>
        <w:rPr>
          <w:bCs/>
          <w:color w:val="0070C0"/>
        </w:rPr>
      </w:pPr>
      <w:r w:rsidRPr="00215B45">
        <w:rPr>
          <w:bCs/>
          <w:i/>
          <w:iCs/>
          <w:color w:val="0070C0"/>
          <w:lang w:val="en-US"/>
        </w:rPr>
        <w:t>I</w:t>
      </w:r>
      <w:proofErr w:type="spellStart"/>
      <w:r w:rsidRPr="002C3957">
        <w:rPr>
          <w:bCs/>
          <w:iCs/>
          <w:color w:val="0070C0"/>
        </w:rPr>
        <w:t>nsert</w:t>
      </w:r>
      <w:proofErr w:type="spellEnd"/>
      <w:r w:rsidRPr="002C3957">
        <w:rPr>
          <w:bCs/>
          <w:iCs/>
          <w:color w:val="0070C0"/>
        </w:rPr>
        <w:t xml:space="preserve"> new paragraphs 6.2.1. and 6.2.2.</w:t>
      </w:r>
      <w:r w:rsidRPr="002C3957">
        <w:rPr>
          <w:bCs/>
          <w:color w:val="0070C0"/>
        </w:rPr>
        <w:t>:</w:t>
      </w:r>
    </w:p>
    <w:p w14:paraId="05990870" w14:textId="77777777" w:rsidR="00AA2E18" w:rsidRPr="002C3957" w:rsidRDefault="00AA2E18" w:rsidP="00AA2E18">
      <w:pPr>
        <w:pStyle w:val="Para0"/>
        <w:rPr>
          <w:b/>
          <w:bCs/>
          <w:i/>
          <w:iCs/>
          <w:color w:val="0070C0"/>
          <w:lang w:val="en-US"/>
        </w:rPr>
      </w:pPr>
      <w:r w:rsidRPr="002C3957">
        <w:rPr>
          <w:b/>
          <w:bCs/>
          <w:i/>
          <w:iCs/>
          <w:color w:val="0070C0"/>
          <w:lang w:val="en-US"/>
        </w:rPr>
        <w:t xml:space="preserve">“6.2.1 </w:t>
      </w:r>
      <w:r w:rsidRPr="002C3957">
        <w:rPr>
          <w:b/>
          <w:bCs/>
          <w:i/>
          <w:iCs/>
          <w:color w:val="0070C0"/>
          <w:lang w:val="en-US"/>
        </w:rPr>
        <w:tab/>
      </w:r>
      <w:r w:rsidRPr="002C3957">
        <w:rPr>
          <w:b/>
          <w:bCs/>
          <w:iCs/>
          <w:color w:val="0070C0"/>
          <w:lang w:val="en-US"/>
        </w:rPr>
        <w:t>The steering wheel, if adjustable, shall be placed in the normal position indicated by the manufacturer or, failing that, midway between the limits of its range(s) of adjustment</w:t>
      </w:r>
      <w:r w:rsidRPr="002C3957">
        <w:rPr>
          <w:b/>
          <w:bCs/>
          <w:i/>
          <w:iCs/>
          <w:color w:val="0070C0"/>
          <w:lang w:val="en-US"/>
        </w:rPr>
        <w:t xml:space="preserve"> </w:t>
      </w:r>
    </w:p>
    <w:p w14:paraId="5AE5558D" w14:textId="77777777" w:rsidR="00AA2E18" w:rsidRPr="002C3957" w:rsidRDefault="00AA2E18" w:rsidP="00AA2E18">
      <w:pPr>
        <w:pStyle w:val="Para0"/>
        <w:spacing w:after="0"/>
        <w:rPr>
          <w:b/>
          <w:color w:val="0070C0"/>
        </w:rPr>
      </w:pPr>
      <w:r w:rsidRPr="002C3957">
        <w:rPr>
          <w:b/>
          <w:bCs/>
          <w:i/>
          <w:iCs/>
          <w:color w:val="0070C0"/>
          <w:lang w:val="en-US"/>
        </w:rPr>
        <w:t xml:space="preserve">6.2.2. </w:t>
      </w:r>
      <w:r w:rsidRPr="002C3957">
        <w:rPr>
          <w:b/>
          <w:bCs/>
          <w:i/>
          <w:iCs/>
          <w:color w:val="0070C0"/>
          <w:lang w:val="en-US"/>
        </w:rPr>
        <w:tab/>
      </w:r>
      <w:r w:rsidRPr="002C3957">
        <w:rPr>
          <w:b/>
          <w:color w:val="0070C0"/>
        </w:rPr>
        <w:t>In the case the FVA position is adjustable, the FVA shall be placed in the normal position indicated by the manufacturer or, failing that, midway between the limits of the range of adjustment.”</w:t>
      </w:r>
    </w:p>
    <w:p w14:paraId="2B0FEA26" w14:textId="77777777" w:rsidR="00AA2E18" w:rsidRDefault="00AA2E18" w:rsidP="00AA2E18">
      <w:pPr>
        <w:suppressAutoHyphens w:val="0"/>
        <w:spacing w:line="240" w:lineRule="auto"/>
        <w:rPr>
          <w:b/>
          <w:sz w:val="28"/>
        </w:rPr>
      </w:pPr>
    </w:p>
    <w:p w14:paraId="1C968B2C" w14:textId="77777777" w:rsidR="00AA2E18" w:rsidRDefault="00AA2E18" w:rsidP="00AA2E18">
      <w:pPr>
        <w:pStyle w:val="HChG"/>
        <w:ind w:firstLine="0"/>
      </w:pPr>
      <w:r w:rsidRPr="00964518">
        <w:t>12.</w:t>
      </w:r>
      <w:r w:rsidRPr="00964518">
        <w:tab/>
      </w:r>
      <w:r>
        <w:tab/>
      </w:r>
      <w:r w:rsidRPr="00964518">
        <w:t xml:space="preserve">Transitional </w:t>
      </w:r>
      <w:r>
        <w:t>p</w:t>
      </w:r>
      <w:r w:rsidRPr="00964518">
        <w:t>rovisions</w:t>
      </w:r>
    </w:p>
    <w:p w14:paraId="5665E8E1" w14:textId="24D5A35D" w:rsidR="00AA2E18" w:rsidRPr="008636E5" w:rsidRDefault="00AA2E18" w:rsidP="00AA2E18">
      <w:pPr>
        <w:pStyle w:val="Para0"/>
        <w:rPr>
          <w:b/>
        </w:rPr>
      </w:pPr>
      <w:r w:rsidRPr="008636E5">
        <w:rPr>
          <w:b/>
        </w:rPr>
        <w:t>12.1.</w:t>
      </w:r>
      <w:r w:rsidRPr="008636E5">
        <w:rPr>
          <w:b/>
        </w:rPr>
        <w:tab/>
        <w:t>As from the official d</w:t>
      </w:r>
      <w:r w:rsidR="002D4F0C">
        <w:rPr>
          <w:b/>
        </w:rPr>
        <w:t>ate of entry into force of the 02</w:t>
      </w:r>
      <w:r w:rsidRPr="008636E5">
        <w:rPr>
          <w:b/>
        </w:rPr>
        <w:t xml:space="preserve"> series of amendments, no Contracting Party applying this Regulation shall refuse to grant or </w:t>
      </w:r>
      <w:r w:rsidRPr="008636E5">
        <w:rPr>
          <w:b/>
        </w:rPr>
        <w:lastRenderedPageBreak/>
        <w:t>refuse to accept type approvals under thi</w:t>
      </w:r>
      <w:r w:rsidR="002D4F0C">
        <w:rPr>
          <w:b/>
        </w:rPr>
        <w:t xml:space="preserve">s Regulation as amended by the </w:t>
      </w:r>
      <w:r w:rsidRPr="008636E5">
        <w:rPr>
          <w:b/>
        </w:rPr>
        <w:t>02 series of amendments.</w:t>
      </w:r>
    </w:p>
    <w:p w14:paraId="1EA3EE09" w14:textId="506698DA" w:rsidR="00AA2E18" w:rsidRPr="00B26F17" w:rsidRDefault="00AA2E18" w:rsidP="00AA2E18">
      <w:pPr>
        <w:pStyle w:val="Para0"/>
        <w:rPr>
          <w:rFonts w:eastAsia="MS Mincho"/>
          <w:b/>
          <w:lang w:eastAsia="ja-JP"/>
        </w:rPr>
      </w:pPr>
      <w:r w:rsidRPr="008636E5">
        <w:rPr>
          <w:b/>
        </w:rPr>
        <w:t>12.2.</w:t>
      </w:r>
      <w:r w:rsidRPr="008636E5">
        <w:rPr>
          <w:b/>
        </w:rPr>
        <w:tab/>
      </w:r>
      <w:r w:rsidRPr="008636E5">
        <w:rPr>
          <w:b/>
        </w:rPr>
        <w:tab/>
        <w:t xml:space="preserve">As </w:t>
      </w:r>
      <w:r w:rsidRPr="008636E5">
        <w:rPr>
          <w:rFonts w:eastAsia="MS Mincho"/>
          <w:b/>
          <w:lang w:eastAsia="ja-JP"/>
        </w:rPr>
        <w:t>from</w:t>
      </w:r>
      <w:r w:rsidR="002D4F0C">
        <w:rPr>
          <w:b/>
        </w:rPr>
        <w:t xml:space="preserve"> 1 September </w:t>
      </w:r>
      <w:r w:rsidRPr="008636E5">
        <w:rPr>
          <w:b/>
        </w:rPr>
        <w:t xml:space="preserve">2023, Contracting Parties applying this Regulation shall not be obliged to accept type approvals to the preceding series of </w:t>
      </w:r>
      <w:r w:rsidRPr="00B26F17">
        <w:rPr>
          <w:b/>
        </w:rPr>
        <w:t>amendments, first issued after 1 September 2023.</w:t>
      </w:r>
    </w:p>
    <w:p w14:paraId="11EF9122" w14:textId="68C73844" w:rsidR="00AA2E18" w:rsidRPr="003F5625" w:rsidRDefault="00AA2E18" w:rsidP="00AA2E18">
      <w:pPr>
        <w:spacing w:after="120"/>
        <w:ind w:left="2268" w:right="1134" w:hanging="1134"/>
        <w:jc w:val="both"/>
        <w:rPr>
          <w:rFonts w:eastAsia="MS Mincho"/>
          <w:b/>
          <w:lang w:eastAsia="ja-JP"/>
        </w:rPr>
      </w:pPr>
      <w:r w:rsidRPr="00B26F17">
        <w:rPr>
          <w:b/>
        </w:rPr>
        <w:t>12.3.</w:t>
      </w:r>
      <w:r w:rsidRPr="00B26F17">
        <w:rPr>
          <w:b/>
        </w:rPr>
        <w:tab/>
        <w:t xml:space="preserve">Until 1 </w:t>
      </w:r>
      <w:r w:rsidRPr="003F5625">
        <w:rPr>
          <w:b/>
        </w:rPr>
        <w:t>September 2024 Contracting Parties applying this Regulation shall accept type approvals to the preceding series of amendments, first issued before 1 September 2023</w:t>
      </w:r>
      <w:r w:rsidRPr="003F5625">
        <w:rPr>
          <w:rFonts w:eastAsiaTheme="minorEastAsia"/>
          <w:b/>
          <w:lang w:eastAsia="ja-JP"/>
        </w:rPr>
        <w:t>.</w:t>
      </w:r>
    </w:p>
    <w:p w14:paraId="2E9F923B" w14:textId="0E7535BB" w:rsidR="00AA2E18" w:rsidRPr="00B26F17" w:rsidRDefault="00AA2E18" w:rsidP="00AA2E18">
      <w:pPr>
        <w:spacing w:after="120"/>
        <w:ind w:left="2268" w:right="1134" w:hanging="1134"/>
        <w:jc w:val="both"/>
        <w:rPr>
          <w:b/>
        </w:rPr>
      </w:pPr>
      <w:r w:rsidRPr="003F5625">
        <w:rPr>
          <w:b/>
        </w:rPr>
        <w:t>12.4.</w:t>
      </w:r>
      <w:r w:rsidRPr="003F5625">
        <w:rPr>
          <w:b/>
        </w:rPr>
        <w:tab/>
        <w:t xml:space="preserve">As </w:t>
      </w:r>
      <w:r w:rsidRPr="003F5625">
        <w:rPr>
          <w:rFonts w:eastAsia="MS Mincho"/>
          <w:b/>
          <w:lang w:eastAsia="ja-JP"/>
        </w:rPr>
        <w:t>from</w:t>
      </w:r>
      <w:r w:rsidRPr="003F5625">
        <w:rPr>
          <w:b/>
        </w:rPr>
        <w:t xml:space="preserve"> 1 September 2024,</w:t>
      </w:r>
      <w:r w:rsidRPr="00B26F17">
        <w:rPr>
          <w:b/>
        </w:rPr>
        <w:t xml:space="preserve"> Contracting Parties applying this Regulation shall not be obliged to accept type approvals issued to the preceding series of amendments to this Regulation.</w:t>
      </w:r>
    </w:p>
    <w:p w14:paraId="3AB9A2D9" w14:textId="77777777" w:rsidR="00AA2E18" w:rsidRPr="002C3957" w:rsidRDefault="00AA2E18" w:rsidP="00AA2E18">
      <w:pPr>
        <w:spacing w:after="120"/>
        <w:ind w:left="2268" w:right="1134" w:hanging="1134"/>
        <w:jc w:val="both"/>
        <w:rPr>
          <w:rFonts w:eastAsia="MS PGothic"/>
          <w:b/>
          <w:iCs/>
          <w:color w:val="0070C0"/>
          <w:lang w:eastAsia="ja-JP"/>
        </w:rPr>
      </w:pPr>
      <w:r w:rsidRPr="002C3957">
        <w:rPr>
          <w:b/>
          <w:bCs/>
          <w:iCs/>
          <w:color w:val="0070C0"/>
        </w:rPr>
        <w:t>12.</w:t>
      </w:r>
      <w:r w:rsidRPr="002C3957">
        <w:rPr>
          <w:b/>
          <w:bCs/>
          <w:iCs/>
          <w:color w:val="0070C0"/>
          <w:lang w:eastAsia="ja-JP"/>
        </w:rPr>
        <w:t>5.</w:t>
      </w:r>
      <w:r w:rsidRPr="002C3957">
        <w:rPr>
          <w:b/>
          <w:bCs/>
          <w:iCs/>
          <w:color w:val="0070C0"/>
        </w:rPr>
        <w:tab/>
      </w:r>
      <w:r w:rsidRPr="002C3957">
        <w:rPr>
          <w:b/>
          <w:iCs/>
          <w:color w:val="0070C0"/>
        </w:rPr>
        <w:tab/>
      </w:r>
      <w:r w:rsidRPr="002C3957">
        <w:rPr>
          <w:rFonts w:eastAsia="MS PGothic"/>
          <w:b/>
          <w:iCs/>
          <w:color w:val="0070C0"/>
          <w:lang w:eastAsia="ja-JP"/>
        </w:rPr>
        <w:t xml:space="preserve">Notwithstanding the transitional provisions above, Contracting Parties who start to apply this Regulation after the date of entry into force of the most recent series of amendments are not obliged to accept type approvals which were granted in accordance with any of the preceding series of amendments to this Regulation </w:t>
      </w:r>
      <w:r w:rsidRPr="00BC2853">
        <w:rPr>
          <w:rFonts w:eastAsia="MS PGothic"/>
          <w:b/>
          <w:iCs/>
          <w:strike/>
          <w:color w:val="0070C0"/>
          <w:lang w:eastAsia="ja-JP"/>
        </w:rPr>
        <w:t>/ are only obliged to accept type approval granted in accordance with the XX series of amendments.</w:t>
      </w:r>
    </w:p>
    <w:p w14:paraId="7EA92842" w14:textId="7B4023C4" w:rsidR="00AA2E18" w:rsidRPr="00B26F17" w:rsidRDefault="00AA2E18" w:rsidP="00AA2E18">
      <w:pPr>
        <w:suppressAutoHyphens w:val="0"/>
        <w:spacing w:after="120" w:line="240" w:lineRule="exact"/>
        <w:ind w:left="2268" w:right="1134" w:hanging="1134"/>
        <w:jc w:val="both"/>
        <w:rPr>
          <w:rFonts w:eastAsia="MS Mincho"/>
          <w:b/>
          <w:snapToGrid w:val="0"/>
          <w:lang w:eastAsia="ja-JP"/>
        </w:rPr>
      </w:pPr>
      <w:r w:rsidRPr="00B26F17">
        <w:rPr>
          <w:rFonts w:eastAsia="MS PGothic"/>
          <w:b/>
          <w:iCs/>
          <w:snapToGrid w:val="0"/>
          <w:lang w:eastAsia="ja-JP"/>
        </w:rPr>
        <w:t>12.</w:t>
      </w:r>
      <w:r w:rsidRPr="002C3957">
        <w:rPr>
          <w:rFonts w:eastAsia="MS PGothic"/>
          <w:b/>
          <w:iCs/>
          <w:strike/>
          <w:snapToGrid w:val="0"/>
          <w:color w:val="0070C0"/>
          <w:lang w:eastAsia="ja-JP"/>
        </w:rPr>
        <w:t>5.</w:t>
      </w:r>
      <w:r w:rsidRPr="00B26F17">
        <w:rPr>
          <w:rFonts w:eastAsia="MS PGothic"/>
          <w:b/>
          <w:iCs/>
          <w:snapToGrid w:val="0"/>
          <w:lang w:eastAsia="ja-JP"/>
        </w:rPr>
        <w:t>6.</w:t>
      </w:r>
      <w:r w:rsidRPr="00B26F17">
        <w:rPr>
          <w:rFonts w:eastAsia="MS PGothic"/>
          <w:b/>
          <w:iCs/>
          <w:snapToGrid w:val="0"/>
          <w:lang w:eastAsia="ja-JP"/>
        </w:rPr>
        <w:tab/>
        <w:t>Notw</w:t>
      </w:r>
      <w:r>
        <w:rPr>
          <w:rFonts w:eastAsia="MS PGothic"/>
          <w:b/>
          <w:iCs/>
          <w:snapToGrid w:val="0"/>
          <w:lang w:eastAsia="ja-JP"/>
        </w:rPr>
        <w:t>ithstanding paragraph 12</w:t>
      </w:r>
      <w:r w:rsidRPr="00B26F17">
        <w:rPr>
          <w:rFonts w:eastAsia="MS PGothic"/>
          <w:b/>
          <w:iCs/>
          <w:snapToGrid w:val="0"/>
          <w:lang w:eastAsia="ja-JP"/>
        </w:rPr>
        <w:t xml:space="preserve">.4, </w:t>
      </w:r>
      <w:r w:rsidRPr="00B26F17">
        <w:rPr>
          <w:rFonts w:eastAsia="MS Mincho"/>
          <w:b/>
          <w:snapToGrid w:val="0"/>
          <w:lang w:eastAsia="ja-JP"/>
        </w:rPr>
        <w:t xml:space="preserve">Contracting Parties applying this Regulation shall continue to accept type approvals </w:t>
      </w:r>
      <w:r w:rsidRPr="00B26F17">
        <w:rPr>
          <w:b/>
        </w:rPr>
        <w:t>issued</w:t>
      </w:r>
      <w:r w:rsidRPr="00B26F17">
        <w:rPr>
          <w:b/>
          <w:iCs/>
          <w:spacing w:val="-2"/>
          <w:lang w:eastAsia="ja-JP"/>
        </w:rPr>
        <w:t xml:space="preserve"> </w:t>
      </w:r>
      <w:r w:rsidRPr="00B26F17">
        <w:rPr>
          <w:b/>
        </w:rPr>
        <w:t>according</w:t>
      </w:r>
      <w:r w:rsidRPr="00B26F17">
        <w:rPr>
          <w:b/>
          <w:iCs/>
          <w:spacing w:val="-2"/>
          <w:lang w:eastAsia="ja-JP"/>
        </w:rPr>
        <w:t xml:space="preserve"> </w:t>
      </w:r>
      <w:r w:rsidRPr="00B26F17">
        <w:rPr>
          <w:rFonts w:eastAsia="MS Mincho"/>
          <w:b/>
          <w:snapToGrid w:val="0"/>
          <w:lang w:eastAsia="ja-JP"/>
        </w:rPr>
        <w:t xml:space="preserve">to the preceding series of amendments to this Regulation, for the vehicles/vehicle systems which are not affected by the </w:t>
      </w:r>
      <w:r>
        <w:rPr>
          <w:rFonts w:eastAsia="MS Mincho"/>
          <w:b/>
          <w:snapToGrid w:val="0"/>
          <w:lang w:eastAsia="ja-JP"/>
        </w:rPr>
        <w:t>changes introduced by the 02</w:t>
      </w:r>
      <w:r w:rsidRPr="00B26F17">
        <w:rPr>
          <w:rFonts w:eastAsia="MS Mincho"/>
          <w:b/>
          <w:snapToGrid w:val="0"/>
          <w:lang w:eastAsia="ja-JP"/>
        </w:rPr>
        <w:t xml:space="preserve"> series of amendments.</w:t>
      </w:r>
    </w:p>
    <w:p w14:paraId="3A7A6C7B" w14:textId="77777777" w:rsidR="00AA2E18" w:rsidRPr="00BC2853" w:rsidRDefault="00AA2E18" w:rsidP="00AA2E18">
      <w:pPr>
        <w:pStyle w:val="Para0"/>
        <w:rPr>
          <w:b/>
          <w:color w:val="0070C0"/>
        </w:rPr>
      </w:pPr>
      <w:r w:rsidRPr="00BC2853">
        <w:rPr>
          <w:b/>
          <w:color w:val="0070C0"/>
        </w:rPr>
        <w:t>12.7.</w:t>
      </w:r>
      <w:r w:rsidRPr="00BC2853">
        <w:rPr>
          <w:b/>
          <w:color w:val="0070C0"/>
        </w:rPr>
        <w:tab/>
        <w:t>Contracting Parties applying this UN Regulation may grant type approvals according to any preceding series of amendments to this Regulation.</w:t>
      </w:r>
    </w:p>
    <w:p w14:paraId="05A071F2" w14:textId="77777777" w:rsidR="00AA2E18" w:rsidRPr="00BC2853" w:rsidRDefault="00AA2E18" w:rsidP="00AA2E18">
      <w:pPr>
        <w:pStyle w:val="Para0"/>
        <w:rPr>
          <w:b/>
          <w:color w:val="0070C0"/>
        </w:rPr>
      </w:pPr>
      <w:r w:rsidRPr="00AA2E18">
        <w:rPr>
          <w:b/>
          <w:color w:val="0070C0"/>
          <w:lang w:val="en-US"/>
        </w:rPr>
        <w:t>12.8.</w:t>
      </w:r>
      <w:r w:rsidRPr="00AA2E18">
        <w:rPr>
          <w:b/>
          <w:color w:val="0070C0"/>
          <w:lang w:val="en-US"/>
        </w:rPr>
        <w:tab/>
      </w:r>
      <w:r w:rsidRPr="00BC2853">
        <w:rPr>
          <w:b/>
          <w:color w:val="0070C0"/>
        </w:rPr>
        <w:t>Contracting Parties applying this UN Regulation shall continue to grant extensions of existing approvals to any preceding series of amendments to this Regulation."</w:t>
      </w:r>
    </w:p>
    <w:p w14:paraId="773FFA6C" w14:textId="77777777" w:rsidR="00AA2E18" w:rsidRDefault="00AA2E18" w:rsidP="00AA2E18">
      <w:pPr>
        <w:pStyle w:val="Para0"/>
        <w:spacing w:after="0"/>
        <w:rPr>
          <w:bCs/>
        </w:rPr>
      </w:pPr>
      <w:r>
        <w:rPr>
          <w:bCs/>
          <w:i/>
          <w:iCs/>
        </w:rPr>
        <w:t xml:space="preserve">Annex 2, </w:t>
      </w:r>
      <w:r>
        <w:rPr>
          <w:bCs/>
        </w:rPr>
        <w:t>amend to read:</w:t>
      </w:r>
    </w:p>
    <w:p w14:paraId="6C76F333" w14:textId="77777777" w:rsidR="00AA2E18" w:rsidRPr="005A4630" w:rsidRDefault="00AA2E18" w:rsidP="00AA2E18">
      <w:pPr>
        <w:pStyle w:val="HChG"/>
      </w:pPr>
      <w:bookmarkStart w:id="0" w:name="_Toc108926532"/>
      <w:bookmarkStart w:id="1" w:name="_Toc108926533"/>
      <w:r w:rsidRPr="007D6879">
        <w:rPr>
          <w:b w:val="0"/>
          <w:bCs/>
        </w:rPr>
        <w:t>"</w:t>
      </w:r>
      <w:r w:rsidRPr="005A4630">
        <w:t>Annex 2</w:t>
      </w:r>
      <w:bookmarkEnd w:id="0"/>
    </w:p>
    <w:p w14:paraId="2A5CD002" w14:textId="77777777" w:rsidR="00AA2E18" w:rsidRPr="005A4630" w:rsidRDefault="00AA2E18" w:rsidP="00AA2E18">
      <w:pPr>
        <w:pStyle w:val="HChG"/>
        <w:rPr>
          <w:lang w:val="en-US"/>
        </w:rPr>
      </w:pPr>
      <w:r>
        <w:rPr>
          <w:lang w:val="en-US"/>
        </w:rPr>
        <w:tab/>
      </w:r>
      <w:r>
        <w:rPr>
          <w:lang w:val="en-US"/>
        </w:rPr>
        <w:tab/>
      </w:r>
      <w:r w:rsidRPr="00FE29F2">
        <w:t>Arrangements</w:t>
      </w:r>
      <w:r w:rsidRPr="005A4630">
        <w:rPr>
          <w:lang w:val="en-US"/>
        </w:rPr>
        <w:t xml:space="preserve"> of approval marks</w:t>
      </w:r>
      <w:bookmarkEnd w:id="1"/>
    </w:p>
    <w:p w14:paraId="45A4A688" w14:textId="77777777" w:rsidR="00AA2E18" w:rsidRPr="005A4630" w:rsidRDefault="00AA2E18" w:rsidP="00AA2E18">
      <w:pPr>
        <w:pStyle w:val="Para0"/>
        <w:spacing w:after="0"/>
      </w:pPr>
      <w:r w:rsidRPr="005A4630">
        <w:t>(see paragraphs 4.4. to 4.4.2. of this Regulation)</w:t>
      </w:r>
      <w:r w:rsidRPr="005A4630">
        <w:rPr>
          <w:vanish/>
          <w:sz w:val="16"/>
          <w:szCs w:val="16"/>
        </w:rPr>
        <w:t>)</w:t>
      </w:r>
    </w:p>
    <w:p w14:paraId="58958606" w14:textId="77777777" w:rsidR="00AA2E18" w:rsidRPr="005A4630" w:rsidRDefault="00AA2E18" w:rsidP="00AA2E18">
      <w:pPr>
        <w:suppressAutoHyphens w:val="0"/>
        <w:spacing w:line="240" w:lineRule="auto"/>
        <w:rPr>
          <w:sz w:val="24"/>
        </w:rPr>
      </w:pPr>
      <w:r>
        <w:rPr>
          <w:noProof/>
          <w:lang w:val="nl-NL" w:eastAsia="nl-NL"/>
        </w:rPr>
        <mc:AlternateContent>
          <mc:Choice Requires="wps">
            <w:drawing>
              <wp:anchor distT="0" distB="0" distL="114300" distR="114300" simplePos="0" relativeHeight="251658242" behindDoc="0" locked="0" layoutInCell="1" allowOverlap="1" wp14:anchorId="70824FC2" wp14:editId="523AC5E7">
                <wp:simplePos x="0" y="0"/>
                <wp:positionH relativeFrom="column">
                  <wp:posOffset>2857500</wp:posOffset>
                </wp:positionH>
                <wp:positionV relativeFrom="paragraph">
                  <wp:posOffset>578485</wp:posOffset>
                </wp:positionV>
                <wp:extent cx="1485900"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825B0" w14:textId="77777777" w:rsidR="00AA2E18" w:rsidRDefault="00AA2E18" w:rsidP="00AA2E18">
                            <w:pPr>
                              <w:rPr>
                                <w:sz w:val="32"/>
                              </w:rPr>
                            </w:pPr>
                            <w:r>
                              <w:rPr>
                                <w:sz w:val="32"/>
                              </w:rPr>
                              <w:t>125R - 02185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24FC2" id="_x0000_t202" coordsize="21600,21600" o:spt="202" path="m,l,21600r21600,l21600,xe">
                <v:stroke joinstyle="miter"/>
                <v:path gradientshapeok="t" o:connecttype="rect"/>
              </v:shapetype>
              <v:shape id="Text Box 10" o:spid="_x0000_s1026" type="#_x0000_t202" style="position:absolute;margin-left:225pt;margin-top:45.55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" stroked="f">
                <v:textbox>
                  <w:txbxContent>
                    <w:p w14:paraId="782825B0" w14:textId="77777777" w:rsidR="00AA2E18" w:rsidRDefault="00AA2E18" w:rsidP="00AA2E18">
                      <w:pPr>
                        <w:rPr>
                          <w:sz w:val="32"/>
                        </w:rPr>
                      </w:pPr>
                      <w:r>
                        <w:rPr>
                          <w:sz w:val="32"/>
                        </w:rPr>
                        <w:t>125R - 02185</w:t>
                      </w:r>
                    </w:p>
                  </w:txbxContent>
                </v:textbox>
              </v:shape>
            </w:pict>
          </mc:Fallback>
        </mc:AlternateContent>
      </w:r>
      <w:r w:rsidR="007B33E5">
        <w:rPr>
          <w:noProof/>
          <w:sz w:val="24"/>
          <w:szCs w:val="24"/>
          <w:lang w:val="en-US"/>
        </w:rPr>
        <w:pict w14:anchorId="24CBD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81.85pt;margin-top:19.3pt;width:314.95pt;height:66.95pt;z-index:251658240;visibility:visible;mso-wrap-edited:f;mso-position-horizontal-relative:text;mso-position-vertical-relative:text">
            <v:imagedata r:id="rId11" o:title=""/>
            <w10:wrap type="topAndBottom"/>
          </v:shape>
        </w:pict>
      </w:r>
      <w:r>
        <w:rPr>
          <w:noProof/>
          <w:lang w:val="nl-NL" w:eastAsia="nl-NL"/>
        </w:rPr>
        <mc:AlternateContent>
          <mc:Choice Requires="wps">
            <w:drawing>
              <wp:anchor distT="0" distB="0" distL="114300" distR="114300" simplePos="0" relativeHeight="251658241" behindDoc="0" locked="0" layoutInCell="1" allowOverlap="1" wp14:anchorId="33C715A5" wp14:editId="779635E7">
                <wp:simplePos x="0" y="0"/>
                <wp:positionH relativeFrom="column">
                  <wp:posOffset>2656205</wp:posOffset>
                </wp:positionH>
                <wp:positionV relativeFrom="paragraph">
                  <wp:posOffset>603250</wp:posOffset>
                </wp:positionV>
                <wp:extent cx="106680" cy="190500"/>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3AD470" w14:textId="77777777" w:rsidR="00AA2E18" w:rsidRDefault="00AA2E18" w:rsidP="00AA2E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715A5" id="_x0000_t202" coordsize="21600,21600" o:spt="202" path="m,l,21600r21600,l21600,xe">
                <v:stroke joinstyle="miter"/>
                <v:path gradientshapeok="t" o:connecttype="rect"/>
              </v:shapetype>
              <v:shape id="Text Box 9" o:spid="_x0000_s1027" type="#_x0000_t202" style="position:absolute;margin-left:209.15pt;margin-top:47.5pt;width:8.4pt;height: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" filled="f" stroked="f">
                <v:textbox>
                  <w:txbxContent>
                    <w:p w14:paraId="373AD470" w14:textId="77777777" w:rsidR="00AA2E18" w:rsidRDefault="00AA2E18" w:rsidP="00AA2E18"/>
                  </w:txbxContent>
                </v:textbox>
              </v:shape>
            </w:pict>
          </mc:Fallback>
        </mc:AlternateContent>
      </w:r>
    </w:p>
    <w:p w14:paraId="7B436D1E" w14:textId="77777777" w:rsidR="00AA2E18" w:rsidRPr="000212F4" w:rsidRDefault="00AA2E18" w:rsidP="00AA2E18">
      <w:pPr>
        <w:suppressAutoHyphens w:val="0"/>
        <w:spacing w:line="240" w:lineRule="auto"/>
        <w:ind w:left="7200"/>
      </w:pPr>
      <w:r w:rsidRPr="000212F4">
        <w:t>a = 8 mm min</w:t>
      </w:r>
    </w:p>
    <w:p w14:paraId="64BE090A" w14:textId="77777777" w:rsidR="00AA2E18" w:rsidRDefault="00AA2E18" w:rsidP="00AA2E18">
      <w:pPr>
        <w:pStyle w:val="SingleTxtG"/>
        <w:spacing w:before="120"/>
        <w:ind w:firstLine="567"/>
      </w:pPr>
      <w:r w:rsidRPr="00D206A0">
        <w:t>The above approval mark affixed to a vehicle shows that the vehicle type concerned has been approved in Belgium (E</w:t>
      </w:r>
      <w:r>
        <w:t xml:space="preserve"> </w:t>
      </w:r>
      <w:r w:rsidRPr="00D206A0">
        <w:t xml:space="preserve">6) </w:t>
      </w:r>
      <w:proofErr w:type="gramStart"/>
      <w:r w:rsidRPr="00D206A0">
        <w:t>with regard to</w:t>
      </w:r>
      <w:proofErr w:type="gramEnd"/>
      <w:r w:rsidRPr="00D206A0">
        <w:t xml:space="preserve"> the driver's forward field of vision pursuant to </w:t>
      </w:r>
      <w:r>
        <w:t xml:space="preserve">UN </w:t>
      </w:r>
      <w:r w:rsidRPr="00D206A0">
        <w:t xml:space="preserve">Regulation No. 125. The first two digits of the approval number indicate that the approval was granted in accordance with the requirements of </w:t>
      </w:r>
      <w:r>
        <w:t xml:space="preserve">UN </w:t>
      </w:r>
      <w:r w:rsidRPr="00D206A0">
        <w:t xml:space="preserve">Regulation No. 125 as amended by the </w:t>
      </w:r>
      <w:r w:rsidRPr="007D6879">
        <w:rPr>
          <w:b/>
          <w:bCs/>
        </w:rPr>
        <w:t>02</w:t>
      </w:r>
      <w:r w:rsidRPr="00D206A0">
        <w:t xml:space="preserve"> series of amendments.</w:t>
      </w:r>
      <w:r>
        <w:t>"</w:t>
      </w:r>
    </w:p>
    <w:p w14:paraId="696DA942" w14:textId="77777777" w:rsidR="00AA2E18" w:rsidRDefault="00AA2E18" w:rsidP="00AA2E18">
      <w:pPr>
        <w:pStyle w:val="SingleTxtG"/>
        <w:spacing w:after="0"/>
      </w:pPr>
      <w:r w:rsidRPr="007D6879">
        <w:rPr>
          <w:i/>
          <w:iCs/>
        </w:rPr>
        <w:t>After Annex 4</w:t>
      </w:r>
      <w:r>
        <w:t>, insert a new Annex 5:</w:t>
      </w:r>
    </w:p>
    <w:p w14:paraId="2F034702" w14:textId="77777777" w:rsidR="00AA2E18" w:rsidRDefault="00AA2E18" w:rsidP="00AA2E18">
      <w:pPr>
        <w:pStyle w:val="HChG"/>
      </w:pPr>
      <w:r w:rsidRPr="00C6182B">
        <w:lastRenderedPageBreak/>
        <w:t>"Annex 5</w:t>
      </w:r>
    </w:p>
    <w:p w14:paraId="2BC7DF23" w14:textId="77777777" w:rsidR="00AA2E18" w:rsidRPr="00E877E8" w:rsidRDefault="00AA2E18" w:rsidP="00AA2E18">
      <w:pPr>
        <w:pStyle w:val="HChG"/>
      </w:pPr>
      <w:r>
        <w:tab/>
      </w:r>
      <w:r>
        <w:tab/>
      </w:r>
      <w:r w:rsidRPr="00E877E8">
        <w:t>Field of View Assistant</w:t>
      </w:r>
    </w:p>
    <w:p w14:paraId="2DC7F92A" w14:textId="77777777" w:rsidR="00AA2E18" w:rsidRPr="00E877E8" w:rsidRDefault="00AA2E18" w:rsidP="00AA2E18">
      <w:pPr>
        <w:pStyle w:val="Heading1"/>
        <w:rPr>
          <w:b/>
          <w:bCs/>
        </w:rPr>
      </w:pPr>
      <w:r w:rsidRPr="00E877E8">
        <w:rPr>
          <w:b/>
          <w:bCs/>
        </w:rPr>
        <w:t>Examples for Warning / Highlight / Information as specified in paragraph 5.3.5.1.:</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6"/>
        <w:gridCol w:w="3969"/>
      </w:tblGrid>
      <w:tr w:rsidR="00AA2E18" w:rsidRPr="00E877E8" w14:paraId="04D2E875" w14:textId="77777777" w:rsidTr="00EE4575">
        <w:tc>
          <w:tcPr>
            <w:tcW w:w="3686" w:type="dxa"/>
            <w:shd w:val="clear" w:color="auto" w:fill="auto"/>
          </w:tcPr>
          <w:p w14:paraId="6BAE839E" w14:textId="77777777" w:rsidR="00AA2E18" w:rsidRPr="00E877E8" w:rsidRDefault="00AA2E18" w:rsidP="00EE4575">
            <w:pPr>
              <w:pStyle w:val="Para0"/>
              <w:ind w:left="0" w:right="275" w:firstLine="0"/>
              <w:jc w:val="left"/>
              <w:rPr>
                <w:b/>
                <w:bCs/>
              </w:rPr>
            </w:pPr>
          </w:p>
        </w:tc>
        <w:tc>
          <w:tcPr>
            <w:tcW w:w="3969" w:type="dxa"/>
            <w:shd w:val="clear" w:color="auto" w:fill="auto"/>
          </w:tcPr>
          <w:p w14:paraId="20FC298E" w14:textId="77777777" w:rsidR="00AA2E18" w:rsidRPr="00E877E8" w:rsidRDefault="00AA2E18" w:rsidP="00EE4575">
            <w:pPr>
              <w:pStyle w:val="Para0"/>
              <w:tabs>
                <w:tab w:val="left" w:pos="1595"/>
              </w:tabs>
              <w:ind w:left="0" w:right="0" w:firstLine="0"/>
              <w:jc w:val="left"/>
              <w:rPr>
                <w:b/>
                <w:bCs/>
              </w:rPr>
            </w:pPr>
            <w:r w:rsidRPr="00E877E8">
              <w:rPr>
                <w:b/>
                <w:bCs/>
              </w:rPr>
              <w:t>Examples</w:t>
            </w:r>
          </w:p>
        </w:tc>
      </w:tr>
      <w:tr w:rsidR="00AA2E18" w:rsidRPr="00E877E8" w14:paraId="7BDBFB1B" w14:textId="77777777" w:rsidTr="00EE4575">
        <w:tc>
          <w:tcPr>
            <w:tcW w:w="3686" w:type="dxa"/>
            <w:shd w:val="clear" w:color="auto" w:fill="auto"/>
          </w:tcPr>
          <w:p w14:paraId="2A2C8900" w14:textId="77777777" w:rsidR="00AA2E18" w:rsidRPr="00E877E8" w:rsidRDefault="00AA2E18" w:rsidP="00EE4575">
            <w:pPr>
              <w:pStyle w:val="Para0"/>
              <w:ind w:left="0" w:right="275" w:firstLine="0"/>
              <w:jc w:val="left"/>
              <w:rPr>
                <w:b/>
                <w:bCs/>
              </w:rPr>
            </w:pPr>
            <w:r w:rsidRPr="00E877E8">
              <w:rPr>
                <w:b/>
                <w:bCs/>
              </w:rPr>
              <w:t>Warning/Highlight hazardous traffic situation</w:t>
            </w:r>
          </w:p>
        </w:tc>
        <w:tc>
          <w:tcPr>
            <w:tcW w:w="3969" w:type="dxa"/>
            <w:shd w:val="clear" w:color="auto" w:fill="auto"/>
          </w:tcPr>
          <w:p w14:paraId="09909D32" w14:textId="77777777" w:rsidR="00AA2E18" w:rsidRPr="00E877E8" w:rsidRDefault="00AA2E18" w:rsidP="00EE4575">
            <w:pPr>
              <w:pStyle w:val="Para0"/>
              <w:tabs>
                <w:tab w:val="left" w:pos="1595"/>
              </w:tabs>
              <w:ind w:left="0" w:right="0" w:firstLine="0"/>
              <w:jc w:val="left"/>
              <w:rPr>
                <w:b/>
                <w:bCs/>
              </w:rPr>
            </w:pPr>
            <w:r w:rsidRPr="00E877E8">
              <w:rPr>
                <w:b/>
                <w:bCs/>
              </w:rPr>
              <w:t>Abrupt braking situations</w:t>
            </w:r>
          </w:p>
          <w:p w14:paraId="0BEB32A0" w14:textId="77777777" w:rsidR="00AA2E18" w:rsidRPr="00E877E8" w:rsidRDefault="00AA2E18" w:rsidP="00EE4575">
            <w:pPr>
              <w:pStyle w:val="Para0"/>
              <w:tabs>
                <w:tab w:val="left" w:pos="1595"/>
              </w:tabs>
              <w:ind w:left="0" w:right="0" w:firstLine="0"/>
              <w:jc w:val="left"/>
              <w:rPr>
                <w:b/>
                <w:bCs/>
              </w:rPr>
            </w:pPr>
            <w:r w:rsidRPr="00E877E8">
              <w:rPr>
                <w:b/>
                <w:bCs/>
              </w:rPr>
              <w:t>Oncoming traffic in turning manoeuvres</w:t>
            </w:r>
          </w:p>
          <w:p w14:paraId="5901E516" w14:textId="77777777" w:rsidR="00AA2E18" w:rsidRPr="00BC2853" w:rsidRDefault="00AA2E18" w:rsidP="00EE4575">
            <w:pPr>
              <w:pStyle w:val="Para0"/>
              <w:tabs>
                <w:tab w:val="left" w:pos="1595"/>
              </w:tabs>
              <w:ind w:left="0" w:right="0" w:firstLine="0"/>
              <w:jc w:val="left"/>
              <w:rPr>
                <w:b/>
                <w:bCs/>
                <w:color w:val="0070C0"/>
              </w:rPr>
            </w:pPr>
            <w:r w:rsidRPr="00BC2853">
              <w:rPr>
                <w:b/>
                <w:bCs/>
                <w:color w:val="0070C0"/>
              </w:rPr>
              <w:t>Oncoming Traffic Jam/vehicle break down.</w:t>
            </w:r>
          </w:p>
          <w:p w14:paraId="38BE6957" w14:textId="77777777" w:rsidR="00AA2E18" w:rsidRPr="00E877E8" w:rsidRDefault="00AA2E18" w:rsidP="00EE4575">
            <w:pPr>
              <w:pStyle w:val="Para0"/>
              <w:tabs>
                <w:tab w:val="left" w:pos="1595"/>
              </w:tabs>
              <w:ind w:left="0" w:right="0" w:firstLine="0"/>
              <w:jc w:val="left"/>
              <w:rPr>
                <w:b/>
                <w:bCs/>
              </w:rPr>
            </w:pPr>
            <w:r w:rsidRPr="00E877E8">
              <w:rPr>
                <w:b/>
                <w:bCs/>
              </w:rPr>
              <w:t>Vehicles leaving the lane or entering the own driving path</w:t>
            </w:r>
          </w:p>
        </w:tc>
      </w:tr>
      <w:tr w:rsidR="00AA2E18" w:rsidRPr="00E877E8" w14:paraId="33B1D085" w14:textId="77777777" w:rsidTr="00EE4575">
        <w:tc>
          <w:tcPr>
            <w:tcW w:w="3686" w:type="dxa"/>
            <w:shd w:val="clear" w:color="auto" w:fill="auto"/>
          </w:tcPr>
          <w:p w14:paraId="413D261B" w14:textId="77777777" w:rsidR="00AA2E18" w:rsidRPr="00E877E8" w:rsidRDefault="00AA2E18" w:rsidP="00EE4575">
            <w:pPr>
              <w:pStyle w:val="Para0"/>
              <w:ind w:left="0" w:right="275" w:firstLine="0"/>
              <w:jc w:val="left"/>
              <w:rPr>
                <w:b/>
                <w:bCs/>
              </w:rPr>
            </w:pPr>
            <w:r w:rsidRPr="00E877E8">
              <w:rPr>
                <w:b/>
                <w:bCs/>
              </w:rPr>
              <w:t>Warning/highlight vulnerable road users or other road users which may be overseen</w:t>
            </w:r>
          </w:p>
        </w:tc>
        <w:tc>
          <w:tcPr>
            <w:tcW w:w="3969" w:type="dxa"/>
            <w:shd w:val="clear" w:color="auto" w:fill="auto"/>
          </w:tcPr>
          <w:p w14:paraId="61EBB7D8" w14:textId="77777777" w:rsidR="00AA2E18" w:rsidRPr="00E877E8" w:rsidRDefault="00AA2E18" w:rsidP="00EE4575">
            <w:pPr>
              <w:pStyle w:val="Para0"/>
              <w:tabs>
                <w:tab w:val="left" w:pos="1595"/>
              </w:tabs>
              <w:ind w:left="0" w:right="0" w:firstLine="0"/>
              <w:jc w:val="left"/>
              <w:rPr>
                <w:b/>
                <w:bCs/>
              </w:rPr>
            </w:pPr>
            <w:r w:rsidRPr="00E877E8">
              <w:rPr>
                <w:b/>
                <w:bCs/>
              </w:rPr>
              <w:t>Pedestrians</w:t>
            </w:r>
          </w:p>
          <w:p w14:paraId="2AF8B1BC" w14:textId="77777777" w:rsidR="00AA2E18" w:rsidRPr="00E877E8" w:rsidRDefault="00AA2E18" w:rsidP="00EE4575">
            <w:pPr>
              <w:pStyle w:val="Para0"/>
              <w:tabs>
                <w:tab w:val="left" w:pos="1595"/>
              </w:tabs>
              <w:ind w:left="0" w:right="0" w:firstLine="0"/>
              <w:jc w:val="left"/>
              <w:rPr>
                <w:b/>
                <w:bCs/>
              </w:rPr>
            </w:pPr>
            <w:r w:rsidRPr="00E877E8">
              <w:rPr>
                <w:b/>
                <w:bCs/>
              </w:rPr>
              <w:t>Cyclists</w:t>
            </w:r>
          </w:p>
          <w:p w14:paraId="21C75217" w14:textId="77777777" w:rsidR="00AA2E18" w:rsidRPr="00E877E8" w:rsidRDefault="00AA2E18" w:rsidP="00EE4575">
            <w:pPr>
              <w:pStyle w:val="Para0"/>
              <w:tabs>
                <w:tab w:val="left" w:pos="1595"/>
              </w:tabs>
              <w:ind w:left="0" w:right="0" w:firstLine="0"/>
              <w:jc w:val="left"/>
              <w:rPr>
                <w:b/>
                <w:bCs/>
              </w:rPr>
            </w:pPr>
            <w:r w:rsidRPr="00E877E8">
              <w:rPr>
                <w:b/>
                <w:bCs/>
              </w:rPr>
              <w:t>Crossing road users</w:t>
            </w:r>
          </w:p>
          <w:p w14:paraId="76A4F932" w14:textId="77777777" w:rsidR="00AA2E18" w:rsidRPr="00E877E8" w:rsidRDefault="00AA2E18" w:rsidP="00EE4575">
            <w:pPr>
              <w:pStyle w:val="Para0"/>
              <w:tabs>
                <w:tab w:val="left" w:pos="1595"/>
              </w:tabs>
              <w:ind w:left="0" w:right="0" w:firstLine="0"/>
              <w:jc w:val="left"/>
              <w:rPr>
                <w:b/>
                <w:bCs/>
              </w:rPr>
            </w:pPr>
            <w:r w:rsidRPr="00E877E8">
              <w:rPr>
                <w:b/>
                <w:bCs/>
              </w:rPr>
              <w:t>Road users in blind spot or road users covered by other objects</w:t>
            </w:r>
          </w:p>
          <w:p w14:paraId="31F8DFE3" w14:textId="77777777" w:rsidR="00AA2E18" w:rsidRPr="00E877E8" w:rsidRDefault="00AA2E18" w:rsidP="00EE4575">
            <w:pPr>
              <w:pStyle w:val="Para0"/>
              <w:tabs>
                <w:tab w:val="left" w:pos="1595"/>
              </w:tabs>
              <w:ind w:left="0" w:right="0" w:firstLine="0"/>
              <w:jc w:val="left"/>
              <w:rPr>
                <w:b/>
                <w:bCs/>
              </w:rPr>
            </w:pPr>
            <w:r w:rsidRPr="00E877E8">
              <w:rPr>
                <w:b/>
                <w:bCs/>
              </w:rPr>
              <w:t>Animals</w:t>
            </w:r>
          </w:p>
        </w:tc>
      </w:tr>
      <w:tr w:rsidR="00AA2E18" w:rsidRPr="00E877E8" w14:paraId="3A372EB9" w14:textId="77777777" w:rsidTr="00EE4575">
        <w:tc>
          <w:tcPr>
            <w:tcW w:w="3686" w:type="dxa"/>
            <w:shd w:val="clear" w:color="auto" w:fill="auto"/>
          </w:tcPr>
          <w:p w14:paraId="47995BFA" w14:textId="77777777" w:rsidR="00AA2E18" w:rsidRPr="00E877E8" w:rsidRDefault="00AA2E18" w:rsidP="00EE4575">
            <w:pPr>
              <w:pStyle w:val="Para0"/>
              <w:ind w:left="0" w:right="275" w:firstLine="0"/>
              <w:jc w:val="left"/>
              <w:rPr>
                <w:b/>
                <w:bCs/>
              </w:rPr>
            </w:pPr>
            <w:r w:rsidRPr="00E877E8">
              <w:rPr>
                <w:b/>
                <w:bCs/>
              </w:rPr>
              <w:t>Information to maintain the distances to surrounding road user and infrastructure</w:t>
            </w:r>
          </w:p>
        </w:tc>
        <w:tc>
          <w:tcPr>
            <w:tcW w:w="3969" w:type="dxa"/>
            <w:shd w:val="clear" w:color="auto" w:fill="auto"/>
          </w:tcPr>
          <w:p w14:paraId="616A619B" w14:textId="77777777" w:rsidR="00AA2E18" w:rsidRPr="00E877E8" w:rsidRDefault="00AA2E18" w:rsidP="00EE4575">
            <w:pPr>
              <w:pStyle w:val="Para0"/>
              <w:tabs>
                <w:tab w:val="left" w:pos="1595"/>
              </w:tabs>
              <w:ind w:left="0" w:right="0" w:firstLine="0"/>
              <w:jc w:val="left"/>
              <w:rPr>
                <w:b/>
                <w:bCs/>
              </w:rPr>
            </w:pPr>
            <w:r w:rsidRPr="00E877E8">
              <w:rPr>
                <w:b/>
                <w:bCs/>
              </w:rPr>
              <w:t>Distance to vehicle in front</w:t>
            </w:r>
          </w:p>
          <w:p w14:paraId="492F64B4" w14:textId="77777777" w:rsidR="00AA2E18" w:rsidRPr="00E877E8" w:rsidRDefault="00AA2E18" w:rsidP="00EE4575">
            <w:pPr>
              <w:pStyle w:val="Para0"/>
              <w:tabs>
                <w:tab w:val="left" w:pos="1595"/>
              </w:tabs>
              <w:ind w:left="0" w:right="0" w:firstLine="0"/>
              <w:jc w:val="left"/>
              <w:rPr>
                <w:b/>
                <w:bCs/>
              </w:rPr>
            </w:pPr>
            <w:r w:rsidRPr="00E877E8">
              <w:rPr>
                <w:b/>
                <w:bCs/>
              </w:rPr>
              <w:t>Lane keep assist</w:t>
            </w:r>
            <w:r w:rsidRPr="00BC2853">
              <w:rPr>
                <w:b/>
                <w:bCs/>
                <w:color w:val="0070C0"/>
              </w:rPr>
              <w:t>, lane change assist, speed limits changes</w:t>
            </w:r>
          </w:p>
        </w:tc>
      </w:tr>
      <w:tr w:rsidR="00AA2E18" w:rsidRPr="00E877E8" w14:paraId="1E8D272A" w14:textId="77777777" w:rsidTr="00EE4575">
        <w:tc>
          <w:tcPr>
            <w:tcW w:w="3686" w:type="dxa"/>
            <w:shd w:val="clear" w:color="auto" w:fill="auto"/>
          </w:tcPr>
          <w:p w14:paraId="7208472C" w14:textId="77777777" w:rsidR="00AA2E18" w:rsidRPr="00E877E8" w:rsidRDefault="00AA2E18" w:rsidP="00EE4575">
            <w:pPr>
              <w:pStyle w:val="Para0"/>
              <w:ind w:left="0" w:right="0" w:firstLine="0"/>
              <w:jc w:val="left"/>
              <w:rPr>
                <w:b/>
                <w:bCs/>
              </w:rPr>
            </w:pPr>
            <w:r w:rsidRPr="00E877E8">
              <w:rPr>
                <w:b/>
                <w:bCs/>
              </w:rPr>
              <w:t xml:space="preserve">Information to find and maintain the correct driveway </w:t>
            </w:r>
            <w:r w:rsidRPr="00BC2853">
              <w:rPr>
                <w:b/>
                <w:bCs/>
                <w:color w:val="0070C0"/>
              </w:rPr>
              <w:t>and to follow the road instructions</w:t>
            </w:r>
          </w:p>
        </w:tc>
        <w:tc>
          <w:tcPr>
            <w:tcW w:w="3969" w:type="dxa"/>
            <w:shd w:val="clear" w:color="auto" w:fill="auto"/>
          </w:tcPr>
          <w:p w14:paraId="429F4644" w14:textId="77777777" w:rsidR="00AA2E18" w:rsidRPr="00BC2853" w:rsidRDefault="00AA2E18" w:rsidP="00EE4575">
            <w:pPr>
              <w:pStyle w:val="Para0"/>
              <w:tabs>
                <w:tab w:val="left" w:pos="1595"/>
              </w:tabs>
              <w:ind w:left="0" w:right="0" w:firstLine="0"/>
              <w:jc w:val="left"/>
              <w:rPr>
                <w:b/>
                <w:bCs/>
                <w:color w:val="0070C0"/>
              </w:rPr>
            </w:pPr>
            <w:r w:rsidRPr="00E877E8">
              <w:rPr>
                <w:b/>
                <w:bCs/>
              </w:rPr>
              <w:t>Navigation Information</w:t>
            </w:r>
            <w:r w:rsidRPr="00BC2853">
              <w:rPr>
                <w:b/>
                <w:bCs/>
                <w:color w:val="0070C0"/>
              </w:rPr>
              <w:t xml:space="preserve">, </w:t>
            </w:r>
            <w:proofErr w:type="gramStart"/>
            <w:r w:rsidRPr="00BC2853">
              <w:rPr>
                <w:b/>
                <w:bCs/>
                <w:color w:val="0070C0"/>
              </w:rPr>
              <w:t>symbols</w:t>
            </w:r>
            <w:proofErr w:type="gramEnd"/>
            <w:r w:rsidRPr="00BC2853">
              <w:rPr>
                <w:b/>
                <w:bCs/>
                <w:color w:val="0070C0"/>
              </w:rPr>
              <w:t xml:space="preserve"> and arrows during automatic lane change</w:t>
            </w:r>
          </w:p>
          <w:p w14:paraId="73576C1A" w14:textId="77777777" w:rsidR="00AA2E18" w:rsidRPr="00BC2853" w:rsidRDefault="00AA2E18" w:rsidP="00EE4575">
            <w:pPr>
              <w:pStyle w:val="Para0"/>
              <w:ind w:left="0" w:right="0" w:firstLine="0"/>
              <w:jc w:val="left"/>
              <w:rPr>
                <w:b/>
                <w:bCs/>
                <w:color w:val="0070C0"/>
              </w:rPr>
            </w:pPr>
            <w:r w:rsidRPr="00BC2853">
              <w:rPr>
                <w:b/>
                <w:bCs/>
                <w:color w:val="0070C0"/>
              </w:rPr>
              <w:t>(Directions, Remaining distance to target, border crossings)</w:t>
            </w:r>
          </w:p>
          <w:p w14:paraId="7BDB13A2" w14:textId="77777777" w:rsidR="00AA2E18" w:rsidRPr="00E877E8" w:rsidRDefault="00AA2E18" w:rsidP="00EE4575">
            <w:pPr>
              <w:pStyle w:val="Para0"/>
              <w:tabs>
                <w:tab w:val="left" w:pos="1595"/>
              </w:tabs>
              <w:ind w:left="0" w:right="0" w:firstLine="0"/>
              <w:jc w:val="left"/>
              <w:rPr>
                <w:b/>
                <w:bCs/>
              </w:rPr>
            </w:pPr>
            <w:r w:rsidRPr="00BC2853">
              <w:rPr>
                <w:b/>
                <w:bCs/>
                <w:color w:val="0070C0"/>
              </w:rPr>
              <w:t>Highlighting stop lines and pedestrian crosswalks</w:t>
            </w:r>
          </w:p>
        </w:tc>
      </w:tr>
    </w:tbl>
    <w:p w14:paraId="28242CBC" w14:textId="77777777" w:rsidR="00AA2E18" w:rsidRPr="00E877E8" w:rsidRDefault="00AA2E18" w:rsidP="00AA2E18">
      <w:pPr>
        <w:pStyle w:val="Para0"/>
        <w:ind w:left="0" w:firstLine="0"/>
      </w:pPr>
    </w:p>
    <w:p w14:paraId="0ED4DDCD" w14:textId="77777777" w:rsidR="00AA2E18" w:rsidRDefault="00AA2E18" w:rsidP="00AA2E18">
      <w:pPr>
        <w:spacing w:before="240"/>
        <w:jc w:val="center"/>
        <w:rPr>
          <w:u w:val="single"/>
          <w:lang w:val="en-US"/>
        </w:rPr>
      </w:pPr>
      <w:r>
        <w:rPr>
          <w:u w:val="single"/>
          <w:lang w:val="en-US"/>
        </w:rPr>
        <w:tab/>
      </w:r>
      <w:r>
        <w:rPr>
          <w:u w:val="single"/>
          <w:lang w:val="en-US"/>
        </w:rPr>
        <w:tab/>
      </w:r>
      <w:r>
        <w:rPr>
          <w:u w:val="single"/>
          <w:lang w:val="en-US"/>
        </w:rPr>
        <w:tab/>
      </w:r>
    </w:p>
    <w:p w14:paraId="174DA91D" w14:textId="77777777" w:rsidR="00AA2E18" w:rsidRDefault="00AA2E18" w:rsidP="00AA2E18">
      <w:pPr>
        <w:spacing w:before="240"/>
        <w:jc w:val="center"/>
        <w:rPr>
          <w:u w:val="single"/>
          <w:lang w:val="en-US"/>
        </w:rPr>
      </w:pPr>
    </w:p>
    <w:p w14:paraId="195D7463" w14:textId="77777777" w:rsidR="00AA2E18" w:rsidRPr="00BE6D60" w:rsidRDefault="00AA2E18" w:rsidP="00AA2E18">
      <w:pPr>
        <w:pStyle w:val="HChG"/>
        <w:ind w:left="2268" w:hanging="2268"/>
      </w:pPr>
      <w:r w:rsidRPr="00BE6D60">
        <w:t>II.</w:t>
      </w:r>
      <w:r w:rsidRPr="00BE6D60">
        <w:tab/>
      </w:r>
      <w:r>
        <w:t xml:space="preserve"> </w:t>
      </w:r>
      <w:r w:rsidRPr="00102A62">
        <w:t>Justification</w:t>
      </w:r>
      <w:r>
        <w:t xml:space="preserve"> </w:t>
      </w:r>
    </w:p>
    <w:p w14:paraId="3146ABF1" w14:textId="77777777" w:rsidR="00AA2E18" w:rsidRPr="00E877E8" w:rsidRDefault="00AA2E18" w:rsidP="00AA2E18">
      <w:pPr>
        <w:pStyle w:val="Para0"/>
        <w:numPr>
          <w:ilvl w:val="0"/>
          <w:numId w:val="22"/>
        </w:numPr>
      </w:pPr>
      <w:r w:rsidRPr="00E877E8">
        <w:rPr>
          <w:bCs/>
          <w:lang w:eastAsia="zh-CN"/>
        </w:rPr>
        <w:t>Paragraph 2.19. adds definition of obstruction as addressed in this Regulation, from physical parts of the vehicle architecture or other light projections that may hinder perception of outside scene in the driver’s field of vision. Light reflections (that shall not come from the system) are not considered as obstructions (e.g. glaring effect).</w:t>
      </w:r>
    </w:p>
    <w:p w14:paraId="7F3F1C4E" w14:textId="77777777" w:rsidR="00AA2E18" w:rsidRPr="00E877E8" w:rsidRDefault="00AA2E18" w:rsidP="00AA2E18">
      <w:pPr>
        <w:pStyle w:val="Para0"/>
        <w:numPr>
          <w:ilvl w:val="0"/>
          <w:numId w:val="22"/>
        </w:numPr>
      </w:pPr>
      <w:r w:rsidRPr="00E877E8">
        <w:rPr>
          <w:bCs/>
          <w:lang w:eastAsia="zh-CN"/>
        </w:rPr>
        <w:t>Paragraph 2.20. adds definition of field of vision assistant as light projections in the driver’s field of vision. The visual information made of symbols and graphics shall assist the driver identifying any relevant hazards in traffic situations.</w:t>
      </w:r>
    </w:p>
    <w:p w14:paraId="332DE1C9" w14:textId="77777777" w:rsidR="00AA2E18" w:rsidRPr="00E877E8" w:rsidRDefault="00AA2E18" w:rsidP="00AA2E18">
      <w:pPr>
        <w:pStyle w:val="Para0"/>
        <w:numPr>
          <w:ilvl w:val="0"/>
          <w:numId w:val="22"/>
        </w:numPr>
      </w:pPr>
      <w:r w:rsidRPr="00E877E8">
        <w:rPr>
          <w:bCs/>
          <w:lang w:eastAsia="zh-CN"/>
        </w:rPr>
        <w:t>Paragraph 5.1.3. includes new 5.1.3.5. prescriptions to be considered for obstruction evaluation.</w:t>
      </w:r>
    </w:p>
    <w:p w14:paraId="023BA2D5" w14:textId="77777777" w:rsidR="00AA2E18" w:rsidRPr="00BC2853" w:rsidRDefault="00AA2E18" w:rsidP="00AA2E18">
      <w:pPr>
        <w:pStyle w:val="Para0"/>
        <w:numPr>
          <w:ilvl w:val="0"/>
          <w:numId w:val="22"/>
        </w:numPr>
      </w:pPr>
      <w:r w:rsidRPr="00BC2853">
        <w:rPr>
          <w:bCs/>
          <w:lang w:eastAsia="zh-CN"/>
        </w:rPr>
        <w:t xml:space="preserve">Paragraph 5.1.3.4. prescription for setting the steering wheel is moved to paragraph 6.2.1. Prescription for setting FVA is introduced in 6.2.2. </w:t>
      </w:r>
      <w:proofErr w:type="gramStart"/>
      <w:r w:rsidRPr="00BC2853">
        <w:rPr>
          <w:bCs/>
          <w:lang w:eastAsia="zh-CN"/>
        </w:rPr>
        <w:t>in order to</w:t>
      </w:r>
      <w:proofErr w:type="gramEnd"/>
      <w:r w:rsidRPr="00BC2853">
        <w:rPr>
          <w:bCs/>
          <w:lang w:eastAsia="zh-CN"/>
        </w:rPr>
        <w:t xml:space="preserve"> clarify the test procedure.</w:t>
      </w:r>
    </w:p>
    <w:p w14:paraId="44E26B71" w14:textId="77777777" w:rsidR="00AA2E18" w:rsidRPr="00E877E8" w:rsidRDefault="00AA2E18" w:rsidP="00AA2E18">
      <w:pPr>
        <w:pStyle w:val="Para0"/>
        <w:numPr>
          <w:ilvl w:val="0"/>
          <w:numId w:val="22"/>
        </w:numPr>
      </w:pPr>
      <w:r w:rsidRPr="00E877E8">
        <w:rPr>
          <w:bCs/>
          <w:lang w:eastAsia="zh-CN"/>
        </w:rPr>
        <w:t>Paragraph 5.1.3.5. introduces prescriptions to allowed obstructing FVA.</w:t>
      </w:r>
    </w:p>
    <w:p w14:paraId="3D40B262" w14:textId="77777777" w:rsidR="00AA2E18" w:rsidRPr="00E877E8" w:rsidRDefault="00AA2E18" w:rsidP="00AA2E18">
      <w:pPr>
        <w:pStyle w:val="Para0"/>
        <w:numPr>
          <w:ilvl w:val="0"/>
          <w:numId w:val="22"/>
        </w:numPr>
      </w:pPr>
      <w:r w:rsidRPr="00E877E8">
        <w:rPr>
          <w:bCs/>
          <w:lang w:eastAsia="zh-CN"/>
        </w:rPr>
        <w:lastRenderedPageBreak/>
        <w:t>Paragraph 5.1.3.5.1. defines information to be presented during the driving task. While driving, the information shall be safety relevant. Examples are given in annex 5.</w:t>
      </w:r>
      <w:r w:rsidRPr="00E877E8">
        <w:rPr>
          <w:bCs/>
          <w:lang w:eastAsia="zh-CN"/>
        </w:rPr>
        <w:tab/>
      </w:r>
    </w:p>
    <w:p w14:paraId="76082C65" w14:textId="77777777" w:rsidR="00AA2E18" w:rsidRPr="00E877E8" w:rsidRDefault="00AA2E18" w:rsidP="00AA2E18">
      <w:pPr>
        <w:pStyle w:val="Para0"/>
        <w:ind w:left="1494" w:firstLine="0"/>
      </w:pPr>
      <w:r w:rsidRPr="00E877E8">
        <w:rPr>
          <w:bCs/>
          <w:lang w:eastAsia="zh-CN"/>
        </w:rPr>
        <w:t xml:space="preserve">External information sources are possible, but shall not change the performance of approved FVA: the vehicle manufacturer shall ensure that data that are provided by an external device, that are not part of the type approval, shall not be used nor change the FVA content. </w:t>
      </w:r>
    </w:p>
    <w:p w14:paraId="329C13E1" w14:textId="77777777" w:rsidR="00AA2E18" w:rsidRPr="00E877E8" w:rsidRDefault="00AA2E18" w:rsidP="00AA2E18">
      <w:pPr>
        <w:pStyle w:val="Para0"/>
        <w:numPr>
          <w:ilvl w:val="0"/>
          <w:numId w:val="22"/>
        </w:numPr>
      </w:pPr>
      <w:r w:rsidRPr="00E877E8">
        <w:rPr>
          <w:bCs/>
          <w:lang w:eastAsia="zh-CN"/>
        </w:rPr>
        <w:t>Paragraph 5.1.3.5.3. and 5.1.3.5.4. confirms that presented information shall be temporary, as related to a dynamic traffic scenario, and optimized to reduce obstruction.</w:t>
      </w:r>
    </w:p>
    <w:p w14:paraId="28B37BE0" w14:textId="77777777" w:rsidR="00AA2E18" w:rsidRPr="00E877E8" w:rsidRDefault="00AA2E18" w:rsidP="00AA2E18">
      <w:pPr>
        <w:pStyle w:val="Para0"/>
        <w:numPr>
          <w:ilvl w:val="0"/>
          <w:numId w:val="22"/>
        </w:numPr>
      </w:pPr>
      <w:r w:rsidRPr="00E877E8">
        <w:rPr>
          <w:bCs/>
          <w:lang w:eastAsia="zh-CN"/>
        </w:rPr>
        <w:t xml:space="preserve">Paragraph 5.1.3.5.5. and 5.1.3.5.6. allows driver’s manual setting, for an optimized contrast or a complete switch off if necessary. Switch off needs to be accessible with a command to answer driver’s fast expected reaction of the system (in case of distraction/obstruction risk). </w:t>
      </w:r>
    </w:p>
    <w:p w14:paraId="08A411C0" w14:textId="77777777" w:rsidR="00AA2E18" w:rsidRPr="00E877E8" w:rsidRDefault="00AA2E18" w:rsidP="00AA2E18">
      <w:pPr>
        <w:pStyle w:val="Para0"/>
        <w:numPr>
          <w:ilvl w:val="0"/>
          <w:numId w:val="22"/>
        </w:numPr>
      </w:pPr>
      <w:r w:rsidRPr="00E877E8">
        <w:rPr>
          <w:bCs/>
          <w:lang w:eastAsia="zh-CN"/>
        </w:rPr>
        <w:t xml:space="preserve">Paragraph 5.1.3.6. requests an automatic deactivation in case of electrical malfunction leading to excessive light projection, hence potential full obstruction of the field of vision.   </w:t>
      </w:r>
    </w:p>
    <w:p w14:paraId="1949B045" w14:textId="77777777" w:rsidR="00AA2E18" w:rsidRPr="00E877E8" w:rsidRDefault="00AA2E18" w:rsidP="00AA2E18">
      <w:pPr>
        <w:pStyle w:val="Para0"/>
        <w:numPr>
          <w:ilvl w:val="0"/>
          <w:numId w:val="22"/>
        </w:numPr>
      </w:pPr>
      <w:r w:rsidRPr="00E877E8">
        <w:rPr>
          <w:bCs/>
          <w:lang w:eastAsia="zh-CN"/>
        </w:rPr>
        <w:t xml:space="preserve">Paragraph 12. introduces transitional provisions for </w:t>
      </w:r>
      <w:r w:rsidRPr="00E877E8">
        <w:t xml:space="preserve">the </w:t>
      </w:r>
      <w:r w:rsidRPr="00E877E8">
        <w:rPr>
          <w:bCs/>
        </w:rPr>
        <w:t>02</w:t>
      </w:r>
      <w:r w:rsidRPr="00E877E8">
        <w:t xml:space="preserve"> series of amendments</w:t>
      </w:r>
      <w:r w:rsidRPr="00E877E8">
        <w:rPr>
          <w:bCs/>
          <w:lang w:eastAsia="zh-CN"/>
        </w:rPr>
        <w:t>.</w:t>
      </w:r>
    </w:p>
    <w:p w14:paraId="5AA1E3A8" w14:textId="654BFE9A" w:rsidR="00AA2E18" w:rsidRDefault="00AA2E18">
      <w:pPr>
        <w:suppressAutoHyphens w:val="0"/>
        <w:spacing w:line="240" w:lineRule="auto"/>
      </w:pPr>
    </w:p>
    <w:p w14:paraId="5C3C952A" w14:textId="77777777" w:rsidR="008C6479" w:rsidRPr="004B0CFA" w:rsidRDefault="008C6479" w:rsidP="00AA2E18">
      <w:pPr>
        <w:pStyle w:val="SingleTxtG"/>
        <w:ind w:firstLine="567"/>
        <w:jc w:val="left"/>
        <w:rPr>
          <w:color w:val="0070C0"/>
        </w:rPr>
      </w:pPr>
    </w:p>
    <w:p w14:paraId="45BC41E6" w14:textId="77777777" w:rsidR="00400F4B" w:rsidRPr="00ED50B4" w:rsidRDefault="00400F4B" w:rsidP="00400F4B">
      <w:pPr>
        <w:spacing w:before="240"/>
        <w:jc w:val="center"/>
        <w:rPr>
          <w:u w:val="single"/>
        </w:rPr>
      </w:pPr>
      <w:r w:rsidRPr="00ED50B4">
        <w:rPr>
          <w:u w:val="single"/>
        </w:rPr>
        <w:tab/>
      </w:r>
      <w:r w:rsidRPr="00ED50B4">
        <w:rPr>
          <w:u w:val="single"/>
        </w:rPr>
        <w:tab/>
      </w:r>
      <w:r w:rsidRPr="00ED50B4">
        <w:rPr>
          <w:u w:val="single"/>
        </w:rPr>
        <w:tab/>
      </w:r>
    </w:p>
    <w:sectPr w:rsidR="00400F4B" w:rsidRPr="00ED50B4" w:rsidSect="0039621D">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44C45" w14:textId="77777777" w:rsidR="0047134C" w:rsidRDefault="0047134C"/>
  </w:endnote>
  <w:endnote w:type="continuationSeparator" w:id="0">
    <w:p w14:paraId="2DA2E6B8" w14:textId="77777777" w:rsidR="0047134C" w:rsidRDefault="0047134C"/>
  </w:endnote>
  <w:endnote w:type="continuationNotice" w:id="1">
    <w:p w14:paraId="2A84A968" w14:textId="77777777" w:rsidR="0047134C" w:rsidRDefault="004713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80D44" w14:textId="31D5E639" w:rsidR="0039621D" w:rsidRPr="0039621D" w:rsidRDefault="0039621D" w:rsidP="0039621D">
    <w:pPr>
      <w:pStyle w:val="Footer"/>
      <w:tabs>
        <w:tab w:val="right" w:pos="9638"/>
      </w:tabs>
      <w:rPr>
        <w:sz w:val="18"/>
      </w:rPr>
    </w:pPr>
    <w:r w:rsidRPr="0039621D">
      <w:rPr>
        <w:b/>
        <w:sz w:val="18"/>
      </w:rPr>
      <w:fldChar w:fldCharType="begin"/>
    </w:r>
    <w:r w:rsidRPr="0039621D">
      <w:rPr>
        <w:b/>
        <w:sz w:val="18"/>
      </w:rPr>
      <w:instrText xml:space="preserve"> PAGE  \* MERGEFORMAT </w:instrText>
    </w:r>
    <w:r w:rsidRPr="0039621D">
      <w:rPr>
        <w:b/>
        <w:sz w:val="18"/>
      </w:rPr>
      <w:fldChar w:fldCharType="separate"/>
    </w:r>
    <w:r w:rsidR="005068E2">
      <w:rPr>
        <w:b/>
        <w:noProof/>
        <w:sz w:val="18"/>
      </w:rPr>
      <w:t>4</w:t>
    </w:r>
    <w:r w:rsidRPr="0039621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4D95C" w14:textId="499F6AC2" w:rsidR="0039621D" w:rsidRPr="0039621D" w:rsidRDefault="0039621D" w:rsidP="0039621D">
    <w:pPr>
      <w:pStyle w:val="Footer"/>
      <w:tabs>
        <w:tab w:val="right" w:pos="9638"/>
      </w:tabs>
      <w:rPr>
        <w:b/>
        <w:sz w:val="18"/>
      </w:rPr>
    </w:pPr>
    <w:r>
      <w:tab/>
    </w:r>
    <w:r w:rsidRPr="0039621D">
      <w:rPr>
        <w:b/>
        <w:sz w:val="18"/>
      </w:rPr>
      <w:fldChar w:fldCharType="begin"/>
    </w:r>
    <w:r w:rsidRPr="0039621D">
      <w:rPr>
        <w:b/>
        <w:sz w:val="18"/>
      </w:rPr>
      <w:instrText xml:space="preserve"> PAGE  \* MERGEFORMAT </w:instrText>
    </w:r>
    <w:r w:rsidRPr="0039621D">
      <w:rPr>
        <w:b/>
        <w:sz w:val="18"/>
      </w:rPr>
      <w:fldChar w:fldCharType="separate"/>
    </w:r>
    <w:r w:rsidR="005068E2">
      <w:rPr>
        <w:b/>
        <w:noProof/>
        <w:sz w:val="18"/>
      </w:rPr>
      <w:t>3</w:t>
    </w:r>
    <w:r w:rsidRPr="0039621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57EB5" w14:textId="77777777" w:rsidR="0047134C" w:rsidRPr="000B175B" w:rsidRDefault="0047134C" w:rsidP="000B175B">
      <w:pPr>
        <w:tabs>
          <w:tab w:val="right" w:pos="2155"/>
        </w:tabs>
        <w:spacing w:after="80"/>
        <w:ind w:left="680"/>
        <w:rPr>
          <w:u w:val="single"/>
        </w:rPr>
      </w:pPr>
      <w:r>
        <w:rPr>
          <w:u w:val="single"/>
        </w:rPr>
        <w:tab/>
      </w:r>
    </w:p>
  </w:footnote>
  <w:footnote w:type="continuationSeparator" w:id="0">
    <w:p w14:paraId="29AFC915" w14:textId="77777777" w:rsidR="0047134C" w:rsidRPr="00FC68B7" w:rsidRDefault="0047134C" w:rsidP="00FC68B7">
      <w:pPr>
        <w:tabs>
          <w:tab w:val="left" w:pos="2155"/>
        </w:tabs>
        <w:spacing w:after="80"/>
        <w:ind w:left="680"/>
        <w:rPr>
          <w:u w:val="single"/>
        </w:rPr>
      </w:pPr>
      <w:r>
        <w:rPr>
          <w:u w:val="single"/>
        </w:rPr>
        <w:tab/>
      </w:r>
    </w:p>
  </w:footnote>
  <w:footnote w:type="continuationNotice" w:id="1">
    <w:p w14:paraId="48E1C4E3" w14:textId="77777777" w:rsidR="0047134C" w:rsidRDefault="0047134C"/>
  </w:footnote>
  <w:footnote w:id="2">
    <w:p w14:paraId="3A9DA205" w14:textId="4FCBD380" w:rsidR="008C0C40" w:rsidRPr="002232AF" w:rsidRDefault="008C0C40" w:rsidP="008C0C40">
      <w:pPr>
        <w:pStyle w:val="FootnoteText"/>
        <w:rPr>
          <w:lang w:val="en-US"/>
        </w:rPr>
      </w:pPr>
      <w:r>
        <w:tab/>
      </w:r>
      <w:r w:rsidR="00593DDD">
        <w:rPr>
          <w:rStyle w:val="FootnoteReference"/>
          <w:sz w:val="20"/>
          <w:lang w:val="en-US"/>
        </w:rPr>
        <w:tab/>
      </w:r>
      <w:r w:rsidR="00593DDD">
        <w:rPr>
          <w:sz w:val="20"/>
          <w:lang w:val="en-US"/>
        </w:rPr>
        <w:tab/>
      </w:r>
      <w:r w:rsidRPr="002232AF">
        <w:rPr>
          <w:sz w:val="20"/>
          <w:lang w:val="en-US"/>
        </w:rPr>
        <w:tab/>
      </w:r>
      <w:r w:rsidR="00B917F0" w:rsidRPr="00B917F0">
        <w:rPr>
          <w:szCs w:val="18"/>
          <w:lang w:val="en-US"/>
        </w:rPr>
        <w:t xml:space="preserve">*In accordance with the </w:t>
      </w:r>
      <w:proofErr w:type="spellStart"/>
      <w:r w:rsidR="00B917F0" w:rsidRPr="00B917F0">
        <w:rPr>
          <w:szCs w:val="18"/>
          <w:lang w:val="en-US"/>
        </w:rPr>
        <w:t>programme</w:t>
      </w:r>
      <w:proofErr w:type="spellEnd"/>
      <w:r w:rsidR="00B917F0" w:rsidRPr="00B917F0">
        <w:rPr>
          <w:szCs w:val="18"/>
          <w:lang w:val="en-US"/>
        </w:rPr>
        <w:t xml:space="preserve"> of work of the Inland Transport Committee for 2021 as outlined in proposed </w:t>
      </w:r>
      <w:proofErr w:type="spellStart"/>
      <w:r w:rsidR="00B917F0" w:rsidRPr="00B917F0">
        <w:rPr>
          <w:szCs w:val="18"/>
          <w:lang w:val="en-US"/>
        </w:rPr>
        <w:t>programme</w:t>
      </w:r>
      <w:proofErr w:type="spellEnd"/>
      <w:r w:rsidR="00B917F0" w:rsidRPr="00B917F0">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5225C" w14:textId="3248EE42" w:rsidR="0039621D" w:rsidRPr="008053E1" w:rsidRDefault="008053E1">
    <w:pPr>
      <w:pStyle w:val="Header"/>
      <w:rPr>
        <w:lang w:val="fr-CH"/>
      </w:rPr>
    </w:pPr>
    <w:r>
      <w:rPr>
        <w:lang w:val="fr-CH"/>
      </w:rPr>
      <w:t>GRSG-121-15</w:t>
    </w:r>
    <w:r w:rsidR="002D4F0C">
      <w:rPr>
        <w:lang w:val="fr-CH"/>
      </w:rPr>
      <w:t>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881B4" w14:textId="7AD6E09F" w:rsidR="0039621D" w:rsidRPr="00BA5D6B" w:rsidRDefault="00BA5D6B" w:rsidP="00BA5D6B">
    <w:pPr>
      <w:pStyle w:val="Header"/>
      <w:jc w:val="right"/>
      <w:rPr>
        <w:lang w:val="fr-CH"/>
      </w:rPr>
    </w:pPr>
    <w:r>
      <w:rPr>
        <w:lang w:val="fr-CH"/>
      </w:rPr>
      <w:t>GRSG-121-15</w:t>
    </w:r>
    <w:r w:rsidR="002D4F0C">
      <w:rPr>
        <w:lang w:val="fr-CH"/>
      </w:rPr>
      <w:t>r1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Look w:val="0000" w:firstRow="0" w:lastRow="0" w:firstColumn="0" w:lastColumn="0" w:noHBand="0" w:noVBand="0"/>
    </w:tblPr>
    <w:tblGrid>
      <w:gridCol w:w="4962"/>
      <w:gridCol w:w="4961"/>
    </w:tblGrid>
    <w:tr w:rsidR="00FD5357" w:rsidRPr="00E27568" w14:paraId="4184A21A" w14:textId="77777777" w:rsidTr="008053E1">
      <w:tc>
        <w:tcPr>
          <w:tcW w:w="4962" w:type="dxa"/>
        </w:tcPr>
        <w:p w14:paraId="6702877C" w14:textId="2B53A9D2" w:rsidR="00FD5357" w:rsidRPr="00FD5357" w:rsidRDefault="00FD5357" w:rsidP="008053E1">
          <w:pPr>
            <w:pStyle w:val="Header"/>
            <w:pBdr>
              <w:bottom w:val="none" w:sz="0" w:space="0" w:color="auto"/>
            </w:pBdr>
            <w:rPr>
              <w:b w:val="0"/>
              <w:sz w:val="20"/>
            </w:rPr>
          </w:pPr>
          <w:r w:rsidRPr="00FD5357">
            <w:rPr>
              <w:b w:val="0"/>
              <w:sz w:val="20"/>
            </w:rPr>
            <w:t xml:space="preserve">Submitted by the expert from the Netherlands </w:t>
          </w:r>
          <w:r w:rsidR="00AA2E18">
            <w:rPr>
              <w:b w:val="0"/>
              <w:sz w:val="20"/>
            </w:rPr>
            <w:br/>
            <w:t>on behalf of the Task Force on FVA</w:t>
          </w:r>
        </w:p>
        <w:p w14:paraId="67149528" w14:textId="77777777" w:rsidR="00FD5357" w:rsidRPr="00FD5357" w:rsidRDefault="00FD5357" w:rsidP="008053E1">
          <w:pPr>
            <w:pStyle w:val="Header"/>
            <w:pBdr>
              <w:bottom w:val="none" w:sz="0" w:space="0" w:color="auto"/>
            </w:pBdr>
            <w:rPr>
              <w:b w:val="0"/>
              <w:sz w:val="20"/>
            </w:rPr>
          </w:pPr>
        </w:p>
        <w:p w14:paraId="1BAB1C11" w14:textId="77777777" w:rsidR="00FD5357" w:rsidRPr="00FD5357" w:rsidRDefault="00FD5357" w:rsidP="008053E1">
          <w:pPr>
            <w:pStyle w:val="Header"/>
            <w:pBdr>
              <w:bottom w:val="none" w:sz="0" w:space="0" w:color="auto"/>
            </w:pBdr>
            <w:rPr>
              <w:b w:val="0"/>
              <w:sz w:val="16"/>
              <w:szCs w:val="16"/>
            </w:rPr>
          </w:pPr>
        </w:p>
      </w:tc>
      <w:tc>
        <w:tcPr>
          <w:tcW w:w="4961" w:type="dxa"/>
        </w:tcPr>
        <w:p w14:paraId="3090DF62" w14:textId="441FA7D6" w:rsidR="00FD5357" w:rsidRPr="0086358D" w:rsidRDefault="00FD5357" w:rsidP="0086358D">
          <w:pPr>
            <w:pStyle w:val="Header"/>
            <w:pBdr>
              <w:bottom w:val="none" w:sz="0" w:space="0" w:color="auto"/>
            </w:pBdr>
            <w:ind w:left="770" w:right="716"/>
            <w:jc w:val="right"/>
            <w:rPr>
              <w:u w:val="single"/>
            </w:rPr>
          </w:pPr>
          <w:r w:rsidRPr="0086358D">
            <w:rPr>
              <w:bCs/>
              <w:sz w:val="20"/>
              <w:u w:val="single"/>
            </w:rPr>
            <w:t>Informal document</w:t>
          </w:r>
          <w:r w:rsidRPr="00FC6C10">
            <w:rPr>
              <w:sz w:val="20"/>
            </w:rPr>
            <w:t xml:space="preserve"> </w:t>
          </w:r>
          <w:r w:rsidR="008253C4" w:rsidRPr="00FC6C10">
            <w:rPr>
              <w:sz w:val="20"/>
            </w:rPr>
            <w:t>GRSG-121-15</w:t>
          </w:r>
          <w:r w:rsidR="002D4F0C">
            <w:rPr>
              <w:sz w:val="20"/>
            </w:rPr>
            <w:t>r1</w:t>
          </w:r>
        </w:p>
        <w:p w14:paraId="2367FED8" w14:textId="1C3DE86B" w:rsidR="00FD5357" w:rsidRPr="00985586" w:rsidRDefault="00FD5357" w:rsidP="0086358D">
          <w:pPr>
            <w:pStyle w:val="Header"/>
            <w:pBdr>
              <w:bottom w:val="none" w:sz="0" w:space="0" w:color="auto"/>
            </w:pBdr>
            <w:ind w:left="742" w:right="716"/>
            <w:jc w:val="right"/>
            <w:rPr>
              <w:b w:val="0"/>
              <w:sz w:val="20"/>
              <w:lang w:eastAsia="ja-JP"/>
            </w:rPr>
          </w:pPr>
          <w:r w:rsidRPr="00985586">
            <w:rPr>
              <w:b w:val="0"/>
              <w:sz w:val="20"/>
            </w:rPr>
            <w:t>(</w:t>
          </w:r>
          <w:r w:rsidR="00AA2E18" w:rsidRPr="00985586">
            <w:rPr>
              <w:b w:val="0"/>
              <w:sz w:val="20"/>
            </w:rPr>
            <w:t>121</w:t>
          </w:r>
          <w:r w:rsidR="00AA2E18" w:rsidRPr="00985586">
            <w:rPr>
              <w:b w:val="0"/>
              <w:sz w:val="20"/>
              <w:vertAlign w:val="superscript"/>
              <w:lang w:eastAsia="ja-JP"/>
            </w:rPr>
            <w:t>st</w:t>
          </w:r>
          <w:r w:rsidR="003E603C" w:rsidRPr="00985586">
            <w:rPr>
              <w:b w:val="0"/>
              <w:sz w:val="20"/>
              <w:lang w:eastAsia="ja-JP"/>
            </w:rPr>
            <w:t xml:space="preserve"> </w:t>
          </w:r>
          <w:r w:rsidRPr="00985586">
            <w:rPr>
              <w:b w:val="0"/>
              <w:sz w:val="20"/>
            </w:rPr>
            <w:t>GRS</w:t>
          </w:r>
          <w:r w:rsidR="00AA2E18" w:rsidRPr="00985586">
            <w:rPr>
              <w:b w:val="0"/>
              <w:sz w:val="20"/>
            </w:rPr>
            <w:t>G</w:t>
          </w:r>
          <w:r w:rsidRPr="00985586">
            <w:rPr>
              <w:b w:val="0"/>
              <w:sz w:val="20"/>
            </w:rPr>
            <w:t xml:space="preserve">, </w:t>
          </w:r>
          <w:r w:rsidR="00AA2E18" w:rsidRPr="00985586">
            <w:rPr>
              <w:b w:val="0"/>
              <w:sz w:val="20"/>
              <w:lang w:eastAsia="ja-JP"/>
            </w:rPr>
            <w:t>12 – 16 April</w:t>
          </w:r>
          <w:r w:rsidRPr="00985586">
            <w:rPr>
              <w:b w:val="0"/>
              <w:sz w:val="20"/>
            </w:rPr>
            <w:t xml:space="preserve"> 202</w:t>
          </w:r>
          <w:r w:rsidR="00AA2E18" w:rsidRPr="00985586">
            <w:rPr>
              <w:b w:val="0"/>
              <w:sz w:val="20"/>
            </w:rPr>
            <w:t>1</w:t>
          </w:r>
        </w:p>
        <w:p w14:paraId="67A86056" w14:textId="76520BC6" w:rsidR="00FD5357" w:rsidRPr="00E27568" w:rsidRDefault="00FD5357" w:rsidP="0086358D">
          <w:pPr>
            <w:pStyle w:val="Header"/>
            <w:pBdr>
              <w:bottom w:val="none" w:sz="0" w:space="0" w:color="auto"/>
            </w:pBdr>
            <w:ind w:left="742" w:right="716"/>
            <w:jc w:val="right"/>
            <w:rPr>
              <w:sz w:val="20"/>
            </w:rPr>
          </w:pPr>
          <w:r w:rsidRPr="00985586">
            <w:rPr>
              <w:b w:val="0"/>
              <w:sz w:val="20"/>
            </w:rPr>
            <w:t xml:space="preserve">agenda item </w:t>
          </w:r>
          <w:r w:rsidRPr="00985586">
            <w:rPr>
              <w:b w:val="0"/>
              <w:sz w:val="20"/>
              <w:lang w:eastAsia="ja-JP"/>
            </w:rPr>
            <w:t>1</w:t>
          </w:r>
          <w:r w:rsidR="00AA2E18" w:rsidRPr="00985586">
            <w:rPr>
              <w:b w:val="0"/>
              <w:sz w:val="20"/>
              <w:lang w:eastAsia="ja-JP"/>
            </w:rPr>
            <w:t>1</w:t>
          </w:r>
          <w:r w:rsidRPr="00985586">
            <w:rPr>
              <w:b w:val="0"/>
              <w:sz w:val="20"/>
            </w:rPr>
            <w:t>)</w:t>
          </w:r>
        </w:p>
      </w:tc>
    </w:tr>
  </w:tbl>
  <w:p w14:paraId="0EE4CD69" w14:textId="144A4EDB" w:rsidR="008C0C40" w:rsidRDefault="008C0C40" w:rsidP="008C0C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65315950"/>
    <w:multiLevelType w:val="hybridMultilevel"/>
    <w:tmpl w:val="807C97F8"/>
    <w:lvl w:ilvl="0" w:tplc="C302D7CE">
      <w:start w:val="1"/>
      <w:numFmt w:val="decimal"/>
      <w:lvlText w:val="%1."/>
      <w:lvlJc w:val="left"/>
      <w:pPr>
        <w:ind w:left="926" w:hanging="566"/>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1"/>
  </w:num>
  <w:num w:numId="19">
    <w:abstractNumId w:val="11"/>
  </w:num>
  <w:num w:numId="20">
    <w:abstractNumId w:val="18"/>
  </w:num>
  <w:num w:numId="21">
    <w:abstractNumId w:val="17"/>
  </w:num>
  <w:num w:numId="22">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1D"/>
    <w:rsid w:val="0000122C"/>
    <w:rsid w:val="00002A7D"/>
    <w:rsid w:val="000038A8"/>
    <w:rsid w:val="00005DF3"/>
    <w:rsid w:val="00006790"/>
    <w:rsid w:val="000209FB"/>
    <w:rsid w:val="00027624"/>
    <w:rsid w:val="00041AEC"/>
    <w:rsid w:val="000426E7"/>
    <w:rsid w:val="00050B0A"/>
    <w:rsid w:val="00050F6B"/>
    <w:rsid w:val="00065916"/>
    <w:rsid w:val="000678CD"/>
    <w:rsid w:val="00072C8C"/>
    <w:rsid w:val="00081CE0"/>
    <w:rsid w:val="00084D30"/>
    <w:rsid w:val="00090320"/>
    <w:rsid w:val="000931C0"/>
    <w:rsid w:val="00095BBA"/>
    <w:rsid w:val="000964E3"/>
    <w:rsid w:val="00097003"/>
    <w:rsid w:val="000A2E09"/>
    <w:rsid w:val="000B175B"/>
    <w:rsid w:val="000B3A0F"/>
    <w:rsid w:val="000D3A4E"/>
    <w:rsid w:val="000E0415"/>
    <w:rsid w:val="000F7715"/>
    <w:rsid w:val="00145183"/>
    <w:rsid w:val="00156B99"/>
    <w:rsid w:val="0016358F"/>
    <w:rsid w:val="00166124"/>
    <w:rsid w:val="00184DDA"/>
    <w:rsid w:val="001900CD"/>
    <w:rsid w:val="001A0452"/>
    <w:rsid w:val="001B4B04"/>
    <w:rsid w:val="001B5875"/>
    <w:rsid w:val="001C4B9C"/>
    <w:rsid w:val="001C6663"/>
    <w:rsid w:val="001C7895"/>
    <w:rsid w:val="001D26DF"/>
    <w:rsid w:val="001F1599"/>
    <w:rsid w:val="001F19C4"/>
    <w:rsid w:val="002043F0"/>
    <w:rsid w:val="002070F0"/>
    <w:rsid w:val="00211E0B"/>
    <w:rsid w:val="00215B45"/>
    <w:rsid w:val="00232575"/>
    <w:rsid w:val="002422F2"/>
    <w:rsid w:val="00247258"/>
    <w:rsid w:val="00256E86"/>
    <w:rsid w:val="00257CAC"/>
    <w:rsid w:val="0027237A"/>
    <w:rsid w:val="00275642"/>
    <w:rsid w:val="00275B39"/>
    <w:rsid w:val="002974E9"/>
    <w:rsid w:val="002A306B"/>
    <w:rsid w:val="002A6510"/>
    <w:rsid w:val="002A7F94"/>
    <w:rsid w:val="002B0039"/>
    <w:rsid w:val="002B109A"/>
    <w:rsid w:val="002C6D45"/>
    <w:rsid w:val="002D4F0C"/>
    <w:rsid w:val="002D6E53"/>
    <w:rsid w:val="002E56BB"/>
    <w:rsid w:val="002F046D"/>
    <w:rsid w:val="002F3023"/>
    <w:rsid w:val="00301764"/>
    <w:rsid w:val="003028EC"/>
    <w:rsid w:val="003229D8"/>
    <w:rsid w:val="00336C97"/>
    <w:rsid w:val="00337F88"/>
    <w:rsid w:val="00342432"/>
    <w:rsid w:val="0035223F"/>
    <w:rsid w:val="00352D4B"/>
    <w:rsid w:val="0035638C"/>
    <w:rsid w:val="00356564"/>
    <w:rsid w:val="0039621D"/>
    <w:rsid w:val="003A4205"/>
    <w:rsid w:val="003A46BB"/>
    <w:rsid w:val="003A4EC7"/>
    <w:rsid w:val="003A7295"/>
    <w:rsid w:val="003B1F60"/>
    <w:rsid w:val="003C2CC4"/>
    <w:rsid w:val="003C3529"/>
    <w:rsid w:val="003D3C1A"/>
    <w:rsid w:val="003D4B23"/>
    <w:rsid w:val="003E278A"/>
    <w:rsid w:val="003E603C"/>
    <w:rsid w:val="00400F4B"/>
    <w:rsid w:val="00413520"/>
    <w:rsid w:val="004325CB"/>
    <w:rsid w:val="00440A07"/>
    <w:rsid w:val="00462880"/>
    <w:rsid w:val="004667F1"/>
    <w:rsid w:val="0047134C"/>
    <w:rsid w:val="00476F24"/>
    <w:rsid w:val="004A0575"/>
    <w:rsid w:val="004A5D33"/>
    <w:rsid w:val="004B0CFA"/>
    <w:rsid w:val="004C55B0"/>
    <w:rsid w:val="004C75DC"/>
    <w:rsid w:val="004E1D67"/>
    <w:rsid w:val="004F6BA0"/>
    <w:rsid w:val="00503BEA"/>
    <w:rsid w:val="005068E2"/>
    <w:rsid w:val="00533616"/>
    <w:rsid w:val="00535ABA"/>
    <w:rsid w:val="0053768B"/>
    <w:rsid w:val="005420F2"/>
    <w:rsid w:val="0054285C"/>
    <w:rsid w:val="00566E14"/>
    <w:rsid w:val="005702D5"/>
    <w:rsid w:val="00584173"/>
    <w:rsid w:val="00593DDD"/>
    <w:rsid w:val="00595520"/>
    <w:rsid w:val="005A44B9"/>
    <w:rsid w:val="005B1BA0"/>
    <w:rsid w:val="005B3DB3"/>
    <w:rsid w:val="005B57B2"/>
    <w:rsid w:val="005C0268"/>
    <w:rsid w:val="005D15CA"/>
    <w:rsid w:val="005F08DF"/>
    <w:rsid w:val="005F3066"/>
    <w:rsid w:val="005F3E61"/>
    <w:rsid w:val="00604DDD"/>
    <w:rsid w:val="006115CC"/>
    <w:rsid w:val="00611FC4"/>
    <w:rsid w:val="006176FB"/>
    <w:rsid w:val="00626F97"/>
    <w:rsid w:val="00630FCB"/>
    <w:rsid w:val="00633124"/>
    <w:rsid w:val="00640B26"/>
    <w:rsid w:val="0065766B"/>
    <w:rsid w:val="006770B2"/>
    <w:rsid w:val="00686A48"/>
    <w:rsid w:val="0068763C"/>
    <w:rsid w:val="0069081F"/>
    <w:rsid w:val="0069264A"/>
    <w:rsid w:val="006940E1"/>
    <w:rsid w:val="00694708"/>
    <w:rsid w:val="006A3C72"/>
    <w:rsid w:val="006A7392"/>
    <w:rsid w:val="006B03A1"/>
    <w:rsid w:val="006B67D9"/>
    <w:rsid w:val="006C5535"/>
    <w:rsid w:val="006C6F86"/>
    <w:rsid w:val="006D0589"/>
    <w:rsid w:val="006E564B"/>
    <w:rsid w:val="006E7154"/>
    <w:rsid w:val="007003CD"/>
    <w:rsid w:val="0070701E"/>
    <w:rsid w:val="0072632A"/>
    <w:rsid w:val="007358E8"/>
    <w:rsid w:val="00736ECE"/>
    <w:rsid w:val="0074533B"/>
    <w:rsid w:val="00751B23"/>
    <w:rsid w:val="007643BC"/>
    <w:rsid w:val="00773BF8"/>
    <w:rsid w:val="00780C68"/>
    <w:rsid w:val="007959FE"/>
    <w:rsid w:val="007A084E"/>
    <w:rsid w:val="007A0CF1"/>
    <w:rsid w:val="007B33E5"/>
    <w:rsid w:val="007B6BA5"/>
    <w:rsid w:val="007C3390"/>
    <w:rsid w:val="007C42D8"/>
    <w:rsid w:val="007C4F4B"/>
    <w:rsid w:val="007D6F65"/>
    <w:rsid w:val="007D7362"/>
    <w:rsid w:val="007E312C"/>
    <w:rsid w:val="007F3D01"/>
    <w:rsid w:val="007F5CE2"/>
    <w:rsid w:val="007F6611"/>
    <w:rsid w:val="008053E1"/>
    <w:rsid w:val="00810BAC"/>
    <w:rsid w:val="008175E9"/>
    <w:rsid w:val="008242D7"/>
    <w:rsid w:val="008253C4"/>
    <w:rsid w:val="0082577B"/>
    <w:rsid w:val="00825CB5"/>
    <w:rsid w:val="0082768F"/>
    <w:rsid w:val="0086358D"/>
    <w:rsid w:val="00866893"/>
    <w:rsid w:val="00866F02"/>
    <w:rsid w:val="00867D18"/>
    <w:rsid w:val="00871F9A"/>
    <w:rsid w:val="00871FD5"/>
    <w:rsid w:val="0088172E"/>
    <w:rsid w:val="00881EFA"/>
    <w:rsid w:val="008879CB"/>
    <w:rsid w:val="008979B1"/>
    <w:rsid w:val="008A6B25"/>
    <w:rsid w:val="008A6C4F"/>
    <w:rsid w:val="008B389E"/>
    <w:rsid w:val="008C0C40"/>
    <w:rsid w:val="008C6479"/>
    <w:rsid w:val="008D045E"/>
    <w:rsid w:val="008D27FC"/>
    <w:rsid w:val="008D3F25"/>
    <w:rsid w:val="008D4D82"/>
    <w:rsid w:val="008E0E46"/>
    <w:rsid w:val="008E7116"/>
    <w:rsid w:val="008F143B"/>
    <w:rsid w:val="008F3882"/>
    <w:rsid w:val="008F4B7C"/>
    <w:rsid w:val="00926E47"/>
    <w:rsid w:val="009369A9"/>
    <w:rsid w:val="00947162"/>
    <w:rsid w:val="009610D0"/>
    <w:rsid w:val="0096375C"/>
    <w:rsid w:val="009662E6"/>
    <w:rsid w:val="0097095E"/>
    <w:rsid w:val="00975C3F"/>
    <w:rsid w:val="00985586"/>
    <w:rsid w:val="0098592B"/>
    <w:rsid w:val="00985FC4"/>
    <w:rsid w:val="00990766"/>
    <w:rsid w:val="00991261"/>
    <w:rsid w:val="00993694"/>
    <w:rsid w:val="009964C4"/>
    <w:rsid w:val="009A23EE"/>
    <w:rsid w:val="009A7B81"/>
    <w:rsid w:val="009B7EB7"/>
    <w:rsid w:val="009D01C0"/>
    <w:rsid w:val="009D6A08"/>
    <w:rsid w:val="009E0A16"/>
    <w:rsid w:val="009E6CB7"/>
    <w:rsid w:val="009E7970"/>
    <w:rsid w:val="009F004A"/>
    <w:rsid w:val="009F2EAC"/>
    <w:rsid w:val="009F57E3"/>
    <w:rsid w:val="00A03B6B"/>
    <w:rsid w:val="00A10F4F"/>
    <w:rsid w:val="00A11067"/>
    <w:rsid w:val="00A117E2"/>
    <w:rsid w:val="00A13048"/>
    <w:rsid w:val="00A1704A"/>
    <w:rsid w:val="00A36AC2"/>
    <w:rsid w:val="00A425EB"/>
    <w:rsid w:val="00A72F22"/>
    <w:rsid w:val="00A733BC"/>
    <w:rsid w:val="00A748A6"/>
    <w:rsid w:val="00A76A69"/>
    <w:rsid w:val="00A879A4"/>
    <w:rsid w:val="00AA0FF8"/>
    <w:rsid w:val="00AA2E18"/>
    <w:rsid w:val="00AA798F"/>
    <w:rsid w:val="00AC0F2C"/>
    <w:rsid w:val="00AC38EF"/>
    <w:rsid w:val="00AC502A"/>
    <w:rsid w:val="00AE0666"/>
    <w:rsid w:val="00AE1E26"/>
    <w:rsid w:val="00AF19C2"/>
    <w:rsid w:val="00AF587D"/>
    <w:rsid w:val="00AF58C1"/>
    <w:rsid w:val="00B04A3F"/>
    <w:rsid w:val="00B06643"/>
    <w:rsid w:val="00B15055"/>
    <w:rsid w:val="00B20551"/>
    <w:rsid w:val="00B30179"/>
    <w:rsid w:val="00B31E0B"/>
    <w:rsid w:val="00B33FC7"/>
    <w:rsid w:val="00B37B15"/>
    <w:rsid w:val="00B4162A"/>
    <w:rsid w:val="00B45C02"/>
    <w:rsid w:val="00B471CD"/>
    <w:rsid w:val="00B6590B"/>
    <w:rsid w:val="00B70B63"/>
    <w:rsid w:val="00B72A1E"/>
    <w:rsid w:val="00B81E12"/>
    <w:rsid w:val="00B917F0"/>
    <w:rsid w:val="00BA339B"/>
    <w:rsid w:val="00BA5D6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17ED2"/>
    <w:rsid w:val="00C261FE"/>
    <w:rsid w:val="00C37129"/>
    <w:rsid w:val="00C463DD"/>
    <w:rsid w:val="00C745C3"/>
    <w:rsid w:val="00C978F5"/>
    <w:rsid w:val="00CA24A4"/>
    <w:rsid w:val="00CB280F"/>
    <w:rsid w:val="00CB330B"/>
    <w:rsid w:val="00CB348D"/>
    <w:rsid w:val="00CC1D22"/>
    <w:rsid w:val="00CD46F5"/>
    <w:rsid w:val="00CD6F60"/>
    <w:rsid w:val="00CE4A8F"/>
    <w:rsid w:val="00CF071D"/>
    <w:rsid w:val="00D003C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A460A"/>
    <w:rsid w:val="00DC18AD"/>
    <w:rsid w:val="00DF7CAE"/>
    <w:rsid w:val="00E15610"/>
    <w:rsid w:val="00E423C0"/>
    <w:rsid w:val="00E54E90"/>
    <w:rsid w:val="00E6414C"/>
    <w:rsid w:val="00E64D13"/>
    <w:rsid w:val="00E71624"/>
    <w:rsid w:val="00E7260F"/>
    <w:rsid w:val="00E8702D"/>
    <w:rsid w:val="00E905F4"/>
    <w:rsid w:val="00E916A9"/>
    <w:rsid w:val="00E916DE"/>
    <w:rsid w:val="00E925AD"/>
    <w:rsid w:val="00E96630"/>
    <w:rsid w:val="00EC62F7"/>
    <w:rsid w:val="00ED18DC"/>
    <w:rsid w:val="00ED50B4"/>
    <w:rsid w:val="00ED6201"/>
    <w:rsid w:val="00ED7A2A"/>
    <w:rsid w:val="00EE3E3A"/>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C03CD"/>
    <w:rsid w:val="00FC0646"/>
    <w:rsid w:val="00FC68B7"/>
    <w:rsid w:val="00FC6C10"/>
    <w:rsid w:val="00FD535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5A4576"/>
  <w15:docId w15:val="{633F43AD-9A2E-45EC-A90D-9EF67C07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39621D"/>
    <w:rPr>
      <w:lang w:val="en-GB"/>
    </w:rPr>
  </w:style>
  <w:style w:type="character" w:customStyle="1" w:styleId="HChGChar">
    <w:name w:val="_ H _Ch_G Char"/>
    <w:link w:val="HChG"/>
    <w:rsid w:val="0039621D"/>
    <w:rPr>
      <w:b/>
      <w:sz w:val="28"/>
      <w:lang w:val="en-GB"/>
    </w:rPr>
  </w:style>
  <w:style w:type="paragraph" w:styleId="NormalWeb">
    <w:name w:val="Normal (Web)"/>
    <w:basedOn w:val="Normal"/>
    <w:uiPriority w:val="99"/>
    <w:semiHidden/>
    <w:rsid w:val="008C0C40"/>
    <w:rPr>
      <w:sz w:val="24"/>
      <w:szCs w:val="24"/>
      <w:lang w:eastAsia="en-US"/>
    </w:rPr>
  </w:style>
  <w:style w:type="paragraph" w:styleId="ListParagraph">
    <w:name w:val="List Paragraph"/>
    <w:basedOn w:val="Normal"/>
    <w:uiPriority w:val="34"/>
    <w:qFormat/>
    <w:rsid w:val="008C0C40"/>
    <w:pPr>
      <w:ind w:left="720"/>
      <w:contextualSpacing/>
    </w:pPr>
    <w:rPr>
      <w:lang w:eastAsia="en-US"/>
    </w:rPr>
  </w:style>
  <w:style w:type="paragraph" w:customStyle="1" w:styleId="para">
    <w:name w:val="para"/>
    <w:basedOn w:val="Normal"/>
    <w:link w:val="paraChar"/>
    <w:qFormat/>
    <w:rsid w:val="00EC62F7"/>
    <w:pPr>
      <w:suppressAutoHyphens w:val="0"/>
      <w:spacing w:after="120"/>
      <w:ind w:left="2268" w:right="1134" w:hanging="1134"/>
      <w:jc w:val="both"/>
    </w:pPr>
    <w:rPr>
      <w:rFonts w:eastAsia="Yu Mincho"/>
      <w:snapToGrid w:val="0"/>
      <w:lang w:val="fr-FR" w:eastAsia="en-US"/>
    </w:rPr>
  </w:style>
  <w:style w:type="character" w:customStyle="1" w:styleId="paraChar">
    <w:name w:val="para Char"/>
    <w:link w:val="para"/>
    <w:rsid w:val="00EC62F7"/>
    <w:rPr>
      <w:rFonts w:eastAsia="Yu Mincho"/>
      <w:snapToGrid w:val="0"/>
      <w:lang w:eastAsia="en-US"/>
    </w:rPr>
  </w:style>
  <w:style w:type="character" w:customStyle="1" w:styleId="HeaderChar">
    <w:name w:val="Header Char"/>
    <w:aliases w:val="6_G Char"/>
    <w:link w:val="Header"/>
    <w:uiPriority w:val="99"/>
    <w:rsid w:val="00FD5357"/>
    <w:rPr>
      <w:b/>
      <w:sz w:val="18"/>
      <w:lang w:val="en-GB"/>
    </w:rPr>
  </w:style>
  <w:style w:type="character" w:styleId="CommentReference">
    <w:name w:val="annotation reference"/>
    <w:basedOn w:val="DefaultParagraphFont"/>
    <w:uiPriority w:val="99"/>
    <w:semiHidden/>
    <w:unhideWhenUsed/>
    <w:rsid w:val="00275B39"/>
    <w:rPr>
      <w:sz w:val="18"/>
      <w:szCs w:val="18"/>
    </w:rPr>
  </w:style>
  <w:style w:type="paragraph" w:styleId="CommentText">
    <w:name w:val="annotation text"/>
    <w:basedOn w:val="Normal"/>
    <w:link w:val="CommentTextChar"/>
    <w:uiPriority w:val="99"/>
    <w:semiHidden/>
    <w:unhideWhenUsed/>
    <w:rsid w:val="00275B39"/>
    <w:rPr>
      <w:rFonts w:eastAsia="MS Mincho"/>
    </w:rPr>
  </w:style>
  <w:style w:type="character" w:customStyle="1" w:styleId="CommentTextChar">
    <w:name w:val="Comment Text Char"/>
    <w:basedOn w:val="DefaultParagraphFont"/>
    <w:link w:val="CommentText"/>
    <w:uiPriority w:val="99"/>
    <w:semiHidden/>
    <w:rsid w:val="00275B39"/>
    <w:rPr>
      <w:rFonts w:eastAsia="MS Mincho"/>
      <w:lang w:val="en-GB"/>
    </w:rPr>
  </w:style>
  <w:style w:type="paragraph" w:customStyle="1" w:styleId="Default">
    <w:name w:val="Default"/>
    <w:rsid w:val="00AF19C2"/>
    <w:pPr>
      <w:autoSpaceDE w:val="0"/>
      <w:autoSpaceDN w:val="0"/>
      <w:adjustRightInd w:val="0"/>
    </w:pPr>
    <w:rPr>
      <w:color w:val="000000"/>
      <w:sz w:val="24"/>
      <w:szCs w:val="24"/>
      <w:lang w:val="nl-NL"/>
    </w:rPr>
  </w:style>
  <w:style w:type="paragraph" w:customStyle="1" w:styleId="Para0">
    <w:name w:val="Para"/>
    <w:basedOn w:val="Normal"/>
    <w:qFormat/>
    <w:rsid w:val="00AA2E18"/>
    <w:pPr>
      <w:suppressAutoHyphens w:val="0"/>
      <w:spacing w:after="120"/>
      <w:ind w:left="2268" w:right="1134" w:hanging="1134"/>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91391">
      <w:bodyDiv w:val="1"/>
      <w:marLeft w:val="0"/>
      <w:marRight w:val="0"/>
      <w:marTop w:val="0"/>
      <w:marBottom w:val="0"/>
      <w:divBdr>
        <w:top w:val="none" w:sz="0" w:space="0" w:color="auto"/>
        <w:left w:val="none" w:sz="0" w:space="0" w:color="auto"/>
        <w:bottom w:val="none" w:sz="0" w:space="0" w:color="auto"/>
        <w:right w:val="none" w:sz="0" w:space="0" w:color="auto"/>
      </w:divBdr>
    </w:div>
    <w:div w:id="1334650950">
      <w:bodyDiv w:val="1"/>
      <w:marLeft w:val="0"/>
      <w:marRight w:val="0"/>
      <w:marTop w:val="0"/>
      <w:marBottom w:val="0"/>
      <w:divBdr>
        <w:top w:val="none" w:sz="0" w:space="0" w:color="auto"/>
        <w:left w:val="none" w:sz="0" w:space="0" w:color="auto"/>
        <w:bottom w:val="none" w:sz="0" w:space="0" w:color="auto"/>
        <w:right w:val="none" w:sz="0" w:space="0" w:color="auto"/>
      </w:divBdr>
    </w:div>
    <w:div w:id="20603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9B1483-0048-408E-BCE9-4B49636E7950}">
  <ds:schemaRefs>
    <ds:schemaRef ds:uri="http://schemas.openxmlformats.org/officeDocument/2006/bibliography"/>
  </ds:schemaRefs>
</ds:datastoreItem>
</file>

<file path=customXml/itemProps2.xml><?xml version="1.0" encoding="utf-8"?>
<ds:datastoreItem xmlns:ds="http://schemas.openxmlformats.org/officeDocument/2006/customXml" ds:itemID="{55F6EB45-E912-48EF-9D24-533712A2CF5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925F1D33-02E5-4103-AD58-332808425950}">
  <ds:schemaRefs>
    <ds:schemaRef ds:uri="http://schemas.microsoft.com/sharepoint/v3/contenttype/forms"/>
  </ds:schemaRefs>
</ds:datastoreItem>
</file>

<file path=customXml/itemProps4.xml><?xml version="1.0" encoding="utf-8"?>
<ds:datastoreItem xmlns:ds="http://schemas.openxmlformats.org/officeDocument/2006/customXml" ds:itemID="{46E9B2D3-9DA8-4B43-9D2E-A49DEFAC8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1697</Words>
  <Characters>9679</Characters>
  <Application>Microsoft Office Word</Application>
  <DocSecurity>4</DocSecurity>
  <Lines>80</Lines>
  <Paragraphs>22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GRSG-121-xx</vt:lpstr>
      <vt:lpstr>ECE/TRANS/WP.29/GRSP/2019/20</vt:lpstr>
      <vt:lpstr/>
    </vt:vector>
  </TitlesOfParts>
  <Company>CSD</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GRSG-121-15r1</dc:title>
  <dc:subject>1916529</dc:subject>
  <dc:creator>Edoardo Gianotti</dc:creator>
  <cp:keywords/>
  <dc:description/>
  <cp:lastModifiedBy>Benedicte Boudol</cp:lastModifiedBy>
  <cp:revision>2</cp:revision>
  <cp:lastPrinted>2021-04-08T13:15:00Z</cp:lastPrinted>
  <dcterms:created xsi:type="dcterms:W3CDTF">2021-04-15T08:28:00Z</dcterms:created>
  <dcterms:modified xsi:type="dcterms:W3CDTF">2021-04-15T08:28:00Z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