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E1FCF" w14:textId="77777777" w:rsidR="008C5FC2" w:rsidRDefault="008C5FC2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101FB12" w14:textId="77777777" w:rsidR="00C27479" w:rsidRDefault="00C27479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409C60D" w14:textId="3B5A7627" w:rsidR="00C27479" w:rsidRPr="006E39AE" w:rsidRDefault="009556F5" w:rsidP="006E39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8"/>
        <w:jc w:val="center"/>
        <w:rPr>
          <w:rFonts w:ascii="Times New Roman" w:eastAsiaTheme="minorEastAsia" w:hAnsi="Times New Roman" w:cs="Times New Roman"/>
          <w:b/>
          <w:sz w:val="28"/>
          <w:szCs w:val="28"/>
          <w:bdr w:val="nil"/>
          <w:lang w:val="en-US"/>
        </w:rPr>
      </w:pPr>
      <w:r w:rsidRPr="006E39AE">
        <w:rPr>
          <w:rFonts w:ascii="Times New Roman" w:eastAsiaTheme="minorEastAsia" w:hAnsi="Times New Roman" w:cs="Times New Roman"/>
          <w:b/>
          <w:sz w:val="28"/>
          <w:szCs w:val="28"/>
          <w:bdr w:val="nil"/>
          <w:lang w:val="en-US"/>
        </w:rPr>
        <w:t>Proposal for Supplement [</w:t>
      </w:r>
      <w:r w:rsidR="004423E1" w:rsidRPr="006E39AE">
        <w:rPr>
          <w:rFonts w:ascii="Times New Roman" w:eastAsiaTheme="minorEastAsia" w:hAnsi="Times New Roman" w:cs="Times New Roman"/>
          <w:b/>
          <w:sz w:val="28"/>
          <w:szCs w:val="28"/>
          <w:bdr w:val="nil"/>
          <w:lang w:val="en-US"/>
        </w:rPr>
        <w:t>4</w:t>
      </w:r>
      <w:r w:rsidRPr="006E39AE">
        <w:rPr>
          <w:rFonts w:ascii="Times New Roman" w:eastAsiaTheme="minorEastAsia" w:hAnsi="Times New Roman" w:cs="Times New Roman"/>
          <w:b/>
          <w:sz w:val="28"/>
          <w:szCs w:val="28"/>
          <w:bdr w:val="nil"/>
          <w:lang w:val="en-US"/>
        </w:rPr>
        <w:t xml:space="preserve">] to </w:t>
      </w:r>
      <w:r w:rsidR="004423E1" w:rsidRPr="006E39AE">
        <w:rPr>
          <w:rFonts w:ascii="Times New Roman" w:eastAsiaTheme="minorEastAsia" w:hAnsi="Times New Roman" w:cs="Times New Roman"/>
          <w:b/>
          <w:sz w:val="28"/>
          <w:szCs w:val="28"/>
          <w:bdr w:val="nil"/>
          <w:lang w:val="en-US"/>
        </w:rPr>
        <w:t xml:space="preserve">the original series of amendments to </w:t>
      </w:r>
      <w:r w:rsidR="006E39AE">
        <w:rPr>
          <w:rFonts w:ascii="Times New Roman" w:eastAsiaTheme="minorEastAsia" w:hAnsi="Times New Roman" w:cs="Times New Roman"/>
          <w:b/>
          <w:sz w:val="28"/>
          <w:szCs w:val="28"/>
          <w:bdr w:val="nil"/>
          <w:lang w:val="en-US"/>
        </w:rPr>
        <w:br/>
      </w:r>
      <w:r w:rsidRPr="006E39AE">
        <w:rPr>
          <w:rFonts w:ascii="Times New Roman" w:eastAsiaTheme="minorEastAsia" w:hAnsi="Times New Roman" w:cs="Times New Roman"/>
          <w:b/>
          <w:sz w:val="28"/>
          <w:szCs w:val="28"/>
          <w:bdr w:val="nil"/>
          <w:lang w:val="en-US"/>
        </w:rPr>
        <w:t>UN Regulation No.</w:t>
      </w:r>
      <w:r w:rsidR="007210E9" w:rsidRPr="006E39AE">
        <w:rPr>
          <w:rFonts w:ascii="Times New Roman" w:eastAsiaTheme="minorEastAsia" w:hAnsi="Times New Roman" w:cs="Times New Roman"/>
          <w:b/>
          <w:sz w:val="28"/>
          <w:szCs w:val="28"/>
          <w:bdr w:val="nil"/>
          <w:lang w:val="en-US"/>
        </w:rPr>
        <w:t> </w:t>
      </w:r>
      <w:r w:rsidRPr="006E39AE">
        <w:rPr>
          <w:rFonts w:ascii="Times New Roman" w:eastAsiaTheme="minorEastAsia" w:hAnsi="Times New Roman" w:cs="Times New Roman"/>
          <w:b/>
          <w:sz w:val="28"/>
          <w:szCs w:val="28"/>
          <w:bdr w:val="nil"/>
          <w:lang w:val="en-US"/>
        </w:rPr>
        <w:t>150 (Retro-Reflective Devices)</w:t>
      </w:r>
    </w:p>
    <w:p w14:paraId="3561AA77" w14:textId="7E1DBB61" w:rsidR="00C27479" w:rsidRDefault="00C27479">
      <w:pPr>
        <w:keepNext/>
        <w:keepLines/>
        <w:suppressAutoHyphens/>
        <w:spacing w:after="120" w:line="240" w:lineRule="auto"/>
        <w:ind w:left="1134" w:right="567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5AA7A2A" w14:textId="77777777" w:rsidR="006F13D4" w:rsidRDefault="006F13D4">
      <w:pPr>
        <w:keepNext/>
        <w:keepLines/>
        <w:suppressAutoHyphens/>
        <w:spacing w:after="120" w:line="240" w:lineRule="auto"/>
        <w:ind w:left="1134" w:right="567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2FE2754" w14:textId="7989574E" w:rsidR="006E39AE" w:rsidRDefault="009556F5" w:rsidP="006E39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0" w:lineRule="atLeast"/>
        <w:ind w:right="-8"/>
        <w:jc w:val="both"/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</w:pPr>
      <w:r w:rsidRPr="006E39AE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 xml:space="preserve">The text reproduced below was prepared by </w:t>
      </w:r>
      <w:r w:rsidR="007210E9" w:rsidRPr="006E39AE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 xml:space="preserve">the GRE </w:t>
      </w:r>
      <w:r w:rsidRPr="006E39AE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 xml:space="preserve">Informal Working Group on Simplification of Lighting and Light-Signalling Regulations (IWG SLR) with the aim to </w:t>
      </w:r>
      <w:r w:rsidR="007210E9" w:rsidRPr="006E39AE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br/>
        <w:t>r</w:t>
      </w:r>
      <w:r w:rsidRPr="006E39AE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>e-align the requirements of the UN Regulation No. 150 with those of the frozen UN Regulations N</w:t>
      </w:r>
      <w:r w:rsidR="007210E9" w:rsidRPr="006E39AE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>o.</w:t>
      </w:r>
      <w:r w:rsidRPr="006E39AE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 xml:space="preserve"> 3,</w:t>
      </w:r>
      <w:r w:rsidR="007210E9" w:rsidRPr="006E39AE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 xml:space="preserve"> </w:t>
      </w:r>
      <w:r w:rsidRPr="006E39AE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>27,</w:t>
      </w:r>
      <w:r w:rsidR="007210E9" w:rsidRPr="006E39AE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 xml:space="preserve"> </w:t>
      </w:r>
      <w:r w:rsidRPr="006E39AE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>69,</w:t>
      </w:r>
      <w:r w:rsidR="007210E9" w:rsidRPr="006E39AE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 xml:space="preserve"> </w:t>
      </w:r>
      <w:r w:rsidRPr="006E39AE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>70 and 104.</w:t>
      </w:r>
    </w:p>
    <w:p w14:paraId="21BCA7CC" w14:textId="77777777" w:rsidR="006E39AE" w:rsidRDefault="006E39AE" w:rsidP="006E39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0" w:lineRule="atLeast"/>
        <w:ind w:right="-8"/>
        <w:jc w:val="both"/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</w:pPr>
    </w:p>
    <w:p w14:paraId="7ED56634" w14:textId="081D75E7" w:rsidR="00C27479" w:rsidRDefault="009556F5" w:rsidP="006E39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0" w:lineRule="atLeast"/>
        <w:ind w:right="-8"/>
        <w:jc w:val="both"/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</w:pPr>
      <w:r w:rsidRPr="006E39AE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 xml:space="preserve">The modifications to UN Regulation No. 150 are marked in bold for new or strikethrough for deleted </w:t>
      </w:r>
      <w:r w:rsidRPr="006E39AE">
        <w:rPr>
          <w:rFonts w:ascii="Times New Roman" w:eastAsiaTheme="minorEastAsia" w:hAnsi="Times New Roman" w:cs="Times New Roman"/>
          <w:sz w:val="24"/>
          <w:szCs w:val="24"/>
          <w:bdr w:val="nil"/>
          <w:lang w:val="en-US"/>
        </w:rPr>
        <w:t>characters</w:t>
      </w:r>
      <w:r w:rsidRPr="006E39AE"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  <w:t>.</w:t>
      </w:r>
    </w:p>
    <w:p w14:paraId="6D40CDD2" w14:textId="6A24E640" w:rsidR="006F13D4" w:rsidRDefault="006F13D4" w:rsidP="006E39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0" w:lineRule="atLeast"/>
        <w:ind w:right="-8"/>
        <w:jc w:val="both"/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</w:pPr>
    </w:p>
    <w:p w14:paraId="24A213EC" w14:textId="77777777" w:rsidR="006F13D4" w:rsidRPr="006E39AE" w:rsidRDefault="006F13D4" w:rsidP="006E39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0" w:lineRule="atLeast"/>
        <w:ind w:right="-8"/>
        <w:jc w:val="both"/>
        <w:rPr>
          <w:rFonts w:ascii="Times New Roman" w:eastAsiaTheme="minorEastAsia" w:hAnsi="Times New Roman" w:cs="Times New Roman"/>
          <w:sz w:val="24"/>
          <w:szCs w:val="24"/>
          <w:bdr w:val="nil"/>
          <w:lang w:val="en-US" w:eastAsia="ja-JP"/>
        </w:rPr>
      </w:pPr>
    </w:p>
    <w:p w14:paraId="3C4DF36C" w14:textId="77777777" w:rsidR="00C27479" w:rsidRDefault="009556F5">
      <w:pPr>
        <w:pStyle w:val="HChG"/>
        <w:spacing w:before="240"/>
        <w:rPr>
          <w:b w:val="0"/>
          <w:lang w:val="en-US"/>
        </w:rPr>
      </w:pPr>
      <w:r>
        <w:rPr>
          <w:lang w:val="en-US"/>
        </w:rPr>
        <w:tab/>
        <w:t>I.</w:t>
      </w:r>
      <w:r>
        <w:rPr>
          <w:lang w:val="en-US"/>
        </w:rPr>
        <w:tab/>
        <w:t>Proposal</w:t>
      </w:r>
    </w:p>
    <w:p w14:paraId="158049C8" w14:textId="77777777" w:rsidR="00C27479" w:rsidRDefault="009556F5" w:rsidP="007210E9">
      <w:pPr>
        <w:suppressAutoHyphens/>
        <w:spacing w:after="120" w:line="240" w:lineRule="atLeast"/>
        <w:ind w:left="2268" w:right="567" w:hanging="1134"/>
        <w:jc w:val="both"/>
        <w:rPr>
          <w:rFonts w:asciiTheme="majorBidi" w:hAnsiTheme="majorBidi" w:cstheme="majorBidi"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t>Paragraph</w:t>
      </w:r>
      <w:r>
        <w:rPr>
          <w:rFonts w:asciiTheme="majorBidi" w:hAnsiTheme="majorBidi" w:cstheme="majorBidi"/>
          <w:i/>
          <w:iCs/>
          <w:lang w:val="en-US"/>
        </w:rPr>
        <w:t xml:space="preserve"> </w:t>
      </w:r>
      <w:r>
        <w:rPr>
          <w:rFonts w:asciiTheme="majorBidi" w:hAnsiTheme="majorBidi" w:cstheme="majorBidi"/>
          <w:i/>
          <w:iCs/>
          <w:lang w:val="en-US" w:eastAsia="ja-JP"/>
        </w:rPr>
        <w:t>5.5.2.1.</w:t>
      </w:r>
      <w:r>
        <w:rPr>
          <w:rFonts w:asciiTheme="majorBidi" w:hAnsiTheme="majorBidi" w:cstheme="majorBidi"/>
          <w:lang w:val="en-US"/>
        </w:rPr>
        <w:t>, amend to read:</w:t>
      </w:r>
    </w:p>
    <w:p w14:paraId="759B456F" w14:textId="1FE627CA" w:rsidR="00C27479" w:rsidRDefault="005C57BA" w:rsidP="007210E9">
      <w:pPr>
        <w:widowControl w:val="0"/>
        <w:spacing w:after="120"/>
        <w:ind w:left="2268" w:right="567" w:hanging="113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ja-JP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ja-JP"/>
        </w:rPr>
        <w:t>“</w:t>
      </w:r>
      <w:r w:rsidR="009556F5">
        <w:rPr>
          <w:rFonts w:ascii="Times New Roman" w:eastAsia="Times New Roman" w:hAnsi="Times New Roman" w:cs="Times New Roman"/>
          <w:sz w:val="20"/>
          <w:szCs w:val="20"/>
          <w:lang w:val="en-US" w:eastAsia="ja-JP"/>
        </w:rPr>
        <w:t>5.5.2.1.</w:t>
      </w:r>
      <w:r w:rsidR="009556F5">
        <w:rPr>
          <w:rFonts w:ascii="Times New Roman" w:eastAsia="Times New Roman" w:hAnsi="Times New Roman" w:cs="Times New Roman"/>
          <w:sz w:val="20"/>
          <w:szCs w:val="20"/>
          <w:lang w:val="en-US" w:eastAsia="ja-JP"/>
        </w:rPr>
        <w:tab/>
        <w:t>Five test samples representing planes of retro-reflective marking materials have to be submitted to the test laboratory.</w:t>
      </w:r>
      <w:r w:rsidR="009556F5">
        <w:rPr>
          <w:rFonts w:ascii="Times New Roman" w:eastAsia="Times New Roman" w:hAnsi="Times New Roman" w:cs="Times New Roman"/>
          <w:b/>
          <w:sz w:val="20"/>
          <w:szCs w:val="20"/>
          <w:lang w:val="en-US" w:eastAsia="ja-JP"/>
        </w:rPr>
        <w:t xml:space="preserve"> In the case of stripes, at least a length of 3 meters shall be provided;</w:t>
      </w:r>
      <w:r w:rsidR="009556F5">
        <w:rPr>
          <w:rFonts w:ascii="Times New Roman" w:eastAsia="Times New Roman" w:hAnsi="Times New Roman" w:cs="Times New Roman"/>
          <w:sz w:val="20"/>
          <w:szCs w:val="20"/>
          <w:lang w:val="en-US" w:eastAsia="ja-JP"/>
        </w:rPr>
        <w:t xml:space="preserve"> </w:t>
      </w:r>
      <w:r w:rsidR="00F7454D" w:rsidRPr="003770D0">
        <w:rPr>
          <w:rFonts w:ascii="Times New Roman" w:eastAsia="Times New Roman" w:hAnsi="Times New Roman" w:cs="Times New Roman"/>
          <w:strike/>
          <w:sz w:val="20"/>
          <w:szCs w:val="20"/>
          <w:lang w:val="en-US" w:eastAsia="ja-JP"/>
        </w:rPr>
        <w:t>I</w:t>
      </w:r>
      <w:r w:rsidR="009556F5" w:rsidRPr="003770D0">
        <w:rPr>
          <w:rFonts w:ascii="Times New Roman" w:eastAsia="Times New Roman" w:hAnsi="Times New Roman" w:cs="Times New Roman"/>
          <w:strike/>
          <w:sz w:val="20"/>
          <w:szCs w:val="20"/>
          <w:lang w:val="en-US" w:eastAsia="ja-JP"/>
        </w:rPr>
        <w:t>n</w:t>
      </w:r>
      <w:r w:rsidR="009556F5">
        <w:rPr>
          <w:rFonts w:ascii="Times New Roman" w:eastAsia="Times New Roman" w:hAnsi="Times New Roman" w:cs="Times New Roman"/>
          <w:sz w:val="20"/>
          <w:szCs w:val="20"/>
          <w:lang w:val="en-US" w:eastAsia="ja-JP"/>
        </w:rPr>
        <w:t xml:space="preserve"> </w:t>
      </w:r>
      <w:r w:rsidR="00F7454D" w:rsidRPr="003770D0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ja-JP"/>
        </w:rPr>
        <w:t>in</w:t>
      </w:r>
      <w:r w:rsidR="00F7454D">
        <w:rPr>
          <w:rFonts w:ascii="Times New Roman" w:eastAsia="Times New Roman" w:hAnsi="Times New Roman" w:cs="Times New Roman"/>
          <w:sz w:val="20"/>
          <w:szCs w:val="20"/>
          <w:lang w:val="en-US" w:eastAsia="ja-JP"/>
        </w:rPr>
        <w:t xml:space="preserve"> </w:t>
      </w:r>
      <w:r w:rsidR="003770D0">
        <w:rPr>
          <w:rFonts w:ascii="Times New Roman" w:eastAsia="Times New Roman" w:hAnsi="Times New Roman" w:cs="Times New Roman"/>
          <w:sz w:val="20"/>
          <w:szCs w:val="20"/>
          <w:lang w:val="en-US" w:eastAsia="ja-JP"/>
        </w:rPr>
        <w:t xml:space="preserve">the </w:t>
      </w:r>
      <w:r w:rsidR="009556F5">
        <w:rPr>
          <w:rFonts w:ascii="Times New Roman" w:eastAsia="Times New Roman" w:hAnsi="Times New Roman" w:cs="Times New Roman"/>
          <w:sz w:val="20"/>
          <w:szCs w:val="20"/>
          <w:lang w:val="en-US" w:eastAsia="ja-JP"/>
        </w:rPr>
        <w:t>case of planes, at least a surface of 500 mm x 500 mm shall be provided.</w:t>
      </w:r>
      <w:r>
        <w:rPr>
          <w:rFonts w:ascii="Times New Roman" w:eastAsia="Times New Roman" w:hAnsi="Times New Roman" w:cs="Times New Roman"/>
          <w:sz w:val="20"/>
          <w:szCs w:val="20"/>
          <w:lang w:val="en-US" w:eastAsia="ja-JP"/>
        </w:rPr>
        <w:t>”</w:t>
      </w:r>
    </w:p>
    <w:p w14:paraId="6D01FF19" w14:textId="77777777" w:rsidR="003770D0" w:rsidRDefault="003770D0">
      <w:pPr>
        <w:suppressAutoHyphens/>
        <w:spacing w:after="120" w:line="240" w:lineRule="atLeast"/>
        <w:ind w:left="2268" w:right="1395" w:hanging="1134"/>
        <w:jc w:val="both"/>
        <w:rPr>
          <w:rFonts w:ascii="Times New Roman" w:eastAsia="Times New Roman" w:hAnsi="Times New Roman" w:cs="Times New Roman"/>
          <w:i/>
          <w:lang w:val="en-US"/>
        </w:rPr>
      </w:pPr>
    </w:p>
    <w:p w14:paraId="0C922D15" w14:textId="5B913743" w:rsidR="008544A6" w:rsidRDefault="009556F5">
      <w:pPr>
        <w:suppressAutoHyphens/>
        <w:spacing w:after="120" w:line="240" w:lineRule="atLeast"/>
        <w:ind w:left="2268" w:right="1395" w:hanging="1134"/>
        <w:jc w:val="both"/>
        <w:rPr>
          <w:rFonts w:ascii="Times New Roman" w:eastAsia="Times New Roman" w:hAnsi="Times New Roman" w:cs="Times New Roman"/>
          <w:i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t>Annex 1</w:t>
      </w:r>
    </w:p>
    <w:p w14:paraId="4EDC5303" w14:textId="348FF3EA" w:rsidR="00C27479" w:rsidRDefault="008544A6">
      <w:pPr>
        <w:suppressAutoHyphens/>
        <w:spacing w:after="120" w:line="240" w:lineRule="atLeast"/>
        <w:ind w:left="2268" w:right="1395" w:hanging="1134"/>
        <w:jc w:val="both"/>
        <w:rPr>
          <w:rFonts w:asciiTheme="majorBidi" w:hAnsiTheme="majorBidi" w:cstheme="majorBidi"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t>Item 9</w:t>
      </w:r>
      <w:r w:rsidR="009556F5">
        <w:rPr>
          <w:rFonts w:asciiTheme="majorBidi" w:hAnsiTheme="majorBidi" w:cstheme="majorBidi"/>
          <w:lang w:val="en-US"/>
        </w:rPr>
        <w:t>, amend to read:</w:t>
      </w:r>
    </w:p>
    <w:p w14:paraId="2B6B6FF7" w14:textId="16AD22D0" w:rsidR="005C57BA" w:rsidRPr="008544A6" w:rsidRDefault="005C57BA" w:rsidP="007210E9">
      <w:pPr>
        <w:pStyle w:val="para"/>
        <w:ind w:right="567"/>
        <w:rPr>
          <w:b/>
          <w:strike/>
          <w:lang w:val="en-GB"/>
        </w:rPr>
      </w:pPr>
      <w:r>
        <w:rPr>
          <w:b/>
          <w:lang w:val="en-GB"/>
        </w:rPr>
        <w:t>“</w:t>
      </w:r>
      <w:r w:rsidR="008544A6" w:rsidRPr="00775D92">
        <w:rPr>
          <w:lang w:val="en-US"/>
        </w:rPr>
        <w:t>9.</w:t>
      </w:r>
      <w:r w:rsidR="008544A6" w:rsidRPr="00775D92">
        <w:rPr>
          <w:lang w:val="en-US"/>
        </w:rPr>
        <w:tab/>
      </w:r>
      <w:r w:rsidR="008544A6" w:rsidRPr="008544A6">
        <w:rPr>
          <w:strike/>
          <w:lang w:val="en-GB"/>
        </w:rPr>
        <w:t>Remarks</w:t>
      </w:r>
      <w:r w:rsidR="008544A6" w:rsidRPr="00775D92">
        <w:rPr>
          <w:strike/>
          <w:lang w:val="en-US"/>
        </w:rPr>
        <w:t>:</w:t>
      </w:r>
    </w:p>
    <w:p w14:paraId="75698815" w14:textId="308CF187" w:rsidR="00C27479" w:rsidRDefault="009556F5" w:rsidP="00101D9F">
      <w:pPr>
        <w:pStyle w:val="para"/>
        <w:ind w:right="567" w:firstLine="0"/>
        <w:rPr>
          <w:b/>
          <w:bCs/>
          <w:sz w:val="24"/>
          <w:lang w:val="en-GB"/>
        </w:rPr>
      </w:pPr>
      <w:r>
        <w:rPr>
          <w:b/>
          <w:lang w:val="en-GB"/>
        </w:rPr>
        <w:t>Concise description:</w:t>
      </w:r>
    </w:p>
    <w:p w14:paraId="6C968057" w14:textId="56EFD8BE" w:rsidR="00C27479" w:rsidRDefault="009556F5" w:rsidP="00101D9F">
      <w:pPr>
        <w:pStyle w:val="Annex1"/>
        <w:ind w:right="567" w:firstLine="0"/>
        <w:jc w:val="left"/>
        <w:rPr>
          <w:b/>
        </w:rPr>
      </w:pPr>
      <w:r>
        <w:rPr>
          <w:b/>
        </w:rPr>
        <w:t>In isolation/part of an assembly of devices:</w:t>
      </w:r>
      <w:r>
        <w:rPr>
          <w:b/>
          <w:sz w:val="18"/>
          <w:szCs w:val="18"/>
          <w:vertAlign w:val="superscript"/>
        </w:rPr>
        <w:t xml:space="preserve">2 </w:t>
      </w:r>
      <w:r>
        <w:rPr>
          <w:b/>
        </w:rPr>
        <w:tab/>
      </w:r>
    </w:p>
    <w:p w14:paraId="64C68D67" w14:textId="1B167014" w:rsidR="00C27479" w:rsidRDefault="009556F5" w:rsidP="00101D9F">
      <w:pPr>
        <w:pStyle w:val="Annex1"/>
        <w:ind w:right="567" w:firstLine="0"/>
        <w:jc w:val="left"/>
        <w:rPr>
          <w:b/>
        </w:rPr>
      </w:pPr>
      <w:r>
        <w:rPr>
          <w:b/>
        </w:rPr>
        <w:t>Colour of light emitted: white/red/amber:</w:t>
      </w:r>
      <w:r>
        <w:rPr>
          <w:b/>
          <w:sz w:val="18"/>
          <w:szCs w:val="18"/>
          <w:vertAlign w:val="superscript"/>
        </w:rPr>
        <w:t xml:space="preserve">2 </w:t>
      </w:r>
      <w:r>
        <w:rPr>
          <w:b/>
        </w:rPr>
        <w:tab/>
      </w:r>
    </w:p>
    <w:p w14:paraId="302B95BD" w14:textId="46D65CBF" w:rsidR="00C27479" w:rsidRDefault="009556F5" w:rsidP="00101D9F">
      <w:pPr>
        <w:pStyle w:val="Annex1"/>
        <w:ind w:right="567" w:firstLine="0"/>
        <w:jc w:val="left"/>
        <w:rPr>
          <w:b/>
        </w:rPr>
      </w:pPr>
      <w:r>
        <w:rPr>
          <w:b/>
        </w:rPr>
        <w:t>Installation as an integral part of a lamp, which is integrated into the body of a vehicle: yes/no</w:t>
      </w:r>
      <w:r>
        <w:rPr>
          <w:b/>
          <w:sz w:val="18"/>
          <w:szCs w:val="18"/>
          <w:vertAlign w:val="superscript"/>
        </w:rPr>
        <w:t>2</w:t>
      </w:r>
    </w:p>
    <w:p w14:paraId="131C4E07" w14:textId="28B0EF0B" w:rsidR="00C27479" w:rsidRDefault="009556F5" w:rsidP="00101D9F">
      <w:pPr>
        <w:pStyle w:val="Annex1"/>
        <w:ind w:right="567" w:firstLine="0"/>
        <w:jc w:val="left"/>
        <w:rPr>
          <w:b/>
        </w:rPr>
      </w:pPr>
      <w:r>
        <w:rPr>
          <w:b/>
        </w:rPr>
        <w:t xml:space="preserve">Geometric conditions of installation and relating variations, if any: </w:t>
      </w:r>
      <w:r>
        <w:rPr>
          <w:b/>
        </w:rPr>
        <w:tab/>
      </w:r>
    </w:p>
    <w:p w14:paraId="1C77C633" w14:textId="39FB57A6" w:rsidR="008544A6" w:rsidRPr="008544A6" w:rsidRDefault="009556F5" w:rsidP="007210E9">
      <w:pPr>
        <w:pStyle w:val="Annex1"/>
        <w:ind w:right="567" w:firstLine="0"/>
        <w:jc w:val="left"/>
      </w:pPr>
      <w:r>
        <w:rPr>
          <w:b/>
        </w:rPr>
        <w:t>Only for limited mounting height of equal to or less than 750 mm above the ground: yes/no</w:t>
      </w:r>
      <w:r>
        <w:rPr>
          <w:b/>
          <w:vertAlign w:val="superscript"/>
        </w:rPr>
        <w:t>2</w:t>
      </w:r>
      <w:r w:rsidR="008544A6" w:rsidRPr="008544A6">
        <w:rPr>
          <w:b/>
        </w:rPr>
        <w:t xml:space="preserve">    </w:t>
      </w:r>
      <w:r w:rsidR="008544A6" w:rsidRPr="008544A6">
        <w:t>”</w:t>
      </w:r>
    </w:p>
    <w:p w14:paraId="5152686C" w14:textId="77777777" w:rsidR="006C0416" w:rsidRDefault="006C0416" w:rsidP="006C0416">
      <w:pPr>
        <w:suppressAutoHyphens/>
        <w:spacing w:after="120" w:line="240" w:lineRule="atLeast"/>
        <w:ind w:left="2268" w:right="1395" w:hanging="1134"/>
        <w:jc w:val="both"/>
        <w:rPr>
          <w:rFonts w:ascii="Times New Roman" w:eastAsia="Times New Roman" w:hAnsi="Times New Roman" w:cs="Times New Roman"/>
          <w:i/>
          <w:lang w:val="en-US"/>
        </w:rPr>
      </w:pPr>
    </w:p>
    <w:p w14:paraId="617CE29B" w14:textId="77777777" w:rsidR="006C0416" w:rsidRDefault="006C0416" w:rsidP="006C0416">
      <w:pPr>
        <w:suppressAutoHyphens/>
        <w:spacing w:after="120" w:line="240" w:lineRule="atLeast"/>
        <w:ind w:left="2268" w:right="1395" w:hanging="1134"/>
        <w:jc w:val="both"/>
        <w:rPr>
          <w:rFonts w:asciiTheme="majorBidi" w:hAnsiTheme="majorBidi" w:cstheme="majorBidi"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t>Insert a new Item 12</w:t>
      </w:r>
      <w:r>
        <w:rPr>
          <w:rFonts w:asciiTheme="majorBidi" w:hAnsiTheme="majorBidi" w:cstheme="majorBidi"/>
          <w:lang w:val="en-US"/>
        </w:rPr>
        <w:t>, to read:</w:t>
      </w:r>
    </w:p>
    <w:p w14:paraId="3C03F7C8" w14:textId="76FE8174" w:rsidR="00C27479" w:rsidRPr="008544A6" w:rsidRDefault="008544A6" w:rsidP="008544A6">
      <w:pPr>
        <w:pStyle w:val="Annex1"/>
        <w:ind w:right="567"/>
        <w:rPr>
          <w:b/>
          <w:bCs/>
        </w:rPr>
      </w:pPr>
      <w:r>
        <w:rPr>
          <w:bCs/>
        </w:rPr>
        <w:t>“</w:t>
      </w:r>
      <w:r w:rsidR="009556F5" w:rsidRPr="00BB6560">
        <w:rPr>
          <w:b/>
        </w:rPr>
        <w:t>12.</w:t>
      </w:r>
      <w:r w:rsidR="009556F5" w:rsidRPr="00BB6560">
        <w:rPr>
          <w:b/>
        </w:rPr>
        <w:tab/>
      </w:r>
      <w:r w:rsidRPr="00BB6560">
        <w:rPr>
          <w:b/>
        </w:rPr>
        <w:tab/>
      </w:r>
      <w:r w:rsidRPr="008544A6">
        <w:rPr>
          <w:b/>
          <w:bCs/>
        </w:rPr>
        <w:t xml:space="preserve">Position of the approval mark: </w:t>
      </w:r>
      <w:r w:rsidRPr="008544A6">
        <w:rPr>
          <w:b/>
          <w:bCs/>
        </w:rPr>
        <w:tab/>
      </w:r>
      <w:r w:rsidRPr="008544A6">
        <w:t>”</w:t>
      </w:r>
    </w:p>
    <w:p w14:paraId="24201FE8" w14:textId="77777777" w:rsidR="00BB6560" w:rsidRPr="001227F1" w:rsidRDefault="00BB6560" w:rsidP="007210E9">
      <w:pPr>
        <w:pStyle w:val="Annex1"/>
        <w:ind w:right="567"/>
        <w:rPr>
          <w:bCs/>
          <w:sz w:val="22"/>
          <w:szCs w:val="22"/>
        </w:rPr>
      </w:pPr>
    </w:p>
    <w:p w14:paraId="4697C8E3" w14:textId="5BB0AE6B" w:rsidR="008544A6" w:rsidRPr="001227F1" w:rsidRDefault="00BB6560" w:rsidP="007210E9">
      <w:pPr>
        <w:pStyle w:val="Annex1"/>
        <w:ind w:right="567"/>
        <w:rPr>
          <w:bCs/>
          <w:sz w:val="22"/>
          <w:szCs w:val="22"/>
        </w:rPr>
      </w:pPr>
      <w:r w:rsidRPr="001227F1">
        <w:rPr>
          <w:bCs/>
          <w:i/>
          <w:iCs/>
          <w:sz w:val="22"/>
          <w:szCs w:val="22"/>
        </w:rPr>
        <w:t>Renumber existing Items</w:t>
      </w:r>
      <w:r w:rsidR="008544A6" w:rsidRPr="001227F1">
        <w:rPr>
          <w:bCs/>
          <w:i/>
          <w:iCs/>
          <w:sz w:val="22"/>
          <w:szCs w:val="22"/>
        </w:rPr>
        <w:t xml:space="preserve"> </w:t>
      </w:r>
      <w:r w:rsidRPr="001227F1">
        <w:rPr>
          <w:bCs/>
          <w:i/>
          <w:iCs/>
          <w:sz w:val="22"/>
          <w:szCs w:val="22"/>
        </w:rPr>
        <w:t>12 and 13</w:t>
      </w:r>
      <w:r w:rsidR="008544A6" w:rsidRPr="001227F1">
        <w:rPr>
          <w:bCs/>
          <w:sz w:val="22"/>
          <w:szCs w:val="22"/>
        </w:rPr>
        <w:t xml:space="preserve">, </w:t>
      </w:r>
      <w:r w:rsidRPr="001227F1">
        <w:rPr>
          <w:bCs/>
          <w:sz w:val="22"/>
          <w:szCs w:val="22"/>
        </w:rPr>
        <w:t>to read</w:t>
      </w:r>
    </w:p>
    <w:p w14:paraId="7F4588D9" w14:textId="02D48E5B" w:rsidR="00C27479" w:rsidRDefault="00BB6560" w:rsidP="007210E9">
      <w:pPr>
        <w:pStyle w:val="Annex1"/>
        <w:ind w:right="567"/>
      </w:pPr>
      <w:r>
        <w:rPr>
          <w:b/>
        </w:rPr>
        <w:t>“</w:t>
      </w:r>
      <w:r w:rsidRPr="00BB6560">
        <w:rPr>
          <w:bCs/>
          <w:strike/>
        </w:rPr>
        <w:t>12</w:t>
      </w:r>
      <w:r w:rsidR="009556F5">
        <w:rPr>
          <w:b/>
        </w:rPr>
        <w:t>13.</w:t>
      </w:r>
      <w:r w:rsidR="009556F5">
        <w:tab/>
      </w:r>
      <w:r w:rsidR="009556F5">
        <w:tab/>
        <w:t xml:space="preserve">Place: </w:t>
      </w:r>
      <w:r w:rsidR="009556F5">
        <w:tab/>
      </w:r>
    </w:p>
    <w:p w14:paraId="299FDAD4" w14:textId="37D2D3A1" w:rsidR="00C27479" w:rsidRDefault="00BB6560" w:rsidP="007210E9">
      <w:pPr>
        <w:pStyle w:val="Annex1"/>
        <w:ind w:right="567"/>
      </w:pPr>
      <w:r w:rsidRPr="00BB6560">
        <w:rPr>
          <w:bCs/>
          <w:strike/>
        </w:rPr>
        <w:t>13</w:t>
      </w:r>
      <w:r w:rsidR="009556F5">
        <w:rPr>
          <w:b/>
        </w:rPr>
        <w:t>14.</w:t>
      </w:r>
      <w:r w:rsidR="009556F5">
        <w:tab/>
      </w:r>
      <w:r w:rsidR="009556F5">
        <w:tab/>
        <w:t xml:space="preserve">Date: </w:t>
      </w:r>
      <w:r w:rsidR="009556F5">
        <w:tab/>
      </w:r>
      <w:r w:rsidR="009556F5">
        <w:tab/>
      </w:r>
      <w:r w:rsidRPr="008544A6">
        <w:t>”</w:t>
      </w:r>
    </w:p>
    <w:p w14:paraId="59FBDBD1" w14:textId="35D11455" w:rsidR="00BB6560" w:rsidRDefault="00BB6560" w:rsidP="007210E9">
      <w:pPr>
        <w:pStyle w:val="Annex1"/>
        <w:ind w:right="567"/>
        <w:rPr>
          <w:b/>
          <w:sz w:val="22"/>
          <w:szCs w:val="22"/>
        </w:rPr>
      </w:pPr>
    </w:p>
    <w:p w14:paraId="3105DEFD" w14:textId="77777777" w:rsidR="001227F1" w:rsidRPr="001227F1" w:rsidRDefault="001227F1" w:rsidP="007210E9">
      <w:pPr>
        <w:pStyle w:val="Annex1"/>
        <w:ind w:right="567"/>
        <w:rPr>
          <w:b/>
          <w:sz w:val="22"/>
          <w:szCs w:val="22"/>
        </w:rPr>
      </w:pPr>
    </w:p>
    <w:p w14:paraId="40BBFAB2" w14:textId="0C3E56F7" w:rsidR="00BB6560" w:rsidRPr="001227F1" w:rsidRDefault="001227F1" w:rsidP="00BB6560">
      <w:pPr>
        <w:suppressAutoHyphens/>
        <w:spacing w:after="120" w:line="240" w:lineRule="atLeast"/>
        <w:ind w:left="2268" w:right="1395" w:hanging="1134"/>
        <w:jc w:val="both"/>
        <w:rPr>
          <w:rFonts w:asciiTheme="majorBidi" w:hAnsiTheme="majorBidi" w:cstheme="majorBidi"/>
          <w:lang w:val="en-US"/>
        </w:rPr>
      </w:pPr>
      <w:r w:rsidRPr="00A60126">
        <w:rPr>
          <w:rFonts w:ascii="Times New Roman" w:hAnsi="Times New Roman" w:cs="Times New Roman"/>
          <w:bCs/>
          <w:i/>
          <w:iCs/>
        </w:rPr>
        <w:lastRenderedPageBreak/>
        <w:t>Renumber existing</w:t>
      </w:r>
      <w:r w:rsidRPr="00A60126">
        <w:rPr>
          <w:rFonts w:ascii="Times New Roman" w:eastAsia="Times New Roman" w:hAnsi="Times New Roman" w:cs="Times New Roman"/>
          <w:i/>
          <w:lang w:val="en-US"/>
        </w:rPr>
        <w:t xml:space="preserve"> It</w:t>
      </w:r>
      <w:r>
        <w:rPr>
          <w:rFonts w:ascii="Times New Roman" w:eastAsia="Times New Roman" w:hAnsi="Times New Roman" w:cs="Times New Roman"/>
          <w:i/>
          <w:lang w:val="en-US"/>
        </w:rPr>
        <w:t>em 14</w:t>
      </w:r>
      <w:r>
        <w:rPr>
          <w:rFonts w:asciiTheme="majorBidi" w:hAnsiTheme="majorBidi" w:cstheme="majorBidi"/>
          <w:lang w:val="en-US"/>
        </w:rPr>
        <w:t xml:space="preserve">, and </w:t>
      </w:r>
      <w:r w:rsidR="00BB6560" w:rsidRPr="001227F1">
        <w:rPr>
          <w:rFonts w:asciiTheme="majorBidi" w:hAnsiTheme="majorBidi" w:cstheme="majorBidi"/>
          <w:lang w:val="en-US"/>
        </w:rPr>
        <w:t>amend to read:</w:t>
      </w:r>
    </w:p>
    <w:p w14:paraId="749AC35D" w14:textId="08C9E7B2" w:rsidR="00C27479" w:rsidRPr="001227F1" w:rsidRDefault="00BB6560" w:rsidP="00F6369D">
      <w:pPr>
        <w:pStyle w:val="Annex1"/>
        <w:ind w:right="567"/>
      </w:pPr>
      <w:r>
        <w:rPr>
          <w:b/>
        </w:rPr>
        <w:t>“</w:t>
      </w:r>
      <w:r w:rsidR="001227F1" w:rsidRPr="001227F1">
        <w:rPr>
          <w:bCs/>
          <w:strike/>
        </w:rPr>
        <w:t>14</w:t>
      </w:r>
      <w:r w:rsidR="009556F5" w:rsidRPr="001227F1">
        <w:rPr>
          <w:bCs/>
          <w:strike/>
        </w:rPr>
        <w:t>.</w:t>
      </w:r>
      <w:r w:rsidR="001227F1" w:rsidRPr="001227F1">
        <w:rPr>
          <w:b/>
        </w:rPr>
        <w:t>15.</w:t>
      </w:r>
      <w:r w:rsidR="009556F5">
        <w:tab/>
      </w:r>
      <w:r w:rsidR="009556F5" w:rsidRPr="001227F1">
        <w:t xml:space="preserve">Signature: </w:t>
      </w:r>
      <w:r w:rsidR="009556F5" w:rsidRPr="001227F1">
        <w:tab/>
      </w:r>
    </w:p>
    <w:p w14:paraId="479C0E20" w14:textId="744B0D17" w:rsidR="00BB6560" w:rsidRPr="00BB6560" w:rsidRDefault="00BB6560" w:rsidP="00BB6560">
      <w:pPr>
        <w:pStyle w:val="Annex1"/>
        <w:ind w:right="567" w:firstLine="0"/>
        <w:rPr>
          <w:strike/>
        </w:rPr>
      </w:pPr>
      <w:r w:rsidRPr="00BB6560">
        <w:rPr>
          <w:strike/>
        </w:rPr>
        <w:t>Name:</w:t>
      </w:r>
      <w:r w:rsidRPr="00BB6560">
        <w:rPr>
          <w:strike/>
        </w:rPr>
        <w:tab/>
      </w:r>
      <w:r w:rsidR="006C0416" w:rsidRPr="008544A6">
        <w:t>”</w:t>
      </w:r>
    </w:p>
    <w:p w14:paraId="0F0E3951" w14:textId="7E450D9C" w:rsidR="006C0416" w:rsidRPr="001227F1" w:rsidRDefault="006C0416" w:rsidP="006C0416">
      <w:pPr>
        <w:suppressAutoHyphens/>
        <w:spacing w:after="120" w:line="240" w:lineRule="atLeast"/>
        <w:ind w:left="2268" w:right="1395" w:hanging="1134"/>
        <w:jc w:val="both"/>
        <w:rPr>
          <w:rFonts w:ascii="Times New Roman" w:eastAsia="Times New Roman" w:hAnsi="Times New Roman" w:cs="Times New Roman"/>
          <w:i/>
          <w:lang w:val="en-US"/>
        </w:rPr>
      </w:pPr>
    </w:p>
    <w:p w14:paraId="510DD5A4" w14:textId="08FB5551" w:rsidR="001227F1" w:rsidRPr="001227F1" w:rsidRDefault="001227F1" w:rsidP="001227F1">
      <w:pPr>
        <w:pStyle w:val="Annex1"/>
        <w:ind w:right="567"/>
        <w:rPr>
          <w:b/>
          <w:strike/>
          <w:sz w:val="22"/>
          <w:szCs w:val="22"/>
        </w:rPr>
      </w:pPr>
      <w:r w:rsidRPr="001227F1">
        <w:rPr>
          <w:bCs/>
          <w:i/>
          <w:iCs/>
          <w:sz w:val="22"/>
          <w:szCs w:val="22"/>
        </w:rPr>
        <w:t>Renumber existing</w:t>
      </w:r>
      <w:r w:rsidRPr="001227F1">
        <w:rPr>
          <w:rFonts w:eastAsia="Times New Roman"/>
          <w:i/>
          <w:sz w:val="22"/>
          <w:szCs w:val="22"/>
          <w:lang w:val="en-US"/>
        </w:rPr>
        <w:t xml:space="preserve"> Item </w:t>
      </w:r>
      <w:r w:rsidRPr="001227F1">
        <w:rPr>
          <w:i/>
          <w:iCs/>
          <w:sz w:val="22"/>
          <w:szCs w:val="22"/>
          <w:lang w:eastAsia="ja-JP"/>
        </w:rPr>
        <w:t>15,</w:t>
      </w:r>
      <w:r w:rsidRPr="001227F1">
        <w:rPr>
          <w:sz w:val="22"/>
          <w:szCs w:val="22"/>
          <w:lang w:eastAsia="ja-JP"/>
        </w:rPr>
        <w:t xml:space="preserve"> to read</w:t>
      </w:r>
      <w:r w:rsidRPr="001227F1">
        <w:rPr>
          <w:iCs/>
          <w:sz w:val="22"/>
          <w:szCs w:val="22"/>
          <w:lang w:eastAsia="ja-JP"/>
        </w:rPr>
        <w:t>:</w:t>
      </w:r>
      <w:r w:rsidRPr="001227F1">
        <w:rPr>
          <w:b/>
          <w:strike/>
          <w:sz w:val="22"/>
          <w:szCs w:val="22"/>
        </w:rPr>
        <w:t xml:space="preserve"> </w:t>
      </w:r>
    </w:p>
    <w:p w14:paraId="5977D965" w14:textId="296DE5E6" w:rsidR="001227F1" w:rsidRDefault="006C0416" w:rsidP="00893850">
      <w:pPr>
        <w:pStyle w:val="Annex1"/>
        <w:spacing w:after="0"/>
        <w:ind w:right="567"/>
      </w:pPr>
      <w:r>
        <w:rPr>
          <w:b/>
        </w:rPr>
        <w:t>“</w:t>
      </w:r>
      <w:r w:rsidR="00893850" w:rsidRPr="00893850">
        <w:rPr>
          <w:bCs/>
          <w:strike/>
        </w:rPr>
        <w:t>15.</w:t>
      </w:r>
      <w:r w:rsidR="009556F5">
        <w:rPr>
          <w:b/>
        </w:rPr>
        <w:t>16</w:t>
      </w:r>
      <w:r w:rsidR="009556F5" w:rsidRPr="006C0416">
        <w:rPr>
          <w:b/>
        </w:rPr>
        <w:t>.</w:t>
      </w:r>
      <w:r w:rsidR="009556F5" w:rsidRPr="006C0416">
        <w:rPr>
          <w:b/>
        </w:rPr>
        <w:tab/>
      </w:r>
      <w:r w:rsidR="001227F1" w:rsidRPr="001227F1">
        <w:t>Annexed is a list of documents making up the approval file, deposited with the Type</w:t>
      </w:r>
      <w:r w:rsidR="001227F1">
        <w:t xml:space="preserve"> </w:t>
      </w:r>
      <w:r w:rsidR="001227F1" w:rsidRPr="001227F1">
        <w:t>Approval Authority which granted approval; a copy can be obtained on request</w:t>
      </w:r>
      <w:r w:rsidR="00F7454D">
        <w:t>.</w:t>
      </w:r>
      <w:r w:rsidR="001227F1">
        <w:t xml:space="preserve"> </w:t>
      </w:r>
      <w:r w:rsidR="001227F1" w:rsidRPr="008544A6">
        <w:t>”</w:t>
      </w:r>
    </w:p>
    <w:p w14:paraId="007BCF23" w14:textId="77777777" w:rsidR="00893850" w:rsidRPr="001227F1" w:rsidRDefault="00893850" w:rsidP="00893850">
      <w:pPr>
        <w:pStyle w:val="Annex1"/>
        <w:spacing w:after="0"/>
        <w:ind w:right="567"/>
      </w:pPr>
    </w:p>
    <w:p w14:paraId="36D6B424" w14:textId="77777777" w:rsidR="00F67BA8" w:rsidRDefault="009556F5">
      <w:pPr>
        <w:suppressAutoHyphens/>
        <w:spacing w:after="120" w:line="240" w:lineRule="atLeast"/>
        <w:ind w:left="2268" w:right="1395" w:hanging="1134"/>
        <w:jc w:val="both"/>
        <w:rPr>
          <w:rFonts w:ascii="Times New Roman" w:eastAsia="Times New Roman" w:hAnsi="Times New Roman" w:cs="Times New Roman"/>
          <w:i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t>Annex 6</w:t>
      </w:r>
    </w:p>
    <w:p w14:paraId="646140C5" w14:textId="277EBCBC" w:rsidR="00C27479" w:rsidRDefault="00F67BA8">
      <w:pPr>
        <w:suppressAutoHyphens/>
        <w:spacing w:after="120" w:line="240" w:lineRule="atLeast"/>
        <w:ind w:left="2268" w:right="1395" w:hanging="1134"/>
        <w:jc w:val="both"/>
        <w:rPr>
          <w:rFonts w:asciiTheme="majorBidi" w:hAnsiTheme="majorBidi" w:cstheme="majorBidi"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t>Paragraph 1</w:t>
      </w:r>
      <w:r w:rsidR="009556F5">
        <w:rPr>
          <w:rFonts w:asciiTheme="majorBidi" w:hAnsiTheme="majorBidi" w:cstheme="majorBidi"/>
          <w:lang w:val="en-US"/>
        </w:rPr>
        <w:t>, amend to read:</w:t>
      </w:r>
    </w:p>
    <w:p w14:paraId="01FEAB66" w14:textId="259C886D" w:rsidR="00C27479" w:rsidRDefault="00F67BA8" w:rsidP="007210E9">
      <w:pPr>
        <w:tabs>
          <w:tab w:val="left" w:pos="-867"/>
        </w:tabs>
        <w:spacing w:after="120"/>
        <w:ind w:left="2268" w:right="567" w:hanging="1134"/>
        <w:jc w:val="both"/>
        <w:rPr>
          <w:rFonts w:ascii="Times New Roman" w:eastAsia="Times New Roman" w:hAnsi="Times New Roman" w:cs="Times New Roman"/>
          <w:strike/>
          <w:sz w:val="20"/>
          <w:szCs w:val="20"/>
          <w:lang w:val="en-US" w:eastAsia="ja-JP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ja-JP"/>
        </w:rPr>
        <w:t>“</w:t>
      </w:r>
      <w:r w:rsidR="009556F5">
        <w:rPr>
          <w:rFonts w:ascii="Times New Roman" w:eastAsia="Times New Roman" w:hAnsi="Times New Roman" w:cs="Times New Roman"/>
          <w:sz w:val="20"/>
          <w:szCs w:val="20"/>
          <w:lang w:val="en-US" w:eastAsia="ja-JP"/>
        </w:rPr>
        <w:t>1.</w:t>
      </w:r>
      <w:r w:rsidR="009556F5">
        <w:rPr>
          <w:rFonts w:ascii="Times New Roman" w:eastAsia="Times New Roman" w:hAnsi="Times New Roman" w:cs="Times New Roman"/>
          <w:sz w:val="20"/>
          <w:szCs w:val="20"/>
          <w:lang w:val="en-US" w:eastAsia="ja-JP"/>
        </w:rPr>
        <w:tab/>
        <w:t>Test procedure in the case of moulded plastics reflectors of retro-reflecting devices as Classes IA, IB, IIIA, IIIB, IVA, SMV</w:t>
      </w:r>
      <w:r w:rsidR="009556F5" w:rsidRPr="00CC6027">
        <w:rPr>
          <w:rFonts w:ascii="Times New Roman" w:eastAsia="Times New Roman" w:hAnsi="Times New Roman" w:cs="Times New Roman"/>
          <w:bCs/>
          <w:sz w:val="20"/>
          <w:szCs w:val="20"/>
          <w:lang w:val="en-US" w:eastAsia="ja-JP"/>
        </w:rPr>
        <w:t xml:space="preserve">, </w:t>
      </w:r>
      <w:r w:rsidR="009556F5" w:rsidRPr="00CC6027">
        <w:rPr>
          <w:rFonts w:ascii="Times New Roman" w:eastAsia="Times New Roman" w:hAnsi="Times New Roman" w:cs="Times New Roman"/>
          <w:bCs/>
          <w:strike/>
          <w:sz w:val="20"/>
          <w:szCs w:val="20"/>
          <w:lang w:val="en-US" w:eastAsia="ja-JP"/>
        </w:rPr>
        <w:t xml:space="preserve">Marking plates of Classes 1, 2, 3, 4, 5, </w:t>
      </w:r>
      <w:r w:rsidR="009556F5" w:rsidRPr="00CC6027">
        <w:rPr>
          <w:rFonts w:ascii="Times New Roman" w:eastAsia="Times New Roman" w:hAnsi="Times New Roman" w:cs="Times New Roman"/>
          <w:bCs/>
          <w:sz w:val="20"/>
          <w:szCs w:val="20"/>
          <w:lang w:val="en-US" w:eastAsia="ja-JP"/>
        </w:rPr>
        <w:t>and Advance warning</w:t>
      </w:r>
      <w:r w:rsidR="009556F5">
        <w:rPr>
          <w:rFonts w:ascii="Times New Roman" w:eastAsia="Times New Roman" w:hAnsi="Times New Roman" w:cs="Times New Roman"/>
          <w:bCs/>
          <w:sz w:val="20"/>
          <w:szCs w:val="20"/>
          <w:lang w:val="en-US" w:eastAsia="ja-JP"/>
        </w:rPr>
        <w:t xml:space="preserve"> triangle of type 1:</w:t>
      </w:r>
    </w:p>
    <w:p w14:paraId="220215C3" w14:textId="10A603ED" w:rsidR="00C27479" w:rsidRDefault="00CC6027" w:rsidP="007210E9">
      <w:pPr>
        <w:tabs>
          <w:tab w:val="left" w:pos="-867"/>
        </w:tabs>
        <w:spacing w:after="120"/>
        <w:ind w:left="2268" w:right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ja-JP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ja-JP"/>
        </w:rPr>
        <w:t>…</w:t>
      </w:r>
      <w:r w:rsidR="00F67BA8" w:rsidRPr="00F67BA8">
        <w:rPr>
          <w:rFonts w:ascii="Times New Roman" w:eastAsia="Times New Roman" w:hAnsi="Times New Roman" w:cs="Times New Roman"/>
          <w:sz w:val="20"/>
          <w:szCs w:val="20"/>
          <w:lang w:val="en-US" w:eastAsia="ja-JP"/>
        </w:rPr>
        <w:t>”</w:t>
      </w:r>
    </w:p>
    <w:p w14:paraId="18EE01CE" w14:textId="77777777" w:rsidR="00F67BA8" w:rsidRDefault="00F67BA8" w:rsidP="00F67BA8">
      <w:pPr>
        <w:suppressAutoHyphens/>
        <w:spacing w:after="120" w:line="240" w:lineRule="atLeast"/>
        <w:ind w:left="2268" w:right="1395" w:hanging="1134"/>
        <w:jc w:val="both"/>
        <w:rPr>
          <w:rFonts w:ascii="Times New Roman" w:eastAsia="Times New Roman" w:hAnsi="Times New Roman" w:cs="Times New Roman"/>
          <w:i/>
          <w:lang w:val="en-US"/>
        </w:rPr>
      </w:pPr>
    </w:p>
    <w:p w14:paraId="2354FD44" w14:textId="7E4812C9" w:rsidR="00F67BA8" w:rsidRDefault="00F67BA8" w:rsidP="00F67BA8">
      <w:pPr>
        <w:suppressAutoHyphens/>
        <w:spacing w:after="120" w:line="240" w:lineRule="atLeast"/>
        <w:ind w:left="2268" w:right="1395" w:hanging="1134"/>
        <w:jc w:val="both"/>
        <w:rPr>
          <w:rFonts w:asciiTheme="majorBidi" w:hAnsiTheme="majorBidi" w:cstheme="majorBidi"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t>Paragraph 2</w:t>
      </w:r>
      <w:r>
        <w:rPr>
          <w:rFonts w:asciiTheme="majorBidi" w:hAnsiTheme="majorBidi" w:cstheme="majorBidi"/>
          <w:lang w:val="en-US"/>
        </w:rPr>
        <w:t>, amend to read:</w:t>
      </w:r>
    </w:p>
    <w:p w14:paraId="4509AC0A" w14:textId="7C892AAC" w:rsidR="00C27479" w:rsidRDefault="00F67BA8" w:rsidP="007210E9">
      <w:pPr>
        <w:tabs>
          <w:tab w:val="left" w:pos="-867"/>
        </w:tabs>
        <w:spacing w:after="120"/>
        <w:ind w:left="2268" w:right="567" w:hanging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ja-JP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ja-JP"/>
        </w:rPr>
        <w:t>“</w:t>
      </w:r>
      <w:r w:rsidR="009556F5">
        <w:rPr>
          <w:rFonts w:ascii="Times New Roman" w:eastAsia="Times New Roman" w:hAnsi="Times New Roman" w:cs="Times New Roman"/>
          <w:sz w:val="20"/>
          <w:szCs w:val="20"/>
          <w:lang w:val="en-US" w:eastAsia="ja-JP"/>
        </w:rPr>
        <w:t>2.</w:t>
      </w:r>
      <w:r w:rsidR="009556F5">
        <w:rPr>
          <w:rFonts w:ascii="Times New Roman" w:eastAsia="Times New Roman" w:hAnsi="Times New Roman" w:cs="Times New Roman"/>
          <w:sz w:val="20"/>
          <w:szCs w:val="20"/>
          <w:lang w:val="en-US" w:eastAsia="ja-JP"/>
        </w:rPr>
        <w:tab/>
        <w:t>Test procedure in the case of use of flexible materials for Classes C,</w:t>
      </w:r>
      <w:r w:rsidR="009556F5">
        <w:rPr>
          <w:rFonts w:ascii="Times New Roman" w:eastAsia="Times New Roman" w:hAnsi="Times New Roman" w:cs="Times New Roman"/>
          <w:b/>
          <w:sz w:val="20"/>
          <w:szCs w:val="20"/>
          <w:lang w:val="en-US" w:eastAsia="ja-JP"/>
        </w:rPr>
        <w:t xml:space="preserve"> D, E, </w:t>
      </w:r>
      <w:r w:rsidR="009556F5">
        <w:rPr>
          <w:rFonts w:ascii="Times New Roman" w:eastAsia="Times New Roman" w:hAnsi="Times New Roman" w:cs="Times New Roman"/>
          <w:sz w:val="20"/>
          <w:szCs w:val="20"/>
          <w:lang w:val="en-US" w:eastAsia="ja-JP"/>
        </w:rPr>
        <w:t xml:space="preserve">F, </w:t>
      </w:r>
      <w:r w:rsidR="009556F5">
        <w:rPr>
          <w:rFonts w:ascii="Times New Roman" w:eastAsia="Times New Roman" w:hAnsi="Times New Roman" w:cs="Times New Roman" w:hint="eastAsia"/>
          <w:sz w:val="20"/>
          <w:szCs w:val="20"/>
          <w:lang w:val="en-US" w:eastAsia="ja-JP"/>
        </w:rPr>
        <w:t xml:space="preserve">Marking plates of </w:t>
      </w:r>
      <w:r w:rsidR="009556F5">
        <w:rPr>
          <w:rFonts w:ascii="Times New Roman" w:eastAsia="Times New Roman" w:hAnsi="Times New Roman" w:cs="Times New Roman"/>
          <w:sz w:val="20"/>
          <w:szCs w:val="20"/>
          <w:lang w:val="en-US" w:eastAsia="ja-JP"/>
        </w:rPr>
        <w:t>Classes 1, 2, 3, 4, 5</w:t>
      </w:r>
      <w:r w:rsidR="009556F5">
        <w:rPr>
          <w:rFonts w:ascii="Times New Roman" w:eastAsia="Times New Roman" w:hAnsi="Times New Roman" w:cs="Times New Roman" w:hint="eastAsia"/>
          <w:b/>
          <w:sz w:val="20"/>
          <w:szCs w:val="20"/>
          <w:lang w:val="en-US" w:eastAsia="ja-JP"/>
        </w:rPr>
        <w:t xml:space="preserve"> </w:t>
      </w:r>
      <w:r w:rsidR="009556F5">
        <w:rPr>
          <w:rFonts w:ascii="Times New Roman" w:eastAsia="Times New Roman" w:hAnsi="Times New Roman" w:cs="Times New Roman"/>
          <w:bCs/>
          <w:sz w:val="20"/>
          <w:szCs w:val="20"/>
          <w:lang w:val="en-US" w:eastAsia="ja-JP"/>
        </w:rPr>
        <w:t>and Advance warning triangle of type 2:</w:t>
      </w:r>
    </w:p>
    <w:p w14:paraId="3536FA3B" w14:textId="15D4D90B" w:rsidR="00F67BA8" w:rsidRDefault="00F67BA8" w:rsidP="007210E9">
      <w:pPr>
        <w:tabs>
          <w:tab w:val="left" w:pos="-867"/>
        </w:tabs>
        <w:spacing w:after="120"/>
        <w:ind w:left="2268" w:right="567" w:hanging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ja-JP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en-US" w:eastAsia="ja-JP"/>
        </w:rPr>
        <w:tab/>
        <w:t>…</w:t>
      </w:r>
      <w:r>
        <w:rPr>
          <w:rFonts w:ascii="Times New Roman" w:eastAsia="Times New Roman" w:hAnsi="Times New Roman" w:cs="Times New Roman"/>
          <w:sz w:val="20"/>
          <w:szCs w:val="20"/>
          <w:lang w:val="en-US" w:eastAsia="ja-JP"/>
        </w:rPr>
        <w:t>”</w:t>
      </w:r>
    </w:p>
    <w:p w14:paraId="1F19D014" w14:textId="77777777" w:rsidR="00C27479" w:rsidRDefault="00C27479">
      <w:pPr>
        <w:suppressAutoHyphens/>
        <w:spacing w:after="120" w:line="240" w:lineRule="atLeast"/>
        <w:ind w:left="2268" w:right="1395" w:hanging="1134"/>
        <w:jc w:val="both"/>
        <w:rPr>
          <w:rFonts w:ascii="Times New Roman" w:eastAsia="Times New Roman" w:hAnsi="Times New Roman" w:cs="Times New Roman"/>
          <w:i/>
          <w:lang w:val="en-US"/>
        </w:rPr>
      </w:pPr>
    </w:p>
    <w:p w14:paraId="3C505DF1" w14:textId="77777777" w:rsidR="00C27479" w:rsidRDefault="009556F5">
      <w:pPr>
        <w:pStyle w:val="HChG"/>
        <w:spacing w:before="240"/>
        <w:rPr>
          <w:rFonts w:ascii="Arial" w:hAnsi="Arial"/>
          <w:b w:val="0"/>
          <w:bCs/>
          <w:lang w:val="en-US"/>
        </w:rPr>
      </w:pPr>
      <w:r>
        <w:rPr>
          <w:lang w:val="en-US"/>
        </w:rPr>
        <w:tab/>
        <w:t>II.</w:t>
      </w:r>
      <w:r>
        <w:rPr>
          <w:lang w:val="en-US"/>
        </w:rPr>
        <w:tab/>
        <w:t>Justification</w:t>
      </w:r>
    </w:p>
    <w:p w14:paraId="7230B5BF" w14:textId="56BF88D3" w:rsidR="00C27479" w:rsidRPr="006E39AE" w:rsidRDefault="009556F5" w:rsidP="006E39AE">
      <w:pPr>
        <w:pStyle w:val="SingleTxtG"/>
        <w:numPr>
          <w:ilvl w:val="0"/>
          <w:numId w:val="7"/>
        </w:numPr>
        <w:ind w:left="1134" w:right="567" w:firstLine="0"/>
        <w:rPr>
          <w:rFonts w:eastAsiaTheme="minorEastAsia"/>
          <w:bdr w:val="nil"/>
          <w:lang w:val="en-US"/>
        </w:rPr>
      </w:pPr>
      <w:r w:rsidRPr="006E39AE">
        <w:rPr>
          <w:rFonts w:eastAsiaTheme="minorEastAsia"/>
          <w:bdr w:val="nil"/>
          <w:lang w:val="en-US"/>
        </w:rPr>
        <w:t xml:space="preserve">The </w:t>
      </w:r>
      <w:r w:rsidR="006F13D4">
        <w:rPr>
          <w:rFonts w:eastAsiaTheme="minorEastAsia"/>
          <w:bdr w:val="nil"/>
          <w:lang w:val="en-US"/>
        </w:rPr>
        <w:t>proposed</w:t>
      </w:r>
      <w:r w:rsidRPr="006E39AE">
        <w:rPr>
          <w:rFonts w:eastAsiaTheme="minorEastAsia"/>
          <w:bdr w:val="nil"/>
          <w:lang w:val="en-US"/>
        </w:rPr>
        <w:t xml:space="preserve"> provisions are contained in UN Regulation Nos. 3,</w:t>
      </w:r>
      <w:r w:rsidR="006F13D4">
        <w:rPr>
          <w:rFonts w:eastAsiaTheme="minorEastAsia"/>
          <w:bdr w:val="nil"/>
          <w:lang w:val="en-US"/>
        </w:rPr>
        <w:t xml:space="preserve"> </w:t>
      </w:r>
      <w:r w:rsidRPr="006E39AE">
        <w:rPr>
          <w:rFonts w:eastAsiaTheme="minorEastAsia"/>
          <w:bdr w:val="nil"/>
          <w:lang w:val="en-US"/>
        </w:rPr>
        <w:t>27</w:t>
      </w:r>
      <w:r w:rsidR="006F13D4">
        <w:rPr>
          <w:rFonts w:eastAsiaTheme="minorEastAsia"/>
          <w:bdr w:val="nil"/>
          <w:lang w:val="en-US"/>
        </w:rPr>
        <w:t>,</w:t>
      </w:r>
      <w:r w:rsidRPr="006E39AE">
        <w:rPr>
          <w:rFonts w:eastAsiaTheme="minorEastAsia"/>
          <w:bdr w:val="nil"/>
          <w:lang w:val="en-US"/>
        </w:rPr>
        <w:t xml:space="preserve"> 69,</w:t>
      </w:r>
      <w:r w:rsidR="006F13D4">
        <w:rPr>
          <w:rFonts w:eastAsiaTheme="minorEastAsia"/>
          <w:bdr w:val="nil"/>
          <w:lang w:val="en-US"/>
        </w:rPr>
        <w:t xml:space="preserve"> </w:t>
      </w:r>
      <w:r w:rsidRPr="006E39AE">
        <w:rPr>
          <w:rFonts w:eastAsiaTheme="minorEastAsia"/>
          <w:bdr w:val="nil"/>
          <w:lang w:val="en-US"/>
        </w:rPr>
        <w:t xml:space="preserve">70 </w:t>
      </w:r>
      <w:r w:rsidR="006F13D4">
        <w:rPr>
          <w:rFonts w:eastAsiaTheme="minorEastAsia"/>
          <w:bdr w:val="nil"/>
          <w:lang w:val="en-US"/>
        </w:rPr>
        <w:t>and</w:t>
      </w:r>
      <w:r w:rsidRPr="006E39AE">
        <w:rPr>
          <w:rFonts w:eastAsiaTheme="minorEastAsia"/>
          <w:bdr w:val="nil"/>
          <w:lang w:val="en-US"/>
        </w:rPr>
        <w:t xml:space="preserve"> 104 but unintentionally were not included in the text of the existing UN Regulation No. 150.</w:t>
      </w:r>
    </w:p>
    <w:p w14:paraId="51B9605D" w14:textId="6647A94A" w:rsidR="00C27479" w:rsidRPr="006E39AE" w:rsidRDefault="009556F5" w:rsidP="006E39AE">
      <w:pPr>
        <w:pStyle w:val="SingleTxtG"/>
        <w:numPr>
          <w:ilvl w:val="0"/>
          <w:numId w:val="7"/>
        </w:numPr>
        <w:ind w:left="1134" w:right="567" w:firstLine="0"/>
        <w:rPr>
          <w:rFonts w:eastAsiaTheme="minorEastAsia"/>
          <w:bdr w:val="nil"/>
          <w:lang w:val="en-US"/>
        </w:rPr>
      </w:pPr>
      <w:r w:rsidRPr="006E39AE">
        <w:rPr>
          <w:rFonts w:eastAsiaTheme="minorEastAsia"/>
          <w:bdr w:val="nil"/>
          <w:lang w:val="en-US"/>
        </w:rPr>
        <w:t>Paragraph 5.5.2.1.: The test procedure for marking materials in case of stripes is defined in UN R</w:t>
      </w:r>
      <w:r w:rsidR="006F13D4">
        <w:rPr>
          <w:rFonts w:eastAsiaTheme="minorEastAsia"/>
          <w:bdr w:val="nil"/>
          <w:lang w:val="en-US"/>
        </w:rPr>
        <w:t xml:space="preserve">egulation No. </w:t>
      </w:r>
      <w:r w:rsidRPr="006E39AE">
        <w:rPr>
          <w:rFonts w:eastAsiaTheme="minorEastAsia"/>
          <w:bdr w:val="nil"/>
          <w:lang w:val="en-US"/>
        </w:rPr>
        <w:t xml:space="preserve">104 and </w:t>
      </w:r>
      <w:r w:rsidR="006F13D4">
        <w:rPr>
          <w:rFonts w:eastAsiaTheme="minorEastAsia"/>
          <w:bdr w:val="nil"/>
          <w:lang w:val="en-US"/>
        </w:rPr>
        <w:t>shall</w:t>
      </w:r>
      <w:r w:rsidRPr="006E39AE">
        <w:rPr>
          <w:rFonts w:eastAsiaTheme="minorEastAsia"/>
          <w:bdr w:val="nil"/>
          <w:lang w:val="en-US"/>
        </w:rPr>
        <w:t xml:space="preserve"> be added.</w:t>
      </w:r>
    </w:p>
    <w:p w14:paraId="4FB2B2EA" w14:textId="704FF902" w:rsidR="00C27479" w:rsidRPr="006E39AE" w:rsidRDefault="009556F5" w:rsidP="006E39AE">
      <w:pPr>
        <w:pStyle w:val="SingleTxtG"/>
        <w:numPr>
          <w:ilvl w:val="0"/>
          <w:numId w:val="7"/>
        </w:numPr>
        <w:ind w:left="1134" w:right="567" w:firstLine="0"/>
        <w:rPr>
          <w:rFonts w:eastAsiaTheme="minorEastAsia"/>
          <w:bdr w:val="nil"/>
          <w:lang w:val="en-US"/>
        </w:rPr>
      </w:pPr>
      <w:r w:rsidRPr="006E39AE">
        <w:rPr>
          <w:rFonts w:eastAsiaTheme="minorEastAsia"/>
          <w:bdr w:val="nil"/>
          <w:lang w:val="en-US"/>
        </w:rPr>
        <w:t xml:space="preserve">Annex 1 </w:t>
      </w:r>
      <w:r w:rsidR="006F13D4">
        <w:rPr>
          <w:rFonts w:eastAsiaTheme="minorEastAsia"/>
          <w:bdr w:val="nil"/>
          <w:lang w:val="en-US"/>
        </w:rPr>
        <w:t>“</w:t>
      </w:r>
      <w:r w:rsidRPr="006E39AE">
        <w:rPr>
          <w:rFonts w:eastAsiaTheme="minorEastAsia"/>
          <w:bdr w:val="nil"/>
          <w:lang w:val="en-US"/>
        </w:rPr>
        <w:t>Communication</w:t>
      </w:r>
      <w:r w:rsidR="006F13D4">
        <w:rPr>
          <w:rFonts w:eastAsiaTheme="minorEastAsia"/>
          <w:bdr w:val="nil"/>
          <w:lang w:val="en-US"/>
        </w:rPr>
        <w:t>”</w:t>
      </w:r>
      <w:r w:rsidRPr="006E39AE">
        <w:rPr>
          <w:rFonts w:eastAsiaTheme="minorEastAsia"/>
          <w:bdr w:val="nil"/>
          <w:lang w:val="en-US"/>
        </w:rPr>
        <w:t>: in UN R</w:t>
      </w:r>
      <w:r w:rsidR="006F13D4">
        <w:rPr>
          <w:rFonts w:eastAsiaTheme="minorEastAsia"/>
          <w:bdr w:val="nil"/>
          <w:lang w:val="en-US"/>
        </w:rPr>
        <w:t xml:space="preserve">egulation No. </w:t>
      </w:r>
      <w:r w:rsidRPr="006E39AE">
        <w:rPr>
          <w:rFonts w:eastAsiaTheme="minorEastAsia"/>
          <w:bdr w:val="nil"/>
          <w:lang w:val="en-US"/>
        </w:rPr>
        <w:t xml:space="preserve">3 the concise description of the retroreflector is required and </w:t>
      </w:r>
      <w:r w:rsidR="006F13D4">
        <w:rPr>
          <w:rFonts w:eastAsiaTheme="minorEastAsia"/>
          <w:bdr w:val="nil"/>
          <w:lang w:val="en-US"/>
        </w:rPr>
        <w:t>shall</w:t>
      </w:r>
      <w:r w:rsidRPr="006E39AE">
        <w:rPr>
          <w:rFonts w:eastAsiaTheme="minorEastAsia"/>
          <w:bdr w:val="nil"/>
          <w:lang w:val="en-US"/>
        </w:rPr>
        <w:t xml:space="preserve"> be added. </w:t>
      </w:r>
      <w:r w:rsidR="005C57BA" w:rsidRPr="006E39AE">
        <w:rPr>
          <w:rFonts w:eastAsiaTheme="minorEastAsia"/>
          <w:bdr w:val="nil"/>
          <w:lang w:val="en-US"/>
        </w:rPr>
        <w:t>Consequently,</w:t>
      </w:r>
      <w:r w:rsidRPr="006E39AE">
        <w:rPr>
          <w:rFonts w:eastAsiaTheme="minorEastAsia"/>
          <w:bdr w:val="nil"/>
          <w:lang w:val="en-US"/>
        </w:rPr>
        <w:t xml:space="preserve"> the </w:t>
      </w:r>
      <w:r w:rsidR="006F13D4" w:rsidRPr="006E39AE">
        <w:rPr>
          <w:rFonts w:eastAsiaTheme="minorEastAsia"/>
          <w:bdr w:val="nil"/>
          <w:lang w:val="en-US"/>
        </w:rPr>
        <w:t>subsequent</w:t>
      </w:r>
      <w:r w:rsidRPr="006E39AE">
        <w:rPr>
          <w:rFonts w:eastAsiaTheme="minorEastAsia"/>
          <w:bdr w:val="nil"/>
          <w:lang w:val="en-US"/>
        </w:rPr>
        <w:t xml:space="preserve"> points of the list </w:t>
      </w:r>
      <w:r w:rsidR="006F13D4">
        <w:rPr>
          <w:rFonts w:eastAsiaTheme="minorEastAsia"/>
          <w:bdr w:val="nil"/>
          <w:lang w:val="en-US"/>
        </w:rPr>
        <w:t>had to</w:t>
      </w:r>
      <w:r w:rsidRPr="006E39AE">
        <w:rPr>
          <w:rFonts w:eastAsiaTheme="minorEastAsia"/>
          <w:bdr w:val="nil"/>
          <w:lang w:val="en-US"/>
        </w:rPr>
        <w:t xml:space="preserve"> be renumbered.</w:t>
      </w:r>
    </w:p>
    <w:p w14:paraId="1586A0C3" w14:textId="4FA81440" w:rsidR="00C27479" w:rsidRPr="006E39AE" w:rsidRDefault="009556F5" w:rsidP="006E39AE">
      <w:pPr>
        <w:pStyle w:val="SingleTxtG"/>
        <w:numPr>
          <w:ilvl w:val="0"/>
          <w:numId w:val="7"/>
        </w:numPr>
        <w:ind w:left="1134" w:right="567" w:firstLine="0"/>
        <w:rPr>
          <w:rFonts w:eastAsiaTheme="minorEastAsia"/>
          <w:bdr w:val="nil"/>
          <w:lang w:val="en-US"/>
        </w:rPr>
      </w:pPr>
      <w:r w:rsidRPr="006E39AE">
        <w:rPr>
          <w:rFonts w:eastAsiaTheme="minorEastAsia"/>
          <w:bdr w:val="nil"/>
          <w:lang w:val="en-US"/>
        </w:rPr>
        <w:t xml:space="preserve">Annex 6, Paragraph 1: For </w:t>
      </w:r>
      <w:r w:rsidR="006F13D4">
        <w:rPr>
          <w:rFonts w:eastAsiaTheme="minorEastAsia"/>
          <w:bdr w:val="nil"/>
          <w:lang w:val="en-US"/>
        </w:rPr>
        <w:t>C</w:t>
      </w:r>
      <w:r w:rsidRPr="006E39AE">
        <w:rPr>
          <w:rFonts w:eastAsiaTheme="minorEastAsia"/>
          <w:bdr w:val="nil"/>
          <w:lang w:val="en-US"/>
        </w:rPr>
        <w:t>lasses</w:t>
      </w:r>
      <w:r w:rsidR="006F13D4">
        <w:rPr>
          <w:rFonts w:eastAsiaTheme="minorEastAsia"/>
          <w:bdr w:val="nil"/>
          <w:lang w:val="en-US"/>
        </w:rPr>
        <w:t xml:space="preserve"> </w:t>
      </w:r>
      <w:r w:rsidRPr="006E39AE">
        <w:rPr>
          <w:rFonts w:eastAsiaTheme="minorEastAsia"/>
          <w:bdr w:val="nil"/>
          <w:lang w:val="en-US"/>
        </w:rPr>
        <w:t xml:space="preserve">1 to 5, two test procedures (paragraph 1 and 2) are applied in </w:t>
      </w:r>
      <w:r w:rsidR="006F13D4">
        <w:rPr>
          <w:rFonts w:eastAsiaTheme="minorEastAsia"/>
          <w:bdr w:val="nil"/>
          <w:lang w:val="en-US"/>
        </w:rPr>
        <w:t xml:space="preserve">UN </w:t>
      </w:r>
      <w:r w:rsidRPr="006E39AE">
        <w:rPr>
          <w:rFonts w:eastAsiaTheme="minorEastAsia"/>
          <w:bdr w:val="nil"/>
          <w:lang w:val="en-US"/>
        </w:rPr>
        <w:t>R</w:t>
      </w:r>
      <w:r w:rsidR="006F13D4">
        <w:rPr>
          <w:rFonts w:eastAsiaTheme="minorEastAsia"/>
          <w:bdr w:val="nil"/>
          <w:lang w:val="en-US"/>
        </w:rPr>
        <w:t xml:space="preserve">egulation No. </w:t>
      </w:r>
      <w:r w:rsidRPr="006E39AE">
        <w:rPr>
          <w:rFonts w:eastAsiaTheme="minorEastAsia"/>
          <w:bdr w:val="nil"/>
          <w:lang w:val="en-US"/>
        </w:rPr>
        <w:t xml:space="preserve">150.  On the other hand, </w:t>
      </w:r>
      <w:r w:rsidR="006F13D4">
        <w:rPr>
          <w:rFonts w:eastAsiaTheme="minorEastAsia"/>
          <w:bdr w:val="nil"/>
          <w:lang w:val="en-US"/>
        </w:rPr>
        <w:t xml:space="preserve">UN </w:t>
      </w:r>
      <w:r w:rsidR="006F13D4" w:rsidRPr="006E39AE">
        <w:rPr>
          <w:rFonts w:eastAsiaTheme="minorEastAsia"/>
          <w:bdr w:val="nil"/>
          <w:lang w:val="en-US"/>
        </w:rPr>
        <w:t>R</w:t>
      </w:r>
      <w:r w:rsidR="006F13D4">
        <w:rPr>
          <w:rFonts w:eastAsiaTheme="minorEastAsia"/>
          <w:bdr w:val="nil"/>
          <w:lang w:val="en-US"/>
        </w:rPr>
        <w:t xml:space="preserve">egulation No. </w:t>
      </w:r>
      <w:r w:rsidRPr="006E39AE">
        <w:rPr>
          <w:rFonts w:eastAsiaTheme="minorEastAsia"/>
          <w:bdr w:val="nil"/>
          <w:lang w:val="en-US"/>
        </w:rPr>
        <w:t xml:space="preserve">70, Annex 9 does not specify the test procedure of paragraph 1 of R150. </w:t>
      </w:r>
      <w:r w:rsidR="006F13D4">
        <w:rPr>
          <w:rFonts w:eastAsiaTheme="minorEastAsia"/>
          <w:bdr w:val="nil"/>
          <w:lang w:val="en-US"/>
        </w:rPr>
        <w:t>Therefore, i</w:t>
      </w:r>
      <w:r w:rsidRPr="006E39AE">
        <w:rPr>
          <w:rFonts w:eastAsiaTheme="minorEastAsia"/>
          <w:bdr w:val="nil"/>
          <w:lang w:val="en-US"/>
        </w:rPr>
        <w:t xml:space="preserve">t is wrong to apply </w:t>
      </w:r>
      <w:r w:rsidR="006F13D4">
        <w:rPr>
          <w:rFonts w:eastAsiaTheme="minorEastAsia"/>
          <w:bdr w:val="nil"/>
          <w:lang w:val="en-US"/>
        </w:rPr>
        <w:t>C</w:t>
      </w:r>
      <w:r w:rsidRPr="006E39AE">
        <w:rPr>
          <w:rFonts w:eastAsiaTheme="minorEastAsia"/>
          <w:bdr w:val="nil"/>
          <w:lang w:val="en-US"/>
        </w:rPr>
        <w:t>lasses 1 to 5 to paragraph 1.</w:t>
      </w:r>
    </w:p>
    <w:p w14:paraId="68D225F0" w14:textId="01EAD805" w:rsidR="00C27479" w:rsidRPr="006E39AE" w:rsidRDefault="009556F5" w:rsidP="006E39AE">
      <w:pPr>
        <w:pStyle w:val="SingleTxtG"/>
        <w:numPr>
          <w:ilvl w:val="0"/>
          <w:numId w:val="7"/>
        </w:numPr>
        <w:ind w:left="1134" w:right="567" w:firstLine="0"/>
        <w:rPr>
          <w:rFonts w:eastAsiaTheme="minorEastAsia"/>
          <w:bdr w:val="nil"/>
          <w:lang w:val="en-US"/>
        </w:rPr>
      </w:pPr>
      <w:r w:rsidRPr="006E39AE">
        <w:rPr>
          <w:rFonts w:eastAsiaTheme="minorEastAsia"/>
          <w:bdr w:val="nil"/>
          <w:lang w:val="en-US"/>
        </w:rPr>
        <w:t xml:space="preserve">Annex 6, Paragraph 1: </w:t>
      </w:r>
      <w:r w:rsidR="00F82132">
        <w:rPr>
          <w:rFonts w:eastAsiaTheme="minorEastAsia"/>
          <w:bdr w:val="nil"/>
          <w:lang w:val="en-US"/>
        </w:rPr>
        <w:t xml:space="preserve">The heat test has not been applied to </w:t>
      </w:r>
      <w:r w:rsidRPr="006E39AE">
        <w:rPr>
          <w:rFonts w:eastAsiaTheme="minorEastAsia" w:hint="eastAsia"/>
          <w:bdr w:val="nil"/>
          <w:lang w:val="en-US"/>
        </w:rPr>
        <w:t xml:space="preserve">Classes D and E. </w:t>
      </w:r>
      <w:r w:rsidRPr="006E39AE">
        <w:rPr>
          <w:rFonts w:eastAsiaTheme="minorEastAsia"/>
          <w:bdr w:val="nil"/>
          <w:lang w:val="en-US"/>
        </w:rPr>
        <w:t xml:space="preserve">However, </w:t>
      </w:r>
      <w:r w:rsidR="00F7454D" w:rsidRPr="006E39AE">
        <w:rPr>
          <w:rFonts w:eastAsiaTheme="minorEastAsia"/>
          <w:bdr w:val="nil"/>
          <w:lang w:val="en-US"/>
        </w:rPr>
        <w:t xml:space="preserve">Annex 8 </w:t>
      </w:r>
      <w:r w:rsidR="00F7454D">
        <w:rPr>
          <w:rFonts w:eastAsiaTheme="minorEastAsia"/>
          <w:bdr w:val="nil"/>
          <w:lang w:val="en-US"/>
        </w:rPr>
        <w:t xml:space="preserve">to </w:t>
      </w:r>
      <w:r w:rsidR="006F13D4">
        <w:rPr>
          <w:rFonts w:eastAsiaTheme="minorEastAsia"/>
          <w:bdr w:val="nil"/>
          <w:lang w:val="en-US"/>
        </w:rPr>
        <w:t xml:space="preserve">UN </w:t>
      </w:r>
      <w:r w:rsidR="006F13D4" w:rsidRPr="006E39AE">
        <w:rPr>
          <w:rFonts w:eastAsiaTheme="minorEastAsia"/>
          <w:bdr w:val="nil"/>
          <w:lang w:val="en-US"/>
        </w:rPr>
        <w:t>R</w:t>
      </w:r>
      <w:r w:rsidR="006F13D4">
        <w:rPr>
          <w:rFonts w:eastAsiaTheme="minorEastAsia"/>
          <w:bdr w:val="nil"/>
          <w:lang w:val="en-US"/>
        </w:rPr>
        <w:t xml:space="preserve">egulation No. </w:t>
      </w:r>
      <w:r w:rsidRPr="006E39AE">
        <w:rPr>
          <w:rFonts w:eastAsiaTheme="minorEastAsia"/>
          <w:bdr w:val="nil"/>
          <w:lang w:val="en-US"/>
        </w:rPr>
        <w:t>104 does</w:t>
      </w:r>
      <w:r w:rsidR="006F13D4">
        <w:rPr>
          <w:rFonts w:eastAsiaTheme="minorEastAsia"/>
          <w:bdr w:val="nil"/>
          <w:lang w:val="en-US"/>
        </w:rPr>
        <w:t xml:space="preserve"> </w:t>
      </w:r>
      <w:r w:rsidRPr="006E39AE">
        <w:rPr>
          <w:rFonts w:eastAsiaTheme="minorEastAsia"/>
          <w:bdr w:val="nil"/>
          <w:lang w:val="en-US"/>
        </w:rPr>
        <w:t>n</w:t>
      </w:r>
      <w:r w:rsidR="006F13D4">
        <w:rPr>
          <w:rFonts w:eastAsiaTheme="minorEastAsia"/>
          <w:bdr w:val="nil"/>
          <w:lang w:val="en-US"/>
        </w:rPr>
        <w:t>o</w:t>
      </w:r>
      <w:r w:rsidRPr="006E39AE">
        <w:rPr>
          <w:rFonts w:eastAsiaTheme="minorEastAsia"/>
          <w:bdr w:val="nil"/>
          <w:lang w:val="en-US"/>
        </w:rPr>
        <w:t>t exclude Class</w:t>
      </w:r>
      <w:r w:rsidR="006F13D4">
        <w:rPr>
          <w:rFonts w:eastAsiaTheme="minorEastAsia"/>
          <w:bdr w:val="nil"/>
          <w:lang w:val="en-US"/>
        </w:rPr>
        <w:t>es</w:t>
      </w:r>
      <w:r w:rsidRPr="006E39AE">
        <w:rPr>
          <w:rFonts w:eastAsiaTheme="minorEastAsia"/>
          <w:bdr w:val="nil"/>
          <w:lang w:val="en-US"/>
        </w:rPr>
        <w:t xml:space="preserve"> D and E</w:t>
      </w:r>
      <w:r w:rsidR="00F7454D">
        <w:rPr>
          <w:rFonts w:eastAsiaTheme="minorEastAsia"/>
          <w:bdr w:val="nil"/>
          <w:lang w:val="en-US"/>
        </w:rPr>
        <w:t xml:space="preserve">, therefore </w:t>
      </w:r>
      <w:r w:rsidRPr="006E39AE">
        <w:rPr>
          <w:rFonts w:eastAsiaTheme="minorEastAsia" w:hint="eastAsia"/>
          <w:bdr w:val="nil"/>
          <w:lang w:val="en-US"/>
        </w:rPr>
        <w:t xml:space="preserve">Classes D and E </w:t>
      </w:r>
      <w:r w:rsidR="00F7454D">
        <w:rPr>
          <w:rFonts w:eastAsiaTheme="minorEastAsia"/>
          <w:bdr w:val="nil"/>
          <w:lang w:val="en-US"/>
        </w:rPr>
        <w:t xml:space="preserve">should </w:t>
      </w:r>
      <w:r w:rsidRPr="006E39AE">
        <w:rPr>
          <w:rFonts w:eastAsiaTheme="minorEastAsia" w:hint="eastAsia"/>
          <w:bdr w:val="nil"/>
          <w:lang w:val="en-US"/>
        </w:rPr>
        <w:t xml:space="preserve">also be </w:t>
      </w:r>
      <w:r w:rsidR="00F7454D">
        <w:rPr>
          <w:rFonts w:eastAsiaTheme="minorEastAsia"/>
          <w:bdr w:val="nil"/>
          <w:lang w:val="en-US"/>
        </w:rPr>
        <w:t>included</w:t>
      </w:r>
      <w:r w:rsidRPr="006E39AE">
        <w:rPr>
          <w:rFonts w:eastAsiaTheme="minorEastAsia" w:hint="eastAsia"/>
          <w:bdr w:val="nil"/>
          <w:lang w:val="en-US"/>
        </w:rPr>
        <w:t>.</w:t>
      </w:r>
    </w:p>
    <w:sectPr w:rsidR="00C27479" w:rsidRPr="006E39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5035A" w14:textId="77777777" w:rsidR="00994D95" w:rsidRDefault="00994D95">
      <w:pPr>
        <w:spacing w:after="0" w:line="240" w:lineRule="auto"/>
      </w:pPr>
      <w:r>
        <w:separator/>
      </w:r>
    </w:p>
  </w:endnote>
  <w:endnote w:type="continuationSeparator" w:id="0">
    <w:p w14:paraId="62CF7B4A" w14:textId="77777777" w:rsidR="00994D95" w:rsidRDefault="0099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961D9" w14:textId="77777777" w:rsidR="00E4553A" w:rsidRDefault="00E45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7730F" w14:textId="77777777" w:rsidR="00E4553A" w:rsidRDefault="00E455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CD34E" w14:textId="77777777" w:rsidR="00E4553A" w:rsidRDefault="00E45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AA5CE" w14:textId="77777777" w:rsidR="00994D95" w:rsidRDefault="00994D95">
      <w:pPr>
        <w:spacing w:after="0" w:line="240" w:lineRule="auto"/>
      </w:pPr>
      <w:r>
        <w:separator/>
      </w:r>
    </w:p>
  </w:footnote>
  <w:footnote w:type="continuationSeparator" w:id="0">
    <w:p w14:paraId="746D16FD" w14:textId="77777777" w:rsidR="00994D95" w:rsidRDefault="00994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8CA85" w14:textId="77777777" w:rsidR="00E4553A" w:rsidRDefault="00E455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805C9" w14:textId="77777777" w:rsidR="00E4553A" w:rsidRDefault="00E455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8" w:type="dxa"/>
      <w:tblInd w:w="108" w:type="dxa"/>
      <w:tblLook w:val="04A0" w:firstRow="1" w:lastRow="0" w:firstColumn="1" w:lastColumn="0" w:noHBand="0" w:noVBand="1"/>
    </w:tblPr>
    <w:tblGrid>
      <w:gridCol w:w="4395"/>
      <w:gridCol w:w="5103"/>
    </w:tblGrid>
    <w:tr w:rsidR="00C27479" w14:paraId="7FB50719" w14:textId="77777777">
      <w:tc>
        <w:tcPr>
          <w:tcW w:w="4395" w:type="dxa"/>
          <w:vAlign w:val="center"/>
          <w:hideMark/>
        </w:tcPr>
        <w:p w14:paraId="06BD16A2" w14:textId="77777777" w:rsidR="00C27479" w:rsidRDefault="009556F5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>Transmitted by the GRE-IWG SLR</w:t>
          </w:r>
        </w:p>
      </w:tc>
      <w:tc>
        <w:tcPr>
          <w:tcW w:w="5103" w:type="dxa"/>
          <w:hideMark/>
        </w:tcPr>
        <w:p w14:paraId="1F1A04D8" w14:textId="749DFBEB" w:rsidR="00C27479" w:rsidRPr="00775D92" w:rsidRDefault="009556F5">
          <w:pPr>
            <w:suppressAutoHyphens/>
            <w:spacing w:after="0" w:line="240" w:lineRule="auto"/>
            <w:ind w:left="884"/>
            <w:rPr>
              <w:rFonts w:ascii="Times New Roman" w:eastAsia="Times New Roman" w:hAnsi="Times New Roman" w:cs="Times New Roman"/>
              <w:b/>
              <w:bCs/>
              <w:sz w:val="32"/>
              <w:szCs w:val="24"/>
              <w:lang w:val="en-US" w:eastAsia="ar-SA"/>
            </w:rPr>
          </w:pPr>
          <w:r w:rsidRPr="00775D92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val="en-US" w:eastAsia="ar-SA"/>
            </w:rPr>
            <w:t>Informal document</w:t>
          </w:r>
          <w:r w:rsidRPr="00775D92">
            <w:rPr>
              <w:rFonts w:ascii="Times New Roman" w:eastAsia="Times New Roman" w:hAnsi="Times New Roman" w:cs="Times New Roman"/>
              <w:sz w:val="24"/>
              <w:szCs w:val="24"/>
              <w:lang w:val="en-US" w:eastAsia="ar-SA"/>
            </w:rPr>
            <w:t xml:space="preserve"> </w:t>
          </w:r>
          <w:r w:rsidRPr="00775D9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 w:eastAsia="ar-SA"/>
            </w:rPr>
            <w:t>GRE-8</w:t>
          </w:r>
          <w:r w:rsidRPr="00775D92">
            <w:rPr>
              <w:rFonts w:ascii="Times New Roman" w:eastAsia="Yu Mincho" w:hAnsi="Times New Roman" w:cs="Times New Roman" w:hint="eastAsia"/>
              <w:b/>
              <w:bCs/>
              <w:sz w:val="24"/>
              <w:szCs w:val="24"/>
              <w:lang w:val="en-US" w:eastAsia="ja-JP"/>
            </w:rPr>
            <w:t>4</w:t>
          </w:r>
          <w:r w:rsidRPr="00775D9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 w:eastAsia="ar-SA"/>
            </w:rPr>
            <w:t>-</w:t>
          </w:r>
          <w:r w:rsidR="00E4553A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 w:eastAsia="ar-SA"/>
            </w:rPr>
            <w:t>04</w:t>
          </w:r>
        </w:p>
        <w:p w14:paraId="44388A97" w14:textId="77777777" w:rsidR="00C27479" w:rsidRPr="00775D92" w:rsidRDefault="009556F5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left="884"/>
            <w:rPr>
              <w:rFonts w:ascii="Times New Roman" w:eastAsia="Times New Roman" w:hAnsi="Times New Roman" w:cs="Times New Roman"/>
              <w:sz w:val="24"/>
              <w:szCs w:val="24"/>
              <w:lang w:val="en-US" w:eastAsia="ar-SA"/>
            </w:rPr>
          </w:pPr>
          <w:r w:rsidRPr="00775D92">
            <w:rPr>
              <w:rFonts w:ascii="Times New Roman" w:eastAsia="Times New Roman" w:hAnsi="Times New Roman" w:cs="Times New Roman"/>
              <w:sz w:val="24"/>
              <w:szCs w:val="24"/>
              <w:lang w:val="en-US" w:eastAsia="ar-SA"/>
            </w:rPr>
            <w:t>8</w:t>
          </w:r>
          <w:r w:rsidRPr="00775D92">
            <w:rPr>
              <w:rFonts w:ascii="Times New Roman" w:eastAsia="Yu Mincho" w:hAnsi="Times New Roman" w:cs="Times New Roman" w:hint="eastAsia"/>
              <w:sz w:val="24"/>
              <w:szCs w:val="24"/>
              <w:lang w:val="en-US" w:eastAsia="ja-JP"/>
            </w:rPr>
            <w:t>4</w:t>
          </w:r>
          <w:r w:rsidRPr="00775D92">
            <w:rPr>
              <w:rFonts w:ascii="Times New Roman" w:eastAsia="Yu Mincho" w:hAnsi="Times New Roman" w:cs="Times New Roman" w:hint="eastAsia"/>
              <w:sz w:val="24"/>
              <w:szCs w:val="24"/>
              <w:vertAlign w:val="superscript"/>
              <w:lang w:val="en-US" w:eastAsia="ja-JP"/>
            </w:rPr>
            <w:t>th</w:t>
          </w:r>
          <w:r w:rsidRPr="00775D92">
            <w:rPr>
              <w:rFonts w:ascii="Times New Roman" w:eastAsia="Times New Roman" w:hAnsi="Times New Roman" w:cs="Times New Roman"/>
              <w:sz w:val="24"/>
              <w:szCs w:val="24"/>
              <w:lang w:val="en-US" w:eastAsia="ar-SA"/>
            </w:rPr>
            <w:t xml:space="preserve"> GRE, </w:t>
          </w:r>
          <w:r w:rsidRPr="00775D92">
            <w:rPr>
              <w:rFonts w:ascii="Times New Roman" w:eastAsia="Yu Mincho" w:hAnsi="Times New Roman" w:cs="Times New Roman" w:hint="eastAsia"/>
              <w:sz w:val="24"/>
              <w:szCs w:val="24"/>
              <w:lang w:val="en-US" w:eastAsia="ja-JP"/>
            </w:rPr>
            <w:t>26</w:t>
          </w:r>
          <w:r w:rsidRPr="00775D92">
            <w:rPr>
              <w:rFonts w:ascii="Times New Roman" w:eastAsia="Times New Roman" w:hAnsi="Times New Roman" w:cs="Times New Roman"/>
              <w:sz w:val="24"/>
              <w:szCs w:val="24"/>
              <w:lang w:val="en-US" w:eastAsia="ar-SA"/>
            </w:rPr>
            <w:t>-</w:t>
          </w:r>
          <w:r w:rsidRPr="00775D92">
            <w:rPr>
              <w:rFonts w:ascii="Times New Roman" w:eastAsia="Yu Mincho" w:hAnsi="Times New Roman" w:cs="Times New Roman" w:hint="eastAsia"/>
              <w:sz w:val="24"/>
              <w:szCs w:val="24"/>
              <w:lang w:val="en-US" w:eastAsia="ja-JP"/>
            </w:rPr>
            <w:t>30</w:t>
          </w:r>
          <w:r w:rsidRPr="00775D92">
            <w:rPr>
              <w:rFonts w:ascii="Times New Roman" w:eastAsia="Times New Roman" w:hAnsi="Times New Roman" w:cs="Times New Roman"/>
              <w:sz w:val="24"/>
              <w:szCs w:val="24"/>
              <w:lang w:val="en-US" w:eastAsia="ar-SA"/>
            </w:rPr>
            <w:t xml:space="preserve"> April 20</w:t>
          </w:r>
          <w:r w:rsidRPr="00775D92">
            <w:rPr>
              <w:rFonts w:ascii="Times New Roman" w:eastAsia="Yu Mincho" w:hAnsi="Times New Roman" w:cs="Times New Roman" w:hint="eastAsia"/>
              <w:sz w:val="24"/>
              <w:szCs w:val="24"/>
              <w:lang w:val="en-US" w:eastAsia="ja-JP"/>
            </w:rPr>
            <w:t>21</w:t>
          </w:r>
        </w:p>
        <w:p w14:paraId="48299E91" w14:textId="46936F4D" w:rsidR="00C27479" w:rsidRDefault="009556F5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left="884"/>
            <w:rPr>
              <w:rFonts w:ascii="Times New Roman" w:eastAsia="Yu Mincho" w:hAnsi="Times New Roman" w:cs="Times New Roman"/>
              <w:sz w:val="24"/>
              <w:szCs w:val="24"/>
              <w:lang w:val="en-GB" w:eastAsia="ja-JP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 xml:space="preserve">Agenda item </w:t>
          </w:r>
          <w:r w:rsidR="00775D92"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>4 (d)</w:t>
          </w:r>
        </w:p>
      </w:tc>
    </w:tr>
  </w:tbl>
  <w:p w14:paraId="5EDE55E6" w14:textId="77777777" w:rsidR="00C27479" w:rsidRDefault="00C27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97672"/>
    <w:multiLevelType w:val="hybridMultilevel"/>
    <w:tmpl w:val="07EE93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02F38"/>
    <w:multiLevelType w:val="hybridMultilevel"/>
    <w:tmpl w:val="2A545FF8"/>
    <w:lvl w:ilvl="0" w:tplc="8624956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0DD4EC2"/>
    <w:multiLevelType w:val="hybridMultilevel"/>
    <w:tmpl w:val="4EB2824C"/>
    <w:lvl w:ilvl="0" w:tplc="039E0B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40F53D1"/>
    <w:multiLevelType w:val="hybridMultilevel"/>
    <w:tmpl w:val="69AA3E9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DFD5F45"/>
    <w:multiLevelType w:val="hybridMultilevel"/>
    <w:tmpl w:val="61822CEA"/>
    <w:lvl w:ilvl="0" w:tplc="0410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533496C"/>
    <w:multiLevelType w:val="hybridMultilevel"/>
    <w:tmpl w:val="0990284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7BE3016E"/>
    <w:multiLevelType w:val="hybridMultilevel"/>
    <w:tmpl w:val="20B2CE90"/>
    <w:lvl w:ilvl="0" w:tplc="E4DEAA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709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479"/>
    <w:rsid w:val="00101D9F"/>
    <w:rsid w:val="001227F1"/>
    <w:rsid w:val="002429D9"/>
    <w:rsid w:val="003639FF"/>
    <w:rsid w:val="003770D0"/>
    <w:rsid w:val="004423E1"/>
    <w:rsid w:val="005C57BA"/>
    <w:rsid w:val="006511B0"/>
    <w:rsid w:val="006B678D"/>
    <w:rsid w:val="006C0416"/>
    <w:rsid w:val="006E39AE"/>
    <w:rsid w:val="006F13D4"/>
    <w:rsid w:val="007210E9"/>
    <w:rsid w:val="00775D92"/>
    <w:rsid w:val="008544A6"/>
    <w:rsid w:val="00893850"/>
    <w:rsid w:val="008C5FC2"/>
    <w:rsid w:val="0091532E"/>
    <w:rsid w:val="009556F5"/>
    <w:rsid w:val="00994D95"/>
    <w:rsid w:val="009B1E09"/>
    <w:rsid w:val="009F65AE"/>
    <w:rsid w:val="00BB6560"/>
    <w:rsid w:val="00C27479"/>
    <w:rsid w:val="00CC6027"/>
    <w:rsid w:val="00E4553A"/>
    <w:rsid w:val="00F6369D"/>
    <w:rsid w:val="00F67BA8"/>
    <w:rsid w:val="00F7454D"/>
    <w:rsid w:val="00F8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4D59E5"/>
  <w15:docId w15:val="{CFCBE9EF-7D5E-4A4F-95F1-29CFF328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Table_G"/>
    <w:basedOn w:val="SingleTxtG"/>
    <w:next w:val="SingleTxtG"/>
    <w:link w:val="Heading1Char"/>
    <w:qFormat/>
    <w:pPr>
      <w:spacing w:after="0" w:line="240" w:lineRule="auto"/>
      <w:ind w:right="0"/>
      <w:jc w:val="left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Hyperlink">
    <w:name w:val="Hyperlink"/>
    <w:uiPriority w:val="99"/>
    <w:rPr>
      <w:color w:val="auto"/>
      <w:u w:val="none"/>
    </w:rPr>
  </w:style>
  <w:style w:type="paragraph" w:styleId="TOC1">
    <w:name w:val="toc 1"/>
    <w:basedOn w:val="Normal"/>
    <w:next w:val="Normal"/>
    <w:autoRedefine/>
    <w:uiPriority w:val="39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uppressAutoHyphens/>
      <w:spacing w:after="120" w:line="240" w:lineRule="atLeast"/>
      <w:ind w:left="284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1Char">
    <w:name w:val="Heading 1 Char"/>
    <w:aliases w:val="Table_G Char"/>
    <w:basedOn w:val="DefaultParagraphFont"/>
    <w:link w:val="Heading1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imes New Roman" w:hAnsi="Times New Roman" w:cs="Times New Roman"/>
      <w:sz w:val="20"/>
      <w:szCs w:val="20"/>
      <w:lang w:val="en-GB"/>
    </w:rPr>
  </w:style>
  <w:style w:type="paragraph" w:customStyle="1" w:styleId="para">
    <w:name w:val="para"/>
    <w:basedOn w:val="SingleTxtG"/>
    <w:link w:val="paraChar"/>
    <w:qFormat/>
    <w:pPr>
      <w:ind w:left="2268" w:hanging="1134"/>
    </w:pPr>
    <w:rPr>
      <w:rFonts w:eastAsia="MS Mincho"/>
      <w:lang w:val="fr-CH"/>
    </w:rPr>
  </w:style>
  <w:style w:type="character" w:customStyle="1" w:styleId="paraChar">
    <w:name w:val="para Char"/>
    <w:link w:val="para"/>
    <w:rPr>
      <w:rFonts w:ascii="Times New Roman" w:hAnsi="Times New Roman" w:cs="Times New Roman"/>
      <w:sz w:val="20"/>
      <w:szCs w:val="20"/>
      <w:lang w:val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after="160" w:line="259" w:lineRule="auto"/>
    </w:pPr>
    <w:rPr>
      <w:rFonts w:asciiTheme="minorHAnsi" w:hAnsiTheme="minorHAnsi" w:cstheme="minorBidi"/>
      <w:b/>
      <w:bCs/>
      <w:sz w:val="22"/>
      <w:szCs w:val="22"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Annex1">
    <w:name w:val="Annex1"/>
    <w:basedOn w:val="Normal"/>
    <w:qFormat/>
    <w:pPr>
      <w:tabs>
        <w:tab w:val="left" w:pos="1700"/>
        <w:tab w:val="right" w:leader="dot" w:pos="8505"/>
      </w:tabs>
      <w:suppressAutoHyphens/>
      <w:spacing w:after="120" w:line="240" w:lineRule="atLeast"/>
      <w:ind w:left="2268" w:right="1134" w:hanging="1134"/>
      <w:jc w:val="both"/>
    </w:pPr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3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A522B-6A88-42F5-91EE-62BEDD6BA3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7D1BE2-1CF5-42E5-96B6-B5967E2145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DF604E-78A5-44EB-B07C-AA3BC6720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543</Words>
  <Characters>2647</Characters>
  <Application>Microsoft Office Word</Application>
  <DocSecurity>0</DocSecurity>
  <Lines>55</Lines>
  <Paragraphs>25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Bauckhage, Thomas</dc:creator>
  <cp:lastModifiedBy>secretariat</cp:lastModifiedBy>
  <cp:revision>20</cp:revision>
  <dcterms:created xsi:type="dcterms:W3CDTF">2021-03-25T08:53:00Z</dcterms:created>
  <dcterms:modified xsi:type="dcterms:W3CDTF">2021-04-06T10:14:00Z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f3930-35a4-43d2-be4a-3a5160255453_Enabled">
    <vt:lpwstr>True</vt:lpwstr>
  </property>
  <property fmtid="{D5CDD505-2E9C-101B-9397-08002B2CF9AE}" pid="3" name="MSIP_Label_5a4f3930-35a4-43d2-be4a-3a5160255453_SiteId">
    <vt:lpwstr>2d5eb7e2-d3ee-4bf5-bc62-79d5ae9cd9e1</vt:lpwstr>
  </property>
  <property fmtid="{D5CDD505-2E9C-101B-9397-08002B2CF9AE}" pid="4" name="MSIP_Label_5a4f3930-35a4-43d2-be4a-3a5160255453_Owner">
    <vt:lpwstr>Thomas.Bauckhage@hella.com</vt:lpwstr>
  </property>
  <property fmtid="{D5CDD505-2E9C-101B-9397-08002B2CF9AE}" pid="5" name="MSIP_Label_5a4f3930-35a4-43d2-be4a-3a5160255453_SetDate">
    <vt:lpwstr>2019-08-26T11:09:48.8598468Z</vt:lpwstr>
  </property>
  <property fmtid="{D5CDD505-2E9C-101B-9397-08002B2CF9AE}" pid="6" name="MSIP_Label_5a4f3930-35a4-43d2-be4a-3a5160255453_Name">
    <vt:lpwstr>Internal</vt:lpwstr>
  </property>
  <property fmtid="{D5CDD505-2E9C-101B-9397-08002B2CF9AE}" pid="7" name="MSIP_Label_5a4f3930-35a4-43d2-be4a-3a5160255453_Application">
    <vt:lpwstr>Microsoft Azure Information Protection</vt:lpwstr>
  </property>
  <property fmtid="{D5CDD505-2E9C-101B-9397-08002B2CF9AE}" pid="8" name="MSIP_Label_5a4f3930-35a4-43d2-be4a-3a5160255453_ActionId">
    <vt:lpwstr>0a183e24-96df-4bfd-b815-96336c9276ac</vt:lpwstr>
  </property>
  <property fmtid="{D5CDD505-2E9C-101B-9397-08002B2CF9AE}" pid="9" name="MSIP_Label_5a4f3930-35a4-43d2-be4a-3a5160255453_Extended_MSFT_Method">
    <vt:lpwstr>Manual</vt:lpwstr>
  </property>
  <property fmtid="{D5CDD505-2E9C-101B-9397-08002B2CF9AE}" pid="10" name="MSIP_Label_f731df75-0a72-42d5-9cc1-0c4dcec1599e_Enabled">
    <vt:lpwstr>True</vt:lpwstr>
  </property>
  <property fmtid="{D5CDD505-2E9C-101B-9397-08002B2CF9AE}" pid="11" name="MSIP_Label_f731df75-0a72-42d5-9cc1-0c4dcec1599e_SiteId">
    <vt:lpwstr>2d5eb7e2-d3ee-4bf5-bc62-79d5ae9cd9e1</vt:lpwstr>
  </property>
  <property fmtid="{D5CDD505-2E9C-101B-9397-08002B2CF9AE}" pid="12" name="MSIP_Label_f731df75-0a72-42d5-9cc1-0c4dcec1599e_Owner">
    <vt:lpwstr>Thomas.Bauckhage@hella.com</vt:lpwstr>
  </property>
  <property fmtid="{D5CDD505-2E9C-101B-9397-08002B2CF9AE}" pid="13" name="MSIP_Label_f731df75-0a72-42d5-9cc1-0c4dcec1599e_SetDate">
    <vt:lpwstr>2019-08-26T11:09:48.8598468Z</vt:lpwstr>
  </property>
  <property fmtid="{D5CDD505-2E9C-101B-9397-08002B2CF9AE}" pid="14" name="MSIP_Label_f731df75-0a72-42d5-9cc1-0c4dcec1599e_Name">
    <vt:lpwstr>Internal Usage</vt:lpwstr>
  </property>
  <property fmtid="{D5CDD505-2E9C-101B-9397-08002B2CF9AE}" pid="15" name="MSIP_Label_f731df75-0a72-42d5-9cc1-0c4dcec1599e_Application">
    <vt:lpwstr>Microsoft Azure Information Protection</vt:lpwstr>
  </property>
  <property fmtid="{D5CDD505-2E9C-101B-9397-08002B2CF9AE}" pid="16" name="MSIP_Label_f731df75-0a72-42d5-9cc1-0c4dcec1599e_ActionId">
    <vt:lpwstr>0a183e24-96df-4bfd-b815-96336c9276ac</vt:lpwstr>
  </property>
  <property fmtid="{D5CDD505-2E9C-101B-9397-08002B2CF9AE}" pid="17" name="MSIP_Label_f731df75-0a72-42d5-9cc1-0c4dcec1599e_Parent">
    <vt:lpwstr>5a4f3930-35a4-43d2-be4a-3a5160255453</vt:lpwstr>
  </property>
  <property fmtid="{D5CDD505-2E9C-101B-9397-08002B2CF9AE}" pid="18" name="MSIP_Label_f731df75-0a72-42d5-9cc1-0c4dcec1599e_Extended_MSFT_Method">
    <vt:lpwstr>Manual</vt:lpwstr>
  </property>
  <property fmtid="{D5CDD505-2E9C-101B-9397-08002B2CF9AE}" pid="19" name="Sensitivity">
    <vt:lpwstr>Internal Internal Usage</vt:lpwstr>
  </property>
  <property fmtid="{D5CDD505-2E9C-101B-9397-08002B2CF9AE}" pid="20" name="ContentTypeId">
    <vt:lpwstr>0x0101003B8422D08C252547BB1CFA7F78E2CB83</vt:lpwstr>
  </property>
</Properties>
</file>