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F11788A" w14:textId="77777777" w:rsidTr="00C97039">
        <w:trPr>
          <w:trHeight w:hRule="exact" w:val="851"/>
        </w:trPr>
        <w:tc>
          <w:tcPr>
            <w:tcW w:w="1276" w:type="dxa"/>
            <w:tcBorders>
              <w:bottom w:val="single" w:sz="4" w:space="0" w:color="auto"/>
            </w:tcBorders>
          </w:tcPr>
          <w:p w14:paraId="5FB10F53" w14:textId="77777777" w:rsidR="00F35BAF" w:rsidRPr="00DB58B5" w:rsidRDefault="00F35BAF" w:rsidP="00C97039"/>
        </w:tc>
        <w:tc>
          <w:tcPr>
            <w:tcW w:w="2268" w:type="dxa"/>
            <w:tcBorders>
              <w:bottom w:val="single" w:sz="4" w:space="0" w:color="auto"/>
            </w:tcBorders>
            <w:vAlign w:val="bottom"/>
          </w:tcPr>
          <w:p w14:paraId="26A5D99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9A3C8B" w14:textId="199DC67F" w:rsidR="00F35BAF" w:rsidRPr="00DB58B5" w:rsidRDefault="00551F6A" w:rsidP="00551F6A">
            <w:pPr>
              <w:jc w:val="right"/>
            </w:pPr>
            <w:r w:rsidRPr="00551F6A">
              <w:rPr>
                <w:sz w:val="40"/>
              </w:rPr>
              <w:t>ECE</w:t>
            </w:r>
            <w:r>
              <w:t>/TRANS/WP.29/2021/82</w:t>
            </w:r>
          </w:p>
        </w:tc>
      </w:tr>
      <w:tr w:rsidR="00F35BAF" w:rsidRPr="00DB58B5" w14:paraId="5C7D980D" w14:textId="77777777" w:rsidTr="00C97039">
        <w:trPr>
          <w:trHeight w:hRule="exact" w:val="2835"/>
        </w:trPr>
        <w:tc>
          <w:tcPr>
            <w:tcW w:w="1276" w:type="dxa"/>
            <w:tcBorders>
              <w:top w:val="single" w:sz="4" w:space="0" w:color="auto"/>
              <w:bottom w:val="single" w:sz="12" w:space="0" w:color="auto"/>
            </w:tcBorders>
          </w:tcPr>
          <w:p w14:paraId="2C4A0A05" w14:textId="77777777" w:rsidR="00F35BAF" w:rsidRPr="00DB58B5" w:rsidRDefault="00F35BAF" w:rsidP="00C97039">
            <w:pPr>
              <w:spacing w:before="120"/>
              <w:jc w:val="center"/>
            </w:pPr>
            <w:r>
              <w:rPr>
                <w:noProof/>
                <w:lang w:eastAsia="fr-CH"/>
              </w:rPr>
              <w:drawing>
                <wp:inline distT="0" distB="0" distL="0" distR="0" wp14:anchorId="5071B95D" wp14:editId="35E0F5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6F2B0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34F8744" w14:textId="77777777" w:rsidR="00F35BAF" w:rsidRDefault="00551F6A" w:rsidP="00C97039">
            <w:pPr>
              <w:spacing w:before="240"/>
            </w:pPr>
            <w:r>
              <w:t>Distr. générale</w:t>
            </w:r>
          </w:p>
          <w:p w14:paraId="2BF1A29D" w14:textId="77777777" w:rsidR="00551F6A" w:rsidRDefault="00551F6A" w:rsidP="00551F6A">
            <w:pPr>
              <w:spacing w:line="240" w:lineRule="exact"/>
            </w:pPr>
            <w:r>
              <w:t>9 avril 2021</w:t>
            </w:r>
          </w:p>
          <w:p w14:paraId="1F6FA10E" w14:textId="77777777" w:rsidR="00551F6A" w:rsidRDefault="00551F6A" w:rsidP="00551F6A">
            <w:pPr>
              <w:spacing w:line="240" w:lineRule="exact"/>
            </w:pPr>
            <w:r>
              <w:t>Français</w:t>
            </w:r>
          </w:p>
          <w:p w14:paraId="56D24A6A" w14:textId="59B74633" w:rsidR="00551F6A" w:rsidRPr="00DB58B5" w:rsidRDefault="00551F6A" w:rsidP="00551F6A">
            <w:pPr>
              <w:spacing w:line="240" w:lineRule="exact"/>
            </w:pPr>
            <w:r>
              <w:t>Original : anglais</w:t>
            </w:r>
          </w:p>
        </w:tc>
      </w:tr>
    </w:tbl>
    <w:p w14:paraId="593F18DE" w14:textId="0A135147" w:rsidR="007F20FA" w:rsidRPr="000312C0" w:rsidRDefault="007F20FA" w:rsidP="007F20FA">
      <w:pPr>
        <w:spacing w:before="120"/>
        <w:rPr>
          <w:b/>
          <w:sz w:val="28"/>
          <w:szCs w:val="28"/>
        </w:rPr>
      </w:pPr>
      <w:r w:rsidRPr="000312C0">
        <w:rPr>
          <w:b/>
          <w:sz w:val="28"/>
          <w:szCs w:val="28"/>
        </w:rPr>
        <w:t>Commission économique pour l</w:t>
      </w:r>
      <w:r w:rsidR="00551F6A">
        <w:rPr>
          <w:b/>
          <w:sz w:val="28"/>
          <w:szCs w:val="28"/>
        </w:rPr>
        <w:t>’</w:t>
      </w:r>
      <w:r w:rsidRPr="000312C0">
        <w:rPr>
          <w:b/>
          <w:sz w:val="28"/>
          <w:szCs w:val="28"/>
        </w:rPr>
        <w:t>Europe</w:t>
      </w:r>
    </w:p>
    <w:p w14:paraId="64A9D6EF" w14:textId="77777777" w:rsidR="007F20FA" w:rsidRDefault="007F20FA" w:rsidP="007F20FA">
      <w:pPr>
        <w:spacing w:before="120"/>
        <w:rPr>
          <w:sz w:val="28"/>
          <w:szCs w:val="28"/>
        </w:rPr>
      </w:pPr>
      <w:r w:rsidRPr="00685843">
        <w:rPr>
          <w:sz w:val="28"/>
          <w:szCs w:val="28"/>
        </w:rPr>
        <w:t>Comité des transports intérieurs</w:t>
      </w:r>
    </w:p>
    <w:p w14:paraId="10E0CE30" w14:textId="5E3A1F64" w:rsidR="00551F6A" w:rsidRDefault="00551F6A"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A0865FB" w14:textId="77777777" w:rsidR="00551F6A" w:rsidRPr="000C6D96" w:rsidRDefault="00551F6A" w:rsidP="00551F6A">
      <w:pPr>
        <w:tabs>
          <w:tab w:val="center" w:pos="4819"/>
        </w:tabs>
        <w:spacing w:before="120"/>
        <w:rPr>
          <w:b/>
        </w:rPr>
      </w:pPr>
      <w:r>
        <w:rPr>
          <w:b/>
          <w:bCs/>
          <w:lang w:val="fr-FR"/>
        </w:rPr>
        <w:t>184</w:t>
      </w:r>
      <w:r w:rsidRPr="000C6D96">
        <w:rPr>
          <w:b/>
          <w:bCs/>
          <w:vertAlign w:val="superscript"/>
          <w:lang w:val="fr-FR"/>
        </w:rPr>
        <w:t>e</w:t>
      </w:r>
      <w:r>
        <w:rPr>
          <w:b/>
          <w:bCs/>
          <w:lang w:val="fr-FR"/>
        </w:rPr>
        <w:t xml:space="preserve"> session</w:t>
      </w:r>
    </w:p>
    <w:p w14:paraId="2F3D53C8" w14:textId="77777777" w:rsidR="00551F6A" w:rsidRPr="000C6D96" w:rsidRDefault="00551F6A" w:rsidP="00551F6A">
      <w:r>
        <w:rPr>
          <w:lang w:val="fr-FR"/>
        </w:rPr>
        <w:t>Genève, 22-24 juin 2021</w:t>
      </w:r>
    </w:p>
    <w:p w14:paraId="5EC3F466" w14:textId="1B065D78" w:rsidR="00551F6A" w:rsidRPr="000C6D96" w:rsidRDefault="00551F6A" w:rsidP="00551F6A">
      <w:r>
        <w:rPr>
          <w:lang w:val="fr-FR"/>
        </w:rPr>
        <w:t>Point 4.8.2 de l</w:t>
      </w:r>
      <w:r>
        <w:rPr>
          <w:lang w:val="fr-FR"/>
        </w:rPr>
        <w:t>’</w:t>
      </w:r>
      <w:r>
        <w:rPr>
          <w:lang w:val="fr-FR"/>
        </w:rPr>
        <w:t>ordre du jour provisoire</w:t>
      </w:r>
    </w:p>
    <w:p w14:paraId="42F31406" w14:textId="02D829E3" w:rsidR="00551F6A" w:rsidRPr="000C6D96" w:rsidRDefault="00551F6A" w:rsidP="00551F6A">
      <w:pPr>
        <w:rPr>
          <w:b/>
        </w:rPr>
      </w:pPr>
      <w:r>
        <w:rPr>
          <w:b/>
          <w:bCs/>
          <w:lang w:val="fr-FR"/>
        </w:rPr>
        <w:t>Accord de 1958</w:t>
      </w:r>
      <w:r>
        <w:rPr>
          <w:b/>
          <w:bCs/>
          <w:lang w:val="fr-FR"/>
        </w:rPr>
        <w:t> </w:t>
      </w:r>
      <w:r>
        <w:rPr>
          <w:b/>
          <w:bCs/>
          <w:lang w:val="fr-FR"/>
        </w:rPr>
        <w:t>:</w:t>
      </w:r>
      <w:r>
        <w:rPr>
          <w:b/>
          <w:bCs/>
          <w:lang w:val="fr-FR"/>
        </w:rPr>
        <w:t xml:space="preserve"> </w:t>
      </w:r>
      <w:r>
        <w:rPr>
          <w:b/>
          <w:bCs/>
          <w:lang w:val="fr-FR"/>
        </w:rPr>
        <w:t>Examen de projets d</w:t>
      </w:r>
      <w:r>
        <w:rPr>
          <w:b/>
          <w:bCs/>
          <w:lang w:val="fr-FR"/>
        </w:rPr>
        <w:t>’</w:t>
      </w:r>
      <w:r>
        <w:rPr>
          <w:b/>
          <w:bCs/>
          <w:lang w:val="fr-FR"/>
        </w:rPr>
        <w:t xml:space="preserve">amendements </w:t>
      </w:r>
      <w:r>
        <w:rPr>
          <w:b/>
          <w:bCs/>
          <w:lang w:val="fr-FR"/>
        </w:rPr>
        <w:br/>
      </w:r>
      <w:r>
        <w:rPr>
          <w:b/>
          <w:bCs/>
          <w:lang w:val="fr-FR"/>
        </w:rPr>
        <w:t>à des Règlements ONU existants, soumis par le GRVA</w:t>
      </w:r>
    </w:p>
    <w:p w14:paraId="0254054C" w14:textId="39CB8EC8" w:rsidR="00551F6A" w:rsidRPr="000C6D96" w:rsidRDefault="00551F6A" w:rsidP="00551F6A">
      <w:pPr>
        <w:pStyle w:val="HChG"/>
      </w:pPr>
      <w:r>
        <w:rPr>
          <w:lang w:val="fr-FR"/>
        </w:rPr>
        <w:tab/>
      </w:r>
      <w:r>
        <w:rPr>
          <w:lang w:val="fr-FR"/>
        </w:rPr>
        <w:tab/>
        <w:t>Proposition de nouvelle série 04 d</w:t>
      </w:r>
      <w:r>
        <w:rPr>
          <w:lang w:val="fr-FR"/>
        </w:rPr>
        <w:t>’</w:t>
      </w:r>
      <w:r>
        <w:rPr>
          <w:lang w:val="fr-FR"/>
        </w:rPr>
        <w:t xml:space="preserve">amendements </w:t>
      </w:r>
      <w:r>
        <w:rPr>
          <w:lang w:val="fr-FR"/>
        </w:rPr>
        <w:br/>
      </w:r>
      <w:r>
        <w:rPr>
          <w:lang w:val="fr-FR"/>
        </w:rPr>
        <w:t xml:space="preserve">au Règlement ONU </w:t>
      </w:r>
      <w:r w:rsidRPr="000C6D96">
        <w:rPr>
          <w:lang w:val="fr-FR"/>
        </w:rPr>
        <w:t>n</w:t>
      </w:r>
      <w:r w:rsidRPr="000C6D96">
        <w:rPr>
          <w:vertAlign w:val="superscript"/>
          <w:lang w:val="fr-FR"/>
        </w:rPr>
        <w:t>o</w:t>
      </w:r>
      <w:r>
        <w:rPr>
          <w:vertAlign w:val="superscript"/>
          <w:lang w:val="fr-FR"/>
        </w:rPr>
        <w:t> </w:t>
      </w:r>
      <w:r>
        <w:rPr>
          <w:lang w:val="fr-FR"/>
        </w:rPr>
        <w:t>79 (Équipement de direction)</w:t>
      </w:r>
    </w:p>
    <w:p w14:paraId="6C5BE34A" w14:textId="77777777" w:rsidR="00551F6A" w:rsidRPr="000C6D96" w:rsidRDefault="00551F6A" w:rsidP="00551F6A">
      <w:pPr>
        <w:pStyle w:val="H1G"/>
        <w:rPr>
          <w:szCs w:val="24"/>
        </w:rPr>
      </w:pPr>
      <w:r>
        <w:rPr>
          <w:lang w:val="fr-FR"/>
        </w:rPr>
        <w:tab/>
      </w:r>
      <w:r>
        <w:rPr>
          <w:lang w:val="fr-FR"/>
        </w:rPr>
        <w:tab/>
        <w:t>Communication du Groupe de travail des véhicules automatisés/autonomes et connectés</w:t>
      </w:r>
      <w:r w:rsidRPr="00551F6A">
        <w:rPr>
          <w:rStyle w:val="Appelnotedebasdep"/>
          <w:b w:val="0"/>
          <w:bCs/>
          <w:sz w:val="20"/>
          <w:vertAlign w:val="baseline"/>
          <w:lang w:val="fr-FR"/>
        </w:rPr>
        <w:footnoteReference w:customMarkFollows="1" w:id="2"/>
        <w:t>*</w:t>
      </w:r>
      <w:r>
        <w:rPr>
          <w:lang w:val="fr-FR"/>
        </w:rPr>
        <w:t xml:space="preserve"> </w:t>
      </w:r>
    </w:p>
    <w:p w14:paraId="1C2B6DF2" w14:textId="6ED93FDB" w:rsidR="00551F6A" w:rsidRPr="000C6D96" w:rsidRDefault="00551F6A" w:rsidP="00551F6A">
      <w:pPr>
        <w:pStyle w:val="SingleTxtG"/>
        <w:ind w:firstLine="567"/>
        <w:rPr>
          <w:spacing w:val="-2"/>
        </w:rPr>
      </w:pPr>
      <w:r>
        <w:rPr>
          <w:lang w:val="fr-FR"/>
        </w:rPr>
        <w:t>Le texte ci-après a été adopté par le Groupe de travail des véhicules automatisés/autonomes et connectés à sa huitième session (ECE/TRANS/WP.29/GRVA/9, par.</w:t>
      </w:r>
      <w:r>
        <w:rPr>
          <w:lang w:val="fr-FR"/>
        </w:rPr>
        <w:t> </w:t>
      </w:r>
      <w:r>
        <w:rPr>
          <w:lang w:val="fr-FR"/>
        </w:rPr>
        <w:t>83), sous réserve de confirmation et d</w:t>
      </w:r>
      <w:r>
        <w:rPr>
          <w:lang w:val="fr-FR"/>
        </w:rPr>
        <w:t>’</w:t>
      </w:r>
      <w:r>
        <w:rPr>
          <w:lang w:val="fr-FR"/>
        </w:rPr>
        <w:t>éventuelles modifications par le GRVA à sa session de mai 2021. Il est fondé sur le document ECE/TRANS/WP.29/GRVA/2021/13, tel que modifié au cours de la session (GRVA-09-43). Il est soumis au Forum mondial de l</w:t>
      </w:r>
      <w:r>
        <w:rPr>
          <w:lang w:val="fr-FR"/>
        </w:rPr>
        <w:t>’</w:t>
      </w:r>
      <w:r>
        <w:rPr>
          <w:lang w:val="fr-FR"/>
        </w:rPr>
        <w:t>harmonisation des Règlements concernant les véhicules (WP.29) et au Comité d</w:t>
      </w:r>
      <w:r>
        <w:rPr>
          <w:lang w:val="fr-FR"/>
        </w:rPr>
        <w:t>’</w:t>
      </w:r>
      <w:r>
        <w:rPr>
          <w:lang w:val="fr-FR"/>
        </w:rPr>
        <w:t>administration (AC.1) pour examen à leurs sessions de juin 2021.</w:t>
      </w:r>
    </w:p>
    <w:p w14:paraId="4925A239" w14:textId="77777777" w:rsidR="00551F6A" w:rsidRPr="000C6D96" w:rsidRDefault="00551F6A" w:rsidP="00551F6A">
      <w:r w:rsidRPr="000C6D96">
        <w:br w:type="page"/>
      </w:r>
    </w:p>
    <w:p w14:paraId="43CD3F38" w14:textId="41E3C0A9" w:rsidR="00551F6A" w:rsidRPr="000C6D96" w:rsidRDefault="00551F6A" w:rsidP="00551F6A">
      <w:pPr>
        <w:pStyle w:val="SingleTxtG"/>
      </w:pPr>
      <w:r>
        <w:rPr>
          <w:i/>
          <w:iCs/>
          <w:lang w:val="fr-FR"/>
        </w:rPr>
        <w:lastRenderedPageBreak/>
        <w:t xml:space="preserve">Ajouter le nouveau paragraphe 2.3.4.4, </w:t>
      </w:r>
      <w:r>
        <w:rPr>
          <w:lang w:val="fr-FR"/>
        </w:rPr>
        <w:t>libellé comme suit</w:t>
      </w:r>
      <w:r>
        <w:rPr>
          <w:lang w:val="fr-FR"/>
        </w:rPr>
        <w:t> </w:t>
      </w:r>
      <w:r>
        <w:rPr>
          <w:lang w:val="fr-FR"/>
        </w:rPr>
        <w:t>:</w:t>
      </w:r>
    </w:p>
    <w:p w14:paraId="33FF315E" w14:textId="242E3C72" w:rsidR="00551F6A" w:rsidRPr="003C7DDE" w:rsidRDefault="00551F6A" w:rsidP="00551F6A">
      <w:pPr>
        <w:pStyle w:val="SingleTxtG"/>
        <w:ind w:left="2268" w:hanging="1134"/>
      </w:pPr>
      <w:bookmarkStart w:id="0" w:name="_Hlk25058578"/>
      <w:r>
        <w:rPr>
          <w:lang w:val="fr-FR"/>
        </w:rPr>
        <w:t>« 2.3.4.4</w:t>
      </w:r>
      <w:r>
        <w:rPr>
          <w:lang w:val="fr-FR"/>
        </w:rPr>
        <w:tab/>
        <w:t xml:space="preserve">Par </w:t>
      </w:r>
      <w:r w:rsidRPr="00551F6A">
        <w:t>“</w:t>
      </w:r>
      <w:r w:rsidRPr="00F30EC1">
        <w:rPr>
          <w:i/>
          <w:iCs/>
          <w:lang w:val="fr-FR"/>
        </w:rPr>
        <w:t>fonction d</w:t>
      </w:r>
      <w:r>
        <w:rPr>
          <w:i/>
          <w:iCs/>
          <w:lang w:val="fr-FR"/>
        </w:rPr>
        <w:t>’</w:t>
      </w:r>
      <w:r w:rsidRPr="00F30EC1">
        <w:rPr>
          <w:i/>
          <w:iCs/>
          <w:lang w:val="fr-FR"/>
        </w:rPr>
        <w:t>atténuation des risques (FAR)</w:t>
      </w:r>
      <w:r w:rsidRPr="00551F6A">
        <w:t>”</w:t>
      </w:r>
      <w:r>
        <w:rPr>
          <w:lang w:val="fr-FR"/>
        </w:rPr>
        <w:t>, une fonction permettant, en cas d</w:t>
      </w:r>
      <w:r>
        <w:rPr>
          <w:lang w:val="fr-FR"/>
        </w:rPr>
        <w:t>’</w:t>
      </w:r>
      <w:r>
        <w:rPr>
          <w:lang w:val="fr-FR"/>
        </w:rPr>
        <w:t>indisponibilité confirmée du conducteur, d</w:t>
      </w:r>
      <w:r>
        <w:rPr>
          <w:lang w:val="fr-FR"/>
        </w:rPr>
        <w:t>’</w:t>
      </w:r>
      <w:r>
        <w:rPr>
          <w:lang w:val="fr-FR"/>
        </w:rPr>
        <w:t>activer automatiquement le système de direction pendant une durée limitée afin de diriger le véhicule et de l</w:t>
      </w:r>
      <w:r>
        <w:rPr>
          <w:lang w:val="fr-FR"/>
        </w:rPr>
        <w:t>’</w:t>
      </w:r>
      <w:r>
        <w:rPr>
          <w:lang w:val="fr-FR"/>
        </w:rPr>
        <w:t>immobiliser en toute sécurité dans une zone d</w:t>
      </w:r>
      <w:r>
        <w:rPr>
          <w:lang w:val="fr-FR"/>
        </w:rPr>
        <w:t>’</w:t>
      </w:r>
      <w:r>
        <w:rPr>
          <w:lang w:val="fr-FR"/>
        </w:rPr>
        <w:t>arrêt cible</w:t>
      </w:r>
      <w:r>
        <w:rPr>
          <w:lang w:val="fr-FR"/>
        </w:rPr>
        <w:t> </w:t>
      </w:r>
      <w:r>
        <w:rPr>
          <w:lang w:val="fr-FR"/>
        </w:rPr>
        <w:t>;</w:t>
      </w:r>
      <w:bookmarkEnd w:id="0"/>
      <w:r>
        <w:t> ».</w:t>
      </w:r>
    </w:p>
    <w:p w14:paraId="6015BDCF" w14:textId="30049818" w:rsidR="00551F6A" w:rsidRPr="000C6D96" w:rsidRDefault="00551F6A" w:rsidP="00551F6A">
      <w:pPr>
        <w:pStyle w:val="SingleTxtG"/>
        <w:spacing w:line="240" w:lineRule="auto"/>
        <w:rPr>
          <w:b/>
          <w:bCs/>
        </w:rPr>
      </w:pPr>
      <w:r>
        <w:rPr>
          <w:i/>
          <w:iCs/>
          <w:lang w:val="fr-FR"/>
        </w:rPr>
        <w:t xml:space="preserve">Ajouter le nouveau paragraphe 2.4.18, </w:t>
      </w:r>
      <w:r>
        <w:rPr>
          <w:lang w:val="fr-FR"/>
        </w:rPr>
        <w:t>libellé comme suit</w:t>
      </w:r>
      <w:r>
        <w:rPr>
          <w:lang w:val="fr-FR"/>
        </w:rPr>
        <w:t> </w:t>
      </w:r>
      <w:r>
        <w:rPr>
          <w:lang w:val="fr-FR"/>
        </w:rPr>
        <w:t xml:space="preserve">: </w:t>
      </w:r>
    </w:p>
    <w:p w14:paraId="3D1FA629" w14:textId="7429D727" w:rsidR="00551F6A" w:rsidRPr="003C7DDE" w:rsidRDefault="00551F6A" w:rsidP="00551F6A">
      <w:pPr>
        <w:pStyle w:val="SingleTxtG"/>
        <w:ind w:left="2268" w:hanging="1134"/>
      </w:pPr>
      <w:bookmarkStart w:id="1" w:name="_Hlk25058740"/>
      <w:r>
        <w:rPr>
          <w:lang w:val="fr-FR"/>
        </w:rPr>
        <w:t>« 2.4.18</w:t>
      </w:r>
      <w:r>
        <w:rPr>
          <w:lang w:val="fr-FR"/>
        </w:rPr>
        <w:tab/>
        <w:t xml:space="preserve">Par </w:t>
      </w:r>
      <w:r w:rsidRPr="00551F6A">
        <w:t>“</w:t>
      </w:r>
      <w:r w:rsidRPr="00F30EC1">
        <w:rPr>
          <w:i/>
          <w:iCs/>
          <w:lang w:val="fr-FR"/>
        </w:rPr>
        <w:t>zone d</w:t>
      </w:r>
      <w:r>
        <w:rPr>
          <w:i/>
          <w:iCs/>
          <w:lang w:val="fr-FR"/>
        </w:rPr>
        <w:t>’</w:t>
      </w:r>
      <w:r w:rsidRPr="00F30EC1">
        <w:rPr>
          <w:i/>
          <w:iCs/>
          <w:lang w:val="fr-FR"/>
        </w:rPr>
        <w:t>arrêt cible</w:t>
      </w:r>
      <w:r w:rsidRPr="00551F6A">
        <w:t>”</w:t>
      </w:r>
      <w:r>
        <w:rPr>
          <w:lang w:val="fr-FR"/>
        </w:rPr>
        <w:t>, une zone (par exemple une bande d</w:t>
      </w:r>
      <w:r>
        <w:rPr>
          <w:lang w:val="fr-FR"/>
        </w:rPr>
        <w:t>’</w:t>
      </w:r>
      <w:r>
        <w:rPr>
          <w:lang w:val="fr-FR"/>
        </w:rPr>
        <w:t>arrêt d</w:t>
      </w:r>
      <w:r>
        <w:rPr>
          <w:lang w:val="fr-FR"/>
        </w:rPr>
        <w:t>’</w:t>
      </w:r>
      <w:r>
        <w:rPr>
          <w:lang w:val="fr-FR"/>
        </w:rPr>
        <w:t>urgence, un accotement stabilisé, une bordure de chaussée, la voie de circulation la plus lente ou la voie de circulation sur laquelle se trouve le véhicule) dans laquelle une FAR vise à immobiliser le véhicule</w:t>
      </w:r>
      <w:r>
        <w:rPr>
          <w:lang w:val="fr-FR"/>
        </w:rPr>
        <w:t> </w:t>
      </w:r>
      <w:r>
        <w:rPr>
          <w:lang w:val="fr-FR"/>
        </w:rPr>
        <w:t>;</w:t>
      </w:r>
      <w:bookmarkEnd w:id="1"/>
      <w:r>
        <w:rPr>
          <w:lang w:val="fr-FR"/>
        </w:rPr>
        <w:t> ».</w:t>
      </w:r>
    </w:p>
    <w:p w14:paraId="02364552" w14:textId="3EE031F3" w:rsidR="00551F6A" w:rsidRDefault="00551F6A" w:rsidP="00551F6A">
      <w:pPr>
        <w:pStyle w:val="para"/>
      </w:pPr>
      <w:r>
        <w:rPr>
          <w:i/>
          <w:iCs/>
          <w:lang w:val="fr-FR"/>
        </w:rPr>
        <w:t xml:space="preserve">Ajouter le nouveau paragraphe 5.1.6.3 (et ses alinéas), </w:t>
      </w:r>
      <w:r>
        <w:rPr>
          <w:lang w:val="fr-FR"/>
        </w:rPr>
        <w:t>libellé comme suit</w:t>
      </w:r>
      <w:r>
        <w:rPr>
          <w:lang w:val="fr-FR"/>
        </w:rPr>
        <w:t> </w:t>
      </w:r>
      <w:r>
        <w:rPr>
          <w:lang w:val="fr-FR"/>
        </w:rPr>
        <w:t xml:space="preserve">: </w:t>
      </w:r>
    </w:p>
    <w:p w14:paraId="770E06C5" w14:textId="7A231CDA" w:rsidR="00551F6A" w:rsidRPr="002B6DA6" w:rsidRDefault="00551F6A" w:rsidP="00551F6A">
      <w:pPr>
        <w:pStyle w:val="SingleTxtG"/>
        <w:ind w:left="2268" w:hanging="1134"/>
      </w:pPr>
      <w:r>
        <w:rPr>
          <w:lang w:val="fr-FR"/>
        </w:rPr>
        <w:t>« 5.1.6.3</w:t>
      </w:r>
      <w:r>
        <w:rPr>
          <w:lang w:val="fr-FR"/>
        </w:rPr>
        <w:tab/>
        <w:t>Les véhicules équipés d</w:t>
      </w:r>
      <w:r>
        <w:rPr>
          <w:lang w:val="fr-FR"/>
        </w:rPr>
        <w:t>’</w:t>
      </w:r>
      <w:r>
        <w:rPr>
          <w:lang w:val="fr-FR"/>
        </w:rPr>
        <w:t>une FAR doivent satisfaire aux prescriptions ci-après.</w:t>
      </w:r>
    </w:p>
    <w:p w14:paraId="7026A54F" w14:textId="39E91CBB" w:rsidR="00551F6A" w:rsidRPr="002B6DA6" w:rsidRDefault="00551F6A" w:rsidP="00551F6A">
      <w:pPr>
        <w:pStyle w:val="para"/>
      </w:pPr>
      <w:r>
        <w:rPr>
          <w:lang w:val="fr-FR"/>
        </w:rPr>
        <w:tab/>
        <w:t>Toute FAR doit satisfaire aux prescriptions de l</w:t>
      </w:r>
      <w:r>
        <w:rPr>
          <w:lang w:val="fr-FR"/>
        </w:rPr>
        <w:t>’</w:t>
      </w:r>
      <w:r>
        <w:rPr>
          <w:lang w:val="fr-FR"/>
        </w:rPr>
        <w:t>annexe 6.</w:t>
      </w:r>
    </w:p>
    <w:p w14:paraId="15A0AE47" w14:textId="3F000986" w:rsidR="00551F6A" w:rsidRPr="002B6DA6" w:rsidRDefault="00551F6A" w:rsidP="00551F6A">
      <w:pPr>
        <w:pStyle w:val="SingleTxtG"/>
        <w:ind w:left="2268" w:hanging="1134"/>
      </w:pPr>
      <w:bookmarkStart w:id="2" w:name="_Hlk70346008"/>
      <w:r>
        <w:rPr>
          <w:lang w:val="fr-FR"/>
        </w:rPr>
        <w:t>5.1.6.3.1</w:t>
      </w:r>
      <w:bookmarkEnd w:id="2"/>
      <w:r>
        <w:rPr>
          <w:lang w:val="fr-FR"/>
        </w:rPr>
        <w:tab/>
        <w:t>Une FAR ne doit déclencher une intervention que lorsque l</w:t>
      </w:r>
      <w:r>
        <w:rPr>
          <w:lang w:val="fr-FR"/>
        </w:rPr>
        <w:t>’</w:t>
      </w:r>
      <w:r>
        <w:rPr>
          <w:lang w:val="fr-FR"/>
        </w:rPr>
        <w:t>incapacité du conducteur à commander le véhicule est confirmée, par exemple par les moyens de surveillance de la vigilance du conducteur, par l</w:t>
      </w:r>
      <w:r>
        <w:rPr>
          <w:lang w:val="fr-FR"/>
        </w:rPr>
        <w:t>’</w:t>
      </w:r>
      <w:r>
        <w:rPr>
          <w:lang w:val="fr-FR"/>
        </w:rPr>
        <w:t>absence de réponse à une demande d</w:t>
      </w:r>
      <w:r>
        <w:rPr>
          <w:lang w:val="fr-FR"/>
        </w:rPr>
        <w:t>’</w:t>
      </w:r>
      <w:r>
        <w:rPr>
          <w:lang w:val="fr-FR"/>
        </w:rPr>
        <w:t>action ou à un avertissement, ou bien en cas d</w:t>
      </w:r>
      <w:r>
        <w:rPr>
          <w:lang w:val="fr-FR"/>
        </w:rPr>
        <w:t>’</w:t>
      </w:r>
      <w:r>
        <w:rPr>
          <w:lang w:val="fr-FR"/>
        </w:rPr>
        <w:t xml:space="preserve">activation manuelle par le conducteur. </w:t>
      </w:r>
    </w:p>
    <w:p w14:paraId="504AA6E5" w14:textId="6EEF9F68" w:rsidR="00551F6A" w:rsidRPr="000C6D96" w:rsidRDefault="00551F6A" w:rsidP="00551F6A">
      <w:pPr>
        <w:pStyle w:val="SingleTxtG"/>
        <w:ind w:left="2268"/>
      </w:pPr>
      <w:r>
        <w:rPr>
          <w:lang w:val="fr-FR"/>
        </w:rPr>
        <w:tab/>
        <w:t>Si le système est équipé d</w:t>
      </w:r>
      <w:r>
        <w:rPr>
          <w:lang w:val="fr-FR"/>
        </w:rPr>
        <w:t>’</w:t>
      </w:r>
      <w:r>
        <w:rPr>
          <w:lang w:val="fr-FR"/>
        </w:rPr>
        <w:t>un moyen d</w:t>
      </w:r>
      <w:r>
        <w:rPr>
          <w:lang w:val="fr-FR"/>
        </w:rPr>
        <w:t>’</w:t>
      </w:r>
      <w:r>
        <w:rPr>
          <w:lang w:val="fr-FR"/>
        </w:rPr>
        <w:t>activation manuelle, celui-ci doit être protégé contre toute activation involontaire.</w:t>
      </w:r>
    </w:p>
    <w:p w14:paraId="5AF17582" w14:textId="4402428D" w:rsidR="00551F6A" w:rsidRDefault="00551F6A" w:rsidP="00551F6A">
      <w:pPr>
        <w:pStyle w:val="SingleTxtG"/>
        <w:ind w:left="2268" w:hanging="1134"/>
      </w:pPr>
      <w:r w:rsidRPr="001E0CAB">
        <w:rPr>
          <w:lang w:val="fr-FR"/>
        </w:rPr>
        <w:t>5.1.6.3.</w:t>
      </w:r>
      <w:r>
        <w:rPr>
          <w:lang w:val="fr-FR"/>
        </w:rPr>
        <w:t>2</w:t>
      </w:r>
      <w:r>
        <w:rPr>
          <w:lang w:val="fr-FR"/>
        </w:rPr>
        <w:tab/>
        <w:t>À moins qu</w:t>
      </w:r>
      <w:r>
        <w:rPr>
          <w:lang w:val="fr-FR"/>
        </w:rPr>
        <w:t>’</w:t>
      </w:r>
      <w:r>
        <w:rPr>
          <w:lang w:val="fr-FR"/>
        </w:rPr>
        <w:t>une demande d</w:t>
      </w:r>
      <w:r>
        <w:rPr>
          <w:lang w:val="fr-FR"/>
        </w:rPr>
        <w:t>’</w:t>
      </w:r>
      <w:r>
        <w:rPr>
          <w:lang w:val="fr-FR"/>
        </w:rPr>
        <w:t>action n</w:t>
      </w:r>
      <w:r>
        <w:rPr>
          <w:lang w:val="fr-FR"/>
        </w:rPr>
        <w:t>’</w:t>
      </w:r>
      <w:r>
        <w:rPr>
          <w:lang w:val="fr-FR"/>
        </w:rPr>
        <w:t>ait déjà été faite ou que le système n</w:t>
      </w:r>
      <w:r>
        <w:rPr>
          <w:lang w:val="fr-FR"/>
        </w:rPr>
        <w:t>’</w:t>
      </w:r>
      <w:r>
        <w:rPr>
          <w:lang w:val="fr-FR"/>
        </w:rPr>
        <w:t>ait été activé manuellement, un signal d</w:t>
      </w:r>
      <w:r>
        <w:rPr>
          <w:lang w:val="fr-FR"/>
        </w:rPr>
        <w:t>’</w:t>
      </w:r>
      <w:r>
        <w:rPr>
          <w:lang w:val="fr-FR"/>
        </w:rPr>
        <w:t>avertissement visuel et sonore doit être émis avant chaque intervention de la FAR afin d</w:t>
      </w:r>
      <w:r>
        <w:rPr>
          <w:lang w:val="fr-FR"/>
        </w:rPr>
        <w:t>’</w:t>
      </w:r>
      <w:r>
        <w:rPr>
          <w:lang w:val="fr-FR"/>
        </w:rPr>
        <w:t>inciter le conducteur à reprendre le contrôle.</w:t>
      </w:r>
    </w:p>
    <w:p w14:paraId="7C35DFA7" w14:textId="4D6EB7E9" w:rsidR="00551F6A" w:rsidRPr="002B6DA6" w:rsidRDefault="00551F6A" w:rsidP="00551F6A">
      <w:pPr>
        <w:pStyle w:val="para"/>
        <w:ind w:firstLine="0"/>
      </w:pPr>
      <w:r>
        <w:rPr>
          <w:lang w:val="fr-FR"/>
        </w:rPr>
        <w:t>Chaque intervention de la FAR doit être indiquée au conducteur au moins par un signal visuel clairement visible et par un signal sonore durant toute la durée de l</w:t>
      </w:r>
      <w:r>
        <w:rPr>
          <w:lang w:val="fr-FR"/>
        </w:rPr>
        <w:t>’</w:t>
      </w:r>
      <w:r>
        <w:rPr>
          <w:lang w:val="fr-FR"/>
        </w:rPr>
        <w:t>intervention.</w:t>
      </w:r>
    </w:p>
    <w:p w14:paraId="39D20B4B" w14:textId="3DAA794C" w:rsidR="00551F6A" w:rsidRPr="002B6DA6" w:rsidRDefault="00551F6A" w:rsidP="00551F6A">
      <w:pPr>
        <w:pStyle w:val="para"/>
        <w:ind w:firstLine="0"/>
      </w:pPr>
      <w:r>
        <w:rPr>
          <w:lang w:val="fr-FR"/>
        </w:rPr>
        <w:t>Ces signaux d</w:t>
      </w:r>
      <w:r>
        <w:rPr>
          <w:lang w:val="fr-FR"/>
        </w:rPr>
        <w:t>’</w:t>
      </w:r>
      <w:r>
        <w:rPr>
          <w:lang w:val="fr-FR"/>
        </w:rPr>
        <w:t>avertissement doivent indiquer sans équivoque que le degré d</w:t>
      </w:r>
      <w:r>
        <w:rPr>
          <w:lang w:val="fr-FR"/>
        </w:rPr>
        <w:t>’</w:t>
      </w:r>
      <w:r>
        <w:rPr>
          <w:lang w:val="fr-FR"/>
        </w:rPr>
        <w:t>urgence est élevé.</w:t>
      </w:r>
    </w:p>
    <w:p w14:paraId="4A081F60" w14:textId="2B924302" w:rsidR="00551F6A" w:rsidRPr="002B6DA6" w:rsidRDefault="00551F6A" w:rsidP="00551F6A">
      <w:pPr>
        <w:pStyle w:val="SingleTxtG"/>
        <w:ind w:left="2268" w:hanging="1134"/>
      </w:pPr>
      <w:r w:rsidRPr="003A1896">
        <w:rPr>
          <w:lang w:val="fr-FR"/>
        </w:rPr>
        <w:t>5.1.6.3.</w:t>
      </w:r>
      <w:r>
        <w:rPr>
          <w:lang w:val="fr-FR"/>
        </w:rPr>
        <w:t>3</w:t>
      </w:r>
      <w:r>
        <w:rPr>
          <w:lang w:val="fr-FR"/>
        </w:rPr>
        <w:tab/>
        <w:t>La FAR doit viser à immobiliser le véhicule en toute sécurité dans la zone d</w:t>
      </w:r>
      <w:r>
        <w:rPr>
          <w:lang w:val="fr-FR"/>
        </w:rPr>
        <w:t>’</w:t>
      </w:r>
      <w:r>
        <w:rPr>
          <w:lang w:val="fr-FR"/>
        </w:rPr>
        <w:t xml:space="preserve">arrêt cible. </w:t>
      </w:r>
    </w:p>
    <w:p w14:paraId="34A88BA1" w14:textId="252163A4" w:rsidR="00551F6A" w:rsidRPr="002B6DA6" w:rsidRDefault="00551F6A" w:rsidP="00551F6A">
      <w:pPr>
        <w:pStyle w:val="SingleTxtG"/>
        <w:ind w:left="2268" w:hanging="1134"/>
      </w:pPr>
      <w:r>
        <w:rPr>
          <w:lang w:val="fr-FR"/>
        </w:rPr>
        <w:t>5.1.6.3.3.1</w:t>
      </w:r>
      <w:r>
        <w:rPr>
          <w:lang w:val="fr-FR"/>
        </w:rPr>
        <w:tab/>
        <w:t xml:space="preserve">La FAR doit viser à éviter les collisions ou tout du moins à atténuer leurs effets. </w:t>
      </w:r>
    </w:p>
    <w:p w14:paraId="41016C97" w14:textId="73C82104" w:rsidR="00551F6A" w:rsidRPr="002B6DA6" w:rsidRDefault="00551F6A" w:rsidP="00551F6A">
      <w:pPr>
        <w:pStyle w:val="SingleTxtG"/>
        <w:ind w:left="2268" w:hanging="1134"/>
      </w:pPr>
      <w:bookmarkStart w:id="3" w:name="_Hlk70346112"/>
      <w:r w:rsidRPr="001B1F60">
        <w:rPr>
          <w:lang w:val="fr-FR"/>
        </w:rPr>
        <w:t>5.1.6.3.</w:t>
      </w:r>
      <w:r>
        <w:rPr>
          <w:lang w:val="fr-FR"/>
        </w:rPr>
        <w:t>4</w:t>
      </w:r>
      <w:bookmarkEnd w:id="3"/>
      <w:r>
        <w:rPr>
          <w:lang w:val="fr-FR"/>
        </w:rPr>
        <w:tab/>
        <w:t>Le signal d</w:t>
      </w:r>
      <w:r>
        <w:rPr>
          <w:lang w:val="fr-FR"/>
        </w:rPr>
        <w:t>’</w:t>
      </w:r>
      <w:r>
        <w:rPr>
          <w:lang w:val="fr-FR"/>
        </w:rPr>
        <w:t>activation des feux de détresse doit être émis dès le début de l</w:t>
      </w:r>
      <w:r>
        <w:rPr>
          <w:lang w:val="fr-FR"/>
        </w:rPr>
        <w:t>’</w:t>
      </w:r>
      <w:r>
        <w:rPr>
          <w:lang w:val="fr-FR"/>
        </w:rPr>
        <w:t>intervention.</w:t>
      </w:r>
    </w:p>
    <w:p w14:paraId="6EAFB32C" w14:textId="77777777" w:rsidR="00551F6A" w:rsidRPr="002B6DA6" w:rsidRDefault="00551F6A" w:rsidP="00551F6A">
      <w:pPr>
        <w:pStyle w:val="SingleTxtG"/>
        <w:ind w:left="2268" w:hanging="1134"/>
      </w:pPr>
      <w:r w:rsidRPr="001B1F60">
        <w:rPr>
          <w:lang w:val="fr-FR"/>
        </w:rPr>
        <w:t>5.1.6.3.</w:t>
      </w:r>
      <w:r>
        <w:rPr>
          <w:lang w:val="fr-FR"/>
        </w:rPr>
        <w:t>5</w:t>
      </w:r>
      <w:r>
        <w:rPr>
          <w:lang w:val="fr-FR"/>
        </w:rPr>
        <w:tab/>
      </w:r>
      <w:r>
        <w:rPr>
          <w:lang w:val="fr-FR"/>
        </w:rPr>
        <w:tab/>
        <w:t>La fonction doit pouvoir être neutralisée à tout moment par une action particulière du conducteur.</w:t>
      </w:r>
    </w:p>
    <w:p w14:paraId="6579826A" w14:textId="77777777" w:rsidR="00551F6A" w:rsidRPr="000C6D96" w:rsidRDefault="00551F6A" w:rsidP="00551F6A">
      <w:pPr>
        <w:pStyle w:val="SingleTxtG"/>
        <w:ind w:left="2268" w:hanging="1134"/>
      </w:pPr>
      <w:r w:rsidRPr="00E92089">
        <w:rPr>
          <w:lang w:val="fr-FR"/>
        </w:rPr>
        <w:t>5.1.6.3.</w:t>
      </w:r>
      <w:r>
        <w:rPr>
          <w:lang w:val="fr-FR"/>
        </w:rPr>
        <w:t>6</w:t>
      </w:r>
      <w:r>
        <w:rPr>
          <w:lang w:val="fr-FR"/>
        </w:rPr>
        <w:tab/>
        <w:t>Dispositions supplémentaires applicables aux systèmes destinés à immobiliser le véhicule en toute sécurité ailleurs que sur sa voie de circulation</w:t>
      </w:r>
    </w:p>
    <w:p w14:paraId="018CF7D9" w14:textId="0CF86219" w:rsidR="00551F6A" w:rsidRPr="000C6D96" w:rsidRDefault="00551F6A" w:rsidP="00551F6A">
      <w:pPr>
        <w:pStyle w:val="SingleTxtG"/>
        <w:ind w:left="2268"/>
      </w:pPr>
      <w:r>
        <w:rPr>
          <w:lang w:val="fr-FR"/>
        </w:rPr>
        <w:t>Le véhicule ne doit pouvoir quitter sa voie de circulation initiale que sur des routes interdites aux piétons et aux cyclistes et qui, de par leur conception, sont équipées d</w:t>
      </w:r>
      <w:r>
        <w:rPr>
          <w:lang w:val="fr-FR"/>
        </w:rPr>
        <w:t>’</w:t>
      </w:r>
      <w:r>
        <w:rPr>
          <w:lang w:val="fr-FR"/>
        </w:rPr>
        <w:t>une séparation physique entre les sens de circulations opposés.</w:t>
      </w:r>
    </w:p>
    <w:p w14:paraId="180D036C" w14:textId="2FD8128E" w:rsidR="00551F6A" w:rsidRPr="000C6D96" w:rsidRDefault="00551F6A" w:rsidP="00551F6A">
      <w:pPr>
        <w:pStyle w:val="SingleTxtG"/>
        <w:ind w:left="2268"/>
      </w:pPr>
      <w:r>
        <w:rPr>
          <w:lang w:val="fr-FR"/>
        </w:rPr>
        <w:t>Tant que des dispositions et des procédures d</w:t>
      </w:r>
      <w:r>
        <w:rPr>
          <w:lang w:val="fr-FR"/>
        </w:rPr>
        <w:t>’</w:t>
      </w:r>
      <w:r>
        <w:rPr>
          <w:lang w:val="fr-FR"/>
        </w:rPr>
        <w:t>essai uniformes n</w:t>
      </w:r>
      <w:r>
        <w:rPr>
          <w:lang w:val="fr-FR"/>
        </w:rPr>
        <w:t>’</w:t>
      </w:r>
      <w:r>
        <w:rPr>
          <w:lang w:val="fr-FR"/>
        </w:rPr>
        <w:t>auront pas été établies, le constructeur devra fournir, à la satisfaction du service technique,</w:t>
      </w:r>
      <w:r w:rsidRPr="00072D5C">
        <w:t xml:space="preserve"> </w:t>
      </w:r>
      <w:r w:rsidRPr="00072D5C">
        <w:rPr>
          <w:lang w:val="fr-FR"/>
        </w:rPr>
        <w:t>dans le cadre de l</w:t>
      </w:r>
      <w:r>
        <w:rPr>
          <w:lang w:val="fr-FR"/>
        </w:rPr>
        <w:t>’</w:t>
      </w:r>
      <w:r w:rsidRPr="00072D5C">
        <w:rPr>
          <w:lang w:val="fr-FR"/>
        </w:rPr>
        <w:t>évaluation effectuée conformément à l</w:t>
      </w:r>
      <w:r>
        <w:rPr>
          <w:lang w:val="fr-FR"/>
        </w:rPr>
        <w:t>’</w:t>
      </w:r>
      <w:r w:rsidRPr="00072D5C">
        <w:rPr>
          <w:lang w:val="fr-FR"/>
        </w:rPr>
        <w:t>annexe 6</w:t>
      </w:r>
      <w:r>
        <w:rPr>
          <w:lang w:val="fr-FR"/>
        </w:rPr>
        <w:t>, une documentation appropriée et des pièces justificatives, concernant notamment les essais physiques, pour démontrer que la fonction peut immobiliser sans risque le véhicule en dehors de sa voie circulation.</w:t>
      </w:r>
    </w:p>
    <w:p w14:paraId="4648F391" w14:textId="59ACE172" w:rsidR="00551F6A" w:rsidRPr="00150139" w:rsidRDefault="00551F6A" w:rsidP="005E6C45">
      <w:pPr>
        <w:pStyle w:val="SingleTxtG"/>
        <w:keepNext/>
        <w:ind w:left="2268" w:hanging="1134"/>
        <w:rPr>
          <w:rFonts w:eastAsiaTheme="minorEastAsia"/>
        </w:rPr>
      </w:pPr>
      <w:r w:rsidRPr="00E92089">
        <w:rPr>
          <w:lang w:val="fr-FR"/>
        </w:rPr>
        <w:lastRenderedPageBreak/>
        <w:t>5.1.6.3.</w:t>
      </w:r>
      <w:r>
        <w:rPr>
          <w:lang w:val="fr-FR"/>
        </w:rPr>
        <w:t>7</w:t>
      </w:r>
      <w:r>
        <w:rPr>
          <w:lang w:val="fr-FR"/>
        </w:rPr>
        <w:tab/>
        <w:t>Informations concernant le système</w:t>
      </w:r>
    </w:p>
    <w:p w14:paraId="77B4E2E4" w14:textId="5312EB36" w:rsidR="00551F6A" w:rsidRPr="000C6D96" w:rsidRDefault="00551F6A" w:rsidP="00551F6A">
      <w:pPr>
        <w:pStyle w:val="SingleTxtG"/>
        <w:ind w:left="2268"/>
      </w:pPr>
      <w:r>
        <w:rPr>
          <w:lang w:val="fr-FR"/>
        </w:rPr>
        <w:t>Les informations suivantes doivent être fournies au service technique, avec le dossier d</w:t>
      </w:r>
      <w:r>
        <w:rPr>
          <w:lang w:val="fr-FR"/>
        </w:rPr>
        <w:t>’</w:t>
      </w:r>
      <w:r>
        <w:rPr>
          <w:lang w:val="fr-FR"/>
        </w:rPr>
        <w:t>information visé à l</w:t>
      </w:r>
      <w:r>
        <w:rPr>
          <w:lang w:val="fr-FR"/>
        </w:rPr>
        <w:t>’</w:t>
      </w:r>
      <w:r>
        <w:rPr>
          <w:lang w:val="fr-FR"/>
        </w:rPr>
        <w:t>annexe 6 du présent Règlement, au moment de l</w:t>
      </w:r>
      <w:r>
        <w:rPr>
          <w:lang w:val="fr-FR"/>
        </w:rPr>
        <w:t>’</w:t>
      </w:r>
      <w:r>
        <w:rPr>
          <w:lang w:val="fr-FR"/>
        </w:rPr>
        <w:t>homologation de type</w:t>
      </w:r>
      <w:r w:rsidR="005E6C45">
        <w:rPr>
          <w:lang w:val="fr-FR"/>
        </w:rPr>
        <w:t> </w:t>
      </w:r>
      <w:r>
        <w:rPr>
          <w:lang w:val="fr-FR"/>
        </w:rPr>
        <w:t>:</w:t>
      </w:r>
    </w:p>
    <w:p w14:paraId="71714BD9" w14:textId="5A24426D" w:rsidR="00551F6A" w:rsidRPr="000C6D96" w:rsidRDefault="005E6C45" w:rsidP="005E6C45">
      <w:pPr>
        <w:pStyle w:val="SingleTxtG"/>
        <w:kinsoku/>
        <w:overflowPunct/>
        <w:autoSpaceDE/>
        <w:autoSpaceDN/>
        <w:adjustRightInd/>
        <w:snapToGrid/>
        <w:ind w:left="2835" w:hanging="567"/>
      </w:pPr>
      <w:r w:rsidRPr="000C6D96">
        <w:rPr>
          <w:iCs/>
          <w:highlight w:val="lightGray"/>
        </w:rPr>
        <w:t>a)</w:t>
      </w:r>
      <w:r w:rsidRPr="000C6D96">
        <w:rPr>
          <w:iCs/>
          <w:highlight w:val="lightGray"/>
        </w:rPr>
        <w:tab/>
      </w:r>
      <w:r w:rsidR="00551F6A">
        <w:rPr>
          <w:lang w:val="fr-FR"/>
        </w:rPr>
        <w:t>Les informations sur la façon dont le système confirme que le conducteur n</w:t>
      </w:r>
      <w:r w:rsidR="00551F6A">
        <w:rPr>
          <w:lang w:val="fr-FR"/>
        </w:rPr>
        <w:t>’</w:t>
      </w:r>
      <w:r w:rsidR="00551F6A">
        <w:rPr>
          <w:lang w:val="fr-FR"/>
        </w:rPr>
        <w:t>est plus disponible</w:t>
      </w:r>
      <w:r>
        <w:rPr>
          <w:lang w:val="fr-FR"/>
        </w:rPr>
        <w:t> </w:t>
      </w:r>
      <w:r w:rsidR="00551F6A">
        <w:rPr>
          <w:lang w:val="fr-FR"/>
        </w:rPr>
        <w:t>;</w:t>
      </w:r>
    </w:p>
    <w:p w14:paraId="2277A9F6" w14:textId="15CEDDBD" w:rsidR="00551F6A" w:rsidRPr="000C6D96" w:rsidRDefault="005E6C45" w:rsidP="005E6C45">
      <w:pPr>
        <w:pStyle w:val="SingleTxtG"/>
        <w:kinsoku/>
        <w:overflowPunct/>
        <w:autoSpaceDE/>
        <w:autoSpaceDN/>
        <w:adjustRightInd/>
        <w:snapToGrid/>
        <w:ind w:left="2835" w:hanging="567"/>
      </w:pPr>
      <w:r w:rsidRPr="000C6D96">
        <w:rPr>
          <w:iCs/>
          <w:highlight w:val="lightGray"/>
        </w:rPr>
        <w:t>b)</w:t>
      </w:r>
      <w:r w:rsidRPr="000C6D96">
        <w:rPr>
          <w:iCs/>
          <w:highlight w:val="lightGray"/>
        </w:rPr>
        <w:tab/>
      </w:r>
      <w:r w:rsidR="00551F6A">
        <w:rPr>
          <w:lang w:val="fr-FR"/>
        </w:rPr>
        <w:t>La description des moyens mis en œuvre pour surveiller l</w:t>
      </w:r>
      <w:r w:rsidR="00551F6A">
        <w:rPr>
          <w:lang w:val="fr-FR"/>
        </w:rPr>
        <w:t>’</w:t>
      </w:r>
      <w:r w:rsidR="00551F6A">
        <w:rPr>
          <w:lang w:val="fr-FR"/>
        </w:rPr>
        <w:t>environnement de conduite (y compris les autres usagers de la route, les obstacles et la zone d</w:t>
      </w:r>
      <w:r w:rsidR="00551F6A">
        <w:rPr>
          <w:lang w:val="fr-FR"/>
        </w:rPr>
        <w:t>’</w:t>
      </w:r>
      <w:r w:rsidR="00551F6A">
        <w:rPr>
          <w:lang w:val="fr-FR"/>
        </w:rPr>
        <w:t>arrêt cible)</w:t>
      </w:r>
      <w:r>
        <w:rPr>
          <w:lang w:val="fr-FR"/>
        </w:rPr>
        <w:t> </w:t>
      </w:r>
      <w:r w:rsidR="00551F6A">
        <w:rPr>
          <w:lang w:val="fr-FR"/>
        </w:rPr>
        <w:t>;</w:t>
      </w:r>
    </w:p>
    <w:p w14:paraId="63C00C05" w14:textId="52A1EF13" w:rsidR="00551F6A" w:rsidRPr="000C6D96" w:rsidRDefault="005E6C45" w:rsidP="005E6C45">
      <w:pPr>
        <w:pStyle w:val="SingleTxtG"/>
        <w:kinsoku/>
        <w:overflowPunct/>
        <w:autoSpaceDE/>
        <w:autoSpaceDN/>
        <w:adjustRightInd/>
        <w:snapToGrid/>
        <w:ind w:left="2835" w:hanging="567"/>
      </w:pPr>
      <w:r w:rsidRPr="000C6D96">
        <w:rPr>
          <w:iCs/>
          <w:highlight w:val="lightGray"/>
        </w:rPr>
        <w:t>c)</w:t>
      </w:r>
      <w:r w:rsidRPr="000C6D96">
        <w:rPr>
          <w:iCs/>
          <w:highlight w:val="lightGray"/>
        </w:rPr>
        <w:tab/>
      </w:r>
      <w:r w:rsidR="00551F6A">
        <w:rPr>
          <w:lang w:val="fr-FR"/>
        </w:rPr>
        <w:t>Les informations relatives aux types de routes sur lesquels le système est conçu pour intervenir (autoroutes, routes nationales, zones urbaines, etc.) et aux moyens mis en œuvre pour assurer le bon déroulement de l</w:t>
      </w:r>
      <w:r w:rsidR="00551F6A">
        <w:rPr>
          <w:lang w:val="fr-FR"/>
        </w:rPr>
        <w:t>’</w:t>
      </w:r>
      <w:r w:rsidR="00551F6A">
        <w:rPr>
          <w:lang w:val="fr-FR"/>
        </w:rPr>
        <w:t>intervention</w:t>
      </w:r>
      <w:r>
        <w:rPr>
          <w:lang w:val="fr-FR"/>
        </w:rPr>
        <w:t> </w:t>
      </w:r>
      <w:r w:rsidR="00551F6A">
        <w:rPr>
          <w:lang w:val="fr-FR"/>
        </w:rPr>
        <w:t>;</w:t>
      </w:r>
    </w:p>
    <w:p w14:paraId="599A0ADC" w14:textId="295D855E" w:rsidR="00551F6A" w:rsidRPr="000C6D96" w:rsidRDefault="005E6C45" w:rsidP="005E6C45">
      <w:pPr>
        <w:pStyle w:val="SingleTxtG"/>
        <w:kinsoku/>
        <w:overflowPunct/>
        <w:autoSpaceDE/>
        <w:autoSpaceDN/>
        <w:adjustRightInd/>
        <w:snapToGrid/>
        <w:ind w:left="2835" w:hanging="567"/>
      </w:pPr>
      <w:r w:rsidRPr="000C6D96">
        <w:rPr>
          <w:iCs/>
          <w:highlight w:val="lightGray"/>
        </w:rPr>
        <w:t>d)</w:t>
      </w:r>
      <w:r w:rsidRPr="000C6D96">
        <w:rPr>
          <w:iCs/>
          <w:highlight w:val="lightGray"/>
        </w:rPr>
        <w:tab/>
      </w:r>
      <w:r w:rsidR="00551F6A">
        <w:rPr>
          <w:lang w:val="fr-FR"/>
        </w:rPr>
        <w:t>La description des moyens par lesquels une action particulière peut neutraliser la fonction ;</w:t>
      </w:r>
    </w:p>
    <w:p w14:paraId="059F7B1C" w14:textId="3361C39A" w:rsidR="00551F6A" w:rsidRPr="000C6D96" w:rsidRDefault="005E6C45" w:rsidP="005E6C45">
      <w:pPr>
        <w:pStyle w:val="SingleTxtG"/>
        <w:kinsoku/>
        <w:overflowPunct/>
        <w:autoSpaceDE/>
        <w:autoSpaceDN/>
        <w:adjustRightInd/>
        <w:snapToGrid/>
        <w:ind w:left="2835" w:hanging="567"/>
      </w:pPr>
      <w:r w:rsidRPr="000C6D96">
        <w:rPr>
          <w:iCs/>
          <w:highlight w:val="lightGray"/>
        </w:rPr>
        <w:t>e)</w:t>
      </w:r>
      <w:r w:rsidRPr="000C6D96">
        <w:rPr>
          <w:iCs/>
          <w:highlight w:val="lightGray"/>
        </w:rPr>
        <w:tab/>
      </w:r>
      <w:r w:rsidR="00551F6A">
        <w:rPr>
          <w:lang w:val="fr-FR"/>
        </w:rPr>
        <w:t>La description des principes d</w:t>
      </w:r>
      <w:r w:rsidR="00551F6A">
        <w:rPr>
          <w:lang w:val="fr-FR"/>
        </w:rPr>
        <w:t>’</w:t>
      </w:r>
      <w:r w:rsidR="00551F6A">
        <w:rPr>
          <w:lang w:val="fr-FR"/>
        </w:rPr>
        <w:t>avertissement et d</w:t>
      </w:r>
      <w:r w:rsidR="00551F6A">
        <w:rPr>
          <w:lang w:val="fr-FR"/>
        </w:rPr>
        <w:t>’</w:t>
      </w:r>
      <w:r w:rsidR="00551F6A">
        <w:rPr>
          <w:lang w:val="fr-FR"/>
        </w:rPr>
        <w:t>information du conducteur ;</w:t>
      </w:r>
    </w:p>
    <w:p w14:paraId="524284D6" w14:textId="2EEDB708" w:rsidR="00551F6A" w:rsidRPr="000C6D96" w:rsidRDefault="005E6C45" w:rsidP="005E6C45">
      <w:pPr>
        <w:pStyle w:val="SingleTxtG"/>
        <w:kinsoku/>
        <w:overflowPunct/>
        <w:autoSpaceDE/>
        <w:autoSpaceDN/>
        <w:adjustRightInd/>
        <w:snapToGrid/>
        <w:ind w:left="2835" w:hanging="567"/>
      </w:pPr>
      <w:r w:rsidRPr="000C6D96">
        <w:rPr>
          <w:iCs/>
          <w:highlight w:val="lightGray"/>
        </w:rPr>
        <w:t>f)</w:t>
      </w:r>
      <w:r w:rsidRPr="000C6D96">
        <w:rPr>
          <w:iCs/>
          <w:highlight w:val="lightGray"/>
        </w:rPr>
        <w:tab/>
      </w:r>
      <w:r w:rsidR="00551F6A">
        <w:rPr>
          <w:lang w:val="fr-FR"/>
        </w:rPr>
        <w:t>Dans le cas où le véhicule a la capacité de changer de voie, une description détaillée des dispositions mises en œuvre pour garantir la sécurité de la manœuvre et des moyens par lesquels le véhicule détecte qu</w:t>
      </w:r>
      <w:r w:rsidR="00551F6A">
        <w:rPr>
          <w:lang w:val="fr-FR"/>
        </w:rPr>
        <w:t>’</w:t>
      </w:r>
      <w:r w:rsidR="00551F6A">
        <w:rPr>
          <w:lang w:val="fr-FR"/>
        </w:rPr>
        <w:t>il se trouve dans un environnement de conduite autorisé</w:t>
      </w:r>
      <w:r>
        <w:rPr>
          <w:lang w:val="fr-FR"/>
        </w:rPr>
        <w:t> ;</w:t>
      </w:r>
    </w:p>
    <w:p w14:paraId="5CEEF143" w14:textId="1090743A" w:rsidR="00551F6A" w:rsidRPr="000C6D96" w:rsidRDefault="005E6C45" w:rsidP="005E6C45">
      <w:pPr>
        <w:pStyle w:val="SingleTxtG"/>
        <w:kinsoku/>
        <w:overflowPunct/>
        <w:autoSpaceDE/>
        <w:autoSpaceDN/>
        <w:adjustRightInd/>
        <w:snapToGrid/>
        <w:ind w:left="2835" w:hanging="567"/>
        <w:rPr>
          <w:i/>
        </w:rPr>
      </w:pPr>
      <w:r w:rsidRPr="000C6D96">
        <w:rPr>
          <w:iCs/>
          <w:highlight w:val="lightGray"/>
        </w:rPr>
        <w:t>g)</w:t>
      </w:r>
      <w:r w:rsidRPr="000C6D96">
        <w:rPr>
          <w:iCs/>
          <w:highlight w:val="lightGray"/>
        </w:rPr>
        <w:tab/>
      </w:r>
      <w:r w:rsidR="00551F6A">
        <w:rPr>
          <w:lang w:val="fr-FR"/>
        </w:rPr>
        <w:t>Les informations relatives à la vitesse maximale à laquelle le système fonctionne (compte tenu notamment de l</w:t>
      </w:r>
      <w:r w:rsidR="00551F6A">
        <w:rPr>
          <w:lang w:val="fr-FR"/>
        </w:rPr>
        <w:t>’</w:t>
      </w:r>
      <w:r w:rsidR="00551F6A">
        <w:rPr>
          <w:lang w:val="fr-FR"/>
        </w:rPr>
        <w:t>environnement de circulation (autoroutier, urbain, etc.)) et les informations relatives à la manière dont la vitesse est réduite (vitesse adaptée à la circulation environnante</w:t>
      </w:r>
      <w:r>
        <w:rPr>
          <w:lang w:val="fr-FR"/>
        </w:rPr>
        <w:t> </w:t>
      </w:r>
      <w:r w:rsidR="00551F6A">
        <w:rPr>
          <w:lang w:val="fr-FR"/>
        </w:rPr>
        <w:t>; pas de freinage brusque mettant en danger les autres usagers de la route) afin d</w:t>
      </w:r>
      <w:r w:rsidR="00551F6A">
        <w:rPr>
          <w:lang w:val="fr-FR"/>
        </w:rPr>
        <w:t>’</w:t>
      </w:r>
      <w:r w:rsidR="00551F6A">
        <w:rPr>
          <w:lang w:val="fr-FR"/>
        </w:rPr>
        <w:t>immobiliser le véhicule en toute sécurité. ».</w:t>
      </w:r>
    </w:p>
    <w:p w14:paraId="55AA8A47" w14:textId="50E55F02" w:rsidR="00551F6A" w:rsidRPr="000C6D96" w:rsidRDefault="00551F6A" w:rsidP="00551F6A">
      <w:pPr>
        <w:pStyle w:val="SingleTxtG"/>
        <w:ind w:left="2268" w:hanging="1134"/>
        <w:rPr>
          <w:rFonts w:eastAsia="Yu Mincho"/>
        </w:rPr>
      </w:pPr>
      <w:r>
        <w:rPr>
          <w:i/>
          <w:iCs/>
          <w:lang w:val="fr-FR"/>
        </w:rPr>
        <w:t xml:space="preserve">Ajouter le nouveau paragraphe 12.3 (et ses alinéas), </w:t>
      </w:r>
      <w:r>
        <w:rPr>
          <w:lang w:val="fr-FR"/>
        </w:rPr>
        <w:t>libellé comme suit</w:t>
      </w:r>
      <w:r w:rsidR="005E6C45">
        <w:rPr>
          <w:lang w:val="fr-FR"/>
        </w:rPr>
        <w:t> </w:t>
      </w:r>
      <w:r>
        <w:rPr>
          <w:lang w:val="fr-FR"/>
        </w:rPr>
        <w:t xml:space="preserve">: </w:t>
      </w:r>
    </w:p>
    <w:p w14:paraId="0A87B810" w14:textId="690230C8" w:rsidR="00551F6A" w:rsidRPr="000C6D96" w:rsidRDefault="00551F6A" w:rsidP="00551F6A">
      <w:pPr>
        <w:pStyle w:val="SingleTxtG"/>
        <w:ind w:left="2268" w:hanging="1134"/>
        <w:rPr>
          <w:rFonts w:eastAsia="Yu Mincho"/>
        </w:rPr>
      </w:pPr>
      <w:r>
        <w:rPr>
          <w:lang w:val="fr-FR"/>
        </w:rPr>
        <w:t>« 12.3</w:t>
      </w:r>
      <w:r>
        <w:rPr>
          <w:lang w:val="fr-FR"/>
        </w:rPr>
        <w:tab/>
        <w:t>Dispositions transitoires applicables à la série 04 d</w:t>
      </w:r>
      <w:r>
        <w:rPr>
          <w:lang w:val="fr-FR"/>
        </w:rPr>
        <w:t>’</w:t>
      </w:r>
      <w:r>
        <w:rPr>
          <w:lang w:val="fr-FR"/>
        </w:rPr>
        <w:t>amendements</w:t>
      </w:r>
      <w:r w:rsidR="005E6C45">
        <w:rPr>
          <w:lang w:val="fr-FR"/>
        </w:rPr>
        <w:t> </w:t>
      </w:r>
      <w:r>
        <w:rPr>
          <w:lang w:val="fr-FR"/>
        </w:rPr>
        <w:t>:</w:t>
      </w:r>
    </w:p>
    <w:p w14:paraId="13ACF15E" w14:textId="4C820BD0" w:rsidR="00551F6A" w:rsidRPr="000C6D96" w:rsidRDefault="00551F6A" w:rsidP="00551F6A">
      <w:pPr>
        <w:pStyle w:val="SingleTxtG"/>
        <w:ind w:left="2268" w:hanging="1134"/>
        <w:rPr>
          <w:rFonts w:eastAsia="Yu Mincho"/>
        </w:rPr>
      </w:pPr>
      <w:bookmarkStart w:id="4" w:name="_Hlk70346183"/>
      <w:r>
        <w:rPr>
          <w:lang w:val="fr-FR"/>
        </w:rPr>
        <w:t>12.3.1</w:t>
      </w:r>
      <w:bookmarkEnd w:id="4"/>
      <w:r>
        <w:rPr>
          <w:lang w:val="fr-FR"/>
        </w:rPr>
        <w:tab/>
        <w:t>À compter de la date officielle d</w:t>
      </w:r>
      <w:r>
        <w:rPr>
          <w:lang w:val="fr-FR"/>
        </w:rPr>
        <w:t>’</w:t>
      </w:r>
      <w:r>
        <w:rPr>
          <w:lang w:val="fr-FR"/>
        </w:rPr>
        <w:t>entrée en vigueur de la série 04 d</w:t>
      </w:r>
      <w:r>
        <w:rPr>
          <w:lang w:val="fr-FR"/>
        </w:rPr>
        <w:t>’</w:t>
      </w:r>
      <w:r>
        <w:rPr>
          <w:lang w:val="fr-FR"/>
        </w:rPr>
        <w:t>amendements, aucune Partie contractante appliquant le présent Règlement ne pourra refuser d</w:t>
      </w:r>
      <w:r>
        <w:rPr>
          <w:lang w:val="fr-FR"/>
        </w:rPr>
        <w:t>’</w:t>
      </w:r>
      <w:r>
        <w:rPr>
          <w:lang w:val="fr-FR"/>
        </w:rPr>
        <w:t>accorder ou d</w:t>
      </w:r>
      <w:r>
        <w:rPr>
          <w:lang w:val="fr-FR"/>
        </w:rPr>
        <w:t>’</w:t>
      </w:r>
      <w:r>
        <w:rPr>
          <w:lang w:val="fr-FR"/>
        </w:rPr>
        <w:t>accepter une homologation de type ONU en vertu dudit Règlement tel que modifié par la série 04 d</w:t>
      </w:r>
      <w:r>
        <w:rPr>
          <w:lang w:val="fr-FR"/>
        </w:rPr>
        <w:t>’</w:t>
      </w:r>
      <w:r>
        <w:rPr>
          <w:lang w:val="fr-FR"/>
        </w:rPr>
        <w:t>amendements.</w:t>
      </w:r>
    </w:p>
    <w:p w14:paraId="6CB4556C" w14:textId="230CA92C" w:rsidR="00551F6A" w:rsidRPr="000C6D96" w:rsidRDefault="00551F6A" w:rsidP="00551F6A">
      <w:pPr>
        <w:pStyle w:val="SingleTxtG"/>
        <w:ind w:left="2268" w:hanging="1134"/>
        <w:rPr>
          <w:rFonts w:eastAsia="Yu Mincho"/>
        </w:rPr>
      </w:pPr>
      <w:r w:rsidRPr="00EE56B7">
        <w:rPr>
          <w:lang w:val="fr-FR"/>
        </w:rPr>
        <w:t>12.3.</w:t>
      </w:r>
      <w:r>
        <w:rPr>
          <w:lang w:val="fr-FR"/>
        </w:rPr>
        <w:t>2</w:t>
      </w:r>
      <w:r>
        <w:rPr>
          <w:lang w:val="fr-FR"/>
        </w:rPr>
        <w:tab/>
        <w:t>À compter du 1</w:t>
      </w:r>
      <w:r w:rsidRPr="00E80DFE">
        <w:rPr>
          <w:vertAlign w:val="superscript"/>
          <w:lang w:val="fr-FR"/>
        </w:rPr>
        <w:t>er</w:t>
      </w:r>
      <w:r>
        <w:rPr>
          <w:lang w:val="fr-FR"/>
        </w:rPr>
        <w:t xml:space="preserve"> septembre [2023], les Parties contractantes appliquant le présent Règlement ne seront plus tenues d</w:t>
      </w:r>
      <w:r>
        <w:rPr>
          <w:lang w:val="fr-FR"/>
        </w:rPr>
        <w:t>’</w:t>
      </w:r>
      <w:r>
        <w:rPr>
          <w:lang w:val="fr-FR"/>
        </w:rPr>
        <w:t>accepter les homologations de type ONU établies conformément aux précédentes séries d</w:t>
      </w:r>
      <w:r>
        <w:rPr>
          <w:lang w:val="fr-FR"/>
        </w:rPr>
        <w:t>’</w:t>
      </w:r>
      <w:r>
        <w:rPr>
          <w:lang w:val="fr-FR"/>
        </w:rPr>
        <w:t>amendements, délivrées pour la première fois après le 1</w:t>
      </w:r>
      <w:r w:rsidRPr="001F31B3">
        <w:rPr>
          <w:vertAlign w:val="superscript"/>
          <w:lang w:val="fr-FR"/>
        </w:rPr>
        <w:t>er</w:t>
      </w:r>
      <w:r>
        <w:rPr>
          <w:lang w:val="fr-FR"/>
        </w:rPr>
        <w:t xml:space="preserve"> septembre [2023].</w:t>
      </w:r>
    </w:p>
    <w:p w14:paraId="5D3E0BDD" w14:textId="3DE6D6E7" w:rsidR="00551F6A" w:rsidRPr="000C6D96" w:rsidRDefault="00551F6A" w:rsidP="00551F6A">
      <w:pPr>
        <w:pStyle w:val="SingleTxtG"/>
        <w:ind w:left="2268" w:hanging="1134"/>
        <w:rPr>
          <w:rFonts w:eastAsia="Yu Mincho"/>
        </w:rPr>
      </w:pPr>
      <w:r w:rsidRPr="00EE56B7">
        <w:rPr>
          <w:lang w:val="fr-FR"/>
        </w:rPr>
        <w:t>12.3.</w:t>
      </w:r>
      <w:r>
        <w:rPr>
          <w:lang w:val="fr-FR"/>
        </w:rPr>
        <w:t>3</w:t>
      </w:r>
      <w:r>
        <w:rPr>
          <w:lang w:val="fr-FR"/>
        </w:rPr>
        <w:tab/>
        <w:t>Jusqu</w:t>
      </w:r>
      <w:r>
        <w:rPr>
          <w:lang w:val="fr-FR"/>
        </w:rPr>
        <w:t>’</w:t>
      </w:r>
      <w:r>
        <w:rPr>
          <w:lang w:val="fr-FR"/>
        </w:rPr>
        <w:t>au 1</w:t>
      </w:r>
      <w:r w:rsidRPr="00E80DFE">
        <w:rPr>
          <w:vertAlign w:val="superscript"/>
          <w:lang w:val="fr-FR"/>
        </w:rPr>
        <w:t>er</w:t>
      </w:r>
      <w:r>
        <w:rPr>
          <w:lang w:val="fr-FR"/>
        </w:rPr>
        <w:t xml:space="preserve"> septembre [2025], les Parties contractantes appliquant le présent Règlement seront tenues d</w:t>
      </w:r>
      <w:r>
        <w:rPr>
          <w:lang w:val="fr-FR"/>
        </w:rPr>
        <w:t>’</w:t>
      </w:r>
      <w:r>
        <w:rPr>
          <w:lang w:val="fr-FR"/>
        </w:rPr>
        <w:t>accepter les homologations de type ONU établies conformément aux précédentes séries d</w:t>
      </w:r>
      <w:r>
        <w:rPr>
          <w:lang w:val="fr-FR"/>
        </w:rPr>
        <w:t>’</w:t>
      </w:r>
      <w:r>
        <w:rPr>
          <w:lang w:val="fr-FR"/>
        </w:rPr>
        <w:t>amendements, délivrées pour la première fois avant le 1</w:t>
      </w:r>
      <w:r w:rsidRPr="002F4A4C">
        <w:rPr>
          <w:vertAlign w:val="superscript"/>
          <w:lang w:val="fr-FR"/>
        </w:rPr>
        <w:t>er</w:t>
      </w:r>
      <w:r>
        <w:rPr>
          <w:lang w:val="fr-FR"/>
        </w:rPr>
        <w:t xml:space="preserve"> septembre [2023].</w:t>
      </w:r>
    </w:p>
    <w:p w14:paraId="305A1266" w14:textId="2D558C43" w:rsidR="00551F6A" w:rsidRPr="000C6D96" w:rsidRDefault="00551F6A" w:rsidP="00551F6A">
      <w:pPr>
        <w:pStyle w:val="SingleTxtG"/>
        <w:ind w:left="2268" w:hanging="1134"/>
        <w:rPr>
          <w:rFonts w:eastAsia="Yu Mincho"/>
        </w:rPr>
      </w:pPr>
      <w:r w:rsidRPr="007B3B1E">
        <w:rPr>
          <w:lang w:val="fr-FR"/>
        </w:rPr>
        <w:t>12.3.</w:t>
      </w:r>
      <w:r>
        <w:rPr>
          <w:lang w:val="fr-FR"/>
        </w:rPr>
        <w:t>4</w:t>
      </w:r>
      <w:r>
        <w:rPr>
          <w:lang w:val="fr-FR"/>
        </w:rPr>
        <w:tab/>
        <w:t>À compter du 1</w:t>
      </w:r>
      <w:r w:rsidRPr="00E80DFE">
        <w:rPr>
          <w:vertAlign w:val="superscript"/>
          <w:lang w:val="fr-FR"/>
        </w:rPr>
        <w:t>er</w:t>
      </w:r>
      <w:r>
        <w:rPr>
          <w:lang w:val="fr-FR"/>
        </w:rPr>
        <w:t xml:space="preserve"> septembre [2025], les Parties contractantes appliquant le présent Règlement ne seront plus tenues d</w:t>
      </w:r>
      <w:r>
        <w:rPr>
          <w:lang w:val="fr-FR"/>
        </w:rPr>
        <w:t>’</w:t>
      </w:r>
      <w:r>
        <w:rPr>
          <w:lang w:val="fr-FR"/>
        </w:rPr>
        <w:t>accepter les homologations de type délivrées en vertu de précédentes séries d</w:t>
      </w:r>
      <w:r>
        <w:rPr>
          <w:lang w:val="fr-FR"/>
        </w:rPr>
        <w:t>’</w:t>
      </w:r>
      <w:r>
        <w:rPr>
          <w:lang w:val="fr-FR"/>
        </w:rPr>
        <w:t>amendements audit Règlement.</w:t>
      </w:r>
    </w:p>
    <w:p w14:paraId="0A80A93A" w14:textId="40F7A338" w:rsidR="00551F6A" w:rsidRPr="000C6D96" w:rsidRDefault="00551F6A" w:rsidP="00551F6A">
      <w:pPr>
        <w:pStyle w:val="SingleTxtG"/>
        <w:ind w:left="2268" w:hanging="1134"/>
        <w:rPr>
          <w:rFonts w:eastAsia="Yu Mincho"/>
        </w:rPr>
      </w:pPr>
      <w:r w:rsidRPr="007B3B1E">
        <w:rPr>
          <w:lang w:val="fr-FR"/>
        </w:rPr>
        <w:t>12.3.</w:t>
      </w:r>
      <w:r>
        <w:rPr>
          <w:lang w:val="fr-FR"/>
        </w:rPr>
        <w:t>5</w:t>
      </w:r>
      <w:r>
        <w:rPr>
          <w:lang w:val="fr-FR"/>
        </w:rPr>
        <w:tab/>
        <w:t>Nonobstant les dispositions des paragraphes 12.3.2 et 12.3.4, les Parties contractantes appliquant le présent Règlement continueront de reconnaître les homologations de type ONU délivrées au titre des précédentes séries d</w:t>
      </w:r>
      <w:r>
        <w:rPr>
          <w:lang w:val="fr-FR"/>
        </w:rPr>
        <w:t>’</w:t>
      </w:r>
      <w:r>
        <w:rPr>
          <w:lang w:val="fr-FR"/>
        </w:rPr>
        <w:t>amendements audit Règlement pour les véhicules non concernés par les dispositions du paragraphe 5.1.6.3.6 introduites par la série 04 d</w:t>
      </w:r>
      <w:r>
        <w:rPr>
          <w:lang w:val="fr-FR"/>
        </w:rPr>
        <w:t>’</w:t>
      </w:r>
      <w:r>
        <w:rPr>
          <w:lang w:val="fr-FR"/>
        </w:rPr>
        <w:t>amendements. ».</w:t>
      </w:r>
    </w:p>
    <w:p w14:paraId="4D2AEDED" w14:textId="14164665" w:rsidR="00F9573C" w:rsidRDefault="00551F6A" w:rsidP="005E6C45">
      <w:pPr>
        <w:spacing w:before="240"/>
        <w:jc w:val="center"/>
      </w:pPr>
      <w:r w:rsidRPr="000C6D96">
        <w:rPr>
          <w:u w:val="single"/>
        </w:rPr>
        <w:tab/>
      </w:r>
      <w:r w:rsidRPr="000C6D96">
        <w:rPr>
          <w:u w:val="single"/>
        </w:rPr>
        <w:tab/>
      </w:r>
      <w:r w:rsidRPr="000C6D96">
        <w:rPr>
          <w:u w:val="single"/>
        </w:rPr>
        <w:tab/>
      </w:r>
    </w:p>
    <w:sectPr w:rsidR="00F9573C" w:rsidSect="00551F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CB44E" w14:textId="77777777" w:rsidR="003B4454" w:rsidRDefault="003B4454" w:rsidP="00F95C08">
      <w:pPr>
        <w:spacing w:line="240" w:lineRule="auto"/>
      </w:pPr>
    </w:p>
  </w:endnote>
  <w:endnote w:type="continuationSeparator" w:id="0">
    <w:p w14:paraId="177B4013" w14:textId="77777777" w:rsidR="003B4454" w:rsidRPr="00AC3823" w:rsidRDefault="003B4454" w:rsidP="00AC3823">
      <w:pPr>
        <w:pStyle w:val="Pieddepage"/>
      </w:pPr>
    </w:p>
  </w:endnote>
  <w:endnote w:type="continuationNotice" w:id="1">
    <w:p w14:paraId="6CD373CE" w14:textId="77777777" w:rsidR="003B4454" w:rsidRDefault="003B44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0F31D" w14:textId="32E4068E" w:rsidR="00551F6A" w:rsidRPr="00551F6A" w:rsidRDefault="00551F6A" w:rsidP="00551F6A">
    <w:pPr>
      <w:pStyle w:val="Pieddepage"/>
      <w:tabs>
        <w:tab w:val="right" w:pos="9638"/>
      </w:tabs>
    </w:pPr>
    <w:r w:rsidRPr="00551F6A">
      <w:rPr>
        <w:b/>
        <w:sz w:val="18"/>
      </w:rPr>
      <w:fldChar w:fldCharType="begin"/>
    </w:r>
    <w:r w:rsidRPr="00551F6A">
      <w:rPr>
        <w:b/>
        <w:sz w:val="18"/>
      </w:rPr>
      <w:instrText xml:space="preserve"> PAGE  \* MERGEFORMAT </w:instrText>
    </w:r>
    <w:r w:rsidRPr="00551F6A">
      <w:rPr>
        <w:b/>
        <w:sz w:val="18"/>
      </w:rPr>
      <w:fldChar w:fldCharType="separate"/>
    </w:r>
    <w:r w:rsidRPr="00551F6A">
      <w:rPr>
        <w:b/>
        <w:noProof/>
        <w:sz w:val="18"/>
      </w:rPr>
      <w:t>2</w:t>
    </w:r>
    <w:r w:rsidRPr="00551F6A">
      <w:rPr>
        <w:b/>
        <w:sz w:val="18"/>
      </w:rPr>
      <w:fldChar w:fldCharType="end"/>
    </w:r>
    <w:r>
      <w:rPr>
        <w:b/>
        <w:sz w:val="18"/>
      </w:rPr>
      <w:tab/>
    </w:r>
    <w:r>
      <w:t>GE.21-04669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139A" w14:textId="1C1F1378" w:rsidR="00551F6A" w:rsidRPr="00551F6A" w:rsidRDefault="00551F6A" w:rsidP="00551F6A">
    <w:pPr>
      <w:pStyle w:val="Pieddepage"/>
      <w:tabs>
        <w:tab w:val="right" w:pos="9638"/>
      </w:tabs>
      <w:rPr>
        <w:b/>
        <w:sz w:val="18"/>
      </w:rPr>
    </w:pPr>
    <w:r>
      <w:t>GE.21-04669</w:t>
    </w:r>
    <w:r>
      <w:tab/>
    </w:r>
    <w:r w:rsidRPr="00551F6A">
      <w:rPr>
        <w:b/>
        <w:sz w:val="18"/>
      </w:rPr>
      <w:fldChar w:fldCharType="begin"/>
    </w:r>
    <w:r w:rsidRPr="00551F6A">
      <w:rPr>
        <w:b/>
        <w:sz w:val="18"/>
      </w:rPr>
      <w:instrText xml:space="preserve"> PAGE  \* MERGEFORMAT </w:instrText>
    </w:r>
    <w:r w:rsidRPr="00551F6A">
      <w:rPr>
        <w:b/>
        <w:sz w:val="18"/>
      </w:rPr>
      <w:fldChar w:fldCharType="separate"/>
    </w:r>
    <w:r w:rsidRPr="00551F6A">
      <w:rPr>
        <w:b/>
        <w:noProof/>
        <w:sz w:val="18"/>
      </w:rPr>
      <w:t>3</w:t>
    </w:r>
    <w:r w:rsidRPr="00551F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462D" w14:textId="6574E0A5" w:rsidR="007F20FA" w:rsidRPr="00551F6A" w:rsidRDefault="00551F6A" w:rsidP="00551F6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D27D05E" wp14:editId="04EC6BB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21-04669  (F)</w:t>
    </w:r>
    <w:r>
      <w:rPr>
        <w:noProof/>
        <w:sz w:val="20"/>
      </w:rPr>
      <w:drawing>
        <wp:anchor distT="0" distB="0" distL="114300" distR="114300" simplePos="0" relativeHeight="251660288" behindDoc="0" locked="0" layoutInCell="1" allowOverlap="1" wp14:anchorId="12DB1C61" wp14:editId="335D62E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300421    300421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DC1F7" w14:textId="77777777" w:rsidR="003B4454" w:rsidRPr="00AC3823" w:rsidRDefault="003B4454" w:rsidP="00AC3823">
      <w:pPr>
        <w:pStyle w:val="Pieddepage"/>
        <w:tabs>
          <w:tab w:val="right" w:pos="2155"/>
        </w:tabs>
        <w:spacing w:after="80" w:line="240" w:lineRule="atLeast"/>
        <w:ind w:left="680"/>
        <w:rPr>
          <w:u w:val="single"/>
        </w:rPr>
      </w:pPr>
      <w:r>
        <w:rPr>
          <w:u w:val="single"/>
        </w:rPr>
        <w:tab/>
      </w:r>
    </w:p>
  </w:footnote>
  <w:footnote w:type="continuationSeparator" w:id="0">
    <w:p w14:paraId="6C1C0B61" w14:textId="77777777" w:rsidR="003B4454" w:rsidRPr="00AC3823" w:rsidRDefault="003B4454" w:rsidP="00AC3823">
      <w:pPr>
        <w:pStyle w:val="Pieddepage"/>
        <w:tabs>
          <w:tab w:val="right" w:pos="2155"/>
        </w:tabs>
        <w:spacing w:after="80" w:line="240" w:lineRule="atLeast"/>
        <w:ind w:left="680"/>
        <w:rPr>
          <w:u w:val="single"/>
        </w:rPr>
      </w:pPr>
      <w:r>
        <w:rPr>
          <w:u w:val="single"/>
        </w:rPr>
        <w:tab/>
      </w:r>
    </w:p>
  </w:footnote>
  <w:footnote w:type="continuationNotice" w:id="1">
    <w:p w14:paraId="50768F5D" w14:textId="77777777" w:rsidR="003B4454" w:rsidRPr="00AC3823" w:rsidRDefault="003B4454">
      <w:pPr>
        <w:spacing w:line="240" w:lineRule="auto"/>
        <w:rPr>
          <w:sz w:val="2"/>
          <w:szCs w:val="2"/>
        </w:rPr>
      </w:pPr>
    </w:p>
  </w:footnote>
  <w:footnote w:id="2">
    <w:p w14:paraId="70E21908" w14:textId="77777777" w:rsidR="00551F6A" w:rsidRPr="000C6D96" w:rsidRDefault="00551F6A" w:rsidP="00551F6A">
      <w:pPr>
        <w:pStyle w:val="Notedebasdepage"/>
      </w:pPr>
      <w:r>
        <w:rPr>
          <w:lang w:val="fr-FR"/>
        </w:rPr>
        <w:tab/>
      </w:r>
      <w:r w:rsidRPr="00551F6A">
        <w:rPr>
          <w:sz w:val="20"/>
          <w:lang w:val="fr-FR"/>
        </w:rPr>
        <w:t>*</w:t>
      </w:r>
      <w:r>
        <w:rPr>
          <w:lang w:val="fr-FR"/>
        </w:rPr>
        <w:tab/>
        <w:t>Conformément au programme de travail du Comité des transports intérieurs pour 2021 tel qu’il figure dans le projet de budget-programme pour 2021 (A/75/6 (titre V, chap.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603CA" w14:textId="62E660BF" w:rsidR="00551F6A" w:rsidRPr="00551F6A" w:rsidRDefault="00551F6A">
    <w:pPr>
      <w:pStyle w:val="En-tte"/>
    </w:pPr>
    <w:fldSimple w:instr=" TITLE  \* MERGEFORMAT ">
      <w:r>
        <w:t>ECE/TRANS/WP.29/2021/82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11A6" w14:textId="0598C36A" w:rsidR="00551F6A" w:rsidRPr="00551F6A" w:rsidRDefault="00551F6A" w:rsidP="00551F6A">
    <w:pPr>
      <w:pStyle w:val="En-tte"/>
      <w:jc w:val="right"/>
    </w:pPr>
    <w:fldSimple w:instr=" TITLE  \* MERGEFORMAT ">
      <w:r>
        <w:t>ECE/TRANS/WP.29/2021/82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0C47993"/>
    <w:multiLevelType w:val="hybridMultilevel"/>
    <w:tmpl w:val="F77634E2"/>
    <w:lvl w:ilvl="0" w:tplc="1D0485AE">
      <w:start w:val="1"/>
      <w:numFmt w:val="lowerLetter"/>
      <w:lvlText w:val="(%1)"/>
      <w:lvlJc w:val="left"/>
      <w:pPr>
        <w:ind w:left="2771" w:hanging="360"/>
      </w:pPr>
      <w:rPr>
        <w:i w:val="0"/>
        <w:iCs/>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54"/>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B4454"/>
    <w:rsid w:val="00421996"/>
    <w:rsid w:val="00441C3B"/>
    <w:rsid w:val="00446FE5"/>
    <w:rsid w:val="00452396"/>
    <w:rsid w:val="00477EB2"/>
    <w:rsid w:val="004837D8"/>
    <w:rsid w:val="004E2EED"/>
    <w:rsid w:val="004E468C"/>
    <w:rsid w:val="005505B7"/>
    <w:rsid w:val="00551F6A"/>
    <w:rsid w:val="00573BE5"/>
    <w:rsid w:val="00586ED3"/>
    <w:rsid w:val="00596AA9"/>
    <w:rsid w:val="005E6C45"/>
    <w:rsid w:val="00610482"/>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16FD74"/>
  <w15:docId w15:val="{2F1631B5-FE04-414B-B385-C0988DD7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para">
    <w:name w:val="para"/>
    <w:basedOn w:val="SingleTxtG"/>
    <w:link w:val="paraChar"/>
    <w:qFormat/>
    <w:rsid w:val="00551F6A"/>
    <w:pPr>
      <w:kinsoku/>
      <w:overflowPunct/>
      <w:autoSpaceDE/>
      <w:autoSpaceDN/>
      <w:adjustRightInd/>
      <w:snapToGrid/>
      <w:ind w:left="2268" w:hanging="1134"/>
    </w:pPr>
    <w:rPr>
      <w:rFonts w:eastAsia="Yu Mincho"/>
      <w:lang w:val="x-none"/>
    </w:rPr>
  </w:style>
  <w:style w:type="character" w:customStyle="1" w:styleId="paraChar">
    <w:name w:val="para Char"/>
    <w:link w:val="para"/>
    <w:locked/>
    <w:rsid w:val="00551F6A"/>
    <w:rPr>
      <w:rFonts w:ascii="Times New Roman" w:eastAsia="Yu Mincho" w:hAnsi="Times New Roman" w:cs="Times New Roman"/>
      <w:sz w:val="20"/>
      <w:szCs w:val="20"/>
      <w:lang w:val="x-none" w:eastAsia="en-US"/>
    </w:rPr>
  </w:style>
  <w:style w:type="character" w:customStyle="1" w:styleId="SingleTxtGChar">
    <w:name w:val="_ Single Txt_G Char"/>
    <w:link w:val="SingleTxtG"/>
    <w:qFormat/>
    <w:rsid w:val="00551F6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773A6-73BB-4712-A888-B010F535E171}"/>
</file>

<file path=customXml/itemProps2.xml><?xml version="1.0" encoding="utf-8"?>
<ds:datastoreItem xmlns:ds="http://schemas.openxmlformats.org/officeDocument/2006/customXml" ds:itemID="{C90BA780-D572-4FA1-BB57-DC674CBDD1E1}"/>
</file>

<file path=customXml/itemProps3.xml><?xml version="1.0" encoding="utf-8"?>
<ds:datastoreItem xmlns:ds="http://schemas.openxmlformats.org/officeDocument/2006/customXml" ds:itemID="{96CB710E-500E-469C-AADA-E88620649030}"/>
</file>

<file path=docProps/app.xml><?xml version="1.0" encoding="utf-8"?>
<Properties xmlns="http://schemas.openxmlformats.org/officeDocument/2006/extended-properties" xmlns:vt="http://schemas.openxmlformats.org/officeDocument/2006/docPropsVTypes">
  <Template>ECE_TRANS.dotm</Template>
  <TotalTime>0</TotalTime>
  <Pages>3</Pages>
  <Words>1131</Words>
  <Characters>6423</Characters>
  <Application>Microsoft Office Word</Application>
  <DocSecurity>0</DocSecurity>
  <Lines>128</Lines>
  <Paragraphs>52</Paragraphs>
  <ScaleCrop>false</ScaleCrop>
  <HeadingPairs>
    <vt:vector size="2" baseType="variant">
      <vt:variant>
        <vt:lpstr>Titre</vt:lpstr>
      </vt:variant>
      <vt:variant>
        <vt:i4>1</vt:i4>
      </vt:variant>
    </vt:vector>
  </HeadingPairs>
  <TitlesOfParts>
    <vt:vector size="1" baseType="lpstr">
      <vt:lpstr>ECE/TRANS/WP.29/2021/82</vt:lpstr>
    </vt:vector>
  </TitlesOfParts>
  <Company>DCM</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ECE/TRANS/WP.29/2021/82</dc:title>
  <dc:subject/>
  <dc:creator>Sandrine CLERE</dc:creator>
  <cp:keywords/>
  <cp:lastModifiedBy>Sandrine CLERE</cp:lastModifiedBy>
  <cp:revision>2</cp:revision>
  <cp:lastPrinted>2014-05-14T10:59:00Z</cp:lastPrinted>
  <dcterms:created xsi:type="dcterms:W3CDTF">2021-04-30T07:08:00Z</dcterms:created>
  <dcterms:modified xsi:type="dcterms:W3CDTF">2021-04-30T07:08:00Z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