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453E9FE0" w14:textId="77777777" w:rsidTr="00DF5712">
        <w:trPr>
          <w:trHeight w:hRule="exact" w:val="851"/>
        </w:trPr>
        <w:tc>
          <w:tcPr>
            <w:tcW w:w="1276" w:type="dxa"/>
            <w:tcBorders>
              <w:bottom w:val="single" w:sz="4" w:space="0" w:color="auto"/>
            </w:tcBorders>
          </w:tcPr>
          <w:p w14:paraId="418294EE" w14:textId="77777777" w:rsidR="00A14420" w:rsidRPr="00DB58B5" w:rsidRDefault="00A14420" w:rsidP="00FC4B6D"/>
        </w:tc>
        <w:tc>
          <w:tcPr>
            <w:tcW w:w="2268" w:type="dxa"/>
            <w:tcBorders>
              <w:bottom w:val="single" w:sz="4" w:space="0" w:color="auto"/>
            </w:tcBorders>
            <w:vAlign w:val="bottom"/>
          </w:tcPr>
          <w:p w14:paraId="49984321"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1542C91" w14:textId="38C45801" w:rsidR="00A14420" w:rsidRPr="00DB58B5" w:rsidRDefault="00FC4B6D" w:rsidP="00FC4B6D">
            <w:pPr>
              <w:jc w:val="right"/>
            </w:pPr>
            <w:r w:rsidRPr="00FC4B6D">
              <w:rPr>
                <w:sz w:val="40"/>
              </w:rPr>
              <w:t>ECE</w:t>
            </w:r>
            <w:r>
              <w:t>/MP.PP/WG.1/2021/8</w:t>
            </w:r>
          </w:p>
        </w:tc>
      </w:tr>
      <w:tr w:rsidR="00A14420" w:rsidRPr="00DB58B5" w14:paraId="55D9DD1B" w14:textId="77777777" w:rsidTr="00DF5712">
        <w:trPr>
          <w:trHeight w:hRule="exact" w:val="2835"/>
        </w:trPr>
        <w:tc>
          <w:tcPr>
            <w:tcW w:w="1276" w:type="dxa"/>
            <w:tcBorders>
              <w:top w:val="single" w:sz="4" w:space="0" w:color="auto"/>
              <w:bottom w:val="single" w:sz="12" w:space="0" w:color="auto"/>
            </w:tcBorders>
          </w:tcPr>
          <w:p w14:paraId="0E882F1E" w14:textId="77777777" w:rsidR="00A14420" w:rsidRPr="00DB58B5" w:rsidRDefault="00A14420" w:rsidP="00DF5712">
            <w:pPr>
              <w:spacing w:before="120"/>
              <w:jc w:val="center"/>
            </w:pPr>
            <w:r>
              <w:rPr>
                <w:noProof/>
                <w:lang w:eastAsia="fr-CH"/>
              </w:rPr>
              <w:drawing>
                <wp:inline distT="0" distB="0" distL="0" distR="0" wp14:anchorId="5BAAB5C4" wp14:editId="3F0C086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84441A"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2ECB221" w14:textId="77777777" w:rsidR="00A14420" w:rsidRDefault="00FC4B6D" w:rsidP="00DF5712">
            <w:pPr>
              <w:spacing w:before="240"/>
            </w:pPr>
            <w:r>
              <w:t>Distr. générale</w:t>
            </w:r>
          </w:p>
          <w:p w14:paraId="735A9EDC" w14:textId="1654DE50" w:rsidR="00FC4B6D" w:rsidRDefault="00FC4B6D" w:rsidP="00FC4B6D">
            <w:pPr>
              <w:spacing w:line="240" w:lineRule="exact"/>
            </w:pPr>
            <w:r>
              <w:t>18 mars 2021</w:t>
            </w:r>
          </w:p>
          <w:p w14:paraId="601B63A2" w14:textId="77777777" w:rsidR="00FC4B6D" w:rsidRDefault="00FC4B6D" w:rsidP="00FC4B6D">
            <w:pPr>
              <w:spacing w:line="240" w:lineRule="exact"/>
            </w:pPr>
            <w:r>
              <w:t>Français</w:t>
            </w:r>
          </w:p>
          <w:p w14:paraId="023567C0" w14:textId="71BBA70A" w:rsidR="00FC4B6D" w:rsidRPr="00DB58B5" w:rsidRDefault="00FC4B6D" w:rsidP="00FC4B6D">
            <w:pPr>
              <w:spacing w:line="240" w:lineRule="exact"/>
            </w:pPr>
            <w:r>
              <w:t>Original : anglais</w:t>
            </w:r>
          </w:p>
        </w:tc>
      </w:tr>
    </w:tbl>
    <w:p w14:paraId="22044308" w14:textId="77777777" w:rsidR="00C554CE" w:rsidRDefault="00C554CE" w:rsidP="00C554CE">
      <w:pPr>
        <w:spacing w:before="120"/>
        <w:rPr>
          <w:b/>
          <w:sz w:val="28"/>
          <w:szCs w:val="28"/>
        </w:rPr>
      </w:pPr>
      <w:r w:rsidRPr="000312C0">
        <w:rPr>
          <w:b/>
          <w:sz w:val="28"/>
          <w:szCs w:val="28"/>
        </w:rPr>
        <w:t>Commission économique pour l’Europe</w:t>
      </w:r>
    </w:p>
    <w:p w14:paraId="476AEAFC" w14:textId="77777777" w:rsidR="00FC4B6D" w:rsidRDefault="00FC4B6D" w:rsidP="00FC4B6D">
      <w:pPr>
        <w:spacing w:before="120"/>
        <w:rPr>
          <w:sz w:val="28"/>
          <w:szCs w:val="28"/>
        </w:rPr>
      </w:pPr>
      <w:r w:rsidRPr="00750247">
        <w:rPr>
          <w:sz w:val="28"/>
          <w:szCs w:val="28"/>
        </w:rPr>
        <w:t>Réunion des Parties à la Convention sur l’accès</w:t>
      </w:r>
      <w:r>
        <w:rPr>
          <w:sz w:val="28"/>
          <w:szCs w:val="28"/>
        </w:rPr>
        <w:t xml:space="preserve"> </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Pr>
          <w:sz w:val="28"/>
          <w:szCs w:val="28"/>
        </w:rPr>
        <w:t xml:space="preserve"> </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Pr>
          <w:sz w:val="28"/>
          <w:szCs w:val="28"/>
        </w:rPr>
        <w:t xml:space="preserve"> </w:t>
      </w:r>
      <w:r>
        <w:rPr>
          <w:sz w:val="28"/>
          <w:szCs w:val="28"/>
        </w:rPr>
        <w:br/>
      </w:r>
      <w:r w:rsidRPr="00750247">
        <w:rPr>
          <w:sz w:val="28"/>
          <w:szCs w:val="28"/>
        </w:rPr>
        <w:t>en matière d’environnement</w:t>
      </w:r>
    </w:p>
    <w:p w14:paraId="6BC59618" w14:textId="77777777" w:rsidR="00FC4B6D" w:rsidRPr="001A29BE" w:rsidRDefault="00FC4B6D" w:rsidP="00FC4B6D">
      <w:pPr>
        <w:spacing w:before="120"/>
        <w:rPr>
          <w:b/>
          <w:sz w:val="24"/>
          <w:szCs w:val="24"/>
        </w:rPr>
      </w:pPr>
      <w:r>
        <w:rPr>
          <w:b/>
          <w:sz w:val="24"/>
          <w:szCs w:val="24"/>
        </w:rPr>
        <w:t>Groupe de travail des Parties</w:t>
      </w:r>
    </w:p>
    <w:p w14:paraId="161BFAAD" w14:textId="77777777" w:rsidR="00FC4B6D" w:rsidRPr="005B76A3" w:rsidRDefault="00FC4B6D" w:rsidP="00FC4B6D">
      <w:pPr>
        <w:spacing w:before="120"/>
        <w:rPr>
          <w:b/>
        </w:rPr>
      </w:pPr>
      <w:r>
        <w:rPr>
          <w:b/>
        </w:rPr>
        <w:t>Vingt-cinquième réunion</w:t>
      </w:r>
    </w:p>
    <w:p w14:paraId="4A6C7E50" w14:textId="77777777" w:rsidR="00FC4B6D" w:rsidRDefault="00FC4B6D" w:rsidP="00FC4B6D">
      <w:r>
        <w:t>Genève, 3 mai et 7 et 8 juin 2021</w:t>
      </w:r>
    </w:p>
    <w:p w14:paraId="3F369722" w14:textId="77777777" w:rsidR="00FC4B6D" w:rsidRPr="00E3055D" w:rsidRDefault="00FC4B6D" w:rsidP="00FC4B6D">
      <w:pPr>
        <w:rPr>
          <w:lang w:val="fr-FR"/>
        </w:rPr>
      </w:pPr>
      <w:r w:rsidRPr="00E3055D">
        <w:rPr>
          <w:lang w:val="fr-FR"/>
        </w:rPr>
        <w:t>Point</w:t>
      </w:r>
      <w:r>
        <w:rPr>
          <w:lang w:val="fr-FR"/>
        </w:rPr>
        <w:t> </w:t>
      </w:r>
      <w:r w:rsidRPr="00E3055D">
        <w:rPr>
          <w:lang w:val="fr-FR"/>
        </w:rPr>
        <w:t>9</w:t>
      </w:r>
      <w:r>
        <w:rPr>
          <w:lang w:val="fr-FR"/>
        </w:rPr>
        <w:t> </w:t>
      </w:r>
      <w:r w:rsidRPr="00E3055D">
        <w:rPr>
          <w:lang w:val="fr-FR"/>
        </w:rPr>
        <w:t>g) de l</w:t>
      </w:r>
      <w:r>
        <w:rPr>
          <w:lang w:val="fr-FR"/>
        </w:rPr>
        <w:t>’</w:t>
      </w:r>
      <w:r w:rsidRPr="00E3055D">
        <w:rPr>
          <w:lang w:val="fr-FR"/>
        </w:rPr>
        <w:t>ordre du jour provisoire</w:t>
      </w:r>
    </w:p>
    <w:p w14:paraId="2C50C58D" w14:textId="77777777" w:rsidR="00FC4B6D" w:rsidRPr="00E3055D" w:rsidRDefault="00FC4B6D" w:rsidP="00FC4B6D">
      <w:pPr>
        <w:rPr>
          <w:b/>
          <w:lang w:val="fr-FR"/>
        </w:rPr>
      </w:pPr>
      <w:r w:rsidRPr="00E3055D">
        <w:rPr>
          <w:b/>
          <w:bCs/>
          <w:lang w:val="fr-FR"/>
        </w:rPr>
        <w:t>Préparatifs de la septième session de la Réunion des Parties :</w:t>
      </w:r>
      <w:r>
        <w:rPr>
          <w:b/>
          <w:bCs/>
          <w:lang w:val="fr-FR"/>
        </w:rPr>
        <w:t xml:space="preserve"> </w:t>
      </w:r>
      <w:r w:rsidRPr="00E3055D">
        <w:rPr>
          <w:b/>
          <w:bCs/>
          <w:lang w:val="fr-FR"/>
        </w:rPr>
        <w:br/>
        <w:t>programme de travail pour la période 2022-2025</w:t>
      </w:r>
    </w:p>
    <w:p w14:paraId="31B76FAA" w14:textId="77777777" w:rsidR="00FC4B6D" w:rsidRPr="00E3055D" w:rsidRDefault="00FC4B6D" w:rsidP="00FC4B6D">
      <w:pPr>
        <w:pStyle w:val="HChG"/>
        <w:rPr>
          <w:lang w:val="fr-FR"/>
        </w:rPr>
      </w:pPr>
      <w:r w:rsidRPr="00E3055D">
        <w:rPr>
          <w:lang w:val="fr-FR"/>
        </w:rPr>
        <w:tab/>
      </w:r>
      <w:r w:rsidRPr="00E3055D">
        <w:rPr>
          <w:lang w:val="fr-FR"/>
        </w:rPr>
        <w:tab/>
        <w:t>Projet de décision</w:t>
      </w:r>
      <w:r>
        <w:rPr>
          <w:lang w:val="fr-FR"/>
        </w:rPr>
        <w:t> </w:t>
      </w:r>
      <w:r w:rsidRPr="00E3055D">
        <w:rPr>
          <w:lang w:val="fr-FR"/>
        </w:rPr>
        <w:t xml:space="preserve">VII/… sur le programme de travail </w:t>
      </w:r>
      <w:r>
        <w:rPr>
          <w:lang w:val="fr-FR"/>
        </w:rPr>
        <w:br/>
      </w:r>
      <w:r w:rsidRPr="00E3055D">
        <w:rPr>
          <w:lang w:val="fr-FR"/>
        </w:rPr>
        <w:t>pour la période 2022-2025</w:t>
      </w:r>
      <w:r w:rsidRPr="00D32F94">
        <w:rPr>
          <w:rStyle w:val="Appelnotedebasdep"/>
          <w:b w:val="0"/>
          <w:bCs/>
          <w:sz w:val="20"/>
          <w:vertAlign w:val="baseline"/>
        </w:rPr>
        <w:footnoteReference w:customMarkFollows="1" w:id="2"/>
        <w:t>*</w:t>
      </w:r>
    </w:p>
    <w:p w14:paraId="1EEFF594" w14:textId="11C4971D" w:rsidR="005F26E5" w:rsidRDefault="00FC4B6D" w:rsidP="00FC4B6D">
      <w:pPr>
        <w:pStyle w:val="H1G"/>
        <w:rPr>
          <w:lang w:val="fr-FR"/>
        </w:rPr>
      </w:pPr>
      <w:r w:rsidRPr="00E3055D">
        <w:rPr>
          <w:lang w:val="fr-FR"/>
        </w:rPr>
        <w:tab/>
      </w:r>
      <w:r w:rsidRPr="00E3055D">
        <w:rPr>
          <w:lang w:val="fr-FR"/>
        </w:rPr>
        <w:tab/>
        <w:t>Document établi par le Bureau avec le concours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FC4B6D" w14:paraId="0A2B899F" w14:textId="77777777" w:rsidTr="00E146C5">
        <w:trPr>
          <w:jc w:val="center"/>
        </w:trPr>
        <w:tc>
          <w:tcPr>
            <w:tcW w:w="9628" w:type="dxa"/>
            <w:tcBorders>
              <w:bottom w:val="nil"/>
            </w:tcBorders>
            <w:shd w:val="clear" w:color="auto" w:fill="auto"/>
          </w:tcPr>
          <w:p w14:paraId="0A4813C8" w14:textId="77777777" w:rsidR="00FC4B6D" w:rsidRDefault="00FC4B6D" w:rsidP="00E146C5">
            <w:pPr>
              <w:spacing w:before="240" w:after="120"/>
              <w:ind w:left="255"/>
              <w:rPr>
                <w:i/>
                <w:sz w:val="24"/>
              </w:rPr>
            </w:pPr>
            <w:r>
              <w:rPr>
                <w:i/>
                <w:sz w:val="24"/>
              </w:rPr>
              <w:t>Résumé</w:t>
            </w:r>
          </w:p>
        </w:tc>
      </w:tr>
      <w:tr w:rsidR="00FC4B6D" w14:paraId="391AA475" w14:textId="77777777" w:rsidTr="00E146C5">
        <w:trPr>
          <w:jc w:val="center"/>
        </w:trPr>
        <w:tc>
          <w:tcPr>
            <w:tcW w:w="9628" w:type="dxa"/>
            <w:tcBorders>
              <w:top w:val="nil"/>
              <w:left w:val="single" w:sz="4" w:space="0" w:color="auto"/>
              <w:bottom w:val="nil"/>
              <w:right w:val="single" w:sz="4" w:space="0" w:color="auto"/>
            </w:tcBorders>
            <w:shd w:val="clear" w:color="auto" w:fill="auto"/>
          </w:tcPr>
          <w:p w14:paraId="434B4173" w14:textId="77777777" w:rsidR="00FC4B6D" w:rsidRDefault="00FC4B6D" w:rsidP="00E146C5">
            <w:pPr>
              <w:pStyle w:val="SingleTxtG"/>
              <w:ind w:firstLine="567"/>
            </w:pPr>
            <w:r w:rsidRPr="00E3055D">
              <w:rPr>
                <w:lang w:val="fr-FR"/>
              </w:rPr>
              <w:t>À sa sixième session (Budva (Monténégro), 11-14 septembre 2017), la Réunion des Parties à la Convention sur l</w:t>
            </w:r>
            <w:r>
              <w:rPr>
                <w:lang w:val="fr-FR"/>
              </w:rPr>
              <w:t>’</w:t>
            </w:r>
            <w:r w:rsidRPr="00E3055D">
              <w:rPr>
                <w:lang w:val="fr-FR"/>
              </w:rPr>
              <w:t>accès à l</w:t>
            </w:r>
            <w:r>
              <w:rPr>
                <w:lang w:val="fr-FR"/>
              </w:rPr>
              <w:t>’</w:t>
            </w:r>
            <w:r w:rsidRPr="00E3055D">
              <w:rPr>
                <w:lang w:val="fr-FR"/>
              </w:rPr>
              <w:t>information, la participation du public au processus décisionnel et l</w:t>
            </w:r>
            <w:r>
              <w:rPr>
                <w:lang w:val="fr-FR"/>
              </w:rPr>
              <w:t>’</w:t>
            </w:r>
            <w:r w:rsidRPr="00E3055D">
              <w:rPr>
                <w:lang w:val="fr-FR"/>
              </w:rPr>
              <w:t>accès à la justice en matière d</w:t>
            </w:r>
            <w:r>
              <w:rPr>
                <w:lang w:val="fr-FR"/>
              </w:rPr>
              <w:t>’</w:t>
            </w:r>
            <w:r w:rsidRPr="00E3055D">
              <w:rPr>
                <w:lang w:val="fr-FR"/>
              </w:rPr>
              <w:t>environnement a demandé au secrétariat d</w:t>
            </w:r>
            <w:r>
              <w:rPr>
                <w:lang w:val="fr-FR"/>
              </w:rPr>
              <w:t>’</w:t>
            </w:r>
            <w:r w:rsidRPr="00E3055D">
              <w:rPr>
                <w:lang w:val="fr-FR"/>
              </w:rPr>
              <w:t>établir un projet de programme de travail pour la période intersessions qui suivrait la septième session de la Réunion des Parties, contenant une ventilation détaillée des prévisions de dépenses, en vue de son examen et de sa mise au point plus poussée par le Bureau et le Groupe de travail des Parties (ECE/MP.PP/2017/2/Add.1, décision VI/5, par. 10). Le Bureau a également été prié de fournir, avec l</w:t>
            </w:r>
            <w:r>
              <w:rPr>
                <w:lang w:val="fr-FR"/>
              </w:rPr>
              <w:t>’</w:t>
            </w:r>
            <w:r w:rsidRPr="00E3055D">
              <w:rPr>
                <w:lang w:val="fr-FR"/>
              </w:rPr>
              <w:t>aide du secrétariat, une estimation des coûts opérationnels nécessaires au bon fonctionnement de la Convention, qui devait clairement se différencier du coût d</w:t>
            </w:r>
            <w:r>
              <w:rPr>
                <w:lang w:val="fr-FR"/>
              </w:rPr>
              <w:t>’</w:t>
            </w:r>
            <w:r w:rsidRPr="00E3055D">
              <w:rPr>
                <w:lang w:val="fr-FR"/>
              </w:rPr>
              <w:t>autres activités subordonnées à la disponibilité des ressources (ECE/MP.PP/2017/2/Add.1, décision VI/6, par. 10).</w:t>
            </w:r>
          </w:p>
        </w:tc>
      </w:tr>
      <w:tr w:rsidR="00FC4B6D" w14:paraId="518F4398" w14:textId="77777777" w:rsidTr="00E146C5">
        <w:trPr>
          <w:jc w:val="center"/>
        </w:trPr>
        <w:tc>
          <w:tcPr>
            <w:tcW w:w="9628" w:type="dxa"/>
            <w:tcBorders>
              <w:top w:val="nil"/>
            </w:tcBorders>
            <w:shd w:val="clear" w:color="auto" w:fill="auto"/>
          </w:tcPr>
          <w:p w14:paraId="4E23E183" w14:textId="77777777" w:rsidR="00FC4B6D" w:rsidRDefault="00FC4B6D" w:rsidP="00E146C5">
            <w:pPr>
              <w:pStyle w:val="SingleTxtG"/>
              <w:keepNext/>
              <w:keepLines/>
              <w:ind w:firstLine="567"/>
            </w:pPr>
            <w:r w:rsidRPr="00E3055D">
              <w:rPr>
                <w:lang w:val="fr-FR"/>
              </w:rPr>
              <w:lastRenderedPageBreak/>
              <w:t>Conformément à ces décisions, on trouvera ci-après le projet de décision sur le programme de travail futur pour 2022-2025 et les éléments suivants : un projet de programme de travail pour la période 2022-2025 (annexe I), les coûts estimatifs des activités prévues dans les domaines d</w:t>
            </w:r>
            <w:r>
              <w:rPr>
                <w:lang w:val="fr-FR"/>
              </w:rPr>
              <w:t>’</w:t>
            </w:r>
            <w:r w:rsidRPr="00E3055D">
              <w:rPr>
                <w:lang w:val="fr-FR"/>
              </w:rPr>
              <w:t>activité du programme de travail pour la période 2022-2025 (annexe II) et un exemple de répartition des différentes réunions prévues au titre de la Convention pour la période 2022</w:t>
            </w:r>
            <w:r w:rsidRPr="00E3055D">
              <w:rPr>
                <w:lang w:val="fr-FR"/>
              </w:rPr>
              <w:noBreakHyphen/>
              <w:t xml:space="preserve">2025 (annexe III). </w:t>
            </w:r>
            <w:r w:rsidRPr="005778D9">
              <w:rPr>
                <w:lang w:val="fr-FR"/>
              </w:rPr>
              <w:t>Le pr</w:t>
            </w:r>
            <w:r w:rsidRPr="00E3055D">
              <w:rPr>
                <w:lang w:val="fr-FR"/>
              </w:rPr>
              <w:t>é</w:t>
            </w:r>
            <w:r w:rsidRPr="005778D9">
              <w:rPr>
                <w:lang w:val="fr-FR"/>
              </w:rPr>
              <w:t>sent document est fondé sur le projet d</w:t>
            </w:r>
            <w:r>
              <w:rPr>
                <w:lang w:val="fr-FR"/>
              </w:rPr>
              <w:t>’</w:t>
            </w:r>
            <w:r w:rsidRPr="005778D9">
              <w:rPr>
                <w:lang w:val="fr-FR"/>
              </w:rPr>
              <w:t>éléments du programme de travail pour 2022-2025</w:t>
            </w:r>
            <w:r w:rsidRPr="005778D9">
              <w:rPr>
                <w:rFonts w:asciiTheme="majorBidi" w:hAnsiTheme="majorBidi" w:cstheme="majorBidi"/>
                <w:lang w:val="fr-FR"/>
              </w:rPr>
              <w:t xml:space="preserve"> (ECE/MP.PP/WG.1/2020/7) que le Groupe de travail a examin</w:t>
            </w:r>
            <w:r w:rsidRPr="00E3055D">
              <w:rPr>
                <w:rFonts w:asciiTheme="majorBidi" w:hAnsiTheme="majorBidi" w:cstheme="majorBidi"/>
                <w:lang w:val="fr-FR"/>
              </w:rPr>
              <w:t>é</w:t>
            </w:r>
            <w:r w:rsidRPr="005778D9">
              <w:rPr>
                <w:rFonts w:asciiTheme="majorBidi" w:hAnsiTheme="majorBidi" w:cstheme="majorBidi"/>
                <w:lang w:val="fr-FR"/>
              </w:rPr>
              <w:t xml:space="preserve"> à sa vi</w:t>
            </w:r>
            <w:r w:rsidRPr="00E3055D">
              <w:rPr>
                <w:rFonts w:asciiTheme="majorBidi" w:hAnsiTheme="majorBidi" w:cstheme="majorBidi"/>
                <w:lang w:val="fr-FR"/>
              </w:rPr>
              <w:t>ngt-quatrième réunion</w:t>
            </w:r>
            <w:r w:rsidRPr="005778D9">
              <w:rPr>
                <w:lang w:val="fr-FR"/>
              </w:rPr>
              <w:t xml:space="preserve"> (Ge</w:t>
            </w:r>
            <w:r w:rsidRPr="00E3055D">
              <w:rPr>
                <w:lang w:val="fr-FR"/>
              </w:rPr>
              <w:t xml:space="preserve">nève </w:t>
            </w:r>
            <w:r w:rsidRPr="005778D9">
              <w:rPr>
                <w:lang w:val="fr-FR"/>
              </w:rPr>
              <w:t>(</w:t>
            </w:r>
            <w:r w:rsidRPr="00E3055D">
              <w:rPr>
                <w:lang w:val="fr-FR"/>
              </w:rPr>
              <w:t>en ligne</w:t>
            </w:r>
            <w:r w:rsidRPr="005778D9">
              <w:rPr>
                <w:lang w:val="fr-FR"/>
              </w:rPr>
              <w:t xml:space="preserve">), </w:t>
            </w:r>
            <w:r w:rsidRPr="00E3055D">
              <w:rPr>
                <w:lang w:val="fr-FR"/>
              </w:rPr>
              <w:t>1</w:t>
            </w:r>
            <w:r w:rsidRPr="005778D9">
              <w:rPr>
                <w:vertAlign w:val="superscript"/>
                <w:lang w:val="fr-FR"/>
              </w:rPr>
              <w:t>er</w:t>
            </w:r>
            <w:r w:rsidRPr="00E3055D">
              <w:rPr>
                <w:lang w:val="fr-FR"/>
              </w:rPr>
              <w:t>-3</w:t>
            </w:r>
            <w:r>
              <w:rPr>
                <w:lang w:val="fr-FR"/>
              </w:rPr>
              <w:t> </w:t>
            </w:r>
            <w:r w:rsidRPr="00E3055D">
              <w:rPr>
                <w:lang w:val="fr-FR"/>
              </w:rPr>
              <w:t xml:space="preserve">juillet 2020 et </w:t>
            </w:r>
            <w:r w:rsidRPr="005778D9">
              <w:rPr>
                <w:lang w:val="fr-FR"/>
              </w:rPr>
              <w:t>Gen</w:t>
            </w:r>
            <w:r w:rsidRPr="00E3055D">
              <w:rPr>
                <w:lang w:val="fr-FR"/>
              </w:rPr>
              <w:t xml:space="preserve">ève </w:t>
            </w:r>
            <w:r w:rsidRPr="005778D9">
              <w:rPr>
                <w:lang w:val="fr-FR"/>
              </w:rPr>
              <w:t>(</w:t>
            </w:r>
            <w:r w:rsidRPr="00E3055D">
              <w:rPr>
                <w:lang w:val="fr-FR"/>
              </w:rPr>
              <w:t xml:space="preserve">modalités </w:t>
            </w:r>
            <w:r w:rsidRPr="005778D9">
              <w:rPr>
                <w:lang w:val="fr-FR"/>
              </w:rPr>
              <w:t>hybrid</w:t>
            </w:r>
            <w:r w:rsidRPr="00E3055D">
              <w:rPr>
                <w:lang w:val="fr-FR"/>
              </w:rPr>
              <w:t>es</w:t>
            </w:r>
            <w:r w:rsidRPr="005778D9">
              <w:rPr>
                <w:lang w:val="fr-FR"/>
              </w:rPr>
              <w:t>)</w:t>
            </w:r>
            <w:r w:rsidRPr="00E3055D">
              <w:rPr>
                <w:lang w:val="fr-FR"/>
              </w:rPr>
              <w:t>,</w:t>
            </w:r>
            <w:r w:rsidRPr="005778D9">
              <w:rPr>
                <w:lang w:val="fr-FR"/>
              </w:rPr>
              <w:t xml:space="preserve"> 28 </w:t>
            </w:r>
            <w:r w:rsidRPr="00E3055D">
              <w:rPr>
                <w:lang w:val="fr-FR"/>
              </w:rPr>
              <w:t xml:space="preserve">et </w:t>
            </w:r>
            <w:r w:rsidRPr="005778D9">
              <w:rPr>
                <w:lang w:val="fr-FR"/>
              </w:rPr>
              <w:t>29</w:t>
            </w:r>
            <w:r>
              <w:rPr>
                <w:lang w:val="fr-FR"/>
              </w:rPr>
              <w:t> o</w:t>
            </w:r>
            <w:r w:rsidRPr="005778D9">
              <w:rPr>
                <w:lang w:val="fr-FR"/>
              </w:rPr>
              <w:t>ctob</w:t>
            </w:r>
            <w:r w:rsidRPr="00E3055D">
              <w:rPr>
                <w:lang w:val="fr-FR"/>
              </w:rPr>
              <w:t>re</w:t>
            </w:r>
            <w:r w:rsidRPr="005778D9">
              <w:rPr>
                <w:lang w:val="fr-FR"/>
              </w:rPr>
              <w:t xml:space="preserve"> 2020)</w:t>
            </w:r>
            <w:r w:rsidRPr="00E3055D">
              <w:rPr>
                <w:lang w:val="fr-FR"/>
              </w:rPr>
              <w:t>, auquel seules des révisions factuelles et rédactionnelles ont été apportées</w:t>
            </w:r>
            <w:r w:rsidRPr="005778D9">
              <w:rPr>
                <w:lang w:val="fr-FR"/>
              </w:rPr>
              <w:t>.</w:t>
            </w:r>
          </w:p>
        </w:tc>
      </w:tr>
      <w:tr w:rsidR="00FC4B6D" w14:paraId="0AFEB2F4" w14:textId="77777777" w:rsidTr="00E146C5">
        <w:trPr>
          <w:jc w:val="center"/>
        </w:trPr>
        <w:tc>
          <w:tcPr>
            <w:tcW w:w="9628" w:type="dxa"/>
            <w:shd w:val="clear" w:color="auto" w:fill="auto"/>
          </w:tcPr>
          <w:p w14:paraId="0020F25E" w14:textId="1FB35C29" w:rsidR="00FC4B6D" w:rsidRDefault="00FC4B6D" w:rsidP="00E146C5">
            <w:pPr>
              <w:pStyle w:val="SingleTxtG"/>
              <w:ind w:firstLine="567"/>
            </w:pPr>
            <w:r w:rsidRPr="00E3055D">
              <w:rPr>
                <w:lang w:val="fr-FR"/>
              </w:rPr>
              <w:t>Le présent projet de décision a fait l</w:t>
            </w:r>
            <w:r>
              <w:rPr>
                <w:lang w:val="fr-FR"/>
              </w:rPr>
              <w:t>’</w:t>
            </w:r>
            <w:r w:rsidRPr="00E3055D">
              <w:rPr>
                <w:lang w:val="fr-FR"/>
              </w:rPr>
              <w:t>objet de consultations ouvertes entre les correspondants nationaux et les parties prenantes après la vingt-quatrième réunion du Groupe de travail. Il est soumis au Groupe de travail, à sa vingt-cinquième réunion, afin que celui-ci l</w:t>
            </w:r>
            <w:r>
              <w:rPr>
                <w:lang w:val="fr-FR"/>
              </w:rPr>
              <w:t>’</w:t>
            </w:r>
            <w:r w:rsidRPr="00E3055D">
              <w:rPr>
                <w:lang w:val="fr-FR"/>
              </w:rPr>
              <w:t>examine et l</w:t>
            </w:r>
            <w:r>
              <w:rPr>
                <w:lang w:val="fr-FR"/>
              </w:rPr>
              <w:t>’</w:t>
            </w:r>
            <w:r w:rsidRPr="00E3055D">
              <w:rPr>
                <w:lang w:val="fr-FR"/>
              </w:rPr>
              <w:t>approuve en vue de sa soumission ultérieure à la Réunion des Parties pour examen à sa septième</w:t>
            </w:r>
            <w:r w:rsidR="00E146C5">
              <w:rPr>
                <w:lang w:val="fr-FR"/>
              </w:rPr>
              <w:t xml:space="preserve"> </w:t>
            </w:r>
            <w:r w:rsidRPr="00E3055D">
              <w:rPr>
                <w:lang w:val="fr-FR"/>
              </w:rPr>
              <w:t>session.</w:t>
            </w:r>
          </w:p>
        </w:tc>
      </w:tr>
      <w:tr w:rsidR="00FC4B6D" w14:paraId="46530ADC" w14:textId="77777777" w:rsidTr="00E146C5">
        <w:trPr>
          <w:jc w:val="center"/>
        </w:trPr>
        <w:tc>
          <w:tcPr>
            <w:tcW w:w="9628" w:type="dxa"/>
            <w:shd w:val="clear" w:color="auto" w:fill="auto"/>
          </w:tcPr>
          <w:p w14:paraId="6823F3F6" w14:textId="77777777" w:rsidR="00FC4B6D" w:rsidRDefault="00FC4B6D" w:rsidP="00E146C5"/>
        </w:tc>
      </w:tr>
    </w:tbl>
    <w:p w14:paraId="55A05F12" w14:textId="42C474D2" w:rsidR="00FC4B6D" w:rsidRDefault="00FC4B6D" w:rsidP="00FC4B6D">
      <w:pPr>
        <w:pStyle w:val="SingleTxtG"/>
      </w:pPr>
      <w:r>
        <w:br w:type="page"/>
      </w:r>
    </w:p>
    <w:p w14:paraId="344097CA" w14:textId="77777777" w:rsidR="00FC4B6D" w:rsidRPr="00E3055D" w:rsidRDefault="00FC4B6D" w:rsidP="00FC4B6D">
      <w:pPr>
        <w:pStyle w:val="HChG"/>
        <w:rPr>
          <w:lang w:val="fr-FR"/>
        </w:rPr>
      </w:pPr>
      <w:r>
        <w:rPr>
          <w:lang w:val="fr-FR"/>
        </w:rPr>
        <w:tab/>
      </w:r>
      <w:r>
        <w:rPr>
          <w:lang w:val="fr-FR"/>
        </w:rPr>
        <w:tab/>
      </w:r>
      <w:r w:rsidRPr="00E3055D">
        <w:rPr>
          <w:lang w:val="fr-FR"/>
        </w:rPr>
        <w:t>Introduction</w:t>
      </w:r>
    </w:p>
    <w:p w14:paraId="2D0BFE58" w14:textId="77777777" w:rsidR="00FC4B6D" w:rsidRPr="00E3055D" w:rsidRDefault="00FC4B6D" w:rsidP="00FC4B6D">
      <w:pPr>
        <w:pStyle w:val="SingleTxtG"/>
        <w:rPr>
          <w:lang w:val="fr-FR"/>
        </w:rPr>
      </w:pPr>
      <w:r w:rsidRPr="00E3055D">
        <w:rPr>
          <w:lang w:val="fr-FR"/>
        </w:rPr>
        <w:t>1.</w:t>
      </w:r>
      <w:r w:rsidRPr="00E3055D">
        <w:rPr>
          <w:lang w:val="fr-FR"/>
        </w:rPr>
        <w:tab/>
        <w:t>À sa sixième session (Budva (Monténégro), 11-14 septembre 2017), la Réunion des Parties à la Convention sur l</w:t>
      </w:r>
      <w:r>
        <w:rPr>
          <w:lang w:val="fr-FR"/>
        </w:rPr>
        <w:t>’</w:t>
      </w:r>
      <w:r w:rsidRPr="00E3055D">
        <w:rPr>
          <w:lang w:val="fr-FR"/>
        </w:rPr>
        <w:t>accès à l</w:t>
      </w:r>
      <w:r>
        <w:rPr>
          <w:lang w:val="fr-FR"/>
        </w:rPr>
        <w:t>’</w:t>
      </w:r>
      <w:r w:rsidRPr="00E3055D">
        <w:rPr>
          <w:lang w:val="fr-FR"/>
        </w:rPr>
        <w:t>information, la participation du public au processus décisionnel et l</w:t>
      </w:r>
      <w:r>
        <w:rPr>
          <w:lang w:val="fr-FR"/>
        </w:rPr>
        <w:t>’</w:t>
      </w:r>
      <w:r w:rsidRPr="00E3055D">
        <w:rPr>
          <w:lang w:val="fr-FR"/>
        </w:rPr>
        <w:t>accès à la justice en matière d</w:t>
      </w:r>
      <w:r>
        <w:rPr>
          <w:lang w:val="fr-FR"/>
        </w:rPr>
        <w:t>’</w:t>
      </w:r>
      <w:r w:rsidRPr="00E3055D">
        <w:rPr>
          <w:lang w:val="fr-FR"/>
        </w:rPr>
        <w:t>environnement a demandé au secrétariat d</w:t>
      </w:r>
      <w:r>
        <w:rPr>
          <w:lang w:val="fr-FR"/>
        </w:rPr>
        <w:t>’</w:t>
      </w:r>
      <w:r w:rsidRPr="00E3055D">
        <w:rPr>
          <w:lang w:val="fr-FR"/>
        </w:rPr>
        <w:t>établir un projet de programme de travail pour la période intersessions qui suivrait la septième session de la Réunion des Parties, contenant une ventilation détaillée des prévisions de dépenses, en vue de son examen et de sa mise au point plus poussée par le Bureau et le Groupe de travail des Parties (ECE/MP.PP/2017/2/Add.1, décision VI/5, par. 10). Le Bureau a également été prié de fournir, avec l</w:t>
      </w:r>
      <w:r>
        <w:rPr>
          <w:lang w:val="fr-FR"/>
        </w:rPr>
        <w:t>’</w:t>
      </w:r>
      <w:r w:rsidRPr="00E3055D">
        <w:rPr>
          <w:lang w:val="fr-FR"/>
        </w:rPr>
        <w:t>aide du secrétariat, une estimation des coûts opérationnels nécessaires au bon fonctionnement de la Convention, qui devait clairement se différencier du coût d</w:t>
      </w:r>
      <w:r>
        <w:rPr>
          <w:lang w:val="fr-FR"/>
        </w:rPr>
        <w:t>’</w:t>
      </w:r>
      <w:r w:rsidRPr="00E3055D">
        <w:rPr>
          <w:lang w:val="fr-FR"/>
        </w:rPr>
        <w:t>autres activités subordonnées à la disponibilité des ressources (ECE/MP.PP/2017/2/Add.1, décision VI/6, par. 10).</w:t>
      </w:r>
    </w:p>
    <w:p w14:paraId="40294744" w14:textId="337E5843" w:rsidR="00FC4B6D" w:rsidRPr="00E146C5" w:rsidRDefault="00FC4B6D" w:rsidP="00FC4B6D">
      <w:pPr>
        <w:pStyle w:val="SingleTxtG"/>
        <w:rPr>
          <w:spacing w:val="-1"/>
        </w:rPr>
      </w:pPr>
      <w:r w:rsidRPr="00E146C5">
        <w:rPr>
          <w:spacing w:val="-1"/>
          <w:lang w:val="fr-FR"/>
        </w:rPr>
        <w:t>2.</w:t>
      </w:r>
      <w:r w:rsidRPr="00E146C5">
        <w:rPr>
          <w:spacing w:val="-1"/>
          <w:lang w:val="fr-FR"/>
        </w:rPr>
        <w:tab/>
        <w:t xml:space="preserve">Conformément aux décisions susmentionnées, le Bureau a élaboré un projet d’éléments du programme de travail pour </w:t>
      </w:r>
      <w:r w:rsidRPr="00E146C5">
        <w:rPr>
          <w:rFonts w:cstheme="majorBidi"/>
          <w:spacing w:val="-1"/>
          <w:lang w:val="fr-FR"/>
        </w:rPr>
        <w:t>2022-2025 (ECE/MP.PP/WG.1/2020/7) pour examen par le Groupe de travail à sa vingt-quatrième réunion. L</w:t>
      </w:r>
      <w:r w:rsidRPr="00E146C5">
        <w:rPr>
          <w:spacing w:val="-1"/>
          <w:lang w:val="fr-FR"/>
        </w:rPr>
        <w:t>es commentaires soumis par les Parties et les parties prenantes avant et pendant la vingt-quatrième réunion témoignaient de l’adhésion générale au programme de travail, y compris aux nouveaux éléments (voir par. 6 ci-après), mais portaient également sur les incidences financières et sur la nécessité de disposer d’informations supplémentaires au sujet d’un nouveau mécanisme de réponse rapide proposé pour traiter les cas relevant du paragraphe 8 de l’article 3 de la Convention. À cet égard, le secrétariat a annoncé qu’un administrateur auxiliaire, dont le poste était financé par l’Italie, avait rejoint le secrétariat en octobre 2020. Le Bureau et le secrétariat ont également préparé des documents de référence en réponse aux demandes d’informations supplémentaires sur la situation des défenseurs de l’environnement dans les Parties à la Convention d’Aarhus. Les</w:t>
      </w:r>
      <w:r w:rsidR="00E146C5">
        <w:rPr>
          <w:spacing w:val="-1"/>
          <w:lang w:val="fr-FR"/>
        </w:rPr>
        <w:t> </w:t>
      </w:r>
      <w:r w:rsidRPr="00E146C5">
        <w:rPr>
          <w:spacing w:val="-1"/>
          <w:lang w:val="fr-FR"/>
        </w:rPr>
        <w:t>commentaires concernant le projet de programme de travail suggéraient également d’envisager d’utiliser des plateformes numériques pour les réunions organisées sous les auspices de la Convention, dans la mesure du possible, comme modalité supplémentaire ou comme modalité de substitution aux réunions en présentiel lorsque, pour diverses raisons, les déplacements étaient difficiles ou impossibles, tout en reconnaissant les limites des plateformes numériques et les difficultés que posait leur utilisation. Des</w:t>
      </w:r>
      <w:r w:rsidR="00E146C5">
        <w:rPr>
          <w:spacing w:val="-1"/>
          <w:lang w:val="fr-FR"/>
        </w:rPr>
        <w:t xml:space="preserve"> </w:t>
      </w:r>
      <w:r w:rsidRPr="00E146C5">
        <w:rPr>
          <w:spacing w:val="-1"/>
          <w:lang w:val="fr-FR"/>
        </w:rPr>
        <w:t>organisations non gouvernementales (ONG) ont suggéré d’ajouter des ateliers et des tables rondes à la rubrique « Méthode de travail » du domaine d’activité</w:t>
      </w:r>
      <w:r w:rsidR="00E146C5" w:rsidRPr="00E146C5">
        <w:rPr>
          <w:spacing w:val="-1"/>
          <w:lang w:val="fr-FR"/>
        </w:rPr>
        <w:t> </w:t>
      </w:r>
      <w:r w:rsidRPr="00E146C5">
        <w:rPr>
          <w:spacing w:val="-1"/>
          <w:lang w:val="fr-FR"/>
        </w:rPr>
        <w:t xml:space="preserve">IX. </w:t>
      </w:r>
      <w:r w:rsidRPr="00E146C5">
        <w:rPr>
          <w:rFonts w:cstheme="majorBidi"/>
          <w:spacing w:val="-1"/>
          <w:lang w:val="fr-FR"/>
        </w:rPr>
        <w:t>Le Groupe de travail a examiné le projet d’éléments du programme de travail pour 2022</w:t>
      </w:r>
      <w:r w:rsidR="00E146C5" w:rsidRPr="00E146C5">
        <w:rPr>
          <w:rFonts w:cstheme="majorBidi"/>
          <w:spacing w:val="-1"/>
          <w:lang w:val="fr-FR"/>
        </w:rPr>
        <w:noBreakHyphen/>
      </w:r>
      <w:r w:rsidRPr="00E146C5">
        <w:rPr>
          <w:rFonts w:cstheme="majorBidi"/>
          <w:spacing w:val="-1"/>
          <w:lang w:val="fr-FR"/>
        </w:rPr>
        <w:t>2025 (ECE/MP.PP/WG.1/2020/7) et a prié le Bureau d’élaborer un projet de décision sur le futur programme de travail sur la base de ce document et à la lumière des commentaires reçus</w:t>
      </w:r>
      <w:r w:rsidRPr="00E146C5">
        <w:rPr>
          <w:rStyle w:val="Appelnotedebasdep"/>
          <w:spacing w:val="-1"/>
        </w:rPr>
        <w:footnoteReference w:id="3"/>
      </w:r>
      <w:r w:rsidRPr="00E146C5">
        <w:rPr>
          <w:rFonts w:cstheme="majorBidi"/>
          <w:spacing w:val="-1"/>
          <w:lang w:val="fr-FR"/>
        </w:rPr>
        <w:t xml:space="preserve">, afin de le soumettre à la vingt-cinquième </w:t>
      </w:r>
      <w:r w:rsidRPr="00E146C5">
        <w:rPr>
          <w:rFonts w:cstheme="majorBidi"/>
          <w:lang w:val="fr-FR"/>
        </w:rPr>
        <w:t xml:space="preserve">réunion du Groupe de travail pour que celui-ci l’examine et l’approuve en vue de le soumettre ensuite à la Réunion des Parties pour examen. Le projet de décision a été distribué aux Parties et aux parties prenantes pour commentaires avant </w:t>
      </w:r>
      <w:r w:rsidRPr="00E146C5">
        <w:rPr>
          <w:lang w:val="fr-FR"/>
        </w:rPr>
        <w:t>l’établissement de sa version finale pour la vingt-cinquième réunion du Groupe de travail</w:t>
      </w:r>
      <w:r w:rsidRPr="00E146C5">
        <w:rPr>
          <w:rStyle w:val="Appelnotedebasdep"/>
        </w:rPr>
        <w:footnoteReference w:id="4"/>
      </w:r>
      <w:r w:rsidRPr="00E146C5">
        <w:t>.</w:t>
      </w:r>
    </w:p>
    <w:p w14:paraId="0A9FD89E" w14:textId="1B7D285D" w:rsidR="00FC4B6D" w:rsidRPr="00E3055D" w:rsidRDefault="00FC4B6D" w:rsidP="00FC4B6D">
      <w:pPr>
        <w:pStyle w:val="SingleTxtG"/>
        <w:rPr>
          <w:lang w:val="fr-FR"/>
        </w:rPr>
      </w:pPr>
      <w:r w:rsidRPr="005778D9">
        <w:rPr>
          <w:lang w:val="fr-FR"/>
        </w:rPr>
        <w:t>3.</w:t>
      </w:r>
      <w:r w:rsidRPr="005778D9">
        <w:rPr>
          <w:lang w:val="fr-FR"/>
        </w:rPr>
        <w:tab/>
        <w:t>Le présent document a été élaboré en application de la d</w:t>
      </w:r>
      <w:r w:rsidRPr="00E3055D">
        <w:rPr>
          <w:lang w:val="fr-FR"/>
        </w:rPr>
        <w:t>é</w:t>
      </w:r>
      <w:r w:rsidRPr="005778D9">
        <w:rPr>
          <w:lang w:val="fr-FR"/>
        </w:rPr>
        <w:t xml:space="preserve">cision </w:t>
      </w:r>
      <w:r w:rsidRPr="00E3055D">
        <w:rPr>
          <w:lang w:val="fr-FR"/>
        </w:rPr>
        <w:t xml:space="preserve">du Groupe de travail </w:t>
      </w:r>
      <w:r w:rsidRPr="005778D9">
        <w:rPr>
          <w:lang w:val="fr-FR"/>
        </w:rPr>
        <w:t>su</w:t>
      </w:r>
      <w:r w:rsidRPr="00E3055D">
        <w:rPr>
          <w:lang w:val="fr-FR"/>
        </w:rPr>
        <w:t>smentionnée</w:t>
      </w:r>
      <w:r w:rsidRPr="005778D9">
        <w:rPr>
          <w:lang w:val="fr-FR"/>
        </w:rPr>
        <w:t xml:space="preserve">. </w:t>
      </w:r>
      <w:r w:rsidRPr="00E3055D">
        <w:rPr>
          <w:lang w:val="fr-FR"/>
        </w:rPr>
        <w:t>On y trouvera un projet de décision et trois tableaux : un projet de programme de travail pour la période 2022-2025 (annexe I), les coûts estimatifs des activités prévues dans les domaines d</w:t>
      </w:r>
      <w:r>
        <w:rPr>
          <w:lang w:val="fr-FR"/>
        </w:rPr>
        <w:t>’</w:t>
      </w:r>
      <w:r w:rsidRPr="00E3055D">
        <w:rPr>
          <w:lang w:val="fr-FR"/>
        </w:rPr>
        <w:t>activité du programme de travail pour la période 2022-2025 (annexe II) et un exemple de répartition des différentes réunions prévues au titre de la Convention pour la période 2022</w:t>
      </w:r>
      <w:r w:rsidRPr="00E3055D">
        <w:rPr>
          <w:lang w:val="fr-FR"/>
        </w:rPr>
        <w:noBreakHyphen/>
        <w:t>2025 (annexe III). La sugg</w:t>
      </w:r>
      <w:r w:rsidRPr="005778D9">
        <w:rPr>
          <w:lang w:val="fr-FR"/>
        </w:rPr>
        <w:t>estion faite par des ONG d</w:t>
      </w:r>
      <w:r>
        <w:rPr>
          <w:lang w:val="fr-FR"/>
        </w:rPr>
        <w:t>’</w:t>
      </w:r>
      <w:r w:rsidRPr="00E3055D">
        <w:rPr>
          <w:lang w:val="fr-FR"/>
        </w:rPr>
        <w:t>ajouter</w:t>
      </w:r>
      <w:r w:rsidRPr="005778D9">
        <w:rPr>
          <w:lang w:val="fr-FR"/>
        </w:rPr>
        <w:t xml:space="preserve"> des ateliers et des tables</w:t>
      </w:r>
      <w:r>
        <w:rPr>
          <w:lang w:val="fr-FR"/>
        </w:rPr>
        <w:t xml:space="preserve"> </w:t>
      </w:r>
      <w:r w:rsidRPr="005778D9">
        <w:rPr>
          <w:lang w:val="fr-FR"/>
        </w:rPr>
        <w:t xml:space="preserve">rondes </w:t>
      </w:r>
      <w:r w:rsidRPr="00E3055D">
        <w:rPr>
          <w:lang w:val="fr-FR"/>
        </w:rPr>
        <w:t>à la rubrique « Méthode de travail » du domaine d</w:t>
      </w:r>
      <w:r>
        <w:rPr>
          <w:lang w:val="fr-FR"/>
        </w:rPr>
        <w:t>’</w:t>
      </w:r>
      <w:r w:rsidRPr="00E3055D">
        <w:rPr>
          <w:lang w:val="fr-FR"/>
        </w:rPr>
        <w:t>ac</w:t>
      </w:r>
      <w:r w:rsidRPr="005778D9">
        <w:rPr>
          <w:lang w:val="fr-FR"/>
        </w:rPr>
        <w:t>tivité</w:t>
      </w:r>
      <w:r w:rsidR="00E146C5">
        <w:rPr>
          <w:lang w:val="fr-FR"/>
        </w:rPr>
        <w:t> </w:t>
      </w:r>
      <w:r w:rsidRPr="005778D9">
        <w:rPr>
          <w:lang w:val="fr-FR"/>
        </w:rPr>
        <w:t xml:space="preserve">IX </w:t>
      </w:r>
      <w:r w:rsidRPr="00E3055D">
        <w:rPr>
          <w:lang w:val="fr-FR"/>
        </w:rPr>
        <w:t>est la seule nouvelle modification de fond apportée aux annexes que le Groupe de travail a examinées à sa vingt-quatrième réunion</w:t>
      </w:r>
      <w:r w:rsidRPr="00EA7884">
        <w:rPr>
          <w:rStyle w:val="Appelnotedebasdep"/>
        </w:rPr>
        <w:footnoteReference w:id="5"/>
      </w:r>
      <w:r w:rsidRPr="00E3055D">
        <w:rPr>
          <w:lang w:val="fr-FR"/>
        </w:rPr>
        <w:t>.</w:t>
      </w:r>
    </w:p>
    <w:p w14:paraId="3145E1DE" w14:textId="77777777" w:rsidR="00FC4B6D" w:rsidRPr="00E3055D" w:rsidRDefault="00FC4B6D" w:rsidP="00FC4B6D">
      <w:pPr>
        <w:pStyle w:val="SingleTxtG"/>
        <w:rPr>
          <w:lang w:val="fr-FR"/>
        </w:rPr>
      </w:pPr>
      <w:r w:rsidRPr="00E3055D">
        <w:rPr>
          <w:lang w:val="fr-FR"/>
        </w:rPr>
        <w:t>4.</w:t>
      </w:r>
      <w:r w:rsidRPr="00E3055D">
        <w:rPr>
          <w:lang w:val="fr-FR"/>
        </w:rPr>
        <w:tab/>
        <w:t>Le présent document a été établi sur la base des résultats des réunions du Groupe de travail des Parties, ainsi qu</w:t>
      </w:r>
      <w:r>
        <w:rPr>
          <w:lang w:val="fr-FR"/>
        </w:rPr>
        <w:t>’</w:t>
      </w:r>
      <w:r w:rsidRPr="00E3055D">
        <w:rPr>
          <w:lang w:val="fr-FR"/>
        </w:rPr>
        <w:t>à partir des notes d</w:t>
      </w:r>
      <w:r>
        <w:rPr>
          <w:lang w:val="fr-FR"/>
        </w:rPr>
        <w:t>’</w:t>
      </w:r>
      <w:r w:rsidRPr="00E3055D">
        <w:rPr>
          <w:lang w:val="fr-FR"/>
        </w:rPr>
        <w:t>information soumises par les présidents des équipes spéciales et de la séance thématique sur la promotion des principes de la Convention dans les instances internationales. Il a également été tenu compte des résultats de la mise en œuvre du Plan stratégique actuel et d</w:t>
      </w:r>
      <w:r>
        <w:rPr>
          <w:lang w:val="fr-FR"/>
        </w:rPr>
        <w:t>’</w:t>
      </w:r>
      <w:r w:rsidRPr="00E3055D">
        <w:rPr>
          <w:lang w:val="fr-FR"/>
        </w:rPr>
        <w:t>une proposition concernant le nouveau plan stratégique.</w:t>
      </w:r>
    </w:p>
    <w:p w14:paraId="60F6CB87" w14:textId="296868E7" w:rsidR="00FC4B6D" w:rsidRPr="00E3055D" w:rsidRDefault="00FC4B6D" w:rsidP="00FC4B6D">
      <w:pPr>
        <w:pStyle w:val="SingleTxtG"/>
        <w:rPr>
          <w:lang w:val="fr-FR"/>
        </w:rPr>
      </w:pPr>
      <w:r w:rsidRPr="00E3055D">
        <w:rPr>
          <w:lang w:val="fr-FR"/>
        </w:rPr>
        <w:t>5.</w:t>
      </w:r>
      <w:r w:rsidRPr="00E3055D">
        <w:rPr>
          <w:lang w:val="fr-FR"/>
        </w:rPr>
        <w:tab/>
        <w:t>Il est proposé dans le projet de suivre l</w:t>
      </w:r>
      <w:r>
        <w:rPr>
          <w:lang w:val="fr-FR"/>
        </w:rPr>
        <w:t>’</w:t>
      </w:r>
      <w:r w:rsidRPr="00E3055D">
        <w:rPr>
          <w:lang w:val="fr-FR"/>
        </w:rPr>
        <w:t>approche adoptée pour le programme de travail actuel, qui est fondé sur une période intersessions de quatre</w:t>
      </w:r>
      <w:r w:rsidR="00E146C5">
        <w:rPr>
          <w:lang w:val="fr-FR"/>
        </w:rPr>
        <w:t xml:space="preserve"> </w:t>
      </w:r>
      <w:r w:rsidRPr="00E3055D">
        <w:rPr>
          <w:lang w:val="fr-FR"/>
        </w:rPr>
        <w:t>ans, et d</w:t>
      </w:r>
      <w:r>
        <w:rPr>
          <w:lang w:val="fr-FR"/>
        </w:rPr>
        <w:t>’</w:t>
      </w:r>
      <w:r w:rsidRPr="00E3055D">
        <w:rPr>
          <w:lang w:val="fr-FR"/>
        </w:rPr>
        <w:t>organiser un débat thématique sur diverses questions de fond à chacune des réunions du Groupe de travail des Parties. Les résultats des activités des équipes spéciales et des travaux consacrés aux organismes génétiquement modifiés serviront de point de départ aux débats tenus dans le cadre des séances thématiques. Le Groupe de travail devrait continuer de centrer ses débats sur les questions auxquelles les correspondants des Parties à la Convention doivent accorder une attention particulière (par exemple</w:t>
      </w:r>
      <w:r w:rsidR="00E146C5">
        <w:rPr>
          <w:lang w:val="fr-FR"/>
        </w:rPr>
        <w:t>,</w:t>
      </w:r>
      <w:r w:rsidRPr="00E3055D">
        <w:rPr>
          <w:lang w:val="fr-FR"/>
        </w:rPr>
        <w:t xml:space="preserve"> la politique stratégique), comme il le fait pendant la période intersessions au cours. En outre, étant donné qu</w:t>
      </w:r>
      <w:r>
        <w:rPr>
          <w:lang w:val="fr-FR"/>
        </w:rPr>
        <w:t>’</w:t>
      </w:r>
      <w:r w:rsidRPr="00E3055D">
        <w:rPr>
          <w:lang w:val="fr-FR"/>
        </w:rPr>
        <w:t>il a notamment pour mandat de superviser les progrès accomplis dans l</w:t>
      </w:r>
      <w:r>
        <w:rPr>
          <w:lang w:val="fr-FR"/>
        </w:rPr>
        <w:t>’</w:t>
      </w:r>
      <w:r w:rsidRPr="00E3055D">
        <w:rPr>
          <w:lang w:val="fr-FR"/>
        </w:rPr>
        <w:t>exécution des programmes de travail de la Convention (ECE/MP.PP/2/Add.15, décision I/14, par. 1 et 2</w:t>
      </w:r>
      <w:r>
        <w:rPr>
          <w:lang w:val="fr-FR"/>
        </w:rPr>
        <w:t> </w:t>
      </w:r>
      <w:r w:rsidRPr="00E3055D">
        <w:rPr>
          <w:lang w:val="fr-FR"/>
        </w:rPr>
        <w:t>b)), le Groupe de travail aura la possibilité, à chacune de ses réunions, d</w:t>
      </w:r>
      <w:r>
        <w:rPr>
          <w:lang w:val="fr-FR"/>
        </w:rPr>
        <w:t>’</w:t>
      </w:r>
      <w:r w:rsidRPr="00E3055D">
        <w:rPr>
          <w:lang w:val="fr-FR"/>
        </w:rPr>
        <w:t>être saisi de rapports plus détaillés sur l</w:t>
      </w:r>
      <w:r>
        <w:rPr>
          <w:lang w:val="fr-FR"/>
        </w:rPr>
        <w:t>’</w:t>
      </w:r>
      <w:r w:rsidRPr="00E3055D">
        <w:rPr>
          <w:lang w:val="fr-FR"/>
        </w:rPr>
        <w:t>application des décisions adoptées par la Réunion des Parties en ce qui concerne le respect des dispositions.</w:t>
      </w:r>
      <w:bookmarkStart w:id="0" w:name="_Hlk35613090"/>
      <w:bookmarkEnd w:id="0"/>
    </w:p>
    <w:p w14:paraId="76EAD7A0" w14:textId="77777777" w:rsidR="00FC4B6D" w:rsidRPr="00E3055D" w:rsidRDefault="00FC4B6D" w:rsidP="00FC4B6D">
      <w:pPr>
        <w:pStyle w:val="SingleTxtG"/>
        <w:rPr>
          <w:lang w:val="fr-FR"/>
        </w:rPr>
      </w:pPr>
      <w:r w:rsidRPr="00E3055D">
        <w:rPr>
          <w:lang w:val="fr-FR"/>
        </w:rPr>
        <w:t>6.</w:t>
      </w:r>
      <w:r w:rsidRPr="00E3055D">
        <w:rPr>
          <w:lang w:val="fr-FR"/>
        </w:rPr>
        <w:tab/>
        <w:t>Compte tenu de la diversité de la structure de travail mise en place au titre de la Convention (les trois équipes spéciales, qui se consacrent chacune à l</w:t>
      </w:r>
      <w:r>
        <w:rPr>
          <w:lang w:val="fr-FR"/>
        </w:rPr>
        <w:t>’</w:t>
      </w:r>
      <w:r w:rsidRPr="00E3055D">
        <w:rPr>
          <w:lang w:val="fr-FR"/>
        </w:rPr>
        <w:t>un des trois piliers de la Convention, le Comité d</w:t>
      </w:r>
      <w:r>
        <w:rPr>
          <w:lang w:val="fr-FR"/>
        </w:rPr>
        <w:t>’</w:t>
      </w:r>
      <w:r w:rsidRPr="00E3055D">
        <w:rPr>
          <w:lang w:val="fr-FR"/>
        </w:rPr>
        <w:t>examen du respect des dispositions, qui se réunit en moyenne toutes les cinq semaines, le secrétariat, qui assure un appui consultatif constant, et les nombreux partenaires avec lesquels une coopération s</w:t>
      </w:r>
      <w:r>
        <w:rPr>
          <w:lang w:val="fr-FR"/>
        </w:rPr>
        <w:t>’</w:t>
      </w:r>
      <w:r w:rsidRPr="00E3055D">
        <w:rPr>
          <w:lang w:val="fr-FR"/>
        </w:rPr>
        <w:t>est instaurée), le fait que la période intersessions se soit étendue sur quatre ans, au cours desquels ont eu lieu des débats thématiques annuels sur les politiques et un examen approfondi par le Groupe de travail des progrès accomplis dans l</w:t>
      </w:r>
      <w:r>
        <w:rPr>
          <w:lang w:val="fr-FR"/>
        </w:rPr>
        <w:t>’</w:t>
      </w:r>
      <w:r w:rsidRPr="00E3055D">
        <w:rPr>
          <w:lang w:val="fr-FR"/>
        </w:rPr>
        <w:t>exécution des activités relatives au respect des dispositions, n</w:t>
      </w:r>
      <w:r>
        <w:rPr>
          <w:lang w:val="fr-FR"/>
        </w:rPr>
        <w:t>’</w:t>
      </w:r>
      <w:r w:rsidRPr="00E3055D">
        <w:rPr>
          <w:lang w:val="fr-FR"/>
        </w:rPr>
        <w:t>a pas eu d</w:t>
      </w:r>
      <w:r>
        <w:rPr>
          <w:lang w:val="fr-FR"/>
        </w:rPr>
        <w:t>’</w:t>
      </w:r>
      <w:r w:rsidRPr="00E3055D">
        <w:rPr>
          <w:lang w:val="fr-FR"/>
        </w:rPr>
        <w:t>incidence négative sur les travaux menés dans le cadre de la Convention. Au contraire, l</w:t>
      </w:r>
      <w:r>
        <w:rPr>
          <w:lang w:val="fr-FR"/>
        </w:rPr>
        <w:t>’</w:t>
      </w:r>
      <w:r w:rsidRPr="00E3055D">
        <w:rPr>
          <w:lang w:val="fr-FR"/>
        </w:rPr>
        <w:t>extension de la période intersessions a permis de consacrer davantage de temps à la préparation technique des différentes réunions, auxquelles les Parties ont également été plus à même de participer. En moyenne, une réunion d</w:t>
      </w:r>
      <w:r>
        <w:rPr>
          <w:lang w:val="fr-FR"/>
        </w:rPr>
        <w:t>’</w:t>
      </w:r>
      <w:r w:rsidRPr="00E3055D">
        <w:rPr>
          <w:lang w:val="fr-FR"/>
        </w:rPr>
        <w:t>un organe subsidiaire ou une activité de renforcement des capacités a continué d</w:t>
      </w:r>
      <w:r>
        <w:rPr>
          <w:lang w:val="fr-FR"/>
        </w:rPr>
        <w:t>’</w:t>
      </w:r>
      <w:r w:rsidRPr="00E3055D">
        <w:rPr>
          <w:lang w:val="fr-FR"/>
        </w:rPr>
        <w:t>avoir lieu chaque mois.</w:t>
      </w:r>
    </w:p>
    <w:p w14:paraId="2A5F104F" w14:textId="77777777" w:rsidR="00FC4B6D" w:rsidRPr="00E3055D" w:rsidRDefault="00FC4B6D" w:rsidP="00FC4B6D">
      <w:pPr>
        <w:pStyle w:val="HChG"/>
        <w:rPr>
          <w:lang w:val="fr-FR"/>
        </w:rPr>
      </w:pPr>
      <w:r w:rsidRPr="00E3055D">
        <w:rPr>
          <w:lang w:val="fr-FR"/>
        </w:rPr>
        <w:tab/>
      </w:r>
      <w:r w:rsidRPr="00E3055D">
        <w:rPr>
          <w:lang w:val="fr-FR"/>
        </w:rPr>
        <w:tab/>
        <w:t>Nouveaux éléments</w:t>
      </w:r>
    </w:p>
    <w:p w14:paraId="1C0171DB" w14:textId="77777777" w:rsidR="00FC4B6D" w:rsidRPr="00E3055D" w:rsidRDefault="00FC4B6D" w:rsidP="00FC4B6D">
      <w:pPr>
        <w:pStyle w:val="SingleTxtG"/>
        <w:rPr>
          <w:lang w:val="fr-FR"/>
        </w:rPr>
      </w:pPr>
      <w:bookmarkStart w:id="1" w:name="_Hlk31482138"/>
      <w:r w:rsidRPr="00E3055D">
        <w:rPr>
          <w:lang w:val="fr-FR"/>
        </w:rPr>
        <w:t>7.</w:t>
      </w:r>
      <w:r w:rsidRPr="00E3055D">
        <w:rPr>
          <w:lang w:val="fr-FR"/>
        </w:rPr>
        <w:tab/>
        <w:t>Sur la base des enseignements tirés de l</w:t>
      </w:r>
      <w:r>
        <w:rPr>
          <w:lang w:val="fr-FR"/>
        </w:rPr>
        <w:t>’</w:t>
      </w:r>
      <w:r w:rsidRPr="00E3055D">
        <w:rPr>
          <w:lang w:val="fr-FR"/>
        </w:rPr>
        <w:t>exécution du programme de travail actuel, il a été proposé d</w:t>
      </w:r>
      <w:r>
        <w:rPr>
          <w:lang w:val="fr-FR"/>
        </w:rPr>
        <w:t>’</w:t>
      </w:r>
      <w:r w:rsidRPr="00E3055D">
        <w:rPr>
          <w:lang w:val="fr-FR"/>
        </w:rPr>
        <w:t>intégrer plusieurs nouveaux éléments au futur programme de travail. Il a notamment été suggéré qu</w:t>
      </w:r>
      <w:r>
        <w:rPr>
          <w:lang w:val="fr-FR"/>
        </w:rPr>
        <w:t>’</w:t>
      </w:r>
      <w:r w:rsidRPr="00E3055D">
        <w:rPr>
          <w:lang w:val="fr-FR"/>
        </w:rPr>
        <w:t>un nouveau mécanisme soit créé au titre du domaine d</w:t>
      </w:r>
      <w:r>
        <w:rPr>
          <w:lang w:val="fr-FR"/>
        </w:rPr>
        <w:t>’</w:t>
      </w:r>
      <w:r w:rsidRPr="00E3055D">
        <w:rPr>
          <w:lang w:val="fr-FR"/>
        </w:rPr>
        <w:t>activité relatif au mécanisme d</w:t>
      </w:r>
      <w:r>
        <w:rPr>
          <w:lang w:val="fr-FR"/>
        </w:rPr>
        <w:t>’</w:t>
      </w:r>
      <w:r w:rsidRPr="00E3055D">
        <w:rPr>
          <w:lang w:val="fr-FR"/>
        </w:rPr>
        <w:t>examen du respect des dispositions et que l</w:t>
      </w:r>
      <w:r>
        <w:rPr>
          <w:lang w:val="fr-FR"/>
        </w:rPr>
        <w:t>’</w:t>
      </w:r>
      <w:r w:rsidRPr="00E3055D">
        <w:rPr>
          <w:lang w:val="fr-FR"/>
        </w:rPr>
        <w:t>assistance juridique fournie à ce domaine d</w:t>
      </w:r>
      <w:r>
        <w:rPr>
          <w:lang w:val="fr-FR"/>
        </w:rPr>
        <w:t>’</w:t>
      </w:r>
      <w:r w:rsidRPr="00E3055D">
        <w:rPr>
          <w:lang w:val="fr-FR"/>
        </w:rPr>
        <w:t>activité soit renforcée. Ce mécanisme viendra compléter l</w:t>
      </w:r>
      <w:r>
        <w:rPr>
          <w:lang w:val="fr-FR"/>
        </w:rPr>
        <w:t>’</w:t>
      </w:r>
      <w:r w:rsidRPr="00E3055D">
        <w:rPr>
          <w:lang w:val="fr-FR"/>
        </w:rPr>
        <w:t>action du Comité d</w:t>
      </w:r>
      <w:r>
        <w:rPr>
          <w:lang w:val="fr-FR"/>
        </w:rPr>
        <w:t>’</w:t>
      </w:r>
      <w:r w:rsidRPr="00E3055D">
        <w:rPr>
          <w:lang w:val="fr-FR"/>
        </w:rPr>
        <w:t>examen du respect des dispositions et sera exclusivement chargé de prendre des mesures urgentes dans les cas relevant du paragraphe 8 de l</w:t>
      </w:r>
      <w:r>
        <w:rPr>
          <w:lang w:val="fr-FR"/>
        </w:rPr>
        <w:t>’</w:t>
      </w:r>
      <w:r w:rsidRPr="00E3055D">
        <w:rPr>
          <w:lang w:val="fr-FR"/>
        </w:rPr>
        <w:t>article 3 de la Convention. Il a aussi été proposé d</w:t>
      </w:r>
      <w:r>
        <w:rPr>
          <w:lang w:val="fr-FR"/>
        </w:rPr>
        <w:t>’</w:t>
      </w:r>
      <w:r w:rsidRPr="00E3055D">
        <w:rPr>
          <w:lang w:val="fr-FR"/>
        </w:rPr>
        <w:t>offrir une assistance consultative aux domaines d</w:t>
      </w:r>
      <w:r>
        <w:rPr>
          <w:lang w:val="fr-FR"/>
        </w:rPr>
        <w:t>’</w:t>
      </w:r>
      <w:r w:rsidRPr="00E3055D">
        <w:rPr>
          <w:lang w:val="fr-FR"/>
        </w:rPr>
        <w:t>activité suivants : renforcement des capacités ; sensibilisation et promotion ; promotion des Lignes directrices d</w:t>
      </w:r>
      <w:r>
        <w:rPr>
          <w:lang w:val="fr-FR"/>
        </w:rPr>
        <w:t>’</w:t>
      </w:r>
      <w:r w:rsidRPr="00E3055D">
        <w:rPr>
          <w:lang w:val="fr-FR"/>
        </w:rPr>
        <w:t>Almaty sur les moyens de promouvoir l</w:t>
      </w:r>
      <w:r>
        <w:rPr>
          <w:lang w:val="fr-FR"/>
        </w:rPr>
        <w:t>’</w:t>
      </w:r>
      <w:r w:rsidRPr="00E3055D">
        <w:rPr>
          <w:lang w:val="fr-FR"/>
        </w:rPr>
        <w:t>application des principes de la Convention d</w:t>
      </w:r>
      <w:r>
        <w:rPr>
          <w:lang w:val="fr-FR"/>
        </w:rPr>
        <w:t>’</w:t>
      </w:r>
      <w:r w:rsidRPr="00E3055D">
        <w:rPr>
          <w:lang w:val="fr-FR"/>
        </w:rPr>
        <w:t>Aarhus dans les instances internationales (ECE/MP.PP/2005/2/Add.5, annexe) et d</w:t>
      </w:r>
      <w:r>
        <w:rPr>
          <w:lang w:val="fr-FR"/>
        </w:rPr>
        <w:t>’</w:t>
      </w:r>
      <w:r w:rsidRPr="00E3055D">
        <w:rPr>
          <w:lang w:val="fr-FR"/>
        </w:rPr>
        <w:t>autres formes d</w:t>
      </w:r>
      <w:r>
        <w:rPr>
          <w:lang w:val="fr-FR"/>
        </w:rPr>
        <w:t>’</w:t>
      </w:r>
      <w:r w:rsidRPr="00E3055D">
        <w:rPr>
          <w:lang w:val="fr-FR"/>
        </w:rPr>
        <w:t>interaction avec les organismes et processus internationaux concernés. Il convient de noter que toutes les nouvelles activités proposées apportent dans le même temps une contribution très utile au domaine d</w:t>
      </w:r>
      <w:r>
        <w:rPr>
          <w:lang w:val="fr-FR"/>
        </w:rPr>
        <w:t>’</w:t>
      </w:r>
      <w:r w:rsidRPr="00E3055D">
        <w:rPr>
          <w:lang w:val="fr-FR"/>
        </w:rPr>
        <w:t>activité relatif au renforcement des capacités. Les</w:t>
      </w:r>
      <w:r>
        <w:rPr>
          <w:lang w:val="fr-FR"/>
        </w:rPr>
        <w:t> </w:t>
      </w:r>
      <w:r w:rsidRPr="00E3055D">
        <w:rPr>
          <w:lang w:val="fr-FR"/>
        </w:rPr>
        <w:t>domaines d</w:t>
      </w:r>
      <w:r>
        <w:rPr>
          <w:lang w:val="fr-FR"/>
        </w:rPr>
        <w:t>’</w:t>
      </w:r>
      <w:r w:rsidRPr="00E3055D">
        <w:rPr>
          <w:lang w:val="fr-FR"/>
        </w:rPr>
        <w:t>activité seront donc les suivants (les nouveaux éléments sont soulignés) :</w:t>
      </w:r>
      <w:bookmarkEnd w:id="1"/>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FC4B6D" w:rsidRPr="00D32F94" w14:paraId="19F548A8" w14:textId="77777777" w:rsidTr="00E146C5">
        <w:trPr>
          <w:tblHeader/>
        </w:trPr>
        <w:tc>
          <w:tcPr>
            <w:tcW w:w="7370" w:type="dxa"/>
            <w:tcBorders>
              <w:top w:val="single" w:sz="4" w:space="0" w:color="auto"/>
              <w:bottom w:val="single" w:sz="12" w:space="0" w:color="auto"/>
            </w:tcBorders>
            <w:shd w:val="clear" w:color="auto" w:fill="auto"/>
            <w:vAlign w:val="bottom"/>
          </w:tcPr>
          <w:p w14:paraId="7E799926" w14:textId="77777777" w:rsidR="00FC4B6D" w:rsidRPr="00D32F94" w:rsidRDefault="00FC4B6D" w:rsidP="00E146C5">
            <w:pPr>
              <w:spacing w:before="80" w:after="80" w:line="200" w:lineRule="exact"/>
              <w:ind w:right="113"/>
              <w:rPr>
                <w:i/>
                <w:sz w:val="16"/>
                <w:lang w:val="fr-FR"/>
              </w:rPr>
            </w:pPr>
            <w:r w:rsidRPr="00D32F94">
              <w:rPr>
                <w:i/>
                <w:sz w:val="16"/>
                <w:lang w:val="fr-FR"/>
              </w:rPr>
              <w:t>Domaine d’activité</w:t>
            </w:r>
          </w:p>
        </w:tc>
      </w:tr>
      <w:tr w:rsidR="00FC4B6D" w:rsidRPr="00D32F94" w14:paraId="4B63C0E9" w14:textId="77777777" w:rsidTr="00E146C5">
        <w:trPr>
          <w:trHeight w:hRule="exact" w:val="113"/>
          <w:tblHeader/>
        </w:trPr>
        <w:tc>
          <w:tcPr>
            <w:tcW w:w="7370" w:type="dxa"/>
            <w:tcBorders>
              <w:top w:val="single" w:sz="12" w:space="0" w:color="auto"/>
            </w:tcBorders>
            <w:shd w:val="clear" w:color="auto" w:fill="auto"/>
          </w:tcPr>
          <w:p w14:paraId="71F126A0" w14:textId="77777777" w:rsidR="00FC4B6D" w:rsidRPr="00D32F94" w:rsidRDefault="00FC4B6D" w:rsidP="00E146C5">
            <w:pPr>
              <w:spacing w:before="40" w:after="120"/>
              <w:ind w:right="113"/>
              <w:rPr>
                <w:lang w:val="fr-FR"/>
              </w:rPr>
            </w:pPr>
          </w:p>
        </w:tc>
      </w:tr>
      <w:tr w:rsidR="00FC4B6D" w:rsidRPr="00D32F94" w14:paraId="2783E7A7" w14:textId="77777777" w:rsidTr="00E146C5">
        <w:tc>
          <w:tcPr>
            <w:tcW w:w="7370" w:type="dxa"/>
            <w:shd w:val="clear" w:color="auto" w:fill="auto"/>
          </w:tcPr>
          <w:p w14:paraId="4CEC7CFE" w14:textId="77777777" w:rsidR="00FC4B6D" w:rsidRPr="00D32F94" w:rsidRDefault="00FC4B6D" w:rsidP="00E146C5">
            <w:pPr>
              <w:spacing w:before="40" w:after="120"/>
              <w:ind w:right="113"/>
              <w:rPr>
                <w:lang w:val="fr-FR"/>
              </w:rPr>
            </w:pPr>
            <w:r w:rsidRPr="00D32F94">
              <w:rPr>
                <w:b/>
                <w:bCs/>
                <w:lang w:val="fr-FR"/>
              </w:rPr>
              <w:t>Questions de fond</w:t>
            </w:r>
          </w:p>
        </w:tc>
      </w:tr>
      <w:tr w:rsidR="00FC4B6D" w:rsidRPr="00D32F94" w14:paraId="56B15DBF" w14:textId="77777777" w:rsidTr="00E146C5">
        <w:tc>
          <w:tcPr>
            <w:tcW w:w="7370" w:type="dxa"/>
            <w:shd w:val="clear" w:color="auto" w:fill="auto"/>
          </w:tcPr>
          <w:p w14:paraId="0A5AC12C" w14:textId="77777777" w:rsidR="00FC4B6D" w:rsidRPr="00D32F94" w:rsidRDefault="00FC4B6D" w:rsidP="00E146C5">
            <w:pPr>
              <w:spacing w:before="40" w:after="120"/>
              <w:ind w:right="113"/>
              <w:rPr>
                <w:bCs/>
                <w:lang w:val="fr-FR"/>
              </w:rPr>
            </w:pPr>
            <w:r w:rsidRPr="00D32F94">
              <w:rPr>
                <w:lang w:val="fr-FR"/>
              </w:rPr>
              <w:t>I.</w:t>
            </w:r>
            <w:r w:rsidRPr="00D32F94">
              <w:rPr>
                <w:lang w:val="fr-FR"/>
              </w:rPr>
              <w:tab/>
              <w:t>Accès à l’information, y compris les outils d’information électroniques</w:t>
            </w:r>
          </w:p>
        </w:tc>
      </w:tr>
      <w:tr w:rsidR="00FC4B6D" w:rsidRPr="00D32F94" w14:paraId="05F38929" w14:textId="77777777" w:rsidTr="00E146C5">
        <w:tc>
          <w:tcPr>
            <w:tcW w:w="7370" w:type="dxa"/>
            <w:shd w:val="clear" w:color="auto" w:fill="auto"/>
          </w:tcPr>
          <w:p w14:paraId="6D663B08" w14:textId="77777777" w:rsidR="00FC4B6D" w:rsidRPr="00D32F94" w:rsidRDefault="00FC4B6D" w:rsidP="00E146C5">
            <w:pPr>
              <w:spacing w:before="40" w:after="120"/>
              <w:ind w:right="113"/>
              <w:rPr>
                <w:lang w:val="fr-FR"/>
              </w:rPr>
            </w:pPr>
            <w:r w:rsidRPr="00D32F94">
              <w:rPr>
                <w:lang w:val="fr-FR"/>
              </w:rPr>
              <w:t>II.</w:t>
            </w:r>
            <w:r w:rsidRPr="00D32F94">
              <w:rPr>
                <w:lang w:val="fr-FR"/>
              </w:rPr>
              <w:tab/>
              <w:t>Participation du public</w:t>
            </w:r>
          </w:p>
        </w:tc>
      </w:tr>
      <w:tr w:rsidR="00FC4B6D" w:rsidRPr="00D32F94" w14:paraId="6E1F8302" w14:textId="77777777" w:rsidTr="00E146C5">
        <w:tc>
          <w:tcPr>
            <w:tcW w:w="7370" w:type="dxa"/>
            <w:shd w:val="clear" w:color="auto" w:fill="auto"/>
          </w:tcPr>
          <w:p w14:paraId="6AE1A90F" w14:textId="77777777" w:rsidR="00FC4B6D" w:rsidRPr="00D32F94" w:rsidRDefault="00FC4B6D" w:rsidP="00E146C5">
            <w:pPr>
              <w:spacing w:before="40" w:after="120"/>
              <w:ind w:right="113"/>
              <w:rPr>
                <w:lang w:val="fr-FR"/>
              </w:rPr>
            </w:pPr>
            <w:r w:rsidRPr="00D32F94">
              <w:rPr>
                <w:lang w:val="fr-FR"/>
              </w:rPr>
              <w:t>III.</w:t>
            </w:r>
            <w:r w:rsidRPr="00D32F94">
              <w:rPr>
                <w:lang w:val="fr-FR"/>
              </w:rPr>
              <w:tab/>
              <w:t>Accès à la justice</w:t>
            </w:r>
          </w:p>
        </w:tc>
      </w:tr>
      <w:tr w:rsidR="00FC4B6D" w:rsidRPr="00D32F94" w14:paraId="5B5B25E7" w14:textId="77777777" w:rsidTr="00E146C5">
        <w:tc>
          <w:tcPr>
            <w:tcW w:w="7370" w:type="dxa"/>
            <w:shd w:val="clear" w:color="auto" w:fill="auto"/>
          </w:tcPr>
          <w:p w14:paraId="49F1C68F" w14:textId="77777777" w:rsidR="00FC4B6D" w:rsidRPr="00D32F94" w:rsidRDefault="00FC4B6D" w:rsidP="00E146C5">
            <w:pPr>
              <w:spacing w:before="40" w:after="120"/>
              <w:ind w:right="113"/>
              <w:rPr>
                <w:lang w:val="fr-FR"/>
              </w:rPr>
            </w:pPr>
            <w:r w:rsidRPr="00D32F94">
              <w:rPr>
                <w:lang w:val="fr-FR"/>
              </w:rPr>
              <w:t>IV.</w:t>
            </w:r>
            <w:r w:rsidRPr="00D32F94">
              <w:rPr>
                <w:lang w:val="fr-FR"/>
              </w:rPr>
              <w:tab/>
              <w:t>Organismes génétiquement modifiés</w:t>
            </w:r>
          </w:p>
        </w:tc>
      </w:tr>
      <w:tr w:rsidR="00FC4B6D" w:rsidRPr="00D32F94" w14:paraId="288E39A8" w14:textId="77777777" w:rsidTr="00E146C5">
        <w:tc>
          <w:tcPr>
            <w:tcW w:w="7370" w:type="dxa"/>
            <w:shd w:val="clear" w:color="auto" w:fill="auto"/>
          </w:tcPr>
          <w:p w14:paraId="52C9F379" w14:textId="77777777" w:rsidR="00FC4B6D" w:rsidRPr="00D32F94" w:rsidRDefault="00FC4B6D" w:rsidP="00E146C5">
            <w:pPr>
              <w:spacing w:before="40" w:after="120"/>
              <w:ind w:right="113"/>
              <w:rPr>
                <w:lang w:val="fr-FR"/>
              </w:rPr>
            </w:pPr>
            <w:r w:rsidRPr="00D32F94">
              <w:rPr>
                <w:b/>
                <w:bCs/>
                <w:lang w:val="fr-FR"/>
              </w:rPr>
              <w:t>Procédures et mécanismes</w:t>
            </w:r>
          </w:p>
        </w:tc>
      </w:tr>
      <w:tr w:rsidR="00FC4B6D" w:rsidRPr="00D32F94" w14:paraId="797D2462" w14:textId="77777777" w:rsidTr="00E146C5">
        <w:tc>
          <w:tcPr>
            <w:tcW w:w="7370" w:type="dxa"/>
            <w:shd w:val="clear" w:color="auto" w:fill="auto"/>
          </w:tcPr>
          <w:p w14:paraId="7346AD8E" w14:textId="77777777" w:rsidR="00FC4B6D" w:rsidRPr="00D32F94" w:rsidRDefault="00FC4B6D" w:rsidP="00E146C5">
            <w:pPr>
              <w:spacing w:before="40" w:after="120"/>
              <w:ind w:right="113"/>
              <w:rPr>
                <w:lang w:val="fr-FR"/>
              </w:rPr>
            </w:pPr>
            <w:r w:rsidRPr="00D32F94">
              <w:rPr>
                <w:lang w:val="fr-FR"/>
              </w:rPr>
              <w:t>V.</w:t>
            </w:r>
            <w:r w:rsidRPr="00D32F94">
              <w:rPr>
                <w:lang w:val="fr-FR"/>
              </w:rPr>
              <w:tab/>
              <w:t>Mécanisme d’examen du respect des dispositions</w:t>
            </w:r>
          </w:p>
        </w:tc>
      </w:tr>
      <w:tr w:rsidR="00FC4B6D" w:rsidRPr="00D32F94" w14:paraId="3035282D" w14:textId="77777777" w:rsidTr="00E146C5">
        <w:tc>
          <w:tcPr>
            <w:tcW w:w="7370" w:type="dxa"/>
            <w:shd w:val="clear" w:color="auto" w:fill="auto"/>
          </w:tcPr>
          <w:p w14:paraId="50E9B0EC" w14:textId="2796E240" w:rsidR="00FC4B6D" w:rsidRPr="00D32F94" w:rsidRDefault="00FC4B6D" w:rsidP="00E146C5">
            <w:pPr>
              <w:spacing w:before="40" w:after="120"/>
              <w:ind w:left="567" w:right="113" w:hanging="567"/>
              <w:rPr>
                <w:lang w:val="fr-FR"/>
              </w:rPr>
            </w:pPr>
            <w:r w:rsidRPr="00D32F94">
              <w:rPr>
                <w:lang w:val="fr-FR"/>
              </w:rPr>
              <w:t>V.1</w:t>
            </w:r>
            <w:r w:rsidRPr="00D32F94">
              <w:rPr>
                <w:lang w:val="fr-FR"/>
              </w:rPr>
              <w:tab/>
              <w:t>Comité d’examen du respect des dispositions (</w:t>
            </w:r>
            <w:r w:rsidRPr="000220FE">
              <w:rPr>
                <w:lang w:val="fr-FR"/>
              </w:rPr>
              <w:t>renforcé par</w:t>
            </w:r>
            <w:r w:rsidRPr="00E146C5">
              <w:rPr>
                <w:i/>
                <w:iCs/>
                <w:u w:val="single"/>
                <w:lang w:val="fr-FR"/>
              </w:rPr>
              <w:t xml:space="preserve"> une assistance </w:t>
            </w:r>
            <w:r w:rsidR="00E146C5">
              <w:rPr>
                <w:i/>
                <w:iCs/>
                <w:u w:val="single"/>
                <w:lang w:val="fr-FR"/>
              </w:rPr>
              <w:br/>
            </w:r>
            <w:r w:rsidRPr="00E146C5">
              <w:rPr>
                <w:i/>
                <w:iCs/>
                <w:u w:val="single"/>
                <w:lang w:val="fr-FR"/>
              </w:rPr>
              <w:t>juridique</w:t>
            </w:r>
            <w:r w:rsidRPr="00D32F94">
              <w:rPr>
                <w:lang w:val="fr-FR"/>
              </w:rPr>
              <w:t>)</w:t>
            </w:r>
          </w:p>
        </w:tc>
      </w:tr>
      <w:tr w:rsidR="00FC4B6D" w:rsidRPr="00D32F94" w14:paraId="45A8756B" w14:textId="77777777" w:rsidTr="00E146C5">
        <w:tc>
          <w:tcPr>
            <w:tcW w:w="7370" w:type="dxa"/>
            <w:shd w:val="clear" w:color="auto" w:fill="auto"/>
          </w:tcPr>
          <w:p w14:paraId="0253030B" w14:textId="71910351" w:rsidR="00FC4B6D" w:rsidRPr="00D32F94" w:rsidRDefault="00FC4B6D" w:rsidP="000220FE">
            <w:pPr>
              <w:spacing w:before="40" w:after="120"/>
              <w:ind w:left="567" w:right="113" w:hanging="567"/>
              <w:rPr>
                <w:lang w:val="fr-FR"/>
              </w:rPr>
            </w:pPr>
            <w:r w:rsidRPr="00D32F94">
              <w:rPr>
                <w:lang w:val="fr-FR"/>
              </w:rPr>
              <w:t>V.2</w:t>
            </w:r>
            <w:r w:rsidRPr="00D32F94">
              <w:rPr>
                <w:lang w:val="fr-FR"/>
              </w:rPr>
              <w:tab/>
            </w:r>
            <w:r w:rsidRPr="000220FE">
              <w:rPr>
                <w:i/>
                <w:iCs/>
                <w:u w:val="single"/>
                <w:lang w:val="fr-FR"/>
              </w:rPr>
              <w:t xml:space="preserve">Nouveau mécanisme de réaction rapide visant à traiter les cas relevant </w:t>
            </w:r>
            <w:r w:rsidR="000220FE" w:rsidRPr="000220FE">
              <w:rPr>
                <w:i/>
                <w:iCs/>
                <w:u w:val="single"/>
                <w:lang w:val="fr-FR"/>
              </w:rPr>
              <w:br/>
            </w:r>
            <w:r w:rsidRPr="000220FE">
              <w:rPr>
                <w:i/>
                <w:iCs/>
                <w:u w:val="single"/>
                <w:lang w:val="fr-FR"/>
              </w:rPr>
              <w:t>du paragraphe 8 de l’article 3 de la Convention</w:t>
            </w:r>
          </w:p>
        </w:tc>
      </w:tr>
      <w:tr w:rsidR="00FC4B6D" w:rsidRPr="00D32F94" w14:paraId="178C94AB" w14:textId="77777777" w:rsidTr="00E146C5">
        <w:tc>
          <w:tcPr>
            <w:tcW w:w="7370" w:type="dxa"/>
            <w:shd w:val="clear" w:color="auto" w:fill="auto"/>
          </w:tcPr>
          <w:p w14:paraId="6AAD5B18" w14:textId="77777777" w:rsidR="00FC4B6D" w:rsidRPr="00D32F94" w:rsidRDefault="00FC4B6D" w:rsidP="00E146C5">
            <w:pPr>
              <w:spacing w:before="40" w:after="120"/>
              <w:ind w:right="113"/>
              <w:rPr>
                <w:lang w:val="fr-FR"/>
              </w:rPr>
            </w:pPr>
            <w:r w:rsidRPr="00D32F94">
              <w:rPr>
                <w:lang w:val="fr-FR"/>
              </w:rPr>
              <w:t>VI.</w:t>
            </w:r>
            <w:r w:rsidRPr="00D32F94">
              <w:rPr>
                <w:lang w:val="fr-FR"/>
              </w:rPr>
              <w:tab/>
              <w:t>Renforcement des capacités (</w:t>
            </w:r>
            <w:r w:rsidRPr="000220FE">
              <w:rPr>
                <w:lang w:val="fr-FR"/>
              </w:rPr>
              <w:t>renforcé par</w:t>
            </w:r>
            <w:r w:rsidRPr="000220FE">
              <w:rPr>
                <w:i/>
                <w:iCs/>
                <w:u w:val="single"/>
                <w:lang w:val="fr-FR"/>
              </w:rPr>
              <w:t xml:space="preserve"> une assistance consultative</w:t>
            </w:r>
            <w:r w:rsidRPr="00D32F94">
              <w:rPr>
                <w:lang w:val="fr-FR"/>
              </w:rPr>
              <w:t>)</w:t>
            </w:r>
          </w:p>
        </w:tc>
      </w:tr>
      <w:tr w:rsidR="00FC4B6D" w:rsidRPr="00D32F94" w14:paraId="5BA15345" w14:textId="77777777" w:rsidTr="00E146C5">
        <w:tc>
          <w:tcPr>
            <w:tcW w:w="7370" w:type="dxa"/>
            <w:shd w:val="clear" w:color="auto" w:fill="auto"/>
          </w:tcPr>
          <w:p w14:paraId="07301BA6" w14:textId="77777777" w:rsidR="00FC4B6D" w:rsidRPr="00D32F94" w:rsidRDefault="00FC4B6D" w:rsidP="00E146C5">
            <w:pPr>
              <w:spacing w:before="40" w:after="120"/>
              <w:ind w:right="113"/>
              <w:rPr>
                <w:lang w:val="fr-FR"/>
              </w:rPr>
            </w:pPr>
            <w:r w:rsidRPr="00D32F94">
              <w:rPr>
                <w:lang w:val="fr-FR"/>
              </w:rPr>
              <w:t>VII.</w:t>
            </w:r>
            <w:r w:rsidRPr="00D32F94">
              <w:rPr>
                <w:lang w:val="fr-FR"/>
              </w:rPr>
              <w:tab/>
              <w:t>Mécanisme d’établissement de rapports</w:t>
            </w:r>
          </w:p>
        </w:tc>
      </w:tr>
      <w:tr w:rsidR="00FC4B6D" w:rsidRPr="00D32F94" w14:paraId="5DC12489" w14:textId="77777777" w:rsidTr="00E146C5">
        <w:tc>
          <w:tcPr>
            <w:tcW w:w="7370" w:type="dxa"/>
            <w:shd w:val="clear" w:color="auto" w:fill="auto"/>
          </w:tcPr>
          <w:p w14:paraId="57045F19" w14:textId="77777777" w:rsidR="00FC4B6D" w:rsidRPr="00D32F94" w:rsidRDefault="00FC4B6D" w:rsidP="00E146C5">
            <w:pPr>
              <w:spacing w:before="40" w:after="120"/>
              <w:ind w:right="113"/>
              <w:rPr>
                <w:lang w:val="fr-FR"/>
              </w:rPr>
            </w:pPr>
            <w:r w:rsidRPr="00D32F94">
              <w:rPr>
                <w:lang w:val="fr-FR"/>
              </w:rPr>
              <w:t>VIII.</w:t>
            </w:r>
            <w:r w:rsidRPr="00D32F94">
              <w:rPr>
                <w:lang w:val="fr-FR"/>
              </w:rPr>
              <w:tab/>
              <w:t xml:space="preserve">Sensibilisation et promotion (renforcé par </w:t>
            </w:r>
            <w:r w:rsidRPr="000220FE">
              <w:rPr>
                <w:i/>
                <w:iCs/>
                <w:u w:val="single"/>
                <w:lang w:val="fr-FR"/>
              </w:rPr>
              <w:t>une assistance consultative</w:t>
            </w:r>
            <w:r w:rsidRPr="00D32F94">
              <w:rPr>
                <w:lang w:val="fr-FR"/>
              </w:rPr>
              <w:t>)</w:t>
            </w:r>
          </w:p>
        </w:tc>
      </w:tr>
      <w:tr w:rsidR="00FC4B6D" w:rsidRPr="00D32F94" w14:paraId="7EC64698" w14:textId="77777777" w:rsidTr="00E146C5">
        <w:tc>
          <w:tcPr>
            <w:tcW w:w="7370" w:type="dxa"/>
            <w:shd w:val="clear" w:color="auto" w:fill="auto"/>
          </w:tcPr>
          <w:p w14:paraId="55A38F88" w14:textId="57B27243" w:rsidR="00FC4B6D" w:rsidRPr="00D32F94" w:rsidRDefault="00FC4B6D" w:rsidP="000220FE">
            <w:pPr>
              <w:spacing w:before="40" w:after="120"/>
              <w:ind w:left="567" w:right="113" w:hanging="567"/>
              <w:rPr>
                <w:lang w:val="fr-FR"/>
              </w:rPr>
            </w:pPr>
            <w:r w:rsidRPr="00D32F94">
              <w:rPr>
                <w:lang w:val="fr-FR"/>
              </w:rPr>
              <w:t>IX.</w:t>
            </w:r>
            <w:r w:rsidRPr="00D32F94">
              <w:rPr>
                <w:lang w:val="fr-FR"/>
              </w:rPr>
              <w:tab/>
              <w:t xml:space="preserve">Promotion des Lignes directrices d’Almaty et d’autres formes d’interaction avec </w:t>
            </w:r>
            <w:r w:rsidR="000220FE">
              <w:rPr>
                <w:lang w:val="fr-FR"/>
              </w:rPr>
              <w:br/>
            </w:r>
            <w:r w:rsidRPr="00D32F94">
              <w:rPr>
                <w:lang w:val="fr-FR"/>
              </w:rPr>
              <w:t xml:space="preserve">les organismes et processus internationaux concernés (renforcé par </w:t>
            </w:r>
            <w:r w:rsidRPr="000220FE">
              <w:rPr>
                <w:i/>
                <w:iCs/>
                <w:u w:val="single"/>
                <w:lang w:val="fr-FR"/>
              </w:rPr>
              <w:t>une assistance consultative</w:t>
            </w:r>
            <w:r w:rsidRPr="00D32F94">
              <w:rPr>
                <w:lang w:val="fr-FR"/>
              </w:rPr>
              <w:t>)</w:t>
            </w:r>
          </w:p>
        </w:tc>
      </w:tr>
      <w:tr w:rsidR="00FC4B6D" w:rsidRPr="00D32F94" w14:paraId="6AF8CDE0" w14:textId="77777777" w:rsidTr="00E146C5">
        <w:tc>
          <w:tcPr>
            <w:tcW w:w="7370" w:type="dxa"/>
            <w:shd w:val="clear" w:color="auto" w:fill="auto"/>
          </w:tcPr>
          <w:p w14:paraId="178F2E88" w14:textId="77777777" w:rsidR="00FC4B6D" w:rsidRPr="00D32F94" w:rsidRDefault="00FC4B6D" w:rsidP="00E146C5">
            <w:pPr>
              <w:spacing w:before="40" w:after="120"/>
              <w:ind w:right="113"/>
              <w:rPr>
                <w:b/>
                <w:bCs/>
                <w:lang w:val="fr-FR"/>
              </w:rPr>
            </w:pPr>
            <w:r w:rsidRPr="00D32F94">
              <w:rPr>
                <w:b/>
                <w:bCs/>
                <w:lang w:val="fr-FR"/>
              </w:rPr>
              <w:t>Coordination, Réunion des Parties et soutien horizontal</w:t>
            </w:r>
          </w:p>
        </w:tc>
      </w:tr>
      <w:tr w:rsidR="00FC4B6D" w:rsidRPr="00D32F94" w14:paraId="04933E19" w14:textId="77777777" w:rsidTr="00E146C5">
        <w:tc>
          <w:tcPr>
            <w:tcW w:w="7370" w:type="dxa"/>
            <w:shd w:val="clear" w:color="auto" w:fill="auto"/>
          </w:tcPr>
          <w:p w14:paraId="65FF0C99" w14:textId="77777777" w:rsidR="00FC4B6D" w:rsidRPr="00D32F94" w:rsidRDefault="00FC4B6D" w:rsidP="00E146C5">
            <w:pPr>
              <w:spacing w:before="40" w:after="120"/>
              <w:ind w:right="113"/>
              <w:rPr>
                <w:lang w:val="fr-FR"/>
              </w:rPr>
            </w:pPr>
            <w:r w:rsidRPr="00D32F94">
              <w:rPr>
                <w:lang w:val="fr-FR"/>
              </w:rPr>
              <w:t>X.</w:t>
            </w:r>
            <w:r w:rsidRPr="00D32F94">
              <w:rPr>
                <w:lang w:val="fr-FR"/>
              </w:rPr>
              <w:tab/>
              <w:t>Coordination et supervision des activités intersessions</w:t>
            </w:r>
          </w:p>
        </w:tc>
      </w:tr>
      <w:tr w:rsidR="00FC4B6D" w:rsidRPr="00D32F94" w14:paraId="720159BE" w14:textId="77777777" w:rsidTr="00E146C5">
        <w:tc>
          <w:tcPr>
            <w:tcW w:w="7370" w:type="dxa"/>
            <w:shd w:val="clear" w:color="auto" w:fill="auto"/>
          </w:tcPr>
          <w:p w14:paraId="1FC209DE" w14:textId="77777777" w:rsidR="00FC4B6D" w:rsidRPr="00D32F94" w:rsidRDefault="00FC4B6D" w:rsidP="00E146C5">
            <w:pPr>
              <w:spacing w:before="40" w:after="120"/>
              <w:ind w:right="113"/>
              <w:rPr>
                <w:lang w:val="fr-FR"/>
              </w:rPr>
            </w:pPr>
            <w:r w:rsidRPr="00D32F94">
              <w:rPr>
                <w:lang w:val="fr-FR"/>
              </w:rPr>
              <w:t>XI.</w:t>
            </w:r>
            <w:r w:rsidRPr="00D32F94">
              <w:rPr>
                <w:lang w:val="fr-FR"/>
              </w:rPr>
              <w:tab/>
              <w:t>Réunion des Parties</w:t>
            </w:r>
          </w:p>
        </w:tc>
      </w:tr>
      <w:tr w:rsidR="00FC4B6D" w:rsidRPr="00D32F94" w14:paraId="0AE02D3C" w14:textId="77777777" w:rsidTr="00E146C5">
        <w:tc>
          <w:tcPr>
            <w:tcW w:w="7370" w:type="dxa"/>
            <w:tcBorders>
              <w:bottom w:val="single" w:sz="12" w:space="0" w:color="auto"/>
            </w:tcBorders>
            <w:shd w:val="clear" w:color="auto" w:fill="auto"/>
          </w:tcPr>
          <w:p w14:paraId="38DCD4E5" w14:textId="77777777" w:rsidR="00FC4B6D" w:rsidRPr="00D32F94" w:rsidRDefault="00FC4B6D" w:rsidP="00E146C5">
            <w:pPr>
              <w:spacing w:before="40" w:after="120"/>
              <w:ind w:right="113"/>
              <w:rPr>
                <w:lang w:val="fr-FR"/>
              </w:rPr>
            </w:pPr>
            <w:r w:rsidRPr="00D32F94">
              <w:rPr>
                <w:lang w:val="fr-FR"/>
              </w:rPr>
              <w:t>XII.</w:t>
            </w:r>
            <w:r w:rsidRPr="00D32F94">
              <w:rPr>
                <w:lang w:val="fr-FR"/>
              </w:rPr>
              <w:tab/>
              <w:t>Soutien horizontal</w:t>
            </w:r>
          </w:p>
        </w:tc>
      </w:tr>
    </w:tbl>
    <w:p w14:paraId="55341AAE" w14:textId="77777777" w:rsidR="00FC4B6D" w:rsidRPr="00E3055D" w:rsidRDefault="00FC4B6D" w:rsidP="00FC4B6D">
      <w:pPr>
        <w:pStyle w:val="HChG"/>
        <w:rPr>
          <w:lang w:val="fr-FR"/>
        </w:rPr>
      </w:pPr>
      <w:r w:rsidRPr="00E3055D">
        <w:rPr>
          <w:lang w:val="fr-FR"/>
        </w:rPr>
        <w:tab/>
      </w:r>
      <w:r w:rsidRPr="00E3055D">
        <w:rPr>
          <w:lang w:val="fr-FR"/>
        </w:rPr>
        <w:tab/>
        <w:t>Justification de l</w:t>
      </w:r>
      <w:r>
        <w:rPr>
          <w:lang w:val="fr-FR"/>
        </w:rPr>
        <w:t>’</w:t>
      </w:r>
      <w:r w:rsidRPr="00E3055D">
        <w:rPr>
          <w:lang w:val="fr-FR"/>
        </w:rPr>
        <w:t>ajout de nouveaux éléments</w:t>
      </w:r>
    </w:p>
    <w:p w14:paraId="4AF074C7" w14:textId="0EEDD1FD" w:rsidR="00FC4B6D" w:rsidRPr="000220FE" w:rsidRDefault="00FC4B6D" w:rsidP="00FC4B6D">
      <w:pPr>
        <w:pStyle w:val="SingleTxtG"/>
        <w:rPr>
          <w:lang w:val="fr-FR"/>
        </w:rPr>
      </w:pPr>
      <w:r w:rsidRPr="000220FE">
        <w:rPr>
          <w:spacing w:val="-1"/>
          <w:lang w:val="fr-FR"/>
        </w:rPr>
        <w:t>8.</w:t>
      </w:r>
      <w:r w:rsidRPr="000220FE">
        <w:rPr>
          <w:spacing w:val="-1"/>
          <w:lang w:val="fr-FR"/>
        </w:rPr>
        <w:tab/>
        <w:t>Il est urgent de lutter contre le harcèlement des défenseurs de l’environnement et d’offrir à ceux-ci une protection au titre de la Convention, ainsi qu’il ressort des conclusions des vingt</w:t>
      </w:r>
      <w:r w:rsidR="000220FE" w:rsidRPr="000220FE">
        <w:rPr>
          <w:spacing w:val="-1"/>
          <w:lang w:val="fr-FR"/>
        </w:rPr>
        <w:noBreakHyphen/>
      </w:r>
      <w:r w:rsidRPr="000220FE">
        <w:rPr>
          <w:spacing w:val="-1"/>
          <w:lang w:val="fr-FR"/>
        </w:rPr>
        <w:t>deuxième (Genève, 19-21 juin 2018) et vingt-troisième (Genève, 26</w:t>
      </w:r>
      <w:r w:rsidRPr="000220FE">
        <w:rPr>
          <w:spacing w:val="-1"/>
          <w:lang w:val="fr-FR"/>
        </w:rPr>
        <w:noBreakHyphen/>
        <w:t xml:space="preserve">28 juin 2019) réunions du Groupe de travail des Parties (voir les rapports des deux réunions, publiés sous les cotes ECE/MP.PP/WG.1/2018/2 et ECE/MP.PP/WG.1/2019/2, respectivement), de la résolution 40/11 du Conseil des droits de l’homme sur la reconnaissance de la contribution des défenseurs des droits de l’homme liés à l’environnement à la jouissance des droits de l’homme, à la protection de l’environnement et au développement durable (A/HRC/RES/40/11), ainsi que des rapports des rapporteurs spéciaux compétents nommés par le Conseil des droits de l’homme. En outre, plusieurs rapports d’ONG ont été consacrés à cette question cruciale, notamment les rapports intitulés « Dangerous Work: Reprisals against </w:t>
      </w:r>
      <w:r w:rsidRPr="000220FE">
        <w:rPr>
          <w:lang w:val="fr-FR"/>
        </w:rPr>
        <w:t>Environmental Activists »</w:t>
      </w:r>
      <w:r w:rsidRPr="000220FE">
        <w:rPr>
          <w:rStyle w:val="Appelnotedebasdep"/>
        </w:rPr>
        <w:footnoteReference w:id="6"/>
      </w:r>
      <w:r w:rsidRPr="000220FE">
        <w:rPr>
          <w:lang w:val="fr-FR"/>
        </w:rPr>
        <w:t xml:space="preserve"> (2019) et « Front Line Defenders: Global Analysis 2018 »</w:t>
      </w:r>
      <w:r w:rsidRPr="000220FE">
        <w:rPr>
          <w:rStyle w:val="Appelnotedebasdep"/>
        </w:rPr>
        <w:footnoteReference w:id="7"/>
      </w:r>
      <w:r w:rsidRPr="000220FE">
        <w:rPr>
          <w:lang w:val="fr-FR"/>
        </w:rPr>
        <w:t>. Il est essentiel de s’employer à lutter efficacement contre la multiplication des cas de persécution et de harcèlement de défenseurs de l’environnement, y compris dans les Parties à la Convention d’Aarhus. Outre l’examen de cette question au niveau intergouvernemental (Groupe de travail des Parties) et dans le cadre des réunions des équipes spéciales auquel il est procédé pendant la période intersessions en cours, il a été proposé de mettre sur pied un mécanisme spécialisé (voir ECE/MP.PP/WG.1/2020/13 pour plus d’informations). Le</w:t>
      </w:r>
      <w:r w:rsidR="00476F99">
        <w:rPr>
          <w:lang w:val="fr-FR"/>
        </w:rPr>
        <w:t> </w:t>
      </w:r>
      <w:r w:rsidRPr="000220FE">
        <w:rPr>
          <w:lang w:val="fr-FR"/>
        </w:rPr>
        <w:t>secrétariat joue plusieurs rôles dans ce contexte : il organise les réunions et en assure le service sur le plan technique, apporte des contributions de fond aux documents et autres supports d’information et fait office de centre d’assistance en répondant aux nombreuses demandes que lui adressent les pays et organisations au sujet des droits de l’homme dans le domaine de l’environnement. Ces travaux nécessitent également d’entretenir une coopération et des relations étroites avec les compétents organes du Conseil des droits de l’homme et le Programme des Nations</w:t>
      </w:r>
      <w:r w:rsidR="000220FE" w:rsidRPr="000220FE">
        <w:rPr>
          <w:lang w:val="fr-FR"/>
        </w:rPr>
        <w:t> </w:t>
      </w:r>
      <w:r w:rsidRPr="000220FE">
        <w:rPr>
          <w:lang w:val="fr-FR"/>
        </w:rPr>
        <w:t>Unies pour l’environnement, selon qu’il convient.</w:t>
      </w:r>
    </w:p>
    <w:p w14:paraId="05BCE1E5" w14:textId="43F93EA9" w:rsidR="00FC4B6D" w:rsidRPr="00E3055D" w:rsidRDefault="00FC4B6D" w:rsidP="00FC4B6D">
      <w:pPr>
        <w:pStyle w:val="SingleTxtG"/>
        <w:rPr>
          <w:lang w:val="fr-FR"/>
        </w:rPr>
      </w:pPr>
      <w:r w:rsidRPr="00E3055D">
        <w:rPr>
          <w:lang w:val="fr-FR"/>
        </w:rPr>
        <w:t>9.</w:t>
      </w:r>
      <w:r w:rsidRPr="00E3055D">
        <w:rPr>
          <w:lang w:val="fr-FR"/>
        </w:rPr>
        <w:tab/>
        <w:t>En outre, il importe de resserrer la coopération avec d</w:t>
      </w:r>
      <w:r>
        <w:rPr>
          <w:lang w:val="fr-FR"/>
        </w:rPr>
        <w:t>’</w:t>
      </w:r>
      <w:r w:rsidRPr="00E3055D">
        <w:rPr>
          <w:lang w:val="fr-FR"/>
        </w:rPr>
        <w:t>autres organisations, secrétariats d</w:t>
      </w:r>
      <w:r>
        <w:rPr>
          <w:lang w:val="fr-FR"/>
        </w:rPr>
        <w:t>’</w:t>
      </w:r>
      <w:r w:rsidRPr="00E3055D">
        <w:rPr>
          <w:lang w:val="fr-FR"/>
        </w:rPr>
        <w:t>accords multilatéraux relatifs à l</w:t>
      </w:r>
      <w:r>
        <w:rPr>
          <w:lang w:val="fr-FR"/>
        </w:rPr>
        <w:t>’</w:t>
      </w:r>
      <w:r w:rsidRPr="00E3055D">
        <w:rPr>
          <w:lang w:val="fr-FR"/>
        </w:rPr>
        <w:t>environnement et mécanismes dont les activités ont trait aux droits de l</w:t>
      </w:r>
      <w:r>
        <w:rPr>
          <w:lang w:val="fr-FR"/>
        </w:rPr>
        <w:t>’</w:t>
      </w:r>
      <w:r w:rsidRPr="00E3055D">
        <w:rPr>
          <w:lang w:val="fr-FR"/>
        </w:rPr>
        <w:t>homme et à l</w:t>
      </w:r>
      <w:r>
        <w:rPr>
          <w:lang w:val="fr-FR"/>
        </w:rPr>
        <w:t>’</w:t>
      </w:r>
      <w:r w:rsidRPr="00E3055D">
        <w:rPr>
          <w:lang w:val="fr-FR"/>
        </w:rPr>
        <w:t>environnement, mais aussi de consacrer davantage d</w:t>
      </w:r>
      <w:r>
        <w:rPr>
          <w:lang w:val="fr-FR"/>
        </w:rPr>
        <w:t>’</w:t>
      </w:r>
      <w:r w:rsidRPr="00E3055D">
        <w:rPr>
          <w:lang w:val="fr-FR"/>
        </w:rPr>
        <w:t>efforts à la promotion de la Convention auprès des pays non membres de la CEE et d</w:t>
      </w:r>
      <w:r>
        <w:rPr>
          <w:lang w:val="fr-FR"/>
        </w:rPr>
        <w:t>’</w:t>
      </w:r>
      <w:r w:rsidRPr="00E3055D">
        <w:rPr>
          <w:lang w:val="fr-FR"/>
        </w:rPr>
        <w:t>autres instances internationales (par exemple, les instances internationales qui traitent des changements climatiques, des produits chimiques ou de la santé et les institutions financières internationales). Le nombre de demandes de conseils spécialisés sur ces questions que le secrétariat a reçues de la part de pays, de secrétariats d</w:t>
      </w:r>
      <w:r>
        <w:rPr>
          <w:lang w:val="fr-FR"/>
        </w:rPr>
        <w:t>’</w:t>
      </w:r>
      <w:r w:rsidRPr="00E3055D">
        <w:rPr>
          <w:lang w:val="fr-FR"/>
        </w:rPr>
        <w:t>accords multilatéraux relatifs à l</w:t>
      </w:r>
      <w:r>
        <w:rPr>
          <w:lang w:val="fr-FR"/>
        </w:rPr>
        <w:t>’</w:t>
      </w:r>
      <w:r w:rsidRPr="00E3055D">
        <w:rPr>
          <w:lang w:val="fr-FR"/>
        </w:rPr>
        <w:t>environnement et d</w:t>
      </w:r>
      <w:r>
        <w:rPr>
          <w:lang w:val="fr-FR"/>
        </w:rPr>
        <w:t>’</w:t>
      </w:r>
      <w:r w:rsidRPr="00E3055D">
        <w:rPr>
          <w:lang w:val="fr-FR"/>
        </w:rPr>
        <w:t>organisations internationales a considérablement augmenté. Ces</w:t>
      </w:r>
      <w:r w:rsidR="000220FE">
        <w:rPr>
          <w:lang w:val="fr-FR"/>
        </w:rPr>
        <w:t> </w:t>
      </w:r>
      <w:r w:rsidRPr="00E3055D">
        <w:rPr>
          <w:lang w:val="fr-FR"/>
        </w:rPr>
        <w:t>demandes sont généralement urgentes et peuvent par exemple être soumises juste avant − et souvent pendant − une réunion des Parties à un autre accord multilatéral relatif à l</w:t>
      </w:r>
      <w:r>
        <w:rPr>
          <w:lang w:val="fr-FR"/>
        </w:rPr>
        <w:t>’</w:t>
      </w:r>
      <w:r w:rsidRPr="00E3055D">
        <w:rPr>
          <w:lang w:val="fr-FR"/>
        </w:rPr>
        <w:t>environnement ou une réunion d</w:t>
      </w:r>
      <w:r>
        <w:rPr>
          <w:lang w:val="fr-FR"/>
        </w:rPr>
        <w:t>’</w:t>
      </w:r>
      <w:r w:rsidRPr="00E3055D">
        <w:rPr>
          <w:lang w:val="fr-FR"/>
        </w:rPr>
        <w:t>un comité chargé de l</w:t>
      </w:r>
      <w:r>
        <w:rPr>
          <w:lang w:val="fr-FR"/>
        </w:rPr>
        <w:t>’</w:t>
      </w:r>
      <w:r w:rsidRPr="00E3055D">
        <w:rPr>
          <w:lang w:val="fr-FR"/>
        </w:rPr>
        <w:t>application ou du contrôle du respect des dispositions. Le secrétariat apporte des contributions de fond à de nombreux examens effectués et documents élaborés par d</w:t>
      </w:r>
      <w:r>
        <w:rPr>
          <w:lang w:val="fr-FR"/>
        </w:rPr>
        <w:t>’</w:t>
      </w:r>
      <w:r w:rsidRPr="00E3055D">
        <w:rPr>
          <w:lang w:val="fr-FR"/>
        </w:rPr>
        <w:t>autres instances, reste en relation avec ces instances, présente des exposés et organise des séances de formation à l</w:t>
      </w:r>
      <w:r>
        <w:rPr>
          <w:lang w:val="fr-FR"/>
        </w:rPr>
        <w:t>’</w:t>
      </w:r>
      <w:r w:rsidRPr="00E3055D">
        <w:rPr>
          <w:lang w:val="fr-FR"/>
        </w:rPr>
        <w:t>occasion de réunions, et fait office de centre d</w:t>
      </w:r>
      <w:r>
        <w:rPr>
          <w:lang w:val="fr-FR"/>
        </w:rPr>
        <w:t>’</w:t>
      </w:r>
      <w:r w:rsidRPr="00E3055D">
        <w:rPr>
          <w:lang w:val="fr-FR"/>
        </w:rPr>
        <w:t>assistance répondant aux nombreuses demandes qui émanent des pays et organisations. Actuellement, en raison d</w:t>
      </w:r>
      <w:r>
        <w:rPr>
          <w:lang w:val="fr-FR"/>
        </w:rPr>
        <w:t>’</w:t>
      </w:r>
      <w:r w:rsidRPr="00E3055D">
        <w:rPr>
          <w:lang w:val="fr-FR"/>
        </w:rPr>
        <w:t>un manque de capacités, le secrétariat rejette la grande majorité des demandes. Sa lourde charge de travail et les demandes de conseils qu</w:t>
      </w:r>
      <w:r>
        <w:rPr>
          <w:lang w:val="fr-FR"/>
        </w:rPr>
        <w:t>’</w:t>
      </w:r>
      <w:r w:rsidRPr="00E3055D">
        <w:rPr>
          <w:lang w:val="fr-FR"/>
        </w:rPr>
        <w:t>il reçoit continuellement mettent son personnel à rude épreuve et cette situation est source de grande frustration pour les organisations et les pays concernés.</w:t>
      </w:r>
      <w:bookmarkStart w:id="2" w:name="_Hlk35690827"/>
      <w:bookmarkEnd w:id="2"/>
    </w:p>
    <w:p w14:paraId="3A32BB60" w14:textId="1F6CA6BE" w:rsidR="00FC4B6D" w:rsidRPr="00E3055D" w:rsidRDefault="00FC4B6D" w:rsidP="00FC4B6D">
      <w:pPr>
        <w:pStyle w:val="SingleTxtG"/>
        <w:rPr>
          <w:lang w:val="fr-FR"/>
        </w:rPr>
      </w:pPr>
      <w:r w:rsidRPr="00E3055D">
        <w:rPr>
          <w:lang w:val="fr-FR"/>
        </w:rPr>
        <w:t>10.</w:t>
      </w:r>
      <w:r w:rsidRPr="00E3055D">
        <w:rPr>
          <w:lang w:val="fr-FR"/>
        </w:rPr>
        <w:tab/>
        <w:t>De plus, la charge de travail du secrétariat liée au mécanisme d</w:t>
      </w:r>
      <w:r>
        <w:rPr>
          <w:lang w:val="fr-FR"/>
        </w:rPr>
        <w:t>’</w:t>
      </w:r>
      <w:r w:rsidRPr="00E3055D">
        <w:rPr>
          <w:lang w:val="fr-FR"/>
        </w:rPr>
        <w:t>examen du respect des dispositions a fortement augmenté en raison du volume et de la complexité des dossiers examinés et du suivi de l</w:t>
      </w:r>
      <w:r>
        <w:rPr>
          <w:lang w:val="fr-FR"/>
        </w:rPr>
        <w:t>’</w:t>
      </w:r>
      <w:r w:rsidRPr="00E3055D">
        <w:rPr>
          <w:lang w:val="fr-FR"/>
        </w:rPr>
        <w:t>application des décisions de la Réunion des Parties quant au respect des dispositions par des Parties. En plus d</w:t>
      </w:r>
      <w:r>
        <w:rPr>
          <w:lang w:val="fr-FR"/>
        </w:rPr>
        <w:t>’</w:t>
      </w:r>
      <w:r w:rsidRPr="00E3055D">
        <w:rPr>
          <w:lang w:val="fr-FR"/>
        </w:rPr>
        <w:t>établir un grand nombre de documents, notamment des documents analytiques, le secrétariat consacre beaucoup de temps à répondre aux demandes des Parties et des auteurs de communications, ainsi qu</w:t>
      </w:r>
      <w:r>
        <w:rPr>
          <w:lang w:val="fr-FR"/>
        </w:rPr>
        <w:t>’</w:t>
      </w:r>
      <w:r w:rsidRPr="00E3055D">
        <w:rPr>
          <w:lang w:val="fr-FR"/>
        </w:rPr>
        <w:t>à conseiller les Parties concernées pour les aider à mieux comprendre les procédures du Comité ou ce qu</w:t>
      </w:r>
      <w:r>
        <w:rPr>
          <w:lang w:val="fr-FR"/>
        </w:rPr>
        <w:t>’</w:t>
      </w:r>
      <w:r w:rsidRPr="00E3055D">
        <w:rPr>
          <w:lang w:val="fr-FR"/>
        </w:rPr>
        <w:t>ils pourraient faire pour se mettre en conformité avec les dispositions de la Convention. L</w:t>
      </w:r>
      <w:r>
        <w:rPr>
          <w:lang w:val="fr-FR"/>
        </w:rPr>
        <w:t>’</w:t>
      </w:r>
      <w:r w:rsidRPr="00E3055D">
        <w:rPr>
          <w:lang w:val="fr-FR"/>
        </w:rPr>
        <w:t>appui consultatif que le secrétariat fournit aux Parties s</w:t>
      </w:r>
      <w:r>
        <w:rPr>
          <w:lang w:val="fr-FR"/>
        </w:rPr>
        <w:t>’</w:t>
      </w:r>
      <w:r w:rsidRPr="00E3055D">
        <w:rPr>
          <w:lang w:val="fr-FR"/>
        </w:rPr>
        <w:t>agissant du mécanisme d</w:t>
      </w:r>
      <w:r>
        <w:rPr>
          <w:lang w:val="fr-FR"/>
        </w:rPr>
        <w:t>’</w:t>
      </w:r>
      <w:r w:rsidRPr="00E3055D">
        <w:rPr>
          <w:lang w:val="fr-FR"/>
        </w:rPr>
        <w:t>examen du respect des dispositions a une double valeur ajoutée puisque le secrétariat non seulement aide le Comité d</w:t>
      </w:r>
      <w:r>
        <w:rPr>
          <w:lang w:val="fr-FR"/>
        </w:rPr>
        <w:t>’</w:t>
      </w:r>
      <w:r w:rsidRPr="00E3055D">
        <w:rPr>
          <w:lang w:val="fr-FR"/>
        </w:rPr>
        <w:t>examen du respect des dispositions dans l</w:t>
      </w:r>
      <w:r>
        <w:rPr>
          <w:lang w:val="fr-FR"/>
        </w:rPr>
        <w:t>’</w:t>
      </w:r>
      <w:r w:rsidRPr="00E3055D">
        <w:rPr>
          <w:lang w:val="fr-FR"/>
        </w:rPr>
        <w:t>exécution de ses tâches, mais aussi contribue grandement au renforcement des capacités des Parties concernées (28 Parties font actuellement l</w:t>
      </w:r>
      <w:r>
        <w:rPr>
          <w:lang w:val="fr-FR"/>
        </w:rPr>
        <w:t>’</w:t>
      </w:r>
      <w:r w:rsidRPr="00E3055D">
        <w:rPr>
          <w:lang w:val="fr-FR"/>
        </w:rPr>
        <w:t>objet d</w:t>
      </w:r>
      <w:r>
        <w:rPr>
          <w:lang w:val="fr-FR"/>
        </w:rPr>
        <w:t>’</w:t>
      </w:r>
      <w:r w:rsidRPr="00E3055D">
        <w:rPr>
          <w:lang w:val="fr-FR"/>
        </w:rPr>
        <w:t>un examen du respect des dispositions, pour un total de 64</w:t>
      </w:r>
      <w:r>
        <w:rPr>
          <w:lang w:val="fr-FR"/>
        </w:rPr>
        <w:t> </w:t>
      </w:r>
      <w:r w:rsidRPr="00E3055D">
        <w:rPr>
          <w:lang w:val="fr-FR"/>
        </w:rPr>
        <w:t>dossiers (14</w:t>
      </w:r>
      <w:r>
        <w:rPr>
          <w:lang w:val="fr-FR"/>
        </w:rPr>
        <w:t> </w:t>
      </w:r>
      <w:r w:rsidRPr="00E3055D">
        <w:rPr>
          <w:lang w:val="fr-FR"/>
        </w:rPr>
        <w:t xml:space="preserve">dossiers relatifs au suivi de décisions et de demandes formulées à la </w:t>
      </w:r>
      <w:r w:rsidRPr="00E3055D">
        <w:rPr>
          <w:spacing w:val="-2"/>
          <w:lang w:val="fr-FR"/>
        </w:rPr>
        <w:t>sixième session de la Réunion des Parties et à des conclusions de non-respect rendues après la sixième session, 49</w:t>
      </w:r>
      <w:r>
        <w:rPr>
          <w:spacing w:val="-2"/>
          <w:lang w:val="fr-FR"/>
        </w:rPr>
        <w:t> </w:t>
      </w:r>
      <w:r w:rsidRPr="00E3055D">
        <w:rPr>
          <w:spacing w:val="-2"/>
          <w:lang w:val="fr-FR"/>
        </w:rPr>
        <w:t>communications et soumissions pendantes, ainsi que 1</w:t>
      </w:r>
      <w:r>
        <w:rPr>
          <w:spacing w:val="-2"/>
          <w:lang w:val="fr-FR"/>
        </w:rPr>
        <w:t> </w:t>
      </w:r>
      <w:r w:rsidRPr="00E3055D">
        <w:rPr>
          <w:spacing w:val="-2"/>
          <w:lang w:val="fr-FR"/>
        </w:rPr>
        <w:t>communication</w:t>
      </w:r>
      <w:r w:rsidRPr="00E3055D">
        <w:rPr>
          <w:lang w:val="fr-FR"/>
        </w:rPr>
        <w:t xml:space="preserve"> au stade de la prérecevabilité)). Actuellement, l</w:t>
      </w:r>
      <w:r>
        <w:rPr>
          <w:lang w:val="fr-FR"/>
        </w:rPr>
        <w:t>’</w:t>
      </w:r>
      <w:r w:rsidRPr="00E3055D">
        <w:rPr>
          <w:lang w:val="fr-FR"/>
        </w:rPr>
        <w:t>emploi à ces tâches de deux fonctionnaires P-3</w:t>
      </w:r>
      <w:r w:rsidRPr="00EA7884">
        <w:rPr>
          <w:rStyle w:val="Appelnotedebasdep"/>
        </w:rPr>
        <w:footnoteReference w:id="8"/>
      </w:r>
      <w:r w:rsidRPr="00E3055D">
        <w:rPr>
          <w:lang w:val="fr-FR"/>
        </w:rPr>
        <w:t xml:space="preserve"> à 80 % d</w:t>
      </w:r>
      <w:r>
        <w:rPr>
          <w:lang w:val="fr-FR"/>
        </w:rPr>
        <w:t>’</w:t>
      </w:r>
      <w:r w:rsidRPr="00E3055D">
        <w:rPr>
          <w:lang w:val="fr-FR"/>
        </w:rPr>
        <w:t>équivalent plein temps est prévu au budget. Toutefois, en période de pointe, c</w:t>
      </w:r>
      <w:r>
        <w:rPr>
          <w:lang w:val="fr-FR"/>
        </w:rPr>
        <w:t>’</w:t>
      </w:r>
      <w:r w:rsidRPr="00E3055D">
        <w:rPr>
          <w:lang w:val="fr-FR"/>
        </w:rPr>
        <w:t>est-à-dire avant et pendant les réunions (une réunion toutes les cinq</w:t>
      </w:r>
      <w:r w:rsidR="003F4C80">
        <w:rPr>
          <w:lang w:val="fr-FR"/>
        </w:rPr>
        <w:t xml:space="preserve"> </w:t>
      </w:r>
      <w:r w:rsidRPr="00E3055D">
        <w:rPr>
          <w:lang w:val="fr-FR"/>
        </w:rPr>
        <w:t>semaines en moyenne), le personnel travaille à 100 %, voire très souvent à bien plus de 100 %. Si des effectifs suffisants ne sont pas affectés à ce domaine d</w:t>
      </w:r>
      <w:r>
        <w:rPr>
          <w:lang w:val="fr-FR"/>
        </w:rPr>
        <w:t>’</w:t>
      </w:r>
      <w:r w:rsidRPr="00E3055D">
        <w:rPr>
          <w:lang w:val="fr-FR"/>
        </w:rPr>
        <w:t>activité, l</w:t>
      </w:r>
      <w:r>
        <w:rPr>
          <w:lang w:val="fr-FR"/>
        </w:rPr>
        <w:t>’</w:t>
      </w:r>
      <w:r w:rsidRPr="00E3055D">
        <w:rPr>
          <w:lang w:val="fr-FR"/>
        </w:rPr>
        <w:t>examen, le traitement et le suivi des dossiers risquent de connaître d</w:t>
      </w:r>
      <w:r>
        <w:rPr>
          <w:lang w:val="fr-FR"/>
        </w:rPr>
        <w:t>’</w:t>
      </w:r>
      <w:r w:rsidRPr="00E3055D">
        <w:rPr>
          <w:lang w:val="fr-FR"/>
        </w:rPr>
        <w:t>importants retards. En conséquence, les Parties pourraient ne pas recevoir en temps utile l</w:t>
      </w:r>
      <w:r>
        <w:rPr>
          <w:lang w:val="fr-FR"/>
        </w:rPr>
        <w:t>’</w:t>
      </w:r>
      <w:r w:rsidRPr="00E3055D">
        <w:rPr>
          <w:lang w:val="fr-FR"/>
        </w:rPr>
        <w:t>assistance dont elles ont besoin pour mettre leurs cadres législatifs et leurs pratiques en conformité avec la Convention.</w:t>
      </w:r>
      <w:bookmarkStart w:id="3" w:name="_Hlk36142407"/>
      <w:bookmarkEnd w:id="3"/>
    </w:p>
    <w:p w14:paraId="474B19A8" w14:textId="77777777" w:rsidR="00FC4B6D" w:rsidRPr="00E3055D" w:rsidRDefault="00FC4B6D" w:rsidP="00FC4B6D">
      <w:pPr>
        <w:pStyle w:val="SingleTxtG"/>
        <w:rPr>
          <w:lang w:val="fr-FR"/>
        </w:rPr>
      </w:pPr>
      <w:r w:rsidRPr="00E3055D">
        <w:rPr>
          <w:lang w:val="fr-FR"/>
        </w:rPr>
        <w:t>11.</w:t>
      </w:r>
      <w:r w:rsidRPr="00E3055D">
        <w:rPr>
          <w:lang w:val="fr-FR"/>
        </w:rPr>
        <w:tab/>
        <w:t>Les domaines d</w:t>
      </w:r>
      <w:r>
        <w:rPr>
          <w:lang w:val="fr-FR"/>
        </w:rPr>
        <w:t>’</w:t>
      </w:r>
      <w:r w:rsidRPr="00E3055D">
        <w:rPr>
          <w:lang w:val="fr-FR"/>
        </w:rPr>
        <w:t>activité susmentionnés sont étroitement liés à l</w:t>
      </w:r>
      <w:r>
        <w:rPr>
          <w:lang w:val="fr-FR"/>
        </w:rPr>
        <w:t>’</w:t>
      </w:r>
      <w:r w:rsidRPr="00E3055D">
        <w:rPr>
          <w:lang w:val="fr-FR"/>
        </w:rPr>
        <w:t>exécution d</w:t>
      </w:r>
      <w:r>
        <w:rPr>
          <w:lang w:val="fr-FR"/>
        </w:rPr>
        <w:t>’</w:t>
      </w:r>
      <w:r w:rsidRPr="00E3055D">
        <w:rPr>
          <w:lang w:val="fr-FR"/>
        </w:rPr>
        <w:t>un certain nombre d</w:t>
      </w:r>
      <w:r>
        <w:rPr>
          <w:lang w:val="fr-FR"/>
        </w:rPr>
        <w:t>’</w:t>
      </w:r>
      <w:r w:rsidRPr="00E3055D">
        <w:rPr>
          <w:lang w:val="fr-FR"/>
        </w:rPr>
        <w:t>engagements que les Parties et d</w:t>
      </w:r>
      <w:r>
        <w:rPr>
          <w:lang w:val="fr-FR"/>
        </w:rPr>
        <w:t>’</w:t>
      </w:r>
      <w:r w:rsidRPr="00E3055D">
        <w:rPr>
          <w:lang w:val="fr-FR"/>
        </w:rPr>
        <w:t>autres États membres ont pris aux niveaux régional et mondial. En particulier, l</w:t>
      </w:r>
      <w:r>
        <w:rPr>
          <w:lang w:val="fr-FR"/>
        </w:rPr>
        <w:t>’</w:t>
      </w:r>
      <w:r w:rsidRPr="00E3055D">
        <w:rPr>
          <w:lang w:val="fr-FR"/>
        </w:rPr>
        <w:t>amélioration des cadres législatifs et le renforcement des capacités des autorités, qui visent à garantir un accès effectif à l</w:t>
      </w:r>
      <w:r>
        <w:rPr>
          <w:lang w:val="fr-FR"/>
        </w:rPr>
        <w:t>’</w:t>
      </w:r>
      <w:r w:rsidRPr="00E3055D">
        <w:rPr>
          <w:lang w:val="fr-FR"/>
        </w:rPr>
        <w:t>information et à la justice, ainsi que la participation inclusive et constructive du public, sont essentielles aux succès de ces initiatives, par exemple :</w:t>
      </w:r>
      <w:bookmarkStart w:id="4" w:name="_Hlk36142480"/>
      <w:bookmarkEnd w:id="4"/>
    </w:p>
    <w:p w14:paraId="27241C52" w14:textId="77777777" w:rsidR="00FC4B6D" w:rsidRPr="00E3055D" w:rsidRDefault="00FC4B6D" w:rsidP="00FC4B6D">
      <w:pPr>
        <w:pStyle w:val="SingleTxtG"/>
        <w:ind w:firstLine="567"/>
        <w:rPr>
          <w:lang w:val="fr-FR"/>
        </w:rPr>
      </w:pPr>
      <w:r w:rsidRPr="00E3055D">
        <w:rPr>
          <w:lang w:val="fr-FR"/>
        </w:rPr>
        <w:t>a)</w:t>
      </w:r>
      <w:r w:rsidRPr="00E3055D">
        <w:rPr>
          <w:lang w:val="fr-FR"/>
        </w:rPr>
        <w:tab/>
        <w:t>Le nouveau pacte vert pour l</w:t>
      </w:r>
      <w:r>
        <w:rPr>
          <w:lang w:val="fr-FR"/>
        </w:rPr>
        <w:t>’</w:t>
      </w:r>
      <w:r w:rsidRPr="00E3055D">
        <w:rPr>
          <w:lang w:val="fr-FR"/>
        </w:rPr>
        <w:t>Europe</w:t>
      </w:r>
      <w:r w:rsidRPr="00EA7884">
        <w:rPr>
          <w:rStyle w:val="Appelnotedebasdep"/>
        </w:rPr>
        <w:footnoteReference w:id="9"/>
      </w:r>
      <w:r w:rsidRPr="00E3055D">
        <w:rPr>
          <w:lang w:val="fr-FR"/>
        </w:rPr>
        <w:t>, qui ouvre la voie à une transition « verte », juste et socialement équitable ;</w:t>
      </w:r>
    </w:p>
    <w:p w14:paraId="2F5F4AE9" w14:textId="77777777" w:rsidR="00FC4B6D" w:rsidRPr="00E3055D" w:rsidRDefault="00FC4B6D" w:rsidP="00FC4B6D">
      <w:pPr>
        <w:pStyle w:val="SingleTxtG"/>
        <w:ind w:firstLine="567"/>
        <w:rPr>
          <w:lang w:val="fr-FR"/>
        </w:rPr>
      </w:pPr>
      <w:r w:rsidRPr="00E3055D">
        <w:rPr>
          <w:lang w:val="fr-FR"/>
        </w:rPr>
        <w:t>b)</w:t>
      </w:r>
      <w:r w:rsidRPr="00E3055D">
        <w:rPr>
          <w:lang w:val="fr-FR"/>
        </w:rPr>
        <w:tab/>
        <w:t>Un certain nombre de résolutions du Conseil des droits de l</w:t>
      </w:r>
      <w:r>
        <w:rPr>
          <w:lang w:val="fr-FR"/>
        </w:rPr>
        <w:t>’</w:t>
      </w:r>
      <w:r w:rsidRPr="00E3055D">
        <w:rPr>
          <w:lang w:val="fr-FR"/>
        </w:rPr>
        <w:t>homme, en particulier les résolutions</w:t>
      </w:r>
      <w:r>
        <w:rPr>
          <w:lang w:val="fr-FR"/>
        </w:rPr>
        <w:t> </w:t>
      </w:r>
      <w:r w:rsidRPr="00E3055D">
        <w:rPr>
          <w:lang w:val="fr-FR"/>
        </w:rPr>
        <w:t>37/8 sur les droits de l</w:t>
      </w:r>
      <w:r>
        <w:rPr>
          <w:lang w:val="fr-FR"/>
        </w:rPr>
        <w:t>’</w:t>
      </w:r>
      <w:r w:rsidRPr="00E3055D">
        <w:rPr>
          <w:lang w:val="fr-FR"/>
        </w:rPr>
        <w:t>homme et l</w:t>
      </w:r>
      <w:r>
        <w:rPr>
          <w:lang w:val="fr-FR"/>
        </w:rPr>
        <w:t>’</w:t>
      </w:r>
      <w:r w:rsidRPr="00E3055D">
        <w:rPr>
          <w:lang w:val="fr-FR"/>
        </w:rPr>
        <w:t>environnement (A/HRC/RES/37/8), 40/11 sur la reconnaissance de la contribution des défenseurs des droits de l</w:t>
      </w:r>
      <w:r>
        <w:rPr>
          <w:lang w:val="fr-FR"/>
        </w:rPr>
        <w:t>’</w:t>
      </w:r>
      <w:r w:rsidRPr="00E3055D">
        <w:rPr>
          <w:lang w:val="fr-FR"/>
        </w:rPr>
        <w:t>homme liés à l</w:t>
      </w:r>
      <w:r>
        <w:rPr>
          <w:lang w:val="fr-FR"/>
        </w:rPr>
        <w:t>’</w:t>
      </w:r>
      <w:r w:rsidRPr="00E3055D">
        <w:rPr>
          <w:lang w:val="fr-FR"/>
        </w:rPr>
        <w:t>environnement à la jouissance des droits de l</w:t>
      </w:r>
      <w:r>
        <w:rPr>
          <w:lang w:val="fr-FR"/>
        </w:rPr>
        <w:t>’</w:t>
      </w:r>
      <w:r w:rsidRPr="00E3055D">
        <w:rPr>
          <w:lang w:val="fr-FR"/>
        </w:rPr>
        <w:t>homme, à la protection de l</w:t>
      </w:r>
      <w:r>
        <w:rPr>
          <w:lang w:val="fr-FR"/>
        </w:rPr>
        <w:t>’</w:t>
      </w:r>
      <w:r w:rsidRPr="00E3055D">
        <w:rPr>
          <w:lang w:val="fr-FR"/>
        </w:rPr>
        <w:t>environnement et au développement durable (A/HRC/RES/40/11) et 42/21 sur la protection des droits de travailleurs exposés à des substances et déchets dangereux (A/HRC/RES/42/21), ainsi que les mécanismes tels que l</w:t>
      </w:r>
      <w:r>
        <w:rPr>
          <w:lang w:val="fr-FR"/>
        </w:rPr>
        <w:t>’</w:t>
      </w:r>
      <w:r w:rsidRPr="00E3055D">
        <w:rPr>
          <w:lang w:val="fr-FR"/>
        </w:rPr>
        <w:t>Examen périodique universel</w:t>
      </w:r>
      <w:r w:rsidRPr="00EA7884">
        <w:rPr>
          <w:rStyle w:val="Appelnotedebasdep"/>
        </w:rPr>
        <w:footnoteReference w:id="10"/>
      </w:r>
      <w:r w:rsidRPr="00E3055D">
        <w:rPr>
          <w:lang w:val="fr-FR"/>
        </w:rPr>
        <w:t xml:space="preserve"> et les procédures spéciales</w:t>
      </w:r>
      <w:r w:rsidRPr="00EA7884">
        <w:rPr>
          <w:rStyle w:val="Appelnotedebasdep"/>
        </w:rPr>
        <w:footnoteReference w:id="11"/>
      </w:r>
      <w:r w:rsidRPr="00E3055D">
        <w:rPr>
          <w:lang w:val="fr-FR"/>
        </w:rPr>
        <w:t xml:space="preserve"> dont les travaux ont un lien direct avec les questions environnementales ;</w:t>
      </w:r>
    </w:p>
    <w:p w14:paraId="75C98D4E" w14:textId="46D4AE10" w:rsidR="00FC4B6D" w:rsidRPr="00E3055D" w:rsidRDefault="00FC4B6D" w:rsidP="00FC4B6D">
      <w:pPr>
        <w:pStyle w:val="SingleTxtG"/>
        <w:ind w:firstLine="567"/>
        <w:rPr>
          <w:lang w:val="fr-FR"/>
        </w:rPr>
      </w:pPr>
      <w:r w:rsidRPr="00E3055D">
        <w:rPr>
          <w:lang w:val="fr-FR"/>
        </w:rPr>
        <w:t>c)</w:t>
      </w:r>
      <w:r w:rsidRPr="00E3055D">
        <w:rPr>
          <w:lang w:val="fr-FR"/>
        </w:rPr>
        <w:tab/>
        <w:t>L</w:t>
      </w:r>
      <w:r>
        <w:rPr>
          <w:lang w:val="fr-FR"/>
        </w:rPr>
        <w:t>’</w:t>
      </w:r>
      <w:r w:rsidRPr="00E3055D">
        <w:rPr>
          <w:lang w:val="fr-FR"/>
        </w:rPr>
        <w:t>engagement pris, au titre de la Convention-cadre des Nations</w:t>
      </w:r>
      <w:r w:rsidR="000220FE">
        <w:rPr>
          <w:lang w:val="fr-FR"/>
        </w:rPr>
        <w:t> </w:t>
      </w:r>
      <w:r w:rsidRPr="00E3055D">
        <w:rPr>
          <w:lang w:val="fr-FR"/>
        </w:rPr>
        <w:t>Unies sur les changements climatiques, de mettre en place des mesures d</w:t>
      </w:r>
      <w:r>
        <w:rPr>
          <w:lang w:val="fr-FR"/>
        </w:rPr>
        <w:t>’</w:t>
      </w:r>
      <w:r w:rsidRPr="00E3055D">
        <w:rPr>
          <w:lang w:val="fr-FR"/>
        </w:rPr>
        <w:t>atténuation et d</w:t>
      </w:r>
      <w:r>
        <w:rPr>
          <w:lang w:val="fr-FR"/>
        </w:rPr>
        <w:t>’</w:t>
      </w:r>
      <w:r w:rsidRPr="00E3055D">
        <w:rPr>
          <w:lang w:val="fr-FR"/>
        </w:rPr>
        <w:t>adaptation dans le cadre de processus participatifs, notamment en appliquant l</w:t>
      </w:r>
      <w:r>
        <w:rPr>
          <w:lang w:val="fr-FR"/>
        </w:rPr>
        <w:t>’</w:t>
      </w:r>
      <w:r w:rsidRPr="00E3055D">
        <w:rPr>
          <w:lang w:val="fr-FR"/>
        </w:rPr>
        <w:t>article 6 de la Convention</w:t>
      </w:r>
      <w:r w:rsidRPr="00E3055D">
        <w:rPr>
          <w:lang w:val="fr-FR"/>
        </w:rPr>
        <w:noBreakHyphen/>
        <w:t>cadre et l</w:t>
      </w:r>
      <w:r>
        <w:rPr>
          <w:lang w:val="fr-FR"/>
        </w:rPr>
        <w:t>’</w:t>
      </w:r>
      <w:r w:rsidRPr="00E3055D">
        <w:rPr>
          <w:lang w:val="fr-FR"/>
        </w:rPr>
        <w:t>Accord de Paris ;</w:t>
      </w:r>
    </w:p>
    <w:p w14:paraId="503EE02C" w14:textId="77777777" w:rsidR="00FC4B6D" w:rsidRPr="00E3055D" w:rsidRDefault="00FC4B6D" w:rsidP="00FC4B6D">
      <w:pPr>
        <w:pStyle w:val="SingleTxtG"/>
        <w:ind w:firstLine="567"/>
        <w:rPr>
          <w:lang w:val="fr-FR"/>
        </w:rPr>
      </w:pPr>
      <w:r w:rsidRPr="00E3055D">
        <w:rPr>
          <w:lang w:val="fr-FR"/>
        </w:rPr>
        <w:t>d)</w:t>
      </w:r>
      <w:r w:rsidRPr="00E3055D">
        <w:rPr>
          <w:lang w:val="fr-FR"/>
        </w:rPr>
        <w:tab/>
        <w:t>Les initiatives en faveur de gouvernements ouverts et de données ouvertes</w:t>
      </w:r>
      <w:r w:rsidRPr="00EA7884">
        <w:rPr>
          <w:rStyle w:val="Appelnotedebasdep"/>
        </w:rPr>
        <w:footnoteReference w:id="12"/>
      </w:r>
      <w:r w:rsidRPr="00E3055D">
        <w:rPr>
          <w:lang w:val="fr-FR"/>
        </w:rPr>
        <w:t>, qui sont cruciales pour renforcer la transparence et prévenir la corruption dans divers secteurs ;</w:t>
      </w:r>
    </w:p>
    <w:p w14:paraId="172AD520" w14:textId="77777777" w:rsidR="00FC4B6D" w:rsidRPr="00E3055D" w:rsidRDefault="00FC4B6D" w:rsidP="00FC4B6D">
      <w:pPr>
        <w:pStyle w:val="SingleTxtG"/>
        <w:ind w:firstLine="567"/>
        <w:rPr>
          <w:lang w:val="fr-FR"/>
        </w:rPr>
      </w:pPr>
      <w:r w:rsidRPr="00E3055D">
        <w:rPr>
          <w:lang w:val="fr-FR"/>
        </w:rPr>
        <w:t>e)</w:t>
      </w:r>
      <w:r w:rsidRPr="00E3055D">
        <w:rPr>
          <w:lang w:val="fr-FR"/>
        </w:rPr>
        <w:tab/>
        <w:t>Les stratégies et plans d</w:t>
      </w:r>
      <w:r>
        <w:rPr>
          <w:lang w:val="fr-FR"/>
        </w:rPr>
        <w:t>’</w:t>
      </w:r>
      <w:r w:rsidRPr="00E3055D">
        <w:rPr>
          <w:lang w:val="fr-FR"/>
        </w:rPr>
        <w:t>action qui visent à protéger la biodiversité et exigent la pleine participation de la population, en particulier des communautés locales</w:t>
      </w:r>
      <w:r w:rsidRPr="00EA7884">
        <w:rPr>
          <w:rStyle w:val="Appelnotedebasdep"/>
        </w:rPr>
        <w:footnoteReference w:id="13"/>
      </w:r>
      <w:r w:rsidRPr="00E3055D">
        <w:rPr>
          <w:lang w:val="fr-FR"/>
        </w:rPr>
        <w:t> ;</w:t>
      </w:r>
    </w:p>
    <w:p w14:paraId="613ED7A2" w14:textId="77777777" w:rsidR="00FC4B6D" w:rsidRPr="00E3055D" w:rsidRDefault="00FC4B6D" w:rsidP="00FC4B6D">
      <w:pPr>
        <w:pStyle w:val="SingleTxtG"/>
        <w:ind w:firstLine="567"/>
        <w:rPr>
          <w:lang w:val="fr-FR"/>
        </w:rPr>
      </w:pPr>
      <w:r w:rsidRPr="00E3055D">
        <w:rPr>
          <w:lang w:val="fr-FR"/>
        </w:rPr>
        <w:t>f)</w:t>
      </w:r>
      <w:r w:rsidRPr="00E3055D">
        <w:rPr>
          <w:lang w:val="fr-FR"/>
        </w:rPr>
        <w:tab/>
        <w:t>Le Programme de développement durable à l</w:t>
      </w:r>
      <w:r>
        <w:rPr>
          <w:lang w:val="fr-FR"/>
        </w:rPr>
        <w:t>’</w:t>
      </w:r>
      <w:r w:rsidRPr="00E3055D">
        <w:rPr>
          <w:lang w:val="fr-FR"/>
        </w:rPr>
        <w:t>horizon 2030, que les États Membres de l</w:t>
      </w:r>
      <w:r>
        <w:rPr>
          <w:lang w:val="fr-FR"/>
        </w:rPr>
        <w:t>’</w:t>
      </w:r>
      <w:r w:rsidRPr="00E3055D">
        <w:rPr>
          <w:lang w:val="fr-FR"/>
        </w:rPr>
        <w:t>Organisation des Nations</w:t>
      </w:r>
      <w:r>
        <w:rPr>
          <w:lang w:val="fr-FR"/>
        </w:rPr>
        <w:t> </w:t>
      </w:r>
      <w:r w:rsidRPr="00E3055D">
        <w:rPr>
          <w:lang w:val="fr-FR"/>
        </w:rPr>
        <w:t>Unies sont fermement résolus à mener à bien dans le cadre de processus participatifs.</w:t>
      </w:r>
    </w:p>
    <w:p w14:paraId="42E345BB" w14:textId="77777777" w:rsidR="00FC4B6D" w:rsidRPr="00E3055D" w:rsidRDefault="00FC4B6D" w:rsidP="00FC4B6D">
      <w:pPr>
        <w:pStyle w:val="SingleTxtG"/>
        <w:rPr>
          <w:lang w:val="fr-FR"/>
        </w:rPr>
      </w:pPr>
      <w:r w:rsidRPr="00E3055D">
        <w:rPr>
          <w:lang w:val="fr-FR"/>
        </w:rPr>
        <w:t>12.</w:t>
      </w:r>
      <w:r w:rsidRPr="00E3055D">
        <w:rPr>
          <w:lang w:val="fr-FR"/>
        </w:rPr>
        <w:tab/>
        <w:t>La Convention est donc un puissant outil horizontal qui permet de favoriser la démocratie environnementale dans différents secteurs et mécanismes. En raison de son caractère transversal, elle joue un rôle important dans la réalisation de tous les objectifs de développement durable, en particulier de l</w:t>
      </w:r>
      <w:r>
        <w:rPr>
          <w:lang w:val="fr-FR"/>
        </w:rPr>
        <w:t>’</w:t>
      </w:r>
      <w:r w:rsidRPr="00E3055D">
        <w:rPr>
          <w:lang w:val="fr-FR"/>
        </w:rPr>
        <w:t>objectif 16, en donnant au public le droit de participer effectivement à la prise de décisions sur un large éventail de questions visées par les objectifs, telles que la protection de la santé (objectif 3), la gestion de l</w:t>
      </w:r>
      <w:r>
        <w:rPr>
          <w:lang w:val="fr-FR"/>
        </w:rPr>
        <w:t>’</w:t>
      </w:r>
      <w:r w:rsidRPr="00E3055D">
        <w:rPr>
          <w:lang w:val="fr-FR"/>
        </w:rPr>
        <w:t>eau et de l</w:t>
      </w:r>
      <w:r>
        <w:rPr>
          <w:lang w:val="fr-FR"/>
        </w:rPr>
        <w:t>’</w:t>
      </w:r>
      <w:r w:rsidRPr="00E3055D">
        <w:rPr>
          <w:lang w:val="fr-FR"/>
        </w:rPr>
        <w:t>assainissement (objectif 6), l</w:t>
      </w:r>
      <w:r>
        <w:rPr>
          <w:lang w:val="fr-FR"/>
        </w:rPr>
        <w:t>’</w:t>
      </w:r>
      <w:r w:rsidRPr="00E3055D">
        <w:rPr>
          <w:lang w:val="fr-FR"/>
        </w:rPr>
        <w:t>énergie propre (objectif 7), l</w:t>
      </w:r>
      <w:r>
        <w:rPr>
          <w:lang w:val="fr-FR"/>
        </w:rPr>
        <w:t>’</w:t>
      </w:r>
      <w:r w:rsidRPr="00E3055D">
        <w:rPr>
          <w:lang w:val="fr-FR"/>
        </w:rPr>
        <w:t>économie verte (objectifs 8, 9 et 12), la réduction des inégalités (objectif 10), l</w:t>
      </w:r>
      <w:r>
        <w:rPr>
          <w:lang w:val="fr-FR"/>
        </w:rPr>
        <w:t>’</w:t>
      </w:r>
      <w:r w:rsidRPr="00E3055D">
        <w:rPr>
          <w:lang w:val="fr-FR"/>
        </w:rPr>
        <w:t>action climatique (objectif 13), le tourisme (objectifs 8, 12, 14 et 15), la planification urbaine (objectifs 11 et 13) et la réduction des risques de catastrophe (objectifs 9 et 11). Il est fait référence à ces objectifs dans les textes explicatifs qui figurent dans l</w:t>
      </w:r>
      <w:r>
        <w:rPr>
          <w:lang w:val="fr-FR"/>
        </w:rPr>
        <w:t>’</w:t>
      </w:r>
      <w:r w:rsidRPr="00E3055D">
        <w:rPr>
          <w:lang w:val="fr-FR"/>
        </w:rPr>
        <w:t>annexe I ci-après.</w:t>
      </w:r>
    </w:p>
    <w:p w14:paraId="23F6F5A5" w14:textId="77777777" w:rsidR="00FC4B6D" w:rsidRPr="00E3055D" w:rsidRDefault="00FC4B6D" w:rsidP="00FC4B6D">
      <w:pPr>
        <w:pStyle w:val="HChG"/>
        <w:rPr>
          <w:lang w:val="fr-FR"/>
        </w:rPr>
      </w:pPr>
      <w:r w:rsidRPr="00E3055D">
        <w:rPr>
          <w:lang w:val="fr-FR"/>
        </w:rPr>
        <w:tab/>
      </w:r>
      <w:r w:rsidRPr="00E3055D">
        <w:rPr>
          <w:lang w:val="fr-FR"/>
        </w:rPr>
        <w:tab/>
        <w:t>Besoins de financement supplémentaires</w:t>
      </w:r>
    </w:p>
    <w:p w14:paraId="543A8532" w14:textId="44C154A5" w:rsidR="00FC4B6D" w:rsidRPr="00E3055D" w:rsidRDefault="00FC4B6D" w:rsidP="00FC4B6D">
      <w:pPr>
        <w:pStyle w:val="SingleTxtG"/>
        <w:rPr>
          <w:lang w:val="fr-FR"/>
        </w:rPr>
      </w:pPr>
      <w:r w:rsidRPr="00E3055D">
        <w:rPr>
          <w:lang w:val="fr-FR"/>
        </w:rPr>
        <w:t>13.</w:t>
      </w:r>
      <w:r w:rsidRPr="00E3055D">
        <w:rPr>
          <w:lang w:val="fr-FR"/>
        </w:rPr>
        <w:tab/>
        <w:t>Les prévisions de dépenses pour les domaines d</w:t>
      </w:r>
      <w:r>
        <w:rPr>
          <w:lang w:val="fr-FR"/>
        </w:rPr>
        <w:t>’</w:t>
      </w:r>
      <w:r w:rsidRPr="00E3055D">
        <w:rPr>
          <w:lang w:val="fr-FR"/>
        </w:rPr>
        <w:t>activité relatifs au respect des dispositions (V), au renforcement des capacités (VI) et à la promotion (VIII et IX) ont été calculées compte tenu des nouveaux éléments susmentionnés. Par conséquent, des ressources supplémentaires seront nécessaires au titre : a)</w:t>
      </w:r>
      <w:r w:rsidR="000220FE">
        <w:rPr>
          <w:lang w:val="fr-FR"/>
        </w:rPr>
        <w:t> </w:t>
      </w:r>
      <w:r w:rsidRPr="00E3055D">
        <w:rPr>
          <w:lang w:val="fr-FR"/>
        </w:rPr>
        <w:t>des travaux liés au nouveau mécanisme visant à traiter les cas relevant du paragraphe 8 de l</w:t>
      </w:r>
      <w:r>
        <w:rPr>
          <w:lang w:val="fr-FR"/>
        </w:rPr>
        <w:t>’</w:t>
      </w:r>
      <w:r w:rsidRPr="00E3055D">
        <w:rPr>
          <w:lang w:val="fr-FR"/>
        </w:rPr>
        <w:t>article 3 de la Convention</w:t>
      </w:r>
      <w:r w:rsidRPr="00EA7884">
        <w:rPr>
          <w:rStyle w:val="Appelnotedebasdep"/>
        </w:rPr>
        <w:footnoteReference w:id="14"/>
      </w:r>
      <w:r w:rsidRPr="00E3055D">
        <w:rPr>
          <w:lang w:val="fr-FR"/>
        </w:rPr>
        <w:t> ; b)</w:t>
      </w:r>
      <w:r w:rsidR="000220FE">
        <w:rPr>
          <w:lang w:val="fr-FR"/>
        </w:rPr>
        <w:t> </w:t>
      </w:r>
      <w:r w:rsidRPr="00E3055D">
        <w:rPr>
          <w:lang w:val="fr-FR"/>
        </w:rPr>
        <w:t>de l</w:t>
      </w:r>
      <w:r>
        <w:rPr>
          <w:lang w:val="fr-FR"/>
        </w:rPr>
        <w:t>’</w:t>
      </w:r>
      <w:r w:rsidRPr="00E3055D">
        <w:rPr>
          <w:lang w:val="fr-FR"/>
        </w:rPr>
        <w:t>assistance juridique supplémentaire apportée au Comité d</w:t>
      </w:r>
      <w:r>
        <w:rPr>
          <w:lang w:val="fr-FR"/>
        </w:rPr>
        <w:t>’</w:t>
      </w:r>
      <w:r w:rsidRPr="00E3055D">
        <w:rPr>
          <w:lang w:val="fr-FR"/>
        </w:rPr>
        <w:t>examen du respect des dispositions ; c)</w:t>
      </w:r>
      <w:r w:rsidR="000220FE">
        <w:rPr>
          <w:lang w:val="fr-FR"/>
        </w:rPr>
        <w:t> </w:t>
      </w:r>
      <w:r w:rsidRPr="00E3055D">
        <w:rPr>
          <w:lang w:val="fr-FR"/>
        </w:rPr>
        <w:t>de l</w:t>
      </w:r>
      <w:r>
        <w:rPr>
          <w:lang w:val="fr-FR"/>
        </w:rPr>
        <w:t>’</w:t>
      </w:r>
      <w:r w:rsidRPr="00E3055D">
        <w:rPr>
          <w:lang w:val="fr-FR"/>
        </w:rPr>
        <w:t>appui au renforcement des capacités des Parties et de l</w:t>
      </w:r>
      <w:r>
        <w:rPr>
          <w:lang w:val="fr-FR"/>
        </w:rPr>
        <w:t>’</w:t>
      </w:r>
      <w:r w:rsidRPr="00E3055D">
        <w:rPr>
          <w:lang w:val="fr-FR"/>
        </w:rPr>
        <w:t>assistance consultative fournie au Parties, en particulier aux fins de l</w:t>
      </w:r>
      <w:r>
        <w:rPr>
          <w:lang w:val="fr-FR"/>
        </w:rPr>
        <w:t>’</w:t>
      </w:r>
      <w:r w:rsidRPr="00E3055D">
        <w:rPr>
          <w:lang w:val="fr-FR"/>
        </w:rPr>
        <w:t>application des décisions de la Réunion des Parties quant au respect des dispositions ; d)</w:t>
      </w:r>
      <w:r w:rsidR="000220FE">
        <w:rPr>
          <w:lang w:val="fr-FR"/>
        </w:rPr>
        <w:t> </w:t>
      </w:r>
      <w:r w:rsidRPr="00E3055D">
        <w:rPr>
          <w:lang w:val="fr-FR"/>
        </w:rPr>
        <w:t>du renforcement des synergies avec les activités pertinentes en matière de droits de l</w:t>
      </w:r>
      <w:r>
        <w:rPr>
          <w:lang w:val="fr-FR"/>
        </w:rPr>
        <w:t>’</w:t>
      </w:r>
      <w:r w:rsidRPr="00E3055D">
        <w:rPr>
          <w:lang w:val="fr-FR"/>
        </w:rPr>
        <w:t>homme menées par d</w:t>
      </w:r>
      <w:r>
        <w:rPr>
          <w:lang w:val="fr-FR"/>
        </w:rPr>
        <w:t>’</w:t>
      </w:r>
      <w:r w:rsidRPr="00E3055D">
        <w:rPr>
          <w:lang w:val="fr-FR"/>
        </w:rPr>
        <w:t>autres organisations et mécanismes ; e)</w:t>
      </w:r>
      <w:r w:rsidR="000220FE">
        <w:rPr>
          <w:lang w:val="fr-FR"/>
        </w:rPr>
        <w:t> </w:t>
      </w:r>
      <w:r w:rsidRPr="00E3055D">
        <w:rPr>
          <w:lang w:val="fr-FR"/>
        </w:rPr>
        <w:t>de la promotion de la Convention et de ses principes auprès des pays non membres de la Commission économique pour l</w:t>
      </w:r>
      <w:r>
        <w:rPr>
          <w:lang w:val="fr-FR"/>
        </w:rPr>
        <w:t>’</w:t>
      </w:r>
      <w:r w:rsidRPr="00E3055D">
        <w:rPr>
          <w:lang w:val="fr-FR"/>
        </w:rPr>
        <w:t>Europe (CEE) et d</w:t>
      </w:r>
      <w:r>
        <w:rPr>
          <w:lang w:val="fr-FR"/>
        </w:rPr>
        <w:t>’</w:t>
      </w:r>
      <w:r w:rsidRPr="00E3055D">
        <w:rPr>
          <w:lang w:val="fr-FR"/>
        </w:rPr>
        <w:t>autres instances internationales.</w:t>
      </w:r>
    </w:p>
    <w:p w14:paraId="6414A93A" w14:textId="77777777" w:rsidR="00FC4B6D" w:rsidRPr="00E3055D" w:rsidRDefault="00FC4B6D" w:rsidP="00FC4B6D">
      <w:pPr>
        <w:pStyle w:val="SingleTxtG"/>
        <w:rPr>
          <w:lang w:val="fr-FR"/>
        </w:rPr>
      </w:pPr>
      <w:r w:rsidRPr="00E3055D">
        <w:rPr>
          <w:lang w:val="fr-FR"/>
        </w:rPr>
        <w:t>14.</w:t>
      </w:r>
      <w:r w:rsidRPr="00E3055D">
        <w:rPr>
          <w:lang w:val="fr-FR"/>
        </w:rPr>
        <w:tab/>
        <w:t>De par leur nature (élaboration de documents juridiques complexes, fourniture de conseils spécialisés, liaison et coordination, etc.), les tâches susmentionnées exigent d</w:t>
      </w:r>
      <w:r>
        <w:rPr>
          <w:lang w:val="fr-FR"/>
        </w:rPr>
        <w:t>’</w:t>
      </w:r>
      <w:r w:rsidRPr="00E3055D">
        <w:rPr>
          <w:lang w:val="fr-FR"/>
        </w:rPr>
        <w:t>importantes ressources humaines. Ainsi, des ressources additionnelles seront nécessaires pour financer : deux postes supplémentaires (P-2, voir aussi au paragraphe</w:t>
      </w:r>
      <w:r>
        <w:rPr>
          <w:lang w:val="fr-FR"/>
        </w:rPr>
        <w:t> </w:t>
      </w:r>
      <w:r w:rsidRPr="00E3055D">
        <w:rPr>
          <w:lang w:val="fr-FR"/>
        </w:rPr>
        <w:t>14 les informations concernant un poste d</w:t>
      </w:r>
      <w:r>
        <w:rPr>
          <w:lang w:val="fr-FR"/>
        </w:rPr>
        <w:t>’</w:t>
      </w:r>
      <w:r w:rsidRPr="00E3055D">
        <w:rPr>
          <w:lang w:val="fr-FR"/>
        </w:rPr>
        <w:t>administrateur auxiliaire, et P-3) dont les titulaires seront chargés de répondre à la demande accrue d</w:t>
      </w:r>
      <w:r>
        <w:rPr>
          <w:lang w:val="fr-FR"/>
        </w:rPr>
        <w:t>’</w:t>
      </w:r>
      <w:r w:rsidRPr="00E3055D">
        <w:rPr>
          <w:lang w:val="fr-FR"/>
        </w:rPr>
        <w:t>assistance émanant des Parties, en particulier en ce qui concerne l</w:t>
      </w:r>
      <w:r>
        <w:rPr>
          <w:lang w:val="fr-FR"/>
        </w:rPr>
        <w:t>’</w:t>
      </w:r>
      <w:r w:rsidRPr="00E3055D">
        <w:rPr>
          <w:lang w:val="fr-FR"/>
        </w:rPr>
        <w:t>application des décisions de la Réunion des Parties quant au respect des dispositions, d</w:t>
      </w:r>
      <w:r>
        <w:rPr>
          <w:lang w:val="fr-FR"/>
        </w:rPr>
        <w:t>’</w:t>
      </w:r>
      <w:r w:rsidRPr="00E3055D">
        <w:rPr>
          <w:lang w:val="fr-FR"/>
        </w:rPr>
        <w:t>appuyer les travaux du nouveau mécanisme relatif au paragraphe 8 de l</w:t>
      </w:r>
      <w:r>
        <w:rPr>
          <w:lang w:val="fr-FR"/>
        </w:rPr>
        <w:t>’</w:t>
      </w:r>
      <w:r w:rsidRPr="00E3055D">
        <w:rPr>
          <w:lang w:val="fr-FR"/>
        </w:rPr>
        <w:t>article 3 et d</w:t>
      </w:r>
      <w:r>
        <w:rPr>
          <w:lang w:val="fr-FR"/>
        </w:rPr>
        <w:t>’</w:t>
      </w:r>
      <w:r w:rsidRPr="00E3055D">
        <w:rPr>
          <w:lang w:val="fr-FR"/>
        </w:rPr>
        <w:t>apporter une assistance juridique au Comité d</w:t>
      </w:r>
      <w:r>
        <w:rPr>
          <w:lang w:val="fr-FR"/>
        </w:rPr>
        <w:t>’</w:t>
      </w:r>
      <w:r w:rsidRPr="00E3055D">
        <w:rPr>
          <w:lang w:val="fr-FR"/>
        </w:rPr>
        <w:t>examen du respect des dispositions ; un poste supplémentaire (P-3) dont le titulaire sera chargé d</w:t>
      </w:r>
      <w:r>
        <w:rPr>
          <w:lang w:val="fr-FR"/>
        </w:rPr>
        <w:t>’</w:t>
      </w:r>
      <w:r w:rsidRPr="00E3055D">
        <w:rPr>
          <w:lang w:val="fr-FR"/>
        </w:rPr>
        <w:t>appuyer les travaux de renforcement des synergies avec d</w:t>
      </w:r>
      <w:r>
        <w:rPr>
          <w:lang w:val="fr-FR"/>
        </w:rPr>
        <w:t>’</w:t>
      </w:r>
      <w:r w:rsidRPr="00E3055D">
        <w:rPr>
          <w:lang w:val="fr-FR"/>
        </w:rPr>
        <w:t>autres organismes et mécanismes, ainsi que les activités de promotion de la Convention et de ses principes. Des ressources seront également requises pour financer les services de consultants (pour la traduction de documents ou la fourniture d</w:t>
      </w:r>
      <w:r>
        <w:rPr>
          <w:lang w:val="fr-FR"/>
        </w:rPr>
        <w:t>’</w:t>
      </w:r>
      <w:r w:rsidRPr="00E3055D">
        <w:rPr>
          <w:lang w:val="fr-FR"/>
        </w:rPr>
        <w:t>un appui opérationnel sur des questions particulières, par exemple), les voyages du personnel et les services d</w:t>
      </w:r>
      <w:r>
        <w:rPr>
          <w:lang w:val="fr-FR"/>
        </w:rPr>
        <w:t>’</w:t>
      </w:r>
      <w:r w:rsidRPr="00E3055D">
        <w:rPr>
          <w:lang w:val="fr-FR"/>
        </w:rPr>
        <w:t>assistance technique. Les coûts supplémentaires, par an et par domaine d</w:t>
      </w:r>
      <w:r>
        <w:rPr>
          <w:lang w:val="fr-FR"/>
        </w:rPr>
        <w:t>’</w:t>
      </w:r>
      <w:r w:rsidRPr="00E3055D">
        <w:rPr>
          <w:lang w:val="fr-FR"/>
        </w:rPr>
        <w:t>activité, sont indiqués ci-dessous</w:t>
      </w:r>
      <w:r w:rsidRPr="00EA7884">
        <w:rPr>
          <w:rStyle w:val="Appelnotedebasdep"/>
        </w:rPr>
        <w:footnoteReference w:id="15"/>
      </w:r>
      <w:r w:rsidRPr="00E3055D">
        <w:rPr>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97"/>
        <w:gridCol w:w="1673"/>
      </w:tblGrid>
      <w:tr w:rsidR="00FC4B6D" w:rsidRPr="00026B22" w14:paraId="5055413A" w14:textId="77777777" w:rsidTr="000220FE">
        <w:trPr>
          <w:tblHeader/>
        </w:trPr>
        <w:tc>
          <w:tcPr>
            <w:tcW w:w="5697" w:type="dxa"/>
            <w:tcBorders>
              <w:top w:val="single" w:sz="4" w:space="0" w:color="auto"/>
              <w:bottom w:val="single" w:sz="12" w:space="0" w:color="auto"/>
            </w:tcBorders>
            <w:shd w:val="clear" w:color="auto" w:fill="auto"/>
            <w:vAlign w:val="bottom"/>
          </w:tcPr>
          <w:p w14:paraId="07ACFCA7" w14:textId="77777777" w:rsidR="00FC4B6D" w:rsidRPr="00026B22" w:rsidRDefault="00FC4B6D" w:rsidP="00E146C5">
            <w:pPr>
              <w:spacing w:before="80" w:after="80" w:line="200" w:lineRule="exact"/>
              <w:ind w:right="113"/>
              <w:rPr>
                <w:i/>
                <w:sz w:val="16"/>
                <w:lang w:val="fr-FR"/>
              </w:rPr>
            </w:pPr>
            <w:r w:rsidRPr="00026B22">
              <w:rPr>
                <w:i/>
                <w:sz w:val="16"/>
                <w:lang w:val="fr-FR"/>
              </w:rPr>
              <w:t>Domaine d’activité</w:t>
            </w:r>
          </w:p>
        </w:tc>
        <w:tc>
          <w:tcPr>
            <w:tcW w:w="1673" w:type="dxa"/>
            <w:tcBorders>
              <w:top w:val="single" w:sz="4" w:space="0" w:color="auto"/>
              <w:bottom w:val="single" w:sz="12" w:space="0" w:color="auto"/>
            </w:tcBorders>
            <w:shd w:val="clear" w:color="auto" w:fill="auto"/>
            <w:vAlign w:val="bottom"/>
          </w:tcPr>
          <w:p w14:paraId="12653956" w14:textId="77845244" w:rsidR="00FC4B6D" w:rsidRPr="00026B22" w:rsidRDefault="00FC4B6D" w:rsidP="00A06579">
            <w:pPr>
              <w:spacing w:before="80" w:after="80" w:line="200" w:lineRule="exact"/>
              <w:ind w:right="113"/>
              <w:jc w:val="right"/>
              <w:rPr>
                <w:i/>
                <w:sz w:val="16"/>
                <w:lang w:val="fr-FR"/>
              </w:rPr>
            </w:pPr>
            <w:r w:rsidRPr="00026B22">
              <w:rPr>
                <w:i/>
                <w:sz w:val="16"/>
                <w:lang w:val="fr-FR"/>
              </w:rPr>
              <w:t>Montant estimatif</w:t>
            </w:r>
            <w:r w:rsidR="000220FE">
              <w:rPr>
                <w:i/>
                <w:sz w:val="16"/>
                <w:lang w:val="fr-FR"/>
              </w:rPr>
              <w:t xml:space="preserve"> </w:t>
            </w:r>
            <w:r w:rsidRPr="00026B22">
              <w:rPr>
                <w:i/>
                <w:sz w:val="16"/>
                <w:lang w:val="fr-FR"/>
              </w:rPr>
              <w:t>des coûts opérationnels supplémentaires</w:t>
            </w:r>
            <w:r w:rsidR="000220FE">
              <w:rPr>
                <w:i/>
                <w:sz w:val="16"/>
                <w:lang w:val="fr-FR"/>
              </w:rPr>
              <w:t xml:space="preserve"> </w:t>
            </w:r>
            <w:r w:rsidR="000220FE">
              <w:rPr>
                <w:i/>
                <w:sz w:val="16"/>
                <w:lang w:val="fr-FR"/>
              </w:rPr>
              <w:br/>
            </w:r>
            <w:r w:rsidRPr="00026B22">
              <w:rPr>
                <w:i/>
                <w:sz w:val="16"/>
                <w:lang w:val="fr-FR"/>
              </w:rPr>
              <w:t>(</w:t>
            </w:r>
            <w:r w:rsidR="000220FE">
              <w:rPr>
                <w:i/>
                <w:sz w:val="16"/>
                <w:lang w:val="fr-FR"/>
              </w:rPr>
              <w:t>E</w:t>
            </w:r>
            <w:r w:rsidRPr="00026B22">
              <w:rPr>
                <w:i/>
                <w:sz w:val="16"/>
                <w:lang w:val="fr-FR"/>
              </w:rPr>
              <w:t>n dollars É.-U.)</w:t>
            </w:r>
          </w:p>
        </w:tc>
      </w:tr>
      <w:tr w:rsidR="00FC4B6D" w:rsidRPr="00026B22" w14:paraId="45EB99E2" w14:textId="77777777" w:rsidTr="000220FE">
        <w:trPr>
          <w:trHeight w:hRule="exact" w:val="113"/>
          <w:tblHeader/>
        </w:trPr>
        <w:tc>
          <w:tcPr>
            <w:tcW w:w="5697" w:type="dxa"/>
            <w:tcBorders>
              <w:top w:val="single" w:sz="12" w:space="0" w:color="auto"/>
            </w:tcBorders>
            <w:shd w:val="clear" w:color="auto" w:fill="auto"/>
          </w:tcPr>
          <w:p w14:paraId="71B4359E" w14:textId="77777777" w:rsidR="00FC4B6D" w:rsidRPr="00026B22" w:rsidRDefault="00FC4B6D" w:rsidP="00E146C5">
            <w:pPr>
              <w:spacing w:before="40" w:after="120"/>
              <w:ind w:right="113"/>
              <w:rPr>
                <w:lang w:val="fr-FR"/>
              </w:rPr>
            </w:pPr>
          </w:p>
        </w:tc>
        <w:tc>
          <w:tcPr>
            <w:tcW w:w="1673" w:type="dxa"/>
            <w:tcBorders>
              <w:top w:val="single" w:sz="12" w:space="0" w:color="auto"/>
            </w:tcBorders>
            <w:shd w:val="clear" w:color="auto" w:fill="auto"/>
          </w:tcPr>
          <w:p w14:paraId="2979EFA7" w14:textId="77777777" w:rsidR="00FC4B6D" w:rsidRPr="00026B22" w:rsidRDefault="00FC4B6D" w:rsidP="00A06579">
            <w:pPr>
              <w:spacing w:before="40" w:after="120"/>
              <w:ind w:right="113"/>
              <w:jc w:val="right"/>
              <w:rPr>
                <w:lang w:val="fr-FR"/>
              </w:rPr>
            </w:pPr>
          </w:p>
        </w:tc>
      </w:tr>
      <w:tr w:rsidR="00FC4B6D" w:rsidRPr="00026B22" w14:paraId="7C3827DD" w14:textId="77777777" w:rsidTr="000220FE">
        <w:tc>
          <w:tcPr>
            <w:tcW w:w="5697" w:type="dxa"/>
            <w:shd w:val="clear" w:color="auto" w:fill="auto"/>
          </w:tcPr>
          <w:p w14:paraId="7A7B4020" w14:textId="77777777" w:rsidR="00FC4B6D" w:rsidRPr="00026B22" w:rsidRDefault="00FC4B6D" w:rsidP="00E146C5">
            <w:pPr>
              <w:spacing w:before="40" w:after="120"/>
              <w:ind w:right="113"/>
              <w:rPr>
                <w:lang w:val="fr-FR"/>
              </w:rPr>
            </w:pPr>
            <w:r w:rsidRPr="00026B22">
              <w:rPr>
                <w:lang w:val="fr-FR"/>
              </w:rPr>
              <w:t>I.</w:t>
            </w:r>
            <w:r w:rsidRPr="00026B22">
              <w:rPr>
                <w:lang w:val="fr-FR"/>
              </w:rPr>
              <w:tab/>
              <w:t>Accès à l’information</w:t>
            </w:r>
          </w:p>
        </w:tc>
        <w:tc>
          <w:tcPr>
            <w:tcW w:w="1673" w:type="dxa"/>
            <w:shd w:val="clear" w:color="auto" w:fill="auto"/>
          </w:tcPr>
          <w:p w14:paraId="65580156" w14:textId="77777777" w:rsidR="00FC4B6D" w:rsidRPr="00026B22" w:rsidRDefault="00FC4B6D" w:rsidP="00A06579">
            <w:pPr>
              <w:spacing w:before="40" w:after="120"/>
              <w:ind w:right="113"/>
              <w:jc w:val="right"/>
              <w:rPr>
                <w:lang w:val="fr-FR"/>
              </w:rPr>
            </w:pPr>
            <w:r>
              <w:rPr>
                <w:lang w:val="fr-FR"/>
              </w:rPr>
              <w:t>−</w:t>
            </w:r>
          </w:p>
        </w:tc>
      </w:tr>
      <w:tr w:rsidR="00FC4B6D" w:rsidRPr="00026B22" w14:paraId="71D48B0F" w14:textId="77777777" w:rsidTr="000220FE">
        <w:tc>
          <w:tcPr>
            <w:tcW w:w="5697" w:type="dxa"/>
            <w:shd w:val="clear" w:color="auto" w:fill="auto"/>
          </w:tcPr>
          <w:p w14:paraId="115E5182" w14:textId="77777777" w:rsidR="00FC4B6D" w:rsidRPr="00026B22" w:rsidRDefault="00FC4B6D" w:rsidP="00E146C5">
            <w:pPr>
              <w:spacing w:before="40" w:after="120"/>
              <w:ind w:right="113"/>
              <w:rPr>
                <w:lang w:val="fr-FR"/>
              </w:rPr>
            </w:pPr>
            <w:r w:rsidRPr="00026B22">
              <w:rPr>
                <w:lang w:val="fr-FR"/>
              </w:rPr>
              <w:t>II.</w:t>
            </w:r>
            <w:r w:rsidRPr="00026B22">
              <w:rPr>
                <w:lang w:val="fr-FR"/>
              </w:rPr>
              <w:tab/>
              <w:t>Participation du public</w:t>
            </w:r>
          </w:p>
        </w:tc>
        <w:tc>
          <w:tcPr>
            <w:tcW w:w="1673" w:type="dxa"/>
            <w:shd w:val="clear" w:color="auto" w:fill="auto"/>
          </w:tcPr>
          <w:p w14:paraId="6A69A464" w14:textId="77777777" w:rsidR="00FC4B6D" w:rsidRPr="00026B22" w:rsidRDefault="00FC4B6D" w:rsidP="00A06579">
            <w:pPr>
              <w:spacing w:before="40" w:after="120"/>
              <w:ind w:right="113"/>
              <w:jc w:val="right"/>
              <w:rPr>
                <w:lang w:val="fr-FR"/>
              </w:rPr>
            </w:pPr>
            <w:r w:rsidRPr="00026B22">
              <w:rPr>
                <w:lang w:val="fr-FR"/>
              </w:rPr>
              <w:t>−</w:t>
            </w:r>
          </w:p>
        </w:tc>
      </w:tr>
      <w:tr w:rsidR="00FC4B6D" w:rsidRPr="00026B22" w14:paraId="2F964F54" w14:textId="77777777" w:rsidTr="000220FE">
        <w:tc>
          <w:tcPr>
            <w:tcW w:w="5697" w:type="dxa"/>
            <w:shd w:val="clear" w:color="auto" w:fill="auto"/>
          </w:tcPr>
          <w:p w14:paraId="01E7AC86" w14:textId="77777777" w:rsidR="00FC4B6D" w:rsidRPr="00026B22" w:rsidRDefault="00FC4B6D" w:rsidP="00E146C5">
            <w:pPr>
              <w:spacing w:before="40" w:after="120"/>
              <w:ind w:right="113"/>
              <w:rPr>
                <w:lang w:val="fr-FR"/>
              </w:rPr>
            </w:pPr>
            <w:r w:rsidRPr="00026B22">
              <w:rPr>
                <w:lang w:val="fr-FR"/>
              </w:rPr>
              <w:t>III.</w:t>
            </w:r>
            <w:r w:rsidRPr="00026B22">
              <w:rPr>
                <w:lang w:val="fr-FR"/>
              </w:rPr>
              <w:tab/>
              <w:t>Accès à la justice</w:t>
            </w:r>
          </w:p>
        </w:tc>
        <w:tc>
          <w:tcPr>
            <w:tcW w:w="1673" w:type="dxa"/>
            <w:shd w:val="clear" w:color="auto" w:fill="auto"/>
          </w:tcPr>
          <w:p w14:paraId="2FD23DB7" w14:textId="77777777" w:rsidR="00FC4B6D" w:rsidRPr="00026B22" w:rsidRDefault="00FC4B6D" w:rsidP="00A06579">
            <w:pPr>
              <w:spacing w:before="40" w:after="120"/>
              <w:ind w:right="113"/>
              <w:jc w:val="right"/>
              <w:rPr>
                <w:lang w:val="fr-FR"/>
              </w:rPr>
            </w:pPr>
            <w:r w:rsidRPr="00026B22">
              <w:rPr>
                <w:lang w:val="fr-FR"/>
              </w:rPr>
              <w:t>−</w:t>
            </w:r>
          </w:p>
        </w:tc>
      </w:tr>
      <w:tr w:rsidR="00FC4B6D" w:rsidRPr="00026B22" w14:paraId="21D2AE0E" w14:textId="77777777" w:rsidTr="000220FE">
        <w:tc>
          <w:tcPr>
            <w:tcW w:w="5697" w:type="dxa"/>
            <w:shd w:val="clear" w:color="auto" w:fill="auto"/>
          </w:tcPr>
          <w:p w14:paraId="346E1CB0" w14:textId="77777777" w:rsidR="00FC4B6D" w:rsidRPr="00026B22" w:rsidRDefault="00FC4B6D" w:rsidP="00E146C5">
            <w:pPr>
              <w:spacing w:before="40" w:after="120"/>
              <w:ind w:right="113"/>
              <w:rPr>
                <w:lang w:val="fr-FR"/>
              </w:rPr>
            </w:pPr>
            <w:r w:rsidRPr="00026B22">
              <w:rPr>
                <w:lang w:val="fr-FR"/>
              </w:rPr>
              <w:t>IV.</w:t>
            </w:r>
            <w:r w:rsidRPr="00026B22">
              <w:rPr>
                <w:lang w:val="fr-FR"/>
              </w:rPr>
              <w:tab/>
              <w:t>Organismes génétiquement modifiés</w:t>
            </w:r>
          </w:p>
        </w:tc>
        <w:tc>
          <w:tcPr>
            <w:tcW w:w="1673" w:type="dxa"/>
            <w:shd w:val="clear" w:color="auto" w:fill="auto"/>
          </w:tcPr>
          <w:p w14:paraId="7F4F573D" w14:textId="77777777" w:rsidR="00FC4B6D" w:rsidRPr="00026B22" w:rsidRDefault="00FC4B6D" w:rsidP="00A06579">
            <w:pPr>
              <w:spacing w:before="40" w:after="120"/>
              <w:ind w:right="113"/>
              <w:jc w:val="right"/>
              <w:rPr>
                <w:lang w:val="fr-FR"/>
              </w:rPr>
            </w:pPr>
            <w:r w:rsidRPr="00026B22">
              <w:rPr>
                <w:lang w:val="fr-FR"/>
              </w:rPr>
              <w:t>−</w:t>
            </w:r>
          </w:p>
        </w:tc>
      </w:tr>
      <w:tr w:rsidR="00FC4B6D" w:rsidRPr="00026B22" w14:paraId="40964194" w14:textId="77777777" w:rsidTr="000220FE">
        <w:tc>
          <w:tcPr>
            <w:tcW w:w="5697" w:type="dxa"/>
            <w:shd w:val="clear" w:color="auto" w:fill="auto"/>
          </w:tcPr>
          <w:p w14:paraId="2A6C2255" w14:textId="77777777" w:rsidR="00FC4B6D" w:rsidRPr="00026B22" w:rsidRDefault="00FC4B6D" w:rsidP="00E146C5">
            <w:pPr>
              <w:spacing w:before="40" w:after="120"/>
              <w:ind w:right="113"/>
              <w:rPr>
                <w:lang w:val="fr-FR"/>
              </w:rPr>
            </w:pPr>
            <w:r w:rsidRPr="00026B22">
              <w:rPr>
                <w:lang w:val="fr-FR"/>
              </w:rPr>
              <w:t>V.</w:t>
            </w:r>
            <w:r w:rsidRPr="00026B22">
              <w:rPr>
                <w:lang w:val="fr-FR"/>
              </w:rPr>
              <w:tab/>
              <w:t>Mécanisme d’examen du respect des dispositions</w:t>
            </w:r>
          </w:p>
        </w:tc>
        <w:tc>
          <w:tcPr>
            <w:tcW w:w="1673" w:type="dxa"/>
            <w:shd w:val="clear" w:color="auto" w:fill="auto"/>
          </w:tcPr>
          <w:p w14:paraId="116DE927" w14:textId="77777777" w:rsidR="00FC4B6D" w:rsidRPr="00026B22" w:rsidRDefault="00FC4B6D" w:rsidP="00A06579">
            <w:pPr>
              <w:spacing w:before="40" w:after="120"/>
              <w:ind w:right="113"/>
              <w:jc w:val="right"/>
              <w:rPr>
                <w:lang w:val="fr-FR"/>
              </w:rPr>
            </w:pPr>
            <w:r w:rsidRPr="00026B22">
              <w:rPr>
                <w:lang w:val="fr-FR"/>
              </w:rPr>
              <w:t>242</w:t>
            </w:r>
            <w:r>
              <w:rPr>
                <w:lang w:val="fr-FR"/>
              </w:rPr>
              <w:t> </w:t>
            </w:r>
            <w:r w:rsidRPr="00026B22">
              <w:rPr>
                <w:lang w:val="fr-FR"/>
              </w:rPr>
              <w:t>000</w:t>
            </w:r>
          </w:p>
        </w:tc>
      </w:tr>
      <w:tr w:rsidR="00FC4B6D" w:rsidRPr="00026B22" w14:paraId="2C7AE4A6" w14:textId="77777777" w:rsidTr="000220FE">
        <w:tc>
          <w:tcPr>
            <w:tcW w:w="5697" w:type="dxa"/>
            <w:shd w:val="clear" w:color="auto" w:fill="auto"/>
          </w:tcPr>
          <w:p w14:paraId="5F5E9E62" w14:textId="77777777" w:rsidR="00FC4B6D" w:rsidRPr="00026B22" w:rsidRDefault="00FC4B6D" w:rsidP="00E146C5">
            <w:pPr>
              <w:spacing w:before="40" w:after="120"/>
              <w:ind w:right="113"/>
              <w:rPr>
                <w:lang w:val="fr-FR"/>
              </w:rPr>
            </w:pPr>
            <w:r w:rsidRPr="00026B22">
              <w:rPr>
                <w:lang w:val="fr-FR"/>
              </w:rPr>
              <w:t>VI.</w:t>
            </w:r>
            <w:r w:rsidRPr="00026B22">
              <w:rPr>
                <w:lang w:val="fr-FR"/>
              </w:rPr>
              <w:tab/>
              <w:t>Renforcement des capacités</w:t>
            </w:r>
          </w:p>
        </w:tc>
        <w:tc>
          <w:tcPr>
            <w:tcW w:w="1673" w:type="dxa"/>
            <w:shd w:val="clear" w:color="auto" w:fill="auto"/>
          </w:tcPr>
          <w:p w14:paraId="4BEF0AB7" w14:textId="77777777" w:rsidR="00FC4B6D" w:rsidRPr="00026B22" w:rsidRDefault="00FC4B6D" w:rsidP="00A06579">
            <w:pPr>
              <w:spacing w:before="40" w:after="120"/>
              <w:ind w:right="113"/>
              <w:jc w:val="right"/>
              <w:rPr>
                <w:lang w:val="fr-FR"/>
              </w:rPr>
            </w:pPr>
            <w:r w:rsidRPr="00026B22">
              <w:rPr>
                <w:lang w:val="fr-FR"/>
              </w:rPr>
              <w:t>142</w:t>
            </w:r>
            <w:r>
              <w:rPr>
                <w:lang w:val="fr-FR"/>
              </w:rPr>
              <w:t> </w:t>
            </w:r>
            <w:r w:rsidRPr="00026B22">
              <w:rPr>
                <w:lang w:val="fr-FR"/>
              </w:rPr>
              <w:t>000</w:t>
            </w:r>
          </w:p>
        </w:tc>
      </w:tr>
      <w:tr w:rsidR="00FC4B6D" w:rsidRPr="00026B22" w14:paraId="6C0E7B44" w14:textId="77777777" w:rsidTr="000220FE">
        <w:tc>
          <w:tcPr>
            <w:tcW w:w="5697" w:type="dxa"/>
            <w:shd w:val="clear" w:color="auto" w:fill="auto"/>
          </w:tcPr>
          <w:p w14:paraId="01A289CD" w14:textId="77777777" w:rsidR="00FC4B6D" w:rsidRPr="00026B22" w:rsidRDefault="00FC4B6D" w:rsidP="00E146C5">
            <w:pPr>
              <w:spacing w:before="40" w:after="120"/>
              <w:ind w:right="113"/>
              <w:rPr>
                <w:lang w:val="fr-FR"/>
              </w:rPr>
            </w:pPr>
            <w:r w:rsidRPr="00026B22">
              <w:rPr>
                <w:lang w:val="fr-FR"/>
              </w:rPr>
              <w:t>VII.</w:t>
            </w:r>
            <w:r w:rsidRPr="00026B22">
              <w:rPr>
                <w:lang w:val="fr-FR"/>
              </w:rPr>
              <w:tab/>
              <w:t>Mécanisme d’établissement de rapports</w:t>
            </w:r>
          </w:p>
        </w:tc>
        <w:tc>
          <w:tcPr>
            <w:tcW w:w="1673" w:type="dxa"/>
            <w:shd w:val="clear" w:color="auto" w:fill="auto"/>
          </w:tcPr>
          <w:p w14:paraId="538D3A9D" w14:textId="77777777" w:rsidR="00FC4B6D" w:rsidRPr="00026B22" w:rsidRDefault="00FC4B6D" w:rsidP="00A06579">
            <w:pPr>
              <w:spacing w:before="40" w:after="120"/>
              <w:ind w:right="113"/>
              <w:jc w:val="right"/>
              <w:rPr>
                <w:lang w:val="fr-FR"/>
              </w:rPr>
            </w:pPr>
            <w:r w:rsidRPr="00026B22">
              <w:rPr>
                <w:lang w:val="fr-FR"/>
              </w:rPr>
              <w:t>−</w:t>
            </w:r>
          </w:p>
        </w:tc>
      </w:tr>
      <w:tr w:rsidR="00FC4B6D" w:rsidRPr="00026B22" w14:paraId="444FB9D4" w14:textId="77777777" w:rsidTr="000220FE">
        <w:tc>
          <w:tcPr>
            <w:tcW w:w="5697" w:type="dxa"/>
            <w:shd w:val="clear" w:color="auto" w:fill="auto"/>
          </w:tcPr>
          <w:p w14:paraId="029BCA08" w14:textId="77777777" w:rsidR="00FC4B6D" w:rsidRPr="00026B22" w:rsidRDefault="00FC4B6D" w:rsidP="00E146C5">
            <w:pPr>
              <w:spacing w:before="40" w:after="120"/>
              <w:ind w:right="113"/>
              <w:rPr>
                <w:lang w:val="fr-FR"/>
              </w:rPr>
            </w:pPr>
            <w:r w:rsidRPr="00026B22">
              <w:rPr>
                <w:lang w:val="fr-FR"/>
              </w:rPr>
              <w:t>VIII.</w:t>
            </w:r>
            <w:r w:rsidRPr="00026B22">
              <w:rPr>
                <w:lang w:val="fr-FR"/>
              </w:rPr>
              <w:tab/>
              <w:t>Sensibilisation et promotion de la Convention</w:t>
            </w:r>
          </w:p>
        </w:tc>
        <w:tc>
          <w:tcPr>
            <w:tcW w:w="1673" w:type="dxa"/>
            <w:shd w:val="clear" w:color="auto" w:fill="auto"/>
          </w:tcPr>
          <w:p w14:paraId="2DA23ECB" w14:textId="77777777" w:rsidR="00FC4B6D" w:rsidRPr="00026B22" w:rsidRDefault="00FC4B6D" w:rsidP="00A06579">
            <w:pPr>
              <w:spacing w:before="40" w:after="120"/>
              <w:ind w:right="113"/>
              <w:jc w:val="right"/>
              <w:rPr>
                <w:lang w:val="fr-FR"/>
              </w:rPr>
            </w:pPr>
            <w:r w:rsidRPr="00026B22">
              <w:rPr>
                <w:lang w:val="fr-FR"/>
              </w:rPr>
              <w:t>72</w:t>
            </w:r>
            <w:r>
              <w:rPr>
                <w:lang w:val="fr-FR"/>
              </w:rPr>
              <w:t> </w:t>
            </w:r>
            <w:r w:rsidRPr="00026B22">
              <w:rPr>
                <w:lang w:val="fr-FR"/>
              </w:rPr>
              <w:t>000</w:t>
            </w:r>
          </w:p>
        </w:tc>
      </w:tr>
      <w:tr w:rsidR="00FC4B6D" w:rsidRPr="00026B22" w14:paraId="083621E9" w14:textId="77777777" w:rsidTr="000220FE">
        <w:tc>
          <w:tcPr>
            <w:tcW w:w="5697" w:type="dxa"/>
            <w:shd w:val="clear" w:color="auto" w:fill="auto"/>
          </w:tcPr>
          <w:p w14:paraId="4198E0D1" w14:textId="52B096B3" w:rsidR="00FC4B6D" w:rsidRPr="00026B22" w:rsidRDefault="00FC4B6D" w:rsidP="00A06579">
            <w:pPr>
              <w:spacing w:before="40" w:after="120"/>
              <w:ind w:left="567" w:right="113" w:hanging="567"/>
              <w:rPr>
                <w:lang w:val="fr-FR"/>
              </w:rPr>
            </w:pPr>
            <w:r w:rsidRPr="00026B22">
              <w:rPr>
                <w:lang w:val="fr-FR"/>
              </w:rPr>
              <w:t>IX.</w:t>
            </w:r>
            <w:r w:rsidRPr="00026B22">
              <w:rPr>
                <w:lang w:val="fr-FR"/>
              </w:rPr>
              <w:tab/>
              <w:t>Promotion des Lignes directrices d’Almaty et d’autres formes d’interaction avec les organismes et processus internationaux concernés</w:t>
            </w:r>
          </w:p>
        </w:tc>
        <w:tc>
          <w:tcPr>
            <w:tcW w:w="1673" w:type="dxa"/>
            <w:shd w:val="clear" w:color="auto" w:fill="auto"/>
          </w:tcPr>
          <w:p w14:paraId="20F593DC" w14:textId="77777777" w:rsidR="00FC4B6D" w:rsidRPr="00026B22" w:rsidRDefault="00FC4B6D" w:rsidP="00A06579">
            <w:pPr>
              <w:spacing w:before="40" w:after="120"/>
              <w:ind w:right="113"/>
              <w:jc w:val="right"/>
              <w:rPr>
                <w:lang w:val="fr-FR"/>
              </w:rPr>
            </w:pPr>
            <w:r w:rsidRPr="00026B22">
              <w:rPr>
                <w:lang w:val="fr-FR"/>
              </w:rPr>
              <w:t>62</w:t>
            </w:r>
            <w:r>
              <w:rPr>
                <w:lang w:val="fr-FR"/>
              </w:rPr>
              <w:t> </w:t>
            </w:r>
            <w:r w:rsidRPr="00026B22">
              <w:rPr>
                <w:lang w:val="fr-FR"/>
              </w:rPr>
              <w:t>100</w:t>
            </w:r>
          </w:p>
        </w:tc>
      </w:tr>
      <w:tr w:rsidR="00FC4B6D" w:rsidRPr="00026B22" w14:paraId="5A622190" w14:textId="77777777" w:rsidTr="000220FE">
        <w:tc>
          <w:tcPr>
            <w:tcW w:w="5697" w:type="dxa"/>
            <w:shd w:val="clear" w:color="auto" w:fill="auto"/>
          </w:tcPr>
          <w:p w14:paraId="1FBFA9F5" w14:textId="5B923535" w:rsidR="00FC4B6D" w:rsidRPr="00026B22" w:rsidRDefault="00FC4B6D" w:rsidP="00A06579">
            <w:pPr>
              <w:spacing w:before="40" w:after="120"/>
              <w:ind w:left="567" w:right="113" w:hanging="567"/>
              <w:rPr>
                <w:lang w:val="fr-FR"/>
              </w:rPr>
            </w:pPr>
            <w:r w:rsidRPr="00026B22">
              <w:rPr>
                <w:lang w:val="fr-FR"/>
              </w:rPr>
              <w:t>X.</w:t>
            </w:r>
            <w:r w:rsidRPr="00026B22">
              <w:rPr>
                <w:lang w:val="fr-FR"/>
              </w:rPr>
              <w:tab/>
              <w:t xml:space="preserve">Coordination et supervision des activités intersessions, y compris les préparatifs de la huitième session ordinaire </w:t>
            </w:r>
            <w:r w:rsidR="00A06579">
              <w:rPr>
                <w:lang w:val="fr-FR"/>
              </w:rPr>
              <w:br/>
            </w:r>
            <w:r w:rsidRPr="00026B22">
              <w:rPr>
                <w:lang w:val="fr-FR"/>
              </w:rPr>
              <w:t>de la Réunion des Parties</w:t>
            </w:r>
          </w:p>
        </w:tc>
        <w:tc>
          <w:tcPr>
            <w:tcW w:w="1673" w:type="dxa"/>
            <w:shd w:val="clear" w:color="auto" w:fill="auto"/>
          </w:tcPr>
          <w:p w14:paraId="16E7EC54" w14:textId="77777777" w:rsidR="00FC4B6D" w:rsidRPr="00026B22" w:rsidRDefault="00FC4B6D" w:rsidP="00A06579">
            <w:pPr>
              <w:spacing w:before="40" w:after="120"/>
              <w:ind w:right="113"/>
              <w:jc w:val="right"/>
              <w:rPr>
                <w:lang w:val="fr-FR"/>
              </w:rPr>
            </w:pPr>
            <w:r w:rsidRPr="00026B22">
              <w:rPr>
                <w:lang w:val="fr-FR"/>
              </w:rPr>
              <w:t>−</w:t>
            </w:r>
          </w:p>
        </w:tc>
      </w:tr>
      <w:tr w:rsidR="00FC4B6D" w:rsidRPr="00026B22" w14:paraId="44D3142E" w14:textId="77777777" w:rsidTr="000220FE">
        <w:tc>
          <w:tcPr>
            <w:tcW w:w="5697" w:type="dxa"/>
            <w:shd w:val="clear" w:color="auto" w:fill="auto"/>
          </w:tcPr>
          <w:p w14:paraId="01AE835C" w14:textId="77777777" w:rsidR="00FC4B6D" w:rsidRPr="00026B22" w:rsidRDefault="00FC4B6D" w:rsidP="00E146C5">
            <w:pPr>
              <w:spacing w:before="40" w:after="120"/>
              <w:ind w:right="113"/>
              <w:rPr>
                <w:lang w:val="fr-FR"/>
              </w:rPr>
            </w:pPr>
            <w:r w:rsidRPr="00026B22">
              <w:rPr>
                <w:lang w:val="fr-FR"/>
              </w:rPr>
              <w:t>XI.</w:t>
            </w:r>
            <w:r w:rsidRPr="00026B22">
              <w:rPr>
                <w:lang w:val="fr-FR"/>
              </w:rPr>
              <w:tab/>
              <w:t>Huitième session ordinaire de la Réunion des Parties</w:t>
            </w:r>
          </w:p>
        </w:tc>
        <w:tc>
          <w:tcPr>
            <w:tcW w:w="1673" w:type="dxa"/>
            <w:shd w:val="clear" w:color="auto" w:fill="auto"/>
          </w:tcPr>
          <w:p w14:paraId="1EF1FF12" w14:textId="77777777" w:rsidR="00FC4B6D" w:rsidRPr="00026B22" w:rsidRDefault="00FC4B6D" w:rsidP="00A06579">
            <w:pPr>
              <w:spacing w:before="40" w:after="120"/>
              <w:ind w:right="113"/>
              <w:jc w:val="right"/>
              <w:rPr>
                <w:lang w:val="fr-FR"/>
              </w:rPr>
            </w:pPr>
            <w:r w:rsidRPr="00026B22">
              <w:rPr>
                <w:lang w:val="fr-FR"/>
              </w:rPr>
              <w:t>−</w:t>
            </w:r>
          </w:p>
        </w:tc>
      </w:tr>
      <w:tr w:rsidR="00FC4B6D" w:rsidRPr="00026B22" w14:paraId="557F3366" w14:textId="77777777" w:rsidTr="000220FE">
        <w:tc>
          <w:tcPr>
            <w:tcW w:w="5697" w:type="dxa"/>
            <w:tcBorders>
              <w:bottom w:val="single" w:sz="4" w:space="0" w:color="auto"/>
            </w:tcBorders>
            <w:shd w:val="clear" w:color="auto" w:fill="auto"/>
          </w:tcPr>
          <w:p w14:paraId="70BA13DB" w14:textId="77777777" w:rsidR="00FC4B6D" w:rsidRPr="00026B22" w:rsidRDefault="00FC4B6D" w:rsidP="00E146C5">
            <w:pPr>
              <w:spacing w:before="40" w:after="120"/>
              <w:ind w:right="113"/>
              <w:rPr>
                <w:lang w:val="fr-FR"/>
              </w:rPr>
            </w:pPr>
            <w:r w:rsidRPr="00026B22">
              <w:rPr>
                <w:lang w:val="fr-FR"/>
              </w:rPr>
              <w:t>XII.</w:t>
            </w:r>
            <w:r w:rsidRPr="00026B22">
              <w:rPr>
                <w:lang w:val="fr-FR"/>
              </w:rPr>
              <w:tab/>
              <w:t>Soutien horizontal</w:t>
            </w:r>
          </w:p>
        </w:tc>
        <w:tc>
          <w:tcPr>
            <w:tcW w:w="1673" w:type="dxa"/>
            <w:tcBorders>
              <w:bottom w:val="single" w:sz="4" w:space="0" w:color="auto"/>
            </w:tcBorders>
            <w:shd w:val="clear" w:color="auto" w:fill="auto"/>
          </w:tcPr>
          <w:p w14:paraId="2D98AF06" w14:textId="77777777" w:rsidR="00FC4B6D" w:rsidRPr="00026B22" w:rsidRDefault="00FC4B6D" w:rsidP="00A06579">
            <w:pPr>
              <w:spacing w:before="40" w:after="120"/>
              <w:ind w:right="113"/>
              <w:jc w:val="right"/>
              <w:rPr>
                <w:lang w:val="fr-FR"/>
              </w:rPr>
            </w:pPr>
            <w:r w:rsidRPr="00026B22">
              <w:rPr>
                <w:lang w:val="fr-FR"/>
              </w:rPr>
              <w:t>30</w:t>
            </w:r>
            <w:r>
              <w:rPr>
                <w:lang w:val="fr-FR"/>
              </w:rPr>
              <w:t> </w:t>
            </w:r>
            <w:r w:rsidRPr="00026B22">
              <w:rPr>
                <w:lang w:val="fr-FR"/>
              </w:rPr>
              <w:t>800</w:t>
            </w:r>
          </w:p>
        </w:tc>
      </w:tr>
      <w:tr w:rsidR="00FC4B6D" w:rsidRPr="007C3936" w14:paraId="33D88D22" w14:textId="77777777" w:rsidTr="000220FE">
        <w:tc>
          <w:tcPr>
            <w:tcW w:w="5697" w:type="dxa"/>
            <w:tcBorders>
              <w:top w:val="single" w:sz="4" w:space="0" w:color="auto"/>
              <w:bottom w:val="single" w:sz="12" w:space="0" w:color="auto"/>
            </w:tcBorders>
            <w:shd w:val="clear" w:color="auto" w:fill="auto"/>
          </w:tcPr>
          <w:p w14:paraId="0BE3AF11" w14:textId="77777777" w:rsidR="00FC4B6D" w:rsidRPr="007C3936" w:rsidRDefault="00FC4B6D" w:rsidP="00E146C5">
            <w:pPr>
              <w:spacing w:before="80" w:after="80"/>
              <w:ind w:left="283"/>
              <w:rPr>
                <w:b/>
                <w:lang w:val="fr-FR"/>
              </w:rPr>
            </w:pPr>
            <w:r w:rsidRPr="007C3936">
              <w:rPr>
                <w:b/>
                <w:bCs/>
                <w:lang w:val="fr-FR"/>
              </w:rPr>
              <w:t xml:space="preserve">Total </w:t>
            </w:r>
            <w:r w:rsidRPr="007C3936">
              <w:rPr>
                <w:b/>
                <w:lang w:val="fr-FR"/>
              </w:rPr>
              <w:t>(y compris 13 % de dépenses d’appui au programme)</w:t>
            </w:r>
          </w:p>
        </w:tc>
        <w:tc>
          <w:tcPr>
            <w:tcW w:w="1673" w:type="dxa"/>
            <w:tcBorders>
              <w:top w:val="single" w:sz="4" w:space="0" w:color="auto"/>
              <w:bottom w:val="single" w:sz="12" w:space="0" w:color="auto"/>
            </w:tcBorders>
            <w:shd w:val="clear" w:color="auto" w:fill="auto"/>
          </w:tcPr>
          <w:p w14:paraId="38BFDEF1" w14:textId="77777777" w:rsidR="00FC4B6D" w:rsidRPr="007C3936" w:rsidRDefault="00FC4B6D" w:rsidP="00A06579">
            <w:pPr>
              <w:spacing w:before="80" w:after="80"/>
              <w:jc w:val="right"/>
              <w:rPr>
                <w:b/>
                <w:lang w:val="fr-FR"/>
              </w:rPr>
            </w:pPr>
            <w:r w:rsidRPr="007C3936">
              <w:rPr>
                <w:b/>
                <w:bCs/>
                <w:lang w:val="fr-FR"/>
              </w:rPr>
              <w:t>620 257</w:t>
            </w:r>
          </w:p>
        </w:tc>
      </w:tr>
    </w:tbl>
    <w:p w14:paraId="15AB1311" w14:textId="77777777" w:rsidR="00FC4B6D" w:rsidRPr="00E3055D" w:rsidRDefault="00FC4B6D" w:rsidP="00FC4B6D">
      <w:pPr>
        <w:pStyle w:val="SingleTxtG"/>
        <w:spacing w:before="240"/>
        <w:rPr>
          <w:lang w:val="fr-FR"/>
        </w:rPr>
      </w:pPr>
      <w:r w:rsidRPr="00E3055D">
        <w:rPr>
          <w:lang w:val="fr-FR"/>
        </w:rPr>
        <w:t>15.</w:t>
      </w:r>
      <w:r w:rsidRPr="00E3055D">
        <w:rPr>
          <w:lang w:val="fr-FR"/>
        </w:rPr>
        <w:tab/>
        <w:t>Pour les autres domaines d</w:t>
      </w:r>
      <w:r>
        <w:rPr>
          <w:lang w:val="fr-FR"/>
        </w:rPr>
        <w:t>’</w:t>
      </w:r>
      <w:r w:rsidRPr="00E3055D">
        <w:rPr>
          <w:lang w:val="fr-FR"/>
        </w:rPr>
        <w:t>activité, la répartition des coûts reste approximativement la même que dans le programme de travail actuel. Pour certains domaines, le temps de travail du personnel a été redistribué compte tenu des besoins actuels, ce qui a entraîné une légère baisse des coûts afférents à ces domaines. Les coûts indiqués aux annexes I et II ci</w:t>
      </w:r>
      <w:r w:rsidRPr="00E3055D">
        <w:rPr>
          <w:lang w:val="fr-FR"/>
        </w:rPr>
        <w:noBreakHyphen/>
        <w:t>après ont été calculés en conséquence. Étant donné que l</w:t>
      </w:r>
      <w:r>
        <w:rPr>
          <w:lang w:val="fr-FR"/>
        </w:rPr>
        <w:t>’</w:t>
      </w:r>
      <w:r w:rsidRPr="00E3055D">
        <w:rPr>
          <w:lang w:val="fr-FR"/>
        </w:rPr>
        <w:t>Italie a proposé de financer un poste d</w:t>
      </w:r>
      <w:r>
        <w:rPr>
          <w:lang w:val="fr-FR"/>
        </w:rPr>
        <w:t>’</w:t>
      </w:r>
      <w:r w:rsidRPr="00E3055D">
        <w:rPr>
          <w:lang w:val="fr-FR"/>
        </w:rPr>
        <w:t>administrateur auxiliaire à partir d</w:t>
      </w:r>
      <w:r>
        <w:rPr>
          <w:lang w:val="fr-FR"/>
        </w:rPr>
        <w:t>’</w:t>
      </w:r>
      <w:r w:rsidRPr="00E3055D">
        <w:rPr>
          <w:lang w:val="fr-FR"/>
        </w:rPr>
        <w:t>octobre 2020, le montant total pourrait être réduit de 120 000 dollars (soit le salaire annuel d</w:t>
      </w:r>
      <w:r>
        <w:rPr>
          <w:lang w:val="fr-FR"/>
        </w:rPr>
        <w:t>’</w:t>
      </w:r>
      <w:r w:rsidRPr="00E3055D">
        <w:rPr>
          <w:lang w:val="fr-FR"/>
        </w:rPr>
        <w:t>un fonctionnaire de classe P</w:t>
      </w:r>
      <w:r w:rsidRPr="00E3055D">
        <w:rPr>
          <w:lang w:val="fr-FR"/>
        </w:rPr>
        <w:noBreakHyphen/>
        <w:t>2 pour l</w:t>
      </w:r>
      <w:r>
        <w:rPr>
          <w:lang w:val="fr-FR"/>
        </w:rPr>
        <w:t>’</w:t>
      </w:r>
      <w:r w:rsidRPr="00E3055D">
        <w:rPr>
          <w:lang w:val="fr-FR"/>
        </w:rPr>
        <w:t>année 2022, les salaires des administrateurs auxiliaires étant généralement pris en charge par les États membres pendant deux ans). En outre, s</w:t>
      </w:r>
      <w:r>
        <w:rPr>
          <w:lang w:val="fr-FR"/>
        </w:rPr>
        <w:t>’</w:t>
      </w:r>
      <w:r w:rsidRPr="00E3055D">
        <w:rPr>
          <w:lang w:val="fr-FR"/>
        </w:rPr>
        <w:t>il n</w:t>
      </w:r>
      <w:r>
        <w:rPr>
          <w:lang w:val="fr-FR"/>
        </w:rPr>
        <w:t>’</w:t>
      </w:r>
      <w:r w:rsidRPr="00E3055D">
        <w:rPr>
          <w:lang w:val="fr-FR"/>
        </w:rPr>
        <w:t>est pas créé de nouveau mécanisme visant à traiter les cas relevant du paragraphe 8 de l</w:t>
      </w:r>
      <w:r>
        <w:rPr>
          <w:lang w:val="fr-FR"/>
        </w:rPr>
        <w:t>’</w:t>
      </w:r>
      <w:r w:rsidRPr="00E3055D">
        <w:rPr>
          <w:lang w:val="fr-FR"/>
        </w:rPr>
        <w:t>article 3 de la Convention, les frais relatifs aux services de consultants et les frais de voyage pour le domaine d</w:t>
      </w:r>
      <w:r>
        <w:rPr>
          <w:lang w:val="fr-FR"/>
        </w:rPr>
        <w:t>’</w:t>
      </w:r>
      <w:r w:rsidRPr="00E3055D">
        <w:rPr>
          <w:lang w:val="fr-FR"/>
        </w:rPr>
        <w:t>activité relatif au mécanisme d</w:t>
      </w:r>
      <w:r>
        <w:rPr>
          <w:lang w:val="fr-FR"/>
        </w:rPr>
        <w:t>’</w:t>
      </w:r>
      <w:r w:rsidRPr="00E3055D">
        <w:rPr>
          <w:lang w:val="fr-FR"/>
        </w:rPr>
        <w:t>examen du respect des dispositions peuvent être réduits de 29 000 dollars. Les effectifs demandés au titre de ce domaine d</w:t>
      </w:r>
      <w:r>
        <w:rPr>
          <w:lang w:val="fr-FR"/>
        </w:rPr>
        <w:t>’</w:t>
      </w:r>
      <w:r w:rsidRPr="00E3055D">
        <w:rPr>
          <w:lang w:val="fr-FR"/>
        </w:rPr>
        <w:t>activité resteront toutefois inchangés, car ils seront nécessaires pour faire face à l</w:t>
      </w:r>
      <w:r>
        <w:rPr>
          <w:lang w:val="fr-FR"/>
        </w:rPr>
        <w:t>’</w:t>
      </w:r>
      <w:r w:rsidRPr="00E3055D">
        <w:rPr>
          <w:lang w:val="fr-FR"/>
        </w:rPr>
        <w:t xml:space="preserve">accroissement de la charge de travail. </w:t>
      </w:r>
      <w:r w:rsidRPr="005778D9">
        <w:rPr>
          <w:lang w:val="fr-FR"/>
        </w:rPr>
        <w:t xml:space="preserve">Le montant des coûts sera révisé en </w:t>
      </w:r>
      <w:r w:rsidRPr="00E3055D">
        <w:rPr>
          <w:lang w:val="fr-FR"/>
        </w:rPr>
        <w:t>fonction de</w:t>
      </w:r>
      <w:r w:rsidRPr="005778D9">
        <w:rPr>
          <w:lang w:val="fr-FR"/>
        </w:rPr>
        <w:t xml:space="preserve"> la décis</w:t>
      </w:r>
      <w:r w:rsidRPr="00E3055D">
        <w:rPr>
          <w:lang w:val="fr-FR"/>
        </w:rPr>
        <w:t>ion que les Parties prendront au sujet des nouveaux éléments proposés.</w:t>
      </w:r>
    </w:p>
    <w:p w14:paraId="5F07321D" w14:textId="2420E2CD" w:rsidR="00FC4B6D" w:rsidRPr="00E3055D" w:rsidRDefault="00FC4B6D" w:rsidP="00FC4B6D">
      <w:pPr>
        <w:pStyle w:val="SingleTxtG"/>
        <w:rPr>
          <w:lang w:val="fr-FR"/>
        </w:rPr>
      </w:pPr>
      <w:r w:rsidRPr="00E3055D">
        <w:rPr>
          <w:lang w:val="fr-FR"/>
        </w:rPr>
        <w:t>16.</w:t>
      </w:r>
      <w:r w:rsidRPr="00E3055D">
        <w:rPr>
          <w:lang w:val="fr-FR"/>
        </w:rPr>
        <w:tab/>
        <w:t>Les Parties souhaiteront peut-être réfléchir à différents moyens de dégager les fonds nécessaires pour couvrir l</w:t>
      </w:r>
      <w:r>
        <w:rPr>
          <w:lang w:val="fr-FR"/>
        </w:rPr>
        <w:t>’</w:t>
      </w:r>
      <w:r w:rsidRPr="00E3055D">
        <w:rPr>
          <w:lang w:val="fr-FR"/>
        </w:rPr>
        <w:t>augmentation des coûts. Elles pourraient accroître le montant de la contribution ordinaire qu</w:t>
      </w:r>
      <w:r>
        <w:rPr>
          <w:lang w:val="fr-FR"/>
        </w:rPr>
        <w:t>’</w:t>
      </w:r>
      <w:r w:rsidRPr="00E3055D">
        <w:rPr>
          <w:lang w:val="fr-FR"/>
        </w:rPr>
        <w:t>elles versent au titre de la Convention. Elles pourraient aussi verser de nouvelles contributions pluriannuelles préaffectées (au minimum sur deux ans, compte tenu du temps nécessaire au recrutement du personnel), idéalement sur toute la période couverte par le programme de travail, en particulier pour les domaines relatifs au renforcement des capacités, à la sensibilisation, à la promotion de la Convention et à la promotion des Lignes directrices d</w:t>
      </w:r>
      <w:r>
        <w:rPr>
          <w:lang w:val="fr-FR"/>
        </w:rPr>
        <w:t>’</w:t>
      </w:r>
      <w:r w:rsidRPr="00E3055D">
        <w:rPr>
          <w:lang w:val="fr-FR"/>
        </w:rPr>
        <w:t>Almaty. À cet égard, les questions relatives aux droits de l</w:t>
      </w:r>
      <w:r>
        <w:rPr>
          <w:lang w:val="fr-FR"/>
        </w:rPr>
        <w:t>’</w:t>
      </w:r>
      <w:r w:rsidRPr="00E3055D">
        <w:rPr>
          <w:lang w:val="fr-FR"/>
        </w:rPr>
        <w:t>homme feront partie des sujets essentiels, liés aux activités de promotion des droits de l</w:t>
      </w:r>
      <w:r>
        <w:rPr>
          <w:lang w:val="fr-FR"/>
        </w:rPr>
        <w:t>’</w:t>
      </w:r>
      <w:r w:rsidRPr="00E3055D">
        <w:rPr>
          <w:lang w:val="fr-FR"/>
        </w:rPr>
        <w:t>homme et de l</w:t>
      </w:r>
      <w:r>
        <w:rPr>
          <w:lang w:val="fr-FR"/>
        </w:rPr>
        <w:t>’</w:t>
      </w:r>
      <w:r w:rsidRPr="00E3055D">
        <w:rPr>
          <w:lang w:val="fr-FR"/>
        </w:rPr>
        <w:t>environnement. Étant donné que les activités cibleraient également des pays non membres de la CEE (en particulier dans la région de la Méditerranée, en Afrique et en Asie), des fonds supplémentaires pourraient être alloués non seulement par les ministères de l</w:t>
      </w:r>
      <w:r>
        <w:rPr>
          <w:lang w:val="fr-FR"/>
        </w:rPr>
        <w:t>’</w:t>
      </w:r>
      <w:r w:rsidRPr="00E3055D">
        <w:rPr>
          <w:lang w:val="fr-FR"/>
        </w:rPr>
        <w:t>environnement, mais aussi par les ministères et autres organismes chargés des affaires étrangères et des questions de développement. Les Parties pourraient aussi recenser les domaines d</w:t>
      </w:r>
      <w:r>
        <w:rPr>
          <w:lang w:val="fr-FR"/>
        </w:rPr>
        <w:t>’</w:t>
      </w:r>
      <w:r w:rsidRPr="00E3055D">
        <w:rPr>
          <w:lang w:val="fr-FR"/>
        </w:rPr>
        <w:t>activité qui correspondent à leurs priorités et jouer dans ces domaines un rôle de chef de file (individuellement ou collectivement). Les domaines au titre desquels des ressources supplémentaires sont demandées pourraient éventuellement être regroupés en deux catégories : « droits de l</w:t>
      </w:r>
      <w:r>
        <w:rPr>
          <w:lang w:val="fr-FR"/>
        </w:rPr>
        <w:t>’</w:t>
      </w:r>
      <w:r w:rsidRPr="00E3055D">
        <w:rPr>
          <w:lang w:val="fr-FR"/>
        </w:rPr>
        <w:t>homme et environnement » (domaines</w:t>
      </w:r>
      <w:r>
        <w:rPr>
          <w:lang w:val="fr-FR"/>
        </w:rPr>
        <w:t> </w:t>
      </w:r>
      <w:r w:rsidRPr="00E3055D">
        <w:rPr>
          <w:lang w:val="fr-FR"/>
        </w:rPr>
        <w:t>V et VI) et « diffusion d</w:t>
      </w:r>
      <w:r>
        <w:rPr>
          <w:lang w:val="fr-FR"/>
        </w:rPr>
        <w:t>’</w:t>
      </w:r>
      <w:r w:rsidRPr="00E3055D">
        <w:rPr>
          <w:lang w:val="fr-FR"/>
        </w:rPr>
        <w:t>informations au niveau mondial et promotion de la démocratie dans la prise de décision</w:t>
      </w:r>
      <w:r w:rsidR="00EB34E6">
        <w:rPr>
          <w:lang w:val="fr-FR"/>
        </w:rPr>
        <w:t>s</w:t>
      </w:r>
      <w:r w:rsidRPr="00E3055D">
        <w:rPr>
          <w:lang w:val="fr-FR"/>
        </w:rPr>
        <w:t xml:space="preserve"> internationale en matière d</w:t>
      </w:r>
      <w:r>
        <w:rPr>
          <w:lang w:val="fr-FR"/>
        </w:rPr>
        <w:t>’</w:t>
      </w:r>
      <w:r w:rsidRPr="00E3055D">
        <w:rPr>
          <w:lang w:val="fr-FR"/>
        </w:rPr>
        <w:t>environnement » (domaines VIII et IX).</w:t>
      </w:r>
    </w:p>
    <w:p w14:paraId="321A728E" w14:textId="77777777" w:rsidR="00FC4B6D" w:rsidRPr="00E3055D" w:rsidRDefault="00FC4B6D" w:rsidP="00FC4B6D">
      <w:pPr>
        <w:pStyle w:val="SingleTxtG"/>
        <w:rPr>
          <w:lang w:val="fr-FR"/>
        </w:rPr>
      </w:pPr>
      <w:r w:rsidRPr="00E3055D">
        <w:rPr>
          <w:lang w:val="fr-FR"/>
        </w:rPr>
        <w:t>17.</w:t>
      </w:r>
      <w:r w:rsidRPr="00E3055D">
        <w:rPr>
          <w:lang w:val="fr-FR"/>
        </w:rPr>
        <w:tab/>
        <w:t>Les ajouts apportés au texte de l</w:t>
      </w:r>
      <w:r>
        <w:rPr>
          <w:lang w:val="fr-FR"/>
        </w:rPr>
        <w:t>’</w:t>
      </w:r>
      <w:r w:rsidRPr="00E3055D">
        <w:rPr>
          <w:lang w:val="fr-FR"/>
        </w:rPr>
        <w:t>annexe I ci-après par rapport au texte de l</w:t>
      </w:r>
      <w:r>
        <w:rPr>
          <w:lang w:val="fr-FR"/>
        </w:rPr>
        <w:t>’</w:t>
      </w:r>
      <w:r w:rsidRPr="00E3055D">
        <w:rPr>
          <w:lang w:val="fr-FR"/>
        </w:rPr>
        <w:t>annexe I du programme de travail actuel figurent en suivi des modifications dans un document d</w:t>
      </w:r>
      <w:r>
        <w:rPr>
          <w:lang w:val="fr-FR"/>
        </w:rPr>
        <w:t>’</w:t>
      </w:r>
      <w:r w:rsidRPr="00E3055D">
        <w:rPr>
          <w:lang w:val="fr-FR"/>
        </w:rPr>
        <w:t>accompagnement (AC/WGP-24/Inf.11).</w:t>
      </w:r>
    </w:p>
    <w:p w14:paraId="3BA97A44" w14:textId="77777777" w:rsidR="00FC4B6D" w:rsidRPr="00E3055D" w:rsidRDefault="00FC4B6D" w:rsidP="00FC4B6D">
      <w:pPr>
        <w:pStyle w:val="SingleTxtG"/>
        <w:rPr>
          <w:lang w:val="fr-FR"/>
        </w:rPr>
      </w:pPr>
      <w:r w:rsidRPr="00E3055D">
        <w:rPr>
          <w:lang w:val="fr-FR"/>
        </w:rPr>
        <w:t>18.</w:t>
      </w:r>
      <w:r w:rsidRPr="00E3055D">
        <w:rPr>
          <w:lang w:val="fr-FR"/>
        </w:rPr>
        <w:tab/>
        <w:t>Les coûts sont répartis entre « coûts opérationnels » et « autres coûts » pour chaque domaine d</w:t>
      </w:r>
      <w:r>
        <w:rPr>
          <w:lang w:val="fr-FR"/>
        </w:rPr>
        <w:t>’</w:t>
      </w:r>
      <w:r w:rsidRPr="00E3055D">
        <w:rPr>
          <w:lang w:val="fr-FR"/>
        </w:rPr>
        <w:t>activité. Les coûts opérationnels, par opposition aux autres coûts, correspondent aux ressources minimales à prévoir pour que les tâches prescrites dans les différents domaines d</w:t>
      </w:r>
      <w:r>
        <w:rPr>
          <w:lang w:val="fr-FR"/>
        </w:rPr>
        <w:t>’</w:t>
      </w:r>
      <w:r w:rsidRPr="00E3055D">
        <w:rPr>
          <w:lang w:val="fr-FR"/>
        </w:rPr>
        <w:t>activité soient effectivement accomplies d</w:t>
      </w:r>
      <w:r>
        <w:rPr>
          <w:lang w:val="fr-FR"/>
        </w:rPr>
        <w:t>’</w:t>
      </w:r>
      <w:r w:rsidRPr="00E3055D">
        <w:rPr>
          <w:lang w:val="fr-FR"/>
        </w:rPr>
        <w:t>une manière équilibrée. La même approche a été suivie dans le programme de travail actuel de la Convention et dans celui du Protocole sur les registres des rejets et transferts de polluants.</w:t>
      </w:r>
    </w:p>
    <w:p w14:paraId="6FC463E2" w14:textId="77777777" w:rsidR="00FC4B6D" w:rsidRPr="005778D9" w:rsidRDefault="00FC4B6D" w:rsidP="00FC4B6D">
      <w:pPr>
        <w:pStyle w:val="HChG"/>
        <w:rPr>
          <w:lang w:val="fr-FR"/>
        </w:rPr>
      </w:pPr>
      <w:r w:rsidRPr="005778D9">
        <w:rPr>
          <w:lang w:val="fr-FR"/>
        </w:rPr>
        <w:tab/>
      </w:r>
      <w:r w:rsidRPr="005778D9">
        <w:rPr>
          <w:lang w:val="fr-FR"/>
        </w:rPr>
        <w:tab/>
        <w:t>Projet de décision</w:t>
      </w:r>
      <w:r>
        <w:rPr>
          <w:lang w:val="fr-FR"/>
        </w:rPr>
        <w:t> </w:t>
      </w:r>
      <w:r w:rsidRPr="005778D9">
        <w:rPr>
          <w:lang w:val="fr-FR"/>
        </w:rPr>
        <w:t xml:space="preserve">VII/xx sur le </w:t>
      </w:r>
      <w:r w:rsidRPr="00E3055D">
        <w:rPr>
          <w:lang w:val="fr-FR"/>
        </w:rPr>
        <w:t xml:space="preserve">programme de travail </w:t>
      </w:r>
      <w:r>
        <w:rPr>
          <w:lang w:val="fr-FR"/>
        </w:rPr>
        <w:br/>
      </w:r>
      <w:r w:rsidRPr="00E3055D">
        <w:rPr>
          <w:lang w:val="fr-FR"/>
        </w:rPr>
        <w:t xml:space="preserve">pour la période </w:t>
      </w:r>
      <w:r w:rsidRPr="005778D9">
        <w:rPr>
          <w:lang w:val="fr-FR"/>
        </w:rPr>
        <w:t>2022–2025</w:t>
      </w:r>
      <w:r w:rsidRPr="007C3936">
        <w:rPr>
          <w:rStyle w:val="Appelnotedebasdep"/>
          <w:b w:val="0"/>
          <w:bCs/>
        </w:rPr>
        <w:footnoteReference w:id="16"/>
      </w:r>
    </w:p>
    <w:p w14:paraId="5C38C57E" w14:textId="77777777" w:rsidR="00FC4B6D" w:rsidRPr="005778D9" w:rsidRDefault="00FC4B6D" w:rsidP="00FC4B6D">
      <w:pPr>
        <w:pStyle w:val="H1G"/>
        <w:rPr>
          <w:lang w:val="fr-FR"/>
        </w:rPr>
      </w:pPr>
      <w:r w:rsidRPr="005778D9">
        <w:rPr>
          <w:lang w:val="fr-FR"/>
        </w:rPr>
        <w:tab/>
      </w:r>
      <w:r w:rsidRPr="005778D9">
        <w:rPr>
          <w:lang w:val="fr-FR"/>
        </w:rPr>
        <w:tab/>
        <w:t xml:space="preserve">Adopté par la Réunion des Parties à la Convention </w:t>
      </w:r>
      <w:r w:rsidRPr="00E3055D">
        <w:rPr>
          <w:lang w:val="fr-FR"/>
        </w:rPr>
        <w:t>sur l</w:t>
      </w:r>
      <w:r>
        <w:rPr>
          <w:lang w:val="fr-FR"/>
        </w:rPr>
        <w:t>’</w:t>
      </w:r>
      <w:r w:rsidRPr="00E3055D">
        <w:rPr>
          <w:lang w:val="fr-FR"/>
        </w:rPr>
        <w:t>accès à</w:t>
      </w:r>
      <w:r>
        <w:rPr>
          <w:lang w:val="fr-FR"/>
        </w:rPr>
        <w:t> </w:t>
      </w:r>
      <w:r w:rsidRPr="00E3055D">
        <w:rPr>
          <w:lang w:val="fr-FR"/>
        </w:rPr>
        <w:t>l</w:t>
      </w:r>
      <w:r>
        <w:rPr>
          <w:lang w:val="fr-FR"/>
        </w:rPr>
        <w:t>’</w:t>
      </w:r>
      <w:r w:rsidRPr="00E3055D">
        <w:rPr>
          <w:lang w:val="fr-FR"/>
        </w:rPr>
        <w:t>information, la participation du public au processus décisionnel et</w:t>
      </w:r>
      <w:r>
        <w:rPr>
          <w:lang w:val="fr-FR"/>
        </w:rPr>
        <w:t> </w:t>
      </w:r>
      <w:r w:rsidRPr="00E3055D">
        <w:rPr>
          <w:lang w:val="fr-FR"/>
        </w:rPr>
        <w:t>l</w:t>
      </w:r>
      <w:r>
        <w:rPr>
          <w:lang w:val="fr-FR"/>
        </w:rPr>
        <w:t>’</w:t>
      </w:r>
      <w:r w:rsidRPr="00E3055D">
        <w:rPr>
          <w:lang w:val="fr-FR"/>
        </w:rPr>
        <w:t>accès à la justice en matière d</w:t>
      </w:r>
      <w:r>
        <w:rPr>
          <w:lang w:val="fr-FR"/>
        </w:rPr>
        <w:t>’</w:t>
      </w:r>
      <w:r w:rsidRPr="00E3055D">
        <w:rPr>
          <w:lang w:val="fr-FR"/>
        </w:rPr>
        <w:t>environnement à sa septième session</w:t>
      </w:r>
    </w:p>
    <w:p w14:paraId="08FD5E4D" w14:textId="77777777" w:rsidR="00FC4B6D" w:rsidRPr="00E3055D" w:rsidRDefault="00FC4B6D" w:rsidP="00FC4B6D">
      <w:pPr>
        <w:pStyle w:val="SingleTxtG"/>
        <w:ind w:firstLine="567"/>
        <w:rPr>
          <w:lang w:val="fr-FR"/>
        </w:rPr>
      </w:pPr>
      <w:r w:rsidRPr="00E3055D">
        <w:rPr>
          <w:i/>
          <w:lang w:val="fr-FR"/>
        </w:rPr>
        <w:t>La Réunion des Parties</w:t>
      </w:r>
      <w:r w:rsidRPr="00E3055D">
        <w:rPr>
          <w:lang w:val="fr-FR"/>
        </w:rPr>
        <w:t>,</w:t>
      </w:r>
    </w:p>
    <w:p w14:paraId="7B17562F" w14:textId="77777777" w:rsidR="00FC4B6D" w:rsidRPr="005778D9" w:rsidRDefault="00FC4B6D" w:rsidP="00FC4B6D">
      <w:pPr>
        <w:pStyle w:val="SingleTxtG"/>
        <w:ind w:firstLine="567"/>
        <w:rPr>
          <w:lang w:val="fr-FR"/>
        </w:rPr>
      </w:pPr>
      <w:r w:rsidRPr="00E3055D">
        <w:rPr>
          <w:i/>
          <w:iCs/>
          <w:lang w:val="fr-FR"/>
        </w:rPr>
        <w:t>Rappelant</w:t>
      </w:r>
      <w:r w:rsidRPr="00E3055D">
        <w:rPr>
          <w:iCs/>
          <w:lang w:val="fr-FR"/>
        </w:rPr>
        <w:t xml:space="preserve"> </w:t>
      </w:r>
      <w:r w:rsidRPr="005778D9">
        <w:rPr>
          <w:lang w:val="fr-FR"/>
        </w:rPr>
        <w:t>sa</w:t>
      </w:r>
      <w:r w:rsidRPr="00E3055D">
        <w:rPr>
          <w:lang w:val="fr-FR"/>
        </w:rPr>
        <w:t xml:space="preserve"> décision I/11 concernant les procédures d</w:t>
      </w:r>
      <w:r>
        <w:rPr>
          <w:lang w:val="fr-FR"/>
        </w:rPr>
        <w:t>’</w:t>
      </w:r>
      <w:r w:rsidRPr="00E3055D">
        <w:rPr>
          <w:lang w:val="fr-FR"/>
        </w:rPr>
        <w:t>élaboration, d</w:t>
      </w:r>
      <w:r>
        <w:rPr>
          <w:lang w:val="fr-FR"/>
        </w:rPr>
        <w:t>’</w:t>
      </w:r>
      <w:r w:rsidRPr="00E3055D">
        <w:rPr>
          <w:lang w:val="fr-FR"/>
        </w:rPr>
        <w:t>adoption et de suivi des programmes de travail</w:t>
      </w:r>
      <w:r w:rsidRPr="00EA7884">
        <w:rPr>
          <w:rStyle w:val="Appelnotedebasdep"/>
        </w:rPr>
        <w:footnoteReference w:id="17"/>
      </w:r>
      <w:r w:rsidRPr="00E3055D">
        <w:rPr>
          <w:lang w:val="fr-FR"/>
        </w:rPr>
        <w:t>,</w:t>
      </w:r>
    </w:p>
    <w:p w14:paraId="49523B57" w14:textId="77777777" w:rsidR="00FC4B6D" w:rsidRPr="005778D9" w:rsidRDefault="00FC4B6D" w:rsidP="00FC4B6D">
      <w:pPr>
        <w:pStyle w:val="SingleTxtG"/>
        <w:ind w:firstLine="567"/>
        <w:rPr>
          <w:lang w:val="fr-FR"/>
        </w:rPr>
      </w:pPr>
      <w:r w:rsidRPr="00E3055D">
        <w:rPr>
          <w:i/>
          <w:iCs/>
          <w:lang w:val="fr-FR"/>
        </w:rPr>
        <w:t>Considérant</w:t>
      </w:r>
      <w:r w:rsidRPr="00E3055D">
        <w:rPr>
          <w:lang w:val="fr-FR"/>
        </w:rPr>
        <w:t xml:space="preserve"> le plan stratégique 2015</w:t>
      </w:r>
      <w:r w:rsidRPr="00E3055D">
        <w:rPr>
          <w:lang w:val="fr-FR"/>
        </w:rPr>
        <w:noBreakHyphen/>
        <w:t>2020 pour la Convention sur l</w:t>
      </w:r>
      <w:r>
        <w:rPr>
          <w:lang w:val="fr-FR"/>
        </w:rPr>
        <w:t>’</w:t>
      </w:r>
      <w:r w:rsidRPr="00E3055D">
        <w:rPr>
          <w:lang w:val="fr-FR"/>
        </w:rPr>
        <w:t>accès à l</w:t>
      </w:r>
      <w:r>
        <w:rPr>
          <w:lang w:val="fr-FR"/>
        </w:rPr>
        <w:t>’</w:t>
      </w:r>
      <w:r w:rsidRPr="00E3055D">
        <w:rPr>
          <w:lang w:val="fr-FR"/>
        </w:rPr>
        <w:t>information, la participation du public au processus décisionnel et l</w:t>
      </w:r>
      <w:r>
        <w:rPr>
          <w:lang w:val="fr-FR"/>
        </w:rPr>
        <w:t>’</w:t>
      </w:r>
      <w:r w:rsidRPr="00E3055D">
        <w:rPr>
          <w:lang w:val="fr-FR"/>
        </w:rPr>
        <w:t>accès à la justice en matière d</w:t>
      </w:r>
      <w:r>
        <w:rPr>
          <w:lang w:val="fr-FR"/>
        </w:rPr>
        <w:t>’</w:t>
      </w:r>
      <w:r w:rsidRPr="00E3055D">
        <w:rPr>
          <w:lang w:val="fr-FR"/>
        </w:rPr>
        <w:t>environnement (Convention d</w:t>
      </w:r>
      <w:r>
        <w:rPr>
          <w:lang w:val="fr-FR"/>
        </w:rPr>
        <w:t>’</w:t>
      </w:r>
      <w:r w:rsidRPr="00E3055D">
        <w:rPr>
          <w:lang w:val="fr-FR"/>
        </w:rPr>
        <w:t>Aarhus) adopté par la décision V/5</w:t>
      </w:r>
      <w:r w:rsidRPr="00EA7884">
        <w:rPr>
          <w:rStyle w:val="Appelnotedebasdep"/>
        </w:rPr>
        <w:footnoteReference w:id="18"/>
      </w:r>
      <w:r w:rsidRPr="005778D9">
        <w:rPr>
          <w:lang w:val="fr-FR"/>
        </w:rPr>
        <w:t xml:space="preserve"> </w:t>
      </w:r>
      <w:r w:rsidRPr="00E3055D">
        <w:rPr>
          <w:lang w:val="fr-FR"/>
        </w:rPr>
        <w:t>et les dispositions financières adoptées par la décision VI/6</w:t>
      </w:r>
      <w:r w:rsidRPr="00EA7884">
        <w:rPr>
          <w:rStyle w:val="Appelnotedebasdep"/>
        </w:rPr>
        <w:footnoteReference w:id="19"/>
      </w:r>
      <w:r w:rsidRPr="00E3055D">
        <w:rPr>
          <w:lang w:val="fr-FR"/>
        </w:rPr>
        <w:t>,</w:t>
      </w:r>
    </w:p>
    <w:p w14:paraId="72BB5297" w14:textId="77777777" w:rsidR="00FC4B6D" w:rsidRPr="005778D9" w:rsidRDefault="00FC4B6D" w:rsidP="00FC4B6D">
      <w:pPr>
        <w:pStyle w:val="SingleTxtG"/>
        <w:ind w:firstLine="567"/>
        <w:rPr>
          <w:i/>
          <w:lang w:val="fr-FR"/>
        </w:rPr>
      </w:pPr>
      <w:r w:rsidRPr="005778D9">
        <w:rPr>
          <w:lang w:val="fr-FR"/>
        </w:rPr>
        <w:t>1.</w:t>
      </w:r>
      <w:r w:rsidRPr="005778D9">
        <w:rPr>
          <w:i/>
          <w:lang w:val="fr-FR"/>
        </w:rPr>
        <w:tab/>
      </w:r>
      <w:r w:rsidRPr="00E3055D">
        <w:rPr>
          <w:i/>
          <w:iCs/>
          <w:lang w:val="fr-FR"/>
        </w:rPr>
        <w:t>Se</w:t>
      </w:r>
      <w:r w:rsidRPr="00E3055D">
        <w:rPr>
          <w:lang w:val="fr-FR"/>
        </w:rPr>
        <w:t xml:space="preserve"> </w:t>
      </w:r>
      <w:r w:rsidRPr="00E3055D">
        <w:rPr>
          <w:i/>
          <w:iCs/>
          <w:lang w:val="fr-FR"/>
        </w:rPr>
        <w:t>félicite</w:t>
      </w:r>
      <w:r w:rsidRPr="00E3055D">
        <w:rPr>
          <w:lang w:val="fr-FR"/>
        </w:rPr>
        <w:t xml:space="preserve"> de l</w:t>
      </w:r>
      <w:r>
        <w:rPr>
          <w:lang w:val="fr-FR"/>
        </w:rPr>
        <w:t>’</w:t>
      </w:r>
      <w:r w:rsidRPr="00E3055D">
        <w:rPr>
          <w:lang w:val="fr-FR"/>
        </w:rPr>
        <w:t>intérêt exprimé par des pays n</w:t>
      </w:r>
      <w:r>
        <w:rPr>
          <w:lang w:val="fr-FR"/>
        </w:rPr>
        <w:t>’</w:t>
      </w:r>
      <w:r w:rsidRPr="00E3055D">
        <w:rPr>
          <w:lang w:val="fr-FR"/>
        </w:rPr>
        <w:t>appartenant pas à la région de la Commission économique pour l</w:t>
      </w:r>
      <w:r>
        <w:rPr>
          <w:lang w:val="fr-FR"/>
        </w:rPr>
        <w:t>’</w:t>
      </w:r>
      <w:r w:rsidRPr="00E3055D">
        <w:rPr>
          <w:lang w:val="fr-FR"/>
        </w:rPr>
        <w:t>Europe (CEE) de l</w:t>
      </w:r>
      <w:r>
        <w:rPr>
          <w:lang w:val="fr-FR"/>
        </w:rPr>
        <w:t>’</w:t>
      </w:r>
      <w:r w:rsidRPr="00E3055D">
        <w:rPr>
          <w:lang w:val="fr-FR"/>
        </w:rPr>
        <w:t>ONU d</w:t>
      </w:r>
      <w:r>
        <w:rPr>
          <w:lang w:val="fr-FR"/>
        </w:rPr>
        <w:t>’</w:t>
      </w:r>
      <w:r w:rsidRPr="00E3055D">
        <w:rPr>
          <w:lang w:val="fr-FR"/>
        </w:rPr>
        <w:t>adhérer à la Convention et</w:t>
      </w:r>
      <w:r w:rsidRPr="00E3055D">
        <w:rPr>
          <w:bCs/>
          <w:iCs/>
          <w:lang w:val="fr-FR"/>
        </w:rPr>
        <w:t xml:space="preserve"> confirme sa décision IV/5 concernant l</w:t>
      </w:r>
      <w:r>
        <w:rPr>
          <w:bCs/>
          <w:iCs/>
          <w:lang w:val="fr-FR"/>
        </w:rPr>
        <w:t>’</w:t>
      </w:r>
      <w:r w:rsidRPr="00E3055D">
        <w:rPr>
          <w:bCs/>
          <w:iCs/>
          <w:lang w:val="fr-FR"/>
        </w:rPr>
        <w:t>adhésion à la Convention d</w:t>
      </w:r>
      <w:r>
        <w:rPr>
          <w:bCs/>
          <w:iCs/>
          <w:lang w:val="fr-FR"/>
        </w:rPr>
        <w:t>’</w:t>
      </w:r>
      <w:r w:rsidRPr="00E3055D">
        <w:rPr>
          <w:bCs/>
          <w:iCs/>
          <w:lang w:val="fr-FR"/>
        </w:rPr>
        <w:t>États non membres de la CEE</w:t>
      </w:r>
      <w:r w:rsidRPr="00EA7884">
        <w:rPr>
          <w:rStyle w:val="Appelnotedebasdep"/>
        </w:rPr>
        <w:footnoteReference w:id="20"/>
      </w:r>
      <w:r>
        <w:rPr>
          <w:bCs/>
          <w:iCs/>
          <w:lang w:val="fr-FR"/>
        </w:rPr>
        <w:t> ;</w:t>
      </w:r>
    </w:p>
    <w:p w14:paraId="175C70D4" w14:textId="20122C5C" w:rsidR="00FC4B6D" w:rsidRPr="005778D9" w:rsidRDefault="00FC4B6D" w:rsidP="00FC4B6D">
      <w:pPr>
        <w:pStyle w:val="SingleTxtG"/>
        <w:ind w:firstLine="567"/>
        <w:rPr>
          <w:lang w:val="fr-FR"/>
        </w:rPr>
      </w:pPr>
      <w:r w:rsidRPr="005778D9">
        <w:rPr>
          <w:lang w:val="fr-FR"/>
        </w:rPr>
        <w:t>2.</w:t>
      </w:r>
      <w:r w:rsidRPr="005778D9">
        <w:rPr>
          <w:lang w:val="fr-FR"/>
        </w:rPr>
        <w:tab/>
      </w:r>
      <w:r w:rsidRPr="00E3055D">
        <w:rPr>
          <w:i/>
          <w:iCs/>
          <w:lang w:val="fr-FR"/>
        </w:rPr>
        <w:t>Adopte</w:t>
      </w:r>
      <w:r w:rsidRPr="00E3055D">
        <w:rPr>
          <w:lang w:val="fr-FR"/>
        </w:rPr>
        <w:t xml:space="preserve"> le programme de travail pour l</w:t>
      </w:r>
      <w:r w:rsidRPr="005778D9">
        <w:rPr>
          <w:lang w:val="fr-FR"/>
        </w:rPr>
        <w:t>a période 2022</w:t>
      </w:r>
      <w:r w:rsidR="0081075B">
        <w:rPr>
          <w:lang w:val="fr-FR"/>
        </w:rPr>
        <w:noBreakHyphen/>
      </w:r>
      <w:r w:rsidRPr="005778D9">
        <w:rPr>
          <w:lang w:val="fr-FR"/>
        </w:rPr>
        <w:t xml:space="preserve">2025, </w:t>
      </w:r>
      <w:r w:rsidRPr="00E3055D">
        <w:rPr>
          <w:lang w:val="fr-FR"/>
        </w:rPr>
        <w:t>contenant des prévisions de dépenses pour chaque activité, tel qu</w:t>
      </w:r>
      <w:r>
        <w:rPr>
          <w:lang w:val="fr-FR"/>
        </w:rPr>
        <w:t>’</w:t>
      </w:r>
      <w:r w:rsidRPr="00E3055D">
        <w:rPr>
          <w:lang w:val="fr-FR"/>
        </w:rPr>
        <w:t>il figure à l</w:t>
      </w:r>
      <w:r>
        <w:rPr>
          <w:lang w:val="fr-FR"/>
        </w:rPr>
        <w:t>’</w:t>
      </w:r>
      <w:r w:rsidRPr="00E3055D">
        <w:rPr>
          <w:lang w:val="fr-FR"/>
        </w:rPr>
        <w:t>annexe I de la présente décision </w:t>
      </w:r>
      <w:r w:rsidRPr="005778D9">
        <w:rPr>
          <w:lang w:val="fr-FR"/>
        </w:rPr>
        <w:t>;</w:t>
      </w:r>
    </w:p>
    <w:p w14:paraId="5061462A" w14:textId="654CAC6D" w:rsidR="00FC4B6D" w:rsidRPr="005778D9" w:rsidRDefault="00FC4B6D" w:rsidP="00FC4B6D">
      <w:pPr>
        <w:pStyle w:val="SingleTxtG"/>
        <w:ind w:firstLine="567"/>
        <w:rPr>
          <w:lang w:val="fr-FR"/>
        </w:rPr>
      </w:pPr>
      <w:r w:rsidRPr="005778D9">
        <w:rPr>
          <w:lang w:val="fr-FR"/>
        </w:rPr>
        <w:t>3.</w:t>
      </w:r>
      <w:r w:rsidRPr="005778D9">
        <w:rPr>
          <w:lang w:val="fr-FR"/>
        </w:rPr>
        <w:tab/>
      </w:r>
      <w:r w:rsidRPr="00E3055D">
        <w:rPr>
          <w:i/>
          <w:iCs/>
          <w:lang w:val="fr-FR"/>
        </w:rPr>
        <w:t>Convient</w:t>
      </w:r>
      <w:r w:rsidRPr="00E3055D">
        <w:rPr>
          <w:lang w:val="fr-FR"/>
        </w:rPr>
        <w:t xml:space="preserve"> de l</w:t>
      </w:r>
      <w:r>
        <w:rPr>
          <w:lang w:val="fr-FR"/>
        </w:rPr>
        <w:t>’</w:t>
      </w:r>
      <w:r w:rsidRPr="00E3055D">
        <w:rPr>
          <w:lang w:val="fr-FR"/>
        </w:rPr>
        <w:t>affectation indicative des ressources et des prévisions de dépenses correspondantes faisant l</w:t>
      </w:r>
      <w:r>
        <w:rPr>
          <w:lang w:val="fr-FR"/>
        </w:rPr>
        <w:t>’</w:t>
      </w:r>
      <w:r w:rsidRPr="00E3055D">
        <w:rPr>
          <w:lang w:val="fr-FR"/>
        </w:rPr>
        <w:t>objet des annexes I et</w:t>
      </w:r>
      <w:r w:rsidR="0041339F">
        <w:rPr>
          <w:lang w:val="fr-FR"/>
        </w:rPr>
        <w:t xml:space="preserve"> </w:t>
      </w:r>
      <w:r w:rsidRPr="00E3055D">
        <w:rPr>
          <w:lang w:val="fr-FR"/>
        </w:rPr>
        <w:t>II, sous réserve d</w:t>
      </w:r>
      <w:r>
        <w:rPr>
          <w:lang w:val="fr-FR"/>
        </w:rPr>
        <w:t>’</w:t>
      </w:r>
      <w:r w:rsidRPr="00E3055D">
        <w:rPr>
          <w:lang w:val="fr-FR"/>
        </w:rPr>
        <w:t>un examen annuel et, s</w:t>
      </w:r>
      <w:r>
        <w:rPr>
          <w:lang w:val="fr-FR"/>
        </w:rPr>
        <w:t>’</w:t>
      </w:r>
      <w:r w:rsidRPr="00E3055D">
        <w:rPr>
          <w:lang w:val="fr-FR"/>
        </w:rPr>
        <w:t>il y a lieu, d</w:t>
      </w:r>
      <w:r>
        <w:rPr>
          <w:lang w:val="fr-FR"/>
        </w:rPr>
        <w:t>’</w:t>
      </w:r>
      <w:r w:rsidRPr="00E3055D">
        <w:rPr>
          <w:lang w:val="fr-FR"/>
        </w:rPr>
        <w:t>une révision par le Groupe de travail des Parties, fondée sur les rapports annuels communiqués par le secrétariat conformément à la décision VII/xxx concernant les dispositions financières </w:t>
      </w:r>
      <w:r w:rsidRPr="005778D9">
        <w:rPr>
          <w:lang w:val="fr-FR"/>
        </w:rPr>
        <w:t>;</w:t>
      </w:r>
    </w:p>
    <w:p w14:paraId="3ECD883C" w14:textId="50BD0CCB" w:rsidR="00FC4B6D" w:rsidRPr="005778D9" w:rsidRDefault="00FC4B6D" w:rsidP="00FC4B6D">
      <w:pPr>
        <w:pStyle w:val="SingleTxtG"/>
        <w:ind w:firstLine="567"/>
        <w:rPr>
          <w:lang w:val="fr-FR"/>
        </w:rPr>
      </w:pPr>
      <w:r w:rsidRPr="005778D9">
        <w:rPr>
          <w:lang w:val="fr-FR"/>
        </w:rPr>
        <w:t>4.</w:t>
      </w:r>
      <w:r w:rsidRPr="005778D9">
        <w:rPr>
          <w:lang w:val="fr-FR"/>
        </w:rPr>
        <w:tab/>
      </w:r>
      <w:r w:rsidRPr="00E3055D">
        <w:rPr>
          <w:i/>
          <w:iCs/>
          <w:lang w:val="fr-FR"/>
        </w:rPr>
        <w:t>Encourage</w:t>
      </w:r>
      <w:r w:rsidRPr="005778D9">
        <w:rPr>
          <w:i/>
          <w:iCs/>
          <w:lang w:val="fr-FR"/>
        </w:rPr>
        <w:t xml:space="preserve"> </w:t>
      </w:r>
      <w:r w:rsidRPr="00E3055D">
        <w:rPr>
          <w:lang w:val="fr-FR"/>
        </w:rPr>
        <w:t>les Parties à faire en sorte que le financement des activités inscrites au programme de travail reste stable tout au long de la période</w:t>
      </w:r>
      <w:r w:rsidRPr="005778D9">
        <w:rPr>
          <w:lang w:val="fr-FR"/>
        </w:rPr>
        <w:t xml:space="preserve"> 2022</w:t>
      </w:r>
      <w:r w:rsidR="0081075B">
        <w:rPr>
          <w:lang w:val="fr-FR"/>
        </w:rPr>
        <w:noBreakHyphen/>
      </w:r>
      <w:r w:rsidRPr="005778D9">
        <w:rPr>
          <w:lang w:val="fr-FR"/>
        </w:rPr>
        <w:t>2025</w:t>
      </w:r>
      <w:r w:rsidRPr="00E3055D">
        <w:rPr>
          <w:lang w:val="fr-FR"/>
        </w:rPr>
        <w:t> </w:t>
      </w:r>
      <w:r w:rsidRPr="005778D9">
        <w:rPr>
          <w:lang w:val="fr-FR"/>
        </w:rPr>
        <w:t>;</w:t>
      </w:r>
    </w:p>
    <w:p w14:paraId="6DF02A81" w14:textId="431FCB01" w:rsidR="00FC4B6D" w:rsidRPr="005778D9" w:rsidRDefault="00FC4B6D" w:rsidP="00FC4B6D">
      <w:pPr>
        <w:pStyle w:val="SingleTxtG"/>
        <w:ind w:firstLine="567"/>
        <w:rPr>
          <w:lang w:val="fr-FR"/>
        </w:rPr>
      </w:pPr>
      <w:r w:rsidRPr="005778D9">
        <w:rPr>
          <w:lang w:val="fr-FR"/>
        </w:rPr>
        <w:t>5.</w:t>
      </w:r>
      <w:r w:rsidRPr="005778D9">
        <w:rPr>
          <w:lang w:val="fr-FR"/>
        </w:rPr>
        <w:tab/>
      </w:r>
      <w:r w:rsidRPr="00E3055D">
        <w:rPr>
          <w:i/>
          <w:iCs/>
          <w:lang w:val="fr-FR"/>
        </w:rPr>
        <w:t>Encourage</w:t>
      </w:r>
      <w:r w:rsidRPr="00E3055D">
        <w:rPr>
          <w:lang w:val="fr-FR"/>
        </w:rPr>
        <w:t xml:space="preserve"> </w:t>
      </w:r>
      <w:r w:rsidRPr="00E3055D">
        <w:rPr>
          <w:i/>
          <w:iCs/>
          <w:lang w:val="fr-FR"/>
        </w:rPr>
        <w:t>également</w:t>
      </w:r>
      <w:r w:rsidRPr="00E3055D">
        <w:rPr>
          <w:lang w:val="fr-FR"/>
        </w:rPr>
        <w:t xml:space="preserve"> les Parties à verser, dans la mesure du possible et sous réserve de leurs procédures budgétaires internes, des contributions au Fonds d</w:t>
      </w:r>
      <w:r>
        <w:rPr>
          <w:lang w:val="fr-FR"/>
        </w:rPr>
        <w:t>’</w:t>
      </w:r>
      <w:r w:rsidRPr="00E3055D">
        <w:rPr>
          <w:lang w:val="fr-FR"/>
        </w:rPr>
        <w:t>affectation spéciale de la Convention pour une année civile donnée au plus tard le 1</w:t>
      </w:r>
      <w:r w:rsidRPr="00E3055D">
        <w:rPr>
          <w:vertAlign w:val="superscript"/>
          <w:lang w:val="fr-FR"/>
        </w:rPr>
        <w:t>er</w:t>
      </w:r>
      <w:r w:rsidRPr="0081075B">
        <w:rPr>
          <w:lang w:val="fr-FR"/>
        </w:rPr>
        <w:t> </w:t>
      </w:r>
      <w:r w:rsidRPr="00E3055D">
        <w:rPr>
          <w:lang w:val="fr-FR"/>
        </w:rPr>
        <w:t>octobre de l</w:t>
      </w:r>
      <w:r>
        <w:rPr>
          <w:lang w:val="fr-FR"/>
        </w:rPr>
        <w:t>’</w:t>
      </w:r>
      <w:r w:rsidRPr="00E3055D">
        <w:rPr>
          <w:lang w:val="fr-FR"/>
        </w:rPr>
        <w:t>année précédente, de façon à couvrir en priorité les dépenses de personnel indispensables au bon fonctionnement du secrétariat, et à assurer l</w:t>
      </w:r>
      <w:r>
        <w:rPr>
          <w:lang w:val="fr-FR"/>
        </w:rPr>
        <w:t>’</w:t>
      </w:r>
      <w:r w:rsidRPr="00E3055D">
        <w:rPr>
          <w:lang w:val="fr-FR"/>
        </w:rPr>
        <w:t xml:space="preserve">exécution efficace et en temps voulu des activités prioritaires inscrites au programme de travail pour la période </w:t>
      </w:r>
      <w:r w:rsidRPr="005778D9">
        <w:rPr>
          <w:lang w:val="fr-FR"/>
        </w:rPr>
        <w:t>2022</w:t>
      </w:r>
      <w:r w:rsidR="0041339F">
        <w:rPr>
          <w:lang w:val="fr-FR"/>
        </w:rPr>
        <w:t>-</w:t>
      </w:r>
      <w:r w:rsidRPr="005778D9">
        <w:rPr>
          <w:lang w:val="fr-FR"/>
        </w:rPr>
        <w:t>2025</w:t>
      </w:r>
      <w:r w:rsidRPr="00E3055D">
        <w:rPr>
          <w:lang w:val="fr-FR"/>
        </w:rPr>
        <w:t> </w:t>
      </w:r>
      <w:r w:rsidRPr="005778D9">
        <w:rPr>
          <w:lang w:val="fr-FR"/>
        </w:rPr>
        <w:t>;</w:t>
      </w:r>
    </w:p>
    <w:p w14:paraId="319B865C" w14:textId="77777777" w:rsidR="00FC4B6D" w:rsidRPr="005778D9" w:rsidRDefault="00FC4B6D" w:rsidP="00FC4B6D">
      <w:pPr>
        <w:pStyle w:val="SingleTxtG"/>
        <w:ind w:firstLine="567"/>
        <w:rPr>
          <w:lang w:val="fr-FR"/>
        </w:rPr>
      </w:pPr>
      <w:r w:rsidRPr="005778D9">
        <w:rPr>
          <w:lang w:val="fr-FR"/>
        </w:rPr>
        <w:t>6.</w:t>
      </w:r>
      <w:r w:rsidRPr="005778D9">
        <w:rPr>
          <w:lang w:val="fr-FR"/>
        </w:rPr>
        <w:tab/>
      </w:r>
      <w:r w:rsidRPr="00E3055D">
        <w:rPr>
          <w:i/>
          <w:iCs/>
          <w:lang w:val="fr-FR"/>
        </w:rPr>
        <w:t>Réaffirme</w:t>
      </w:r>
      <w:r w:rsidRPr="00E3055D">
        <w:rPr>
          <w:lang w:val="fr-FR"/>
        </w:rPr>
        <w:t xml:space="preserve"> qu</w:t>
      </w:r>
      <w:r>
        <w:rPr>
          <w:lang w:val="fr-FR"/>
        </w:rPr>
        <w:t>’</w:t>
      </w:r>
      <w:r w:rsidRPr="00E3055D">
        <w:rPr>
          <w:lang w:val="fr-FR"/>
        </w:rPr>
        <w:t>elle est résolue à appliquer les Lignes directrices d</w:t>
      </w:r>
      <w:r>
        <w:rPr>
          <w:lang w:val="fr-FR"/>
        </w:rPr>
        <w:t>’</w:t>
      </w:r>
      <w:r w:rsidRPr="00E3055D">
        <w:rPr>
          <w:lang w:val="fr-FR"/>
        </w:rPr>
        <w:t>Almaty sur les moyens de promouvoir l</w:t>
      </w:r>
      <w:r>
        <w:rPr>
          <w:lang w:val="fr-FR"/>
        </w:rPr>
        <w:t>’</w:t>
      </w:r>
      <w:r w:rsidRPr="00E3055D">
        <w:rPr>
          <w:lang w:val="fr-FR"/>
        </w:rPr>
        <w:t>application des principes de la Convention dans les instances internationales (Lignes directrices d</w:t>
      </w:r>
      <w:r>
        <w:rPr>
          <w:lang w:val="fr-FR"/>
        </w:rPr>
        <w:t>’</w:t>
      </w:r>
      <w:r w:rsidRPr="00E3055D">
        <w:rPr>
          <w:lang w:val="fr-FR"/>
        </w:rPr>
        <w:t>Almaty)</w:t>
      </w:r>
      <w:r w:rsidRPr="00EA7884">
        <w:rPr>
          <w:rStyle w:val="Appelnotedebasdep"/>
        </w:rPr>
        <w:footnoteReference w:id="21"/>
      </w:r>
      <w:r w:rsidRPr="00E3055D">
        <w:rPr>
          <w:lang w:val="fr-FR"/>
        </w:rPr>
        <w:t xml:space="preserve"> pour toutes les activités inscrites au programme de travail, selon qu</w:t>
      </w:r>
      <w:r>
        <w:rPr>
          <w:lang w:val="fr-FR"/>
        </w:rPr>
        <w:t>’</w:t>
      </w:r>
      <w:r w:rsidRPr="00E3055D">
        <w:rPr>
          <w:lang w:val="fr-FR"/>
        </w:rPr>
        <w:t>il conviendra </w:t>
      </w:r>
      <w:r w:rsidRPr="005778D9">
        <w:rPr>
          <w:lang w:val="fr-FR"/>
        </w:rPr>
        <w:t>;</w:t>
      </w:r>
    </w:p>
    <w:p w14:paraId="367E35B0" w14:textId="77777777" w:rsidR="00FC4B6D" w:rsidRPr="005778D9" w:rsidRDefault="00FC4B6D" w:rsidP="00FC4B6D">
      <w:pPr>
        <w:pStyle w:val="SingleTxtG"/>
        <w:ind w:firstLine="567"/>
        <w:rPr>
          <w:lang w:val="fr-FR"/>
        </w:rPr>
      </w:pPr>
      <w:r w:rsidRPr="005778D9">
        <w:rPr>
          <w:lang w:val="fr-FR"/>
        </w:rPr>
        <w:t>7.</w:t>
      </w:r>
      <w:r w:rsidRPr="005778D9">
        <w:rPr>
          <w:lang w:val="fr-FR"/>
        </w:rPr>
        <w:tab/>
      </w:r>
      <w:r w:rsidRPr="00E3055D">
        <w:rPr>
          <w:i/>
          <w:iCs/>
          <w:lang w:val="fr-FR"/>
        </w:rPr>
        <w:t>Décide</w:t>
      </w:r>
      <w:r w:rsidRPr="00E3055D">
        <w:rPr>
          <w:lang w:val="fr-FR"/>
        </w:rPr>
        <w:t xml:space="preserve"> d</w:t>
      </w:r>
      <w:r>
        <w:rPr>
          <w:lang w:val="fr-FR"/>
        </w:rPr>
        <w:t>’</w:t>
      </w:r>
      <w:r w:rsidRPr="00E3055D">
        <w:rPr>
          <w:lang w:val="fr-FR"/>
        </w:rPr>
        <w:t>accorder de façon générale la priorité</w:t>
      </w:r>
      <w:r w:rsidRPr="00EA7884">
        <w:rPr>
          <w:rStyle w:val="Appelnotedebasdep"/>
        </w:rPr>
        <w:footnoteReference w:id="22"/>
      </w:r>
      <w:r w:rsidRPr="005778D9">
        <w:rPr>
          <w:lang w:val="fr-FR"/>
        </w:rPr>
        <w:t xml:space="preserve"> </w:t>
      </w:r>
      <w:r w:rsidRPr="00E3055D">
        <w:rPr>
          <w:lang w:val="fr-FR"/>
        </w:rPr>
        <w:t>aux questions relatives au respect et à l</w:t>
      </w:r>
      <w:r>
        <w:rPr>
          <w:lang w:val="fr-FR"/>
        </w:rPr>
        <w:t>’</w:t>
      </w:r>
      <w:r w:rsidRPr="00E3055D">
        <w:rPr>
          <w:lang w:val="fr-FR"/>
        </w:rPr>
        <w:t>application des dispositions, y</w:t>
      </w:r>
      <w:r>
        <w:rPr>
          <w:lang w:val="fr-FR"/>
        </w:rPr>
        <w:t> </w:t>
      </w:r>
      <w:r w:rsidRPr="00E3055D">
        <w:rPr>
          <w:lang w:val="fr-FR"/>
        </w:rPr>
        <w:t>compris le renforcement des capacités </w:t>
      </w:r>
      <w:r w:rsidRPr="005778D9">
        <w:rPr>
          <w:lang w:val="fr-FR"/>
        </w:rPr>
        <w:t>;</w:t>
      </w:r>
    </w:p>
    <w:p w14:paraId="22DE789B" w14:textId="77777777" w:rsidR="00FC4B6D" w:rsidRPr="005778D9" w:rsidRDefault="00FC4B6D" w:rsidP="00FC4B6D">
      <w:pPr>
        <w:pStyle w:val="SingleTxtG"/>
        <w:ind w:firstLine="567"/>
        <w:rPr>
          <w:lang w:val="fr-FR"/>
        </w:rPr>
      </w:pPr>
      <w:r w:rsidRPr="005778D9">
        <w:rPr>
          <w:lang w:val="fr-FR"/>
        </w:rPr>
        <w:t>8.</w:t>
      </w:r>
      <w:r w:rsidRPr="005778D9">
        <w:rPr>
          <w:lang w:val="fr-FR"/>
        </w:rPr>
        <w:tab/>
      </w:r>
      <w:r w:rsidRPr="00E3055D">
        <w:rPr>
          <w:i/>
          <w:iCs/>
          <w:lang w:val="fr-FR"/>
        </w:rPr>
        <w:t>Décide</w:t>
      </w:r>
      <w:r w:rsidRPr="00E3055D">
        <w:rPr>
          <w:lang w:val="fr-FR"/>
        </w:rPr>
        <w:t xml:space="preserve"> </w:t>
      </w:r>
      <w:r w:rsidRPr="00E3055D">
        <w:rPr>
          <w:i/>
          <w:iCs/>
          <w:lang w:val="fr-FR"/>
        </w:rPr>
        <w:t>également</w:t>
      </w:r>
      <w:r w:rsidRPr="00E3055D">
        <w:rPr>
          <w:lang w:val="fr-FR"/>
        </w:rPr>
        <w:t xml:space="preserve"> d</w:t>
      </w:r>
      <w:r>
        <w:rPr>
          <w:lang w:val="fr-FR"/>
        </w:rPr>
        <w:t>’</w:t>
      </w:r>
      <w:r w:rsidRPr="00E3055D">
        <w:rPr>
          <w:lang w:val="fr-FR"/>
        </w:rPr>
        <w:t>accorder la priorité en particulier aux questions de fond ci-après </w:t>
      </w:r>
      <w:r w:rsidRPr="005778D9">
        <w:rPr>
          <w:lang w:val="fr-FR"/>
        </w:rPr>
        <w:t>:</w:t>
      </w:r>
    </w:p>
    <w:p w14:paraId="4BC599B7" w14:textId="77777777" w:rsidR="00FC4B6D" w:rsidRPr="005778D9" w:rsidRDefault="00FC4B6D" w:rsidP="00FC4B6D">
      <w:pPr>
        <w:pStyle w:val="SingleTxtG"/>
        <w:ind w:firstLine="567"/>
        <w:rPr>
          <w:lang w:val="fr-FR"/>
        </w:rPr>
      </w:pPr>
      <w:r w:rsidRPr="005778D9">
        <w:rPr>
          <w:lang w:val="fr-FR"/>
        </w:rPr>
        <w:t>a)</w:t>
      </w:r>
      <w:r w:rsidRPr="005778D9">
        <w:rPr>
          <w:lang w:val="fr-FR"/>
        </w:rPr>
        <w:tab/>
      </w:r>
      <w:r w:rsidRPr="00E3055D">
        <w:rPr>
          <w:lang w:val="fr-FR"/>
        </w:rPr>
        <w:t>L</w:t>
      </w:r>
      <w:r>
        <w:rPr>
          <w:lang w:val="fr-FR"/>
        </w:rPr>
        <w:t>’</w:t>
      </w:r>
      <w:r w:rsidRPr="00E3055D">
        <w:rPr>
          <w:lang w:val="fr-FR"/>
        </w:rPr>
        <w:t>accès à la justice </w:t>
      </w:r>
      <w:r w:rsidRPr="005778D9">
        <w:rPr>
          <w:lang w:val="fr-FR"/>
        </w:rPr>
        <w:t>;</w:t>
      </w:r>
    </w:p>
    <w:p w14:paraId="76A6DF4A" w14:textId="77777777" w:rsidR="00FC4B6D" w:rsidRPr="005778D9" w:rsidRDefault="00FC4B6D" w:rsidP="00FC4B6D">
      <w:pPr>
        <w:pStyle w:val="SingleTxtG"/>
        <w:ind w:firstLine="567"/>
        <w:rPr>
          <w:lang w:val="fr-FR"/>
        </w:rPr>
      </w:pPr>
      <w:r w:rsidRPr="005778D9">
        <w:rPr>
          <w:lang w:val="fr-FR"/>
        </w:rPr>
        <w:t>b)</w:t>
      </w:r>
      <w:r w:rsidRPr="005778D9">
        <w:rPr>
          <w:lang w:val="fr-FR"/>
        </w:rPr>
        <w:tab/>
      </w:r>
      <w:r w:rsidRPr="00E3055D">
        <w:rPr>
          <w:lang w:val="fr-FR"/>
        </w:rPr>
        <w:t>La participation du public </w:t>
      </w:r>
      <w:r w:rsidRPr="005778D9">
        <w:rPr>
          <w:lang w:val="fr-FR"/>
        </w:rPr>
        <w:t>;</w:t>
      </w:r>
    </w:p>
    <w:p w14:paraId="7AD1039A" w14:textId="77777777" w:rsidR="00FC4B6D" w:rsidRPr="005778D9" w:rsidRDefault="00FC4B6D" w:rsidP="00FC4B6D">
      <w:pPr>
        <w:pStyle w:val="SingleTxtG"/>
        <w:ind w:firstLine="567"/>
        <w:rPr>
          <w:lang w:val="fr-FR"/>
        </w:rPr>
      </w:pPr>
      <w:r w:rsidRPr="005778D9">
        <w:rPr>
          <w:lang w:val="fr-FR"/>
        </w:rPr>
        <w:t>c)</w:t>
      </w:r>
      <w:r w:rsidRPr="005778D9">
        <w:rPr>
          <w:lang w:val="fr-FR"/>
        </w:rPr>
        <w:tab/>
      </w:r>
      <w:r w:rsidRPr="00E3055D">
        <w:rPr>
          <w:lang w:val="fr-FR"/>
        </w:rPr>
        <w:t>L</w:t>
      </w:r>
      <w:r>
        <w:rPr>
          <w:lang w:val="fr-FR"/>
        </w:rPr>
        <w:t>’</w:t>
      </w:r>
      <w:r w:rsidRPr="00E3055D">
        <w:rPr>
          <w:lang w:val="fr-FR"/>
        </w:rPr>
        <w:t>accès à l</w:t>
      </w:r>
      <w:r>
        <w:rPr>
          <w:lang w:val="fr-FR"/>
        </w:rPr>
        <w:t>’</w:t>
      </w:r>
      <w:r w:rsidRPr="00E3055D">
        <w:rPr>
          <w:lang w:val="fr-FR"/>
        </w:rPr>
        <w:t>information </w:t>
      </w:r>
      <w:r w:rsidRPr="005778D9">
        <w:rPr>
          <w:lang w:val="fr-FR"/>
        </w:rPr>
        <w:t>;</w:t>
      </w:r>
    </w:p>
    <w:p w14:paraId="3F843689" w14:textId="77777777" w:rsidR="00FC4B6D" w:rsidRPr="005778D9" w:rsidRDefault="00FC4B6D" w:rsidP="00FC4B6D">
      <w:pPr>
        <w:pStyle w:val="SingleTxtG"/>
        <w:ind w:firstLine="567"/>
        <w:rPr>
          <w:lang w:val="fr-FR"/>
        </w:rPr>
      </w:pPr>
      <w:r w:rsidRPr="005778D9">
        <w:rPr>
          <w:lang w:val="fr-FR"/>
        </w:rPr>
        <w:t>9.</w:t>
      </w:r>
      <w:r w:rsidRPr="005778D9">
        <w:rPr>
          <w:lang w:val="fr-FR"/>
        </w:rPr>
        <w:tab/>
      </w:r>
      <w:r w:rsidRPr="00E3055D">
        <w:rPr>
          <w:i/>
          <w:iCs/>
          <w:lang w:val="fr-FR"/>
        </w:rPr>
        <w:t>Engage</w:t>
      </w:r>
      <w:r w:rsidRPr="00E3055D">
        <w:rPr>
          <w:lang w:val="fr-FR"/>
        </w:rPr>
        <w:t xml:space="preserve"> les Parties et invite les signataires, les autres États et les organisations intergouvernementales, régionales et non gouvernementales concernées à contribuer activement aux activités inscrites au programme de travail </w:t>
      </w:r>
      <w:r w:rsidRPr="005778D9">
        <w:rPr>
          <w:lang w:val="fr-FR"/>
        </w:rPr>
        <w:t>;</w:t>
      </w:r>
    </w:p>
    <w:p w14:paraId="05C27BD4" w14:textId="0E372A90" w:rsidR="00FC4B6D" w:rsidRDefault="00FC4B6D" w:rsidP="00FC4B6D">
      <w:pPr>
        <w:pStyle w:val="SingleTxtG"/>
        <w:rPr>
          <w:lang w:val="fr-FR"/>
        </w:rPr>
      </w:pPr>
      <w:r w:rsidRPr="005778D9">
        <w:rPr>
          <w:lang w:val="fr-FR"/>
        </w:rPr>
        <w:t>10.</w:t>
      </w:r>
      <w:r w:rsidRPr="005778D9">
        <w:rPr>
          <w:lang w:val="fr-FR"/>
        </w:rPr>
        <w:tab/>
      </w:r>
      <w:r w:rsidRPr="00E3055D">
        <w:rPr>
          <w:i/>
          <w:iCs/>
          <w:lang w:val="fr-FR"/>
        </w:rPr>
        <w:t>Demande</w:t>
      </w:r>
      <w:r w:rsidRPr="00E3055D">
        <w:rPr>
          <w:lang w:val="fr-FR"/>
        </w:rPr>
        <w:t xml:space="preserve"> au secrétariat d</w:t>
      </w:r>
      <w:r>
        <w:rPr>
          <w:lang w:val="fr-FR"/>
        </w:rPr>
        <w:t>’</w:t>
      </w:r>
      <w:r w:rsidRPr="00E3055D">
        <w:rPr>
          <w:lang w:val="fr-FR"/>
        </w:rPr>
        <w:t xml:space="preserve">établir, en tenant compte des résultats de la mise en œuvre du Plan stratégique </w:t>
      </w:r>
      <w:r w:rsidRPr="005778D9">
        <w:rPr>
          <w:lang w:val="fr-FR"/>
        </w:rPr>
        <w:t xml:space="preserve">pour la période 2022-2025, un projet de programme de travail pour la prochaine période intersessions, </w:t>
      </w:r>
      <w:r w:rsidRPr="00E3055D">
        <w:rPr>
          <w:lang w:val="fr-FR"/>
        </w:rPr>
        <w:t>assorti d</w:t>
      </w:r>
      <w:r>
        <w:rPr>
          <w:lang w:val="fr-FR"/>
        </w:rPr>
        <w:t>’</w:t>
      </w:r>
      <w:r w:rsidRPr="00E3055D">
        <w:rPr>
          <w:lang w:val="fr-FR"/>
        </w:rPr>
        <w:t>une ventilation détaillée des prévisions de dépenses, en vue de leur examen et de leur mise au point plus poussée par le Bureau et le Groupe de travail des Parties, au plus tard trois mois avant la huitième session de la Réunion des Parties, pour adoption éventuelle à cette réunion</w:t>
      </w:r>
      <w:r w:rsidRPr="005778D9">
        <w:rPr>
          <w:lang w:val="fr-FR"/>
        </w:rPr>
        <w:t>.</w:t>
      </w:r>
    </w:p>
    <w:p w14:paraId="4895749B" w14:textId="168B76B4" w:rsidR="00FC4B6D" w:rsidRDefault="00FC4B6D" w:rsidP="00FC4B6D">
      <w:pPr>
        <w:pStyle w:val="SingleTxtG"/>
        <w:rPr>
          <w:lang w:val="fr-FR"/>
        </w:rPr>
      </w:pPr>
    </w:p>
    <w:p w14:paraId="20CBA86D" w14:textId="77777777" w:rsidR="00EA3C11" w:rsidRDefault="00EA3C11" w:rsidP="00FC4B6D">
      <w:pPr>
        <w:pStyle w:val="SingleTxtG"/>
        <w:sectPr w:rsidR="00EA3C11" w:rsidSect="00FC4B6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1A6E4F59" w14:textId="77777777" w:rsidR="00EA3C11" w:rsidRPr="00E3055D" w:rsidRDefault="00EA3C11" w:rsidP="00EA3C11">
      <w:pPr>
        <w:pStyle w:val="HChG"/>
        <w:rPr>
          <w:lang w:val="fr-FR"/>
        </w:rPr>
      </w:pPr>
      <w:r w:rsidRPr="00E3055D">
        <w:rPr>
          <w:lang w:val="fr-FR"/>
        </w:rPr>
        <w:t>Annexe I</w:t>
      </w:r>
    </w:p>
    <w:p w14:paraId="30EE8329" w14:textId="0A8F8B37" w:rsidR="00FC4B6D" w:rsidRDefault="00EA3C11" w:rsidP="00EA3C11">
      <w:pPr>
        <w:pStyle w:val="HChG"/>
        <w:ind w:hanging="840"/>
        <w:rPr>
          <w:lang w:val="fr-FR"/>
        </w:rPr>
      </w:pPr>
      <w:r w:rsidRPr="00E3055D">
        <w:rPr>
          <w:lang w:val="fr-FR"/>
        </w:rPr>
        <w:t>Projet de programme de travail pour la période 2022-2025</w:t>
      </w:r>
    </w:p>
    <w:tbl>
      <w:tblPr>
        <w:tblW w:w="13776" w:type="dxa"/>
        <w:tblInd w:w="283" w:type="dxa"/>
        <w:tblLayout w:type="fixed"/>
        <w:tblCellMar>
          <w:left w:w="0" w:type="dxa"/>
          <w:right w:w="0" w:type="dxa"/>
        </w:tblCellMar>
        <w:tblLook w:val="01E0" w:firstRow="1" w:lastRow="1" w:firstColumn="1" w:lastColumn="1" w:noHBand="0" w:noVBand="0"/>
      </w:tblPr>
      <w:tblGrid>
        <w:gridCol w:w="1691"/>
        <w:gridCol w:w="3696"/>
        <w:gridCol w:w="2127"/>
        <w:gridCol w:w="5011"/>
        <w:gridCol w:w="1251"/>
      </w:tblGrid>
      <w:tr w:rsidR="00EA3C11" w:rsidRPr="003F168A" w14:paraId="09081D10" w14:textId="77777777" w:rsidTr="00034375">
        <w:trPr>
          <w:tblHeader/>
        </w:trPr>
        <w:tc>
          <w:tcPr>
            <w:tcW w:w="1691" w:type="dxa"/>
            <w:tcBorders>
              <w:top w:val="single" w:sz="4" w:space="0" w:color="auto"/>
              <w:bottom w:val="single" w:sz="12" w:space="0" w:color="auto"/>
            </w:tcBorders>
            <w:shd w:val="clear" w:color="auto" w:fill="auto"/>
            <w:vAlign w:val="bottom"/>
          </w:tcPr>
          <w:p w14:paraId="7841BA55" w14:textId="77777777" w:rsidR="00EA3C11" w:rsidRPr="003F168A" w:rsidRDefault="00EA3C11" w:rsidP="00E146C5">
            <w:pPr>
              <w:suppressAutoHyphens w:val="0"/>
              <w:spacing w:before="80" w:after="80" w:line="200" w:lineRule="exact"/>
              <w:ind w:right="113"/>
              <w:rPr>
                <w:i/>
                <w:sz w:val="16"/>
                <w:lang w:val="fr-FR"/>
              </w:rPr>
            </w:pPr>
            <w:r w:rsidRPr="003F168A">
              <w:rPr>
                <w:i/>
                <w:sz w:val="16"/>
                <w:lang w:val="fr-FR"/>
              </w:rPr>
              <w:t>Domaine d’activité</w:t>
            </w:r>
          </w:p>
        </w:tc>
        <w:tc>
          <w:tcPr>
            <w:tcW w:w="3696" w:type="dxa"/>
            <w:tcBorders>
              <w:top w:val="single" w:sz="4" w:space="0" w:color="auto"/>
              <w:bottom w:val="single" w:sz="12" w:space="0" w:color="auto"/>
            </w:tcBorders>
            <w:shd w:val="clear" w:color="auto" w:fill="auto"/>
            <w:vAlign w:val="bottom"/>
          </w:tcPr>
          <w:p w14:paraId="0C96415F" w14:textId="77777777" w:rsidR="00EA3C11" w:rsidRPr="003F168A" w:rsidRDefault="00EA3C11" w:rsidP="00E146C5">
            <w:pPr>
              <w:suppressAutoHyphens w:val="0"/>
              <w:spacing w:before="80" w:after="80" w:line="200" w:lineRule="exact"/>
              <w:ind w:right="113"/>
              <w:rPr>
                <w:i/>
                <w:sz w:val="16"/>
                <w:lang w:val="fr-FR"/>
              </w:rPr>
            </w:pPr>
            <w:r w:rsidRPr="003F168A">
              <w:rPr>
                <w:i/>
                <w:sz w:val="16"/>
                <w:lang w:val="fr-FR"/>
              </w:rPr>
              <w:t>Objectifs et réalisations escomptées</w:t>
            </w:r>
          </w:p>
        </w:tc>
        <w:tc>
          <w:tcPr>
            <w:tcW w:w="2127" w:type="dxa"/>
            <w:tcBorders>
              <w:top w:val="single" w:sz="4" w:space="0" w:color="auto"/>
              <w:bottom w:val="single" w:sz="12" w:space="0" w:color="auto"/>
            </w:tcBorders>
            <w:shd w:val="clear" w:color="auto" w:fill="auto"/>
            <w:vAlign w:val="bottom"/>
          </w:tcPr>
          <w:p w14:paraId="7B56A1F7" w14:textId="77777777" w:rsidR="00EA3C11" w:rsidRPr="003F168A" w:rsidRDefault="00EA3C11" w:rsidP="00E146C5">
            <w:pPr>
              <w:suppressAutoHyphens w:val="0"/>
              <w:spacing w:before="80" w:after="80" w:line="200" w:lineRule="exact"/>
              <w:ind w:right="113"/>
              <w:rPr>
                <w:i/>
                <w:sz w:val="16"/>
                <w:lang w:val="fr-FR"/>
              </w:rPr>
            </w:pPr>
            <w:r w:rsidRPr="003F168A">
              <w:rPr>
                <w:i/>
                <w:sz w:val="16"/>
                <w:lang w:val="fr-FR"/>
              </w:rPr>
              <w:t>Pays, organe ou organisme chef de file</w:t>
            </w:r>
          </w:p>
        </w:tc>
        <w:tc>
          <w:tcPr>
            <w:tcW w:w="5011" w:type="dxa"/>
            <w:tcBorders>
              <w:top w:val="single" w:sz="4" w:space="0" w:color="auto"/>
              <w:bottom w:val="single" w:sz="12" w:space="0" w:color="auto"/>
            </w:tcBorders>
            <w:shd w:val="clear" w:color="auto" w:fill="auto"/>
            <w:vAlign w:val="bottom"/>
          </w:tcPr>
          <w:p w14:paraId="4590735F" w14:textId="77777777" w:rsidR="00EA3C11" w:rsidRPr="003F168A" w:rsidRDefault="00EA3C11" w:rsidP="00E146C5">
            <w:pPr>
              <w:suppressAutoHyphens w:val="0"/>
              <w:spacing w:before="80" w:after="80" w:line="200" w:lineRule="exact"/>
              <w:ind w:right="113"/>
              <w:rPr>
                <w:i/>
                <w:sz w:val="16"/>
                <w:lang w:val="fr-FR"/>
              </w:rPr>
            </w:pPr>
            <w:r w:rsidRPr="003F168A">
              <w:rPr>
                <w:i/>
                <w:sz w:val="16"/>
                <w:lang w:val="fr-FR"/>
              </w:rPr>
              <w:t>Méthode de travail</w:t>
            </w:r>
          </w:p>
        </w:tc>
        <w:tc>
          <w:tcPr>
            <w:tcW w:w="1251" w:type="dxa"/>
            <w:tcBorders>
              <w:top w:val="single" w:sz="4" w:space="0" w:color="auto"/>
              <w:bottom w:val="single" w:sz="12" w:space="0" w:color="auto"/>
            </w:tcBorders>
            <w:shd w:val="clear" w:color="auto" w:fill="auto"/>
            <w:vAlign w:val="bottom"/>
          </w:tcPr>
          <w:p w14:paraId="51A6DA0E" w14:textId="33329521" w:rsidR="00EA3C11" w:rsidRPr="003F168A" w:rsidRDefault="00EA3C11" w:rsidP="00034375">
            <w:pPr>
              <w:suppressAutoHyphens w:val="0"/>
              <w:spacing w:before="80" w:after="80" w:line="200" w:lineRule="exact"/>
              <w:ind w:right="57"/>
              <w:jc w:val="right"/>
              <w:rPr>
                <w:bCs/>
                <w:i/>
                <w:sz w:val="16"/>
                <w:lang w:val="fr-FR"/>
              </w:rPr>
            </w:pPr>
            <w:r w:rsidRPr="003F168A">
              <w:rPr>
                <w:i/>
                <w:sz w:val="16"/>
                <w:lang w:val="fr-FR"/>
              </w:rPr>
              <w:t>Moyenne des dépenses annuelles</w:t>
            </w:r>
            <w:r w:rsidRPr="003F168A">
              <w:rPr>
                <w:i/>
                <w:sz w:val="16"/>
                <w:lang w:val="fr-FR"/>
              </w:rPr>
              <w:br/>
              <w:t xml:space="preserve">Total partiel </w:t>
            </w:r>
            <w:r w:rsidRPr="003F168A">
              <w:rPr>
                <w:i/>
                <w:sz w:val="16"/>
                <w:lang w:val="fr-FR"/>
              </w:rPr>
              <w:br/>
            </w:r>
            <w:r w:rsidRPr="00034375">
              <w:rPr>
                <w:i/>
                <w:spacing w:val="-4"/>
                <w:sz w:val="16"/>
                <w:lang w:val="fr-FR"/>
              </w:rPr>
              <w:t>(</w:t>
            </w:r>
            <w:r w:rsidR="00034375" w:rsidRPr="00034375">
              <w:rPr>
                <w:i/>
                <w:spacing w:val="-4"/>
                <w:sz w:val="16"/>
                <w:lang w:val="fr-FR"/>
              </w:rPr>
              <w:t>E</w:t>
            </w:r>
            <w:r w:rsidRPr="00034375">
              <w:rPr>
                <w:i/>
                <w:spacing w:val="-4"/>
                <w:sz w:val="16"/>
                <w:lang w:val="fr-FR"/>
              </w:rPr>
              <w:t>n dollars É.-U.)</w:t>
            </w:r>
            <w:r w:rsidRPr="00034375">
              <w:rPr>
                <w:iCs/>
                <w:spacing w:val="-4"/>
                <w:sz w:val="16"/>
                <w:szCs w:val="16"/>
                <w:vertAlign w:val="superscript"/>
                <w:lang w:val="fr-FR"/>
              </w:rPr>
              <w:t>a</w:t>
            </w:r>
          </w:p>
        </w:tc>
      </w:tr>
      <w:tr w:rsidR="00EA3C11" w:rsidRPr="003F168A" w14:paraId="3B3D632C" w14:textId="77777777" w:rsidTr="00034375">
        <w:trPr>
          <w:trHeight w:hRule="exact" w:val="113"/>
          <w:tblHeader/>
        </w:trPr>
        <w:tc>
          <w:tcPr>
            <w:tcW w:w="1691" w:type="dxa"/>
            <w:tcBorders>
              <w:top w:val="single" w:sz="12" w:space="0" w:color="auto"/>
            </w:tcBorders>
            <w:shd w:val="clear" w:color="auto" w:fill="auto"/>
          </w:tcPr>
          <w:p w14:paraId="174F975A" w14:textId="77777777" w:rsidR="00EA3C11" w:rsidRPr="003F168A" w:rsidRDefault="00EA3C11" w:rsidP="00E146C5">
            <w:pPr>
              <w:suppressAutoHyphens w:val="0"/>
              <w:spacing w:before="40" w:after="120"/>
              <w:ind w:right="113"/>
              <w:rPr>
                <w:lang w:val="fr-FR"/>
              </w:rPr>
            </w:pPr>
          </w:p>
        </w:tc>
        <w:tc>
          <w:tcPr>
            <w:tcW w:w="3696" w:type="dxa"/>
            <w:tcBorders>
              <w:top w:val="single" w:sz="12" w:space="0" w:color="auto"/>
            </w:tcBorders>
            <w:shd w:val="clear" w:color="auto" w:fill="auto"/>
          </w:tcPr>
          <w:p w14:paraId="636E156F" w14:textId="77777777" w:rsidR="00EA3C11" w:rsidRPr="003F168A" w:rsidRDefault="00EA3C11" w:rsidP="00E146C5">
            <w:pPr>
              <w:suppressAutoHyphens w:val="0"/>
              <w:spacing w:before="40" w:after="120"/>
              <w:ind w:right="113"/>
              <w:rPr>
                <w:lang w:val="fr-FR"/>
              </w:rPr>
            </w:pPr>
          </w:p>
        </w:tc>
        <w:tc>
          <w:tcPr>
            <w:tcW w:w="2127" w:type="dxa"/>
            <w:tcBorders>
              <w:top w:val="single" w:sz="12" w:space="0" w:color="auto"/>
            </w:tcBorders>
            <w:shd w:val="clear" w:color="auto" w:fill="auto"/>
          </w:tcPr>
          <w:p w14:paraId="113936F1" w14:textId="77777777" w:rsidR="00EA3C11" w:rsidRPr="003F168A" w:rsidRDefault="00EA3C11" w:rsidP="00E146C5">
            <w:pPr>
              <w:suppressAutoHyphens w:val="0"/>
              <w:spacing w:before="40" w:after="120"/>
              <w:ind w:right="113"/>
              <w:rPr>
                <w:lang w:val="fr-FR"/>
              </w:rPr>
            </w:pPr>
          </w:p>
        </w:tc>
        <w:tc>
          <w:tcPr>
            <w:tcW w:w="5011" w:type="dxa"/>
            <w:tcBorders>
              <w:top w:val="single" w:sz="12" w:space="0" w:color="auto"/>
            </w:tcBorders>
            <w:shd w:val="clear" w:color="auto" w:fill="auto"/>
          </w:tcPr>
          <w:p w14:paraId="5AFD7971" w14:textId="77777777" w:rsidR="00EA3C11" w:rsidRPr="003F168A" w:rsidRDefault="00EA3C11" w:rsidP="00E146C5">
            <w:pPr>
              <w:suppressAutoHyphens w:val="0"/>
              <w:spacing w:before="40" w:after="120"/>
              <w:ind w:right="113"/>
              <w:rPr>
                <w:lang w:val="fr-FR"/>
              </w:rPr>
            </w:pPr>
          </w:p>
        </w:tc>
        <w:tc>
          <w:tcPr>
            <w:tcW w:w="1251" w:type="dxa"/>
            <w:tcBorders>
              <w:top w:val="single" w:sz="12" w:space="0" w:color="auto"/>
            </w:tcBorders>
            <w:shd w:val="clear" w:color="auto" w:fill="auto"/>
          </w:tcPr>
          <w:p w14:paraId="4928BF3D" w14:textId="77777777" w:rsidR="00EA3C11" w:rsidRPr="003F168A" w:rsidRDefault="00EA3C11" w:rsidP="00034375">
            <w:pPr>
              <w:suppressAutoHyphens w:val="0"/>
              <w:spacing w:before="40" w:after="120"/>
              <w:ind w:right="113"/>
              <w:jc w:val="right"/>
              <w:rPr>
                <w:lang w:val="fr-FR"/>
              </w:rPr>
            </w:pPr>
          </w:p>
        </w:tc>
      </w:tr>
      <w:tr w:rsidR="00EA3C11" w:rsidRPr="003F168A" w14:paraId="069CB4B5" w14:textId="77777777" w:rsidTr="00E146C5">
        <w:tc>
          <w:tcPr>
            <w:tcW w:w="13776" w:type="dxa"/>
            <w:gridSpan w:val="5"/>
            <w:shd w:val="clear" w:color="auto" w:fill="auto"/>
          </w:tcPr>
          <w:p w14:paraId="3D126AEC" w14:textId="77777777" w:rsidR="00EA3C11" w:rsidRPr="003F168A" w:rsidRDefault="00EA3C11" w:rsidP="00034375">
            <w:pPr>
              <w:suppressAutoHyphens w:val="0"/>
              <w:spacing w:before="40" w:after="120"/>
              <w:ind w:right="113"/>
              <w:rPr>
                <w:lang w:val="fr-FR"/>
              </w:rPr>
            </w:pPr>
            <w:r w:rsidRPr="003F168A">
              <w:rPr>
                <w:b/>
                <w:bCs/>
                <w:lang w:val="fr-FR"/>
              </w:rPr>
              <w:t>Questions de fond</w:t>
            </w:r>
          </w:p>
        </w:tc>
      </w:tr>
      <w:tr w:rsidR="00EA3C11" w:rsidRPr="003F168A" w14:paraId="3E992E6C" w14:textId="77777777" w:rsidTr="00034375">
        <w:tc>
          <w:tcPr>
            <w:tcW w:w="1691" w:type="dxa"/>
            <w:shd w:val="clear" w:color="auto" w:fill="auto"/>
          </w:tcPr>
          <w:p w14:paraId="44CD367B" w14:textId="77777777" w:rsidR="00EA3C11" w:rsidRPr="003F168A" w:rsidRDefault="00EA3C11" w:rsidP="00E146C5">
            <w:pPr>
              <w:suppressAutoHyphens w:val="0"/>
              <w:spacing w:before="40" w:after="120"/>
              <w:ind w:right="113"/>
              <w:rPr>
                <w:lang w:val="fr-FR"/>
              </w:rPr>
            </w:pPr>
            <w:bookmarkStart w:id="5" w:name="_Hlk31021238"/>
            <w:r w:rsidRPr="003F168A">
              <w:rPr>
                <w:lang w:val="fr-FR"/>
              </w:rPr>
              <w:t xml:space="preserve">I. </w:t>
            </w:r>
            <w:r>
              <w:rPr>
                <w:lang w:val="fr-FR"/>
              </w:rPr>
              <w:br/>
            </w:r>
            <w:r w:rsidRPr="003F168A">
              <w:rPr>
                <w:lang w:val="fr-FR"/>
              </w:rPr>
              <w:t>Accès à l’information, y compris les outils d’information électroniques</w:t>
            </w:r>
          </w:p>
        </w:tc>
        <w:tc>
          <w:tcPr>
            <w:tcW w:w="3696" w:type="dxa"/>
            <w:shd w:val="clear" w:color="auto" w:fill="auto"/>
          </w:tcPr>
          <w:p w14:paraId="0FAFE567" w14:textId="77777777" w:rsidR="00EA3C11" w:rsidRPr="003F168A" w:rsidRDefault="00EA3C11" w:rsidP="00E146C5">
            <w:pPr>
              <w:suppressAutoHyphens w:val="0"/>
              <w:spacing w:before="40" w:after="120"/>
              <w:ind w:right="113"/>
              <w:rPr>
                <w:lang w:val="fr-FR"/>
              </w:rPr>
            </w:pPr>
            <w:r w:rsidRPr="003F168A">
              <w:rPr>
                <w:lang w:val="fr-FR"/>
              </w:rPr>
              <w:t>Les activités seront exécutées conformément à la décision VII/... relative</w:t>
            </w:r>
            <w:r>
              <w:rPr>
                <w:lang w:val="fr-FR"/>
              </w:rPr>
              <w:t> </w:t>
            </w:r>
            <w:r w:rsidRPr="003F168A">
              <w:rPr>
                <w:lang w:val="fr-FR"/>
              </w:rPr>
              <w:t xml:space="preserve">à la promotion d’un accès </w:t>
            </w:r>
            <w:r>
              <w:rPr>
                <w:lang w:val="fr-FR"/>
              </w:rPr>
              <w:br/>
            </w:r>
            <w:r w:rsidRPr="003F168A">
              <w:rPr>
                <w:lang w:val="fr-FR"/>
              </w:rPr>
              <w:t>effectif à l’information.</w:t>
            </w:r>
            <w:r w:rsidRPr="003F168A">
              <w:rPr>
                <w:lang w:val="fr-FR"/>
              </w:rPr>
              <w:br/>
              <w:t>(Elles contribuent principalement à la réalisation des ODD 3, 11, 12 et 17 et de</w:t>
            </w:r>
            <w:r>
              <w:rPr>
                <w:lang w:val="fr-FR"/>
              </w:rPr>
              <w:t> </w:t>
            </w:r>
            <w:r w:rsidRPr="003F168A">
              <w:rPr>
                <w:lang w:val="fr-FR"/>
              </w:rPr>
              <w:t>la cible 16.10)</w:t>
            </w:r>
          </w:p>
        </w:tc>
        <w:tc>
          <w:tcPr>
            <w:tcW w:w="2127" w:type="dxa"/>
            <w:shd w:val="clear" w:color="auto" w:fill="auto"/>
          </w:tcPr>
          <w:p w14:paraId="6A00564A" w14:textId="77777777" w:rsidR="00EA3C11" w:rsidRPr="003F168A" w:rsidRDefault="00EA3C11" w:rsidP="00E146C5">
            <w:pPr>
              <w:suppressAutoHyphens w:val="0"/>
              <w:spacing w:before="40" w:after="120"/>
              <w:ind w:right="113"/>
              <w:rPr>
                <w:lang w:val="fr-FR"/>
              </w:rPr>
            </w:pPr>
            <w:r w:rsidRPr="003F168A">
              <w:rPr>
                <w:lang w:val="fr-FR"/>
              </w:rPr>
              <w:t>L’Équipe spéciale de l’accès à</w:t>
            </w:r>
            <w:r>
              <w:rPr>
                <w:lang w:val="fr-FR"/>
              </w:rPr>
              <w:t xml:space="preserve"> </w:t>
            </w:r>
            <w:r w:rsidRPr="003F168A">
              <w:rPr>
                <w:lang w:val="fr-FR"/>
              </w:rPr>
              <w:t>l’information</w:t>
            </w:r>
          </w:p>
          <w:p w14:paraId="29FB45BA" w14:textId="77777777" w:rsidR="00EA3C11" w:rsidRPr="003F168A" w:rsidRDefault="00EA3C11" w:rsidP="00E146C5">
            <w:pPr>
              <w:suppressAutoHyphens w:val="0"/>
              <w:spacing w:before="40" w:after="120"/>
              <w:ind w:right="113"/>
              <w:rPr>
                <w:lang w:val="fr-FR"/>
              </w:rPr>
            </w:pPr>
            <w:r w:rsidRPr="003F168A">
              <w:rPr>
                <w:lang w:val="fr-FR"/>
              </w:rPr>
              <w:t>Séance thématique dans le cadre des réunions du</w:t>
            </w:r>
            <w:r>
              <w:rPr>
                <w:lang w:val="fr-FR"/>
              </w:rPr>
              <w:t> </w:t>
            </w:r>
            <w:r w:rsidRPr="003F168A">
              <w:rPr>
                <w:lang w:val="fr-FR"/>
              </w:rPr>
              <w:t>Groupe de travail des</w:t>
            </w:r>
            <w:r>
              <w:rPr>
                <w:lang w:val="fr-FR"/>
              </w:rPr>
              <w:t> </w:t>
            </w:r>
            <w:r w:rsidRPr="003F168A">
              <w:rPr>
                <w:lang w:val="fr-FR"/>
              </w:rPr>
              <w:t>Parties</w:t>
            </w:r>
          </w:p>
          <w:p w14:paraId="27AEB92D" w14:textId="0546B719" w:rsidR="00EA3C11" w:rsidRPr="003F168A" w:rsidRDefault="00EA3C11" w:rsidP="00E146C5">
            <w:pPr>
              <w:suppressAutoHyphens w:val="0"/>
              <w:spacing w:before="40" w:after="120"/>
              <w:ind w:right="113"/>
              <w:rPr>
                <w:lang w:val="fr-FR"/>
              </w:rPr>
            </w:pPr>
            <w:r w:rsidRPr="003F168A">
              <w:rPr>
                <w:lang w:val="fr-FR"/>
              </w:rPr>
              <w:t>Le secrétariat, qui fera appel si</w:t>
            </w:r>
            <w:r w:rsidR="0041339F">
              <w:rPr>
                <w:lang w:val="fr-FR"/>
              </w:rPr>
              <w:t xml:space="preserve"> </w:t>
            </w:r>
            <w:r w:rsidRPr="003F168A">
              <w:rPr>
                <w:lang w:val="fr-FR"/>
              </w:rPr>
              <w:t>nécessaire à du</w:t>
            </w:r>
            <w:r>
              <w:rPr>
                <w:lang w:val="fr-FR"/>
              </w:rPr>
              <w:t> </w:t>
            </w:r>
            <w:r w:rsidRPr="003F168A">
              <w:rPr>
                <w:lang w:val="fr-FR"/>
              </w:rPr>
              <w:t>personnel d’appui technique</w:t>
            </w:r>
          </w:p>
        </w:tc>
        <w:tc>
          <w:tcPr>
            <w:tcW w:w="5011" w:type="dxa"/>
            <w:shd w:val="clear" w:color="auto" w:fill="auto"/>
          </w:tcPr>
          <w:p w14:paraId="7502CD8F" w14:textId="77777777" w:rsidR="00EA3C11" w:rsidRPr="003F168A" w:rsidRDefault="00EA3C11" w:rsidP="00E146C5">
            <w:pPr>
              <w:suppressAutoHyphens w:val="0"/>
              <w:spacing w:before="40" w:after="120"/>
              <w:ind w:right="113"/>
              <w:rPr>
                <w:lang w:val="fr-FR"/>
              </w:rPr>
            </w:pPr>
            <w:r w:rsidRPr="003F168A">
              <w:rPr>
                <w:lang w:val="fr-FR"/>
              </w:rPr>
              <w:t>Réunions de l’Équipe spéciale et ateliers ; enquête(s) ; participation à d’autres initiatives régionales pertinentes, s’il y a lieu, dans le cadre d’approches s’appuyant sur des partenariats par secteur ; projets pilotes et activités de renforcement des capacités aux niveaux sous-régional et national, qui devraient être financés par les partenaires.</w:t>
            </w:r>
          </w:p>
          <w:p w14:paraId="0794DB77" w14:textId="6C991F42" w:rsidR="00EA3C11" w:rsidRPr="003F168A" w:rsidRDefault="00EA3C11" w:rsidP="00E146C5">
            <w:pPr>
              <w:suppressAutoHyphens w:val="0"/>
              <w:spacing w:before="40" w:after="120"/>
              <w:ind w:right="113"/>
              <w:rPr>
                <w:lang w:val="fr-FR"/>
              </w:rPr>
            </w:pPr>
            <w:r w:rsidRPr="003F168A">
              <w:rPr>
                <w:lang w:val="fr-FR"/>
              </w:rPr>
              <w:t>Gestion centrale du Mécanisme d’échange d’informations d’Aarhus</w:t>
            </w:r>
            <w:r w:rsidRPr="00AA0203">
              <w:rPr>
                <w:i/>
                <w:iCs/>
                <w:szCs w:val="18"/>
                <w:vertAlign w:val="superscript"/>
                <w:lang w:val="fr-FR"/>
              </w:rPr>
              <w:t>b</w:t>
            </w:r>
            <w:r w:rsidRPr="003F168A">
              <w:rPr>
                <w:lang w:val="fr-FR"/>
              </w:rPr>
              <w:t xml:space="preserve"> et promotion sur les réseaux sociaux en ligne ; activités de conseils et de coordination à l’intention des antennes d’information nationales du Mécanisme d’échange d’informations d’Aarhus et coordination</w:t>
            </w:r>
            <w:r w:rsidR="008751E7">
              <w:rPr>
                <w:lang w:val="fr-FR"/>
              </w:rPr>
              <w:t> </w:t>
            </w:r>
            <w:r w:rsidRPr="003F168A">
              <w:rPr>
                <w:lang w:val="fr-FR"/>
              </w:rPr>
              <w:t>; échange d’informations et promotion des outils électroniques par la</w:t>
            </w:r>
            <w:r w:rsidR="008751E7">
              <w:rPr>
                <w:lang w:val="fr-FR"/>
              </w:rPr>
              <w:t> </w:t>
            </w:r>
            <w:r w:rsidRPr="003F168A">
              <w:rPr>
                <w:lang w:val="fr-FR"/>
              </w:rPr>
              <w:t>tenue à jour des bases de données en ligne sur la jurisprudence, les bonnes pratiques et les rapports nationaux d’exécution, et par la publication en ligne des études de cas sur : a) les outils d’information électroniques ; b) la participation du public au niveau national ; c) la participation du public aux travaux des instances internationales.</w:t>
            </w:r>
          </w:p>
        </w:tc>
        <w:tc>
          <w:tcPr>
            <w:tcW w:w="1251" w:type="dxa"/>
            <w:shd w:val="clear" w:color="auto" w:fill="auto"/>
          </w:tcPr>
          <w:p w14:paraId="74B42916" w14:textId="77777777" w:rsidR="00EA3C11" w:rsidRPr="003F168A" w:rsidRDefault="00EA3C11" w:rsidP="00034375">
            <w:pPr>
              <w:suppressAutoHyphens w:val="0"/>
              <w:spacing w:before="40" w:after="120"/>
              <w:ind w:right="113"/>
              <w:jc w:val="right"/>
              <w:rPr>
                <w:lang w:val="fr-FR"/>
              </w:rPr>
            </w:pPr>
            <w:r w:rsidRPr="003F168A">
              <w:rPr>
                <w:lang w:val="fr-FR"/>
              </w:rPr>
              <w:t>79</w:t>
            </w:r>
            <w:r>
              <w:rPr>
                <w:lang w:val="fr-FR"/>
              </w:rPr>
              <w:t> </w:t>
            </w:r>
            <w:r w:rsidRPr="003F168A">
              <w:rPr>
                <w:lang w:val="fr-FR"/>
              </w:rPr>
              <w:t>900</w:t>
            </w:r>
            <w:r>
              <w:rPr>
                <w:lang w:val="fr-FR"/>
              </w:rPr>
              <w:t xml:space="preserve"> </w:t>
            </w:r>
            <w:r w:rsidRPr="003F168A">
              <w:rPr>
                <w:lang w:val="fr-FR"/>
              </w:rPr>
              <w:br/>
              <w:t>(6</w:t>
            </w:r>
            <w:r>
              <w:rPr>
                <w:lang w:val="fr-FR"/>
              </w:rPr>
              <w:t> </w:t>
            </w:r>
            <w:r w:rsidRPr="003F168A">
              <w:rPr>
                <w:lang w:val="fr-FR"/>
              </w:rPr>
              <w:t>500)</w:t>
            </w:r>
          </w:p>
        </w:tc>
      </w:tr>
      <w:tr w:rsidR="00EA3C11" w:rsidRPr="003F168A" w14:paraId="5ABF280A" w14:textId="77777777" w:rsidTr="00034375">
        <w:tc>
          <w:tcPr>
            <w:tcW w:w="1691" w:type="dxa"/>
            <w:shd w:val="clear" w:color="auto" w:fill="auto"/>
          </w:tcPr>
          <w:p w14:paraId="1596C1C6" w14:textId="77777777" w:rsidR="00EA3C11" w:rsidRPr="003F168A" w:rsidRDefault="00EA3C11" w:rsidP="00E146C5">
            <w:pPr>
              <w:suppressAutoHyphens w:val="0"/>
              <w:spacing w:before="40" w:after="120"/>
              <w:ind w:right="113"/>
              <w:rPr>
                <w:lang w:val="fr-FR"/>
              </w:rPr>
            </w:pPr>
            <w:r w:rsidRPr="003F168A">
              <w:rPr>
                <w:lang w:val="fr-FR"/>
              </w:rPr>
              <w:t xml:space="preserve">II. </w:t>
            </w:r>
            <w:r>
              <w:rPr>
                <w:lang w:val="fr-FR"/>
              </w:rPr>
              <w:br/>
            </w:r>
            <w:r w:rsidRPr="003F168A">
              <w:rPr>
                <w:lang w:val="fr-FR"/>
              </w:rPr>
              <w:t>Participation du public</w:t>
            </w:r>
          </w:p>
        </w:tc>
        <w:tc>
          <w:tcPr>
            <w:tcW w:w="3696" w:type="dxa"/>
            <w:shd w:val="clear" w:color="auto" w:fill="auto"/>
          </w:tcPr>
          <w:p w14:paraId="539488EB" w14:textId="77777777" w:rsidR="00EA3C11" w:rsidRPr="003F168A" w:rsidRDefault="00EA3C11" w:rsidP="00E146C5">
            <w:pPr>
              <w:suppressAutoHyphens w:val="0"/>
              <w:spacing w:before="40" w:after="120"/>
              <w:ind w:right="113"/>
              <w:rPr>
                <w:lang w:val="fr-FR"/>
              </w:rPr>
            </w:pPr>
            <w:r w:rsidRPr="003F168A">
              <w:rPr>
                <w:lang w:val="fr-FR"/>
              </w:rPr>
              <w:t>Les activités seront exécutées conformément à la décision VII/... relative à la promotion de la participation effective du public au processus décisionnel.</w:t>
            </w:r>
            <w:r w:rsidRPr="003F168A">
              <w:rPr>
                <w:lang w:val="fr-FR"/>
              </w:rPr>
              <w:br/>
              <w:t>(Elles contribuent principalement à la réalisation des ODD 3, 6, 7, 8, 9, 11, 12, 13, 14 et 15, et de la cible 16.7)</w:t>
            </w:r>
          </w:p>
        </w:tc>
        <w:tc>
          <w:tcPr>
            <w:tcW w:w="2127" w:type="dxa"/>
            <w:shd w:val="clear" w:color="auto" w:fill="auto"/>
          </w:tcPr>
          <w:p w14:paraId="04557DDC" w14:textId="77777777" w:rsidR="00EA3C11" w:rsidRPr="003F168A" w:rsidRDefault="00EA3C11" w:rsidP="00E146C5">
            <w:pPr>
              <w:suppressAutoHyphens w:val="0"/>
              <w:spacing w:before="40" w:after="120"/>
              <w:ind w:right="113"/>
              <w:rPr>
                <w:lang w:val="fr-FR"/>
              </w:rPr>
            </w:pPr>
            <w:r w:rsidRPr="003F168A">
              <w:rPr>
                <w:lang w:val="fr-FR"/>
              </w:rPr>
              <w:t>L’Équipe spéciale de la participation du public au processus décisionnel</w:t>
            </w:r>
          </w:p>
          <w:p w14:paraId="5ECA1645" w14:textId="77777777" w:rsidR="00EA3C11" w:rsidRPr="003F168A" w:rsidRDefault="00EA3C11" w:rsidP="00E146C5">
            <w:pPr>
              <w:suppressAutoHyphens w:val="0"/>
              <w:spacing w:before="40" w:after="120"/>
              <w:ind w:right="113"/>
              <w:rPr>
                <w:lang w:val="fr-FR"/>
              </w:rPr>
            </w:pPr>
            <w:r w:rsidRPr="003F168A">
              <w:rPr>
                <w:lang w:val="fr-FR"/>
              </w:rPr>
              <w:t>Séance thématique dans le cadre des réunions du Groupe de travail des</w:t>
            </w:r>
            <w:r>
              <w:rPr>
                <w:lang w:val="fr-FR"/>
              </w:rPr>
              <w:t> </w:t>
            </w:r>
            <w:r w:rsidRPr="003F168A">
              <w:rPr>
                <w:lang w:val="fr-FR"/>
              </w:rPr>
              <w:t>Parties</w:t>
            </w:r>
          </w:p>
          <w:p w14:paraId="09C53B7F" w14:textId="77777777" w:rsidR="00EA3C11" w:rsidRPr="003F168A" w:rsidRDefault="00EA3C11" w:rsidP="00E146C5">
            <w:pPr>
              <w:suppressAutoHyphens w:val="0"/>
              <w:spacing w:before="40" w:after="120"/>
              <w:ind w:right="113"/>
              <w:rPr>
                <w:lang w:val="fr-FR"/>
              </w:rPr>
            </w:pPr>
            <w:r w:rsidRPr="003F168A">
              <w:rPr>
                <w:lang w:val="fr-FR"/>
              </w:rPr>
              <w:t>Le secrétariat, qui fera appel si</w:t>
            </w:r>
            <w:r>
              <w:rPr>
                <w:lang w:val="fr-FR"/>
              </w:rPr>
              <w:t xml:space="preserve"> </w:t>
            </w:r>
            <w:r w:rsidRPr="003F168A">
              <w:rPr>
                <w:lang w:val="fr-FR"/>
              </w:rPr>
              <w:t>nécessaire à des</w:t>
            </w:r>
            <w:r>
              <w:rPr>
                <w:lang w:val="fr-FR"/>
              </w:rPr>
              <w:t> </w:t>
            </w:r>
            <w:r w:rsidRPr="003F168A">
              <w:rPr>
                <w:lang w:val="fr-FR"/>
              </w:rPr>
              <w:t>services d’experts</w:t>
            </w:r>
          </w:p>
        </w:tc>
        <w:tc>
          <w:tcPr>
            <w:tcW w:w="5011" w:type="dxa"/>
            <w:shd w:val="clear" w:color="auto" w:fill="auto"/>
          </w:tcPr>
          <w:p w14:paraId="6E883639" w14:textId="77777777" w:rsidR="00EA3C11" w:rsidRPr="003F168A" w:rsidRDefault="00EA3C11" w:rsidP="00E146C5">
            <w:pPr>
              <w:suppressAutoHyphens w:val="0"/>
              <w:spacing w:before="40" w:after="120"/>
              <w:ind w:right="113"/>
              <w:rPr>
                <w:lang w:val="fr-FR"/>
              </w:rPr>
            </w:pPr>
            <w:r w:rsidRPr="003F168A">
              <w:rPr>
                <w:lang w:val="fr-FR"/>
              </w:rPr>
              <w:t>Réunions de l’Équipe spéciale ; ateliers ; recours au Mécanisme d’échange d’informations d’Aarhus, utilisation de sa base de données sur les bonnes pratiques et recensement d’études de cas pour faciliter l’échange d’informations sur les bonnes pratiques ; étude des synergies et des possibilités de coopération avec les organes concernés créés en vertu d’autres accords multilatéraux relatifs à l’environnement et les organisations partenaires.</w:t>
            </w:r>
          </w:p>
          <w:p w14:paraId="7A9526A9" w14:textId="69DF2F34" w:rsidR="00EA3C11" w:rsidRPr="003F168A" w:rsidRDefault="00EA3C11" w:rsidP="00E146C5">
            <w:pPr>
              <w:suppressAutoHyphens w:val="0"/>
              <w:spacing w:before="40" w:after="120"/>
              <w:ind w:right="113"/>
              <w:rPr>
                <w:lang w:val="fr-FR"/>
              </w:rPr>
            </w:pPr>
            <w:r w:rsidRPr="003F168A">
              <w:rPr>
                <w:lang w:val="fr-FR"/>
              </w:rPr>
              <w:t>Participation à d’autres initiatives régionales pertinentes en</w:t>
            </w:r>
            <w:r w:rsidR="00AA0203">
              <w:rPr>
                <w:lang w:val="fr-FR"/>
              </w:rPr>
              <w:t> </w:t>
            </w:r>
            <w:r w:rsidRPr="003F168A">
              <w:rPr>
                <w:lang w:val="fr-FR"/>
              </w:rPr>
              <w:t>tant que de besoin ; projets pilotes et activités de renforcement des capacités aux niveaux sous</w:t>
            </w:r>
            <w:r w:rsidRPr="003F168A">
              <w:rPr>
                <w:lang w:val="fr-FR"/>
              </w:rPr>
              <w:noBreakHyphen/>
              <w:t>régional et</w:t>
            </w:r>
            <w:r w:rsidR="00AA0203">
              <w:rPr>
                <w:lang w:val="fr-FR"/>
              </w:rPr>
              <w:t> </w:t>
            </w:r>
            <w:r w:rsidRPr="003F168A">
              <w:rPr>
                <w:lang w:val="fr-FR"/>
              </w:rPr>
              <w:t>national, qui devraient être financés par</w:t>
            </w:r>
            <w:r>
              <w:rPr>
                <w:lang w:val="fr-FR"/>
              </w:rPr>
              <w:t xml:space="preserve"> </w:t>
            </w:r>
            <w:r w:rsidRPr="003F168A">
              <w:rPr>
                <w:lang w:val="fr-FR"/>
              </w:rPr>
              <w:t>les</w:t>
            </w:r>
            <w:r>
              <w:rPr>
                <w:lang w:val="fr-FR"/>
              </w:rPr>
              <w:t xml:space="preserve"> </w:t>
            </w:r>
            <w:r w:rsidRPr="003F168A">
              <w:rPr>
                <w:lang w:val="fr-FR"/>
              </w:rPr>
              <w:t>partenaires.</w:t>
            </w:r>
          </w:p>
        </w:tc>
        <w:tc>
          <w:tcPr>
            <w:tcW w:w="1251" w:type="dxa"/>
            <w:shd w:val="clear" w:color="auto" w:fill="auto"/>
          </w:tcPr>
          <w:p w14:paraId="46F90845" w14:textId="77777777" w:rsidR="00EA3C11" w:rsidRPr="003F168A" w:rsidRDefault="00EA3C11" w:rsidP="00034375">
            <w:pPr>
              <w:suppressAutoHyphens w:val="0"/>
              <w:spacing w:before="40" w:after="120"/>
              <w:ind w:right="113"/>
              <w:jc w:val="right"/>
              <w:rPr>
                <w:lang w:val="fr-FR"/>
              </w:rPr>
            </w:pPr>
            <w:r w:rsidRPr="003F168A">
              <w:rPr>
                <w:lang w:val="fr-FR"/>
              </w:rPr>
              <w:t>82</w:t>
            </w:r>
            <w:r>
              <w:rPr>
                <w:lang w:val="fr-FR"/>
              </w:rPr>
              <w:t> </w:t>
            </w:r>
            <w:r w:rsidRPr="003F168A">
              <w:rPr>
                <w:lang w:val="fr-FR"/>
              </w:rPr>
              <w:t>900</w:t>
            </w:r>
            <w:r>
              <w:rPr>
                <w:lang w:val="fr-FR"/>
              </w:rPr>
              <w:t xml:space="preserve"> </w:t>
            </w:r>
            <w:r w:rsidRPr="003F168A">
              <w:rPr>
                <w:lang w:val="fr-FR"/>
              </w:rPr>
              <w:br/>
              <w:t>(8</w:t>
            </w:r>
            <w:r>
              <w:rPr>
                <w:lang w:val="fr-FR"/>
              </w:rPr>
              <w:t> </w:t>
            </w:r>
            <w:r w:rsidRPr="003F168A">
              <w:rPr>
                <w:lang w:val="fr-FR"/>
              </w:rPr>
              <w:t>500)</w:t>
            </w:r>
          </w:p>
        </w:tc>
      </w:tr>
      <w:tr w:rsidR="00EA3C11" w:rsidRPr="003F168A" w14:paraId="22B35626" w14:textId="77777777" w:rsidTr="00034375">
        <w:tc>
          <w:tcPr>
            <w:tcW w:w="1691" w:type="dxa"/>
            <w:shd w:val="clear" w:color="auto" w:fill="auto"/>
          </w:tcPr>
          <w:p w14:paraId="726FF3D4" w14:textId="77777777" w:rsidR="00EA3C11" w:rsidRPr="003F168A" w:rsidRDefault="00EA3C11" w:rsidP="00E146C5">
            <w:pPr>
              <w:suppressAutoHyphens w:val="0"/>
              <w:spacing w:before="40" w:after="120"/>
              <w:ind w:right="113"/>
              <w:rPr>
                <w:lang w:val="fr-FR"/>
              </w:rPr>
            </w:pPr>
            <w:r w:rsidRPr="003F168A">
              <w:rPr>
                <w:lang w:val="fr-FR"/>
              </w:rPr>
              <w:t xml:space="preserve">III. </w:t>
            </w:r>
            <w:r>
              <w:rPr>
                <w:lang w:val="fr-FR"/>
              </w:rPr>
              <w:br/>
            </w:r>
            <w:r w:rsidRPr="003F168A">
              <w:rPr>
                <w:lang w:val="fr-FR"/>
              </w:rPr>
              <w:t>Accès à</w:t>
            </w:r>
            <w:r>
              <w:rPr>
                <w:lang w:val="fr-FR"/>
              </w:rPr>
              <w:t xml:space="preserve"> </w:t>
            </w:r>
            <w:r w:rsidRPr="003F168A">
              <w:rPr>
                <w:lang w:val="fr-FR"/>
              </w:rPr>
              <w:t>la</w:t>
            </w:r>
            <w:r>
              <w:rPr>
                <w:lang w:val="fr-FR"/>
              </w:rPr>
              <w:t xml:space="preserve"> </w:t>
            </w:r>
            <w:r w:rsidRPr="003F168A">
              <w:rPr>
                <w:lang w:val="fr-FR"/>
              </w:rPr>
              <w:t>justice</w:t>
            </w:r>
          </w:p>
        </w:tc>
        <w:tc>
          <w:tcPr>
            <w:tcW w:w="3696" w:type="dxa"/>
            <w:shd w:val="clear" w:color="auto" w:fill="auto"/>
          </w:tcPr>
          <w:p w14:paraId="4BE9F0F2" w14:textId="7E13D75F" w:rsidR="00EA3C11" w:rsidRPr="003F168A" w:rsidRDefault="00EA3C11" w:rsidP="00E146C5">
            <w:pPr>
              <w:suppressAutoHyphens w:val="0"/>
              <w:spacing w:before="40" w:after="120"/>
              <w:ind w:right="113"/>
              <w:rPr>
                <w:lang w:val="fr-FR"/>
              </w:rPr>
            </w:pPr>
            <w:r w:rsidRPr="003F168A">
              <w:rPr>
                <w:lang w:val="fr-FR"/>
              </w:rPr>
              <w:t>Les activités seront exécutées conformément à la décision VII/... relative</w:t>
            </w:r>
            <w:r w:rsidR="00AA0203">
              <w:rPr>
                <w:lang w:val="fr-FR"/>
              </w:rPr>
              <w:t xml:space="preserve"> </w:t>
            </w:r>
            <w:r w:rsidRPr="003F168A">
              <w:rPr>
                <w:lang w:val="fr-FR"/>
              </w:rPr>
              <w:t>à</w:t>
            </w:r>
            <w:r>
              <w:rPr>
                <w:lang w:val="fr-FR"/>
              </w:rPr>
              <w:t xml:space="preserve"> </w:t>
            </w:r>
            <w:r w:rsidRPr="003F168A">
              <w:rPr>
                <w:lang w:val="fr-FR"/>
              </w:rPr>
              <w:t>la promotion d’un accès effectif à la justice.</w:t>
            </w:r>
            <w:r w:rsidRPr="003F168A">
              <w:rPr>
                <w:lang w:val="fr-FR"/>
              </w:rPr>
              <w:br/>
              <w:t>(Elles contribuent principalement à la réalisation de la cible 16.3 des ODD)</w:t>
            </w:r>
          </w:p>
        </w:tc>
        <w:tc>
          <w:tcPr>
            <w:tcW w:w="2127" w:type="dxa"/>
            <w:shd w:val="clear" w:color="auto" w:fill="auto"/>
          </w:tcPr>
          <w:p w14:paraId="68CD412A" w14:textId="77777777" w:rsidR="00EA3C11" w:rsidRPr="003F168A" w:rsidRDefault="00EA3C11" w:rsidP="00E146C5">
            <w:pPr>
              <w:suppressAutoHyphens w:val="0"/>
              <w:spacing w:before="40" w:after="120"/>
              <w:ind w:right="113"/>
              <w:rPr>
                <w:lang w:val="fr-FR"/>
              </w:rPr>
            </w:pPr>
            <w:r w:rsidRPr="003F168A">
              <w:rPr>
                <w:lang w:val="fr-FR"/>
              </w:rPr>
              <w:t>L’Équipe spéciale de l’accès à</w:t>
            </w:r>
            <w:r>
              <w:rPr>
                <w:lang w:val="fr-FR"/>
              </w:rPr>
              <w:t xml:space="preserve"> </w:t>
            </w:r>
            <w:r w:rsidRPr="003F168A">
              <w:rPr>
                <w:lang w:val="fr-FR"/>
              </w:rPr>
              <w:t>la justice</w:t>
            </w:r>
          </w:p>
          <w:p w14:paraId="2549CC84" w14:textId="77777777" w:rsidR="00EA3C11" w:rsidRPr="003F168A" w:rsidRDefault="00EA3C11" w:rsidP="00E146C5">
            <w:pPr>
              <w:suppressAutoHyphens w:val="0"/>
              <w:spacing w:before="40" w:after="120"/>
              <w:ind w:right="113"/>
              <w:rPr>
                <w:lang w:val="fr-FR"/>
              </w:rPr>
            </w:pPr>
            <w:r w:rsidRPr="003F168A">
              <w:rPr>
                <w:lang w:val="fr-FR"/>
              </w:rPr>
              <w:t>Séance thématique dans le cadre des réunions du</w:t>
            </w:r>
            <w:r>
              <w:rPr>
                <w:lang w:val="fr-FR"/>
              </w:rPr>
              <w:t> </w:t>
            </w:r>
            <w:r w:rsidRPr="003F168A">
              <w:rPr>
                <w:lang w:val="fr-FR"/>
              </w:rPr>
              <w:t>Groupe de travail des</w:t>
            </w:r>
            <w:r>
              <w:rPr>
                <w:lang w:val="fr-FR"/>
              </w:rPr>
              <w:t> </w:t>
            </w:r>
            <w:r w:rsidRPr="003F168A">
              <w:rPr>
                <w:lang w:val="fr-FR"/>
              </w:rPr>
              <w:t>Parties</w:t>
            </w:r>
          </w:p>
          <w:p w14:paraId="1B3798C8" w14:textId="0A0D6733" w:rsidR="00EA3C11" w:rsidRPr="003F168A" w:rsidRDefault="00EA3C11" w:rsidP="00E146C5">
            <w:pPr>
              <w:suppressAutoHyphens w:val="0"/>
              <w:spacing w:before="40" w:after="120"/>
              <w:ind w:right="113"/>
              <w:rPr>
                <w:lang w:val="fr-FR"/>
              </w:rPr>
            </w:pPr>
            <w:r w:rsidRPr="003F168A">
              <w:rPr>
                <w:lang w:val="fr-FR"/>
              </w:rPr>
              <w:t>Le secrétariat, qui fera appel si</w:t>
            </w:r>
            <w:r>
              <w:rPr>
                <w:lang w:val="fr-FR"/>
              </w:rPr>
              <w:t xml:space="preserve"> </w:t>
            </w:r>
            <w:r w:rsidRPr="003F168A">
              <w:rPr>
                <w:lang w:val="fr-FR"/>
              </w:rPr>
              <w:t>nécessaire à des</w:t>
            </w:r>
            <w:r w:rsidR="00AA0203">
              <w:rPr>
                <w:lang w:val="fr-FR"/>
              </w:rPr>
              <w:t> </w:t>
            </w:r>
            <w:r w:rsidRPr="003F168A">
              <w:rPr>
                <w:lang w:val="fr-FR"/>
              </w:rPr>
              <w:t>services d’experts</w:t>
            </w:r>
          </w:p>
        </w:tc>
        <w:tc>
          <w:tcPr>
            <w:tcW w:w="5011" w:type="dxa"/>
            <w:shd w:val="clear" w:color="auto" w:fill="auto"/>
          </w:tcPr>
          <w:p w14:paraId="3EECE64E" w14:textId="77777777" w:rsidR="00EA3C11" w:rsidRPr="003F168A" w:rsidRDefault="00EA3C11" w:rsidP="00E146C5">
            <w:pPr>
              <w:suppressAutoHyphens w:val="0"/>
              <w:spacing w:before="40" w:after="120"/>
              <w:ind w:right="113"/>
              <w:rPr>
                <w:lang w:val="fr-FR"/>
              </w:rPr>
            </w:pPr>
            <w:r w:rsidRPr="003F168A">
              <w:rPr>
                <w:lang w:val="fr-FR"/>
              </w:rPr>
              <w:t>Réunions de l’Équipe spéciale, si possible immédiatement avant ou après d’autres activités pertinentes, à organiser en liaison avec les organisations partenaires actives dans le domaine de l’accès à la justice et, le cas échéant, par la définition d’approches s’appuyant sur des partenariats par</w:t>
            </w:r>
            <w:r>
              <w:rPr>
                <w:lang w:val="fr-FR"/>
              </w:rPr>
              <w:t> </w:t>
            </w:r>
            <w:r w:rsidRPr="003F168A">
              <w:rPr>
                <w:lang w:val="fr-FR"/>
              </w:rPr>
              <w:t>secteur.</w:t>
            </w:r>
          </w:p>
          <w:p w14:paraId="214C1A46" w14:textId="77777777" w:rsidR="00EA3C11" w:rsidRPr="003F168A" w:rsidRDefault="00EA3C11" w:rsidP="00E146C5">
            <w:pPr>
              <w:suppressAutoHyphens w:val="0"/>
              <w:spacing w:before="40" w:after="120"/>
              <w:ind w:right="113"/>
              <w:rPr>
                <w:lang w:val="fr-FR"/>
              </w:rPr>
            </w:pPr>
            <w:bookmarkStart w:id="6" w:name="_Hlk35877507"/>
            <w:r w:rsidRPr="003F168A">
              <w:rPr>
                <w:lang w:val="fr-FR"/>
              </w:rPr>
              <w:t>Renforcement du réseau d’institutions judiciaires, d’établissements de formation judiciaire et d’autres organes d’examen dans la région paneuropéenne et renforcement de la coopération avec les réseaux existants de juges et autres spécialistes du droit, ainsi qu’avec d’autres instances internationales ; recours au Mécanisme d’échange d’informations d’Aarhus, utilisation de ses bases de données sur la jurisprudence et les bonnes pratiques, pour faciliter l’échange d’informations sur les bonnes pratiques ; échange d’informations et appui au renforcement des capacités.</w:t>
            </w:r>
            <w:bookmarkEnd w:id="6"/>
          </w:p>
        </w:tc>
        <w:tc>
          <w:tcPr>
            <w:tcW w:w="1251" w:type="dxa"/>
            <w:shd w:val="clear" w:color="auto" w:fill="auto"/>
          </w:tcPr>
          <w:p w14:paraId="7F98C465" w14:textId="77777777" w:rsidR="00EA3C11" w:rsidRPr="003F168A" w:rsidRDefault="00EA3C11" w:rsidP="00034375">
            <w:pPr>
              <w:suppressAutoHyphens w:val="0"/>
              <w:spacing w:before="40" w:after="120"/>
              <w:ind w:right="113"/>
              <w:jc w:val="right"/>
              <w:rPr>
                <w:lang w:val="fr-FR"/>
              </w:rPr>
            </w:pPr>
            <w:r w:rsidRPr="003F168A">
              <w:rPr>
                <w:lang w:val="fr-FR"/>
              </w:rPr>
              <w:t>107</w:t>
            </w:r>
            <w:r>
              <w:rPr>
                <w:lang w:val="fr-FR"/>
              </w:rPr>
              <w:t> </w:t>
            </w:r>
            <w:r w:rsidRPr="003F168A">
              <w:rPr>
                <w:lang w:val="fr-FR"/>
              </w:rPr>
              <w:t>100</w:t>
            </w:r>
            <w:r>
              <w:rPr>
                <w:lang w:val="fr-FR"/>
              </w:rPr>
              <w:t xml:space="preserve"> </w:t>
            </w:r>
            <w:r w:rsidRPr="003F168A">
              <w:rPr>
                <w:lang w:val="fr-FR"/>
              </w:rPr>
              <w:br/>
              <w:t>(10</w:t>
            </w:r>
            <w:r>
              <w:rPr>
                <w:lang w:val="fr-FR"/>
              </w:rPr>
              <w:t> </w:t>
            </w:r>
            <w:r w:rsidRPr="003F168A">
              <w:rPr>
                <w:lang w:val="fr-FR"/>
              </w:rPr>
              <w:t>500)</w:t>
            </w:r>
          </w:p>
        </w:tc>
      </w:tr>
      <w:tr w:rsidR="00EA3C11" w:rsidRPr="003F168A" w14:paraId="4EC6BFDC" w14:textId="77777777" w:rsidTr="00034375">
        <w:trPr>
          <w:cantSplit/>
        </w:trPr>
        <w:tc>
          <w:tcPr>
            <w:tcW w:w="1691" w:type="dxa"/>
            <w:shd w:val="clear" w:color="auto" w:fill="auto"/>
          </w:tcPr>
          <w:p w14:paraId="54FCA23B" w14:textId="77777777" w:rsidR="00EA3C11" w:rsidRPr="003F168A" w:rsidRDefault="00EA3C11" w:rsidP="00E146C5">
            <w:pPr>
              <w:suppressAutoHyphens w:val="0"/>
              <w:spacing w:before="40" w:after="120"/>
              <w:ind w:right="113"/>
              <w:rPr>
                <w:lang w:val="fr-FR"/>
              </w:rPr>
            </w:pPr>
          </w:p>
        </w:tc>
        <w:tc>
          <w:tcPr>
            <w:tcW w:w="3696" w:type="dxa"/>
            <w:shd w:val="clear" w:color="auto" w:fill="auto"/>
          </w:tcPr>
          <w:p w14:paraId="7AE894A3" w14:textId="77777777" w:rsidR="00EA3C11" w:rsidRPr="003F168A" w:rsidRDefault="00EA3C11" w:rsidP="00E146C5">
            <w:pPr>
              <w:suppressAutoHyphens w:val="0"/>
              <w:spacing w:before="40" w:after="120"/>
              <w:ind w:right="113"/>
              <w:rPr>
                <w:lang w:val="fr-FR"/>
              </w:rPr>
            </w:pPr>
          </w:p>
        </w:tc>
        <w:tc>
          <w:tcPr>
            <w:tcW w:w="2127" w:type="dxa"/>
            <w:shd w:val="clear" w:color="auto" w:fill="auto"/>
          </w:tcPr>
          <w:p w14:paraId="479B1DF0" w14:textId="77777777" w:rsidR="00EA3C11" w:rsidRPr="003F168A" w:rsidRDefault="00EA3C11" w:rsidP="00E146C5">
            <w:pPr>
              <w:suppressAutoHyphens w:val="0"/>
              <w:spacing w:before="40" w:after="120"/>
              <w:ind w:right="113"/>
              <w:rPr>
                <w:lang w:val="fr-FR"/>
              </w:rPr>
            </w:pPr>
          </w:p>
        </w:tc>
        <w:tc>
          <w:tcPr>
            <w:tcW w:w="5011" w:type="dxa"/>
            <w:shd w:val="clear" w:color="auto" w:fill="auto"/>
          </w:tcPr>
          <w:p w14:paraId="24D8493F" w14:textId="77777777" w:rsidR="00EA3C11" w:rsidRPr="003F168A" w:rsidRDefault="00EA3C11" w:rsidP="00E146C5">
            <w:pPr>
              <w:suppressAutoHyphens w:val="0"/>
              <w:spacing w:before="40" w:after="120"/>
              <w:ind w:right="113"/>
              <w:rPr>
                <w:lang w:val="fr-FR"/>
              </w:rPr>
            </w:pPr>
            <w:r w:rsidRPr="003F168A">
              <w:rPr>
                <w:lang w:val="fr-FR"/>
              </w:rPr>
              <w:t>Élaboration de documents d’analyse et de matériels de formation.</w:t>
            </w:r>
          </w:p>
        </w:tc>
        <w:tc>
          <w:tcPr>
            <w:tcW w:w="1251" w:type="dxa"/>
            <w:shd w:val="clear" w:color="auto" w:fill="auto"/>
          </w:tcPr>
          <w:p w14:paraId="187EAD30" w14:textId="77777777" w:rsidR="00EA3C11" w:rsidRPr="003F168A" w:rsidRDefault="00EA3C11" w:rsidP="00034375">
            <w:pPr>
              <w:suppressAutoHyphens w:val="0"/>
              <w:spacing w:before="40" w:after="120"/>
              <w:ind w:right="113"/>
              <w:jc w:val="right"/>
              <w:rPr>
                <w:lang w:val="fr-FR"/>
              </w:rPr>
            </w:pPr>
          </w:p>
        </w:tc>
      </w:tr>
      <w:tr w:rsidR="00EA3C11" w:rsidRPr="003F168A" w14:paraId="7A3A17FB" w14:textId="77777777" w:rsidTr="00034375">
        <w:tc>
          <w:tcPr>
            <w:tcW w:w="1691" w:type="dxa"/>
            <w:shd w:val="clear" w:color="auto" w:fill="auto"/>
          </w:tcPr>
          <w:p w14:paraId="39BB4851" w14:textId="77777777" w:rsidR="00EA3C11" w:rsidRPr="003F168A" w:rsidRDefault="00EA3C11" w:rsidP="00E146C5">
            <w:pPr>
              <w:suppressAutoHyphens w:val="0"/>
              <w:spacing w:before="40" w:after="120"/>
              <w:ind w:right="113"/>
              <w:rPr>
                <w:lang w:val="fr-FR"/>
              </w:rPr>
            </w:pPr>
          </w:p>
        </w:tc>
        <w:tc>
          <w:tcPr>
            <w:tcW w:w="3696" w:type="dxa"/>
            <w:shd w:val="clear" w:color="auto" w:fill="auto"/>
          </w:tcPr>
          <w:p w14:paraId="60D22CC2" w14:textId="77777777" w:rsidR="00EA3C11" w:rsidRPr="003F168A" w:rsidRDefault="00EA3C11" w:rsidP="00E146C5">
            <w:pPr>
              <w:suppressAutoHyphens w:val="0"/>
              <w:spacing w:before="40" w:after="120"/>
              <w:ind w:right="113"/>
              <w:rPr>
                <w:lang w:val="fr-FR"/>
              </w:rPr>
            </w:pPr>
          </w:p>
        </w:tc>
        <w:tc>
          <w:tcPr>
            <w:tcW w:w="2127" w:type="dxa"/>
            <w:shd w:val="clear" w:color="auto" w:fill="auto"/>
          </w:tcPr>
          <w:p w14:paraId="7A0BE670" w14:textId="77777777" w:rsidR="00EA3C11" w:rsidRPr="003F168A" w:rsidRDefault="00EA3C11" w:rsidP="00E146C5">
            <w:pPr>
              <w:suppressAutoHyphens w:val="0"/>
              <w:spacing w:before="40" w:after="120"/>
              <w:ind w:right="113"/>
              <w:rPr>
                <w:lang w:val="fr-FR"/>
              </w:rPr>
            </w:pPr>
          </w:p>
        </w:tc>
        <w:tc>
          <w:tcPr>
            <w:tcW w:w="5011" w:type="dxa"/>
            <w:shd w:val="clear" w:color="auto" w:fill="auto"/>
          </w:tcPr>
          <w:p w14:paraId="35946055" w14:textId="77777777" w:rsidR="00EA3C11" w:rsidRPr="003F168A" w:rsidRDefault="00EA3C11" w:rsidP="00E146C5">
            <w:pPr>
              <w:suppressAutoHyphens w:val="0"/>
              <w:spacing w:before="40" w:after="120"/>
              <w:ind w:right="113"/>
              <w:rPr>
                <w:lang w:val="fr-FR"/>
              </w:rPr>
            </w:pPr>
            <w:r w:rsidRPr="003F168A">
              <w:rPr>
                <w:lang w:val="fr-FR"/>
              </w:rPr>
              <w:t>Projets pilotes et activités de renforcement des capacités aux niveaux sous-régional et national, qui devraient être financés par les partenaires.</w:t>
            </w:r>
          </w:p>
        </w:tc>
        <w:tc>
          <w:tcPr>
            <w:tcW w:w="1251" w:type="dxa"/>
            <w:shd w:val="clear" w:color="auto" w:fill="auto"/>
          </w:tcPr>
          <w:p w14:paraId="18406A48" w14:textId="77777777" w:rsidR="00EA3C11" w:rsidRPr="003F168A" w:rsidRDefault="00EA3C11" w:rsidP="00034375">
            <w:pPr>
              <w:suppressAutoHyphens w:val="0"/>
              <w:spacing w:before="40" w:after="120"/>
              <w:ind w:right="113"/>
              <w:jc w:val="right"/>
              <w:rPr>
                <w:lang w:val="fr-FR"/>
              </w:rPr>
            </w:pPr>
          </w:p>
        </w:tc>
      </w:tr>
      <w:tr w:rsidR="00EA3C11" w:rsidRPr="003F168A" w14:paraId="4D8A1DE4" w14:textId="77777777" w:rsidTr="00034375">
        <w:tc>
          <w:tcPr>
            <w:tcW w:w="1691" w:type="dxa"/>
            <w:shd w:val="clear" w:color="auto" w:fill="auto"/>
          </w:tcPr>
          <w:p w14:paraId="21B6F17F" w14:textId="3F3CBA3D" w:rsidR="00EA3C11" w:rsidRPr="003F168A" w:rsidRDefault="00EA3C11" w:rsidP="00E146C5">
            <w:pPr>
              <w:suppressAutoHyphens w:val="0"/>
              <w:spacing w:before="40" w:after="120"/>
              <w:ind w:right="113"/>
              <w:rPr>
                <w:lang w:val="fr-FR"/>
              </w:rPr>
            </w:pPr>
            <w:r w:rsidRPr="003F168A">
              <w:rPr>
                <w:lang w:val="fr-FR"/>
              </w:rPr>
              <w:t xml:space="preserve">IV. </w:t>
            </w:r>
            <w:r w:rsidR="00AA0203">
              <w:rPr>
                <w:lang w:val="fr-FR"/>
              </w:rPr>
              <w:br/>
            </w:r>
            <w:r w:rsidRPr="003F168A">
              <w:rPr>
                <w:lang w:val="fr-FR"/>
              </w:rPr>
              <w:t>Organismes génétiquement modifiés (OGM)</w:t>
            </w:r>
          </w:p>
        </w:tc>
        <w:tc>
          <w:tcPr>
            <w:tcW w:w="3696" w:type="dxa"/>
            <w:shd w:val="clear" w:color="auto" w:fill="auto"/>
          </w:tcPr>
          <w:p w14:paraId="025B4B9D" w14:textId="337E39E6" w:rsidR="00EA3C11" w:rsidRPr="003F168A" w:rsidRDefault="00EA3C11" w:rsidP="00E146C5">
            <w:pPr>
              <w:suppressAutoHyphens w:val="0"/>
              <w:spacing w:before="40" w:after="120"/>
              <w:ind w:right="113"/>
              <w:rPr>
                <w:lang w:val="fr-FR"/>
              </w:rPr>
            </w:pPr>
            <w:r w:rsidRPr="003F168A">
              <w:rPr>
                <w:lang w:val="fr-FR"/>
              </w:rPr>
              <w:t xml:space="preserve">Appuyer la mise en œuvre de la décision II/1 (amendement relatif aux OGM) et des dispositions pertinentes de la Convention dans ce domaine, ainsi que l’application des Principes directeurs relatifs à l’accès à l’information, la participation du public et l’accès à la justice en ce qui concerne les organismes génétiquement modifiés (MP.PP/2003/3), notamment en favorisant l’échange d’informations sur les difficultés communes et les principaux obstacles concernant </w:t>
            </w:r>
            <w:r w:rsidR="008751E7">
              <w:rPr>
                <w:lang w:val="fr-FR"/>
              </w:rPr>
              <w:t>l’</w:t>
            </w:r>
            <w:r w:rsidRPr="003F168A">
              <w:rPr>
                <w:lang w:val="fr-FR"/>
              </w:rPr>
              <w:t>application de ces principes, ainsi que sur les bonnes pratiques permettant d’y remédier</w:t>
            </w:r>
            <w:r>
              <w:rPr>
                <w:lang w:val="fr-FR"/>
              </w:rPr>
              <w:t xml:space="preserve"> </w:t>
            </w:r>
            <w:r w:rsidRPr="003F168A">
              <w:rPr>
                <w:lang w:val="fr-FR"/>
              </w:rPr>
              <w:br/>
              <w:t>(Ces activités contribuent principalement à la réalisation des ODD 15 et 16)</w:t>
            </w:r>
          </w:p>
        </w:tc>
        <w:tc>
          <w:tcPr>
            <w:tcW w:w="2127" w:type="dxa"/>
            <w:shd w:val="clear" w:color="auto" w:fill="auto"/>
          </w:tcPr>
          <w:p w14:paraId="03707B8A" w14:textId="77777777" w:rsidR="00EA3C11" w:rsidRPr="003F168A" w:rsidRDefault="00EA3C11" w:rsidP="00E146C5">
            <w:pPr>
              <w:suppressAutoHyphens w:val="0"/>
              <w:spacing w:before="40" w:after="120"/>
              <w:ind w:right="113"/>
              <w:rPr>
                <w:lang w:val="fr-FR"/>
              </w:rPr>
            </w:pPr>
            <w:r w:rsidRPr="003F168A">
              <w:rPr>
                <w:lang w:val="fr-FR"/>
              </w:rPr>
              <w:t>Le secrétariat, en étroite coopération avec d’autres parties prenantes</w:t>
            </w:r>
          </w:p>
          <w:p w14:paraId="0D4004C7" w14:textId="699DC931" w:rsidR="00EA3C11" w:rsidRPr="003F168A" w:rsidRDefault="00EA3C11" w:rsidP="00E146C5">
            <w:pPr>
              <w:suppressAutoHyphens w:val="0"/>
              <w:spacing w:before="40" w:after="120"/>
              <w:ind w:right="113"/>
              <w:rPr>
                <w:lang w:val="fr-FR"/>
              </w:rPr>
            </w:pPr>
            <w:r w:rsidRPr="003F168A">
              <w:rPr>
                <w:lang w:val="fr-FR"/>
              </w:rPr>
              <w:t>Séance thématique dans le cadre des réunions du</w:t>
            </w:r>
            <w:r w:rsidR="008751E7">
              <w:rPr>
                <w:lang w:val="fr-FR"/>
              </w:rPr>
              <w:t> </w:t>
            </w:r>
            <w:r w:rsidRPr="003F168A">
              <w:rPr>
                <w:lang w:val="fr-FR"/>
              </w:rPr>
              <w:t>Groupe de travail des</w:t>
            </w:r>
            <w:r w:rsidR="008751E7">
              <w:rPr>
                <w:lang w:val="fr-FR"/>
              </w:rPr>
              <w:t> </w:t>
            </w:r>
            <w:r w:rsidRPr="003F168A">
              <w:rPr>
                <w:lang w:val="fr-FR"/>
              </w:rPr>
              <w:t>Parties</w:t>
            </w:r>
          </w:p>
        </w:tc>
        <w:tc>
          <w:tcPr>
            <w:tcW w:w="5011" w:type="dxa"/>
            <w:shd w:val="clear" w:color="auto" w:fill="auto"/>
          </w:tcPr>
          <w:p w14:paraId="6C03EDC5" w14:textId="77777777" w:rsidR="00EA3C11" w:rsidRPr="003F168A" w:rsidRDefault="00EA3C11" w:rsidP="00E146C5">
            <w:pPr>
              <w:suppressAutoHyphens w:val="0"/>
              <w:spacing w:before="40" w:after="120"/>
              <w:ind w:right="113"/>
              <w:rPr>
                <w:lang w:val="fr-FR"/>
              </w:rPr>
            </w:pPr>
            <w:r w:rsidRPr="003F168A">
              <w:rPr>
                <w:lang w:val="fr-FR"/>
              </w:rPr>
              <w:t>Atelier(s) et table(s) ronde(s) ; enquête(s) ; appui consultatif aux organes pertinents créés en vertu du Protocole de Cartagena sur la prévention des risques biotechnologiques relatif à la Convention sur la diversité biologique, et coopération avec ces organes ; appui consultatif aux pays qui en font la demande ; recours au Mécanisme d’échange d’informations d’Aarhus et utilisation de sa base de données sur les bonnes pratiques pour faciliter l’échange d’informations en la matière.</w:t>
            </w:r>
          </w:p>
        </w:tc>
        <w:tc>
          <w:tcPr>
            <w:tcW w:w="1251" w:type="dxa"/>
            <w:shd w:val="clear" w:color="auto" w:fill="auto"/>
          </w:tcPr>
          <w:p w14:paraId="6DC584F2" w14:textId="77777777" w:rsidR="00EA3C11" w:rsidRPr="003F168A" w:rsidRDefault="00EA3C11" w:rsidP="00034375">
            <w:pPr>
              <w:suppressAutoHyphens w:val="0"/>
              <w:spacing w:before="40" w:after="120"/>
              <w:ind w:right="113"/>
              <w:jc w:val="right"/>
              <w:rPr>
                <w:lang w:val="fr-FR"/>
              </w:rPr>
            </w:pPr>
            <w:r w:rsidRPr="003F168A">
              <w:rPr>
                <w:lang w:val="fr-FR"/>
              </w:rPr>
              <w:t>24</w:t>
            </w:r>
            <w:r>
              <w:rPr>
                <w:lang w:val="fr-FR"/>
              </w:rPr>
              <w:t> </w:t>
            </w:r>
            <w:r w:rsidRPr="003F168A">
              <w:rPr>
                <w:lang w:val="fr-FR"/>
              </w:rPr>
              <w:t>500</w:t>
            </w:r>
            <w:r>
              <w:rPr>
                <w:lang w:val="fr-FR"/>
              </w:rPr>
              <w:t xml:space="preserve"> </w:t>
            </w:r>
            <w:r w:rsidRPr="003F168A">
              <w:rPr>
                <w:lang w:val="fr-FR"/>
              </w:rPr>
              <w:br/>
              <w:t>(2</w:t>
            </w:r>
            <w:r>
              <w:rPr>
                <w:lang w:val="fr-FR"/>
              </w:rPr>
              <w:t> </w:t>
            </w:r>
            <w:r w:rsidRPr="003F168A">
              <w:rPr>
                <w:lang w:val="fr-FR"/>
              </w:rPr>
              <w:t>000)</w:t>
            </w:r>
          </w:p>
        </w:tc>
      </w:tr>
      <w:tr w:rsidR="00EA3C11" w:rsidRPr="003F168A" w14:paraId="72E8DC90" w14:textId="77777777" w:rsidTr="00E146C5">
        <w:tc>
          <w:tcPr>
            <w:tcW w:w="13776" w:type="dxa"/>
            <w:gridSpan w:val="5"/>
            <w:shd w:val="clear" w:color="auto" w:fill="auto"/>
          </w:tcPr>
          <w:p w14:paraId="46A995E9" w14:textId="77777777" w:rsidR="00EA3C11" w:rsidRPr="003F168A" w:rsidRDefault="00EA3C11" w:rsidP="00AA0203">
            <w:pPr>
              <w:suppressAutoHyphens w:val="0"/>
              <w:spacing w:before="40" w:after="120"/>
              <w:ind w:right="113"/>
              <w:rPr>
                <w:lang w:val="fr-FR"/>
              </w:rPr>
            </w:pPr>
            <w:r w:rsidRPr="003F168A">
              <w:rPr>
                <w:b/>
                <w:bCs/>
                <w:lang w:val="fr-FR"/>
              </w:rPr>
              <w:t>Procédures et mécanismes</w:t>
            </w:r>
            <w:r w:rsidRPr="003F168A">
              <w:rPr>
                <w:lang w:val="fr-FR"/>
              </w:rPr>
              <w:t xml:space="preserve"> </w:t>
            </w:r>
          </w:p>
        </w:tc>
      </w:tr>
      <w:tr w:rsidR="00EA3C11" w:rsidRPr="003F168A" w14:paraId="78709636" w14:textId="77777777" w:rsidTr="00034375">
        <w:tc>
          <w:tcPr>
            <w:tcW w:w="1691" w:type="dxa"/>
            <w:shd w:val="clear" w:color="auto" w:fill="auto"/>
          </w:tcPr>
          <w:p w14:paraId="6A62871B" w14:textId="77777777" w:rsidR="00EA3C11" w:rsidRPr="003F168A" w:rsidRDefault="00EA3C11" w:rsidP="00E146C5">
            <w:pPr>
              <w:suppressAutoHyphens w:val="0"/>
              <w:spacing w:before="40" w:after="120"/>
              <w:ind w:right="113"/>
              <w:rPr>
                <w:lang w:val="fr-FR"/>
              </w:rPr>
            </w:pPr>
            <w:r w:rsidRPr="003F168A">
              <w:rPr>
                <w:lang w:val="fr-FR"/>
              </w:rPr>
              <w:t xml:space="preserve">V. </w:t>
            </w:r>
            <w:r>
              <w:rPr>
                <w:lang w:val="fr-FR"/>
              </w:rPr>
              <w:br/>
            </w:r>
            <w:r w:rsidRPr="003F168A">
              <w:rPr>
                <w:lang w:val="fr-FR"/>
              </w:rPr>
              <w:t>Mécanisme d’examen du respect des dispositions</w:t>
            </w:r>
          </w:p>
        </w:tc>
        <w:tc>
          <w:tcPr>
            <w:tcW w:w="3696" w:type="dxa"/>
            <w:shd w:val="clear" w:color="auto" w:fill="auto"/>
          </w:tcPr>
          <w:p w14:paraId="60E60E51" w14:textId="77777777" w:rsidR="00EA3C11" w:rsidRPr="003F168A" w:rsidRDefault="00EA3C11" w:rsidP="00E146C5">
            <w:pPr>
              <w:suppressAutoHyphens w:val="0"/>
              <w:spacing w:before="40" w:after="120"/>
              <w:ind w:right="113"/>
              <w:rPr>
                <w:lang w:val="fr-FR"/>
              </w:rPr>
            </w:pPr>
          </w:p>
        </w:tc>
        <w:tc>
          <w:tcPr>
            <w:tcW w:w="2127" w:type="dxa"/>
            <w:shd w:val="clear" w:color="auto" w:fill="auto"/>
          </w:tcPr>
          <w:p w14:paraId="74C02EC3" w14:textId="77777777" w:rsidR="00EA3C11" w:rsidRPr="003F168A" w:rsidRDefault="00EA3C11" w:rsidP="00E146C5">
            <w:pPr>
              <w:suppressAutoHyphens w:val="0"/>
              <w:spacing w:before="40" w:after="120"/>
              <w:ind w:right="113"/>
              <w:rPr>
                <w:lang w:val="fr-FR"/>
              </w:rPr>
            </w:pPr>
          </w:p>
        </w:tc>
        <w:tc>
          <w:tcPr>
            <w:tcW w:w="5011" w:type="dxa"/>
            <w:shd w:val="clear" w:color="auto" w:fill="auto"/>
          </w:tcPr>
          <w:p w14:paraId="0BCED9EA" w14:textId="77777777" w:rsidR="00EA3C11" w:rsidRPr="003F168A" w:rsidRDefault="00EA3C11" w:rsidP="00E146C5">
            <w:pPr>
              <w:suppressAutoHyphens w:val="0"/>
              <w:spacing w:before="40" w:after="120"/>
              <w:ind w:right="113"/>
              <w:rPr>
                <w:lang w:val="fr-FR"/>
              </w:rPr>
            </w:pPr>
          </w:p>
        </w:tc>
        <w:tc>
          <w:tcPr>
            <w:tcW w:w="1251" w:type="dxa"/>
            <w:shd w:val="clear" w:color="auto" w:fill="auto"/>
          </w:tcPr>
          <w:p w14:paraId="198AAF37" w14:textId="77777777" w:rsidR="00EA3C11" w:rsidRPr="003F168A" w:rsidRDefault="00EA3C11" w:rsidP="00034375">
            <w:pPr>
              <w:suppressAutoHyphens w:val="0"/>
              <w:spacing w:before="40" w:after="120"/>
              <w:ind w:right="113"/>
              <w:jc w:val="right"/>
              <w:rPr>
                <w:lang w:val="fr-FR"/>
              </w:rPr>
            </w:pPr>
            <w:r w:rsidRPr="003F168A">
              <w:rPr>
                <w:lang w:val="fr-FR"/>
              </w:rPr>
              <w:t>584 600</w:t>
            </w:r>
          </w:p>
        </w:tc>
      </w:tr>
      <w:tr w:rsidR="00EA3C11" w:rsidRPr="003F168A" w14:paraId="67F09B0E" w14:textId="77777777" w:rsidTr="00034375">
        <w:tc>
          <w:tcPr>
            <w:tcW w:w="1691" w:type="dxa"/>
            <w:shd w:val="clear" w:color="auto" w:fill="auto"/>
          </w:tcPr>
          <w:p w14:paraId="123F8F87" w14:textId="77777777" w:rsidR="00EA3C11" w:rsidRPr="003F168A" w:rsidRDefault="00EA3C11" w:rsidP="00E146C5">
            <w:pPr>
              <w:suppressAutoHyphens w:val="0"/>
              <w:spacing w:before="40" w:after="120"/>
              <w:ind w:right="113"/>
              <w:rPr>
                <w:lang w:val="fr-FR"/>
              </w:rPr>
            </w:pPr>
            <w:r w:rsidRPr="003F168A">
              <w:rPr>
                <w:lang w:val="fr-FR"/>
              </w:rPr>
              <w:t xml:space="preserve">V.1 </w:t>
            </w:r>
            <w:r>
              <w:rPr>
                <w:lang w:val="fr-FR"/>
              </w:rPr>
              <w:br/>
            </w:r>
            <w:r w:rsidRPr="003F168A">
              <w:rPr>
                <w:lang w:val="fr-FR"/>
              </w:rPr>
              <w:t>Comité d’examen du respect des dispositions</w:t>
            </w:r>
          </w:p>
        </w:tc>
        <w:tc>
          <w:tcPr>
            <w:tcW w:w="3696" w:type="dxa"/>
            <w:shd w:val="clear" w:color="auto" w:fill="auto"/>
          </w:tcPr>
          <w:p w14:paraId="2B71F5E7" w14:textId="77777777" w:rsidR="00EA3C11" w:rsidRPr="003F168A" w:rsidRDefault="00EA3C11" w:rsidP="00E146C5">
            <w:pPr>
              <w:suppressAutoHyphens w:val="0"/>
              <w:spacing w:before="40" w:after="120"/>
              <w:ind w:right="113"/>
              <w:rPr>
                <w:lang w:val="fr-FR"/>
              </w:rPr>
            </w:pPr>
            <w:r w:rsidRPr="003F168A">
              <w:rPr>
                <w:lang w:val="fr-FR"/>
              </w:rPr>
              <w:t>Surveiller et faciliter l’application et le respect de la Convention</w:t>
            </w:r>
          </w:p>
          <w:p w14:paraId="4DF359D0" w14:textId="24827B6B" w:rsidR="00EA3C11" w:rsidRPr="003F168A" w:rsidRDefault="00EA3C11" w:rsidP="00E146C5">
            <w:pPr>
              <w:suppressAutoHyphens w:val="0"/>
              <w:spacing w:before="40" w:after="120"/>
              <w:ind w:right="113"/>
              <w:rPr>
                <w:lang w:val="fr-FR"/>
              </w:rPr>
            </w:pPr>
            <w:r w:rsidRPr="003F168A">
              <w:rPr>
                <w:lang w:val="fr-FR"/>
              </w:rPr>
              <w:t>Renforcer l’appui fourni à certaines Parties pour les aider à donner suite aux décisions relatives</w:t>
            </w:r>
            <w:r w:rsidR="00AA0203">
              <w:rPr>
                <w:lang w:val="fr-FR"/>
              </w:rPr>
              <w:t xml:space="preserve"> </w:t>
            </w:r>
            <w:r w:rsidRPr="003F168A">
              <w:rPr>
                <w:lang w:val="fr-FR"/>
              </w:rPr>
              <w:t>au respect des</w:t>
            </w:r>
            <w:r w:rsidR="00AA0203">
              <w:rPr>
                <w:lang w:val="fr-FR"/>
              </w:rPr>
              <w:t xml:space="preserve"> </w:t>
            </w:r>
            <w:r w:rsidRPr="003F168A">
              <w:rPr>
                <w:lang w:val="fr-FR"/>
              </w:rPr>
              <w:t>dispositions</w:t>
            </w:r>
          </w:p>
          <w:p w14:paraId="0BC95190" w14:textId="00827B2B" w:rsidR="00EA3C11" w:rsidRPr="003F168A" w:rsidRDefault="00EA3C11" w:rsidP="00E146C5">
            <w:pPr>
              <w:suppressAutoHyphens w:val="0"/>
              <w:spacing w:before="40" w:after="120"/>
              <w:ind w:right="113"/>
              <w:rPr>
                <w:lang w:val="fr-FR"/>
              </w:rPr>
            </w:pPr>
            <w:r w:rsidRPr="003F168A">
              <w:rPr>
                <w:lang w:val="fr-FR"/>
              </w:rPr>
              <w:t>(Ces activités contribuent principalement à la réalisation des cibles 16.6 et 16.10 des ODD et des ODD 3, 6, 7, 8, 9, 11, 12,</w:t>
            </w:r>
            <w:r>
              <w:rPr>
                <w:lang w:val="fr-FR"/>
              </w:rPr>
              <w:t> </w:t>
            </w:r>
            <w:r w:rsidRPr="003F168A">
              <w:rPr>
                <w:lang w:val="fr-FR"/>
              </w:rPr>
              <w:t>13, 14 et</w:t>
            </w:r>
            <w:r w:rsidR="00AA0203">
              <w:rPr>
                <w:lang w:val="fr-FR"/>
              </w:rPr>
              <w:t xml:space="preserve"> </w:t>
            </w:r>
            <w:r w:rsidRPr="003F168A">
              <w:rPr>
                <w:lang w:val="fr-FR"/>
              </w:rPr>
              <w:t>15)</w:t>
            </w:r>
          </w:p>
        </w:tc>
        <w:tc>
          <w:tcPr>
            <w:tcW w:w="2127" w:type="dxa"/>
            <w:shd w:val="clear" w:color="auto" w:fill="auto"/>
          </w:tcPr>
          <w:p w14:paraId="454AC25A" w14:textId="77777777" w:rsidR="00EA3C11" w:rsidRPr="003F168A" w:rsidRDefault="00EA3C11" w:rsidP="00E146C5">
            <w:pPr>
              <w:suppressAutoHyphens w:val="0"/>
              <w:spacing w:before="40" w:after="120"/>
              <w:ind w:right="113"/>
              <w:rPr>
                <w:lang w:val="fr-FR"/>
              </w:rPr>
            </w:pPr>
            <w:r w:rsidRPr="003F168A">
              <w:rPr>
                <w:lang w:val="fr-FR"/>
              </w:rPr>
              <w:t>Le Comité d’examen du respect des dispositions</w:t>
            </w:r>
          </w:p>
          <w:p w14:paraId="600EC3A5" w14:textId="77777777" w:rsidR="00EA3C11" w:rsidRPr="003F168A" w:rsidRDefault="00EA3C11" w:rsidP="00E146C5">
            <w:pPr>
              <w:suppressAutoHyphens w:val="0"/>
              <w:spacing w:before="40" w:after="120"/>
              <w:ind w:right="113"/>
              <w:rPr>
                <w:lang w:val="fr-FR"/>
              </w:rPr>
            </w:pPr>
            <w:r w:rsidRPr="003F168A">
              <w:rPr>
                <w:lang w:val="fr-FR"/>
              </w:rPr>
              <w:t>Le secrétariat</w:t>
            </w:r>
          </w:p>
        </w:tc>
        <w:tc>
          <w:tcPr>
            <w:tcW w:w="5011" w:type="dxa"/>
            <w:shd w:val="clear" w:color="auto" w:fill="auto"/>
          </w:tcPr>
          <w:p w14:paraId="31747FB0" w14:textId="77777777" w:rsidR="00EA3C11" w:rsidRPr="003F168A" w:rsidRDefault="00EA3C11" w:rsidP="00E146C5">
            <w:pPr>
              <w:suppressAutoHyphens w:val="0"/>
              <w:spacing w:before="40" w:after="120"/>
              <w:ind w:right="113"/>
              <w:rPr>
                <w:lang w:val="fr-FR"/>
              </w:rPr>
            </w:pPr>
            <w:r w:rsidRPr="003F168A">
              <w:rPr>
                <w:lang w:val="fr-FR"/>
              </w:rPr>
              <w:t>Le Comité d’examen du respect des dispositions examine les</w:t>
            </w:r>
            <w:r>
              <w:rPr>
                <w:lang w:val="fr-FR"/>
              </w:rPr>
              <w:t> </w:t>
            </w:r>
            <w:r w:rsidRPr="003F168A">
              <w:rPr>
                <w:lang w:val="fr-FR"/>
              </w:rPr>
              <w:t>demandes soumises, les questions transmises et les communications présentées au sujet des cas de non-respect éventuel, formule des conclusions, établit des rapports et mène des missions d’enquête.</w:t>
            </w:r>
          </w:p>
          <w:p w14:paraId="5D53483F" w14:textId="77777777" w:rsidR="00EA3C11" w:rsidRPr="003F168A" w:rsidRDefault="00EA3C11" w:rsidP="00E146C5">
            <w:pPr>
              <w:suppressAutoHyphens w:val="0"/>
              <w:spacing w:before="40" w:after="120"/>
              <w:ind w:right="113"/>
              <w:rPr>
                <w:lang w:val="fr-FR"/>
              </w:rPr>
            </w:pPr>
            <w:r w:rsidRPr="003F168A">
              <w:rPr>
                <w:lang w:val="fr-FR"/>
              </w:rPr>
              <w:t>Le Comité étudie les synergies possibles avec d’autres instances concernées.</w:t>
            </w:r>
          </w:p>
          <w:p w14:paraId="5F077366" w14:textId="77777777" w:rsidR="00EA3C11" w:rsidRPr="003F168A" w:rsidRDefault="00EA3C11" w:rsidP="00E146C5">
            <w:pPr>
              <w:suppressAutoHyphens w:val="0"/>
              <w:spacing w:before="40" w:after="120"/>
              <w:ind w:right="113"/>
              <w:rPr>
                <w:lang w:val="fr-FR"/>
              </w:rPr>
            </w:pPr>
            <w:r w:rsidRPr="003F168A">
              <w:rPr>
                <w:lang w:val="fr-FR"/>
              </w:rPr>
              <w:t>Le secrétariat aide le Comité au besoin, notamment en lui apportant une assistance juridique, fait la promotion du mécanisme d’examen du respect des dispositions et tient à jour la page Web du Comité.</w:t>
            </w:r>
          </w:p>
          <w:p w14:paraId="3BE2FA14" w14:textId="56BD6D10" w:rsidR="00EA3C11" w:rsidRPr="003F168A" w:rsidRDefault="00EA3C11" w:rsidP="00E146C5">
            <w:pPr>
              <w:suppressAutoHyphens w:val="0"/>
              <w:spacing w:before="40" w:after="120"/>
              <w:ind w:right="113"/>
              <w:rPr>
                <w:lang w:val="fr-FR"/>
              </w:rPr>
            </w:pPr>
            <w:r w:rsidRPr="003F168A">
              <w:rPr>
                <w:lang w:val="fr-FR"/>
              </w:rPr>
              <w:t>Le secrétariat établit des documents de base sur des questions pertinentes de nature systémique définies grâce aux travaux du Comité d’examen du respect des dispositions pour alimenter les débats tenus dans le cadre des réunions des équipes spéciales et des différentes séances thématiques du Groupe de travail des</w:t>
            </w:r>
            <w:r w:rsidR="008751E7">
              <w:rPr>
                <w:lang w:val="fr-FR"/>
              </w:rPr>
              <w:t xml:space="preserve"> </w:t>
            </w:r>
            <w:r w:rsidRPr="003F168A">
              <w:rPr>
                <w:lang w:val="fr-FR"/>
              </w:rPr>
              <w:t>Parties.</w:t>
            </w:r>
          </w:p>
        </w:tc>
        <w:tc>
          <w:tcPr>
            <w:tcW w:w="1251" w:type="dxa"/>
            <w:shd w:val="clear" w:color="auto" w:fill="auto"/>
          </w:tcPr>
          <w:p w14:paraId="0DA0ABEF" w14:textId="77777777" w:rsidR="00EA3C11" w:rsidRPr="003F168A" w:rsidRDefault="00EA3C11" w:rsidP="00034375">
            <w:pPr>
              <w:suppressAutoHyphens w:val="0"/>
              <w:spacing w:before="40" w:after="120"/>
              <w:ind w:right="113"/>
              <w:jc w:val="right"/>
              <w:rPr>
                <w:lang w:val="fr-FR"/>
              </w:rPr>
            </w:pPr>
          </w:p>
        </w:tc>
      </w:tr>
      <w:tr w:rsidR="00EA3C11" w:rsidRPr="003F168A" w14:paraId="7704B216" w14:textId="77777777" w:rsidTr="00034375">
        <w:tc>
          <w:tcPr>
            <w:tcW w:w="1691" w:type="dxa"/>
            <w:shd w:val="clear" w:color="auto" w:fill="auto"/>
          </w:tcPr>
          <w:p w14:paraId="147960E0" w14:textId="77777777" w:rsidR="00EA3C11" w:rsidRPr="003F168A" w:rsidRDefault="00EA3C11" w:rsidP="00E146C5">
            <w:pPr>
              <w:suppressAutoHyphens w:val="0"/>
              <w:spacing w:before="40" w:after="120"/>
              <w:ind w:right="113"/>
              <w:rPr>
                <w:lang w:val="fr-FR"/>
              </w:rPr>
            </w:pPr>
            <w:r w:rsidRPr="003F168A">
              <w:rPr>
                <w:lang w:val="fr-FR"/>
              </w:rPr>
              <w:t xml:space="preserve">V.2 </w:t>
            </w:r>
            <w:r>
              <w:rPr>
                <w:lang w:val="fr-FR"/>
              </w:rPr>
              <w:br/>
            </w:r>
            <w:r w:rsidRPr="003F168A">
              <w:rPr>
                <w:lang w:val="fr-FR"/>
              </w:rPr>
              <w:t>Rapporteur chargé des questions relatives au paragraphe 8 de l’article 3 de la Convention</w:t>
            </w:r>
          </w:p>
        </w:tc>
        <w:tc>
          <w:tcPr>
            <w:tcW w:w="3696" w:type="dxa"/>
            <w:shd w:val="clear" w:color="auto" w:fill="auto"/>
          </w:tcPr>
          <w:p w14:paraId="0F861D5C" w14:textId="77777777" w:rsidR="00EA3C11" w:rsidRPr="003F168A" w:rsidRDefault="00EA3C11" w:rsidP="00E146C5">
            <w:pPr>
              <w:suppressAutoHyphens w:val="0"/>
              <w:spacing w:before="40" w:after="120"/>
              <w:ind w:right="113"/>
              <w:rPr>
                <w:lang w:val="fr-FR"/>
              </w:rPr>
            </w:pPr>
            <w:r w:rsidRPr="003F168A">
              <w:rPr>
                <w:lang w:val="fr-FR"/>
              </w:rPr>
              <w:t>Les activités seront exécutées conformément à la décision VII/… sur un mécanisme de réaction rapide chargé de traiter les cas relevant du paragraphe 8 de</w:t>
            </w:r>
            <w:r>
              <w:rPr>
                <w:lang w:val="fr-FR"/>
              </w:rPr>
              <w:t> </w:t>
            </w:r>
            <w:r w:rsidRPr="003F168A">
              <w:rPr>
                <w:lang w:val="fr-FR"/>
              </w:rPr>
              <w:t>l’article 3 de la Convention</w:t>
            </w:r>
            <w:r>
              <w:rPr>
                <w:lang w:val="fr-FR"/>
              </w:rPr>
              <w:t xml:space="preserve"> </w:t>
            </w:r>
            <w:r w:rsidRPr="003F168A">
              <w:rPr>
                <w:lang w:val="fr-FR"/>
              </w:rPr>
              <w:br/>
              <w:t>(Elles contribuent principalement à la réalisation de la cible 16.10 des ODD)</w:t>
            </w:r>
          </w:p>
        </w:tc>
        <w:tc>
          <w:tcPr>
            <w:tcW w:w="2127" w:type="dxa"/>
            <w:shd w:val="clear" w:color="auto" w:fill="auto"/>
          </w:tcPr>
          <w:p w14:paraId="27211DCD" w14:textId="77777777" w:rsidR="00EA3C11" w:rsidRPr="003F168A" w:rsidRDefault="00EA3C11" w:rsidP="00E146C5">
            <w:pPr>
              <w:suppressAutoHyphens w:val="0"/>
              <w:spacing w:before="40" w:after="120"/>
              <w:ind w:right="113"/>
              <w:rPr>
                <w:lang w:val="fr-FR"/>
              </w:rPr>
            </w:pPr>
            <w:r w:rsidRPr="003F168A">
              <w:rPr>
                <w:lang w:val="fr-FR"/>
              </w:rPr>
              <w:t>Le Rapporteur sur les</w:t>
            </w:r>
            <w:r>
              <w:rPr>
                <w:lang w:val="fr-FR"/>
              </w:rPr>
              <w:t> </w:t>
            </w:r>
            <w:r w:rsidRPr="003F168A">
              <w:rPr>
                <w:lang w:val="fr-FR"/>
              </w:rPr>
              <w:t>défenseurs de l’environnement</w:t>
            </w:r>
          </w:p>
          <w:p w14:paraId="3C8110F9" w14:textId="77777777" w:rsidR="00EA3C11" w:rsidRPr="003F168A" w:rsidRDefault="00EA3C11" w:rsidP="00E146C5">
            <w:pPr>
              <w:suppressAutoHyphens w:val="0"/>
              <w:spacing w:before="40" w:after="120"/>
              <w:ind w:right="113"/>
              <w:rPr>
                <w:lang w:val="fr-FR"/>
              </w:rPr>
            </w:pPr>
            <w:r w:rsidRPr="003F168A">
              <w:rPr>
                <w:lang w:val="fr-FR"/>
              </w:rPr>
              <w:t>Le secrétariat</w:t>
            </w:r>
          </w:p>
        </w:tc>
        <w:tc>
          <w:tcPr>
            <w:tcW w:w="5011" w:type="dxa"/>
            <w:shd w:val="clear" w:color="auto" w:fill="auto"/>
          </w:tcPr>
          <w:p w14:paraId="3E74EF95" w14:textId="77777777" w:rsidR="00EA3C11" w:rsidRPr="003F168A" w:rsidRDefault="00EA3C11" w:rsidP="00E146C5">
            <w:pPr>
              <w:suppressAutoHyphens w:val="0"/>
              <w:spacing w:before="40" w:after="120"/>
              <w:ind w:right="113"/>
              <w:rPr>
                <w:lang w:val="fr-FR"/>
              </w:rPr>
            </w:pPr>
            <w:r w:rsidRPr="003F168A">
              <w:rPr>
                <w:lang w:val="fr-FR"/>
              </w:rPr>
              <w:t>Le Rapporteur procède à des examens, entreprend des activités de suivi, donne des conseils, mène des missions d’enquête, prépare des décisions et établit des rapports sur les</w:t>
            </w:r>
            <w:r>
              <w:rPr>
                <w:lang w:val="fr-FR"/>
              </w:rPr>
              <w:t> </w:t>
            </w:r>
            <w:r w:rsidRPr="003F168A">
              <w:rPr>
                <w:lang w:val="fr-FR"/>
              </w:rPr>
              <w:t>questions relatives au paragraphe 8 de l’article 3 de la</w:t>
            </w:r>
            <w:r>
              <w:rPr>
                <w:lang w:val="fr-FR"/>
              </w:rPr>
              <w:t> </w:t>
            </w:r>
            <w:r w:rsidRPr="003F168A">
              <w:rPr>
                <w:lang w:val="fr-FR"/>
              </w:rPr>
              <w:t>Convention.</w:t>
            </w:r>
          </w:p>
          <w:p w14:paraId="2717F9C7" w14:textId="77777777" w:rsidR="00EA3C11" w:rsidRPr="003F168A" w:rsidRDefault="00EA3C11" w:rsidP="00E146C5">
            <w:pPr>
              <w:suppressAutoHyphens w:val="0"/>
              <w:spacing w:before="40" w:after="120"/>
              <w:ind w:right="113"/>
              <w:rPr>
                <w:lang w:val="fr-FR"/>
              </w:rPr>
            </w:pPr>
            <w:r w:rsidRPr="003F168A">
              <w:rPr>
                <w:lang w:val="fr-FR"/>
              </w:rPr>
              <w:t>Recours aux ressources de la bibliothèque du Mécanisme d’échange d’informations d’Aarhus sur la protection des défenseurs de l’environnement ; élaboration de matériels de formation destinés à différents groupes cibles, tels que les fonctionnaires des administrations publiques, les forces de l’ordre, les procureurs, les magistrats, les prestataires de services privés de sécurité et les promoteurs.</w:t>
            </w:r>
          </w:p>
        </w:tc>
        <w:tc>
          <w:tcPr>
            <w:tcW w:w="1251" w:type="dxa"/>
            <w:shd w:val="clear" w:color="auto" w:fill="auto"/>
          </w:tcPr>
          <w:p w14:paraId="5DD6082E" w14:textId="77777777" w:rsidR="00EA3C11" w:rsidRPr="003F168A" w:rsidRDefault="00EA3C11" w:rsidP="00034375">
            <w:pPr>
              <w:suppressAutoHyphens w:val="0"/>
              <w:spacing w:before="40" w:after="120"/>
              <w:ind w:right="113"/>
              <w:jc w:val="right"/>
              <w:rPr>
                <w:lang w:val="fr-FR"/>
              </w:rPr>
            </w:pPr>
          </w:p>
        </w:tc>
      </w:tr>
      <w:tr w:rsidR="00EA3C11" w:rsidRPr="003F168A" w14:paraId="5D662BD5" w14:textId="77777777" w:rsidTr="00034375">
        <w:trPr>
          <w:cantSplit/>
        </w:trPr>
        <w:tc>
          <w:tcPr>
            <w:tcW w:w="1691" w:type="dxa"/>
            <w:shd w:val="clear" w:color="auto" w:fill="auto"/>
          </w:tcPr>
          <w:p w14:paraId="0A30ECFB" w14:textId="77777777" w:rsidR="00EA3C11" w:rsidRPr="003F168A" w:rsidRDefault="00EA3C11" w:rsidP="00E146C5">
            <w:pPr>
              <w:suppressAutoHyphens w:val="0"/>
              <w:spacing w:before="40" w:after="120"/>
              <w:ind w:right="113"/>
              <w:rPr>
                <w:lang w:val="fr-FR"/>
              </w:rPr>
            </w:pPr>
            <w:r w:rsidRPr="003F168A">
              <w:rPr>
                <w:lang w:val="fr-FR"/>
              </w:rPr>
              <w:t xml:space="preserve">VI. </w:t>
            </w:r>
            <w:r>
              <w:rPr>
                <w:lang w:val="fr-FR"/>
              </w:rPr>
              <w:br/>
            </w:r>
            <w:r w:rsidRPr="003F168A">
              <w:rPr>
                <w:lang w:val="fr-FR"/>
              </w:rPr>
              <w:t>Renforcement des</w:t>
            </w:r>
            <w:r>
              <w:rPr>
                <w:lang w:val="fr-FR"/>
              </w:rPr>
              <w:t> </w:t>
            </w:r>
            <w:r w:rsidRPr="003F168A">
              <w:rPr>
                <w:lang w:val="fr-FR"/>
              </w:rPr>
              <w:t>capacités</w:t>
            </w:r>
          </w:p>
        </w:tc>
        <w:tc>
          <w:tcPr>
            <w:tcW w:w="3696" w:type="dxa"/>
            <w:shd w:val="clear" w:color="auto" w:fill="auto"/>
          </w:tcPr>
          <w:p w14:paraId="12001DBF" w14:textId="77777777" w:rsidR="00EA3C11" w:rsidRPr="003F168A" w:rsidRDefault="00EA3C11" w:rsidP="00E146C5">
            <w:pPr>
              <w:suppressAutoHyphens w:val="0"/>
              <w:spacing w:before="40" w:after="120"/>
              <w:ind w:right="113"/>
              <w:rPr>
                <w:lang w:val="fr-FR"/>
              </w:rPr>
            </w:pPr>
            <w:r w:rsidRPr="003F168A">
              <w:rPr>
                <w:lang w:val="fr-FR"/>
              </w:rPr>
              <w:t xml:space="preserve">Coordination des activités de renforcement des capacités pour aider les pays à donner </w:t>
            </w:r>
            <w:r w:rsidRPr="00675772">
              <w:rPr>
                <w:spacing w:val="-2"/>
                <w:lang w:val="fr-FR"/>
              </w:rPr>
              <w:t>pleinement effet à la Convention ; application</w:t>
            </w:r>
            <w:r w:rsidRPr="003F168A">
              <w:rPr>
                <w:lang w:val="fr-FR"/>
              </w:rPr>
              <w:t xml:space="preserve"> de mesures de renforcement des</w:t>
            </w:r>
            <w:r>
              <w:rPr>
                <w:lang w:val="fr-FR"/>
              </w:rPr>
              <w:t xml:space="preserve"> </w:t>
            </w:r>
            <w:r w:rsidRPr="003F168A">
              <w:rPr>
                <w:lang w:val="fr-FR"/>
              </w:rPr>
              <w:t>capacités aux niveaux régional et sous</w:t>
            </w:r>
            <w:r w:rsidRPr="003F168A">
              <w:rPr>
                <w:lang w:val="fr-FR"/>
              </w:rPr>
              <w:noBreakHyphen/>
              <w:t>régional</w:t>
            </w:r>
          </w:p>
          <w:p w14:paraId="2981E395" w14:textId="77777777" w:rsidR="00EA3C11" w:rsidRPr="003F168A" w:rsidRDefault="00EA3C11" w:rsidP="00E146C5">
            <w:pPr>
              <w:suppressAutoHyphens w:val="0"/>
              <w:spacing w:before="40" w:after="120"/>
              <w:ind w:right="113"/>
              <w:rPr>
                <w:lang w:val="fr-FR"/>
              </w:rPr>
            </w:pPr>
            <w:r w:rsidRPr="003F168A">
              <w:rPr>
                <w:lang w:val="fr-FR"/>
              </w:rPr>
              <w:t>Fourniture de conseils aux Parties, en particulier sur l’application des décisions de la Réunion des Parties quant au respect des dispositions</w:t>
            </w:r>
          </w:p>
          <w:p w14:paraId="770491A2" w14:textId="77777777" w:rsidR="00EA3C11" w:rsidRPr="003F168A" w:rsidRDefault="00EA3C11" w:rsidP="00E146C5">
            <w:pPr>
              <w:suppressAutoHyphens w:val="0"/>
              <w:spacing w:before="40" w:after="120"/>
              <w:ind w:right="113"/>
              <w:rPr>
                <w:lang w:val="fr-FR"/>
              </w:rPr>
            </w:pPr>
            <w:r w:rsidRPr="003F168A">
              <w:rPr>
                <w:lang w:val="fr-FR"/>
              </w:rPr>
              <w:t>(Tous les ODD concernés, principalement l’ODD 16)</w:t>
            </w:r>
          </w:p>
        </w:tc>
        <w:tc>
          <w:tcPr>
            <w:tcW w:w="2127" w:type="dxa"/>
            <w:shd w:val="clear" w:color="auto" w:fill="auto"/>
          </w:tcPr>
          <w:p w14:paraId="0553F123" w14:textId="77777777" w:rsidR="00EA3C11" w:rsidRPr="003F168A" w:rsidRDefault="00EA3C11" w:rsidP="00E146C5">
            <w:pPr>
              <w:suppressAutoHyphens w:val="0"/>
              <w:spacing w:before="40" w:after="120"/>
              <w:ind w:right="113"/>
              <w:rPr>
                <w:lang w:val="fr-FR"/>
              </w:rPr>
            </w:pPr>
            <w:r w:rsidRPr="003F168A">
              <w:rPr>
                <w:lang w:val="fr-FR"/>
              </w:rPr>
              <w:t>Le secrétariat, en étroite coopération avec d’autres parties prenantes</w:t>
            </w:r>
          </w:p>
          <w:p w14:paraId="005673CE" w14:textId="77777777" w:rsidR="00EA3C11" w:rsidRPr="003F168A" w:rsidRDefault="00EA3C11" w:rsidP="00E146C5">
            <w:pPr>
              <w:suppressAutoHyphens w:val="0"/>
              <w:spacing w:before="40" w:after="120"/>
              <w:ind w:right="113"/>
              <w:rPr>
                <w:lang w:val="fr-FR"/>
              </w:rPr>
            </w:pPr>
            <w:r w:rsidRPr="003F168A">
              <w:rPr>
                <w:lang w:val="fr-FR"/>
              </w:rPr>
              <w:t>Le secrétariat, en étroite coopération avec le Comité d’examen du respect des dispositions et d’autres parties prenantes</w:t>
            </w:r>
          </w:p>
        </w:tc>
        <w:tc>
          <w:tcPr>
            <w:tcW w:w="5011" w:type="dxa"/>
            <w:shd w:val="clear" w:color="auto" w:fill="auto"/>
          </w:tcPr>
          <w:p w14:paraId="0FA56022" w14:textId="77777777" w:rsidR="00EA3C11" w:rsidRPr="002739BD" w:rsidRDefault="00EA3C11" w:rsidP="00E146C5">
            <w:pPr>
              <w:suppressAutoHyphens w:val="0"/>
              <w:spacing w:before="40" w:after="120"/>
              <w:ind w:right="113"/>
              <w:rPr>
                <w:spacing w:val="-3"/>
                <w:lang w:val="fr-FR"/>
              </w:rPr>
            </w:pPr>
            <w:r w:rsidRPr="003F168A">
              <w:rPr>
                <w:lang w:val="fr-FR"/>
              </w:rPr>
              <w:t xml:space="preserve">Réunions de coordination interinstitutions ; publication, sur les pages Web de la Convention, d’informations actualisées sur les activités de renforcement des capacités ; recours au Mécanisme d’échange d’informations d’Aarhus, utilisation de ses bases de données et d’autres outils de renforcement </w:t>
            </w:r>
            <w:r w:rsidRPr="002739BD">
              <w:rPr>
                <w:lang w:val="fr-FR"/>
              </w:rPr>
              <w:t>des capacités pour faciliter l’échange d’informations sur les bonnes pratiques ; ateliers de formation et assistance technique faisant l’objet, dans la plupart des cas, d’un financement séparé au titre d’autres domaines d’activité ; activités de renforcement des capacités aux niveaux national et sous</w:t>
            </w:r>
            <w:r w:rsidRPr="002739BD">
              <w:rPr>
                <w:lang w:val="fr-FR"/>
              </w:rPr>
              <w:noBreakHyphen/>
              <w:t>régional, qui devraient être financées par les partenaires.</w:t>
            </w:r>
          </w:p>
          <w:p w14:paraId="5665B7F7" w14:textId="77777777" w:rsidR="00EA3C11" w:rsidRPr="003F168A" w:rsidRDefault="00EA3C11" w:rsidP="00E146C5">
            <w:pPr>
              <w:suppressAutoHyphens w:val="0"/>
              <w:spacing w:before="40" w:after="120"/>
              <w:ind w:right="113"/>
              <w:rPr>
                <w:lang w:val="fr-FR"/>
              </w:rPr>
            </w:pPr>
            <w:r w:rsidRPr="003F168A">
              <w:rPr>
                <w:lang w:val="fr-FR"/>
              </w:rPr>
              <w:t>Le secrétariat aide les Parties au besoin.</w:t>
            </w:r>
          </w:p>
        </w:tc>
        <w:tc>
          <w:tcPr>
            <w:tcW w:w="1251" w:type="dxa"/>
            <w:shd w:val="clear" w:color="auto" w:fill="auto"/>
          </w:tcPr>
          <w:p w14:paraId="174F6F1B" w14:textId="77777777" w:rsidR="00EA3C11" w:rsidRPr="003F168A" w:rsidRDefault="00EA3C11" w:rsidP="00034375">
            <w:pPr>
              <w:suppressAutoHyphens w:val="0"/>
              <w:spacing w:before="40" w:after="120"/>
              <w:ind w:right="113"/>
              <w:jc w:val="right"/>
              <w:rPr>
                <w:lang w:val="fr-FR"/>
              </w:rPr>
            </w:pPr>
            <w:r w:rsidRPr="003F168A">
              <w:rPr>
                <w:lang w:val="fr-FR"/>
              </w:rPr>
              <w:t>177</w:t>
            </w:r>
            <w:r>
              <w:rPr>
                <w:lang w:val="fr-FR"/>
              </w:rPr>
              <w:t> </w:t>
            </w:r>
            <w:r w:rsidRPr="003F168A">
              <w:rPr>
                <w:lang w:val="fr-FR"/>
              </w:rPr>
              <w:t>000</w:t>
            </w:r>
            <w:r>
              <w:rPr>
                <w:lang w:val="fr-FR"/>
              </w:rPr>
              <w:t xml:space="preserve"> </w:t>
            </w:r>
            <w:r w:rsidRPr="003F168A">
              <w:rPr>
                <w:lang w:val="fr-FR"/>
              </w:rPr>
              <w:br/>
              <w:t>(17</w:t>
            </w:r>
            <w:r>
              <w:rPr>
                <w:lang w:val="fr-FR"/>
              </w:rPr>
              <w:t> </w:t>
            </w:r>
            <w:r w:rsidRPr="003F168A">
              <w:rPr>
                <w:lang w:val="fr-FR"/>
              </w:rPr>
              <w:t>000)</w:t>
            </w:r>
          </w:p>
        </w:tc>
      </w:tr>
      <w:tr w:rsidR="00EA3C11" w:rsidRPr="003F168A" w14:paraId="30E13B58" w14:textId="77777777" w:rsidTr="00034375">
        <w:tc>
          <w:tcPr>
            <w:tcW w:w="1691" w:type="dxa"/>
            <w:shd w:val="clear" w:color="auto" w:fill="auto"/>
          </w:tcPr>
          <w:p w14:paraId="33AC8018" w14:textId="77777777" w:rsidR="00EA3C11" w:rsidRPr="003F168A" w:rsidRDefault="00EA3C11" w:rsidP="002739BD">
            <w:pPr>
              <w:keepNext/>
              <w:keepLines/>
              <w:suppressAutoHyphens w:val="0"/>
              <w:spacing w:before="40" w:after="120"/>
              <w:ind w:right="113"/>
              <w:rPr>
                <w:lang w:val="fr-FR"/>
              </w:rPr>
            </w:pPr>
            <w:r w:rsidRPr="003F168A">
              <w:rPr>
                <w:lang w:val="fr-FR"/>
              </w:rPr>
              <w:t xml:space="preserve">VII. </w:t>
            </w:r>
            <w:r>
              <w:rPr>
                <w:lang w:val="fr-FR"/>
              </w:rPr>
              <w:br/>
            </w:r>
            <w:r w:rsidRPr="003F168A">
              <w:rPr>
                <w:lang w:val="fr-FR"/>
              </w:rPr>
              <w:t>Mécanisme d’établissement de rapports</w:t>
            </w:r>
          </w:p>
        </w:tc>
        <w:tc>
          <w:tcPr>
            <w:tcW w:w="3696" w:type="dxa"/>
            <w:shd w:val="clear" w:color="auto" w:fill="auto"/>
          </w:tcPr>
          <w:p w14:paraId="7BBAD9E7" w14:textId="77777777" w:rsidR="00EA3C11" w:rsidRPr="003F168A" w:rsidRDefault="00EA3C11" w:rsidP="002739BD">
            <w:pPr>
              <w:keepNext/>
              <w:keepLines/>
              <w:suppressAutoHyphens w:val="0"/>
              <w:spacing w:before="40" w:after="120"/>
              <w:ind w:right="113"/>
              <w:rPr>
                <w:lang w:val="fr-FR"/>
              </w:rPr>
            </w:pPr>
            <w:r w:rsidRPr="003F168A">
              <w:rPr>
                <w:lang w:val="fr-FR"/>
              </w:rPr>
              <w:t>Établissement de rapports nationaux d’exécution et d’un rapport de synthèse</w:t>
            </w:r>
          </w:p>
        </w:tc>
        <w:tc>
          <w:tcPr>
            <w:tcW w:w="2127" w:type="dxa"/>
            <w:shd w:val="clear" w:color="auto" w:fill="auto"/>
          </w:tcPr>
          <w:p w14:paraId="4A46742B" w14:textId="77777777" w:rsidR="00EA3C11" w:rsidRPr="003F168A" w:rsidRDefault="00EA3C11" w:rsidP="002739BD">
            <w:pPr>
              <w:keepNext/>
              <w:keepLines/>
              <w:suppressAutoHyphens w:val="0"/>
              <w:spacing w:before="40" w:after="120"/>
              <w:ind w:right="113"/>
              <w:rPr>
                <w:lang w:val="fr-FR"/>
              </w:rPr>
            </w:pPr>
            <w:r w:rsidRPr="003F168A">
              <w:rPr>
                <w:lang w:val="fr-FR"/>
              </w:rPr>
              <w:t>Le secrétariat, qui fera appel si nécessaire à des experts et à du personnel d’appui administratif</w:t>
            </w:r>
          </w:p>
          <w:p w14:paraId="0BE37C34" w14:textId="77777777" w:rsidR="00EA3C11" w:rsidRPr="003F168A" w:rsidRDefault="00EA3C11" w:rsidP="002739BD">
            <w:pPr>
              <w:keepNext/>
              <w:keepLines/>
              <w:suppressAutoHyphens w:val="0"/>
              <w:spacing w:before="40" w:after="120"/>
              <w:ind w:right="113"/>
              <w:rPr>
                <w:lang w:val="fr-FR"/>
              </w:rPr>
            </w:pPr>
            <w:r w:rsidRPr="003F168A">
              <w:rPr>
                <w:lang w:val="fr-FR"/>
              </w:rPr>
              <w:t>Le Comité d’examen du respect des dispositions</w:t>
            </w:r>
          </w:p>
        </w:tc>
        <w:tc>
          <w:tcPr>
            <w:tcW w:w="5011" w:type="dxa"/>
            <w:shd w:val="clear" w:color="auto" w:fill="auto"/>
          </w:tcPr>
          <w:p w14:paraId="31207D8E" w14:textId="77777777" w:rsidR="00EA3C11" w:rsidRPr="003F168A" w:rsidRDefault="00EA3C11" w:rsidP="002739BD">
            <w:pPr>
              <w:keepNext/>
              <w:keepLines/>
              <w:suppressAutoHyphens w:val="0"/>
              <w:spacing w:before="40" w:after="120"/>
              <w:ind w:right="113"/>
              <w:rPr>
                <w:lang w:val="fr-FR"/>
              </w:rPr>
            </w:pPr>
            <w:r w:rsidRPr="003F168A">
              <w:rPr>
                <w:lang w:val="fr-FR"/>
              </w:rPr>
              <w:t>Élaboration du rapport de synthèse et traitement des rapports nationaux d’exécution.</w:t>
            </w:r>
          </w:p>
          <w:p w14:paraId="467D7FEF" w14:textId="77777777" w:rsidR="00EA3C11" w:rsidRPr="002739BD" w:rsidRDefault="00EA3C11" w:rsidP="002739BD">
            <w:pPr>
              <w:keepNext/>
              <w:keepLines/>
              <w:suppressAutoHyphens w:val="0"/>
              <w:spacing w:before="40" w:after="120"/>
              <w:ind w:right="113"/>
              <w:rPr>
                <w:spacing w:val="-3"/>
                <w:lang w:val="fr-FR"/>
              </w:rPr>
            </w:pPr>
            <w:r w:rsidRPr="002739BD">
              <w:rPr>
                <w:spacing w:val="-3"/>
                <w:lang w:val="fr-FR"/>
              </w:rPr>
              <w:t>Analyse des rapports et établissement d’un rapport de synthèse.</w:t>
            </w:r>
          </w:p>
          <w:p w14:paraId="57A1DB60" w14:textId="77777777" w:rsidR="00EA3C11" w:rsidRPr="003F168A" w:rsidRDefault="00EA3C11" w:rsidP="002739BD">
            <w:pPr>
              <w:keepNext/>
              <w:keepLines/>
              <w:suppressAutoHyphens w:val="0"/>
              <w:spacing w:before="40" w:after="120"/>
              <w:ind w:right="113"/>
              <w:rPr>
                <w:lang w:val="fr-FR"/>
              </w:rPr>
            </w:pPr>
            <w:r w:rsidRPr="003F168A">
              <w:rPr>
                <w:lang w:val="fr-FR"/>
              </w:rPr>
              <w:t>Utilisation des rapports nationaux d’exécution pour recenser les thèmes qui pourront être traités par les équipes spéciales et d’autres activités.</w:t>
            </w:r>
          </w:p>
        </w:tc>
        <w:tc>
          <w:tcPr>
            <w:tcW w:w="1251" w:type="dxa"/>
            <w:shd w:val="clear" w:color="auto" w:fill="auto"/>
          </w:tcPr>
          <w:p w14:paraId="7769CCC3" w14:textId="464F1114" w:rsidR="00EA3C11" w:rsidRPr="003F168A" w:rsidRDefault="00EA3C11" w:rsidP="002739BD">
            <w:pPr>
              <w:keepNext/>
              <w:keepLines/>
              <w:suppressAutoHyphens w:val="0"/>
              <w:spacing w:before="40" w:after="120"/>
              <w:ind w:right="113"/>
              <w:jc w:val="right"/>
              <w:rPr>
                <w:lang w:val="fr-FR"/>
              </w:rPr>
            </w:pPr>
            <w:r w:rsidRPr="003F168A">
              <w:rPr>
                <w:lang w:val="fr-FR"/>
              </w:rPr>
              <w:t>7</w:t>
            </w:r>
            <w:r w:rsidR="00AA0203">
              <w:rPr>
                <w:lang w:val="fr-FR"/>
              </w:rPr>
              <w:t> </w:t>
            </w:r>
            <w:r w:rsidRPr="003F168A">
              <w:rPr>
                <w:lang w:val="fr-FR"/>
              </w:rPr>
              <w:t>500</w:t>
            </w:r>
          </w:p>
        </w:tc>
      </w:tr>
      <w:tr w:rsidR="00EA3C11" w:rsidRPr="003F168A" w14:paraId="7C669102" w14:textId="77777777" w:rsidTr="00E146C5">
        <w:tc>
          <w:tcPr>
            <w:tcW w:w="13776" w:type="dxa"/>
            <w:gridSpan w:val="5"/>
            <w:shd w:val="clear" w:color="auto" w:fill="auto"/>
          </w:tcPr>
          <w:p w14:paraId="4BAE6507" w14:textId="77777777" w:rsidR="00EA3C11" w:rsidRPr="003F168A" w:rsidRDefault="00EA3C11" w:rsidP="00AA0203">
            <w:pPr>
              <w:suppressAutoHyphens w:val="0"/>
              <w:spacing w:before="40" w:after="120"/>
              <w:ind w:right="113"/>
              <w:rPr>
                <w:lang w:val="fr-FR"/>
              </w:rPr>
            </w:pPr>
            <w:r w:rsidRPr="003F168A">
              <w:rPr>
                <w:b/>
                <w:bCs/>
                <w:lang w:val="fr-FR"/>
              </w:rPr>
              <w:t>Sensibilisation et promotion</w:t>
            </w:r>
          </w:p>
        </w:tc>
      </w:tr>
      <w:tr w:rsidR="00EA3C11" w:rsidRPr="003F168A" w14:paraId="2850E9C1" w14:textId="77777777" w:rsidTr="00034375">
        <w:tc>
          <w:tcPr>
            <w:tcW w:w="1691" w:type="dxa"/>
            <w:shd w:val="clear" w:color="auto" w:fill="auto"/>
          </w:tcPr>
          <w:p w14:paraId="05D60745" w14:textId="77777777" w:rsidR="00EA3C11" w:rsidRPr="003F168A" w:rsidRDefault="00EA3C11" w:rsidP="00E146C5">
            <w:pPr>
              <w:suppressAutoHyphens w:val="0"/>
              <w:spacing w:before="40" w:after="120"/>
              <w:ind w:right="113"/>
              <w:rPr>
                <w:bCs/>
                <w:lang w:val="fr-FR"/>
              </w:rPr>
            </w:pPr>
            <w:r w:rsidRPr="003F168A">
              <w:rPr>
                <w:lang w:val="fr-FR"/>
              </w:rPr>
              <w:t xml:space="preserve">VIII. </w:t>
            </w:r>
            <w:r>
              <w:rPr>
                <w:lang w:val="fr-FR"/>
              </w:rPr>
              <w:br/>
            </w:r>
            <w:r w:rsidRPr="003F168A">
              <w:rPr>
                <w:lang w:val="fr-FR"/>
              </w:rPr>
              <w:t>Sensibilisation et promotion de la Convention, y compris par les moyens suivants :</w:t>
            </w:r>
          </w:p>
          <w:p w14:paraId="7EE19A2F" w14:textId="77777777" w:rsidR="00EA3C11" w:rsidRPr="003F168A" w:rsidRDefault="00EA3C11" w:rsidP="00E146C5">
            <w:pPr>
              <w:suppressAutoHyphens w:val="0"/>
              <w:spacing w:before="40" w:after="120"/>
              <w:ind w:right="113"/>
              <w:rPr>
                <w:bCs/>
                <w:lang w:val="fr-FR"/>
              </w:rPr>
            </w:pPr>
            <w:r w:rsidRPr="003F168A">
              <w:rPr>
                <w:lang w:val="fr-FR"/>
              </w:rPr>
              <w:t xml:space="preserve">VIII.1. </w:t>
            </w:r>
            <w:r>
              <w:rPr>
                <w:lang w:val="fr-FR"/>
              </w:rPr>
              <w:br/>
            </w:r>
            <w:r w:rsidRPr="003F168A">
              <w:rPr>
                <w:lang w:val="fr-FR"/>
              </w:rPr>
              <w:t>Stratégie de communication</w:t>
            </w:r>
          </w:p>
          <w:p w14:paraId="2FE4FF27" w14:textId="77777777" w:rsidR="00EA3C11" w:rsidRPr="003F168A" w:rsidRDefault="00EA3C11" w:rsidP="00E146C5">
            <w:pPr>
              <w:suppressAutoHyphens w:val="0"/>
              <w:spacing w:before="40" w:after="120"/>
              <w:ind w:right="113"/>
              <w:rPr>
                <w:lang w:val="fr-FR"/>
              </w:rPr>
            </w:pPr>
            <w:r w:rsidRPr="003F168A">
              <w:rPr>
                <w:lang w:val="fr-FR"/>
              </w:rPr>
              <w:t xml:space="preserve">VIII.3. </w:t>
            </w:r>
            <w:r>
              <w:rPr>
                <w:lang w:val="fr-FR"/>
              </w:rPr>
              <w:br/>
            </w:r>
            <w:r w:rsidRPr="003F168A">
              <w:rPr>
                <w:lang w:val="fr-FR"/>
              </w:rPr>
              <w:t>Appui à des États non membres de la</w:t>
            </w:r>
            <w:r>
              <w:rPr>
                <w:lang w:val="fr-FR"/>
              </w:rPr>
              <w:t> </w:t>
            </w:r>
            <w:r w:rsidRPr="003F168A">
              <w:rPr>
                <w:lang w:val="fr-FR"/>
              </w:rPr>
              <w:t>CEE en vue de leur</w:t>
            </w:r>
            <w:r>
              <w:rPr>
                <w:lang w:val="fr-FR"/>
              </w:rPr>
              <w:t> </w:t>
            </w:r>
            <w:r w:rsidRPr="003F168A">
              <w:rPr>
                <w:lang w:val="fr-FR"/>
              </w:rPr>
              <w:t>adhésion à la</w:t>
            </w:r>
            <w:r>
              <w:rPr>
                <w:lang w:val="fr-FR"/>
              </w:rPr>
              <w:t> </w:t>
            </w:r>
            <w:r w:rsidRPr="003F168A">
              <w:rPr>
                <w:lang w:val="fr-FR"/>
              </w:rPr>
              <w:t>Convention</w:t>
            </w:r>
          </w:p>
          <w:p w14:paraId="7F1D3B3A" w14:textId="2ECF9420" w:rsidR="00EA3C11" w:rsidRPr="003F168A" w:rsidRDefault="00EA3C11" w:rsidP="00E146C5">
            <w:pPr>
              <w:suppressAutoHyphens w:val="0"/>
              <w:spacing w:before="40" w:after="120"/>
              <w:ind w:right="113"/>
              <w:rPr>
                <w:lang w:val="fr-FR"/>
              </w:rPr>
            </w:pPr>
            <w:r w:rsidRPr="003F168A">
              <w:rPr>
                <w:lang w:val="fr-FR"/>
              </w:rPr>
              <w:t xml:space="preserve">VIII.4. </w:t>
            </w:r>
            <w:r>
              <w:rPr>
                <w:lang w:val="fr-FR"/>
              </w:rPr>
              <w:br/>
            </w:r>
            <w:r w:rsidRPr="003F168A">
              <w:rPr>
                <w:lang w:val="fr-FR"/>
              </w:rPr>
              <w:t>Appui aux initiatives régionales et mondiales se rapportant au Principe 10 de la Déclaration de Rio</w:t>
            </w:r>
          </w:p>
        </w:tc>
        <w:tc>
          <w:tcPr>
            <w:tcW w:w="3696" w:type="dxa"/>
            <w:shd w:val="clear" w:color="auto" w:fill="auto"/>
          </w:tcPr>
          <w:p w14:paraId="1F762BE4" w14:textId="77777777" w:rsidR="00EA3C11" w:rsidRPr="003F168A" w:rsidRDefault="00EA3C11" w:rsidP="00E146C5">
            <w:pPr>
              <w:suppressAutoHyphens w:val="0"/>
              <w:spacing w:before="40" w:after="120"/>
              <w:ind w:right="113"/>
              <w:rPr>
                <w:lang w:val="fr-FR"/>
              </w:rPr>
            </w:pPr>
            <w:r w:rsidRPr="003F168A">
              <w:rPr>
                <w:lang w:val="fr-FR"/>
              </w:rPr>
              <w:t>Les activités seront centrées sur les aspects suivants :</w:t>
            </w:r>
          </w:p>
          <w:p w14:paraId="137E7B35" w14:textId="77777777" w:rsidR="00EA3C11" w:rsidRPr="003F168A" w:rsidRDefault="00EA3C11" w:rsidP="00E146C5">
            <w:pPr>
              <w:suppressAutoHyphens w:val="0"/>
              <w:spacing w:before="40" w:after="120"/>
              <w:ind w:left="567" w:right="113" w:hanging="567"/>
              <w:rPr>
                <w:lang w:val="fr-FR"/>
              </w:rPr>
            </w:pPr>
            <w:r w:rsidRPr="003F168A">
              <w:rPr>
                <w:lang w:val="fr-FR"/>
              </w:rPr>
              <w:t>a)</w:t>
            </w:r>
            <w:r w:rsidRPr="003F168A">
              <w:rPr>
                <w:lang w:val="fr-FR"/>
              </w:rPr>
              <w:tab/>
              <w:t>Faire connaître la Convention au public dans l’ensemble de la région de la CEE et au-delà ;</w:t>
            </w:r>
          </w:p>
          <w:p w14:paraId="76496EA0" w14:textId="77777777" w:rsidR="00EA3C11" w:rsidRPr="003F168A" w:rsidRDefault="00EA3C11" w:rsidP="00E146C5">
            <w:pPr>
              <w:suppressAutoHyphens w:val="0"/>
              <w:spacing w:before="40" w:after="120"/>
              <w:ind w:left="567" w:right="113" w:hanging="567"/>
              <w:rPr>
                <w:lang w:val="fr-FR"/>
              </w:rPr>
            </w:pPr>
            <w:r w:rsidRPr="003F168A">
              <w:rPr>
                <w:lang w:val="fr-FR"/>
              </w:rPr>
              <w:t>b)</w:t>
            </w:r>
            <w:r w:rsidRPr="003F168A">
              <w:rPr>
                <w:lang w:val="fr-FR"/>
              </w:rPr>
              <w:tab/>
              <w:t>Accroître le nombre de Parties à la Convention ;</w:t>
            </w:r>
          </w:p>
          <w:p w14:paraId="7A25F02D" w14:textId="77777777" w:rsidR="00EA3C11" w:rsidRPr="003F168A" w:rsidRDefault="00EA3C11" w:rsidP="00E146C5">
            <w:pPr>
              <w:suppressAutoHyphens w:val="0"/>
              <w:spacing w:before="40" w:after="120"/>
              <w:ind w:left="567" w:right="113" w:hanging="567"/>
              <w:rPr>
                <w:lang w:val="fr-FR"/>
              </w:rPr>
            </w:pPr>
            <w:r w:rsidRPr="003F168A">
              <w:rPr>
                <w:lang w:val="fr-FR"/>
              </w:rPr>
              <w:t>c)</w:t>
            </w:r>
            <w:r w:rsidRPr="003F168A">
              <w:rPr>
                <w:lang w:val="fr-FR"/>
              </w:rPr>
              <w:tab/>
              <w:t>Appuyer les initiatives régionales et</w:t>
            </w:r>
            <w:r>
              <w:rPr>
                <w:lang w:val="fr-FR"/>
              </w:rPr>
              <w:t> </w:t>
            </w:r>
            <w:r w:rsidRPr="003F168A">
              <w:rPr>
                <w:lang w:val="fr-FR"/>
              </w:rPr>
              <w:t xml:space="preserve">mondiales se rapportant au Principe 10 de la Déclaration </w:t>
            </w:r>
            <w:r>
              <w:rPr>
                <w:lang w:val="fr-FR"/>
              </w:rPr>
              <w:br/>
            </w:r>
            <w:r w:rsidRPr="003F168A">
              <w:rPr>
                <w:lang w:val="fr-FR"/>
              </w:rPr>
              <w:t>de Rio sur l’environnement et le</w:t>
            </w:r>
            <w:r>
              <w:rPr>
                <w:lang w:val="fr-FR"/>
              </w:rPr>
              <w:t> </w:t>
            </w:r>
            <w:r w:rsidRPr="003F168A">
              <w:rPr>
                <w:lang w:val="fr-FR"/>
              </w:rPr>
              <w:t>développement.</w:t>
            </w:r>
          </w:p>
          <w:p w14:paraId="1C7BD886" w14:textId="77777777" w:rsidR="00EA3C11" w:rsidRPr="003F168A" w:rsidRDefault="00EA3C11" w:rsidP="00E146C5">
            <w:pPr>
              <w:suppressAutoHyphens w:val="0"/>
              <w:spacing w:before="40" w:after="120"/>
              <w:ind w:right="113"/>
              <w:rPr>
                <w:lang w:val="fr-FR"/>
              </w:rPr>
            </w:pPr>
            <w:r w:rsidRPr="003F168A">
              <w:rPr>
                <w:lang w:val="fr-FR"/>
              </w:rPr>
              <w:t>Ces activités devraient être entreprises en synergie avec les activités pertinentes du programme de travail relatif au Protocole sur les registres des rejets et transferts de polluants.</w:t>
            </w:r>
          </w:p>
          <w:p w14:paraId="562E4EFD" w14:textId="6C69B848" w:rsidR="00EA3C11" w:rsidRPr="003F168A" w:rsidRDefault="00EA3C11" w:rsidP="00E146C5">
            <w:pPr>
              <w:suppressAutoHyphens w:val="0"/>
              <w:spacing w:before="40" w:after="120"/>
              <w:ind w:right="113"/>
              <w:rPr>
                <w:lang w:val="fr-FR"/>
              </w:rPr>
            </w:pPr>
            <w:r w:rsidRPr="003F168A">
              <w:rPr>
                <w:lang w:val="fr-FR"/>
              </w:rPr>
              <w:t>Les activités du domaine VIII seront menées en synergie avec celles du domaine IX.</w:t>
            </w:r>
            <w:r w:rsidR="002739BD">
              <w:rPr>
                <w:lang w:val="fr-FR"/>
              </w:rPr>
              <w:t xml:space="preserve"> </w:t>
            </w:r>
            <w:r w:rsidRPr="003F168A">
              <w:rPr>
                <w:lang w:val="fr-FR"/>
              </w:rPr>
              <w:br/>
              <w:t>(Elles contribuent principalement à la réalisation des ODD 4, 12, 16 et 17)</w:t>
            </w:r>
          </w:p>
        </w:tc>
        <w:tc>
          <w:tcPr>
            <w:tcW w:w="2127" w:type="dxa"/>
            <w:shd w:val="clear" w:color="auto" w:fill="auto"/>
          </w:tcPr>
          <w:p w14:paraId="49993699" w14:textId="77777777" w:rsidR="00EA3C11" w:rsidRPr="003F168A" w:rsidRDefault="00EA3C11" w:rsidP="00E146C5">
            <w:pPr>
              <w:suppressAutoHyphens w:val="0"/>
              <w:spacing w:before="40" w:after="120"/>
              <w:ind w:right="113"/>
              <w:rPr>
                <w:lang w:val="fr-FR"/>
              </w:rPr>
            </w:pPr>
            <w:r w:rsidRPr="003F168A">
              <w:rPr>
                <w:lang w:val="fr-FR"/>
              </w:rPr>
              <w:t>Le secrétariat</w:t>
            </w:r>
          </w:p>
          <w:p w14:paraId="15D05AA2" w14:textId="77777777" w:rsidR="00EA3C11" w:rsidRPr="003F168A" w:rsidRDefault="00EA3C11" w:rsidP="00E146C5">
            <w:pPr>
              <w:suppressAutoHyphens w:val="0"/>
              <w:spacing w:before="40" w:after="120"/>
              <w:ind w:right="113"/>
              <w:rPr>
                <w:lang w:val="fr-FR"/>
              </w:rPr>
            </w:pPr>
            <w:r w:rsidRPr="003F168A">
              <w:rPr>
                <w:lang w:val="fr-FR"/>
              </w:rPr>
              <w:t>Le Bureau de la Réunion des Parties</w:t>
            </w:r>
          </w:p>
          <w:p w14:paraId="7531C487" w14:textId="39D5DDC5" w:rsidR="00EA3C11" w:rsidRPr="003F168A" w:rsidRDefault="00EA3C11" w:rsidP="00E146C5">
            <w:pPr>
              <w:suppressAutoHyphens w:val="0"/>
              <w:spacing w:before="40" w:after="120"/>
              <w:ind w:right="113"/>
              <w:rPr>
                <w:lang w:val="fr-FR"/>
              </w:rPr>
            </w:pPr>
            <w:r w:rsidRPr="003F168A">
              <w:rPr>
                <w:lang w:val="fr-FR"/>
              </w:rPr>
              <w:t>Le Groupe de travail des</w:t>
            </w:r>
            <w:r w:rsidR="00070966">
              <w:rPr>
                <w:lang w:val="fr-FR"/>
              </w:rPr>
              <w:t> </w:t>
            </w:r>
            <w:r w:rsidRPr="003F168A">
              <w:rPr>
                <w:lang w:val="fr-FR"/>
              </w:rPr>
              <w:t>Parties</w:t>
            </w:r>
          </w:p>
        </w:tc>
        <w:tc>
          <w:tcPr>
            <w:tcW w:w="5011" w:type="dxa"/>
            <w:shd w:val="clear" w:color="auto" w:fill="auto"/>
          </w:tcPr>
          <w:p w14:paraId="114D5A6B" w14:textId="61D6117C" w:rsidR="00EA3C11" w:rsidRPr="003F168A" w:rsidRDefault="00EA3C11" w:rsidP="00E146C5">
            <w:pPr>
              <w:suppressAutoHyphens w:val="0"/>
              <w:spacing w:before="40" w:after="120"/>
              <w:ind w:right="113"/>
              <w:rPr>
                <w:lang w:val="fr-FR"/>
              </w:rPr>
            </w:pPr>
            <w:r w:rsidRPr="002739BD">
              <w:rPr>
                <w:spacing w:val="-2"/>
                <w:lang w:val="fr-FR"/>
              </w:rPr>
              <w:t>Participation à des manifestations et processus régionaux et internationaux de première importance ; recours à des modalités de coopération bilatérale, régionale et internationale en vue de susciter de l’intérêt pour la Convention (Politique européenne de voisinage, par exemple) ;</w:t>
            </w:r>
            <w:r w:rsidRPr="003F168A">
              <w:rPr>
                <w:lang w:val="fr-FR"/>
              </w:rPr>
              <w:t xml:space="preserve"> contribution à des processus internationaux étroitement liés à la Convention, notamment les procédures spéciales du Conseil des droits de l’homme de l’ONU (selon</w:t>
            </w:r>
            <w:r w:rsidR="002739BD">
              <w:rPr>
                <w:lang w:val="fr-FR"/>
              </w:rPr>
              <w:t xml:space="preserve"> </w:t>
            </w:r>
            <w:r w:rsidRPr="003F168A">
              <w:rPr>
                <w:lang w:val="fr-FR"/>
              </w:rPr>
              <w:t>le mandat), le</w:t>
            </w:r>
            <w:r w:rsidR="00070966">
              <w:rPr>
                <w:lang w:val="fr-FR"/>
              </w:rPr>
              <w:t xml:space="preserve"> </w:t>
            </w:r>
            <w:r w:rsidRPr="003F168A">
              <w:rPr>
                <w:lang w:val="fr-FR"/>
              </w:rPr>
              <w:t>Programme des Nations</w:t>
            </w:r>
            <w:r>
              <w:rPr>
                <w:lang w:val="fr-FR"/>
              </w:rPr>
              <w:t> </w:t>
            </w:r>
            <w:r w:rsidRPr="003F168A">
              <w:rPr>
                <w:lang w:val="fr-FR"/>
              </w:rPr>
              <w:t>Unies pour l’environnement, les institutions financières internationales et</w:t>
            </w:r>
            <w:r w:rsidR="002739BD">
              <w:rPr>
                <w:lang w:val="fr-FR"/>
              </w:rPr>
              <w:t xml:space="preserve"> </w:t>
            </w:r>
            <w:r w:rsidRPr="003F168A">
              <w:rPr>
                <w:lang w:val="fr-FR"/>
              </w:rPr>
              <w:t>autres instances internationales concernées.</w:t>
            </w:r>
          </w:p>
          <w:p w14:paraId="5F927996" w14:textId="77777777" w:rsidR="00EA3C11" w:rsidRPr="003F168A" w:rsidRDefault="00EA3C11" w:rsidP="00E146C5">
            <w:pPr>
              <w:suppressAutoHyphens w:val="0"/>
              <w:spacing w:before="40" w:after="120"/>
              <w:ind w:right="113"/>
              <w:rPr>
                <w:lang w:val="fr-FR"/>
              </w:rPr>
            </w:pPr>
            <w:r w:rsidRPr="003F168A">
              <w:rPr>
                <w:lang w:val="fr-FR"/>
              </w:rPr>
              <w:t>Offre d’une assistance spécialisée aux initiatives régionales et mondiales se rapportant au principe 10 de la Déclaration de Rio ; appui à des manifestations organisées par d’autres entités ; organisation de missions dans les pays et d’activités d’assistance aux pays à la demande des gouvernements, en privilégiant les États qui ont officiellement indiqué qu’ils souhaitaient devenir Parties à la Convention.</w:t>
            </w:r>
          </w:p>
          <w:p w14:paraId="114F4A9C" w14:textId="77777777" w:rsidR="00EA3C11" w:rsidRPr="003F168A" w:rsidRDefault="00EA3C11" w:rsidP="00E146C5">
            <w:pPr>
              <w:suppressAutoHyphens w:val="0"/>
              <w:spacing w:before="40" w:after="120"/>
              <w:ind w:right="113"/>
              <w:rPr>
                <w:lang w:val="fr-FR"/>
              </w:rPr>
            </w:pPr>
            <w:r w:rsidRPr="003F168A">
              <w:rPr>
                <w:lang w:val="fr-FR"/>
              </w:rPr>
              <w:t>Mise en œuvre de la stratégie de communication ; gestion du Mécanisme d’échange d’informations d’Aarhus et du site Web ; production de brochures, de publications, de bulletins d’information, d’articles et d’autres documents d’information.</w:t>
            </w:r>
          </w:p>
        </w:tc>
        <w:tc>
          <w:tcPr>
            <w:tcW w:w="1251" w:type="dxa"/>
            <w:shd w:val="clear" w:color="auto" w:fill="auto"/>
          </w:tcPr>
          <w:p w14:paraId="29EDF15B" w14:textId="77777777" w:rsidR="00EA3C11" w:rsidRPr="003F168A" w:rsidRDefault="00EA3C11" w:rsidP="00034375">
            <w:pPr>
              <w:suppressAutoHyphens w:val="0"/>
              <w:spacing w:before="40" w:after="120"/>
              <w:ind w:right="113"/>
              <w:jc w:val="right"/>
              <w:rPr>
                <w:lang w:val="fr-FR"/>
              </w:rPr>
            </w:pPr>
            <w:r w:rsidRPr="003F168A">
              <w:rPr>
                <w:lang w:val="fr-FR"/>
              </w:rPr>
              <w:t>119</w:t>
            </w:r>
            <w:r>
              <w:rPr>
                <w:lang w:val="fr-FR"/>
              </w:rPr>
              <w:t> </w:t>
            </w:r>
            <w:r w:rsidRPr="003F168A">
              <w:rPr>
                <w:lang w:val="fr-FR"/>
              </w:rPr>
              <w:t>000</w:t>
            </w:r>
            <w:r>
              <w:rPr>
                <w:lang w:val="fr-FR"/>
              </w:rPr>
              <w:t xml:space="preserve"> </w:t>
            </w:r>
            <w:r w:rsidRPr="003F168A">
              <w:rPr>
                <w:lang w:val="fr-FR"/>
              </w:rPr>
              <w:br/>
              <w:t>(34</w:t>
            </w:r>
            <w:r>
              <w:rPr>
                <w:lang w:val="fr-FR"/>
              </w:rPr>
              <w:t> </w:t>
            </w:r>
            <w:r w:rsidRPr="003F168A">
              <w:rPr>
                <w:lang w:val="fr-FR"/>
              </w:rPr>
              <w:t>500)</w:t>
            </w:r>
          </w:p>
        </w:tc>
      </w:tr>
      <w:tr w:rsidR="00EA3C11" w:rsidRPr="003F168A" w14:paraId="75564E2D" w14:textId="77777777" w:rsidTr="00034375">
        <w:tc>
          <w:tcPr>
            <w:tcW w:w="1691" w:type="dxa"/>
            <w:shd w:val="clear" w:color="auto" w:fill="auto"/>
          </w:tcPr>
          <w:p w14:paraId="432465B5" w14:textId="365265D9" w:rsidR="00EA3C11" w:rsidRPr="003F168A" w:rsidRDefault="00EA3C11" w:rsidP="00E146C5">
            <w:pPr>
              <w:suppressAutoHyphens w:val="0"/>
              <w:spacing w:before="40" w:after="120"/>
              <w:ind w:right="113"/>
              <w:rPr>
                <w:lang w:val="fr-FR"/>
              </w:rPr>
            </w:pPr>
            <w:bookmarkStart w:id="7" w:name="_Hlk35205848"/>
            <w:r w:rsidRPr="003F168A">
              <w:rPr>
                <w:lang w:val="fr-FR"/>
              </w:rPr>
              <w:t xml:space="preserve">IX. </w:t>
            </w:r>
            <w:r>
              <w:rPr>
                <w:lang w:val="fr-FR"/>
              </w:rPr>
              <w:br/>
            </w:r>
            <w:r w:rsidRPr="003F168A">
              <w:rPr>
                <w:lang w:val="fr-FR"/>
              </w:rPr>
              <w:t>Promotion des principes de la Convention dans les</w:t>
            </w:r>
            <w:r>
              <w:rPr>
                <w:lang w:val="fr-FR"/>
              </w:rPr>
              <w:t xml:space="preserve"> </w:t>
            </w:r>
            <w:r w:rsidRPr="003F168A">
              <w:rPr>
                <w:lang w:val="fr-FR"/>
              </w:rPr>
              <w:t>instances internationales, des</w:t>
            </w:r>
            <w:r w:rsidR="00AB399F">
              <w:rPr>
                <w:lang w:val="fr-FR"/>
              </w:rPr>
              <w:t> </w:t>
            </w:r>
            <w:r w:rsidRPr="003F168A">
              <w:rPr>
                <w:lang w:val="fr-FR"/>
              </w:rPr>
              <w:t>Lignes directrices d’Almaty et d’autres formes d’interaction avec les organismes et processus internationaux concernés</w:t>
            </w:r>
          </w:p>
        </w:tc>
        <w:tc>
          <w:tcPr>
            <w:tcW w:w="3696" w:type="dxa"/>
            <w:shd w:val="clear" w:color="auto" w:fill="auto"/>
          </w:tcPr>
          <w:p w14:paraId="665EAD5D" w14:textId="77777777" w:rsidR="00EA3C11" w:rsidRPr="003F168A" w:rsidRDefault="00EA3C11" w:rsidP="00E146C5">
            <w:pPr>
              <w:suppressAutoHyphens w:val="0"/>
              <w:spacing w:before="40" w:after="120"/>
              <w:ind w:right="113"/>
              <w:rPr>
                <w:lang w:val="fr-FR"/>
              </w:rPr>
            </w:pPr>
            <w:r w:rsidRPr="003F168A">
              <w:rPr>
                <w:lang w:val="fr-FR"/>
              </w:rPr>
              <w:t>Les activités seront exécutées conformément à la décision VII/... relative à la promotion de l’application des principes de la Convention dans les instances internationales.</w:t>
            </w:r>
            <w:r>
              <w:rPr>
                <w:lang w:val="fr-FR"/>
              </w:rPr>
              <w:t xml:space="preserve"> </w:t>
            </w:r>
            <w:r w:rsidRPr="003F168A">
              <w:rPr>
                <w:lang w:val="fr-FR"/>
              </w:rPr>
              <w:br/>
              <w:t>(Elles contribuent principalement à la réalisation des cibles 16.7 et 17.14 des ODD).</w:t>
            </w:r>
          </w:p>
        </w:tc>
        <w:tc>
          <w:tcPr>
            <w:tcW w:w="2127" w:type="dxa"/>
            <w:shd w:val="clear" w:color="auto" w:fill="auto"/>
          </w:tcPr>
          <w:p w14:paraId="592DB61B" w14:textId="77777777" w:rsidR="00EA3C11" w:rsidRPr="003F168A" w:rsidRDefault="00EA3C11" w:rsidP="00E146C5">
            <w:pPr>
              <w:suppressAutoHyphens w:val="0"/>
              <w:spacing w:before="40" w:after="120"/>
              <w:ind w:right="113"/>
              <w:rPr>
                <w:lang w:val="fr-FR"/>
              </w:rPr>
            </w:pPr>
            <w:r w:rsidRPr="003F168A">
              <w:rPr>
                <w:lang w:val="fr-FR"/>
              </w:rPr>
              <w:t xml:space="preserve">Le secrétariat, en étroite </w:t>
            </w:r>
            <w:r w:rsidRPr="00AB399F">
              <w:rPr>
                <w:spacing w:val="-2"/>
                <w:lang w:val="fr-FR"/>
              </w:rPr>
              <w:t>coopération avec d’autres</w:t>
            </w:r>
            <w:r w:rsidRPr="003F168A">
              <w:rPr>
                <w:lang w:val="fr-FR"/>
              </w:rPr>
              <w:t xml:space="preserve"> parties prenantes</w:t>
            </w:r>
          </w:p>
          <w:p w14:paraId="49B0042C" w14:textId="77777777" w:rsidR="00EA3C11" w:rsidRPr="003F168A" w:rsidRDefault="00EA3C11" w:rsidP="00E146C5">
            <w:pPr>
              <w:suppressAutoHyphens w:val="0"/>
              <w:spacing w:before="40" w:after="120"/>
              <w:ind w:right="113"/>
              <w:rPr>
                <w:lang w:val="fr-FR"/>
              </w:rPr>
            </w:pPr>
            <w:r w:rsidRPr="003F168A">
              <w:rPr>
                <w:lang w:val="fr-FR"/>
              </w:rPr>
              <w:t>Le Bureau de la Réunion des Parties</w:t>
            </w:r>
          </w:p>
          <w:p w14:paraId="009CE813" w14:textId="77777777" w:rsidR="00EA3C11" w:rsidRPr="003F168A" w:rsidRDefault="00EA3C11" w:rsidP="00E146C5">
            <w:pPr>
              <w:suppressAutoHyphens w:val="0"/>
              <w:spacing w:before="40" w:after="120"/>
              <w:ind w:right="113"/>
              <w:rPr>
                <w:lang w:val="fr-FR"/>
              </w:rPr>
            </w:pPr>
            <w:r w:rsidRPr="003F168A">
              <w:rPr>
                <w:lang w:val="fr-FR"/>
              </w:rPr>
              <w:t xml:space="preserve">Le Groupe de travail des Parties </w:t>
            </w:r>
          </w:p>
        </w:tc>
        <w:tc>
          <w:tcPr>
            <w:tcW w:w="5011" w:type="dxa"/>
            <w:shd w:val="clear" w:color="auto" w:fill="auto"/>
          </w:tcPr>
          <w:p w14:paraId="1E7FDD72" w14:textId="77777777" w:rsidR="00EA3C11" w:rsidRPr="003F168A" w:rsidRDefault="00EA3C11" w:rsidP="00E146C5">
            <w:pPr>
              <w:suppressAutoHyphens w:val="0"/>
              <w:spacing w:before="40" w:after="120"/>
              <w:ind w:right="113"/>
              <w:rPr>
                <w:lang w:val="fr-FR"/>
              </w:rPr>
            </w:pPr>
            <w:r w:rsidRPr="003F168A">
              <w:rPr>
                <w:lang w:val="fr-FR"/>
              </w:rPr>
              <w:t>Organisation de séances thématiques dans le cadre des réunions du Groupe de travail des Parties, selon que de besoin, en vue de surveiller les progrès accomplis en matière de promotion de l’application des principes de la Convention dans les instances internationales et de surmonter les difficultés rencontrées dans l’application du paragraphe 7 de</w:t>
            </w:r>
            <w:r>
              <w:rPr>
                <w:lang w:val="fr-FR"/>
              </w:rPr>
              <w:t> </w:t>
            </w:r>
            <w:r w:rsidRPr="003F168A">
              <w:rPr>
                <w:lang w:val="fr-FR"/>
              </w:rPr>
              <w:t>l’article 3 de la Convention.</w:t>
            </w:r>
          </w:p>
          <w:p w14:paraId="2A5F2F44" w14:textId="5CB8A7BB" w:rsidR="00EA3C11" w:rsidRPr="003F168A" w:rsidRDefault="00EA3C11" w:rsidP="00E146C5">
            <w:pPr>
              <w:suppressAutoHyphens w:val="0"/>
              <w:spacing w:before="40" w:after="120"/>
              <w:ind w:right="113"/>
              <w:rPr>
                <w:lang w:val="fr-FR"/>
              </w:rPr>
            </w:pPr>
            <w:r w:rsidRPr="003F168A">
              <w:rPr>
                <w:lang w:val="fr-FR"/>
              </w:rPr>
              <w:t>Enquêtes concernant l’expérience acquise dans l’application du paragraphe 7 de l’article 3 de la Convention et des Lignes directrices d’Almaty ; atelier(s) et table(s) ronde(s) ; réseaux en ligne ; fourniture d’une assistance aux fins du renforcement des capacités et de services d’experts aux instances internationales concernées et aux Parties qui en font la demande, recours au Mécanisme d’échange d’informations d’Aarhus, utilisation de sa base de données sur les bonnes pratiques et recensement d’études de cas en vue de faciliter l’échange d’informations sur les bonnes pratiques relatives à</w:t>
            </w:r>
            <w:r w:rsidR="00B35CB3">
              <w:rPr>
                <w:lang w:val="fr-FR"/>
              </w:rPr>
              <w:t xml:space="preserve"> </w:t>
            </w:r>
            <w:r w:rsidRPr="003F168A">
              <w:rPr>
                <w:lang w:val="fr-FR"/>
              </w:rPr>
              <w:t>la</w:t>
            </w:r>
            <w:r w:rsidR="00B35CB3">
              <w:rPr>
                <w:lang w:val="fr-FR"/>
              </w:rPr>
              <w:t xml:space="preserve"> </w:t>
            </w:r>
            <w:r w:rsidRPr="003F168A">
              <w:rPr>
                <w:lang w:val="fr-FR"/>
              </w:rPr>
              <w:t>mise en place de mécanismes efficaces de participation du public aux travaux des instances internationales ; coopération avec les signataires de</w:t>
            </w:r>
            <w:r w:rsidR="00B35CB3">
              <w:rPr>
                <w:lang w:val="fr-FR"/>
              </w:rPr>
              <w:t> </w:t>
            </w:r>
            <w:r w:rsidRPr="003F168A">
              <w:rPr>
                <w:lang w:val="fr-FR"/>
              </w:rPr>
              <w:t>l’Accord d’Escazú et les futures Parties à l’Accord</w:t>
            </w:r>
            <w:r w:rsidRPr="00B35CB3">
              <w:rPr>
                <w:i/>
                <w:iCs/>
                <w:szCs w:val="18"/>
                <w:vertAlign w:val="superscript"/>
                <w:lang w:val="fr-FR"/>
              </w:rPr>
              <w:t>c</w:t>
            </w:r>
            <w:r w:rsidRPr="003F168A">
              <w:rPr>
                <w:lang w:val="fr-FR"/>
              </w:rPr>
              <w:t>, ainsi</w:t>
            </w:r>
            <w:r w:rsidR="00B35CB3">
              <w:rPr>
                <w:lang w:val="fr-FR"/>
              </w:rPr>
              <w:t> </w:t>
            </w:r>
            <w:r w:rsidRPr="003F168A">
              <w:rPr>
                <w:lang w:val="fr-FR"/>
              </w:rPr>
              <w:t>qu’avec le secrétariat de cette instance et les parties prenantes ; activités conjointes avec les autres instruments et</w:t>
            </w:r>
            <w:r w:rsidR="00B35CB3">
              <w:rPr>
                <w:lang w:val="fr-FR"/>
              </w:rPr>
              <w:t> </w:t>
            </w:r>
            <w:r w:rsidRPr="003F168A">
              <w:rPr>
                <w:lang w:val="fr-FR"/>
              </w:rPr>
              <w:t>processus multilatéraux ; actions concrètes menées par les Parties aux niveaux national et international dans le but de promouvoir les principes de la Convention dans les instances internationales, ainsi que les Lignes directrices d’Almaty.</w:t>
            </w:r>
          </w:p>
        </w:tc>
        <w:tc>
          <w:tcPr>
            <w:tcW w:w="1251" w:type="dxa"/>
            <w:shd w:val="clear" w:color="auto" w:fill="auto"/>
          </w:tcPr>
          <w:p w14:paraId="20A5024F" w14:textId="77777777" w:rsidR="00EA3C11" w:rsidRPr="003F168A" w:rsidRDefault="00EA3C11" w:rsidP="00034375">
            <w:pPr>
              <w:suppressAutoHyphens w:val="0"/>
              <w:spacing w:before="40" w:after="120"/>
              <w:ind w:right="113"/>
              <w:jc w:val="right"/>
              <w:rPr>
                <w:lang w:val="fr-FR"/>
              </w:rPr>
            </w:pPr>
            <w:r w:rsidRPr="003F168A">
              <w:rPr>
                <w:lang w:val="fr-FR"/>
              </w:rPr>
              <w:t>125</w:t>
            </w:r>
            <w:r>
              <w:rPr>
                <w:lang w:val="fr-FR"/>
              </w:rPr>
              <w:t> </w:t>
            </w:r>
            <w:r w:rsidRPr="003F168A">
              <w:rPr>
                <w:lang w:val="fr-FR"/>
              </w:rPr>
              <w:t>000</w:t>
            </w:r>
            <w:r>
              <w:rPr>
                <w:lang w:val="fr-FR"/>
              </w:rPr>
              <w:t xml:space="preserve"> </w:t>
            </w:r>
            <w:r w:rsidRPr="003F168A">
              <w:rPr>
                <w:lang w:val="fr-FR"/>
              </w:rPr>
              <w:br/>
              <w:t>(3</w:t>
            </w:r>
            <w:r>
              <w:rPr>
                <w:lang w:val="fr-FR"/>
              </w:rPr>
              <w:t> </w:t>
            </w:r>
            <w:r w:rsidRPr="003F168A">
              <w:rPr>
                <w:lang w:val="fr-FR"/>
              </w:rPr>
              <w:t>000)</w:t>
            </w:r>
          </w:p>
        </w:tc>
      </w:tr>
      <w:bookmarkEnd w:id="7"/>
      <w:tr w:rsidR="00EA3C11" w:rsidRPr="003F168A" w14:paraId="673085A5" w14:textId="77777777" w:rsidTr="00E146C5">
        <w:tc>
          <w:tcPr>
            <w:tcW w:w="13776" w:type="dxa"/>
            <w:gridSpan w:val="5"/>
            <w:shd w:val="clear" w:color="auto" w:fill="auto"/>
          </w:tcPr>
          <w:p w14:paraId="0B0202C2" w14:textId="77777777" w:rsidR="00EA3C11" w:rsidRPr="003F168A" w:rsidRDefault="00EA3C11" w:rsidP="008B78B2">
            <w:pPr>
              <w:keepNext/>
              <w:keepLines/>
              <w:suppressAutoHyphens w:val="0"/>
              <w:spacing w:before="40" w:after="120"/>
              <w:ind w:right="113"/>
              <w:rPr>
                <w:lang w:val="fr-FR"/>
              </w:rPr>
            </w:pPr>
            <w:r w:rsidRPr="003F168A">
              <w:rPr>
                <w:b/>
                <w:bCs/>
                <w:lang w:val="fr-FR"/>
              </w:rPr>
              <w:t>Coordination, soutien horizontal et Réunion des Parties</w:t>
            </w:r>
          </w:p>
        </w:tc>
      </w:tr>
      <w:tr w:rsidR="00EA3C11" w:rsidRPr="003F168A" w14:paraId="02EC3563" w14:textId="77777777" w:rsidTr="00034375">
        <w:tc>
          <w:tcPr>
            <w:tcW w:w="1691" w:type="dxa"/>
            <w:shd w:val="clear" w:color="auto" w:fill="auto"/>
          </w:tcPr>
          <w:p w14:paraId="4B83FB7C" w14:textId="77777777" w:rsidR="00EA3C11" w:rsidRPr="003F168A" w:rsidRDefault="00EA3C11" w:rsidP="008B78B2">
            <w:pPr>
              <w:keepNext/>
              <w:keepLines/>
              <w:suppressAutoHyphens w:val="0"/>
              <w:spacing w:before="40" w:after="120"/>
              <w:ind w:right="113"/>
              <w:rPr>
                <w:lang w:val="fr-FR"/>
              </w:rPr>
            </w:pPr>
            <w:r w:rsidRPr="003F168A">
              <w:rPr>
                <w:lang w:val="fr-FR"/>
              </w:rPr>
              <w:t xml:space="preserve">X. </w:t>
            </w:r>
            <w:r>
              <w:rPr>
                <w:lang w:val="fr-FR"/>
              </w:rPr>
              <w:br/>
            </w:r>
            <w:r w:rsidRPr="003F168A">
              <w:rPr>
                <w:lang w:val="fr-FR"/>
              </w:rPr>
              <w:t>Coordination et supervision des activités intersessions</w:t>
            </w:r>
          </w:p>
        </w:tc>
        <w:tc>
          <w:tcPr>
            <w:tcW w:w="3696" w:type="dxa"/>
            <w:shd w:val="clear" w:color="auto" w:fill="auto"/>
          </w:tcPr>
          <w:p w14:paraId="21539725" w14:textId="77777777" w:rsidR="00EA3C11" w:rsidRPr="003F168A" w:rsidRDefault="00EA3C11" w:rsidP="008B78B2">
            <w:pPr>
              <w:keepNext/>
              <w:keepLines/>
              <w:suppressAutoHyphens w:val="0"/>
              <w:spacing w:before="40" w:after="120"/>
              <w:ind w:right="113"/>
              <w:rPr>
                <w:lang w:val="fr-FR"/>
              </w:rPr>
            </w:pPr>
            <w:r w:rsidRPr="003F168A">
              <w:rPr>
                <w:lang w:val="fr-FR"/>
              </w:rPr>
              <w:t>Coordination et supervision des activités menées au titre de la Convention</w:t>
            </w:r>
          </w:p>
          <w:p w14:paraId="1EDA2AC7" w14:textId="77777777" w:rsidR="00EA3C11" w:rsidRPr="003F168A" w:rsidRDefault="00EA3C11" w:rsidP="008B78B2">
            <w:pPr>
              <w:keepNext/>
              <w:keepLines/>
              <w:suppressAutoHyphens w:val="0"/>
              <w:spacing w:before="40" w:after="120"/>
              <w:ind w:right="113"/>
              <w:rPr>
                <w:lang w:val="fr-FR"/>
              </w:rPr>
            </w:pPr>
            <w:r w:rsidRPr="003F168A">
              <w:rPr>
                <w:lang w:val="fr-FR"/>
              </w:rPr>
              <w:t>Établissement de documents de fond en vue de la huitième session de la Réunion des Parties (par exemple, formulation de décisions, y compris le futur programme de travail, et examen de la mise en œuvre du programme de travail actuel et du Plan stratégique)</w:t>
            </w:r>
          </w:p>
        </w:tc>
        <w:tc>
          <w:tcPr>
            <w:tcW w:w="2127" w:type="dxa"/>
            <w:shd w:val="clear" w:color="auto" w:fill="auto"/>
          </w:tcPr>
          <w:p w14:paraId="32A7E0F2" w14:textId="77777777" w:rsidR="00EA3C11" w:rsidRPr="003F168A" w:rsidRDefault="00EA3C11" w:rsidP="008B78B2">
            <w:pPr>
              <w:keepNext/>
              <w:keepLines/>
              <w:suppressAutoHyphens w:val="0"/>
              <w:spacing w:before="40" w:after="120"/>
              <w:ind w:right="113"/>
              <w:rPr>
                <w:lang w:val="fr-FR"/>
              </w:rPr>
            </w:pPr>
            <w:r w:rsidRPr="003F168A">
              <w:rPr>
                <w:lang w:val="fr-FR"/>
              </w:rPr>
              <w:t>Le Groupe de travail des Parties</w:t>
            </w:r>
          </w:p>
          <w:p w14:paraId="6D6D76C8" w14:textId="77777777" w:rsidR="00EA3C11" w:rsidRPr="003F168A" w:rsidRDefault="00EA3C11" w:rsidP="008B78B2">
            <w:pPr>
              <w:keepNext/>
              <w:keepLines/>
              <w:suppressAutoHyphens w:val="0"/>
              <w:spacing w:before="40" w:after="120"/>
              <w:ind w:right="113"/>
              <w:rPr>
                <w:lang w:val="fr-FR"/>
              </w:rPr>
            </w:pPr>
            <w:r w:rsidRPr="003F168A">
              <w:rPr>
                <w:lang w:val="fr-FR"/>
              </w:rPr>
              <w:t>Le Bureau de la Réunion des Parties</w:t>
            </w:r>
          </w:p>
        </w:tc>
        <w:tc>
          <w:tcPr>
            <w:tcW w:w="5011" w:type="dxa"/>
            <w:shd w:val="clear" w:color="auto" w:fill="auto"/>
          </w:tcPr>
          <w:p w14:paraId="1B72D2D1" w14:textId="77777777" w:rsidR="00EA3C11" w:rsidRPr="003F168A" w:rsidRDefault="00EA3C11" w:rsidP="008B78B2">
            <w:pPr>
              <w:keepNext/>
              <w:keepLines/>
              <w:suppressAutoHyphens w:val="0"/>
              <w:spacing w:before="40" w:after="120"/>
              <w:ind w:right="113"/>
              <w:rPr>
                <w:lang w:val="fr-FR"/>
              </w:rPr>
            </w:pPr>
            <w:r w:rsidRPr="003F168A">
              <w:rPr>
                <w:lang w:val="fr-FR"/>
              </w:rPr>
              <w:t>Réunions du Groupe de travail, réunions du Bureau et consultations par voie électronique entre les membres du Bureau</w:t>
            </w:r>
          </w:p>
        </w:tc>
        <w:tc>
          <w:tcPr>
            <w:tcW w:w="1251" w:type="dxa"/>
            <w:shd w:val="clear" w:color="auto" w:fill="auto"/>
          </w:tcPr>
          <w:p w14:paraId="1F0E4EA8" w14:textId="77777777" w:rsidR="00EA3C11" w:rsidRPr="003F168A" w:rsidRDefault="00EA3C11" w:rsidP="008B78B2">
            <w:pPr>
              <w:keepNext/>
              <w:keepLines/>
              <w:suppressAutoHyphens w:val="0"/>
              <w:spacing w:before="40" w:after="120"/>
              <w:ind w:right="113"/>
              <w:jc w:val="right"/>
              <w:rPr>
                <w:lang w:val="fr-FR"/>
              </w:rPr>
            </w:pPr>
            <w:r w:rsidRPr="003F168A">
              <w:rPr>
                <w:lang w:val="fr-FR"/>
              </w:rPr>
              <w:t>100</w:t>
            </w:r>
            <w:r>
              <w:rPr>
                <w:lang w:val="fr-FR"/>
              </w:rPr>
              <w:t> </w:t>
            </w:r>
            <w:r w:rsidRPr="003F168A">
              <w:rPr>
                <w:lang w:val="fr-FR"/>
              </w:rPr>
              <w:t>700</w:t>
            </w:r>
          </w:p>
        </w:tc>
      </w:tr>
      <w:tr w:rsidR="00EA3C11" w:rsidRPr="003F168A" w14:paraId="0904E707" w14:textId="77777777" w:rsidTr="00034375">
        <w:tc>
          <w:tcPr>
            <w:tcW w:w="1691" w:type="dxa"/>
            <w:shd w:val="clear" w:color="auto" w:fill="auto"/>
          </w:tcPr>
          <w:p w14:paraId="3AC8CCD7" w14:textId="77777777" w:rsidR="00EA3C11" w:rsidRPr="003F168A" w:rsidRDefault="00EA3C11" w:rsidP="00E146C5">
            <w:pPr>
              <w:suppressAutoHyphens w:val="0"/>
              <w:spacing w:before="40" w:after="120"/>
              <w:ind w:right="113"/>
              <w:rPr>
                <w:lang w:val="fr-FR"/>
              </w:rPr>
            </w:pPr>
            <w:r w:rsidRPr="003F168A">
              <w:rPr>
                <w:lang w:val="fr-FR"/>
              </w:rPr>
              <w:t xml:space="preserve">XI. </w:t>
            </w:r>
            <w:r>
              <w:rPr>
                <w:lang w:val="fr-FR"/>
              </w:rPr>
              <w:br/>
            </w:r>
            <w:r w:rsidRPr="003F168A">
              <w:rPr>
                <w:lang w:val="fr-FR"/>
              </w:rPr>
              <w:t>Huitième session ordinaire de la Réunion des Parties</w:t>
            </w:r>
          </w:p>
        </w:tc>
        <w:tc>
          <w:tcPr>
            <w:tcW w:w="3696" w:type="dxa"/>
            <w:shd w:val="clear" w:color="auto" w:fill="auto"/>
          </w:tcPr>
          <w:p w14:paraId="44671E96" w14:textId="77777777" w:rsidR="00EA3C11" w:rsidRPr="003F168A" w:rsidRDefault="00EA3C11" w:rsidP="00E146C5">
            <w:pPr>
              <w:suppressAutoHyphens w:val="0"/>
              <w:spacing w:before="40" w:after="120"/>
              <w:ind w:right="113"/>
              <w:rPr>
                <w:lang w:val="fr-FR"/>
              </w:rPr>
            </w:pPr>
            <w:r w:rsidRPr="003F168A">
              <w:rPr>
                <w:lang w:val="fr-FR"/>
              </w:rPr>
              <w:t>Voir l’article 10 de la Convention</w:t>
            </w:r>
          </w:p>
        </w:tc>
        <w:tc>
          <w:tcPr>
            <w:tcW w:w="2127" w:type="dxa"/>
            <w:shd w:val="clear" w:color="auto" w:fill="auto"/>
          </w:tcPr>
          <w:p w14:paraId="430D401A" w14:textId="77777777" w:rsidR="00EA3C11" w:rsidRPr="003F168A" w:rsidRDefault="00EA3C11" w:rsidP="00E146C5">
            <w:pPr>
              <w:suppressAutoHyphens w:val="0"/>
              <w:spacing w:before="40" w:after="120"/>
              <w:ind w:right="113"/>
              <w:rPr>
                <w:lang w:val="fr-FR"/>
              </w:rPr>
            </w:pPr>
            <w:r w:rsidRPr="003F168A">
              <w:rPr>
                <w:lang w:val="fr-FR"/>
              </w:rPr>
              <w:t>La Réunion des Parties</w:t>
            </w:r>
          </w:p>
        </w:tc>
        <w:tc>
          <w:tcPr>
            <w:tcW w:w="5011" w:type="dxa"/>
            <w:shd w:val="clear" w:color="auto" w:fill="auto"/>
          </w:tcPr>
          <w:p w14:paraId="6E60F697" w14:textId="77777777" w:rsidR="00EA3C11" w:rsidRPr="003F168A" w:rsidRDefault="00EA3C11" w:rsidP="00E146C5">
            <w:pPr>
              <w:suppressAutoHyphens w:val="0"/>
              <w:spacing w:before="40" w:after="120"/>
              <w:ind w:right="113"/>
              <w:rPr>
                <w:lang w:val="fr-FR"/>
              </w:rPr>
            </w:pPr>
            <w:r w:rsidRPr="003F168A">
              <w:rPr>
                <w:lang w:val="fr-FR"/>
              </w:rPr>
              <w:t>Session de la Réunion des Parties</w:t>
            </w:r>
          </w:p>
        </w:tc>
        <w:tc>
          <w:tcPr>
            <w:tcW w:w="1251" w:type="dxa"/>
            <w:shd w:val="clear" w:color="auto" w:fill="auto"/>
          </w:tcPr>
          <w:p w14:paraId="18E0F432" w14:textId="77777777" w:rsidR="00EA3C11" w:rsidRPr="003F168A" w:rsidRDefault="00EA3C11" w:rsidP="00034375">
            <w:pPr>
              <w:suppressAutoHyphens w:val="0"/>
              <w:spacing w:before="40" w:after="120"/>
              <w:ind w:right="113"/>
              <w:jc w:val="right"/>
              <w:rPr>
                <w:vertAlign w:val="superscript"/>
                <w:lang w:val="fr-FR"/>
              </w:rPr>
            </w:pPr>
            <w:r w:rsidRPr="003F168A">
              <w:rPr>
                <w:lang w:val="fr-FR"/>
              </w:rPr>
              <w:t>15</w:t>
            </w:r>
            <w:r>
              <w:rPr>
                <w:lang w:val="fr-FR"/>
              </w:rPr>
              <w:t> </w:t>
            </w:r>
            <w:r w:rsidRPr="003F168A">
              <w:rPr>
                <w:lang w:val="fr-FR"/>
              </w:rPr>
              <w:t>000</w:t>
            </w:r>
            <w:r w:rsidRPr="00F06E7D">
              <w:rPr>
                <w:i/>
                <w:iCs/>
                <w:szCs w:val="18"/>
                <w:vertAlign w:val="superscript"/>
                <w:lang w:val="fr-FR"/>
              </w:rPr>
              <w:t>d</w:t>
            </w:r>
          </w:p>
        </w:tc>
      </w:tr>
      <w:tr w:rsidR="00EA3C11" w:rsidRPr="003F168A" w14:paraId="33E34919" w14:textId="77777777" w:rsidTr="00034375">
        <w:trPr>
          <w:cantSplit/>
        </w:trPr>
        <w:tc>
          <w:tcPr>
            <w:tcW w:w="1691" w:type="dxa"/>
            <w:tcBorders>
              <w:bottom w:val="single" w:sz="4" w:space="0" w:color="auto"/>
            </w:tcBorders>
            <w:shd w:val="clear" w:color="auto" w:fill="auto"/>
          </w:tcPr>
          <w:p w14:paraId="1C1FA840" w14:textId="77777777" w:rsidR="00EA3C11" w:rsidRPr="003F168A" w:rsidRDefault="00EA3C11" w:rsidP="00E146C5">
            <w:pPr>
              <w:suppressAutoHyphens w:val="0"/>
              <w:spacing w:before="40" w:after="120"/>
              <w:ind w:right="113"/>
              <w:rPr>
                <w:lang w:val="fr-FR"/>
              </w:rPr>
            </w:pPr>
            <w:r w:rsidRPr="003F168A">
              <w:rPr>
                <w:lang w:val="fr-FR"/>
              </w:rPr>
              <w:t xml:space="preserve">XII. </w:t>
            </w:r>
            <w:r>
              <w:rPr>
                <w:lang w:val="fr-FR"/>
              </w:rPr>
              <w:br/>
            </w:r>
            <w:r w:rsidRPr="003F168A">
              <w:rPr>
                <w:lang w:val="fr-FR"/>
              </w:rPr>
              <w:t>Soutien horizontal</w:t>
            </w:r>
          </w:p>
        </w:tc>
        <w:tc>
          <w:tcPr>
            <w:tcW w:w="3696" w:type="dxa"/>
            <w:tcBorders>
              <w:bottom w:val="single" w:sz="4" w:space="0" w:color="auto"/>
            </w:tcBorders>
            <w:shd w:val="clear" w:color="auto" w:fill="auto"/>
          </w:tcPr>
          <w:p w14:paraId="05865547" w14:textId="77777777" w:rsidR="00EA3C11" w:rsidRPr="003F168A" w:rsidRDefault="00EA3C11" w:rsidP="00E146C5">
            <w:pPr>
              <w:suppressAutoHyphens w:val="0"/>
              <w:spacing w:before="40" w:after="120"/>
              <w:ind w:right="113"/>
              <w:rPr>
                <w:lang w:val="fr-FR"/>
              </w:rPr>
            </w:pPr>
            <w:r w:rsidRPr="003F168A">
              <w:rPr>
                <w:lang w:val="fr-FR"/>
              </w:rPr>
              <w:t>Soutien global couvrant plusieurs domaines d’activité du programme de travail</w:t>
            </w:r>
          </w:p>
        </w:tc>
        <w:tc>
          <w:tcPr>
            <w:tcW w:w="2127" w:type="dxa"/>
            <w:tcBorders>
              <w:bottom w:val="single" w:sz="4" w:space="0" w:color="auto"/>
            </w:tcBorders>
            <w:shd w:val="clear" w:color="auto" w:fill="auto"/>
          </w:tcPr>
          <w:p w14:paraId="0D8236D9" w14:textId="77777777" w:rsidR="00EA3C11" w:rsidRPr="003F168A" w:rsidRDefault="00EA3C11" w:rsidP="00E146C5">
            <w:pPr>
              <w:suppressAutoHyphens w:val="0"/>
              <w:spacing w:before="40" w:after="120"/>
              <w:ind w:right="113"/>
              <w:rPr>
                <w:lang w:val="fr-FR"/>
              </w:rPr>
            </w:pPr>
            <w:r w:rsidRPr="003F168A">
              <w:rPr>
                <w:lang w:val="fr-FR"/>
              </w:rPr>
              <w:t>Le secrétariat</w:t>
            </w:r>
          </w:p>
        </w:tc>
        <w:tc>
          <w:tcPr>
            <w:tcW w:w="5011" w:type="dxa"/>
            <w:tcBorders>
              <w:bottom w:val="single" w:sz="4" w:space="0" w:color="auto"/>
            </w:tcBorders>
            <w:shd w:val="clear" w:color="auto" w:fill="auto"/>
          </w:tcPr>
          <w:p w14:paraId="577EE332" w14:textId="77777777" w:rsidR="00EA3C11" w:rsidRPr="003F168A" w:rsidRDefault="00EA3C11" w:rsidP="00E146C5">
            <w:pPr>
              <w:suppressAutoHyphens w:val="0"/>
              <w:spacing w:before="40" w:after="120"/>
              <w:ind w:right="113"/>
              <w:rPr>
                <w:lang w:val="fr-FR"/>
              </w:rPr>
            </w:pPr>
            <w:r w:rsidRPr="003F168A">
              <w:rPr>
                <w:lang w:val="fr-FR"/>
              </w:rPr>
              <w:t>Services de secrétariat, formation du personnel et matériel</w:t>
            </w:r>
          </w:p>
        </w:tc>
        <w:tc>
          <w:tcPr>
            <w:tcW w:w="1251" w:type="dxa"/>
            <w:tcBorders>
              <w:bottom w:val="single" w:sz="4" w:space="0" w:color="auto"/>
            </w:tcBorders>
            <w:shd w:val="clear" w:color="auto" w:fill="auto"/>
          </w:tcPr>
          <w:p w14:paraId="39DED021" w14:textId="77777777" w:rsidR="00EA3C11" w:rsidRPr="003F168A" w:rsidRDefault="00EA3C11" w:rsidP="00034375">
            <w:pPr>
              <w:suppressAutoHyphens w:val="0"/>
              <w:spacing w:before="40" w:after="120"/>
              <w:ind w:right="113"/>
              <w:jc w:val="right"/>
              <w:rPr>
                <w:lang w:val="fr-FR"/>
              </w:rPr>
            </w:pPr>
            <w:r w:rsidRPr="003F168A">
              <w:rPr>
                <w:lang w:val="fr-FR"/>
              </w:rPr>
              <w:t>108</w:t>
            </w:r>
            <w:r>
              <w:rPr>
                <w:lang w:val="fr-FR"/>
              </w:rPr>
              <w:t> </w:t>
            </w:r>
            <w:r w:rsidRPr="003F168A">
              <w:rPr>
                <w:lang w:val="fr-FR"/>
              </w:rPr>
              <w:t>000</w:t>
            </w:r>
          </w:p>
        </w:tc>
      </w:tr>
      <w:bookmarkEnd w:id="5"/>
      <w:tr w:rsidR="00EA3C11" w:rsidRPr="00F06E7D" w14:paraId="6091540C" w14:textId="77777777" w:rsidTr="00034375">
        <w:trPr>
          <w:cantSplit/>
        </w:trPr>
        <w:tc>
          <w:tcPr>
            <w:tcW w:w="12525" w:type="dxa"/>
            <w:gridSpan w:val="4"/>
            <w:tcBorders>
              <w:top w:val="single" w:sz="4" w:space="0" w:color="auto"/>
              <w:bottom w:val="single" w:sz="12" w:space="0" w:color="auto"/>
            </w:tcBorders>
            <w:shd w:val="clear" w:color="auto" w:fill="auto"/>
          </w:tcPr>
          <w:p w14:paraId="31780605" w14:textId="77777777" w:rsidR="00EA3C11" w:rsidRPr="00F06E7D" w:rsidRDefault="00EA3C11" w:rsidP="00E146C5">
            <w:pPr>
              <w:suppressAutoHyphens w:val="0"/>
              <w:spacing w:before="80" w:after="80"/>
              <w:ind w:left="283"/>
              <w:rPr>
                <w:b/>
                <w:lang w:val="fr-FR"/>
              </w:rPr>
            </w:pPr>
            <w:r w:rsidRPr="00F06E7D">
              <w:rPr>
                <w:b/>
                <w:bCs/>
                <w:lang w:val="fr-FR"/>
              </w:rPr>
              <w:t>Total (y compris les coûts liés à l’ensemble des domaines d’activité et 13 % de dépenses d’appui au programme)</w:t>
            </w:r>
          </w:p>
        </w:tc>
        <w:tc>
          <w:tcPr>
            <w:tcW w:w="1251" w:type="dxa"/>
            <w:tcBorders>
              <w:top w:val="single" w:sz="4" w:space="0" w:color="auto"/>
              <w:bottom w:val="single" w:sz="12" w:space="0" w:color="auto"/>
            </w:tcBorders>
            <w:shd w:val="clear" w:color="auto" w:fill="auto"/>
          </w:tcPr>
          <w:p w14:paraId="648BC1A9" w14:textId="77777777" w:rsidR="00EA3C11" w:rsidRPr="00F06E7D" w:rsidRDefault="00EA3C11" w:rsidP="00034375">
            <w:pPr>
              <w:suppressAutoHyphens w:val="0"/>
              <w:spacing w:before="80" w:after="80"/>
              <w:jc w:val="right"/>
              <w:rPr>
                <w:b/>
                <w:bCs/>
                <w:lang w:val="fr-FR"/>
              </w:rPr>
            </w:pPr>
            <w:r w:rsidRPr="00F06E7D">
              <w:rPr>
                <w:b/>
                <w:bCs/>
                <w:lang w:val="fr-FR"/>
              </w:rPr>
              <w:t xml:space="preserve">1 730 256 </w:t>
            </w:r>
            <w:r w:rsidRPr="00F06E7D">
              <w:rPr>
                <w:b/>
                <w:bCs/>
                <w:lang w:val="fr-FR"/>
              </w:rPr>
              <w:br/>
              <w:t>(92 660)</w:t>
            </w:r>
          </w:p>
        </w:tc>
      </w:tr>
    </w:tbl>
    <w:p w14:paraId="56C32782" w14:textId="77777777" w:rsidR="00EA3C11" w:rsidRPr="00F06E7D" w:rsidRDefault="00EA3C11" w:rsidP="00EA3C11">
      <w:pPr>
        <w:spacing w:before="120"/>
        <w:ind w:leftChars="147" w:left="294" w:firstLine="170"/>
        <w:rPr>
          <w:i/>
          <w:sz w:val="18"/>
          <w:szCs w:val="18"/>
          <w:lang w:val="fr-FR"/>
        </w:rPr>
      </w:pPr>
      <w:r w:rsidRPr="00F06E7D">
        <w:rPr>
          <w:i/>
          <w:iCs/>
          <w:sz w:val="18"/>
          <w:szCs w:val="18"/>
          <w:lang w:val="fr-FR"/>
        </w:rPr>
        <w:t>Abréviations</w:t>
      </w:r>
      <w:r w:rsidRPr="00F06E7D">
        <w:rPr>
          <w:sz w:val="18"/>
          <w:szCs w:val="18"/>
          <w:lang w:val="fr-FR"/>
        </w:rPr>
        <w:t> : OGM = organisme génétiquement modifié</w:t>
      </w:r>
      <w:r>
        <w:rPr>
          <w:sz w:val="18"/>
          <w:szCs w:val="18"/>
          <w:lang w:val="fr-FR"/>
        </w:rPr>
        <w:t> </w:t>
      </w:r>
      <w:r w:rsidRPr="00F06E7D">
        <w:rPr>
          <w:sz w:val="18"/>
          <w:szCs w:val="18"/>
          <w:lang w:val="fr-FR"/>
        </w:rPr>
        <w:t>; ODD = objectif de développement durable.</w:t>
      </w:r>
    </w:p>
    <w:p w14:paraId="17CF7D5F" w14:textId="77777777" w:rsidR="00EA3C11" w:rsidRPr="00F06E7D" w:rsidRDefault="00EA3C11" w:rsidP="00EA3C11">
      <w:pPr>
        <w:ind w:leftChars="147" w:left="294" w:firstLine="170"/>
        <w:rPr>
          <w:sz w:val="18"/>
          <w:szCs w:val="18"/>
          <w:lang w:val="fr-FR"/>
        </w:rPr>
      </w:pPr>
      <w:r w:rsidRPr="00F06E7D">
        <w:rPr>
          <w:i/>
          <w:iCs/>
          <w:sz w:val="18"/>
          <w:szCs w:val="18"/>
          <w:vertAlign w:val="superscript"/>
          <w:lang w:val="fr-FR"/>
        </w:rPr>
        <w:t>a</w:t>
      </w:r>
      <w:r w:rsidRPr="00F06E7D">
        <w:rPr>
          <w:sz w:val="18"/>
          <w:szCs w:val="18"/>
          <w:lang w:val="fr-FR"/>
        </w:rPr>
        <w:t xml:space="preserve">  Les prévisions de dépenses incluent les coûts opérationnels et les autres coûts présentés dans l’annexe II. Les chiffres entre parenthèses correspondent aux « autres coûts ».</w:t>
      </w:r>
    </w:p>
    <w:p w14:paraId="0E096282" w14:textId="7790F460" w:rsidR="00EA3C11" w:rsidRPr="00B35CB3" w:rsidRDefault="00EA3C11" w:rsidP="00EA3C11">
      <w:pPr>
        <w:ind w:leftChars="147" w:left="294" w:firstLine="170"/>
        <w:rPr>
          <w:sz w:val="18"/>
          <w:szCs w:val="18"/>
          <w:lang w:val="fr-FR"/>
        </w:rPr>
      </w:pPr>
      <w:r w:rsidRPr="00F06E7D">
        <w:rPr>
          <w:i/>
          <w:iCs/>
          <w:sz w:val="18"/>
          <w:szCs w:val="18"/>
          <w:vertAlign w:val="superscript"/>
          <w:lang w:val="fr-FR"/>
        </w:rPr>
        <w:t>b</w:t>
      </w:r>
      <w:r w:rsidRPr="00F06E7D">
        <w:rPr>
          <w:sz w:val="18"/>
          <w:szCs w:val="18"/>
          <w:lang w:val="fr-FR"/>
        </w:rPr>
        <w:t xml:space="preserve">  Mécanisme d’échange d’informations d’Aarhus pour la démocratie environnementale. Le site Web du Mécanisme peut être consulté à l’adresse suivante :</w:t>
      </w:r>
      <w:r w:rsidR="008B78B2">
        <w:rPr>
          <w:sz w:val="18"/>
          <w:szCs w:val="18"/>
          <w:lang w:val="fr-FR"/>
        </w:rPr>
        <w:t xml:space="preserve"> </w:t>
      </w:r>
      <w:r w:rsidR="008B78B2">
        <w:rPr>
          <w:sz w:val="18"/>
          <w:szCs w:val="18"/>
          <w:lang w:val="fr-FR"/>
        </w:rPr>
        <w:br/>
      </w:r>
      <w:r w:rsidR="008B78B2">
        <w:rPr>
          <w:sz w:val="18"/>
          <w:szCs w:val="18"/>
          <w:lang w:val="fr-FR"/>
        </w:rPr>
        <w:tab/>
      </w:r>
      <w:hyperlink r:id="rId13" w:history="1">
        <w:r w:rsidRPr="00B35CB3">
          <w:rPr>
            <w:rStyle w:val="Lienhypertexte"/>
            <w:color w:val="auto"/>
            <w:sz w:val="18"/>
            <w:szCs w:val="18"/>
            <w:lang w:val="fr-FR"/>
          </w:rPr>
          <w:t>https://aarhusclearinghouse.unece.org/</w:t>
        </w:r>
      </w:hyperlink>
      <w:r w:rsidRPr="00B35CB3">
        <w:rPr>
          <w:sz w:val="18"/>
          <w:szCs w:val="18"/>
          <w:lang w:val="fr-FR"/>
        </w:rPr>
        <w:t>.</w:t>
      </w:r>
    </w:p>
    <w:p w14:paraId="1914C329" w14:textId="77777777" w:rsidR="00EA3C11" w:rsidRPr="00F06E7D" w:rsidRDefault="00EA3C11" w:rsidP="00EA3C11">
      <w:pPr>
        <w:ind w:leftChars="147" w:left="294" w:firstLine="170"/>
        <w:rPr>
          <w:sz w:val="18"/>
          <w:szCs w:val="18"/>
          <w:lang w:val="fr-FR"/>
        </w:rPr>
      </w:pPr>
      <w:r w:rsidRPr="00F06E7D">
        <w:rPr>
          <w:i/>
          <w:iCs/>
          <w:sz w:val="18"/>
          <w:szCs w:val="18"/>
          <w:vertAlign w:val="superscript"/>
          <w:lang w:val="fr-FR"/>
        </w:rPr>
        <w:t>c</w:t>
      </w:r>
      <w:r w:rsidRPr="00F06E7D">
        <w:rPr>
          <w:sz w:val="18"/>
          <w:szCs w:val="18"/>
          <w:lang w:val="fr-FR"/>
        </w:rPr>
        <w:t xml:space="preserve">  Accord régional sur l’accès à l’information, la participation publique et l’accès à la justice à propos des questions environnementales en Amérique latine et dans les Caraïbes.</w:t>
      </w:r>
    </w:p>
    <w:p w14:paraId="732C4BF6" w14:textId="45B8505E" w:rsidR="00EA3C11" w:rsidRDefault="00EA3C11" w:rsidP="00EA3C11">
      <w:pPr>
        <w:ind w:leftChars="147" w:left="294" w:firstLine="170"/>
        <w:rPr>
          <w:sz w:val="18"/>
          <w:szCs w:val="18"/>
          <w:lang w:val="fr-FR"/>
        </w:rPr>
      </w:pPr>
      <w:r w:rsidRPr="00F06E7D">
        <w:rPr>
          <w:i/>
          <w:iCs/>
          <w:sz w:val="18"/>
          <w:szCs w:val="18"/>
          <w:vertAlign w:val="superscript"/>
          <w:lang w:val="fr-FR"/>
        </w:rPr>
        <w:t>d</w:t>
      </w:r>
      <w:r w:rsidRPr="00F06E7D">
        <w:rPr>
          <w:sz w:val="18"/>
          <w:szCs w:val="18"/>
          <w:lang w:val="fr-FR"/>
        </w:rPr>
        <w:t xml:space="preserve">  Les frais de voyage et les indemnités journalières de subsistance pour les participants qui y ont droit sont comptabilisés au titre du domaine d’activité</w:t>
      </w:r>
      <w:r>
        <w:rPr>
          <w:sz w:val="18"/>
          <w:szCs w:val="18"/>
          <w:lang w:val="fr-FR"/>
        </w:rPr>
        <w:t> </w:t>
      </w:r>
      <w:r w:rsidRPr="00F06E7D">
        <w:rPr>
          <w:sz w:val="18"/>
          <w:szCs w:val="18"/>
          <w:lang w:val="fr-FR"/>
        </w:rPr>
        <w:t>X.</w:t>
      </w:r>
    </w:p>
    <w:p w14:paraId="77BB4FA6" w14:textId="67EB95D4" w:rsidR="00EA3C11" w:rsidRDefault="00EA3C11" w:rsidP="00EA3C11">
      <w:pPr>
        <w:pStyle w:val="SingleTxtG"/>
        <w:rPr>
          <w:lang w:val="fr-FR"/>
        </w:rPr>
      </w:pPr>
    </w:p>
    <w:p w14:paraId="0BAD430D" w14:textId="77777777" w:rsidR="00EA3C11" w:rsidRPr="00E3055D" w:rsidRDefault="00EA3C11" w:rsidP="00EA3C11">
      <w:pPr>
        <w:pStyle w:val="HChG"/>
        <w:rPr>
          <w:lang w:val="fr-FR"/>
        </w:rPr>
      </w:pPr>
      <w:r w:rsidRPr="00E3055D">
        <w:rPr>
          <w:lang w:val="fr-FR"/>
        </w:rPr>
        <w:t>Annexe II</w:t>
      </w:r>
    </w:p>
    <w:p w14:paraId="53DFD00A" w14:textId="0EFBF120" w:rsidR="00EA3C11" w:rsidRDefault="00EA3C11" w:rsidP="00EA3C11">
      <w:pPr>
        <w:pStyle w:val="HChG"/>
        <w:ind w:left="294" w:firstLine="0"/>
        <w:rPr>
          <w:lang w:val="fr-FR"/>
        </w:rPr>
      </w:pPr>
      <w:r w:rsidRPr="00E3055D">
        <w:rPr>
          <w:lang w:val="fr-FR"/>
        </w:rPr>
        <w:tab/>
        <w:t>Coûts estimatifs des activités prévues dans les domaines d</w:t>
      </w:r>
      <w:r>
        <w:rPr>
          <w:lang w:val="fr-FR"/>
        </w:rPr>
        <w:t>’</w:t>
      </w:r>
      <w:r w:rsidRPr="00E3055D">
        <w:rPr>
          <w:lang w:val="fr-FR"/>
        </w:rPr>
        <w:t>activité du programme de travail pour la période 2022-2025</w:t>
      </w:r>
    </w:p>
    <w:tbl>
      <w:tblPr>
        <w:tblStyle w:val="Grilledutableau"/>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2178"/>
        <w:gridCol w:w="1260"/>
        <w:gridCol w:w="789"/>
        <w:gridCol w:w="1244"/>
        <w:gridCol w:w="787"/>
        <w:gridCol w:w="1244"/>
        <w:gridCol w:w="787"/>
        <w:gridCol w:w="1244"/>
        <w:gridCol w:w="787"/>
        <w:gridCol w:w="1344"/>
        <w:gridCol w:w="837"/>
      </w:tblGrid>
      <w:tr w:rsidR="00EA3C11" w:rsidRPr="00E14F3F" w14:paraId="297B9FDC" w14:textId="77777777" w:rsidTr="00EA3C11">
        <w:trPr>
          <w:tblHeader/>
        </w:trPr>
        <w:tc>
          <w:tcPr>
            <w:tcW w:w="1275" w:type="dxa"/>
            <w:vMerge w:val="restart"/>
            <w:tcBorders>
              <w:top w:val="single" w:sz="4" w:space="0" w:color="auto"/>
              <w:bottom w:val="single" w:sz="12" w:space="0" w:color="auto"/>
            </w:tcBorders>
            <w:shd w:val="clear" w:color="auto" w:fill="auto"/>
            <w:vAlign w:val="bottom"/>
          </w:tcPr>
          <w:p w14:paraId="409F53FE" w14:textId="77777777" w:rsidR="00EA3C11" w:rsidRPr="00E14F3F" w:rsidRDefault="00EA3C11" w:rsidP="00E146C5">
            <w:pPr>
              <w:suppressAutoHyphens w:val="0"/>
              <w:spacing w:before="80" w:after="80" w:line="200" w:lineRule="exact"/>
              <w:rPr>
                <w:i/>
                <w:sz w:val="16"/>
                <w:lang w:val="fr-FR"/>
              </w:rPr>
            </w:pPr>
            <w:r w:rsidRPr="00E14F3F">
              <w:rPr>
                <w:i/>
                <w:sz w:val="16"/>
                <w:lang w:val="fr-FR"/>
              </w:rPr>
              <w:t>Domaine d’activité</w:t>
            </w:r>
          </w:p>
        </w:tc>
        <w:tc>
          <w:tcPr>
            <w:tcW w:w="2178" w:type="dxa"/>
            <w:vMerge w:val="restart"/>
            <w:tcBorders>
              <w:top w:val="single" w:sz="4" w:space="0" w:color="auto"/>
              <w:bottom w:val="single" w:sz="12" w:space="0" w:color="auto"/>
            </w:tcBorders>
            <w:shd w:val="clear" w:color="auto" w:fill="auto"/>
            <w:vAlign w:val="bottom"/>
          </w:tcPr>
          <w:p w14:paraId="3B66075F" w14:textId="77777777" w:rsidR="00EA3C11" w:rsidRPr="00E14F3F" w:rsidRDefault="00EA3C11" w:rsidP="00E146C5">
            <w:pPr>
              <w:suppressAutoHyphens w:val="0"/>
              <w:spacing w:before="80" w:after="80" w:line="200" w:lineRule="exact"/>
              <w:jc w:val="right"/>
              <w:rPr>
                <w:i/>
                <w:sz w:val="16"/>
                <w:lang w:val="fr-FR"/>
              </w:rPr>
            </w:pPr>
            <w:r w:rsidRPr="00E14F3F">
              <w:rPr>
                <w:i/>
                <w:sz w:val="16"/>
                <w:lang w:val="fr-FR"/>
              </w:rPr>
              <w:t>Description des dépenses</w:t>
            </w:r>
          </w:p>
        </w:tc>
        <w:tc>
          <w:tcPr>
            <w:tcW w:w="10323" w:type="dxa"/>
            <w:gridSpan w:val="10"/>
            <w:tcBorders>
              <w:top w:val="single" w:sz="4" w:space="0" w:color="auto"/>
              <w:bottom w:val="single" w:sz="4" w:space="0" w:color="auto"/>
            </w:tcBorders>
            <w:shd w:val="clear" w:color="auto" w:fill="auto"/>
            <w:vAlign w:val="bottom"/>
          </w:tcPr>
          <w:p w14:paraId="5435A805" w14:textId="77777777" w:rsidR="00EA3C11" w:rsidRPr="00E14F3F" w:rsidRDefault="00EA3C11" w:rsidP="00E146C5">
            <w:pPr>
              <w:suppressAutoHyphens w:val="0"/>
              <w:spacing w:before="80" w:after="80" w:line="200" w:lineRule="exact"/>
              <w:jc w:val="center"/>
              <w:rPr>
                <w:i/>
                <w:sz w:val="16"/>
                <w:lang w:val="fr-FR"/>
              </w:rPr>
            </w:pPr>
            <w:r w:rsidRPr="00E14F3F">
              <w:rPr>
                <w:i/>
                <w:sz w:val="16"/>
                <w:lang w:val="fr-FR"/>
              </w:rPr>
              <w:t>Coûts estimatifs moyens en dollars des États-Unis (par an)</w:t>
            </w:r>
            <w:r w:rsidRPr="00E14F3F">
              <w:rPr>
                <w:iCs/>
                <w:sz w:val="16"/>
                <w:vertAlign w:val="superscript"/>
                <w:lang w:val="fr-FR"/>
              </w:rPr>
              <w:t>a</w:t>
            </w:r>
          </w:p>
        </w:tc>
      </w:tr>
      <w:tr w:rsidR="00EA3C11" w:rsidRPr="00E14F3F" w14:paraId="17E3A3EF" w14:textId="77777777" w:rsidTr="00EA3C11">
        <w:trPr>
          <w:tblHeader/>
        </w:trPr>
        <w:tc>
          <w:tcPr>
            <w:tcW w:w="1275" w:type="dxa"/>
            <w:vMerge/>
            <w:tcBorders>
              <w:top w:val="single" w:sz="12" w:space="0" w:color="auto"/>
            </w:tcBorders>
            <w:shd w:val="clear" w:color="auto" w:fill="auto"/>
            <w:vAlign w:val="bottom"/>
            <w:hideMark/>
          </w:tcPr>
          <w:p w14:paraId="06B07ED0" w14:textId="77777777" w:rsidR="00EA3C11" w:rsidRPr="00E14F3F" w:rsidRDefault="00EA3C11" w:rsidP="00E146C5">
            <w:pPr>
              <w:suppressAutoHyphens w:val="0"/>
              <w:spacing w:before="40" w:after="40" w:line="220" w:lineRule="exact"/>
              <w:rPr>
                <w:sz w:val="18"/>
                <w:lang w:val="fr-FR"/>
              </w:rPr>
            </w:pPr>
          </w:p>
        </w:tc>
        <w:tc>
          <w:tcPr>
            <w:tcW w:w="2178" w:type="dxa"/>
            <w:vMerge/>
            <w:tcBorders>
              <w:top w:val="single" w:sz="12" w:space="0" w:color="auto"/>
            </w:tcBorders>
            <w:shd w:val="clear" w:color="auto" w:fill="auto"/>
            <w:vAlign w:val="bottom"/>
            <w:hideMark/>
          </w:tcPr>
          <w:p w14:paraId="3BFD9468" w14:textId="77777777" w:rsidR="00EA3C11" w:rsidRPr="00E14F3F" w:rsidRDefault="00EA3C11" w:rsidP="00E146C5">
            <w:pPr>
              <w:suppressAutoHyphens w:val="0"/>
              <w:spacing w:before="40" w:after="40" w:line="220" w:lineRule="exact"/>
              <w:jc w:val="right"/>
              <w:rPr>
                <w:sz w:val="18"/>
                <w:lang w:val="fr-FR"/>
              </w:rPr>
            </w:pPr>
          </w:p>
        </w:tc>
        <w:tc>
          <w:tcPr>
            <w:tcW w:w="2049" w:type="dxa"/>
            <w:gridSpan w:val="2"/>
            <w:tcBorders>
              <w:top w:val="single" w:sz="4" w:space="0" w:color="auto"/>
              <w:bottom w:val="single" w:sz="4" w:space="0" w:color="auto"/>
            </w:tcBorders>
            <w:shd w:val="clear" w:color="auto" w:fill="auto"/>
            <w:vAlign w:val="bottom"/>
            <w:hideMark/>
          </w:tcPr>
          <w:p w14:paraId="0A331F05" w14:textId="77777777" w:rsidR="00EA3C11" w:rsidRPr="008B78B2" w:rsidRDefault="00EA3C11" w:rsidP="00E146C5">
            <w:pPr>
              <w:suppressAutoHyphens w:val="0"/>
              <w:spacing w:before="80" w:after="80" w:line="200" w:lineRule="exact"/>
              <w:jc w:val="center"/>
              <w:rPr>
                <w:i/>
                <w:kern w:val="14"/>
                <w:sz w:val="16"/>
                <w:szCs w:val="16"/>
                <w:lang w:val="fr-FR"/>
              </w:rPr>
            </w:pPr>
            <w:r w:rsidRPr="008B78B2">
              <w:rPr>
                <w:i/>
                <w:kern w:val="14"/>
                <w:sz w:val="16"/>
                <w:szCs w:val="16"/>
                <w:lang w:val="fr-FR"/>
              </w:rPr>
              <w:t>2022</w:t>
            </w:r>
          </w:p>
        </w:tc>
        <w:tc>
          <w:tcPr>
            <w:tcW w:w="2031" w:type="dxa"/>
            <w:gridSpan w:val="2"/>
            <w:tcBorders>
              <w:top w:val="single" w:sz="4" w:space="0" w:color="auto"/>
              <w:bottom w:val="single" w:sz="4" w:space="0" w:color="auto"/>
            </w:tcBorders>
            <w:shd w:val="clear" w:color="auto" w:fill="auto"/>
            <w:noWrap/>
            <w:vAlign w:val="bottom"/>
            <w:hideMark/>
          </w:tcPr>
          <w:p w14:paraId="6639AFFF" w14:textId="77777777" w:rsidR="00EA3C11" w:rsidRPr="008B78B2" w:rsidRDefault="00EA3C11" w:rsidP="00E146C5">
            <w:pPr>
              <w:suppressAutoHyphens w:val="0"/>
              <w:spacing w:before="80" w:after="80" w:line="200" w:lineRule="exact"/>
              <w:jc w:val="center"/>
              <w:rPr>
                <w:i/>
                <w:kern w:val="14"/>
                <w:sz w:val="16"/>
                <w:szCs w:val="16"/>
                <w:lang w:val="fr-FR"/>
              </w:rPr>
            </w:pPr>
            <w:r w:rsidRPr="008B78B2">
              <w:rPr>
                <w:i/>
                <w:kern w:val="14"/>
                <w:sz w:val="16"/>
                <w:szCs w:val="16"/>
                <w:lang w:val="fr-FR"/>
              </w:rPr>
              <w:t>2023</w:t>
            </w:r>
          </w:p>
        </w:tc>
        <w:tc>
          <w:tcPr>
            <w:tcW w:w="2031" w:type="dxa"/>
            <w:gridSpan w:val="2"/>
            <w:tcBorders>
              <w:top w:val="single" w:sz="4" w:space="0" w:color="auto"/>
              <w:bottom w:val="single" w:sz="4" w:space="0" w:color="auto"/>
            </w:tcBorders>
            <w:shd w:val="clear" w:color="auto" w:fill="auto"/>
            <w:noWrap/>
            <w:vAlign w:val="bottom"/>
            <w:hideMark/>
          </w:tcPr>
          <w:p w14:paraId="4E21B7C8" w14:textId="77777777" w:rsidR="00EA3C11" w:rsidRPr="008B78B2" w:rsidRDefault="00EA3C11" w:rsidP="00E146C5">
            <w:pPr>
              <w:suppressAutoHyphens w:val="0"/>
              <w:spacing w:before="80" w:after="80" w:line="200" w:lineRule="exact"/>
              <w:jc w:val="center"/>
              <w:rPr>
                <w:i/>
                <w:kern w:val="14"/>
                <w:sz w:val="16"/>
                <w:szCs w:val="16"/>
                <w:lang w:val="fr-FR"/>
              </w:rPr>
            </w:pPr>
            <w:r w:rsidRPr="008B78B2">
              <w:rPr>
                <w:i/>
                <w:kern w:val="14"/>
                <w:sz w:val="16"/>
                <w:szCs w:val="16"/>
                <w:lang w:val="fr-FR"/>
              </w:rPr>
              <w:t>2024</w:t>
            </w:r>
          </w:p>
        </w:tc>
        <w:tc>
          <w:tcPr>
            <w:tcW w:w="2031" w:type="dxa"/>
            <w:gridSpan w:val="2"/>
            <w:tcBorders>
              <w:top w:val="single" w:sz="4" w:space="0" w:color="auto"/>
              <w:bottom w:val="single" w:sz="4" w:space="0" w:color="auto"/>
            </w:tcBorders>
            <w:shd w:val="clear" w:color="auto" w:fill="auto"/>
            <w:noWrap/>
            <w:vAlign w:val="bottom"/>
            <w:hideMark/>
          </w:tcPr>
          <w:p w14:paraId="7E944DF1" w14:textId="77777777" w:rsidR="00EA3C11" w:rsidRPr="008B78B2" w:rsidRDefault="00EA3C11" w:rsidP="00E146C5">
            <w:pPr>
              <w:suppressAutoHyphens w:val="0"/>
              <w:spacing w:before="80" w:after="80" w:line="200" w:lineRule="exact"/>
              <w:jc w:val="center"/>
              <w:rPr>
                <w:i/>
                <w:kern w:val="14"/>
                <w:sz w:val="16"/>
                <w:szCs w:val="16"/>
                <w:lang w:val="fr-FR"/>
              </w:rPr>
            </w:pPr>
            <w:r w:rsidRPr="008B78B2">
              <w:rPr>
                <w:i/>
                <w:kern w:val="14"/>
                <w:sz w:val="16"/>
                <w:szCs w:val="16"/>
                <w:lang w:val="fr-FR"/>
              </w:rPr>
              <w:t>2025</w:t>
            </w:r>
          </w:p>
        </w:tc>
        <w:tc>
          <w:tcPr>
            <w:tcW w:w="2181" w:type="dxa"/>
            <w:gridSpan w:val="2"/>
            <w:tcBorders>
              <w:top w:val="single" w:sz="4" w:space="0" w:color="auto"/>
              <w:bottom w:val="single" w:sz="4" w:space="0" w:color="auto"/>
            </w:tcBorders>
            <w:shd w:val="clear" w:color="auto" w:fill="auto"/>
            <w:noWrap/>
            <w:vAlign w:val="bottom"/>
            <w:hideMark/>
          </w:tcPr>
          <w:p w14:paraId="1A7F1209" w14:textId="77777777" w:rsidR="00EA3C11" w:rsidRPr="008B78B2" w:rsidRDefault="00EA3C11" w:rsidP="00E146C5">
            <w:pPr>
              <w:suppressAutoHyphens w:val="0"/>
              <w:spacing w:before="80" w:after="80" w:line="200" w:lineRule="exact"/>
              <w:jc w:val="center"/>
              <w:rPr>
                <w:i/>
                <w:kern w:val="14"/>
                <w:sz w:val="16"/>
                <w:szCs w:val="16"/>
                <w:lang w:val="fr-FR"/>
              </w:rPr>
            </w:pPr>
            <w:r w:rsidRPr="008B78B2">
              <w:rPr>
                <w:i/>
                <w:kern w:val="14"/>
                <w:sz w:val="16"/>
                <w:szCs w:val="16"/>
                <w:lang w:val="fr-FR"/>
              </w:rPr>
              <w:t>2022-2025</w:t>
            </w:r>
            <w:r w:rsidRPr="008B78B2">
              <w:rPr>
                <w:i/>
                <w:kern w:val="14"/>
                <w:sz w:val="16"/>
                <w:szCs w:val="16"/>
                <w:lang w:val="fr-FR"/>
              </w:rPr>
              <w:br/>
              <w:t>Moyenne annuelle</w:t>
            </w:r>
          </w:p>
        </w:tc>
      </w:tr>
      <w:tr w:rsidR="00EA3C11" w:rsidRPr="00E14F3F" w14:paraId="47E73D4C" w14:textId="77777777" w:rsidTr="00EA3C11">
        <w:trPr>
          <w:tblHeader/>
        </w:trPr>
        <w:tc>
          <w:tcPr>
            <w:tcW w:w="1275" w:type="dxa"/>
            <w:vMerge/>
            <w:tcBorders>
              <w:bottom w:val="single" w:sz="12" w:space="0" w:color="auto"/>
            </w:tcBorders>
            <w:shd w:val="clear" w:color="auto" w:fill="auto"/>
            <w:vAlign w:val="bottom"/>
            <w:hideMark/>
          </w:tcPr>
          <w:p w14:paraId="1314D84D" w14:textId="77777777" w:rsidR="00EA3C11" w:rsidRPr="00E14F3F" w:rsidRDefault="00EA3C11" w:rsidP="00E146C5">
            <w:pPr>
              <w:suppressAutoHyphens w:val="0"/>
              <w:spacing w:before="40" w:after="40" w:line="220" w:lineRule="exact"/>
              <w:rPr>
                <w:sz w:val="18"/>
                <w:lang w:val="fr-FR"/>
              </w:rPr>
            </w:pPr>
          </w:p>
        </w:tc>
        <w:tc>
          <w:tcPr>
            <w:tcW w:w="2178" w:type="dxa"/>
            <w:vMerge/>
            <w:tcBorders>
              <w:bottom w:val="single" w:sz="12" w:space="0" w:color="auto"/>
            </w:tcBorders>
            <w:shd w:val="clear" w:color="auto" w:fill="auto"/>
            <w:vAlign w:val="bottom"/>
            <w:hideMark/>
          </w:tcPr>
          <w:p w14:paraId="21BAB899" w14:textId="77777777" w:rsidR="00EA3C11" w:rsidRPr="00E14F3F" w:rsidRDefault="00EA3C11" w:rsidP="00E146C5">
            <w:pPr>
              <w:suppressAutoHyphens w:val="0"/>
              <w:spacing w:before="40" w:after="40" w:line="220" w:lineRule="exact"/>
              <w:jc w:val="right"/>
              <w:rPr>
                <w:sz w:val="18"/>
                <w:lang w:val="fr-FR"/>
              </w:rPr>
            </w:pPr>
          </w:p>
        </w:tc>
        <w:tc>
          <w:tcPr>
            <w:tcW w:w="1260" w:type="dxa"/>
            <w:tcBorders>
              <w:top w:val="single" w:sz="4" w:space="0" w:color="auto"/>
              <w:bottom w:val="single" w:sz="12" w:space="0" w:color="auto"/>
            </w:tcBorders>
            <w:shd w:val="clear" w:color="auto" w:fill="auto"/>
            <w:vAlign w:val="bottom"/>
            <w:hideMark/>
          </w:tcPr>
          <w:p w14:paraId="13488905"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Coûts</w:t>
            </w:r>
            <w:r w:rsidRPr="008B78B2">
              <w:rPr>
                <w:i/>
                <w:kern w:val="14"/>
                <w:sz w:val="16"/>
                <w:szCs w:val="16"/>
                <w:lang w:val="fr-FR"/>
              </w:rPr>
              <w:br/>
              <w:t>opérationnels</w:t>
            </w:r>
          </w:p>
        </w:tc>
        <w:tc>
          <w:tcPr>
            <w:tcW w:w="789" w:type="dxa"/>
            <w:tcBorders>
              <w:top w:val="single" w:sz="4" w:space="0" w:color="auto"/>
              <w:bottom w:val="single" w:sz="12" w:space="0" w:color="auto"/>
            </w:tcBorders>
            <w:shd w:val="clear" w:color="auto" w:fill="auto"/>
            <w:vAlign w:val="bottom"/>
            <w:hideMark/>
          </w:tcPr>
          <w:p w14:paraId="60BD4A93"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Autres coûts</w:t>
            </w:r>
          </w:p>
        </w:tc>
        <w:tc>
          <w:tcPr>
            <w:tcW w:w="1244" w:type="dxa"/>
            <w:tcBorders>
              <w:top w:val="single" w:sz="4" w:space="0" w:color="auto"/>
              <w:bottom w:val="single" w:sz="12" w:space="0" w:color="auto"/>
            </w:tcBorders>
            <w:shd w:val="clear" w:color="auto" w:fill="auto"/>
            <w:noWrap/>
            <w:vAlign w:val="bottom"/>
            <w:hideMark/>
          </w:tcPr>
          <w:p w14:paraId="58E2C75C"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Coûts opérationnels</w:t>
            </w:r>
          </w:p>
        </w:tc>
        <w:tc>
          <w:tcPr>
            <w:tcW w:w="787" w:type="dxa"/>
            <w:tcBorders>
              <w:top w:val="single" w:sz="4" w:space="0" w:color="auto"/>
              <w:bottom w:val="single" w:sz="12" w:space="0" w:color="auto"/>
            </w:tcBorders>
            <w:shd w:val="clear" w:color="auto" w:fill="auto"/>
            <w:vAlign w:val="bottom"/>
            <w:hideMark/>
          </w:tcPr>
          <w:p w14:paraId="0F070C16"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Autres coûts</w:t>
            </w:r>
          </w:p>
        </w:tc>
        <w:tc>
          <w:tcPr>
            <w:tcW w:w="1244" w:type="dxa"/>
            <w:tcBorders>
              <w:top w:val="single" w:sz="4" w:space="0" w:color="auto"/>
              <w:bottom w:val="single" w:sz="12" w:space="0" w:color="auto"/>
            </w:tcBorders>
            <w:shd w:val="clear" w:color="auto" w:fill="auto"/>
            <w:noWrap/>
            <w:vAlign w:val="bottom"/>
            <w:hideMark/>
          </w:tcPr>
          <w:p w14:paraId="1C675E8B"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Coûts opérationnels</w:t>
            </w:r>
          </w:p>
        </w:tc>
        <w:tc>
          <w:tcPr>
            <w:tcW w:w="787" w:type="dxa"/>
            <w:tcBorders>
              <w:top w:val="single" w:sz="4" w:space="0" w:color="auto"/>
              <w:bottom w:val="single" w:sz="12" w:space="0" w:color="auto"/>
            </w:tcBorders>
            <w:shd w:val="clear" w:color="auto" w:fill="auto"/>
            <w:vAlign w:val="bottom"/>
            <w:hideMark/>
          </w:tcPr>
          <w:p w14:paraId="44A2B6F7"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Autres coûts</w:t>
            </w:r>
          </w:p>
        </w:tc>
        <w:tc>
          <w:tcPr>
            <w:tcW w:w="1244" w:type="dxa"/>
            <w:tcBorders>
              <w:top w:val="single" w:sz="4" w:space="0" w:color="auto"/>
              <w:bottom w:val="single" w:sz="12" w:space="0" w:color="auto"/>
            </w:tcBorders>
            <w:shd w:val="clear" w:color="auto" w:fill="auto"/>
            <w:noWrap/>
            <w:vAlign w:val="bottom"/>
            <w:hideMark/>
          </w:tcPr>
          <w:p w14:paraId="3151EB9C"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Coûts opérationnels</w:t>
            </w:r>
          </w:p>
        </w:tc>
        <w:tc>
          <w:tcPr>
            <w:tcW w:w="787" w:type="dxa"/>
            <w:tcBorders>
              <w:top w:val="single" w:sz="4" w:space="0" w:color="auto"/>
              <w:bottom w:val="single" w:sz="12" w:space="0" w:color="auto"/>
            </w:tcBorders>
            <w:shd w:val="clear" w:color="auto" w:fill="auto"/>
            <w:vAlign w:val="bottom"/>
            <w:hideMark/>
          </w:tcPr>
          <w:p w14:paraId="2EC89D42"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Autres coûts</w:t>
            </w:r>
          </w:p>
        </w:tc>
        <w:tc>
          <w:tcPr>
            <w:tcW w:w="1344" w:type="dxa"/>
            <w:tcBorders>
              <w:top w:val="single" w:sz="4" w:space="0" w:color="auto"/>
              <w:bottom w:val="single" w:sz="12" w:space="0" w:color="auto"/>
            </w:tcBorders>
            <w:shd w:val="clear" w:color="auto" w:fill="auto"/>
            <w:noWrap/>
            <w:vAlign w:val="bottom"/>
            <w:hideMark/>
          </w:tcPr>
          <w:p w14:paraId="6145C1CB"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 xml:space="preserve">Coûts </w:t>
            </w:r>
            <w:r w:rsidRPr="008B78B2">
              <w:rPr>
                <w:i/>
                <w:kern w:val="14"/>
                <w:sz w:val="16"/>
                <w:szCs w:val="16"/>
                <w:lang w:val="fr-FR"/>
              </w:rPr>
              <w:br/>
              <w:t>opérationnels</w:t>
            </w:r>
          </w:p>
        </w:tc>
        <w:tc>
          <w:tcPr>
            <w:tcW w:w="837" w:type="dxa"/>
            <w:tcBorders>
              <w:top w:val="single" w:sz="4" w:space="0" w:color="auto"/>
              <w:bottom w:val="single" w:sz="12" w:space="0" w:color="auto"/>
            </w:tcBorders>
            <w:shd w:val="clear" w:color="auto" w:fill="auto"/>
            <w:vAlign w:val="bottom"/>
            <w:hideMark/>
          </w:tcPr>
          <w:p w14:paraId="4C287A43" w14:textId="77777777" w:rsidR="00EA3C11" w:rsidRPr="008B78B2" w:rsidRDefault="00EA3C11" w:rsidP="00E146C5">
            <w:pPr>
              <w:suppressAutoHyphens w:val="0"/>
              <w:spacing w:before="80" w:after="80" w:line="200" w:lineRule="exact"/>
              <w:jc w:val="right"/>
              <w:rPr>
                <w:i/>
                <w:kern w:val="14"/>
                <w:sz w:val="16"/>
                <w:szCs w:val="16"/>
                <w:lang w:val="fr-FR"/>
              </w:rPr>
            </w:pPr>
            <w:r w:rsidRPr="008B78B2">
              <w:rPr>
                <w:i/>
                <w:kern w:val="14"/>
                <w:sz w:val="16"/>
                <w:szCs w:val="16"/>
                <w:lang w:val="fr-FR"/>
              </w:rPr>
              <w:t>Autres</w:t>
            </w:r>
            <w:r w:rsidRPr="008B78B2">
              <w:rPr>
                <w:i/>
                <w:kern w:val="14"/>
                <w:sz w:val="16"/>
                <w:szCs w:val="16"/>
                <w:lang w:val="fr-FR"/>
              </w:rPr>
              <w:br/>
              <w:t>coûts</w:t>
            </w:r>
          </w:p>
        </w:tc>
      </w:tr>
      <w:tr w:rsidR="00EA3C11" w:rsidRPr="00E14F3F" w14:paraId="0BF6442B" w14:textId="77777777" w:rsidTr="00EA3C11">
        <w:tc>
          <w:tcPr>
            <w:tcW w:w="1275" w:type="dxa"/>
            <w:tcBorders>
              <w:top w:val="single" w:sz="12" w:space="0" w:color="auto"/>
            </w:tcBorders>
            <w:shd w:val="clear" w:color="auto" w:fill="auto"/>
            <w:hideMark/>
          </w:tcPr>
          <w:p w14:paraId="0D27681A"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I. </w:t>
            </w:r>
            <w:r w:rsidRPr="00E14F3F">
              <w:rPr>
                <w:sz w:val="18"/>
                <w:lang w:val="fr-FR"/>
              </w:rPr>
              <w:br/>
              <w:t>Accès à l’information</w:t>
            </w:r>
            <w:r w:rsidRPr="00E14F3F">
              <w:rPr>
                <w:sz w:val="18"/>
                <w:vertAlign w:val="superscript"/>
                <w:lang w:val="fr-FR"/>
              </w:rPr>
              <w:t>b</w:t>
            </w:r>
          </w:p>
        </w:tc>
        <w:tc>
          <w:tcPr>
            <w:tcW w:w="2178" w:type="dxa"/>
            <w:tcBorders>
              <w:top w:val="single" w:sz="12" w:space="0" w:color="auto"/>
            </w:tcBorders>
            <w:shd w:val="clear" w:color="auto" w:fill="auto"/>
            <w:vAlign w:val="bottom"/>
            <w:hideMark/>
          </w:tcPr>
          <w:p w14:paraId="3BD1589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w:t>
            </w:r>
            <w:r w:rsidRPr="00E14F3F">
              <w:rPr>
                <w:sz w:val="18"/>
                <w:szCs w:val="18"/>
                <w:vertAlign w:val="superscript"/>
                <w:lang w:val="fr-FR"/>
              </w:rPr>
              <w:t>c</w:t>
            </w:r>
            <w:r w:rsidRPr="00E14F3F">
              <w:rPr>
                <w:sz w:val="18"/>
                <w:szCs w:val="18"/>
                <w:lang w:val="fr-FR"/>
              </w:rPr>
              <w:t> </w:t>
            </w:r>
            <w:r w:rsidRPr="00E14F3F">
              <w:rPr>
                <w:sz w:val="18"/>
                <w:lang w:val="fr-FR"/>
              </w:rPr>
              <w:t xml:space="preserve">: 1 fonctionnaire P-3 </w:t>
            </w:r>
            <w:r>
              <w:rPr>
                <w:sz w:val="18"/>
                <w:lang w:val="fr-FR"/>
              </w:rPr>
              <w:br/>
            </w:r>
            <w:r w:rsidRPr="00E14F3F">
              <w:rPr>
                <w:sz w:val="18"/>
                <w:lang w:val="fr-FR"/>
              </w:rPr>
              <w:t>à 30 % d’EPT</w:t>
            </w:r>
          </w:p>
        </w:tc>
        <w:tc>
          <w:tcPr>
            <w:tcW w:w="1260" w:type="dxa"/>
            <w:tcBorders>
              <w:top w:val="single" w:sz="12" w:space="0" w:color="auto"/>
            </w:tcBorders>
            <w:shd w:val="clear" w:color="auto" w:fill="auto"/>
            <w:vAlign w:val="bottom"/>
            <w:hideMark/>
          </w:tcPr>
          <w:p w14:paraId="6940FDC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789" w:type="dxa"/>
            <w:tcBorders>
              <w:top w:val="single" w:sz="12" w:space="0" w:color="auto"/>
            </w:tcBorders>
            <w:shd w:val="clear" w:color="auto" w:fill="auto"/>
            <w:vAlign w:val="bottom"/>
            <w:hideMark/>
          </w:tcPr>
          <w:p w14:paraId="7D53F84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1969B9B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787" w:type="dxa"/>
            <w:tcBorders>
              <w:top w:val="single" w:sz="12" w:space="0" w:color="auto"/>
            </w:tcBorders>
            <w:shd w:val="clear" w:color="auto" w:fill="auto"/>
            <w:vAlign w:val="bottom"/>
            <w:hideMark/>
          </w:tcPr>
          <w:p w14:paraId="0806017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6973DCB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787" w:type="dxa"/>
            <w:tcBorders>
              <w:top w:val="single" w:sz="12" w:space="0" w:color="auto"/>
            </w:tcBorders>
            <w:shd w:val="clear" w:color="auto" w:fill="auto"/>
            <w:vAlign w:val="bottom"/>
            <w:hideMark/>
          </w:tcPr>
          <w:p w14:paraId="1CE8580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18864A8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787" w:type="dxa"/>
            <w:tcBorders>
              <w:top w:val="single" w:sz="12" w:space="0" w:color="auto"/>
            </w:tcBorders>
            <w:shd w:val="clear" w:color="auto" w:fill="auto"/>
            <w:vAlign w:val="bottom"/>
            <w:hideMark/>
          </w:tcPr>
          <w:p w14:paraId="72E50CA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5823620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r w:rsidRPr="00E14F3F">
              <w:rPr>
                <w:sz w:val="18"/>
                <w:vertAlign w:val="superscript"/>
                <w:lang w:val="fr-FR"/>
              </w:rPr>
              <w:t>c</w:t>
            </w:r>
          </w:p>
        </w:tc>
        <w:tc>
          <w:tcPr>
            <w:tcW w:w="837" w:type="dxa"/>
            <w:tcBorders>
              <w:top w:val="single" w:sz="12" w:space="0" w:color="auto"/>
            </w:tcBorders>
            <w:shd w:val="clear" w:color="auto" w:fill="auto"/>
            <w:vAlign w:val="bottom"/>
            <w:hideMark/>
          </w:tcPr>
          <w:p w14:paraId="6075381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55001A28" w14:textId="77777777" w:rsidTr="00EA3C11">
        <w:tc>
          <w:tcPr>
            <w:tcW w:w="1275" w:type="dxa"/>
            <w:shd w:val="clear" w:color="auto" w:fill="auto"/>
            <w:hideMark/>
          </w:tcPr>
          <w:p w14:paraId="01A1EFBB"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3C767EB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Contrats de consultants (tenue à jour du Mécanisme d’échange d’informations d’Aarhus et de la base de données d’Aarhus sur les bonnes pratiques, par exemple)</w:t>
            </w:r>
          </w:p>
        </w:tc>
        <w:tc>
          <w:tcPr>
            <w:tcW w:w="1260" w:type="dxa"/>
            <w:shd w:val="clear" w:color="auto" w:fill="auto"/>
            <w:vAlign w:val="bottom"/>
            <w:hideMark/>
          </w:tcPr>
          <w:p w14:paraId="28E7617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2 000</w:t>
            </w:r>
          </w:p>
        </w:tc>
        <w:tc>
          <w:tcPr>
            <w:tcW w:w="789" w:type="dxa"/>
            <w:shd w:val="clear" w:color="auto" w:fill="auto"/>
            <w:vAlign w:val="bottom"/>
            <w:hideMark/>
          </w:tcPr>
          <w:p w14:paraId="4F93A9C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3 000</w:t>
            </w:r>
          </w:p>
        </w:tc>
        <w:tc>
          <w:tcPr>
            <w:tcW w:w="1244" w:type="dxa"/>
            <w:shd w:val="clear" w:color="auto" w:fill="auto"/>
            <w:noWrap/>
            <w:vAlign w:val="bottom"/>
            <w:hideMark/>
          </w:tcPr>
          <w:p w14:paraId="6EE578C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2 000</w:t>
            </w:r>
          </w:p>
        </w:tc>
        <w:tc>
          <w:tcPr>
            <w:tcW w:w="787" w:type="dxa"/>
            <w:shd w:val="clear" w:color="auto" w:fill="auto"/>
            <w:noWrap/>
            <w:vAlign w:val="bottom"/>
            <w:hideMark/>
          </w:tcPr>
          <w:p w14:paraId="7456842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3 000</w:t>
            </w:r>
          </w:p>
        </w:tc>
        <w:tc>
          <w:tcPr>
            <w:tcW w:w="1244" w:type="dxa"/>
            <w:shd w:val="clear" w:color="auto" w:fill="auto"/>
            <w:noWrap/>
            <w:vAlign w:val="bottom"/>
            <w:hideMark/>
          </w:tcPr>
          <w:p w14:paraId="3619296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2 000</w:t>
            </w:r>
          </w:p>
        </w:tc>
        <w:tc>
          <w:tcPr>
            <w:tcW w:w="787" w:type="dxa"/>
            <w:shd w:val="clear" w:color="auto" w:fill="auto"/>
            <w:noWrap/>
            <w:vAlign w:val="bottom"/>
            <w:hideMark/>
          </w:tcPr>
          <w:p w14:paraId="7E5749A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3 000</w:t>
            </w:r>
          </w:p>
        </w:tc>
        <w:tc>
          <w:tcPr>
            <w:tcW w:w="1244" w:type="dxa"/>
            <w:shd w:val="clear" w:color="auto" w:fill="auto"/>
            <w:noWrap/>
            <w:vAlign w:val="bottom"/>
            <w:hideMark/>
          </w:tcPr>
          <w:p w14:paraId="75B0C28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2 000</w:t>
            </w:r>
          </w:p>
        </w:tc>
        <w:tc>
          <w:tcPr>
            <w:tcW w:w="787" w:type="dxa"/>
            <w:shd w:val="clear" w:color="auto" w:fill="auto"/>
            <w:noWrap/>
            <w:vAlign w:val="bottom"/>
            <w:hideMark/>
          </w:tcPr>
          <w:p w14:paraId="1923F72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3 000</w:t>
            </w:r>
          </w:p>
        </w:tc>
        <w:tc>
          <w:tcPr>
            <w:tcW w:w="1344" w:type="dxa"/>
            <w:shd w:val="clear" w:color="auto" w:fill="auto"/>
            <w:noWrap/>
            <w:vAlign w:val="bottom"/>
            <w:hideMark/>
          </w:tcPr>
          <w:p w14:paraId="13CE91D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2 000</w:t>
            </w:r>
          </w:p>
        </w:tc>
        <w:tc>
          <w:tcPr>
            <w:tcW w:w="837" w:type="dxa"/>
            <w:shd w:val="clear" w:color="auto" w:fill="auto"/>
            <w:noWrap/>
            <w:vAlign w:val="bottom"/>
            <w:hideMark/>
          </w:tcPr>
          <w:p w14:paraId="76BD3DF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3 000</w:t>
            </w:r>
          </w:p>
        </w:tc>
      </w:tr>
      <w:tr w:rsidR="00EA3C11" w:rsidRPr="00E14F3F" w14:paraId="66D864C3" w14:textId="77777777" w:rsidTr="00EA3C11">
        <w:tc>
          <w:tcPr>
            <w:tcW w:w="1275" w:type="dxa"/>
            <w:shd w:val="clear" w:color="auto" w:fill="auto"/>
            <w:hideMark/>
          </w:tcPr>
          <w:p w14:paraId="7FF8451F"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7280B93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pour les participants qui y ont droit (2 réunions)</w:t>
            </w:r>
          </w:p>
        </w:tc>
        <w:tc>
          <w:tcPr>
            <w:tcW w:w="1260" w:type="dxa"/>
            <w:shd w:val="clear" w:color="auto" w:fill="auto"/>
            <w:vAlign w:val="bottom"/>
            <w:hideMark/>
          </w:tcPr>
          <w:p w14:paraId="4F4F201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9" w:type="dxa"/>
            <w:shd w:val="clear" w:color="auto" w:fill="auto"/>
            <w:vAlign w:val="bottom"/>
            <w:hideMark/>
          </w:tcPr>
          <w:p w14:paraId="298FF95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135D3B4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40 800</w:t>
            </w:r>
          </w:p>
        </w:tc>
        <w:tc>
          <w:tcPr>
            <w:tcW w:w="787" w:type="dxa"/>
            <w:shd w:val="clear" w:color="auto" w:fill="auto"/>
            <w:vAlign w:val="bottom"/>
            <w:hideMark/>
          </w:tcPr>
          <w:p w14:paraId="7AB8B16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1A7A40E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40 800</w:t>
            </w:r>
          </w:p>
        </w:tc>
        <w:tc>
          <w:tcPr>
            <w:tcW w:w="787" w:type="dxa"/>
            <w:shd w:val="clear" w:color="auto" w:fill="auto"/>
            <w:vAlign w:val="bottom"/>
            <w:hideMark/>
          </w:tcPr>
          <w:p w14:paraId="5F1926F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62F81F3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shd w:val="clear" w:color="auto" w:fill="auto"/>
            <w:vAlign w:val="bottom"/>
            <w:hideMark/>
          </w:tcPr>
          <w:p w14:paraId="63D2E3F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2C7F4F4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20 400</w:t>
            </w:r>
          </w:p>
        </w:tc>
        <w:tc>
          <w:tcPr>
            <w:tcW w:w="837" w:type="dxa"/>
            <w:shd w:val="clear" w:color="auto" w:fill="auto"/>
            <w:vAlign w:val="bottom"/>
            <w:hideMark/>
          </w:tcPr>
          <w:p w14:paraId="2B11D9A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2726A708" w14:textId="77777777" w:rsidTr="00EA3C11">
        <w:tc>
          <w:tcPr>
            <w:tcW w:w="1275" w:type="dxa"/>
            <w:tcBorders>
              <w:bottom w:val="single" w:sz="4" w:space="0" w:color="auto"/>
            </w:tcBorders>
            <w:shd w:val="clear" w:color="auto" w:fill="auto"/>
            <w:hideMark/>
          </w:tcPr>
          <w:p w14:paraId="169E7F68" w14:textId="77777777" w:rsidR="00EA3C11" w:rsidRPr="00E14F3F" w:rsidRDefault="00EA3C11" w:rsidP="00E146C5">
            <w:pPr>
              <w:suppressAutoHyphens w:val="0"/>
              <w:spacing w:before="40" w:after="40" w:line="220" w:lineRule="exact"/>
              <w:rPr>
                <w:b/>
                <w:bCs/>
                <w:sz w:val="18"/>
                <w:lang w:val="fr-FR"/>
              </w:rPr>
            </w:pPr>
          </w:p>
        </w:tc>
        <w:tc>
          <w:tcPr>
            <w:tcW w:w="2178" w:type="dxa"/>
            <w:tcBorders>
              <w:bottom w:val="single" w:sz="4" w:space="0" w:color="auto"/>
            </w:tcBorders>
            <w:shd w:val="clear" w:color="auto" w:fill="auto"/>
            <w:vAlign w:val="bottom"/>
            <w:hideMark/>
          </w:tcPr>
          <w:p w14:paraId="598A883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(personnel en mission)</w:t>
            </w:r>
            <w:r w:rsidRPr="008B78B2">
              <w:rPr>
                <w:i/>
                <w:iCs/>
                <w:sz w:val="18"/>
                <w:vertAlign w:val="superscript"/>
                <w:lang w:val="fr-FR"/>
              </w:rPr>
              <w:t>d</w:t>
            </w:r>
          </w:p>
        </w:tc>
        <w:tc>
          <w:tcPr>
            <w:tcW w:w="1260" w:type="dxa"/>
            <w:tcBorders>
              <w:bottom w:val="single" w:sz="4" w:space="0" w:color="auto"/>
            </w:tcBorders>
            <w:shd w:val="clear" w:color="auto" w:fill="auto"/>
            <w:vAlign w:val="bottom"/>
            <w:hideMark/>
          </w:tcPr>
          <w:p w14:paraId="3298216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789" w:type="dxa"/>
            <w:tcBorders>
              <w:bottom w:val="single" w:sz="4" w:space="0" w:color="auto"/>
            </w:tcBorders>
            <w:shd w:val="clear" w:color="auto" w:fill="auto"/>
            <w:vAlign w:val="bottom"/>
            <w:hideMark/>
          </w:tcPr>
          <w:p w14:paraId="11468FE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1244" w:type="dxa"/>
            <w:tcBorders>
              <w:bottom w:val="single" w:sz="4" w:space="0" w:color="auto"/>
            </w:tcBorders>
            <w:shd w:val="clear" w:color="auto" w:fill="auto"/>
            <w:noWrap/>
            <w:vAlign w:val="bottom"/>
            <w:hideMark/>
          </w:tcPr>
          <w:p w14:paraId="5B0BC48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787" w:type="dxa"/>
            <w:tcBorders>
              <w:bottom w:val="single" w:sz="4" w:space="0" w:color="auto"/>
            </w:tcBorders>
            <w:shd w:val="clear" w:color="auto" w:fill="auto"/>
            <w:vAlign w:val="bottom"/>
            <w:hideMark/>
          </w:tcPr>
          <w:p w14:paraId="6D7F0B3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1244" w:type="dxa"/>
            <w:tcBorders>
              <w:bottom w:val="single" w:sz="4" w:space="0" w:color="auto"/>
            </w:tcBorders>
            <w:shd w:val="clear" w:color="auto" w:fill="auto"/>
            <w:noWrap/>
            <w:vAlign w:val="bottom"/>
            <w:hideMark/>
          </w:tcPr>
          <w:p w14:paraId="3DDE223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787" w:type="dxa"/>
            <w:tcBorders>
              <w:bottom w:val="single" w:sz="4" w:space="0" w:color="auto"/>
            </w:tcBorders>
            <w:shd w:val="clear" w:color="auto" w:fill="auto"/>
            <w:vAlign w:val="bottom"/>
            <w:hideMark/>
          </w:tcPr>
          <w:p w14:paraId="0DD3346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1244" w:type="dxa"/>
            <w:tcBorders>
              <w:bottom w:val="single" w:sz="4" w:space="0" w:color="auto"/>
            </w:tcBorders>
            <w:shd w:val="clear" w:color="auto" w:fill="auto"/>
            <w:noWrap/>
            <w:vAlign w:val="bottom"/>
            <w:hideMark/>
          </w:tcPr>
          <w:p w14:paraId="7A8D410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787" w:type="dxa"/>
            <w:tcBorders>
              <w:bottom w:val="single" w:sz="4" w:space="0" w:color="auto"/>
            </w:tcBorders>
            <w:shd w:val="clear" w:color="auto" w:fill="auto"/>
            <w:vAlign w:val="bottom"/>
            <w:hideMark/>
          </w:tcPr>
          <w:p w14:paraId="1803C66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1344" w:type="dxa"/>
            <w:tcBorders>
              <w:bottom w:val="single" w:sz="4" w:space="0" w:color="auto"/>
            </w:tcBorders>
            <w:shd w:val="clear" w:color="auto" w:fill="auto"/>
            <w:noWrap/>
            <w:vAlign w:val="bottom"/>
            <w:hideMark/>
          </w:tcPr>
          <w:p w14:paraId="63DF9E8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837" w:type="dxa"/>
            <w:tcBorders>
              <w:bottom w:val="single" w:sz="4" w:space="0" w:color="auto"/>
            </w:tcBorders>
            <w:shd w:val="clear" w:color="auto" w:fill="auto"/>
            <w:vAlign w:val="bottom"/>
            <w:hideMark/>
          </w:tcPr>
          <w:p w14:paraId="14D0BE7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r>
      <w:tr w:rsidR="00EA3C11" w:rsidRPr="00E14F3F" w14:paraId="6271D494" w14:textId="77777777" w:rsidTr="00EA3C11">
        <w:tc>
          <w:tcPr>
            <w:tcW w:w="3453" w:type="dxa"/>
            <w:gridSpan w:val="2"/>
            <w:tcBorders>
              <w:top w:val="single" w:sz="4" w:space="0" w:color="auto"/>
              <w:bottom w:val="single" w:sz="12" w:space="0" w:color="auto"/>
            </w:tcBorders>
            <w:shd w:val="clear" w:color="auto" w:fill="auto"/>
            <w:hideMark/>
          </w:tcPr>
          <w:p w14:paraId="10E2974E" w14:textId="77777777" w:rsidR="00EA3C11" w:rsidRPr="00E14F3F" w:rsidRDefault="00EA3C11" w:rsidP="00E146C5">
            <w:pPr>
              <w:suppressAutoHyphens w:val="0"/>
              <w:spacing w:before="80" w:after="80" w:line="220" w:lineRule="exact"/>
              <w:ind w:left="283"/>
              <w:rPr>
                <w:b/>
                <w:sz w:val="18"/>
                <w:lang w:val="fr-FR"/>
              </w:rPr>
            </w:pPr>
            <w:r w:rsidRPr="00E14F3F">
              <w:rPr>
                <w:b/>
                <w:bCs/>
                <w:sz w:val="18"/>
                <w:lang w:val="fr-FR"/>
              </w:rPr>
              <w:t>Total partiel</w:t>
            </w:r>
          </w:p>
        </w:tc>
        <w:tc>
          <w:tcPr>
            <w:tcW w:w="1260" w:type="dxa"/>
            <w:tcBorders>
              <w:top w:val="single" w:sz="4" w:space="0" w:color="auto"/>
              <w:bottom w:val="single" w:sz="12" w:space="0" w:color="auto"/>
            </w:tcBorders>
            <w:shd w:val="clear" w:color="auto" w:fill="auto"/>
            <w:vAlign w:val="bottom"/>
            <w:hideMark/>
          </w:tcPr>
          <w:p w14:paraId="5FD3440E"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59 500</w:t>
            </w:r>
          </w:p>
        </w:tc>
        <w:tc>
          <w:tcPr>
            <w:tcW w:w="789" w:type="dxa"/>
            <w:tcBorders>
              <w:top w:val="single" w:sz="4" w:space="0" w:color="auto"/>
              <w:bottom w:val="single" w:sz="12" w:space="0" w:color="auto"/>
            </w:tcBorders>
            <w:shd w:val="clear" w:color="auto" w:fill="auto"/>
            <w:vAlign w:val="bottom"/>
            <w:hideMark/>
          </w:tcPr>
          <w:p w14:paraId="46E6BA2E"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6 500</w:t>
            </w:r>
          </w:p>
        </w:tc>
        <w:tc>
          <w:tcPr>
            <w:tcW w:w="1244" w:type="dxa"/>
            <w:tcBorders>
              <w:top w:val="single" w:sz="4" w:space="0" w:color="auto"/>
              <w:bottom w:val="single" w:sz="12" w:space="0" w:color="auto"/>
            </w:tcBorders>
            <w:shd w:val="clear" w:color="auto" w:fill="auto"/>
            <w:vAlign w:val="bottom"/>
            <w:hideMark/>
          </w:tcPr>
          <w:p w14:paraId="1C816289"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100 300</w:t>
            </w:r>
          </w:p>
        </w:tc>
        <w:tc>
          <w:tcPr>
            <w:tcW w:w="787" w:type="dxa"/>
            <w:tcBorders>
              <w:top w:val="single" w:sz="4" w:space="0" w:color="auto"/>
              <w:bottom w:val="single" w:sz="12" w:space="0" w:color="auto"/>
            </w:tcBorders>
            <w:shd w:val="clear" w:color="auto" w:fill="auto"/>
            <w:vAlign w:val="bottom"/>
            <w:hideMark/>
          </w:tcPr>
          <w:p w14:paraId="2AADE3DC"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6 500</w:t>
            </w:r>
          </w:p>
        </w:tc>
        <w:tc>
          <w:tcPr>
            <w:tcW w:w="1244" w:type="dxa"/>
            <w:tcBorders>
              <w:top w:val="single" w:sz="4" w:space="0" w:color="auto"/>
              <w:bottom w:val="single" w:sz="12" w:space="0" w:color="auto"/>
            </w:tcBorders>
            <w:shd w:val="clear" w:color="auto" w:fill="auto"/>
            <w:vAlign w:val="bottom"/>
            <w:hideMark/>
          </w:tcPr>
          <w:p w14:paraId="6C0B2A56"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100 300</w:t>
            </w:r>
          </w:p>
        </w:tc>
        <w:tc>
          <w:tcPr>
            <w:tcW w:w="787" w:type="dxa"/>
            <w:tcBorders>
              <w:top w:val="single" w:sz="4" w:space="0" w:color="auto"/>
              <w:bottom w:val="single" w:sz="12" w:space="0" w:color="auto"/>
            </w:tcBorders>
            <w:shd w:val="clear" w:color="auto" w:fill="auto"/>
            <w:vAlign w:val="bottom"/>
            <w:hideMark/>
          </w:tcPr>
          <w:p w14:paraId="03642706"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6 500</w:t>
            </w:r>
          </w:p>
        </w:tc>
        <w:tc>
          <w:tcPr>
            <w:tcW w:w="1244" w:type="dxa"/>
            <w:tcBorders>
              <w:top w:val="single" w:sz="4" w:space="0" w:color="auto"/>
              <w:bottom w:val="single" w:sz="12" w:space="0" w:color="auto"/>
            </w:tcBorders>
            <w:shd w:val="clear" w:color="auto" w:fill="auto"/>
            <w:vAlign w:val="bottom"/>
            <w:hideMark/>
          </w:tcPr>
          <w:p w14:paraId="3439B55F"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59 500</w:t>
            </w:r>
          </w:p>
        </w:tc>
        <w:tc>
          <w:tcPr>
            <w:tcW w:w="787" w:type="dxa"/>
            <w:tcBorders>
              <w:top w:val="single" w:sz="4" w:space="0" w:color="auto"/>
              <w:bottom w:val="single" w:sz="12" w:space="0" w:color="auto"/>
            </w:tcBorders>
            <w:shd w:val="clear" w:color="auto" w:fill="auto"/>
            <w:vAlign w:val="bottom"/>
            <w:hideMark/>
          </w:tcPr>
          <w:p w14:paraId="24EFCD16"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6 500</w:t>
            </w:r>
          </w:p>
        </w:tc>
        <w:tc>
          <w:tcPr>
            <w:tcW w:w="1344" w:type="dxa"/>
            <w:tcBorders>
              <w:top w:val="single" w:sz="4" w:space="0" w:color="auto"/>
              <w:bottom w:val="single" w:sz="12" w:space="0" w:color="auto"/>
            </w:tcBorders>
            <w:shd w:val="clear" w:color="auto" w:fill="auto"/>
            <w:vAlign w:val="bottom"/>
            <w:hideMark/>
          </w:tcPr>
          <w:p w14:paraId="1E9B9B16"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79 900</w:t>
            </w:r>
          </w:p>
        </w:tc>
        <w:tc>
          <w:tcPr>
            <w:tcW w:w="837" w:type="dxa"/>
            <w:tcBorders>
              <w:top w:val="single" w:sz="4" w:space="0" w:color="auto"/>
              <w:bottom w:val="single" w:sz="12" w:space="0" w:color="auto"/>
            </w:tcBorders>
            <w:shd w:val="clear" w:color="auto" w:fill="auto"/>
            <w:vAlign w:val="bottom"/>
            <w:hideMark/>
          </w:tcPr>
          <w:p w14:paraId="52996984"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6 500</w:t>
            </w:r>
          </w:p>
        </w:tc>
      </w:tr>
      <w:tr w:rsidR="00EA3C11" w:rsidRPr="00E14F3F" w14:paraId="60C2D1C7" w14:textId="77777777" w:rsidTr="00EA3C11">
        <w:tc>
          <w:tcPr>
            <w:tcW w:w="1275" w:type="dxa"/>
            <w:vMerge w:val="restart"/>
            <w:tcBorders>
              <w:top w:val="single" w:sz="12" w:space="0" w:color="auto"/>
            </w:tcBorders>
            <w:shd w:val="clear" w:color="auto" w:fill="auto"/>
            <w:hideMark/>
          </w:tcPr>
          <w:p w14:paraId="43F5139F"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II. </w:t>
            </w:r>
            <w:r w:rsidRPr="00E14F3F">
              <w:rPr>
                <w:sz w:val="18"/>
                <w:lang w:val="fr-FR"/>
              </w:rPr>
              <w:br/>
              <w:t>Participation du public</w:t>
            </w:r>
          </w:p>
        </w:tc>
        <w:tc>
          <w:tcPr>
            <w:tcW w:w="2178" w:type="dxa"/>
            <w:tcBorders>
              <w:top w:val="single" w:sz="12" w:space="0" w:color="auto"/>
            </w:tcBorders>
            <w:shd w:val="clear" w:color="auto" w:fill="auto"/>
            <w:vAlign w:val="bottom"/>
            <w:hideMark/>
          </w:tcPr>
          <w:p w14:paraId="2BFE9D2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w:t>
            </w:r>
            <w:r w:rsidRPr="00E14F3F">
              <w:rPr>
                <w:sz w:val="18"/>
                <w:vertAlign w:val="superscript"/>
                <w:lang w:val="fr-FR"/>
              </w:rPr>
              <w:t>c</w:t>
            </w:r>
            <w:r w:rsidRPr="00E14F3F">
              <w:rPr>
                <w:sz w:val="18"/>
                <w:lang w:val="fr-FR"/>
              </w:rPr>
              <w:t xml:space="preserve"> : 1 fonctionnaire P-3 </w:t>
            </w:r>
            <w:r>
              <w:rPr>
                <w:sz w:val="18"/>
                <w:lang w:val="fr-FR"/>
              </w:rPr>
              <w:br/>
            </w:r>
            <w:r w:rsidRPr="00E14F3F">
              <w:rPr>
                <w:sz w:val="18"/>
                <w:lang w:val="fr-FR"/>
              </w:rPr>
              <w:t>à 30 % d’EPT</w:t>
            </w:r>
          </w:p>
        </w:tc>
        <w:tc>
          <w:tcPr>
            <w:tcW w:w="1260" w:type="dxa"/>
            <w:tcBorders>
              <w:top w:val="single" w:sz="12" w:space="0" w:color="auto"/>
            </w:tcBorders>
            <w:shd w:val="clear" w:color="auto" w:fill="auto"/>
            <w:vAlign w:val="bottom"/>
            <w:hideMark/>
          </w:tcPr>
          <w:p w14:paraId="61DF5AD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789" w:type="dxa"/>
            <w:tcBorders>
              <w:top w:val="single" w:sz="12" w:space="0" w:color="auto"/>
            </w:tcBorders>
            <w:shd w:val="clear" w:color="auto" w:fill="auto"/>
            <w:vAlign w:val="bottom"/>
            <w:hideMark/>
          </w:tcPr>
          <w:p w14:paraId="50AE135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412829B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787" w:type="dxa"/>
            <w:tcBorders>
              <w:top w:val="single" w:sz="12" w:space="0" w:color="auto"/>
            </w:tcBorders>
            <w:shd w:val="clear" w:color="auto" w:fill="auto"/>
            <w:vAlign w:val="bottom"/>
            <w:hideMark/>
          </w:tcPr>
          <w:p w14:paraId="3CD57E7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65626AE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787" w:type="dxa"/>
            <w:tcBorders>
              <w:top w:val="single" w:sz="12" w:space="0" w:color="auto"/>
            </w:tcBorders>
            <w:shd w:val="clear" w:color="auto" w:fill="auto"/>
            <w:vAlign w:val="bottom"/>
            <w:hideMark/>
          </w:tcPr>
          <w:p w14:paraId="0BAC3CE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69A8E54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787" w:type="dxa"/>
            <w:tcBorders>
              <w:top w:val="single" w:sz="12" w:space="0" w:color="auto"/>
            </w:tcBorders>
            <w:shd w:val="clear" w:color="auto" w:fill="auto"/>
            <w:vAlign w:val="bottom"/>
            <w:hideMark/>
          </w:tcPr>
          <w:p w14:paraId="0F707E3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69A7621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54 000</w:t>
            </w:r>
          </w:p>
        </w:tc>
        <w:tc>
          <w:tcPr>
            <w:tcW w:w="837" w:type="dxa"/>
            <w:tcBorders>
              <w:top w:val="single" w:sz="12" w:space="0" w:color="auto"/>
            </w:tcBorders>
            <w:shd w:val="clear" w:color="auto" w:fill="auto"/>
            <w:vAlign w:val="bottom"/>
            <w:hideMark/>
          </w:tcPr>
          <w:p w14:paraId="556A0EB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037BE1E1" w14:textId="77777777" w:rsidTr="00EA3C11">
        <w:tc>
          <w:tcPr>
            <w:tcW w:w="1275" w:type="dxa"/>
            <w:vMerge/>
            <w:shd w:val="clear" w:color="auto" w:fill="auto"/>
            <w:hideMark/>
          </w:tcPr>
          <w:p w14:paraId="2CF69696"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0AFBC36D" w14:textId="711F6C60" w:rsidR="00EA3C11" w:rsidRPr="00E14F3F" w:rsidRDefault="00EA3C11" w:rsidP="00E146C5">
            <w:pPr>
              <w:suppressAutoHyphens w:val="0"/>
              <w:spacing w:before="40" w:after="40" w:line="220" w:lineRule="exact"/>
              <w:jc w:val="right"/>
              <w:rPr>
                <w:sz w:val="18"/>
                <w:lang w:val="fr-FR"/>
              </w:rPr>
            </w:pPr>
            <w:r w:rsidRPr="00E14F3F">
              <w:rPr>
                <w:sz w:val="18"/>
                <w:lang w:val="fr-FR"/>
              </w:rPr>
              <w:t>Contrats de consultants (élaboration de la</w:t>
            </w:r>
            <w:r w:rsidR="008B78B2">
              <w:rPr>
                <w:sz w:val="18"/>
                <w:lang w:val="fr-FR"/>
              </w:rPr>
              <w:t> </w:t>
            </w:r>
            <w:r w:rsidRPr="00E14F3F">
              <w:rPr>
                <w:sz w:val="18"/>
                <w:lang w:val="fr-FR"/>
              </w:rPr>
              <w:t>documentation requise,</w:t>
            </w:r>
            <w:r w:rsidR="008B78B2">
              <w:rPr>
                <w:sz w:val="18"/>
                <w:lang w:val="fr-FR"/>
              </w:rPr>
              <w:t> </w:t>
            </w:r>
            <w:r w:rsidRPr="00E14F3F">
              <w:rPr>
                <w:sz w:val="18"/>
                <w:lang w:val="fr-FR"/>
              </w:rPr>
              <w:t>par exemple)</w:t>
            </w:r>
          </w:p>
        </w:tc>
        <w:tc>
          <w:tcPr>
            <w:tcW w:w="1260" w:type="dxa"/>
            <w:shd w:val="clear" w:color="auto" w:fill="auto"/>
            <w:vAlign w:val="bottom"/>
            <w:hideMark/>
          </w:tcPr>
          <w:p w14:paraId="7784D24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789" w:type="dxa"/>
            <w:shd w:val="clear" w:color="auto" w:fill="auto"/>
            <w:vAlign w:val="bottom"/>
            <w:hideMark/>
          </w:tcPr>
          <w:p w14:paraId="3D84225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1244" w:type="dxa"/>
            <w:shd w:val="clear" w:color="auto" w:fill="auto"/>
            <w:noWrap/>
            <w:vAlign w:val="bottom"/>
            <w:hideMark/>
          </w:tcPr>
          <w:p w14:paraId="1127671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787" w:type="dxa"/>
            <w:shd w:val="clear" w:color="auto" w:fill="auto"/>
            <w:noWrap/>
            <w:vAlign w:val="bottom"/>
            <w:hideMark/>
          </w:tcPr>
          <w:p w14:paraId="2FA98E6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1244" w:type="dxa"/>
            <w:shd w:val="clear" w:color="auto" w:fill="auto"/>
            <w:noWrap/>
            <w:vAlign w:val="bottom"/>
            <w:hideMark/>
          </w:tcPr>
          <w:p w14:paraId="16C8EB1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787" w:type="dxa"/>
            <w:shd w:val="clear" w:color="auto" w:fill="auto"/>
            <w:noWrap/>
            <w:vAlign w:val="bottom"/>
            <w:hideMark/>
          </w:tcPr>
          <w:p w14:paraId="34EFE43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1244" w:type="dxa"/>
            <w:shd w:val="clear" w:color="auto" w:fill="auto"/>
            <w:noWrap/>
            <w:vAlign w:val="bottom"/>
            <w:hideMark/>
          </w:tcPr>
          <w:p w14:paraId="7212EC6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787" w:type="dxa"/>
            <w:shd w:val="clear" w:color="auto" w:fill="auto"/>
            <w:noWrap/>
            <w:vAlign w:val="bottom"/>
            <w:hideMark/>
          </w:tcPr>
          <w:p w14:paraId="5B04A7E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1344" w:type="dxa"/>
            <w:shd w:val="clear" w:color="auto" w:fill="auto"/>
            <w:noWrap/>
            <w:vAlign w:val="bottom"/>
            <w:hideMark/>
          </w:tcPr>
          <w:p w14:paraId="5CAB0E0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837" w:type="dxa"/>
            <w:shd w:val="clear" w:color="auto" w:fill="auto"/>
            <w:noWrap/>
            <w:vAlign w:val="bottom"/>
            <w:hideMark/>
          </w:tcPr>
          <w:p w14:paraId="2946281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r>
      <w:tr w:rsidR="00EA3C11" w:rsidRPr="00E14F3F" w14:paraId="32BEEC8C" w14:textId="77777777" w:rsidTr="00EA3C11">
        <w:tc>
          <w:tcPr>
            <w:tcW w:w="1275" w:type="dxa"/>
            <w:shd w:val="clear" w:color="auto" w:fill="auto"/>
            <w:hideMark/>
          </w:tcPr>
          <w:p w14:paraId="42953613"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71485FB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 xml:space="preserve">Frais de voyage, indemnités journalières de subsistance pour les participants qui </w:t>
            </w:r>
            <w:r w:rsidRPr="00E14F3F">
              <w:rPr>
                <w:sz w:val="18"/>
                <w:lang w:val="fr-FR"/>
              </w:rPr>
              <w:br/>
              <w:t>y ont droit (2 réunions)</w:t>
            </w:r>
          </w:p>
        </w:tc>
        <w:tc>
          <w:tcPr>
            <w:tcW w:w="1260" w:type="dxa"/>
            <w:shd w:val="clear" w:color="auto" w:fill="auto"/>
            <w:vAlign w:val="bottom"/>
            <w:hideMark/>
          </w:tcPr>
          <w:p w14:paraId="008D40D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40 800</w:t>
            </w:r>
          </w:p>
        </w:tc>
        <w:tc>
          <w:tcPr>
            <w:tcW w:w="789" w:type="dxa"/>
            <w:shd w:val="clear" w:color="auto" w:fill="auto"/>
            <w:vAlign w:val="bottom"/>
            <w:hideMark/>
          </w:tcPr>
          <w:p w14:paraId="45FCF25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13E9A79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shd w:val="clear" w:color="auto" w:fill="auto"/>
            <w:vAlign w:val="bottom"/>
            <w:hideMark/>
          </w:tcPr>
          <w:p w14:paraId="05CFCCD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0FF2EED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40 800</w:t>
            </w:r>
          </w:p>
        </w:tc>
        <w:tc>
          <w:tcPr>
            <w:tcW w:w="787" w:type="dxa"/>
            <w:shd w:val="clear" w:color="auto" w:fill="auto"/>
            <w:vAlign w:val="bottom"/>
            <w:hideMark/>
          </w:tcPr>
          <w:p w14:paraId="75C061B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7070FC7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shd w:val="clear" w:color="auto" w:fill="auto"/>
            <w:vAlign w:val="bottom"/>
            <w:hideMark/>
          </w:tcPr>
          <w:p w14:paraId="39919B5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2200870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20 400</w:t>
            </w:r>
          </w:p>
        </w:tc>
        <w:tc>
          <w:tcPr>
            <w:tcW w:w="837" w:type="dxa"/>
            <w:shd w:val="clear" w:color="auto" w:fill="auto"/>
            <w:vAlign w:val="bottom"/>
            <w:hideMark/>
          </w:tcPr>
          <w:p w14:paraId="094838F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3AEC9A15" w14:textId="77777777" w:rsidTr="00EA3C11">
        <w:tc>
          <w:tcPr>
            <w:tcW w:w="1275" w:type="dxa"/>
            <w:tcBorders>
              <w:bottom w:val="single" w:sz="4" w:space="0" w:color="auto"/>
            </w:tcBorders>
            <w:shd w:val="clear" w:color="auto" w:fill="auto"/>
            <w:hideMark/>
          </w:tcPr>
          <w:p w14:paraId="618577E5" w14:textId="77777777" w:rsidR="00EA3C11" w:rsidRPr="00E14F3F" w:rsidRDefault="00EA3C11" w:rsidP="00E146C5">
            <w:pPr>
              <w:suppressAutoHyphens w:val="0"/>
              <w:spacing w:before="40" w:after="40" w:line="220" w:lineRule="exact"/>
              <w:rPr>
                <w:b/>
                <w:bCs/>
                <w:sz w:val="18"/>
                <w:lang w:val="fr-FR"/>
              </w:rPr>
            </w:pPr>
          </w:p>
        </w:tc>
        <w:tc>
          <w:tcPr>
            <w:tcW w:w="2178" w:type="dxa"/>
            <w:tcBorders>
              <w:bottom w:val="single" w:sz="4" w:space="0" w:color="auto"/>
            </w:tcBorders>
            <w:shd w:val="clear" w:color="auto" w:fill="auto"/>
            <w:vAlign w:val="bottom"/>
            <w:hideMark/>
          </w:tcPr>
          <w:p w14:paraId="58557F8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(personnel en mission)</w:t>
            </w:r>
            <w:r w:rsidRPr="00E14F3F">
              <w:rPr>
                <w:sz w:val="18"/>
                <w:vertAlign w:val="superscript"/>
                <w:lang w:val="fr-FR"/>
              </w:rPr>
              <w:t>d</w:t>
            </w:r>
          </w:p>
        </w:tc>
        <w:tc>
          <w:tcPr>
            <w:tcW w:w="1260" w:type="dxa"/>
            <w:tcBorders>
              <w:bottom w:val="single" w:sz="4" w:space="0" w:color="auto"/>
            </w:tcBorders>
            <w:shd w:val="clear" w:color="auto" w:fill="auto"/>
            <w:vAlign w:val="bottom"/>
            <w:hideMark/>
          </w:tcPr>
          <w:p w14:paraId="6309669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789" w:type="dxa"/>
            <w:tcBorders>
              <w:bottom w:val="single" w:sz="4" w:space="0" w:color="auto"/>
            </w:tcBorders>
            <w:shd w:val="clear" w:color="auto" w:fill="auto"/>
            <w:vAlign w:val="bottom"/>
            <w:hideMark/>
          </w:tcPr>
          <w:p w14:paraId="7AB233F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1244" w:type="dxa"/>
            <w:tcBorders>
              <w:bottom w:val="single" w:sz="4" w:space="0" w:color="auto"/>
            </w:tcBorders>
            <w:shd w:val="clear" w:color="auto" w:fill="auto"/>
            <w:noWrap/>
            <w:vAlign w:val="bottom"/>
            <w:hideMark/>
          </w:tcPr>
          <w:p w14:paraId="2180FEB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787" w:type="dxa"/>
            <w:tcBorders>
              <w:bottom w:val="single" w:sz="4" w:space="0" w:color="auto"/>
            </w:tcBorders>
            <w:shd w:val="clear" w:color="auto" w:fill="auto"/>
            <w:vAlign w:val="bottom"/>
            <w:hideMark/>
          </w:tcPr>
          <w:p w14:paraId="6CB7DCA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1244" w:type="dxa"/>
            <w:tcBorders>
              <w:bottom w:val="single" w:sz="4" w:space="0" w:color="auto"/>
            </w:tcBorders>
            <w:shd w:val="clear" w:color="auto" w:fill="auto"/>
            <w:noWrap/>
            <w:vAlign w:val="bottom"/>
            <w:hideMark/>
          </w:tcPr>
          <w:p w14:paraId="649A269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08C7B3B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1244" w:type="dxa"/>
            <w:tcBorders>
              <w:bottom w:val="single" w:sz="4" w:space="0" w:color="auto"/>
            </w:tcBorders>
            <w:shd w:val="clear" w:color="auto" w:fill="auto"/>
            <w:noWrap/>
            <w:vAlign w:val="bottom"/>
            <w:hideMark/>
          </w:tcPr>
          <w:p w14:paraId="70456DA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328CB68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1344" w:type="dxa"/>
            <w:tcBorders>
              <w:bottom w:val="single" w:sz="4" w:space="0" w:color="auto"/>
            </w:tcBorders>
            <w:shd w:val="clear" w:color="auto" w:fill="auto"/>
            <w:noWrap/>
            <w:vAlign w:val="bottom"/>
            <w:hideMark/>
          </w:tcPr>
          <w:p w14:paraId="5B4218B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837" w:type="dxa"/>
            <w:tcBorders>
              <w:bottom w:val="single" w:sz="4" w:space="0" w:color="auto"/>
            </w:tcBorders>
            <w:shd w:val="clear" w:color="auto" w:fill="auto"/>
            <w:vAlign w:val="bottom"/>
            <w:hideMark/>
          </w:tcPr>
          <w:p w14:paraId="11BA80D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r>
      <w:tr w:rsidR="00EA3C11" w:rsidRPr="00E14F3F" w14:paraId="23071E98" w14:textId="77777777" w:rsidTr="00EA3C11">
        <w:tc>
          <w:tcPr>
            <w:tcW w:w="3453" w:type="dxa"/>
            <w:gridSpan w:val="2"/>
            <w:tcBorders>
              <w:top w:val="single" w:sz="4" w:space="0" w:color="auto"/>
              <w:bottom w:val="single" w:sz="12" w:space="0" w:color="auto"/>
            </w:tcBorders>
            <w:shd w:val="clear" w:color="auto" w:fill="auto"/>
            <w:hideMark/>
          </w:tcPr>
          <w:p w14:paraId="21DFEE66" w14:textId="77777777" w:rsidR="00EA3C11" w:rsidRPr="00E14F3F" w:rsidRDefault="00EA3C11" w:rsidP="00E146C5">
            <w:pPr>
              <w:suppressAutoHyphens w:val="0"/>
              <w:spacing w:before="80" w:after="80" w:line="220" w:lineRule="exact"/>
              <w:ind w:left="283"/>
              <w:rPr>
                <w:b/>
                <w:sz w:val="18"/>
                <w:lang w:val="fr-FR"/>
              </w:rPr>
            </w:pPr>
            <w:r w:rsidRPr="00E14F3F">
              <w:rPr>
                <w:b/>
                <w:bCs/>
                <w:sz w:val="18"/>
                <w:lang w:val="fr-FR"/>
              </w:rPr>
              <w:t>Total partiel</w:t>
            </w:r>
            <w:r w:rsidRPr="00E14F3F">
              <w:rPr>
                <w:b/>
                <w:sz w:val="18"/>
                <w:lang w:val="fr-FR"/>
              </w:rPr>
              <w:t xml:space="preserve"> </w:t>
            </w:r>
          </w:p>
        </w:tc>
        <w:tc>
          <w:tcPr>
            <w:tcW w:w="1260" w:type="dxa"/>
            <w:tcBorders>
              <w:top w:val="single" w:sz="4" w:space="0" w:color="auto"/>
              <w:bottom w:val="single" w:sz="12" w:space="0" w:color="auto"/>
            </w:tcBorders>
            <w:shd w:val="clear" w:color="auto" w:fill="auto"/>
            <w:vAlign w:val="bottom"/>
            <w:hideMark/>
          </w:tcPr>
          <w:p w14:paraId="26C97F92"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103 300</w:t>
            </w:r>
          </w:p>
        </w:tc>
        <w:tc>
          <w:tcPr>
            <w:tcW w:w="789" w:type="dxa"/>
            <w:tcBorders>
              <w:top w:val="single" w:sz="4" w:space="0" w:color="auto"/>
              <w:bottom w:val="single" w:sz="12" w:space="0" w:color="auto"/>
            </w:tcBorders>
            <w:shd w:val="clear" w:color="auto" w:fill="auto"/>
            <w:vAlign w:val="bottom"/>
            <w:hideMark/>
          </w:tcPr>
          <w:p w14:paraId="1B2FC694"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8 500</w:t>
            </w:r>
          </w:p>
        </w:tc>
        <w:tc>
          <w:tcPr>
            <w:tcW w:w="1244" w:type="dxa"/>
            <w:tcBorders>
              <w:top w:val="single" w:sz="4" w:space="0" w:color="auto"/>
              <w:bottom w:val="single" w:sz="12" w:space="0" w:color="auto"/>
            </w:tcBorders>
            <w:shd w:val="clear" w:color="auto" w:fill="auto"/>
            <w:vAlign w:val="bottom"/>
            <w:hideMark/>
          </w:tcPr>
          <w:p w14:paraId="12E1DAA2"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62 500</w:t>
            </w:r>
          </w:p>
        </w:tc>
        <w:tc>
          <w:tcPr>
            <w:tcW w:w="787" w:type="dxa"/>
            <w:tcBorders>
              <w:top w:val="single" w:sz="4" w:space="0" w:color="auto"/>
              <w:bottom w:val="single" w:sz="12" w:space="0" w:color="auto"/>
            </w:tcBorders>
            <w:shd w:val="clear" w:color="auto" w:fill="auto"/>
            <w:vAlign w:val="bottom"/>
            <w:hideMark/>
          </w:tcPr>
          <w:p w14:paraId="7D8D3B89"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8 500</w:t>
            </w:r>
          </w:p>
        </w:tc>
        <w:tc>
          <w:tcPr>
            <w:tcW w:w="1244" w:type="dxa"/>
            <w:tcBorders>
              <w:top w:val="single" w:sz="4" w:space="0" w:color="auto"/>
              <w:bottom w:val="single" w:sz="12" w:space="0" w:color="auto"/>
            </w:tcBorders>
            <w:shd w:val="clear" w:color="auto" w:fill="auto"/>
            <w:vAlign w:val="bottom"/>
            <w:hideMark/>
          </w:tcPr>
          <w:p w14:paraId="2E31E9F0"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103</w:t>
            </w:r>
            <w:r>
              <w:rPr>
                <w:b/>
                <w:bCs/>
                <w:sz w:val="18"/>
                <w:lang w:val="fr-FR"/>
              </w:rPr>
              <w:t> </w:t>
            </w:r>
            <w:r w:rsidRPr="00E14F3F">
              <w:rPr>
                <w:b/>
                <w:bCs/>
                <w:sz w:val="18"/>
                <w:lang w:val="fr-FR"/>
              </w:rPr>
              <w:t>300</w:t>
            </w:r>
          </w:p>
        </w:tc>
        <w:tc>
          <w:tcPr>
            <w:tcW w:w="787" w:type="dxa"/>
            <w:tcBorders>
              <w:top w:val="single" w:sz="4" w:space="0" w:color="auto"/>
              <w:bottom w:val="single" w:sz="12" w:space="0" w:color="auto"/>
            </w:tcBorders>
            <w:shd w:val="clear" w:color="auto" w:fill="auto"/>
            <w:vAlign w:val="bottom"/>
            <w:hideMark/>
          </w:tcPr>
          <w:p w14:paraId="4BE856B5"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8</w:t>
            </w:r>
            <w:r>
              <w:rPr>
                <w:b/>
                <w:bCs/>
                <w:sz w:val="18"/>
                <w:lang w:val="fr-FR"/>
              </w:rPr>
              <w:t> </w:t>
            </w:r>
            <w:r w:rsidRPr="00E14F3F">
              <w:rPr>
                <w:b/>
                <w:bCs/>
                <w:sz w:val="18"/>
                <w:lang w:val="fr-FR"/>
              </w:rPr>
              <w:t>500</w:t>
            </w:r>
          </w:p>
        </w:tc>
        <w:tc>
          <w:tcPr>
            <w:tcW w:w="1244" w:type="dxa"/>
            <w:tcBorders>
              <w:top w:val="single" w:sz="4" w:space="0" w:color="auto"/>
              <w:bottom w:val="single" w:sz="12" w:space="0" w:color="auto"/>
            </w:tcBorders>
            <w:shd w:val="clear" w:color="auto" w:fill="auto"/>
            <w:vAlign w:val="bottom"/>
            <w:hideMark/>
          </w:tcPr>
          <w:p w14:paraId="2B533246"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62</w:t>
            </w:r>
            <w:r>
              <w:rPr>
                <w:b/>
                <w:bCs/>
                <w:sz w:val="18"/>
                <w:lang w:val="fr-FR"/>
              </w:rPr>
              <w:t> </w:t>
            </w:r>
            <w:r w:rsidRPr="00E14F3F">
              <w:rPr>
                <w:b/>
                <w:bCs/>
                <w:sz w:val="18"/>
                <w:lang w:val="fr-FR"/>
              </w:rPr>
              <w:t>500</w:t>
            </w:r>
          </w:p>
        </w:tc>
        <w:tc>
          <w:tcPr>
            <w:tcW w:w="787" w:type="dxa"/>
            <w:tcBorders>
              <w:top w:val="single" w:sz="4" w:space="0" w:color="auto"/>
              <w:bottom w:val="single" w:sz="12" w:space="0" w:color="auto"/>
            </w:tcBorders>
            <w:shd w:val="clear" w:color="auto" w:fill="auto"/>
            <w:vAlign w:val="bottom"/>
            <w:hideMark/>
          </w:tcPr>
          <w:p w14:paraId="31BC7D13"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8</w:t>
            </w:r>
            <w:r>
              <w:rPr>
                <w:b/>
                <w:bCs/>
                <w:sz w:val="18"/>
                <w:lang w:val="fr-FR"/>
              </w:rPr>
              <w:t> </w:t>
            </w:r>
            <w:r w:rsidRPr="00E14F3F">
              <w:rPr>
                <w:b/>
                <w:bCs/>
                <w:sz w:val="18"/>
                <w:lang w:val="fr-FR"/>
              </w:rPr>
              <w:t>500</w:t>
            </w:r>
          </w:p>
        </w:tc>
        <w:tc>
          <w:tcPr>
            <w:tcW w:w="1344" w:type="dxa"/>
            <w:tcBorders>
              <w:top w:val="single" w:sz="4" w:space="0" w:color="auto"/>
              <w:bottom w:val="single" w:sz="12" w:space="0" w:color="auto"/>
            </w:tcBorders>
            <w:shd w:val="clear" w:color="auto" w:fill="auto"/>
            <w:vAlign w:val="bottom"/>
            <w:hideMark/>
          </w:tcPr>
          <w:p w14:paraId="27170CFB"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82</w:t>
            </w:r>
            <w:r>
              <w:rPr>
                <w:b/>
                <w:bCs/>
                <w:sz w:val="18"/>
                <w:lang w:val="fr-FR"/>
              </w:rPr>
              <w:t> </w:t>
            </w:r>
            <w:r w:rsidRPr="00E14F3F">
              <w:rPr>
                <w:b/>
                <w:bCs/>
                <w:sz w:val="18"/>
                <w:lang w:val="fr-FR"/>
              </w:rPr>
              <w:t>900</w:t>
            </w:r>
          </w:p>
        </w:tc>
        <w:tc>
          <w:tcPr>
            <w:tcW w:w="837" w:type="dxa"/>
            <w:tcBorders>
              <w:top w:val="single" w:sz="4" w:space="0" w:color="auto"/>
              <w:bottom w:val="single" w:sz="12" w:space="0" w:color="auto"/>
            </w:tcBorders>
            <w:shd w:val="clear" w:color="auto" w:fill="auto"/>
            <w:vAlign w:val="bottom"/>
            <w:hideMark/>
          </w:tcPr>
          <w:p w14:paraId="3A59D32C"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8</w:t>
            </w:r>
            <w:r>
              <w:rPr>
                <w:b/>
                <w:bCs/>
                <w:sz w:val="18"/>
                <w:lang w:val="fr-FR"/>
              </w:rPr>
              <w:t> </w:t>
            </w:r>
            <w:r w:rsidRPr="00E14F3F">
              <w:rPr>
                <w:b/>
                <w:bCs/>
                <w:sz w:val="18"/>
                <w:lang w:val="fr-FR"/>
              </w:rPr>
              <w:t>500</w:t>
            </w:r>
          </w:p>
        </w:tc>
      </w:tr>
      <w:tr w:rsidR="00EA3C11" w:rsidRPr="00E14F3F" w14:paraId="0BFD8303" w14:textId="77777777" w:rsidTr="00EA3C11">
        <w:tc>
          <w:tcPr>
            <w:tcW w:w="1275" w:type="dxa"/>
            <w:tcBorders>
              <w:top w:val="single" w:sz="12" w:space="0" w:color="auto"/>
            </w:tcBorders>
            <w:shd w:val="clear" w:color="auto" w:fill="auto"/>
            <w:hideMark/>
          </w:tcPr>
          <w:p w14:paraId="632D7E5D"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III. </w:t>
            </w:r>
            <w:r w:rsidRPr="00E14F3F">
              <w:rPr>
                <w:sz w:val="18"/>
                <w:lang w:val="fr-FR"/>
              </w:rPr>
              <w:br/>
              <w:t>Accès à la justice</w:t>
            </w:r>
          </w:p>
        </w:tc>
        <w:tc>
          <w:tcPr>
            <w:tcW w:w="2178" w:type="dxa"/>
            <w:tcBorders>
              <w:top w:val="single" w:sz="12" w:space="0" w:color="auto"/>
            </w:tcBorders>
            <w:shd w:val="clear" w:color="auto" w:fill="auto"/>
            <w:vAlign w:val="bottom"/>
            <w:hideMark/>
          </w:tcPr>
          <w:p w14:paraId="6355AB1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w:t>
            </w:r>
            <w:r w:rsidRPr="00E14F3F">
              <w:rPr>
                <w:sz w:val="18"/>
                <w:vertAlign w:val="superscript"/>
                <w:lang w:val="fr-FR"/>
              </w:rPr>
              <w:t>c</w:t>
            </w:r>
            <w:r w:rsidRPr="00E14F3F">
              <w:rPr>
                <w:sz w:val="18"/>
                <w:lang w:val="fr-FR"/>
              </w:rPr>
              <w:t xml:space="preserve"> : 1 fonctionnaire P-3 </w:t>
            </w:r>
            <w:r>
              <w:rPr>
                <w:sz w:val="18"/>
                <w:lang w:val="fr-FR"/>
              </w:rPr>
              <w:br/>
            </w:r>
            <w:r w:rsidRPr="00E14F3F">
              <w:rPr>
                <w:sz w:val="18"/>
                <w:lang w:val="fr-FR"/>
              </w:rPr>
              <w:t>à 35 % d’EPT</w:t>
            </w:r>
          </w:p>
        </w:tc>
        <w:tc>
          <w:tcPr>
            <w:tcW w:w="1260" w:type="dxa"/>
            <w:tcBorders>
              <w:top w:val="single" w:sz="12" w:space="0" w:color="auto"/>
            </w:tcBorders>
            <w:shd w:val="clear" w:color="auto" w:fill="auto"/>
            <w:vAlign w:val="bottom"/>
            <w:hideMark/>
          </w:tcPr>
          <w:p w14:paraId="6892AF5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63 000</w:t>
            </w:r>
          </w:p>
        </w:tc>
        <w:tc>
          <w:tcPr>
            <w:tcW w:w="789" w:type="dxa"/>
            <w:tcBorders>
              <w:top w:val="single" w:sz="12" w:space="0" w:color="auto"/>
            </w:tcBorders>
            <w:shd w:val="clear" w:color="auto" w:fill="auto"/>
            <w:vAlign w:val="bottom"/>
            <w:hideMark/>
          </w:tcPr>
          <w:p w14:paraId="5E5D3F5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3A55042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63 000</w:t>
            </w:r>
          </w:p>
        </w:tc>
        <w:tc>
          <w:tcPr>
            <w:tcW w:w="787" w:type="dxa"/>
            <w:tcBorders>
              <w:top w:val="single" w:sz="12" w:space="0" w:color="auto"/>
            </w:tcBorders>
            <w:shd w:val="clear" w:color="auto" w:fill="auto"/>
            <w:vAlign w:val="bottom"/>
            <w:hideMark/>
          </w:tcPr>
          <w:p w14:paraId="6A8CB0B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326556C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63</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74BF878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72C03C4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63</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53D687E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6829783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63</w:t>
            </w:r>
            <w:r>
              <w:rPr>
                <w:sz w:val="18"/>
                <w:lang w:val="fr-FR"/>
              </w:rPr>
              <w:t> </w:t>
            </w:r>
            <w:r w:rsidRPr="00E14F3F">
              <w:rPr>
                <w:sz w:val="18"/>
                <w:lang w:val="fr-FR"/>
              </w:rPr>
              <w:t>000</w:t>
            </w:r>
          </w:p>
        </w:tc>
        <w:tc>
          <w:tcPr>
            <w:tcW w:w="837" w:type="dxa"/>
            <w:tcBorders>
              <w:top w:val="single" w:sz="12" w:space="0" w:color="auto"/>
            </w:tcBorders>
            <w:shd w:val="clear" w:color="auto" w:fill="auto"/>
            <w:vAlign w:val="bottom"/>
            <w:hideMark/>
          </w:tcPr>
          <w:p w14:paraId="19F5F67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4465ADFC" w14:textId="77777777" w:rsidTr="00EA3C11">
        <w:tc>
          <w:tcPr>
            <w:tcW w:w="1275" w:type="dxa"/>
            <w:shd w:val="clear" w:color="auto" w:fill="auto"/>
            <w:hideMark/>
          </w:tcPr>
          <w:p w14:paraId="1797B1A8"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318729E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Contrats de consultants (élaboration de la documentation requise, par exemple)</w:t>
            </w:r>
          </w:p>
        </w:tc>
        <w:tc>
          <w:tcPr>
            <w:tcW w:w="1260" w:type="dxa"/>
            <w:shd w:val="clear" w:color="auto" w:fill="auto"/>
            <w:vAlign w:val="bottom"/>
            <w:hideMark/>
          </w:tcPr>
          <w:p w14:paraId="295FAC1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10 000</w:t>
            </w:r>
          </w:p>
        </w:tc>
        <w:tc>
          <w:tcPr>
            <w:tcW w:w="789" w:type="dxa"/>
            <w:shd w:val="clear" w:color="auto" w:fill="auto"/>
            <w:vAlign w:val="bottom"/>
            <w:hideMark/>
          </w:tcPr>
          <w:p w14:paraId="565A673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7 000</w:t>
            </w:r>
          </w:p>
        </w:tc>
        <w:tc>
          <w:tcPr>
            <w:tcW w:w="1244" w:type="dxa"/>
            <w:shd w:val="clear" w:color="auto" w:fill="auto"/>
            <w:noWrap/>
            <w:vAlign w:val="bottom"/>
            <w:hideMark/>
          </w:tcPr>
          <w:p w14:paraId="6535A56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10 000</w:t>
            </w:r>
          </w:p>
        </w:tc>
        <w:tc>
          <w:tcPr>
            <w:tcW w:w="787" w:type="dxa"/>
            <w:shd w:val="clear" w:color="auto" w:fill="auto"/>
            <w:noWrap/>
            <w:vAlign w:val="bottom"/>
            <w:hideMark/>
          </w:tcPr>
          <w:p w14:paraId="5617621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7 000</w:t>
            </w:r>
          </w:p>
        </w:tc>
        <w:tc>
          <w:tcPr>
            <w:tcW w:w="1244" w:type="dxa"/>
            <w:shd w:val="clear" w:color="auto" w:fill="auto"/>
            <w:noWrap/>
            <w:vAlign w:val="bottom"/>
            <w:hideMark/>
          </w:tcPr>
          <w:p w14:paraId="5A1C02D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shd w:val="clear" w:color="auto" w:fill="auto"/>
            <w:noWrap/>
            <w:vAlign w:val="bottom"/>
            <w:hideMark/>
          </w:tcPr>
          <w:p w14:paraId="7FA6128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000</w:t>
            </w:r>
          </w:p>
        </w:tc>
        <w:tc>
          <w:tcPr>
            <w:tcW w:w="1244" w:type="dxa"/>
            <w:shd w:val="clear" w:color="auto" w:fill="auto"/>
            <w:noWrap/>
            <w:vAlign w:val="bottom"/>
            <w:hideMark/>
          </w:tcPr>
          <w:p w14:paraId="21219AC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shd w:val="clear" w:color="auto" w:fill="auto"/>
            <w:noWrap/>
            <w:vAlign w:val="bottom"/>
            <w:hideMark/>
          </w:tcPr>
          <w:p w14:paraId="213AFCE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000</w:t>
            </w:r>
          </w:p>
        </w:tc>
        <w:tc>
          <w:tcPr>
            <w:tcW w:w="1344" w:type="dxa"/>
            <w:shd w:val="clear" w:color="auto" w:fill="auto"/>
            <w:noWrap/>
            <w:vAlign w:val="bottom"/>
            <w:hideMark/>
          </w:tcPr>
          <w:p w14:paraId="6F04665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837" w:type="dxa"/>
            <w:shd w:val="clear" w:color="auto" w:fill="auto"/>
            <w:noWrap/>
            <w:vAlign w:val="bottom"/>
            <w:hideMark/>
          </w:tcPr>
          <w:p w14:paraId="16D6AAD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000</w:t>
            </w:r>
          </w:p>
        </w:tc>
      </w:tr>
      <w:tr w:rsidR="00EA3C11" w:rsidRPr="00E14F3F" w14:paraId="267E7E6D" w14:textId="77777777" w:rsidTr="00EA3C11">
        <w:tc>
          <w:tcPr>
            <w:tcW w:w="1275" w:type="dxa"/>
            <w:shd w:val="clear" w:color="auto" w:fill="auto"/>
            <w:hideMark/>
          </w:tcPr>
          <w:p w14:paraId="0BD08440"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596E4DB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pour les participants qui y ont droit (3 réunions)</w:t>
            </w:r>
          </w:p>
        </w:tc>
        <w:tc>
          <w:tcPr>
            <w:tcW w:w="1260" w:type="dxa"/>
            <w:shd w:val="clear" w:color="auto" w:fill="auto"/>
            <w:vAlign w:val="bottom"/>
            <w:hideMark/>
          </w:tcPr>
          <w:p w14:paraId="77A81D6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40 800</w:t>
            </w:r>
          </w:p>
        </w:tc>
        <w:tc>
          <w:tcPr>
            <w:tcW w:w="789" w:type="dxa"/>
            <w:shd w:val="clear" w:color="auto" w:fill="auto"/>
            <w:vAlign w:val="bottom"/>
            <w:hideMark/>
          </w:tcPr>
          <w:p w14:paraId="077BD90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35426DD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40 800</w:t>
            </w:r>
          </w:p>
        </w:tc>
        <w:tc>
          <w:tcPr>
            <w:tcW w:w="787" w:type="dxa"/>
            <w:shd w:val="clear" w:color="auto" w:fill="auto"/>
            <w:vAlign w:val="bottom"/>
            <w:hideMark/>
          </w:tcPr>
          <w:p w14:paraId="507D7C3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79134E6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shd w:val="clear" w:color="auto" w:fill="auto"/>
            <w:vAlign w:val="bottom"/>
            <w:hideMark/>
          </w:tcPr>
          <w:p w14:paraId="74B2B78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0736A8C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40</w:t>
            </w:r>
            <w:r>
              <w:rPr>
                <w:sz w:val="18"/>
                <w:lang w:val="fr-FR"/>
              </w:rPr>
              <w:t> </w:t>
            </w:r>
            <w:r w:rsidRPr="00E14F3F">
              <w:rPr>
                <w:sz w:val="18"/>
                <w:lang w:val="fr-FR"/>
              </w:rPr>
              <w:t>800</w:t>
            </w:r>
          </w:p>
        </w:tc>
        <w:tc>
          <w:tcPr>
            <w:tcW w:w="787" w:type="dxa"/>
            <w:shd w:val="clear" w:color="auto" w:fill="auto"/>
            <w:vAlign w:val="bottom"/>
            <w:hideMark/>
          </w:tcPr>
          <w:p w14:paraId="56F6B1B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510B986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30</w:t>
            </w:r>
            <w:r>
              <w:rPr>
                <w:sz w:val="18"/>
                <w:lang w:val="fr-FR"/>
              </w:rPr>
              <w:t> </w:t>
            </w:r>
            <w:r w:rsidRPr="00E14F3F">
              <w:rPr>
                <w:sz w:val="18"/>
                <w:lang w:val="fr-FR"/>
              </w:rPr>
              <w:t>600</w:t>
            </w:r>
          </w:p>
        </w:tc>
        <w:tc>
          <w:tcPr>
            <w:tcW w:w="837" w:type="dxa"/>
            <w:shd w:val="clear" w:color="auto" w:fill="auto"/>
            <w:vAlign w:val="bottom"/>
            <w:hideMark/>
          </w:tcPr>
          <w:p w14:paraId="44E1D39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5E530AB0" w14:textId="77777777" w:rsidTr="00EA3C11">
        <w:tc>
          <w:tcPr>
            <w:tcW w:w="1275" w:type="dxa"/>
            <w:tcBorders>
              <w:bottom w:val="single" w:sz="4" w:space="0" w:color="auto"/>
            </w:tcBorders>
            <w:shd w:val="clear" w:color="auto" w:fill="auto"/>
            <w:hideMark/>
          </w:tcPr>
          <w:p w14:paraId="5DC4F523" w14:textId="77777777" w:rsidR="00EA3C11" w:rsidRPr="00E14F3F" w:rsidRDefault="00EA3C11" w:rsidP="00E146C5">
            <w:pPr>
              <w:suppressAutoHyphens w:val="0"/>
              <w:spacing w:before="40" w:after="40" w:line="220" w:lineRule="exact"/>
              <w:rPr>
                <w:b/>
                <w:bCs/>
                <w:sz w:val="18"/>
                <w:lang w:val="fr-FR"/>
              </w:rPr>
            </w:pPr>
          </w:p>
        </w:tc>
        <w:tc>
          <w:tcPr>
            <w:tcW w:w="2178" w:type="dxa"/>
            <w:tcBorders>
              <w:bottom w:val="single" w:sz="4" w:space="0" w:color="auto"/>
            </w:tcBorders>
            <w:shd w:val="clear" w:color="auto" w:fill="auto"/>
            <w:vAlign w:val="bottom"/>
            <w:hideMark/>
          </w:tcPr>
          <w:p w14:paraId="67FD1BE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(personnel en mission)</w:t>
            </w:r>
            <w:r w:rsidRPr="00E14F3F">
              <w:rPr>
                <w:sz w:val="18"/>
                <w:vertAlign w:val="superscript"/>
                <w:lang w:val="fr-FR"/>
              </w:rPr>
              <w:t>d</w:t>
            </w:r>
          </w:p>
        </w:tc>
        <w:tc>
          <w:tcPr>
            <w:tcW w:w="1260" w:type="dxa"/>
            <w:tcBorders>
              <w:bottom w:val="single" w:sz="4" w:space="0" w:color="auto"/>
            </w:tcBorders>
            <w:shd w:val="clear" w:color="auto" w:fill="auto"/>
            <w:vAlign w:val="bottom"/>
            <w:hideMark/>
          </w:tcPr>
          <w:p w14:paraId="74234A3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789" w:type="dxa"/>
            <w:tcBorders>
              <w:bottom w:val="single" w:sz="4" w:space="0" w:color="auto"/>
            </w:tcBorders>
            <w:shd w:val="clear" w:color="auto" w:fill="auto"/>
            <w:vAlign w:val="bottom"/>
            <w:hideMark/>
          </w:tcPr>
          <w:p w14:paraId="08E445F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1244" w:type="dxa"/>
            <w:tcBorders>
              <w:bottom w:val="single" w:sz="4" w:space="0" w:color="auto"/>
            </w:tcBorders>
            <w:shd w:val="clear" w:color="auto" w:fill="auto"/>
            <w:noWrap/>
            <w:vAlign w:val="bottom"/>
            <w:hideMark/>
          </w:tcPr>
          <w:p w14:paraId="385D61A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787" w:type="dxa"/>
            <w:tcBorders>
              <w:bottom w:val="single" w:sz="4" w:space="0" w:color="auto"/>
            </w:tcBorders>
            <w:shd w:val="clear" w:color="auto" w:fill="auto"/>
            <w:vAlign w:val="bottom"/>
            <w:hideMark/>
          </w:tcPr>
          <w:p w14:paraId="7178621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3 500</w:t>
            </w:r>
          </w:p>
        </w:tc>
        <w:tc>
          <w:tcPr>
            <w:tcW w:w="1244" w:type="dxa"/>
            <w:tcBorders>
              <w:bottom w:val="single" w:sz="4" w:space="0" w:color="auto"/>
            </w:tcBorders>
            <w:shd w:val="clear" w:color="auto" w:fill="auto"/>
            <w:noWrap/>
            <w:vAlign w:val="bottom"/>
            <w:hideMark/>
          </w:tcPr>
          <w:p w14:paraId="3256FF9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4E972BF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1244" w:type="dxa"/>
            <w:tcBorders>
              <w:bottom w:val="single" w:sz="4" w:space="0" w:color="auto"/>
            </w:tcBorders>
            <w:shd w:val="clear" w:color="auto" w:fill="auto"/>
            <w:noWrap/>
            <w:vAlign w:val="bottom"/>
            <w:hideMark/>
          </w:tcPr>
          <w:p w14:paraId="187EE88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57ABE45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1344" w:type="dxa"/>
            <w:tcBorders>
              <w:bottom w:val="single" w:sz="4" w:space="0" w:color="auto"/>
            </w:tcBorders>
            <w:shd w:val="clear" w:color="auto" w:fill="auto"/>
            <w:noWrap/>
            <w:vAlign w:val="bottom"/>
            <w:hideMark/>
          </w:tcPr>
          <w:p w14:paraId="786431F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837" w:type="dxa"/>
            <w:tcBorders>
              <w:bottom w:val="single" w:sz="4" w:space="0" w:color="auto"/>
            </w:tcBorders>
            <w:shd w:val="clear" w:color="auto" w:fill="auto"/>
            <w:vAlign w:val="bottom"/>
            <w:hideMark/>
          </w:tcPr>
          <w:p w14:paraId="36DD2EA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r>
      <w:tr w:rsidR="00EA3C11" w:rsidRPr="00E14F3F" w14:paraId="7B316539" w14:textId="77777777" w:rsidTr="00EA3C11">
        <w:tc>
          <w:tcPr>
            <w:tcW w:w="3453" w:type="dxa"/>
            <w:gridSpan w:val="2"/>
            <w:tcBorders>
              <w:top w:val="single" w:sz="4" w:space="0" w:color="auto"/>
              <w:bottom w:val="single" w:sz="12" w:space="0" w:color="auto"/>
            </w:tcBorders>
            <w:shd w:val="clear" w:color="auto" w:fill="auto"/>
            <w:hideMark/>
          </w:tcPr>
          <w:p w14:paraId="32CDFC39" w14:textId="77777777" w:rsidR="00EA3C11" w:rsidRPr="00E14F3F" w:rsidRDefault="00EA3C11" w:rsidP="00E146C5">
            <w:pPr>
              <w:suppressAutoHyphens w:val="0"/>
              <w:spacing w:before="80" w:after="80" w:line="220" w:lineRule="exact"/>
              <w:ind w:left="283"/>
              <w:rPr>
                <w:b/>
                <w:bCs/>
                <w:sz w:val="18"/>
                <w:szCs w:val="18"/>
                <w:lang w:val="fr-FR"/>
              </w:rPr>
            </w:pPr>
            <w:r w:rsidRPr="00E14F3F">
              <w:rPr>
                <w:b/>
                <w:bCs/>
                <w:sz w:val="18"/>
                <w:szCs w:val="18"/>
                <w:lang w:val="fr-FR"/>
              </w:rPr>
              <w:t>Total partiel</w:t>
            </w:r>
            <w:r w:rsidRPr="00E14F3F">
              <w:rPr>
                <w:b/>
                <w:sz w:val="18"/>
                <w:szCs w:val="18"/>
                <w:lang w:val="fr-FR"/>
              </w:rPr>
              <w:t xml:space="preserve"> </w:t>
            </w:r>
          </w:p>
        </w:tc>
        <w:tc>
          <w:tcPr>
            <w:tcW w:w="1260" w:type="dxa"/>
            <w:tcBorders>
              <w:top w:val="single" w:sz="4" w:space="0" w:color="auto"/>
              <w:bottom w:val="single" w:sz="12" w:space="0" w:color="auto"/>
            </w:tcBorders>
            <w:shd w:val="clear" w:color="auto" w:fill="auto"/>
            <w:vAlign w:val="bottom"/>
            <w:hideMark/>
          </w:tcPr>
          <w:p w14:paraId="2351DAF8"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117 300</w:t>
            </w:r>
          </w:p>
        </w:tc>
        <w:tc>
          <w:tcPr>
            <w:tcW w:w="789" w:type="dxa"/>
            <w:tcBorders>
              <w:top w:val="single" w:sz="4" w:space="0" w:color="auto"/>
              <w:bottom w:val="single" w:sz="12" w:space="0" w:color="auto"/>
            </w:tcBorders>
            <w:shd w:val="clear" w:color="auto" w:fill="auto"/>
            <w:vAlign w:val="bottom"/>
            <w:hideMark/>
          </w:tcPr>
          <w:p w14:paraId="164A21C8"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10 500</w:t>
            </w:r>
          </w:p>
        </w:tc>
        <w:tc>
          <w:tcPr>
            <w:tcW w:w="1244" w:type="dxa"/>
            <w:tcBorders>
              <w:top w:val="single" w:sz="4" w:space="0" w:color="auto"/>
              <w:bottom w:val="single" w:sz="12" w:space="0" w:color="auto"/>
            </w:tcBorders>
            <w:shd w:val="clear" w:color="auto" w:fill="auto"/>
            <w:vAlign w:val="bottom"/>
            <w:hideMark/>
          </w:tcPr>
          <w:p w14:paraId="34FEA649"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117 300</w:t>
            </w:r>
          </w:p>
        </w:tc>
        <w:tc>
          <w:tcPr>
            <w:tcW w:w="787" w:type="dxa"/>
            <w:tcBorders>
              <w:top w:val="single" w:sz="4" w:space="0" w:color="auto"/>
              <w:bottom w:val="single" w:sz="12" w:space="0" w:color="auto"/>
            </w:tcBorders>
            <w:shd w:val="clear" w:color="auto" w:fill="auto"/>
            <w:vAlign w:val="bottom"/>
            <w:hideMark/>
          </w:tcPr>
          <w:p w14:paraId="283E13F1"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10 500</w:t>
            </w:r>
          </w:p>
        </w:tc>
        <w:tc>
          <w:tcPr>
            <w:tcW w:w="1244" w:type="dxa"/>
            <w:tcBorders>
              <w:top w:val="single" w:sz="4" w:space="0" w:color="auto"/>
              <w:bottom w:val="single" w:sz="12" w:space="0" w:color="auto"/>
            </w:tcBorders>
            <w:shd w:val="clear" w:color="auto" w:fill="auto"/>
            <w:vAlign w:val="bottom"/>
            <w:hideMark/>
          </w:tcPr>
          <w:p w14:paraId="708FBAB9"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76</w:t>
            </w:r>
            <w:r>
              <w:rPr>
                <w:b/>
                <w:bCs/>
                <w:sz w:val="18"/>
                <w:szCs w:val="18"/>
                <w:lang w:val="fr-FR"/>
              </w:rPr>
              <w:t> </w:t>
            </w:r>
            <w:r w:rsidRPr="00E14F3F">
              <w:rPr>
                <w:b/>
                <w:bCs/>
                <w:sz w:val="18"/>
                <w:szCs w:val="18"/>
                <w:lang w:val="fr-FR"/>
              </w:rPr>
              <w:t>500</w:t>
            </w:r>
          </w:p>
        </w:tc>
        <w:tc>
          <w:tcPr>
            <w:tcW w:w="787" w:type="dxa"/>
            <w:tcBorders>
              <w:top w:val="single" w:sz="4" w:space="0" w:color="auto"/>
              <w:bottom w:val="single" w:sz="12" w:space="0" w:color="auto"/>
            </w:tcBorders>
            <w:shd w:val="clear" w:color="auto" w:fill="auto"/>
            <w:vAlign w:val="bottom"/>
            <w:hideMark/>
          </w:tcPr>
          <w:p w14:paraId="54FB318F"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10</w:t>
            </w:r>
            <w:r>
              <w:rPr>
                <w:b/>
                <w:bCs/>
                <w:sz w:val="18"/>
                <w:szCs w:val="18"/>
                <w:lang w:val="fr-FR"/>
              </w:rPr>
              <w:t> </w:t>
            </w:r>
            <w:r w:rsidRPr="00E14F3F">
              <w:rPr>
                <w:b/>
                <w:bCs/>
                <w:sz w:val="18"/>
                <w:szCs w:val="18"/>
                <w:lang w:val="fr-FR"/>
              </w:rPr>
              <w:t>500</w:t>
            </w:r>
          </w:p>
        </w:tc>
        <w:tc>
          <w:tcPr>
            <w:tcW w:w="1244" w:type="dxa"/>
            <w:tcBorders>
              <w:top w:val="single" w:sz="4" w:space="0" w:color="auto"/>
              <w:bottom w:val="single" w:sz="12" w:space="0" w:color="auto"/>
            </w:tcBorders>
            <w:shd w:val="clear" w:color="auto" w:fill="auto"/>
            <w:vAlign w:val="bottom"/>
            <w:hideMark/>
          </w:tcPr>
          <w:p w14:paraId="43A91995"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117</w:t>
            </w:r>
            <w:r>
              <w:rPr>
                <w:b/>
                <w:bCs/>
                <w:sz w:val="18"/>
                <w:szCs w:val="18"/>
                <w:lang w:val="fr-FR"/>
              </w:rPr>
              <w:t> </w:t>
            </w:r>
            <w:r w:rsidRPr="00E14F3F">
              <w:rPr>
                <w:b/>
                <w:bCs/>
                <w:sz w:val="18"/>
                <w:szCs w:val="18"/>
                <w:lang w:val="fr-FR"/>
              </w:rPr>
              <w:t>300</w:t>
            </w:r>
          </w:p>
        </w:tc>
        <w:tc>
          <w:tcPr>
            <w:tcW w:w="787" w:type="dxa"/>
            <w:tcBorders>
              <w:top w:val="single" w:sz="4" w:space="0" w:color="auto"/>
              <w:bottom w:val="single" w:sz="12" w:space="0" w:color="auto"/>
            </w:tcBorders>
            <w:shd w:val="clear" w:color="auto" w:fill="auto"/>
            <w:vAlign w:val="bottom"/>
            <w:hideMark/>
          </w:tcPr>
          <w:p w14:paraId="494752C7"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10</w:t>
            </w:r>
            <w:r>
              <w:rPr>
                <w:b/>
                <w:bCs/>
                <w:sz w:val="18"/>
                <w:szCs w:val="18"/>
                <w:lang w:val="fr-FR"/>
              </w:rPr>
              <w:t> </w:t>
            </w:r>
            <w:r w:rsidRPr="00E14F3F">
              <w:rPr>
                <w:b/>
                <w:bCs/>
                <w:sz w:val="18"/>
                <w:szCs w:val="18"/>
                <w:lang w:val="fr-FR"/>
              </w:rPr>
              <w:t>500</w:t>
            </w:r>
          </w:p>
        </w:tc>
        <w:tc>
          <w:tcPr>
            <w:tcW w:w="1344" w:type="dxa"/>
            <w:tcBorders>
              <w:top w:val="single" w:sz="4" w:space="0" w:color="auto"/>
              <w:bottom w:val="single" w:sz="12" w:space="0" w:color="auto"/>
            </w:tcBorders>
            <w:shd w:val="clear" w:color="auto" w:fill="auto"/>
            <w:vAlign w:val="bottom"/>
            <w:hideMark/>
          </w:tcPr>
          <w:p w14:paraId="503F7A7A"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107</w:t>
            </w:r>
            <w:r>
              <w:rPr>
                <w:b/>
                <w:bCs/>
                <w:sz w:val="18"/>
                <w:szCs w:val="18"/>
                <w:lang w:val="fr-FR"/>
              </w:rPr>
              <w:t> </w:t>
            </w:r>
            <w:r w:rsidRPr="00E14F3F">
              <w:rPr>
                <w:b/>
                <w:bCs/>
                <w:sz w:val="18"/>
                <w:szCs w:val="18"/>
                <w:lang w:val="fr-FR"/>
              </w:rPr>
              <w:t>100</w:t>
            </w:r>
          </w:p>
        </w:tc>
        <w:tc>
          <w:tcPr>
            <w:tcW w:w="837" w:type="dxa"/>
            <w:tcBorders>
              <w:top w:val="single" w:sz="4" w:space="0" w:color="auto"/>
              <w:bottom w:val="single" w:sz="12" w:space="0" w:color="auto"/>
            </w:tcBorders>
            <w:shd w:val="clear" w:color="auto" w:fill="auto"/>
            <w:vAlign w:val="bottom"/>
            <w:hideMark/>
          </w:tcPr>
          <w:p w14:paraId="2E4A8086" w14:textId="77777777" w:rsidR="00EA3C11" w:rsidRPr="00E14F3F" w:rsidRDefault="00EA3C11" w:rsidP="00E146C5">
            <w:pPr>
              <w:suppressAutoHyphens w:val="0"/>
              <w:spacing w:before="80" w:after="80" w:line="220" w:lineRule="exact"/>
              <w:jc w:val="right"/>
              <w:rPr>
                <w:b/>
                <w:bCs/>
                <w:sz w:val="18"/>
                <w:szCs w:val="18"/>
                <w:lang w:val="fr-FR"/>
              </w:rPr>
            </w:pPr>
            <w:r w:rsidRPr="00E14F3F">
              <w:rPr>
                <w:b/>
                <w:bCs/>
                <w:sz w:val="18"/>
                <w:szCs w:val="18"/>
                <w:lang w:val="fr-FR"/>
              </w:rPr>
              <w:t>10</w:t>
            </w:r>
            <w:r>
              <w:rPr>
                <w:b/>
                <w:bCs/>
                <w:sz w:val="18"/>
                <w:szCs w:val="18"/>
                <w:lang w:val="fr-FR"/>
              </w:rPr>
              <w:t> </w:t>
            </w:r>
            <w:r w:rsidRPr="00E14F3F">
              <w:rPr>
                <w:b/>
                <w:bCs/>
                <w:sz w:val="18"/>
                <w:szCs w:val="18"/>
                <w:lang w:val="fr-FR"/>
              </w:rPr>
              <w:t>500</w:t>
            </w:r>
          </w:p>
        </w:tc>
      </w:tr>
      <w:tr w:rsidR="00EA3C11" w:rsidRPr="00E14F3F" w14:paraId="69ED335A" w14:textId="77777777" w:rsidTr="00EA3C11">
        <w:tc>
          <w:tcPr>
            <w:tcW w:w="1275" w:type="dxa"/>
            <w:tcBorders>
              <w:top w:val="single" w:sz="12" w:space="0" w:color="auto"/>
            </w:tcBorders>
            <w:shd w:val="clear" w:color="auto" w:fill="auto"/>
            <w:hideMark/>
          </w:tcPr>
          <w:p w14:paraId="31054607"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IV. </w:t>
            </w:r>
            <w:r w:rsidRPr="00E14F3F">
              <w:rPr>
                <w:sz w:val="18"/>
                <w:lang w:val="fr-FR"/>
              </w:rPr>
              <w:br/>
              <w:t>OGM</w:t>
            </w:r>
          </w:p>
        </w:tc>
        <w:tc>
          <w:tcPr>
            <w:tcW w:w="2178" w:type="dxa"/>
            <w:tcBorders>
              <w:top w:val="single" w:sz="12" w:space="0" w:color="auto"/>
            </w:tcBorders>
            <w:shd w:val="clear" w:color="auto" w:fill="auto"/>
            <w:vAlign w:val="bottom"/>
            <w:hideMark/>
          </w:tcPr>
          <w:p w14:paraId="325C3A02" w14:textId="3FE42908"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w:t>
            </w:r>
            <w:r w:rsidRPr="008B78B2">
              <w:rPr>
                <w:i/>
                <w:iCs/>
                <w:sz w:val="18"/>
                <w:vertAlign w:val="superscript"/>
                <w:lang w:val="fr-FR"/>
              </w:rPr>
              <w:t>c</w:t>
            </w:r>
            <w:r w:rsidRPr="00E14F3F">
              <w:rPr>
                <w:sz w:val="18"/>
                <w:lang w:val="fr-FR"/>
              </w:rPr>
              <w:t xml:space="preserve"> : 1 fonctionnaire P-3 </w:t>
            </w:r>
            <w:r w:rsidR="00B35CB3">
              <w:rPr>
                <w:sz w:val="18"/>
                <w:lang w:val="fr-FR"/>
              </w:rPr>
              <w:br/>
            </w:r>
            <w:r w:rsidRPr="00E14F3F">
              <w:rPr>
                <w:sz w:val="18"/>
                <w:lang w:val="fr-FR"/>
              </w:rPr>
              <w:t>à 5 % d’EPT</w:t>
            </w:r>
          </w:p>
        </w:tc>
        <w:tc>
          <w:tcPr>
            <w:tcW w:w="1260" w:type="dxa"/>
            <w:tcBorders>
              <w:top w:val="single" w:sz="12" w:space="0" w:color="auto"/>
            </w:tcBorders>
            <w:shd w:val="clear" w:color="auto" w:fill="auto"/>
            <w:vAlign w:val="bottom"/>
            <w:hideMark/>
          </w:tcPr>
          <w:p w14:paraId="172A32C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789" w:type="dxa"/>
            <w:tcBorders>
              <w:top w:val="single" w:sz="12" w:space="0" w:color="auto"/>
            </w:tcBorders>
            <w:shd w:val="clear" w:color="auto" w:fill="auto"/>
            <w:vAlign w:val="bottom"/>
            <w:hideMark/>
          </w:tcPr>
          <w:p w14:paraId="48EB8E4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0FBF2A2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33C07ED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7ACE0CA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4DC8AF7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26FF929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35A76D1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7310FB1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837" w:type="dxa"/>
            <w:tcBorders>
              <w:top w:val="single" w:sz="12" w:space="0" w:color="auto"/>
            </w:tcBorders>
            <w:shd w:val="clear" w:color="auto" w:fill="auto"/>
            <w:vAlign w:val="bottom"/>
            <w:hideMark/>
          </w:tcPr>
          <w:p w14:paraId="6D7CDB1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70916194" w14:textId="77777777" w:rsidTr="00EA3C11">
        <w:tc>
          <w:tcPr>
            <w:tcW w:w="1275" w:type="dxa"/>
            <w:shd w:val="clear" w:color="auto" w:fill="auto"/>
            <w:hideMark/>
          </w:tcPr>
          <w:p w14:paraId="4BD8009A"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389BE5EB" w14:textId="6B21BB92" w:rsidR="00EA3C11" w:rsidRPr="00E14F3F" w:rsidRDefault="00EA3C11" w:rsidP="00E146C5">
            <w:pPr>
              <w:suppressAutoHyphens w:val="0"/>
              <w:spacing w:before="40" w:after="40" w:line="220" w:lineRule="exact"/>
              <w:jc w:val="right"/>
              <w:rPr>
                <w:sz w:val="18"/>
                <w:lang w:val="fr-FR"/>
              </w:rPr>
            </w:pPr>
            <w:r w:rsidRPr="00E14F3F">
              <w:rPr>
                <w:sz w:val="18"/>
                <w:lang w:val="fr-FR"/>
              </w:rPr>
              <w:t>Contrats de consultants (élaboration de la</w:t>
            </w:r>
            <w:r w:rsidR="008B78B2">
              <w:rPr>
                <w:sz w:val="18"/>
                <w:lang w:val="fr-FR"/>
              </w:rPr>
              <w:t> </w:t>
            </w:r>
            <w:r w:rsidRPr="00E14F3F">
              <w:rPr>
                <w:sz w:val="18"/>
                <w:lang w:val="fr-FR"/>
              </w:rPr>
              <w:t>documentation requise,</w:t>
            </w:r>
            <w:r w:rsidR="008B78B2">
              <w:rPr>
                <w:sz w:val="18"/>
                <w:lang w:val="fr-FR"/>
              </w:rPr>
              <w:t> </w:t>
            </w:r>
            <w:r w:rsidRPr="00E14F3F">
              <w:rPr>
                <w:sz w:val="18"/>
                <w:lang w:val="fr-FR"/>
              </w:rPr>
              <w:t>par exemple)</w:t>
            </w:r>
          </w:p>
        </w:tc>
        <w:tc>
          <w:tcPr>
            <w:tcW w:w="1260" w:type="dxa"/>
            <w:shd w:val="clear" w:color="auto" w:fill="auto"/>
            <w:vAlign w:val="bottom"/>
            <w:hideMark/>
          </w:tcPr>
          <w:p w14:paraId="4FD0374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789" w:type="dxa"/>
            <w:shd w:val="clear" w:color="auto" w:fill="auto"/>
            <w:vAlign w:val="bottom"/>
            <w:hideMark/>
          </w:tcPr>
          <w:p w14:paraId="01E5362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1244" w:type="dxa"/>
            <w:shd w:val="clear" w:color="auto" w:fill="auto"/>
            <w:noWrap/>
            <w:vAlign w:val="bottom"/>
            <w:hideMark/>
          </w:tcPr>
          <w:p w14:paraId="515C033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787" w:type="dxa"/>
            <w:shd w:val="clear" w:color="auto" w:fill="auto"/>
            <w:noWrap/>
            <w:vAlign w:val="bottom"/>
            <w:hideMark/>
          </w:tcPr>
          <w:p w14:paraId="51F4F90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1244" w:type="dxa"/>
            <w:shd w:val="clear" w:color="auto" w:fill="auto"/>
            <w:noWrap/>
            <w:vAlign w:val="bottom"/>
            <w:hideMark/>
          </w:tcPr>
          <w:p w14:paraId="3E0359E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787" w:type="dxa"/>
            <w:shd w:val="clear" w:color="auto" w:fill="auto"/>
            <w:noWrap/>
            <w:vAlign w:val="bottom"/>
            <w:hideMark/>
          </w:tcPr>
          <w:p w14:paraId="219D38F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1244" w:type="dxa"/>
            <w:shd w:val="clear" w:color="auto" w:fill="auto"/>
            <w:noWrap/>
            <w:vAlign w:val="bottom"/>
            <w:hideMark/>
          </w:tcPr>
          <w:p w14:paraId="279EC56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787" w:type="dxa"/>
            <w:shd w:val="clear" w:color="auto" w:fill="auto"/>
            <w:noWrap/>
            <w:vAlign w:val="bottom"/>
            <w:hideMark/>
          </w:tcPr>
          <w:p w14:paraId="1107D55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1344" w:type="dxa"/>
            <w:shd w:val="clear" w:color="auto" w:fill="auto"/>
            <w:noWrap/>
            <w:vAlign w:val="bottom"/>
            <w:hideMark/>
          </w:tcPr>
          <w:p w14:paraId="748F302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837" w:type="dxa"/>
            <w:shd w:val="clear" w:color="auto" w:fill="auto"/>
            <w:vAlign w:val="bottom"/>
            <w:hideMark/>
          </w:tcPr>
          <w:p w14:paraId="343857E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r>
      <w:tr w:rsidR="00EA3C11" w:rsidRPr="00E14F3F" w14:paraId="423612B8" w14:textId="77777777" w:rsidTr="00EA3C11">
        <w:trPr>
          <w:cantSplit/>
        </w:trPr>
        <w:tc>
          <w:tcPr>
            <w:tcW w:w="1275" w:type="dxa"/>
            <w:shd w:val="clear" w:color="auto" w:fill="auto"/>
            <w:hideMark/>
          </w:tcPr>
          <w:p w14:paraId="1459661A"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44AEA65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pour les participants qui y ont droit (ateliers ou tables rondes, par exemple)</w:t>
            </w:r>
          </w:p>
        </w:tc>
        <w:tc>
          <w:tcPr>
            <w:tcW w:w="1260" w:type="dxa"/>
            <w:shd w:val="clear" w:color="auto" w:fill="auto"/>
            <w:vAlign w:val="bottom"/>
            <w:hideMark/>
          </w:tcPr>
          <w:p w14:paraId="7B2F7E7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9" w:type="dxa"/>
            <w:shd w:val="clear" w:color="auto" w:fill="auto"/>
            <w:vAlign w:val="bottom"/>
            <w:hideMark/>
          </w:tcPr>
          <w:p w14:paraId="6812890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2A205CA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40</w:t>
            </w:r>
            <w:r>
              <w:rPr>
                <w:sz w:val="18"/>
                <w:lang w:val="fr-FR"/>
              </w:rPr>
              <w:t> </w:t>
            </w:r>
            <w:r w:rsidRPr="00E14F3F">
              <w:rPr>
                <w:sz w:val="18"/>
                <w:lang w:val="fr-FR"/>
              </w:rPr>
              <w:t>000</w:t>
            </w:r>
          </w:p>
        </w:tc>
        <w:tc>
          <w:tcPr>
            <w:tcW w:w="787" w:type="dxa"/>
            <w:shd w:val="clear" w:color="auto" w:fill="auto"/>
            <w:vAlign w:val="bottom"/>
            <w:hideMark/>
          </w:tcPr>
          <w:p w14:paraId="368FAE4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411E202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shd w:val="clear" w:color="auto" w:fill="auto"/>
            <w:vAlign w:val="bottom"/>
            <w:hideMark/>
          </w:tcPr>
          <w:p w14:paraId="3BC3644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51EA22C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shd w:val="clear" w:color="auto" w:fill="auto"/>
            <w:vAlign w:val="bottom"/>
            <w:hideMark/>
          </w:tcPr>
          <w:p w14:paraId="1E43F35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2FDC524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837" w:type="dxa"/>
            <w:shd w:val="clear" w:color="auto" w:fill="auto"/>
            <w:vAlign w:val="bottom"/>
            <w:hideMark/>
          </w:tcPr>
          <w:p w14:paraId="324CAA8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4546341F" w14:textId="77777777" w:rsidTr="00EA3C11">
        <w:tc>
          <w:tcPr>
            <w:tcW w:w="1275" w:type="dxa"/>
            <w:tcBorders>
              <w:bottom w:val="single" w:sz="4" w:space="0" w:color="auto"/>
            </w:tcBorders>
            <w:shd w:val="clear" w:color="auto" w:fill="auto"/>
            <w:hideMark/>
          </w:tcPr>
          <w:p w14:paraId="2F79005A" w14:textId="77777777" w:rsidR="00EA3C11" w:rsidRPr="00E14F3F" w:rsidRDefault="00EA3C11" w:rsidP="00E146C5">
            <w:pPr>
              <w:suppressAutoHyphens w:val="0"/>
              <w:spacing w:before="40" w:after="40" w:line="220" w:lineRule="exact"/>
              <w:rPr>
                <w:b/>
                <w:bCs/>
                <w:sz w:val="18"/>
                <w:lang w:val="fr-FR"/>
              </w:rPr>
            </w:pPr>
          </w:p>
        </w:tc>
        <w:tc>
          <w:tcPr>
            <w:tcW w:w="2178" w:type="dxa"/>
            <w:tcBorders>
              <w:bottom w:val="single" w:sz="4" w:space="0" w:color="auto"/>
            </w:tcBorders>
            <w:shd w:val="clear" w:color="auto" w:fill="auto"/>
            <w:vAlign w:val="bottom"/>
            <w:hideMark/>
          </w:tcPr>
          <w:p w14:paraId="500F389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(personnel en mission)</w:t>
            </w:r>
            <w:r w:rsidRPr="00E14F3F">
              <w:rPr>
                <w:sz w:val="18"/>
                <w:vertAlign w:val="superscript"/>
                <w:lang w:val="fr-FR"/>
              </w:rPr>
              <w:t>d</w:t>
            </w:r>
          </w:p>
        </w:tc>
        <w:tc>
          <w:tcPr>
            <w:tcW w:w="1260" w:type="dxa"/>
            <w:tcBorders>
              <w:bottom w:val="single" w:sz="4" w:space="0" w:color="auto"/>
            </w:tcBorders>
            <w:shd w:val="clear" w:color="auto" w:fill="auto"/>
            <w:vAlign w:val="bottom"/>
            <w:hideMark/>
          </w:tcPr>
          <w:p w14:paraId="72F9CB2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9" w:type="dxa"/>
            <w:tcBorders>
              <w:bottom w:val="single" w:sz="4" w:space="0" w:color="auto"/>
            </w:tcBorders>
            <w:shd w:val="clear" w:color="auto" w:fill="auto"/>
            <w:vAlign w:val="bottom"/>
            <w:hideMark/>
          </w:tcPr>
          <w:p w14:paraId="73F42F2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79C2A33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3AFD6FE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27BA6D1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35F827C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0C1BEDD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268123E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bottom w:val="single" w:sz="4" w:space="0" w:color="auto"/>
            </w:tcBorders>
            <w:shd w:val="clear" w:color="auto" w:fill="auto"/>
            <w:noWrap/>
            <w:vAlign w:val="bottom"/>
            <w:hideMark/>
          </w:tcPr>
          <w:p w14:paraId="434C49D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837" w:type="dxa"/>
            <w:tcBorders>
              <w:bottom w:val="single" w:sz="4" w:space="0" w:color="auto"/>
            </w:tcBorders>
            <w:shd w:val="clear" w:color="auto" w:fill="auto"/>
            <w:vAlign w:val="bottom"/>
            <w:hideMark/>
          </w:tcPr>
          <w:p w14:paraId="60B9718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7194D0CC" w14:textId="77777777" w:rsidTr="00EA3C11">
        <w:tc>
          <w:tcPr>
            <w:tcW w:w="3453" w:type="dxa"/>
            <w:gridSpan w:val="2"/>
            <w:tcBorders>
              <w:top w:val="single" w:sz="4" w:space="0" w:color="auto"/>
              <w:bottom w:val="single" w:sz="12" w:space="0" w:color="auto"/>
            </w:tcBorders>
            <w:shd w:val="clear" w:color="auto" w:fill="auto"/>
            <w:hideMark/>
          </w:tcPr>
          <w:p w14:paraId="314A5371" w14:textId="77777777" w:rsidR="00EA3C11" w:rsidRPr="00E14F3F" w:rsidRDefault="00EA3C11" w:rsidP="00E146C5">
            <w:pPr>
              <w:suppressAutoHyphens w:val="0"/>
              <w:spacing w:before="80" w:after="80" w:line="220" w:lineRule="exact"/>
              <w:ind w:left="283"/>
              <w:rPr>
                <w:b/>
                <w:bCs/>
                <w:sz w:val="18"/>
                <w:lang w:val="fr-FR"/>
              </w:rPr>
            </w:pPr>
            <w:r w:rsidRPr="00E14F3F">
              <w:rPr>
                <w:b/>
                <w:bCs/>
                <w:sz w:val="18"/>
                <w:lang w:val="fr-FR"/>
              </w:rPr>
              <w:t>Total partiel</w:t>
            </w:r>
          </w:p>
        </w:tc>
        <w:tc>
          <w:tcPr>
            <w:tcW w:w="1260" w:type="dxa"/>
            <w:tcBorders>
              <w:top w:val="single" w:sz="4" w:space="0" w:color="auto"/>
              <w:bottom w:val="single" w:sz="12" w:space="0" w:color="auto"/>
            </w:tcBorders>
            <w:shd w:val="clear" w:color="auto" w:fill="auto"/>
            <w:vAlign w:val="bottom"/>
            <w:hideMark/>
          </w:tcPr>
          <w:p w14:paraId="0B6FE926"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14</w:t>
            </w:r>
            <w:r>
              <w:rPr>
                <w:b/>
                <w:bCs/>
                <w:sz w:val="18"/>
                <w:lang w:val="fr-FR"/>
              </w:rPr>
              <w:t> </w:t>
            </w:r>
            <w:r w:rsidRPr="00E14F3F">
              <w:rPr>
                <w:b/>
                <w:bCs/>
                <w:sz w:val="18"/>
                <w:lang w:val="fr-FR"/>
              </w:rPr>
              <w:t>500</w:t>
            </w:r>
          </w:p>
        </w:tc>
        <w:tc>
          <w:tcPr>
            <w:tcW w:w="789" w:type="dxa"/>
            <w:tcBorders>
              <w:top w:val="single" w:sz="4" w:space="0" w:color="auto"/>
              <w:bottom w:val="single" w:sz="12" w:space="0" w:color="auto"/>
            </w:tcBorders>
            <w:shd w:val="clear" w:color="auto" w:fill="auto"/>
            <w:vAlign w:val="bottom"/>
            <w:hideMark/>
          </w:tcPr>
          <w:p w14:paraId="5F501B23"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2</w:t>
            </w:r>
            <w:r>
              <w:rPr>
                <w:b/>
                <w:bCs/>
                <w:sz w:val="18"/>
                <w:lang w:val="fr-FR"/>
              </w:rPr>
              <w:t> </w:t>
            </w:r>
            <w:r w:rsidRPr="00E14F3F">
              <w:rPr>
                <w:b/>
                <w:bCs/>
                <w:sz w:val="18"/>
                <w:lang w:val="fr-FR"/>
              </w:rPr>
              <w:t>000</w:t>
            </w:r>
          </w:p>
        </w:tc>
        <w:tc>
          <w:tcPr>
            <w:tcW w:w="1244" w:type="dxa"/>
            <w:tcBorders>
              <w:top w:val="single" w:sz="4" w:space="0" w:color="auto"/>
              <w:bottom w:val="single" w:sz="12" w:space="0" w:color="auto"/>
            </w:tcBorders>
            <w:shd w:val="clear" w:color="auto" w:fill="auto"/>
            <w:vAlign w:val="bottom"/>
            <w:hideMark/>
          </w:tcPr>
          <w:p w14:paraId="1F2E00BB"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54</w:t>
            </w:r>
            <w:r>
              <w:rPr>
                <w:b/>
                <w:bCs/>
                <w:sz w:val="18"/>
                <w:lang w:val="fr-FR"/>
              </w:rPr>
              <w:t> </w:t>
            </w:r>
            <w:r w:rsidRPr="00E14F3F">
              <w:rPr>
                <w:b/>
                <w:bCs/>
                <w:sz w:val="18"/>
                <w:lang w:val="fr-FR"/>
              </w:rPr>
              <w:t>500</w:t>
            </w:r>
          </w:p>
        </w:tc>
        <w:tc>
          <w:tcPr>
            <w:tcW w:w="787" w:type="dxa"/>
            <w:tcBorders>
              <w:top w:val="single" w:sz="4" w:space="0" w:color="auto"/>
              <w:bottom w:val="single" w:sz="12" w:space="0" w:color="auto"/>
            </w:tcBorders>
            <w:shd w:val="clear" w:color="auto" w:fill="auto"/>
            <w:vAlign w:val="bottom"/>
            <w:hideMark/>
          </w:tcPr>
          <w:p w14:paraId="42DED8CE"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2</w:t>
            </w:r>
            <w:r>
              <w:rPr>
                <w:b/>
                <w:bCs/>
                <w:sz w:val="18"/>
                <w:lang w:val="fr-FR"/>
              </w:rPr>
              <w:t> </w:t>
            </w:r>
            <w:r w:rsidRPr="00E14F3F">
              <w:rPr>
                <w:b/>
                <w:bCs/>
                <w:sz w:val="18"/>
                <w:lang w:val="fr-FR"/>
              </w:rPr>
              <w:t>000</w:t>
            </w:r>
          </w:p>
        </w:tc>
        <w:tc>
          <w:tcPr>
            <w:tcW w:w="1244" w:type="dxa"/>
            <w:tcBorders>
              <w:top w:val="single" w:sz="4" w:space="0" w:color="auto"/>
              <w:bottom w:val="single" w:sz="12" w:space="0" w:color="auto"/>
            </w:tcBorders>
            <w:shd w:val="clear" w:color="auto" w:fill="auto"/>
            <w:vAlign w:val="bottom"/>
            <w:hideMark/>
          </w:tcPr>
          <w:p w14:paraId="7A302CA0"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14</w:t>
            </w:r>
            <w:r>
              <w:rPr>
                <w:b/>
                <w:bCs/>
                <w:sz w:val="18"/>
                <w:lang w:val="fr-FR"/>
              </w:rPr>
              <w:t> </w:t>
            </w:r>
            <w:r w:rsidRPr="00E14F3F">
              <w:rPr>
                <w:b/>
                <w:bCs/>
                <w:sz w:val="18"/>
                <w:lang w:val="fr-FR"/>
              </w:rPr>
              <w:t>500</w:t>
            </w:r>
          </w:p>
        </w:tc>
        <w:tc>
          <w:tcPr>
            <w:tcW w:w="787" w:type="dxa"/>
            <w:tcBorders>
              <w:top w:val="single" w:sz="4" w:space="0" w:color="auto"/>
              <w:bottom w:val="single" w:sz="12" w:space="0" w:color="auto"/>
            </w:tcBorders>
            <w:shd w:val="clear" w:color="auto" w:fill="auto"/>
            <w:vAlign w:val="bottom"/>
            <w:hideMark/>
          </w:tcPr>
          <w:p w14:paraId="252CF581"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2</w:t>
            </w:r>
            <w:r>
              <w:rPr>
                <w:b/>
                <w:bCs/>
                <w:sz w:val="18"/>
                <w:lang w:val="fr-FR"/>
              </w:rPr>
              <w:t> </w:t>
            </w:r>
            <w:r w:rsidRPr="00E14F3F">
              <w:rPr>
                <w:b/>
                <w:bCs/>
                <w:sz w:val="18"/>
                <w:lang w:val="fr-FR"/>
              </w:rPr>
              <w:t>000</w:t>
            </w:r>
          </w:p>
        </w:tc>
        <w:tc>
          <w:tcPr>
            <w:tcW w:w="1244" w:type="dxa"/>
            <w:tcBorders>
              <w:top w:val="single" w:sz="4" w:space="0" w:color="auto"/>
              <w:bottom w:val="single" w:sz="12" w:space="0" w:color="auto"/>
            </w:tcBorders>
            <w:shd w:val="clear" w:color="auto" w:fill="auto"/>
            <w:vAlign w:val="bottom"/>
            <w:hideMark/>
          </w:tcPr>
          <w:p w14:paraId="48D3279C"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14</w:t>
            </w:r>
            <w:r>
              <w:rPr>
                <w:b/>
                <w:bCs/>
                <w:sz w:val="18"/>
                <w:lang w:val="fr-FR"/>
              </w:rPr>
              <w:t> </w:t>
            </w:r>
            <w:r w:rsidRPr="00E14F3F">
              <w:rPr>
                <w:b/>
                <w:bCs/>
                <w:sz w:val="18"/>
                <w:lang w:val="fr-FR"/>
              </w:rPr>
              <w:t>500</w:t>
            </w:r>
          </w:p>
        </w:tc>
        <w:tc>
          <w:tcPr>
            <w:tcW w:w="787" w:type="dxa"/>
            <w:tcBorders>
              <w:top w:val="single" w:sz="4" w:space="0" w:color="auto"/>
              <w:bottom w:val="single" w:sz="12" w:space="0" w:color="auto"/>
            </w:tcBorders>
            <w:shd w:val="clear" w:color="auto" w:fill="auto"/>
            <w:vAlign w:val="bottom"/>
            <w:hideMark/>
          </w:tcPr>
          <w:p w14:paraId="67A36C07"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2</w:t>
            </w:r>
            <w:r>
              <w:rPr>
                <w:b/>
                <w:bCs/>
                <w:sz w:val="18"/>
                <w:lang w:val="fr-FR"/>
              </w:rPr>
              <w:t> </w:t>
            </w:r>
            <w:r w:rsidRPr="00E14F3F">
              <w:rPr>
                <w:b/>
                <w:bCs/>
                <w:sz w:val="18"/>
                <w:lang w:val="fr-FR"/>
              </w:rPr>
              <w:t>000</w:t>
            </w:r>
          </w:p>
        </w:tc>
        <w:tc>
          <w:tcPr>
            <w:tcW w:w="1344" w:type="dxa"/>
            <w:tcBorders>
              <w:top w:val="single" w:sz="4" w:space="0" w:color="auto"/>
              <w:bottom w:val="single" w:sz="12" w:space="0" w:color="auto"/>
            </w:tcBorders>
            <w:shd w:val="clear" w:color="auto" w:fill="auto"/>
            <w:vAlign w:val="bottom"/>
            <w:hideMark/>
          </w:tcPr>
          <w:p w14:paraId="03743904"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24 500</w:t>
            </w:r>
          </w:p>
        </w:tc>
        <w:tc>
          <w:tcPr>
            <w:tcW w:w="837" w:type="dxa"/>
            <w:tcBorders>
              <w:top w:val="single" w:sz="4" w:space="0" w:color="auto"/>
              <w:bottom w:val="single" w:sz="12" w:space="0" w:color="auto"/>
            </w:tcBorders>
            <w:shd w:val="clear" w:color="auto" w:fill="auto"/>
            <w:vAlign w:val="bottom"/>
            <w:hideMark/>
          </w:tcPr>
          <w:p w14:paraId="1CBBF438" w14:textId="77777777" w:rsidR="00EA3C11" w:rsidRPr="00E14F3F" w:rsidRDefault="00EA3C11" w:rsidP="00E146C5">
            <w:pPr>
              <w:suppressAutoHyphens w:val="0"/>
              <w:spacing w:before="80" w:after="80" w:line="220" w:lineRule="exact"/>
              <w:jc w:val="right"/>
              <w:rPr>
                <w:b/>
                <w:bCs/>
                <w:sz w:val="18"/>
                <w:lang w:val="fr-FR"/>
              </w:rPr>
            </w:pPr>
            <w:r w:rsidRPr="00E14F3F">
              <w:rPr>
                <w:b/>
                <w:bCs/>
                <w:sz w:val="18"/>
                <w:lang w:val="fr-FR"/>
              </w:rPr>
              <w:t>2 000</w:t>
            </w:r>
          </w:p>
        </w:tc>
      </w:tr>
      <w:tr w:rsidR="00EA3C11" w:rsidRPr="00E14F3F" w14:paraId="3AE23B9D" w14:textId="77777777" w:rsidTr="00EA3C11">
        <w:tc>
          <w:tcPr>
            <w:tcW w:w="1275" w:type="dxa"/>
            <w:tcBorders>
              <w:top w:val="single" w:sz="12" w:space="0" w:color="auto"/>
            </w:tcBorders>
            <w:shd w:val="clear" w:color="auto" w:fill="auto"/>
            <w:hideMark/>
          </w:tcPr>
          <w:p w14:paraId="751B14BF"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V. </w:t>
            </w:r>
            <w:r>
              <w:rPr>
                <w:sz w:val="18"/>
                <w:lang w:val="fr-FR"/>
              </w:rPr>
              <w:br/>
            </w:r>
            <w:r w:rsidRPr="00E14F3F">
              <w:rPr>
                <w:sz w:val="18"/>
                <w:lang w:val="fr-FR"/>
              </w:rPr>
              <w:t>Mécanisme d’examen du respect des dispositions</w:t>
            </w:r>
          </w:p>
        </w:tc>
        <w:tc>
          <w:tcPr>
            <w:tcW w:w="2178" w:type="dxa"/>
            <w:tcBorders>
              <w:top w:val="single" w:sz="12" w:space="0" w:color="auto"/>
            </w:tcBorders>
            <w:shd w:val="clear" w:color="auto" w:fill="auto"/>
            <w:vAlign w:val="bottom"/>
            <w:hideMark/>
          </w:tcPr>
          <w:p w14:paraId="2AF7E04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Administrateurs</w:t>
            </w:r>
            <w:r w:rsidRPr="00E14F3F">
              <w:rPr>
                <w:sz w:val="18"/>
                <w:vertAlign w:val="superscript"/>
                <w:lang w:val="fr-FR"/>
              </w:rPr>
              <w:t>c</w:t>
            </w:r>
            <w:r w:rsidRPr="00E14F3F">
              <w:rPr>
                <w:sz w:val="18"/>
                <w:lang w:val="fr-FR"/>
              </w:rPr>
              <w:t xml:space="preserve"> : 3 fonctionnaires P-3 (à 80 %, 70 % et 55 % d’EPT, respectivement) et 1 fonctionnaire P-2 </w:t>
            </w:r>
            <w:r>
              <w:rPr>
                <w:sz w:val="18"/>
                <w:lang w:val="fr-FR"/>
              </w:rPr>
              <w:br/>
            </w:r>
            <w:r w:rsidRPr="00E14F3F">
              <w:rPr>
                <w:sz w:val="18"/>
                <w:lang w:val="fr-FR"/>
              </w:rPr>
              <w:t>à 50 % d’EPT</w:t>
            </w:r>
          </w:p>
        </w:tc>
        <w:tc>
          <w:tcPr>
            <w:tcW w:w="1260" w:type="dxa"/>
            <w:tcBorders>
              <w:top w:val="single" w:sz="12" w:space="0" w:color="auto"/>
            </w:tcBorders>
            <w:shd w:val="clear" w:color="auto" w:fill="auto"/>
            <w:vAlign w:val="bottom"/>
            <w:hideMark/>
          </w:tcPr>
          <w:p w14:paraId="02646F4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429</w:t>
            </w:r>
            <w:r>
              <w:rPr>
                <w:sz w:val="18"/>
                <w:lang w:val="fr-FR"/>
              </w:rPr>
              <w:t> </w:t>
            </w:r>
            <w:r w:rsidRPr="00E14F3F">
              <w:rPr>
                <w:sz w:val="18"/>
                <w:lang w:val="fr-FR"/>
              </w:rPr>
              <w:t>000</w:t>
            </w:r>
          </w:p>
        </w:tc>
        <w:tc>
          <w:tcPr>
            <w:tcW w:w="789" w:type="dxa"/>
            <w:tcBorders>
              <w:top w:val="single" w:sz="12" w:space="0" w:color="auto"/>
            </w:tcBorders>
            <w:shd w:val="clear" w:color="auto" w:fill="auto"/>
            <w:vAlign w:val="bottom"/>
            <w:hideMark/>
          </w:tcPr>
          <w:p w14:paraId="620E661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5D70468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429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374E40F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501E5B9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429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37AC2A8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62E8A79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429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1271C27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313F1A9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429</w:t>
            </w:r>
            <w:r>
              <w:rPr>
                <w:sz w:val="18"/>
                <w:lang w:val="fr-FR"/>
              </w:rPr>
              <w:t> </w:t>
            </w:r>
            <w:r w:rsidRPr="00E14F3F">
              <w:rPr>
                <w:sz w:val="18"/>
                <w:lang w:val="fr-FR"/>
              </w:rPr>
              <w:t>000</w:t>
            </w:r>
          </w:p>
        </w:tc>
        <w:tc>
          <w:tcPr>
            <w:tcW w:w="837" w:type="dxa"/>
            <w:tcBorders>
              <w:top w:val="single" w:sz="12" w:space="0" w:color="auto"/>
            </w:tcBorders>
            <w:shd w:val="clear" w:color="auto" w:fill="auto"/>
            <w:vAlign w:val="bottom"/>
            <w:hideMark/>
          </w:tcPr>
          <w:p w14:paraId="5CEAE86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1B94B0E0" w14:textId="77777777" w:rsidTr="00EA3C11">
        <w:tc>
          <w:tcPr>
            <w:tcW w:w="1275" w:type="dxa"/>
            <w:shd w:val="clear" w:color="auto" w:fill="auto"/>
            <w:hideMark/>
          </w:tcPr>
          <w:p w14:paraId="1415D679"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24D18AA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 xml:space="preserve">Contrats de consultants (traduction extérieure </w:t>
            </w:r>
            <w:r>
              <w:rPr>
                <w:sz w:val="18"/>
                <w:lang w:val="fr-FR"/>
              </w:rPr>
              <w:br/>
            </w:r>
            <w:r w:rsidRPr="00E14F3F">
              <w:rPr>
                <w:sz w:val="18"/>
                <w:lang w:val="fr-FR"/>
              </w:rPr>
              <w:t>et élaboration de la documentation requise, par exemple)</w:t>
            </w:r>
          </w:p>
        </w:tc>
        <w:tc>
          <w:tcPr>
            <w:tcW w:w="1260" w:type="dxa"/>
            <w:shd w:val="clear" w:color="auto" w:fill="auto"/>
            <w:vAlign w:val="bottom"/>
            <w:hideMark/>
          </w:tcPr>
          <w:p w14:paraId="15C18A2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30</w:t>
            </w:r>
            <w:r>
              <w:rPr>
                <w:sz w:val="18"/>
                <w:lang w:val="fr-FR"/>
              </w:rPr>
              <w:t> </w:t>
            </w:r>
            <w:r w:rsidRPr="00E14F3F">
              <w:rPr>
                <w:sz w:val="18"/>
                <w:lang w:val="fr-FR"/>
              </w:rPr>
              <w:t>000</w:t>
            </w:r>
          </w:p>
        </w:tc>
        <w:tc>
          <w:tcPr>
            <w:tcW w:w="789" w:type="dxa"/>
            <w:shd w:val="clear" w:color="auto" w:fill="auto"/>
            <w:vAlign w:val="bottom"/>
            <w:hideMark/>
          </w:tcPr>
          <w:p w14:paraId="3CDCDCD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00102D0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30</w:t>
            </w:r>
            <w:r>
              <w:rPr>
                <w:sz w:val="18"/>
                <w:lang w:val="fr-FR"/>
              </w:rPr>
              <w:t> </w:t>
            </w:r>
            <w:r w:rsidRPr="00E14F3F">
              <w:rPr>
                <w:sz w:val="18"/>
                <w:lang w:val="fr-FR"/>
              </w:rPr>
              <w:t>000</w:t>
            </w:r>
          </w:p>
        </w:tc>
        <w:tc>
          <w:tcPr>
            <w:tcW w:w="787" w:type="dxa"/>
            <w:shd w:val="clear" w:color="auto" w:fill="auto"/>
            <w:noWrap/>
            <w:vAlign w:val="bottom"/>
            <w:hideMark/>
          </w:tcPr>
          <w:p w14:paraId="079CE72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295C62B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30</w:t>
            </w:r>
            <w:r>
              <w:rPr>
                <w:sz w:val="18"/>
                <w:lang w:val="fr-FR"/>
              </w:rPr>
              <w:t> </w:t>
            </w:r>
            <w:r w:rsidRPr="00E14F3F">
              <w:rPr>
                <w:sz w:val="18"/>
                <w:lang w:val="fr-FR"/>
              </w:rPr>
              <w:t>000</w:t>
            </w:r>
          </w:p>
        </w:tc>
        <w:tc>
          <w:tcPr>
            <w:tcW w:w="787" w:type="dxa"/>
            <w:shd w:val="clear" w:color="auto" w:fill="auto"/>
            <w:noWrap/>
            <w:vAlign w:val="bottom"/>
            <w:hideMark/>
          </w:tcPr>
          <w:p w14:paraId="5843D9A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3E025EE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30</w:t>
            </w:r>
            <w:r>
              <w:rPr>
                <w:sz w:val="18"/>
                <w:lang w:val="fr-FR"/>
              </w:rPr>
              <w:t> </w:t>
            </w:r>
            <w:r w:rsidRPr="00E14F3F">
              <w:rPr>
                <w:sz w:val="18"/>
                <w:lang w:val="fr-FR"/>
              </w:rPr>
              <w:t>000</w:t>
            </w:r>
          </w:p>
        </w:tc>
        <w:tc>
          <w:tcPr>
            <w:tcW w:w="787" w:type="dxa"/>
            <w:shd w:val="clear" w:color="auto" w:fill="auto"/>
            <w:noWrap/>
            <w:vAlign w:val="bottom"/>
            <w:hideMark/>
          </w:tcPr>
          <w:p w14:paraId="7C00497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321044B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30</w:t>
            </w:r>
            <w:r>
              <w:rPr>
                <w:sz w:val="18"/>
                <w:lang w:val="fr-FR"/>
              </w:rPr>
              <w:t> </w:t>
            </w:r>
            <w:r w:rsidRPr="00E14F3F">
              <w:rPr>
                <w:sz w:val="18"/>
                <w:lang w:val="fr-FR"/>
              </w:rPr>
              <w:t>000</w:t>
            </w:r>
          </w:p>
        </w:tc>
        <w:tc>
          <w:tcPr>
            <w:tcW w:w="837" w:type="dxa"/>
            <w:shd w:val="clear" w:color="auto" w:fill="auto"/>
            <w:noWrap/>
            <w:vAlign w:val="bottom"/>
            <w:hideMark/>
          </w:tcPr>
          <w:p w14:paraId="3529B1B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4B70E21A" w14:textId="77777777" w:rsidTr="00EA3C11">
        <w:tc>
          <w:tcPr>
            <w:tcW w:w="1275" w:type="dxa"/>
            <w:shd w:val="clear" w:color="auto" w:fill="auto"/>
            <w:hideMark/>
          </w:tcPr>
          <w:p w14:paraId="3252359A"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16DF1F94" w14:textId="08EE5CB8"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et indemnités journalières de</w:t>
            </w:r>
            <w:r w:rsidR="00FE4806">
              <w:rPr>
                <w:sz w:val="18"/>
                <w:lang w:val="fr-FR"/>
              </w:rPr>
              <w:t xml:space="preserve"> </w:t>
            </w:r>
            <w:r w:rsidRPr="00E14F3F">
              <w:rPr>
                <w:sz w:val="18"/>
                <w:lang w:val="fr-FR"/>
              </w:rPr>
              <w:t>subsistance pour les membres du Comité et d’autres participants (4 réunions du Comité par an) et frais de voyage et indemnités journalières de subsistance pour le Rapporteur</w:t>
            </w:r>
          </w:p>
        </w:tc>
        <w:tc>
          <w:tcPr>
            <w:tcW w:w="1260" w:type="dxa"/>
            <w:shd w:val="clear" w:color="auto" w:fill="auto"/>
            <w:vAlign w:val="bottom"/>
            <w:hideMark/>
          </w:tcPr>
          <w:p w14:paraId="08CB20F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103</w:t>
            </w:r>
            <w:r>
              <w:rPr>
                <w:sz w:val="18"/>
                <w:lang w:val="fr-FR"/>
              </w:rPr>
              <w:t> </w:t>
            </w:r>
            <w:r w:rsidRPr="00E14F3F">
              <w:rPr>
                <w:sz w:val="18"/>
                <w:lang w:val="fr-FR"/>
              </w:rPr>
              <w:t>800</w:t>
            </w:r>
          </w:p>
        </w:tc>
        <w:tc>
          <w:tcPr>
            <w:tcW w:w="789" w:type="dxa"/>
            <w:shd w:val="clear" w:color="auto" w:fill="auto"/>
            <w:vAlign w:val="bottom"/>
            <w:hideMark/>
          </w:tcPr>
          <w:p w14:paraId="73BBB5E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033D945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103</w:t>
            </w:r>
            <w:r>
              <w:rPr>
                <w:sz w:val="18"/>
                <w:lang w:val="fr-FR"/>
              </w:rPr>
              <w:t> </w:t>
            </w:r>
            <w:r w:rsidRPr="00E14F3F">
              <w:rPr>
                <w:sz w:val="18"/>
                <w:lang w:val="fr-FR"/>
              </w:rPr>
              <w:t>800</w:t>
            </w:r>
          </w:p>
        </w:tc>
        <w:tc>
          <w:tcPr>
            <w:tcW w:w="787" w:type="dxa"/>
            <w:shd w:val="clear" w:color="auto" w:fill="auto"/>
            <w:vAlign w:val="bottom"/>
            <w:hideMark/>
          </w:tcPr>
          <w:p w14:paraId="6C7197F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5CDFB2F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103</w:t>
            </w:r>
            <w:r>
              <w:rPr>
                <w:sz w:val="18"/>
                <w:lang w:val="fr-FR"/>
              </w:rPr>
              <w:t> </w:t>
            </w:r>
            <w:r w:rsidRPr="00E14F3F">
              <w:rPr>
                <w:sz w:val="18"/>
                <w:lang w:val="fr-FR"/>
              </w:rPr>
              <w:t>800</w:t>
            </w:r>
          </w:p>
        </w:tc>
        <w:tc>
          <w:tcPr>
            <w:tcW w:w="787" w:type="dxa"/>
            <w:shd w:val="clear" w:color="auto" w:fill="auto"/>
            <w:vAlign w:val="bottom"/>
            <w:hideMark/>
          </w:tcPr>
          <w:p w14:paraId="0CE10B7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308293E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103</w:t>
            </w:r>
            <w:r>
              <w:rPr>
                <w:sz w:val="18"/>
                <w:lang w:val="fr-FR"/>
              </w:rPr>
              <w:t> </w:t>
            </w:r>
            <w:r w:rsidRPr="00E14F3F">
              <w:rPr>
                <w:sz w:val="18"/>
                <w:lang w:val="fr-FR"/>
              </w:rPr>
              <w:t>800</w:t>
            </w:r>
          </w:p>
        </w:tc>
        <w:tc>
          <w:tcPr>
            <w:tcW w:w="787" w:type="dxa"/>
            <w:shd w:val="clear" w:color="auto" w:fill="auto"/>
            <w:vAlign w:val="bottom"/>
            <w:hideMark/>
          </w:tcPr>
          <w:p w14:paraId="1C6FCD9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082E21A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103</w:t>
            </w:r>
            <w:r>
              <w:rPr>
                <w:sz w:val="18"/>
                <w:lang w:val="fr-FR"/>
              </w:rPr>
              <w:t> </w:t>
            </w:r>
            <w:r w:rsidRPr="00E14F3F">
              <w:rPr>
                <w:sz w:val="18"/>
                <w:lang w:val="fr-FR"/>
              </w:rPr>
              <w:t>800</w:t>
            </w:r>
          </w:p>
        </w:tc>
        <w:tc>
          <w:tcPr>
            <w:tcW w:w="837" w:type="dxa"/>
            <w:shd w:val="clear" w:color="auto" w:fill="auto"/>
            <w:noWrap/>
            <w:vAlign w:val="bottom"/>
            <w:hideMark/>
          </w:tcPr>
          <w:p w14:paraId="6CCE8FD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68177CFF" w14:textId="77777777" w:rsidTr="00EA3C11">
        <w:trPr>
          <w:cantSplit/>
        </w:trPr>
        <w:tc>
          <w:tcPr>
            <w:tcW w:w="1275" w:type="dxa"/>
            <w:tcBorders>
              <w:bottom w:val="single" w:sz="4" w:space="0" w:color="auto"/>
            </w:tcBorders>
            <w:shd w:val="clear" w:color="auto" w:fill="auto"/>
            <w:hideMark/>
          </w:tcPr>
          <w:p w14:paraId="449EE5DF" w14:textId="77777777" w:rsidR="00EA3C11" w:rsidRPr="00E14F3F" w:rsidRDefault="00EA3C11" w:rsidP="00E146C5">
            <w:pPr>
              <w:suppressAutoHyphens w:val="0"/>
              <w:spacing w:before="40" w:after="40" w:line="220" w:lineRule="exact"/>
              <w:rPr>
                <w:sz w:val="18"/>
                <w:lang w:val="fr-FR"/>
              </w:rPr>
            </w:pPr>
          </w:p>
        </w:tc>
        <w:tc>
          <w:tcPr>
            <w:tcW w:w="2178" w:type="dxa"/>
            <w:tcBorders>
              <w:bottom w:val="single" w:sz="4" w:space="0" w:color="auto"/>
            </w:tcBorders>
            <w:shd w:val="clear" w:color="auto" w:fill="auto"/>
            <w:vAlign w:val="bottom"/>
            <w:hideMark/>
          </w:tcPr>
          <w:p w14:paraId="1EE5817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(personnel en mission)</w:t>
            </w:r>
            <w:r w:rsidRPr="00E14F3F">
              <w:rPr>
                <w:sz w:val="18"/>
                <w:vertAlign w:val="superscript"/>
                <w:lang w:val="fr-FR"/>
              </w:rPr>
              <w:t>e</w:t>
            </w:r>
          </w:p>
        </w:tc>
        <w:tc>
          <w:tcPr>
            <w:tcW w:w="1260" w:type="dxa"/>
            <w:tcBorders>
              <w:bottom w:val="single" w:sz="4" w:space="0" w:color="auto"/>
            </w:tcBorders>
            <w:shd w:val="clear" w:color="auto" w:fill="auto"/>
            <w:vAlign w:val="bottom"/>
            <w:hideMark/>
          </w:tcPr>
          <w:p w14:paraId="65A489D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21</w:t>
            </w:r>
            <w:r>
              <w:rPr>
                <w:sz w:val="18"/>
                <w:lang w:val="fr-FR"/>
              </w:rPr>
              <w:t> </w:t>
            </w:r>
            <w:r w:rsidRPr="00E14F3F">
              <w:rPr>
                <w:sz w:val="18"/>
                <w:lang w:val="fr-FR"/>
              </w:rPr>
              <w:t>800</w:t>
            </w:r>
          </w:p>
        </w:tc>
        <w:tc>
          <w:tcPr>
            <w:tcW w:w="789" w:type="dxa"/>
            <w:tcBorders>
              <w:bottom w:val="single" w:sz="4" w:space="0" w:color="auto"/>
            </w:tcBorders>
            <w:shd w:val="clear" w:color="auto" w:fill="auto"/>
            <w:vAlign w:val="bottom"/>
            <w:hideMark/>
          </w:tcPr>
          <w:p w14:paraId="7448241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0E9D684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21</w:t>
            </w:r>
            <w:r>
              <w:rPr>
                <w:sz w:val="18"/>
                <w:lang w:val="fr-FR"/>
              </w:rPr>
              <w:t> </w:t>
            </w:r>
            <w:r w:rsidRPr="00E14F3F">
              <w:rPr>
                <w:sz w:val="18"/>
                <w:lang w:val="fr-FR"/>
              </w:rPr>
              <w:t>800</w:t>
            </w:r>
          </w:p>
        </w:tc>
        <w:tc>
          <w:tcPr>
            <w:tcW w:w="787" w:type="dxa"/>
            <w:tcBorders>
              <w:bottom w:val="single" w:sz="4" w:space="0" w:color="auto"/>
            </w:tcBorders>
            <w:shd w:val="clear" w:color="auto" w:fill="auto"/>
            <w:vAlign w:val="bottom"/>
            <w:hideMark/>
          </w:tcPr>
          <w:p w14:paraId="47B6A1F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446F8A3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21</w:t>
            </w:r>
            <w:r>
              <w:rPr>
                <w:sz w:val="18"/>
                <w:lang w:val="fr-FR"/>
              </w:rPr>
              <w:t> </w:t>
            </w:r>
            <w:r w:rsidRPr="00E14F3F">
              <w:rPr>
                <w:sz w:val="18"/>
                <w:lang w:val="fr-FR"/>
              </w:rPr>
              <w:t>800</w:t>
            </w:r>
          </w:p>
        </w:tc>
        <w:tc>
          <w:tcPr>
            <w:tcW w:w="787" w:type="dxa"/>
            <w:tcBorders>
              <w:bottom w:val="single" w:sz="4" w:space="0" w:color="auto"/>
            </w:tcBorders>
            <w:shd w:val="clear" w:color="auto" w:fill="auto"/>
            <w:vAlign w:val="bottom"/>
            <w:hideMark/>
          </w:tcPr>
          <w:p w14:paraId="06156C5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7EEB219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21</w:t>
            </w:r>
            <w:r>
              <w:rPr>
                <w:sz w:val="18"/>
                <w:lang w:val="fr-FR"/>
              </w:rPr>
              <w:t> </w:t>
            </w:r>
            <w:r w:rsidRPr="00E14F3F">
              <w:rPr>
                <w:sz w:val="18"/>
                <w:lang w:val="fr-FR"/>
              </w:rPr>
              <w:t>800</w:t>
            </w:r>
          </w:p>
        </w:tc>
        <w:tc>
          <w:tcPr>
            <w:tcW w:w="787" w:type="dxa"/>
            <w:tcBorders>
              <w:bottom w:val="single" w:sz="4" w:space="0" w:color="auto"/>
            </w:tcBorders>
            <w:shd w:val="clear" w:color="auto" w:fill="auto"/>
            <w:vAlign w:val="bottom"/>
            <w:hideMark/>
          </w:tcPr>
          <w:p w14:paraId="1D73CC9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bottom w:val="single" w:sz="4" w:space="0" w:color="auto"/>
            </w:tcBorders>
            <w:shd w:val="clear" w:color="auto" w:fill="auto"/>
            <w:noWrap/>
            <w:vAlign w:val="bottom"/>
            <w:hideMark/>
          </w:tcPr>
          <w:p w14:paraId="7E7B60C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21</w:t>
            </w:r>
            <w:r>
              <w:rPr>
                <w:sz w:val="18"/>
                <w:lang w:val="fr-FR"/>
              </w:rPr>
              <w:t> </w:t>
            </w:r>
            <w:r w:rsidRPr="00E14F3F">
              <w:rPr>
                <w:sz w:val="18"/>
                <w:lang w:val="fr-FR"/>
              </w:rPr>
              <w:t>800</w:t>
            </w:r>
          </w:p>
        </w:tc>
        <w:tc>
          <w:tcPr>
            <w:tcW w:w="837" w:type="dxa"/>
            <w:tcBorders>
              <w:bottom w:val="single" w:sz="4" w:space="0" w:color="auto"/>
            </w:tcBorders>
            <w:shd w:val="clear" w:color="auto" w:fill="auto"/>
            <w:vAlign w:val="bottom"/>
            <w:hideMark/>
          </w:tcPr>
          <w:p w14:paraId="5E3D133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4B9512CE" w14:textId="77777777" w:rsidTr="00EA3C11">
        <w:tc>
          <w:tcPr>
            <w:tcW w:w="3453" w:type="dxa"/>
            <w:gridSpan w:val="2"/>
            <w:tcBorders>
              <w:top w:val="single" w:sz="4" w:space="0" w:color="auto"/>
              <w:bottom w:val="single" w:sz="12" w:space="0" w:color="auto"/>
            </w:tcBorders>
            <w:shd w:val="clear" w:color="auto" w:fill="auto"/>
            <w:hideMark/>
          </w:tcPr>
          <w:p w14:paraId="6823362D" w14:textId="77777777" w:rsidR="00EA3C11" w:rsidRPr="00E14F3F" w:rsidRDefault="00EA3C11" w:rsidP="00E146C5">
            <w:pPr>
              <w:suppressAutoHyphens w:val="0"/>
              <w:spacing w:before="80" w:after="80" w:line="220" w:lineRule="exact"/>
              <w:ind w:left="283"/>
              <w:rPr>
                <w:b/>
                <w:bCs/>
                <w:sz w:val="18"/>
                <w:lang w:val="fr-FR"/>
              </w:rPr>
            </w:pPr>
            <w:r w:rsidRPr="00E14F3F">
              <w:rPr>
                <w:b/>
                <w:bCs/>
                <w:sz w:val="18"/>
                <w:lang w:val="fr-FR"/>
              </w:rPr>
              <w:t>Total partiel</w:t>
            </w:r>
          </w:p>
        </w:tc>
        <w:tc>
          <w:tcPr>
            <w:tcW w:w="1260" w:type="dxa"/>
            <w:tcBorders>
              <w:top w:val="single" w:sz="4" w:space="0" w:color="auto"/>
              <w:bottom w:val="single" w:sz="12" w:space="0" w:color="auto"/>
            </w:tcBorders>
            <w:shd w:val="clear" w:color="auto" w:fill="auto"/>
            <w:vAlign w:val="bottom"/>
            <w:hideMark/>
          </w:tcPr>
          <w:p w14:paraId="29E239A3" w14:textId="77777777" w:rsidR="00EA3C11" w:rsidRPr="00E14F3F" w:rsidRDefault="00EA3C11" w:rsidP="00E146C5">
            <w:pPr>
              <w:suppressAutoHyphens w:val="0"/>
              <w:spacing w:before="80" w:after="80" w:line="220" w:lineRule="exact"/>
              <w:jc w:val="right"/>
              <w:rPr>
                <w:b/>
                <w:bCs/>
                <w:sz w:val="18"/>
                <w:lang w:val="fr-FR"/>
              </w:rPr>
            </w:pPr>
            <w:r w:rsidRPr="00E14F3F">
              <w:rPr>
                <w:b/>
                <w:sz w:val="18"/>
                <w:lang w:val="fr-FR"/>
              </w:rPr>
              <w:t>584</w:t>
            </w:r>
            <w:r>
              <w:rPr>
                <w:b/>
                <w:sz w:val="18"/>
                <w:lang w:val="fr-FR"/>
              </w:rPr>
              <w:t> </w:t>
            </w:r>
            <w:r w:rsidRPr="00E14F3F">
              <w:rPr>
                <w:b/>
                <w:sz w:val="18"/>
                <w:lang w:val="fr-FR"/>
              </w:rPr>
              <w:t>600</w:t>
            </w:r>
          </w:p>
        </w:tc>
        <w:tc>
          <w:tcPr>
            <w:tcW w:w="789" w:type="dxa"/>
            <w:tcBorders>
              <w:top w:val="single" w:sz="4" w:space="0" w:color="auto"/>
              <w:bottom w:val="single" w:sz="12" w:space="0" w:color="auto"/>
            </w:tcBorders>
            <w:shd w:val="clear" w:color="auto" w:fill="auto"/>
            <w:vAlign w:val="bottom"/>
            <w:hideMark/>
          </w:tcPr>
          <w:p w14:paraId="66C9DB29" w14:textId="77777777" w:rsidR="00EA3C11" w:rsidRPr="00E14F3F" w:rsidRDefault="00EA3C11" w:rsidP="00E146C5">
            <w:pPr>
              <w:suppressAutoHyphens w:val="0"/>
              <w:spacing w:before="80" w:after="80" w:line="220" w:lineRule="exact"/>
              <w:jc w:val="right"/>
              <w:rPr>
                <w:b/>
                <w:sz w:val="18"/>
                <w:lang w:val="fr-FR"/>
              </w:rPr>
            </w:pPr>
            <w:r w:rsidRPr="00E14F3F">
              <w:rPr>
                <w:b/>
                <w:sz w:val="18"/>
                <w:lang w:val="fr-FR"/>
              </w:rPr>
              <w:t>−</w:t>
            </w:r>
          </w:p>
        </w:tc>
        <w:tc>
          <w:tcPr>
            <w:tcW w:w="1244" w:type="dxa"/>
            <w:tcBorders>
              <w:top w:val="single" w:sz="4" w:space="0" w:color="auto"/>
              <w:bottom w:val="single" w:sz="12" w:space="0" w:color="auto"/>
            </w:tcBorders>
            <w:shd w:val="clear" w:color="auto" w:fill="auto"/>
            <w:vAlign w:val="bottom"/>
            <w:hideMark/>
          </w:tcPr>
          <w:p w14:paraId="68E98F88" w14:textId="77777777" w:rsidR="00EA3C11" w:rsidRPr="00E14F3F" w:rsidRDefault="00EA3C11" w:rsidP="00E146C5">
            <w:pPr>
              <w:suppressAutoHyphens w:val="0"/>
              <w:spacing w:before="80" w:after="80" w:line="220" w:lineRule="exact"/>
              <w:jc w:val="right"/>
              <w:rPr>
                <w:b/>
                <w:bCs/>
                <w:sz w:val="18"/>
                <w:lang w:val="fr-FR"/>
              </w:rPr>
            </w:pPr>
            <w:r w:rsidRPr="00E14F3F">
              <w:rPr>
                <w:b/>
                <w:sz w:val="18"/>
                <w:lang w:val="fr-FR"/>
              </w:rPr>
              <w:t>584</w:t>
            </w:r>
            <w:r>
              <w:rPr>
                <w:b/>
                <w:sz w:val="18"/>
                <w:lang w:val="fr-FR"/>
              </w:rPr>
              <w:t> </w:t>
            </w:r>
            <w:r w:rsidRPr="00E14F3F">
              <w:rPr>
                <w:b/>
                <w:sz w:val="18"/>
                <w:lang w:val="fr-FR"/>
              </w:rPr>
              <w:t>600</w:t>
            </w:r>
          </w:p>
        </w:tc>
        <w:tc>
          <w:tcPr>
            <w:tcW w:w="787" w:type="dxa"/>
            <w:tcBorders>
              <w:top w:val="single" w:sz="4" w:space="0" w:color="auto"/>
              <w:bottom w:val="single" w:sz="12" w:space="0" w:color="auto"/>
            </w:tcBorders>
            <w:shd w:val="clear" w:color="auto" w:fill="auto"/>
            <w:vAlign w:val="bottom"/>
            <w:hideMark/>
          </w:tcPr>
          <w:p w14:paraId="633433DD" w14:textId="77777777" w:rsidR="00EA3C11" w:rsidRPr="00E14F3F" w:rsidRDefault="00EA3C11" w:rsidP="00E146C5">
            <w:pPr>
              <w:suppressAutoHyphens w:val="0"/>
              <w:spacing w:before="80" w:after="80" w:line="220" w:lineRule="exact"/>
              <w:jc w:val="right"/>
              <w:rPr>
                <w:b/>
                <w:sz w:val="18"/>
                <w:lang w:val="fr-FR"/>
              </w:rPr>
            </w:pPr>
            <w:r w:rsidRPr="00E14F3F">
              <w:rPr>
                <w:b/>
                <w:sz w:val="18"/>
                <w:lang w:val="fr-FR"/>
              </w:rPr>
              <w:t>−</w:t>
            </w:r>
          </w:p>
        </w:tc>
        <w:tc>
          <w:tcPr>
            <w:tcW w:w="1244" w:type="dxa"/>
            <w:tcBorders>
              <w:top w:val="single" w:sz="4" w:space="0" w:color="auto"/>
              <w:bottom w:val="single" w:sz="12" w:space="0" w:color="auto"/>
            </w:tcBorders>
            <w:shd w:val="clear" w:color="auto" w:fill="auto"/>
            <w:vAlign w:val="bottom"/>
            <w:hideMark/>
          </w:tcPr>
          <w:p w14:paraId="64B68EDB" w14:textId="77777777" w:rsidR="00EA3C11" w:rsidRPr="00E14F3F" w:rsidRDefault="00EA3C11" w:rsidP="00E146C5">
            <w:pPr>
              <w:suppressAutoHyphens w:val="0"/>
              <w:spacing w:before="80" w:after="80" w:line="220" w:lineRule="exact"/>
              <w:jc w:val="right"/>
              <w:rPr>
                <w:b/>
                <w:bCs/>
                <w:sz w:val="18"/>
                <w:lang w:val="fr-FR"/>
              </w:rPr>
            </w:pPr>
            <w:r w:rsidRPr="00E14F3F">
              <w:rPr>
                <w:b/>
                <w:sz w:val="18"/>
                <w:lang w:val="fr-FR"/>
              </w:rPr>
              <w:t>584</w:t>
            </w:r>
            <w:r>
              <w:rPr>
                <w:b/>
                <w:sz w:val="18"/>
                <w:lang w:val="fr-FR"/>
              </w:rPr>
              <w:t> </w:t>
            </w:r>
            <w:r w:rsidRPr="00E14F3F">
              <w:rPr>
                <w:b/>
                <w:sz w:val="18"/>
                <w:lang w:val="fr-FR"/>
              </w:rPr>
              <w:t>600</w:t>
            </w:r>
          </w:p>
        </w:tc>
        <w:tc>
          <w:tcPr>
            <w:tcW w:w="787" w:type="dxa"/>
            <w:tcBorders>
              <w:top w:val="single" w:sz="4" w:space="0" w:color="auto"/>
              <w:bottom w:val="single" w:sz="12" w:space="0" w:color="auto"/>
            </w:tcBorders>
            <w:shd w:val="clear" w:color="auto" w:fill="auto"/>
            <w:noWrap/>
            <w:vAlign w:val="bottom"/>
            <w:hideMark/>
          </w:tcPr>
          <w:p w14:paraId="4A936523" w14:textId="77777777" w:rsidR="00EA3C11" w:rsidRPr="00E14F3F" w:rsidRDefault="00EA3C11" w:rsidP="00E146C5">
            <w:pPr>
              <w:suppressAutoHyphens w:val="0"/>
              <w:spacing w:before="80" w:after="80" w:line="220" w:lineRule="exact"/>
              <w:jc w:val="right"/>
              <w:rPr>
                <w:b/>
                <w:sz w:val="18"/>
                <w:lang w:val="fr-FR"/>
              </w:rPr>
            </w:pPr>
            <w:r w:rsidRPr="00E14F3F">
              <w:rPr>
                <w:b/>
                <w:sz w:val="18"/>
                <w:lang w:val="fr-FR"/>
              </w:rPr>
              <w:t>−</w:t>
            </w:r>
          </w:p>
        </w:tc>
        <w:tc>
          <w:tcPr>
            <w:tcW w:w="1244" w:type="dxa"/>
            <w:tcBorders>
              <w:top w:val="single" w:sz="4" w:space="0" w:color="auto"/>
              <w:bottom w:val="single" w:sz="12" w:space="0" w:color="auto"/>
            </w:tcBorders>
            <w:shd w:val="clear" w:color="auto" w:fill="auto"/>
            <w:noWrap/>
            <w:vAlign w:val="bottom"/>
            <w:hideMark/>
          </w:tcPr>
          <w:p w14:paraId="139BDA0B" w14:textId="77777777" w:rsidR="00EA3C11" w:rsidRPr="00E14F3F" w:rsidRDefault="00EA3C11" w:rsidP="00E146C5">
            <w:pPr>
              <w:suppressAutoHyphens w:val="0"/>
              <w:spacing w:before="80" w:after="80" w:line="220" w:lineRule="exact"/>
              <w:jc w:val="right"/>
              <w:rPr>
                <w:b/>
                <w:bCs/>
                <w:sz w:val="18"/>
                <w:lang w:val="fr-FR"/>
              </w:rPr>
            </w:pPr>
            <w:r w:rsidRPr="00E14F3F">
              <w:rPr>
                <w:b/>
                <w:sz w:val="18"/>
                <w:lang w:val="fr-FR"/>
              </w:rPr>
              <w:t>584</w:t>
            </w:r>
            <w:r>
              <w:rPr>
                <w:b/>
                <w:sz w:val="18"/>
                <w:lang w:val="fr-FR"/>
              </w:rPr>
              <w:t> </w:t>
            </w:r>
            <w:r w:rsidRPr="00E14F3F">
              <w:rPr>
                <w:b/>
                <w:sz w:val="18"/>
                <w:lang w:val="fr-FR"/>
              </w:rPr>
              <w:t>600</w:t>
            </w:r>
          </w:p>
        </w:tc>
        <w:tc>
          <w:tcPr>
            <w:tcW w:w="787" w:type="dxa"/>
            <w:tcBorders>
              <w:top w:val="single" w:sz="4" w:space="0" w:color="auto"/>
              <w:bottom w:val="single" w:sz="12" w:space="0" w:color="auto"/>
            </w:tcBorders>
            <w:shd w:val="clear" w:color="auto" w:fill="auto"/>
            <w:noWrap/>
            <w:vAlign w:val="bottom"/>
            <w:hideMark/>
          </w:tcPr>
          <w:p w14:paraId="5D0881CE" w14:textId="77777777" w:rsidR="00EA3C11" w:rsidRPr="00E14F3F" w:rsidRDefault="00EA3C11" w:rsidP="00E146C5">
            <w:pPr>
              <w:suppressAutoHyphens w:val="0"/>
              <w:spacing w:before="80" w:after="80" w:line="220" w:lineRule="exact"/>
              <w:jc w:val="right"/>
              <w:rPr>
                <w:b/>
                <w:sz w:val="18"/>
                <w:lang w:val="fr-FR"/>
              </w:rPr>
            </w:pPr>
            <w:r w:rsidRPr="00E14F3F">
              <w:rPr>
                <w:b/>
                <w:sz w:val="18"/>
                <w:lang w:val="fr-FR"/>
              </w:rPr>
              <w:t>−</w:t>
            </w:r>
          </w:p>
        </w:tc>
        <w:tc>
          <w:tcPr>
            <w:tcW w:w="1344" w:type="dxa"/>
            <w:tcBorders>
              <w:top w:val="single" w:sz="4" w:space="0" w:color="auto"/>
              <w:bottom w:val="single" w:sz="12" w:space="0" w:color="auto"/>
            </w:tcBorders>
            <w:shd w:val="clear" w:color="auto" w:fill="auto"/>
            <w:noWrap/>
            <w:vAlign w:val="bottom"/>
            <w:hideMark/>
          </w:tcPr>
          <w:p w14:paraId="2A68A350" w14:textId="77777777" w:rsidR="00EA3C11" w:rsidRPr="00E14F3F" w:rsidRDefault="00EA3C11" w:rsidP="00E146C5">
            <w:pPr>
              <w:suppressAutoHyphens w:val="0"/>
              <w:spacing w:before="80" w:after="80" w:line="220" w:lineRule="exact"/>
              <w:jc w:val="right"/>
              <w:rPr>
                <w:b/>
                <w:bCs/>
                <w:sz w:val="18"/>
                <w:lang w:val="fr-FR"/>
              </w:rPr>
            </w:pPr>
            <w:r w:rsidRPr="00E14F3F">
              <w:rPr>
                <w:b/>
                <w:sz w:val="18"/>
                <w:lang w:val="fr-FR"/>
              </w:rPr>
              <w:t>584</w:t>
            </w:r>
            <w:r>
              <w:rPr>
                <w:b/>
                <w:sz w:val="18"/>
                <w:lang w:val="fr-FR"/>
              </w:rPr>
              <w:t> </w:t>
            </w:r>
            <w:r w:rsidRPr="00E14F3F">
              <w:rPr>
                <w:b/>
                <w:sz w:val="18"/>
                <w:lang w:val="fr-FR"/>
              </w:rPr>
              <w:t>600</w:t>
            </w:r>
          </w:p>
        </w:tc>
        <w:tc>
          <w:tcPr>
            <w:tcW w:w="837" w:type="dxa"/>
            <w:tcBorders>
              <w:top w:val="single" w:sz="4" w:space="0" w:color="auto"/>
              <w:bottom w:val="single" w:sz="12" w:space="0" w:color="auto"/>
            </w:tcBorders>
            <w:shd w:val="clear" w:color="auto" w:fill="auto"/>
            <w:noWrap/>
            <w:vAlign w:val="bottom"/>
            <w:hideMark/>
          </w:tcPr>
          <w:p w14:paraId="0B4E07FC" w14:textId="77777777" w:rsidR="00EA3C11" w:rsidRPr="00E14F3F" w:rsidRDefault="00EA3C11" w:rsidP="00E146C5">
            <w:pPr>
              <w:suppressAutoHyphens w:val="0"/>
              <w:spacing w:before="80" w:after="80" w:line="220" w:lineRule="exact"/>
              <w:jc w:val="right"/>
              <w:rPr>
                <w:b/>
                <w:sz w:val="18"/>
                <w:lang w:val="fr-FR"/>
              </w:rPr>
            </w:pPr>
            <w:r w:rsidRPr="00E14F3F">
              <w:rPr>
                <w:b/>
                <w:sz w:val="18"/>
                <w:lang w:val="fr-FR"/>
              </w:rPr>
              <w:t>−</w:t>
            </w:r>
          </w:p>
        </w:tc>
      </w:tr>
      <w:tr w:rsidR="00EA3C11" w:rsidRPr="00E14F3F" w14:paraId="7E865E87" w14:textId="77777777" w:rsidTr="00EA3C11">
        <w:tc>
          <w:tcPr>
            <w:tcW w:w="1275" w:type="dxa"/>
            <w:vMerge w:val="restart"/>
            <w:tcBorders>
              <w:top w:val="single" w:sz="12" w:space="0" w:color="auto"/>
            </w:tcBorders>
            <w:shd w:val="clear" w:color="auto" w:fill="auto"/>
            <w:hideMark/>
          </w:tcPr>
          <w:p w14:paraId="30FF54E2" w14:textId="77777777" w:rsidR="00EA3C11" w:rsidRPr="00E14F3F" w:rsidRDefault="00EA3C11" w:rsidP="00E146C5">
            <w:pPr>
              <w:suppressAutoHyphens w:val="0"/>
              <w:spacing w:before="40" w:after="40" w:line="220" w:lineRule="exact"/>
              <w:rPr>
                <w:sz w:val="18"/>
                <w:lang w:val="fr-FR"/>
              </w:rPr>
            </w:pPr>
            <w:r w:rsidRPr="00E14F3F">
              <w:rPr>
                <w:sz w:val="18"/>
                <w:lang w:val="fr-FR"/>
              </w:rPr>
              <w:t>VI. Renforcement des capacités</w:t>
            </w:r>
            <w:r w:rsidRPr="00E14F3F">
              <w:rPr>
                <w:sz w:val="18"/>
                <w:vertAlign w:val="superscript"/>
                <w:lang w:val="fr-FR"/>
              </w:rPr>
              <w:t>f</w:t>
            </w:r>
          </w:p>
        </w:tc>
        <w:tc>
          <w:tcPr>
            <w:tcW w:w="2178" w:type="dxa"/>
            <w:tcBorders>
              <w:top w:val="single" w:sz="12" w:space="0" w:color="auto"/>
            </w:tcBorders>
            <w:shd w:val="clear" w:color="auto" w:fill="auto"/>
            <w:vAlign w:val="bottom"/>
            <w:hideMark/>
          </w:tcPr>
          <w:p w14:paraId="4E68391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Administrateurs</w:t>
            </w:r>
            <w:r w:rsidRPr="00E14F3F">
              <w:rPr>
                <w:sz w:val="18"/>
                <w:vertAlign w:val="superscript"/>
                <w:lang w:val="fr-FR"/>
              </w:rPr>
              <w:t>c</w:t>
            </w:r>
            <w:r w:rsidRPr="00E14F3F">
              <w:rPr>
                <w:sz w:val="18"/>
                <w:lang w:val="fr-FR"/>
              </w:rPr>
              <w:t xml:space="preserve"> : 1 fonctionnaire P-3 à 20 % d’EPT, 1 fonctionnaire P-3 à 40 % d’EPT et 1 fonctionnaire P-2 </w:t>
            </w:r>
            <w:r>
              <w:rPr>
                <w:sz w:val="18"/>
                <w:lang w:val="fr-FR"/>
              </w:rPr>
              <w:br/>
            </w:r>
            <w:r w:rsidRPr="00E14F3F">
              <w:rPr>
                <w:sz w:val="18"/>
                <w:lang w:val="fr-FR"/>
              </w:rPr>
              <w:t>à 50 % d’EPT</w:t>
            </w:r>
          </w:p>
        </w:tc>
        <w:tc>
          <w:tcPr>
            <w:tcW w:w="1260" w:type="dxa"/>
            <w:tcBorders>
              <w:top w:val="single" w:sz="12" w:space="0" w:color="auto"/>
            </w:tcBorders>
            <w:shd w:val="clear" w:color="auto" w:fill="auto"/>
            <w:vAlign w:val="bottom"/>
            <w:hideMark/>
          </w:tcPr>
          <w:p w14:paraId="0F63232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168</w:t>
            </w:r>
            <w:r>
              <w:rPr>
                <w:sz w:val="18"/>
                <w:lang w:val="fr-FR"/>
              </w:rPr>
              <w:t> </w:t>
            </w:r>
            <w:r w:rsidRPr="00E14F3F">
              <w:rPr>
                <w:sz w:val="18"/>
                <w:lang w:val="fr-FR"/>
              </w:rPr>
              <w:t>000</w:t>
            </w:r>
          </w:p>
        </w:tc>
        <w:tc>
          <w:tcPr>
            <w:tcW w:w="789" w:type="dxa"/>
            <w:tcBorders>
              <w:top w:val="single" w:sz="12" w:space="0" w:color="auto"/>
            </w:tcBorders>
            <w:shd w:val="clear" w:color="auto" w:fill="auto"/>
            <w:vAlign w:val="bottom"/>
            <w:hideMark/>
          </w:tcPr>
          <w:p w14:paraId="6947D24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0359C79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168</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264B3D6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2F8080A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168</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6FD52CE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6028CC1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168</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182AB2D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391B170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168</w:t>
            </w:r>
            <w:r>
              <w:rPr>
                <w:sz w:val="18"/>
                <w:lang w:val="fr-FR"/>
              </w:rPr>
              <w:t> </w:t>
            </w:r>
            <w:r w:rsidRPr="00E14F3F">
              <w:rPr>
                <w:sz w:val="18"/>
                <w:lang w:val="fr-FR"/>
              </w:rPr>
              <w:t>000</w:t>
            </w:r>
          </w:p>
        </w:tc>
        <w:tc>
          <w:tcPr>
            <w:tcW w:w="837" w:type="dxa"/>
            <w:tcBorders>
              <w:top w:val="single" w:sz="12" w:space="0" w:color="auto"/>
            </w:tcBorders>
            <w:shd w:val="clear" w:color="auto" w:fill="auto"/>
            <w:vAlign w:val="bottom"/>
            <w:hideMark/>
          </w:tcPr>
          <w:p w14:paraId="5F4F413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7F291C04" w14:textId="77777777" w:rsidTr="00EA3C11">
        <w:tc>
          <w:tcPr>
            <w:tcW w:w="1275" w:type="dxa"/>
            <w:vMerge/>
            <w:shd w:val="clear" w:color="auto" w:fill="auto"/>
            <w:hideMark/>
          </w:tcPr>
          <w:p w14:paraId="03E5690B"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12FB7230" w14:textId="2A0DE67B" w:rsidR="00EA3C11" w:rsidRPr="00E14F3F" w:rsidRDefault="00EA3C11" w:rsidP="00E146C5">
            <w:pPr>
              <w:suppressAutoHyphens w:val="0"/>
              <w:spacing w:before="40" w:after="40" w:line="220" w:lineRule="exact"/>
              <w:jc w:val="right"/>
              <w:rPr>
                <w:sz w:val="18"/>
                <w:lang w:val="fr-FR"/>
              </w:rPr>
            </w:pPr>
            <w:r w:rsidRPr="00E14F3F">
              <w:rPr>
                <w:sz w:val="18"/>
                <w:lang w:val="fr-FR"/>
              </w:rPr>
              <w:t>Contrats de consultants (activités de renforcement des</w:t>
            </w:r>
            <w:r w:rsidR="00372CD4">
              <w:rPr>
                <w:sz w:val="18"/>
                <w:lang w:val="fr-FR"/>
              </w:rPr>
              <w:t> </w:t>
            </w:r>
            <w:r w:rsidRPr="00E14F3F">
              <w:rPr>
                <w:sz w:val="18"/>
                <w:lang w:val="fr-FR"/>
              </w:rPr>
              <w:t>capacités, matériels et</w:t>
            </w:r>
            <w:r w:rsidR="00372CD4">
              <w:rPr>
                <w:sz w:val="18"/>
                <w:lang w:val="fr-FR"/>
              </w:rPr>
              <w:t> </w:t>
            </w:r>
            <w:r w:rsidRPr="00E14F3F">
              <w:rPr>
                <w:sz w:val="18"/>
                <w:lang w:val="fr-FR"/>
              </w:rPr>
              <w:t>études, par exemple)</w:t>
            </w:r>
          </w:p>
        </w:tc>
        <w:tc>
          <w:tcPr>
            <w:tcW w:w="1260" w:type="dxa"/>
            <w:shd w:val="clear" w:color="auto" w:fill="auto"/>
            <w:vAlign w:val="bottom"/>
            <w:hideMark/>
          </w:tcPr>
          <w:p w14:paraId="53584ED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9" w:type="dxa"/>
            <w:shd w:val="clear" w:color="auto" w:fill="auto"/>
            <w:vAlign w:val="bottom"/>
            <w:hideMark/>
          </w:tcPr>
          <w:p w14:paraId="7DD558C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1244" w:type="dxa"/>
            <w:shd w:val="clear" w:color="auto" w:fill="auto"/>
            <w:noWrap/>
            <w:vAlign w:val="bottom"/>
            <w:hideMark/>
          </w:tcPr>
          <w:p w14:paraId="7CBCDAB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shd w:val="clear" w:color="auto" w:fill="auto"/>
            <w:noWrap/>
            <w:vAlign w:val="bottom"/>
            <w:hideMark/>
          </w:tcPr>
          <w:p w14:paraId="741F45F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1244" w:type="dxa"/>
            <w:shd w:val="clear" w:color="auto" w:fill="auto"/>
            <w:noWrap/>
            <w:vAlign w:val="bottom"/>
            <w:hideMark/>
          </w:tcPr>
          <w:p w14:paraId="6ECC0A7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shd w:val="clear" w:color="auto" w:fill="auto"/>
            <w:noWrap/>
            <w:vAlign w:val="bottom"/>
            <w:hideMark/>
          </w:tcPr>
          <w:p w14:paraId="24B978A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1244" w:type="dxa"/>
            <w:shd w:val="clear" w:color="auto" w:fill="auto"/>
            <w:noWrap/>
            <w:vAlign w:val="bottom"/>
            <w:hideMark/>
          </w:tcPr>
          <w:p w14:paraId="7A5766C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shd w:val="clear" w:color="auto" w:fill="auto"/>
            <w:noWrap/>
            <w:vAlign w:val="bottom"/>
            <w:hideMark/>
          </w:tcPr>
          <w:p w14:paraId="060EC9A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5 000</w:t>
            </w:r>
          </w:p>
        </w:tc>
        <w:tc>
          <w:tcPr>
            <w:tcW w:w="1344" w:type="dxa"/>
            <w:shd w:val="clear" w:color="auto" w:fill="auto"/>
            <w:noWrap/>
            <w:vAlign w:val="bottom"/>
            <w:hideMark/>
          </w:tcPr>
          <w:p w14:paraId="005A816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837" w:type="dxa"/>
            <w:shd w:val="clear" w:color="auto" w:fill="auto"/>
            <w:noWrap/>
            <w:vAlign w:val="bottom"/>
            <w:hideMark/>
          </w:tcPr>
          <w:p w14:paraId="2B232AA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r>
      <w:tr w:rsidR="00EA3C11" w:rsidRPr="00E14F3F" w14:paraId="12195F20" w14:textId="77777777" w:rsidTr="00EA3C11">
        <w:tc>
          <w:tcPr>
            <w:tcW w:w="1275" w:type="dxa"/>
            <w:shd w:val="clear" w:color="auto" w:fill="auto"/>
            <w:hideMark/>
          </w:tcPr>
          <w:p w14:paraId="6724C6A1"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08E4EE0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pour les experts qui y ont droit (réunion annuelle des partenaires du renforcement des capacités et activités de renforcement des capacités, par exemple)</w:t>
            </w:r>
          </w:p>
        </w:tc>
        <w:tc>
          <w:tcPr>
            <w:tcW w:w="1260" w:type="dxa"/>
            <w:shd w:val="clear" w:color="auto" w:fill="auto"/>
            <w:vAlign w:val="bottom"/>
            <w:hideMark/>
          </w:tcPr>
          <w:p w14:paraId="518C265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9" w:type="dxa"/>
            <w:shd w:val="clear" w:color="auto" w:fill="auto"/>
            <w:vAlign w:val="bottom"/>
            <w:hideMark/>
          </w:tcPr>
          <w:p w14:paraId="08A86A8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800</w:t>
            </w:r>
          </w:p>
        </w:tc>
        <w:tc>
          <w:tcPr>
            <w:tcW w:w="1244" w:type="dxa"/>
            <w:shd w:val="clear" w:color="auto" w:fill="auto"/>
            <w:noWrap/>
            <w:vAlign w:val="bottom"/>
            <w:hideMark/>
          </w:tcPr>
          <w:p w14:paraId="400B34A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shd w:val="clear" w:color="auto" w:fill="auto"/>
            <w:noWrap/>
            <w:vAlign w:val="bottom"/>
            <w:hideMark/>
          </w:tcPr>
          <w:p w14:paraId="08EFB75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800</w:t>
            </w:r>
          </w:p>
        </w:tc>
        <w:tc>
          <w:tcPr>
            <w:tcW w:w="1244" w:type="dxa"/>
            <w:shd w:val="clear" w:color="auto" w:fill="auto"/>
            <w:noWrap/>
            <w:vAlign w:val="bottom"/>
            <w:hideMark/>
          </w:tcPr>
          <w:p w14:paraId="6F5897A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shd w:val="clear" w:color="auto" w:fill="auto"/>
            <w:noWrap/>
            <w:vAlign w:val="bottom"/>
            <w:hideMark/>
          </w:tcPr>
          <w:p w14:paraId="34BF043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3 800</w:t>
            </w:r>
          </w:p>
        </w:tc>
        <w:tc>
          <w:tcPr>
            <w:tcW w:w="1244" w:type="dxa"/>
            <w:shd w:val="clear" w:color="auto" w:fill="auto"/>
            <w:noWrap/>
            <w:vAlign w:val="bottom"/>
            <w:hideMark/>
          </w:tcPr>
          <w:p w14:paraId="1F107E8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shd w:val="clear" w:color="auto" w:fill="auto"/>
            <w:noWrap/>
            <w:vAlign w:val="bottom"/>
            <w:hideMark/>
          </w:tcPr>
          <w:p w14:paraId="56D2D9C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3 800</w:t>
            </w:r>
          </w:p>
        </w:tc>
        <w:tc>
          <w:tcPr>
            <w:tcW w:w="1344" w:type="dxa"/>
            <w:shd w:val="clear" w:color="auto" w:fill="auto"/>
            <w:noWrap/>
            <w:vAlign w:val="bottom"/>
            <w:hideMark/>
          </w:tcPr>
          <w:p w14:paraId="71F8C3B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837" w:type="dxa"/>
            <w:shd w:val="clear" w:color="auto" w:fill="auto"/>
            <w:noWrap/>
            <w:vAlign w:val="bottom"/>
            <w:hideMark/>
          </w:tcPr>
          <w:p w14:paraId="6F790DF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800</w:t>
            </w:r>
          </w:p>
        </w:tc>
      </w:tr>
      <w:tr w:rsidR="00EA3C11" w:rsidRPr="00E14F3F" w14:paraId="78126276" w14:textId="77777777" w:rsidTr="00EA3C11">
        <w:tc>
          <w:tcPr>
            <w:tcW w:w="1275" w:type="dxa"/>
            <w:tcBorders>
              <w:bottom w:val="single" w:sz="4" w:space="0" w:color="auto"/>
            </w:tcBorders>
            <w:shd w:val="clear" w:color="auto" w:fill="auto"/>
            <w:hideMark/>
          </w:tcPr>
          <w:p w14:paraId="7263107C" w14:textId="77777777" w:rsidR="00EA3C11" w:rsidRPr="00E14F3F" w:rsidRDefault="00EA3C11" w:rsidP="00E146C5">
            <w:pPr>
              <w:suppressAutoHyphens w:val="0"/>
              <w:spacing w:before="40" w:after="40" w:line="220" w:lineRule="exact"/>
              <w:rPr>
                <w:sz w:val="18"/>
                <w:lang w:val="fr-FR"/>
              </w:rPr>
            </w:pPr>
          </w:p>
        </w:tc>
        <w:tc>
          <w:tcPr>
            <w:tcW w:w="2178" w:type="dxa"/>
            <w:tcBorders>
              <w:bottom w:val="single" w:sz="4" w:space="0" w:color="auto"/>
            </w:tcBorders>
            <w:shd w:val="clear" w:color="auto" w:fill="auto"/>
            <w:vAlign w:val="bottom"/>
            <w:hideMark/>
          </w:tcPr>
          <w:p w14:paraId="5D7C584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(personnel en mission)</w:t>
            </w:r>
            <w:r w:rsidRPr="00E14F3F">
              <w:rPr>
                <w:sz w:val="18"/>
                <w:vertAlign w:val="superscript"/>
                <w:lang w:val="fr-FR"/>
              </w:rPr>
              <w:t>d</w:t>
            </w:r>
          </w:p>
        </w:tc>
        <w:tc>
          <w:tcPr>
            <w:tcW w:w="1260" w:type="dxa"/>
            <w:tcBorders>
              <w:bottom w:val="single" w:sz="4" w:space="0" w:color="auto"/>
            </w:tcBorders>
            <w:shd w:val="clear" w:color="auto" w:fill="auto"/>
            <w:vAlign w:val="bottom"/>
            <w:hideMark/>
          </w:tcPr>
          <w:p w14:paraId="0653D07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9" w:type="dxa"/>
            <w:tcBorders>
              <w:bottom w:val="single" w:sz="4" w:space="0" w:color="auto"/>
            </w:tcBorders>
            <w:shd w:val="clear" w:color="auto" w:fill="auto"/>
            <w:vAlign w:val="bottom"/>
            <w:hideMark/>
          </w:tcPr>
          <w:p w14:paraId="58707CC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8</w:t>
            </w:r>
            <w:r>
              <w:rPr>
                <w:sz w:val="18"/>
                <w:lang w:val="fr-FR"/>
              </w:rPr>
              <w:t> </w:t>
            </w:r>
            <w:r w:rsidRPr="00E14F3F">
              <w:rPr>
                <w:sz w:val="18"/>
                <w:lang w:val="fr-FR"/>
              </w:rPr>
              <w:t>200</w:t>
            </w:r>
          </w:p>
        </w:tc>
        <w:tc>
          <w:tcPr>
            <w:tcW w:w="1244" w:type="dxa"/>
            <w:tcBorders>
              <w:bottom w:val="single" w:sz="4" w:space="0" w:color="auto"/>
            </w:tcBorders>
            <w:shd w:val="clear" w:color="auto" w:fill="auto"/>
            <w:noWrap/>
            <w:vAlign w:val="bottom"/>
            <w:hideMark/>
          </w:tcPr>
          <w:p w14:paraId="6E6FD68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5386CD8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8</w:t>
            </w:r>
            <w:r>
              <w:rPr>
                <w:sz w:val="18"/>
                <w:lang w:val="fr-FR"/>
              </w:rPr>
              <w:t> </w:t>
            </w:r>
            <w:r w:rsidRPr="00E14F3F">
              <w:rPr>
                <w:sz w:val="18"/>
                <w:lang w:val="fr-FR"/>
              </w:rPr>
              <w:t>200</w:t>
            </w:r>
          </w:p>
        </w:tc>
        <w:tc>
          <w:tcPr>
            <w:tcW w:w="1244" w:type="dxa"/>
            <w:tcBorders>
              <w:bottom w:val="single" w:sz="4" w:space="0" w:color="auto"/>
            </w:tcBorders>
            <w:shd w:val="clear" w:color="auto" w:fill="auto"/>
            <w:noWrap/>
            <w:vAlign w:val="bottom"/>
            <w:hideMark/>
          </w:tcPr>
          <w:p w14:paraId="7587292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5D43969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8 200</w:t>
            </w:r>
          </w:p>
        </w:tc>
        <w:tc>
          <w:tcPr>
            <w:tcW w:w="1244" w:type="dxa"/>
            <w:tcBorders>
              <w:bottom w:val="single" w:sz="4" w:space="0" w:color="auto"/>
            </w:tcBorders>
            <w:shd w:val="clear" w:color="auto" w:fill="auto"/>
            <w:noWrap/>
            <w:vAlign w:val="bottom"/>
            <w:hideMark/>
          </w:tcPr>
          <w:p w14:paraId="04F4E06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4152403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8 200</w:t>
            </w:r>
          </w:p>
        </w:tc>
        <w:tc>
          <w:tcPr>
            <w:tcW w:w="1344" w:type="dxa"/>
            <w:tcBorders>
              <w:bottom w:val="single" w:sz="4" w:space="0" w:color="auto"/>
            </w:tcBorders>
            <w:shd w:val="clear" w:color="auto" w:fill="auto"/>
            <w:noWrap/>
            <w:vAlign w:val="bottom"/>
            <w:hideMark/>
          </w:tcPr>
          <w:p w14:paraId="0B77360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837" w:type="dxa"/>
            <w:tcBorders>
              <w:bottom w:val="single" w:sz="4" w:space="0" w:color="auto"/>
            </w:tcBorders>
            <w:shd w:val="clear" w:color="auto" w:fill="auto"/>
            <w:noWrap/>
            <w:vAlign w:val="bottom"/>
            <w:hideMark/>
          </w:tcPr>
          <w:p w14:paraId="7761A56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8</w:t>
            </w:r>
            <w:r>
              <w:rPr>
                <w:sz w:val="18"/>
                <w:lang w:val="fr-FR"/>
              </w:rPr>
              <w:t> </w:t>
            </w:r>
            <w:r w:rsidRPr="00E14F3F">
              <w:rPr>
                <w:sz w:val="18"/>
                <w:lang w:val="fr-FR"/>
              </w:rPr>
              <w:t>200</w:t>
            </w:r>
          </w:p>
        </w:tc>
      </w:tr>
      <w:tr w:rsidR="00EA3C11" w:rsidRPr="005A4265" w14:paraId="21321BF0" w14:textId="77777777" w:rsidTr="00EA3C11">
        <w:tc>
          <w:tcPr>
            <w:tcW w:w="3453" w:type="dxa"/>
            <w:gridSpan w:val="2"/>
            <w:tcBorders>
              <w:top w:val="single" w:sz="4" w:space="0" w:color="auto"/>
              <w:bottom w:val="single" w:sz="12" w:space="0" w:color="auto"/>
            </w:tcBorders>
            <w:shd w:val="clear" w:color="auto" w:fill="auto"/>
            <w:hideMark/>
          </w:tcPr>
          <w:p w14:paraId="74583C2E" w14:textId="77777777" w:rsidR="00EA3C11" w:rsidRPr="005A4265" w:rsidRDefault="00EA3C11" w:rsidP="00E146C5">
            <w:pPr>
              <w:suppressAutoHyphens w:val="0"/>
              <w:spacing w:before="80" w:after="80" w:line="220" w:lineRule="exact"/>
              <w:ind w:left="283"/>
              <w:rPr>
                <w:b/>
                <w:sz w:val="18"/>
                <w:lang w:val="fr-FR"/>
              </w:rPr>
            </w:pPr>
            <w:r w:rsidRPr="005A4265">
              <w:rPr>
                <w:b/>
                <w:bCs/>
                <w:sz w:val="18"/>
                <w:lang w:val="fr-FR"/>
              </w:rPr>
              <w:t>Total partiel</w:t>
            </w:r>
          </w:p>
        </w:tc>
        <w:tc>
          <w:tcPr>
            <w:tcW w:w="1260" w:type="dxa"/>
            <w:tcBorders>
              <w:top w:val="single" w:sz="4" w:space="0" w:color="auto"/>
              <w:bottom w:val="single" w:sz="12" w:space="0" w:color="auto"/>
            </w:tcBorders>
            <w:shd w:val="clear" w:color="auto" w:fill="auto"/>
            <w:vAlign w:val="bottom"/>
            <w:hideMark/>
          </w:tcPr>
          <w:p w14:paraId="78099F87"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177 000</w:t>
            </w:r>
          </w:p>
        </w:tc>
        <w:tc>
          <w:tcPr>
            <w:tcW w:w="789" w:type="dxa"/>
            <w:tcBorders>
              <w:top w:val="single" w:sz="4" w:space="0" w:color="auto"/>
              <w:bottom w:val="single" w:sz="12" w:space="0" w:color="auto"/>
            </w:tcBorders>
            <w:shd w:val="clear" w:color="auto" w:fill="auto"/>
            <w:vAlign w:val="bottom"/>
            <w:hideMark/>
          </w:tcPr>
          <w:p w14:paraId="2439F0C3"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17 000</w:t>
            </w:r>
          </w:p>
        </w:tc>
        <w:tc>
          <w:tcPr>
            <w:tcW w:w="1244" w:type="dxa"/>
            <w:tcBorders>
              <w:top w:val="single" w:sz="4" w:space="0" w:color="auto"/>
              <w:bottom w:val="single" w:sz="12" w:space="0" w:color="auto"/>
            </w:tcBorders>
            <w:shd w:val="clear" w:color="auto" w:fill="auto"/>
            <w:vAlign w:val="bottom"/>
            <w:hideMark/>
          </w:tcPr>
          <w:p w14:paraId="5DD61FE9"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177 000</w:t>
            </w:r>
          </w:p>
        </w:tc>
        <w:tc>
          <w:tcPr>
            <w:tcW w:w="787" w:type="dxa"/>
            <w:tcBorders>
              <w:top w:val="single" w:sz="4" w:space="0" w:color="auto"/>
              <w:bottom w:val="single" w:sz="12" w:space="0" w:color="auto"/>
            </w:tcBorders>
            <w:shd w:val="clear" w:color="auto" w:fill="auto"/>
            <w:vAlign w:val="bottom"/>
            <w:hideMark/>
          </w:tcPr>
          <w:p w14:paraId="7A931AE3"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17 000</w:t>
            </w:r>
          </w:p>
        </w:tc>
        <w:tc>
          <w:tcPr>
            <w:tcW w:w="1244" w:type="dxa"/>
            <w:tcBorders>
              <w:top w:val="single" w:sz="4" w:space="0" w:color="auto"/>
              <w:bottom w:val="single" w:sz="12" w:space="0" w:color="auto"/>
            </w:tcBorders>
            <w:shd w:val="clear" w:color="auto" w:fill="auto"/>
            <w:vAlign w:val="bottom"/>
            <w:hideMark/>
          </w:tcPr>
          <w:p w14:paraId="787B7038"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177</w:t>
            </w:r>
            <w:r>
              <w:rPr>
                <w:b/>
                <w:bCs/>
                <w:sz w:val="18"/>
                <w:lang w:val="fr-FR"/>
              </w:rPr>
              <w:t> </w:t>
            </w:r>
            <w:r w:rsidRPr="005A4265">
              <w:rPr>
                <w:b/>
                <w:bCs/>
                <w:sz w:val="18"/>
                <w:lang w:val="fr-FR"/>
              </w:rPr>
              <w:t>000</w:t>
            </w:r>
          </w:p>
        </w:tc>
        <w:tc>
          <w:tcPr>
            <w:tcW w:w="787" w:type="dxa"/>
            <w:tcBorders>
              <w:top w:val="single" w:sz="4" w:space="0" w:color="auto"/>
              <w:bottom w:val="single" w:sz="12" w:space="0" w:color="auto"/>
            </w:tcBorders>
            <w:shd w:val="clear" w:color="auto" w:fill="auto"/>
            <w:vAlign w:val="bottom"/>
            <w:hideMark/>
          </w:tcPr>
          <w:p w14:paraId="328D1AFE"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17 000</w:t>
            </w:r>
          </w:p>
        </w:tc>
        <w:tc>
          <w:tcPr>
            <w:tcW w:w="1244" w:type="dxa"/>
            <w:tcBorders>
              <w:top w:val="single" w:sz="4" w:space="0" w:color="auto"/>
              <w:bottom w:val="single" w:sz="12" w:space="0" w:color="auto"/>
            </w:tcBorders>
            <w:shd w:val="clear" w:color="auto" w:fill="auto"/>
            <w:vAlign w:val="bottom"/>
            <w:hideMark/>
          </w:tcPr>
          <w:p w14:paraId="6A51457B"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177</w:t>
            </w:r>
            <w:r>
              <w:rPr>
                <w:b/>
                <w:bCs/>
                <w:sz w:val="18"/>
                <w:lang w:val="fr-FR"/>
              </w:rPr>
              <w:t> </w:t>
            </w:r>
            <w:r w:rsidRPr="005A4265">
              <w:rPr>
                <w:b/>
                <w:bCs/>
                <w:sz w:val="18"/>
                <w:lang w:val="fr-FR"/>
              </w:rPr>
              <w:t>000</w:t>
            </w:r>
          </w:p>
        </w:tc>
        <w:tc>
          <w:tcPr>
            <w:tcW w:w="787" w:type="dxa"/>
            <w:tcBorders>
              <w:top w:val="single" w:sz="4" w:space="0" w:color="auto"/>
              <w:bottom w:val="single" w:sz="12" w:space="0" w:color="auto"/>
            </w:tcBorders>
            <w:shd w:val="clear" w:color="auto" w:fill="auto"/>
            <w:vAlign w:val="bottom"/>
            <w:hideMark/>
          </w:tcPr>
          <w:p w14:paraId="4AE37D43"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17 000</w:t>
            </w:r>
          </w:p>
        </w:tc>
        <w:tc>
          <w:tcPr>
            <w:tcW w:w="1344" w:type="dxa"/>
            <w:tcBorders>
              <w:top w:val="single" w:sz="4" w:space="0" w:color="auto"/>
              <w:bottom w:val="single" w:sz="12" w:space="0" w:color="auto"/>
            </w:tcBorders>
            <w:shd w:val="clear" w:color="auto" w:fill="auto"/>
            <w:vAlign w:val="bottom"/>
            <w:hideMark/>
          </w:tcPr>
          <w:p w14:paraId="14495DAB"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177</w:t>
            </w:r>
            <w:r>
              <w:rPr>
                <w:b/>
                <w:bCs/>
                <w:sz w:val="18"/>
                <w:lang w:val="fr-FR"/>
              </w:rPr>
              <w:t> </w:t>
            </w:r>
            <w:r w:rsidRPr="005A4265">
              <w:rPr>
                <w:b/>
                <w:bCs/>
                <w:sz w:val="18"/>
                <w:lang w:val="fr-FR"/>
              </w:rPr>
              <w:t>000</w:t>
            </w:r>
          </w:p>
        </w:tc>
        <w:tc>
          <w:tcPr>
            <w:tcW w:w="837" w:type="dxa"/>
            <w:tcBorders>
              <w:top w:val="single" w:sz="4" w:space="0" w:color="auto"/>
              <w:bottom w:val="single" w:sz="12" w:space="0" w:color="auto"/>
            </w:tcBorders>
            <w:shd w:val="clear" w:color="auto" w:fill="auto"/>
            <w:noWrap/>
            <w:vAlign w:val="bottom"/>
            <w:hideMark/>
          </w:tcPr>
          <w:p w14:paraId="5D9B12EE"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17</w:t>
            </w:r>
            <w:r>
              <w:rPr>
                <w:b/>
                <w:bCs/>
                <w:sz w:val="18"/>
                <w:lang w:val="fr-FR"/>
              </w:rPr>
              <w:t> </w:t>
            </w:r>
            <w:r w:rsidRPr="005A4265">
              <w:rPr>
                <w:b/>
                <w:bCs/>
                <w:sz w:val="18"/>
                <w:lang w:val="fr-FR"/>
              </w:rPr>
              <w:t>000</w:t>
            </w:r>
          </w:p>
        </w:tc>
      </w:tr>
      <w:tr w:rsidR="00EA3C11" w:rsidRPr="00E14F3F" w14:paraId="7F5DB05C" w14:textId="77777777" w:rsidTr="00EA3C11">
        <w:tc>
          <w:tcPr>
            <w:tcW w:w="1275" w:type="dxa"/>
            <w:tcBorders>
              <w:top w:val="single" w:sz="12" w:space="0" w:color="auto"/>
              <w:bottom w:val="single" w:sz="4" w:space="0" w:color="auto"/>
            </w:tcBorders>
            <w:shd w:val="clear" w:color="auto" w:fill="auto"/>
            <w:hideMark/>
          </w:tcPr>
          <w:p w14:paraId="1A669A1C"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VII. </w:t>
            </w:r>
            <w:r>
              <w:rPr>
                <w:sz w:val="18"/>
                <w:lang w:val="fr-FR"/>
              </w:rPr>
              <w:br/>
            </w:r>
            <w:r w:rsidRPr="00E14F3F">
              <w:rPr>
                <w:sz w:val="18"/>
                <w:lang w:val="fr-FR"/>
              </w:rPr>
              <w:t>Mécanisme d’établissement de rapports</w:t>
            </w:r>
          </w:p>
        </w:tc>
        <w:tc>
          <w:tcPr>
            <w:tcW w:w="2178" w:type="dxa"/>
            <w:tcBorders>
              <w:top w:val="single" w:sz="12" w:space="0" w:color="auto"/>
              <w:bottom w:val="single" w:sz="4" w:space="0" w:color="auto"/>
            </w:tcBorders>
            <w:shd w:val="clear" w:color="auto" w:fill="auto"/>
            <w:vAlign w:val="bottom"/>
            <w:hideMark/>
          </w:tcPr>
          <w:p w14:paraId="6D32E86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Contrats de consultants (traitement des rapports nationaux d’exécution, établissement du rapport de synthèse et traduction)</w:t>
            </w:r>
          </w:p>
        </w:tc>
        <w:tc>
          <w:tcPr>
            <w:tcW w:w="1260" w:type="dxa"/>
            <w:tcBorders>
              <w:top w:val="single" w:sz="12" w:space="0" w:color="auto"/>
              <w:bottom w:val="single" w:sz="4" w:space="0" w:color="auto"/>
            </w:tcBorders>
            <w:shd w:val="clear" w:color="auto" w:fill="auto"/>
            <w:vAlign w:val="bottom"/>
            <w:hideMark/>
          </w:tcPr>
          <w:p w14:paraId="550BB00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9" w:type="dxa"/>
            <w:tcBorders>
              <w:top w:val="single" w:sz="12" w:space="0" w:color="auto"/>
              <w:bottom w:val="single" w:sz="4" w:space="0" w:color="auto"/>
            </w:tcBorders>
            <w:shd w:val="clear" w:color="auto" w:fill="auto"/>
            <w:vAlign w:val="bottom"/>
            <w:hideMark/>
          </w:tcPr>
          <w:p w14:paraId="3C6C13D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bottom w:val="single" w:sz="4" w:space="0" w:color="auto"/>
            </w:tcBorders>
            <w:shd w:val="clear" w:color="auto" w:fill="auto"/>
            <w:noWrap/>
            <w:vAlign w:val="bottom"/>
            <w:hideMark/>
          </w:tcPr>
          <w:p w14:paraId="19430F0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tcBorders>
              <w:top w:val="single" w:sz="12" w:space="0" w:color="auto"/>
              <w:bottom w:val="single" w:sz="4" w:space="0" w:color="auto"/>
            </w:tcBorders>
            <w:shd w:val="clear" w:color="auto" w:fill="auto"/>
            <w:vAlign w:val="bottom"/>
            <w:hideMark/>
          </w:tcPr>
          <w:p w14:paraId="3CA36DA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bottom w:val="single" w:sz="4" w:space="0" w:color="auto"/>
            </w:tcBorders>
            <w:shd w:val="clear" w:color="auto" w:fill="auto"/>
            <w:noWrap/>
            <w:vAlign w:val="bottom"/>
            <w:hideMark/>
          </w:tcPr>
          <w:p w14:paraId="64B2AD2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tcBorders>
              <w:top w:val="single" w:sz="12" w:space="0" w:color="auto"/>
              <w:bottom w:val="single" w:sz="4" w:space="0" w:color="auto"/>
            </w:tcBorders>
            <w:shd w:val="clear" w:color="auto" w:fill="auto"/>
            <w:vAlign w:val="bottom"/>
            <w:hideMark/>
          </w:tcPr>
          <w:p w14:paraId="35A8C8C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bottom w:val="single" w:sz="4" w:space="0" w:color="auto"/>
            </w:tcBorders>
            <w:shd w:val="clear" w:color="auto" w:fill="auto"/>
            <w:noWrap/>
            <w:vAlign w:val="bottom"/>
            <w:hideMark/>
          </w:tcPr>
          <w:p w14:paraId="272BEC9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20</w:t>
            </w:r>
            <w:r>
              <w:rPr>
                <w:sz w:val="18"/>
                <w:lang w:val="fr-FR"/>
              </w:rPr>
              <w:t> </w:t>
            </w:r>
            <w:r w:rsidRPr="00E14F3F">
              <w:rPr>
                <w:sz w:val="18"/>
                <w:lang w:val="fr-FR"/>
              </w:rPr>
              <w:t>000</w:t>
            </w:r>
          </w:p>
        </w:tc>
        <w:tc>
          <w:tcPr>
            <w:tcW w:w="787" w:type="dxa"/>
            <w:tcBorders>
              <w:top w:val="single" w:sz="12" w:space="0" w:color="auto"/>
              <w:bottom w:val="single" w:sz="4" w:space="0" w:color="auto"/>
            </w:tcBorders>
            <w:shd w:val="clear" w:color="auto" w:fill="auto"/>
            <w:vAlign w:val="bottom"/>
            <w:hideMark/>
          </w:tcPr>
          <w:p w14:paraId="5B2106D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bottom w:val="single" w:sz="4" w:space="0" w:color="auto"/>
            </w:tcBorders>
            <w:shd w:val="clear" w:color="auto" w:fill="auto"/>
            <w:noWrap/>
            <w:vAlign w:val="bottom"/>
            <w:hideMark/>
          </w:tcPr>
          <w:p w14:paraId="1D10751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500</w:t>
            </w:r>
          </w:p>
        </w:tc>
        <w:tc>
          <w:tcPr>
            <w:tcW w:w="837" w:type="dxa"/>
            <w:tcBorders>
              <w:top w:val="single" w:sz="12" w:space="0" w:color="auto"/>
              <w:bottom w:val="single" w:sz="4" w:space="0" w:color="auto"/>
            </w:tcBorders>
            <w:shd w:val="clear" w:color="auto" w:fill="auto"/>
            <w:vAlign w:val="bottom"/>
            <w:hideMark/>
          </w:tcPr>
          <w:p w14:paraId="1B67FCE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5A4265" w14:paraId="54FCC0EE" w14:textId="77777777" w:rsidTr="00EA3C11">
        <w:tc>
          <w:tcPr>
            <w:tcW w:w="3453" w:type="dxa"/>
            <w:gridSpan w:val="2"/>
            <w:tcBorders>
              <w:top w:val="single" w:sz="4" w:space="0" w:color="auto"/>
              <w:bottom w:val="single" w:sz="12" w:space="0" w:color="auto"/>
            </w:tcBorders>
            <w:shd w:val="clear" w:color="auto" w:fill="auto"/>
            <w:hideMark/>
          </w:tcPr>
          <w:p w14:paraId="4843AB17" w14:textId="77777777" w:rsidR="00EA3C11" w:rsidRPr="005A4265" w:rsidRDefault="00EA3C11" w:rsidP="00E146C5">
            <w:pPr>
              <w:suppressAutoHyphens w:val="0"/>
              <w:spacing w:before="80" w:after="80" w:line="220" w:lineRule="exact"/>
              <w:ind w:left="283"/>
              <w:rPr>
                <w:b/>
                <w:bCs/>
                <w:sz w:val="18"/>
                <w:lang w:val="fr-FR"/>
              </w:rPr>
            </w:pPr>
            <w:r w:rsidRPr="005A4265">
              <w:rPr>
                <w:b/>
                <w:bCs/>
                <w:sz w:val="18"/>
                <w:lang w:val="fr-FR"/>
              </w:rPr>
              <w:t>Total partiel</w:t>
            </w:r>
          </w:p>
        </w:tc>
        <w:tc>
          <w:tcPr>
            <w:tcW w:w="1260" w:type="dxa"/>
            <w:tcBorders>
              <w:top w:val="single" w:sz="4" w:space="0" w:color="auto"/>
              <w:bottom w:val="single" w:sz="12" w:space="0" w:color="auto"/>
            </w:tcBorders>
            <w:shd w:val="clear" w:color="auto" w:fill="auto"/>
            <w:vAlign w:val="bottom"/>
            <w:hideMark/>
          </w:tcPr>
          <w:p w14:paraId="670759F5" w14:textId="77777777" w:rsidR="00EA3C11" w:rsidRPr="005A4265" w:rsidRDefault="00EA3C11" w:rsidP="00E146C5">
            <w:pPr>
              <w:suppressAutoHyphens w:val="0"/>
              <w:spacing w:before="80" w:after="80" w:line="220" w:lineRule="exact"/>
              <w:jc w:val="right"/>
              <w:rPr>
                <w:b/>
                <w:sz w:val="18"/>
                <w:lang w:val="fr-FR"/>
              </w:rPr>
            </w:pPr>
            <w:r w:rsidRPr="005A4265">
              <w:rPr>
                <w:b/>
                <w:sz w:val="18"/>
                <w:lang w:val="fr-FR"/>
              </w:rPr>
              <w:t>−</w:t>
            </w:r>
          </w:p>
        </w:tc>
        <w:tc>
          <w:tcPr>
            <w:tcW w:w="789" w:type="dxa"/>
            <w:tcBorders>
              <w:top w:val="single" w:sz="4" w:space="0" w:color="auto"/>
              <w:bottom w:val="single" w:sz="12" w:space="0" w:color="auto"/>
            </w:tcBorders>
            <w:shd w:val="clear" w:color="auto" w:fill="auto"/>
            <w:vAlign w:val="bottom"/>
            <w:hideMark/>
          </w:tcPr>
          <w:p w14:paraId="20130C95" w14:textId="77777777" w:rsidR="00EA3C11" w:rsidRPr="005A4265" w:rsidRDefault="00EA3C11" w:rsidP="00E146C5">
            <w:pPr>
              <w:suppressAutoHyphens w:val="0"/>
              <w:spacing w:before="80" w:after="80" w:line="220" w:lineRule="exact"/>
              <w:jc w:val="right"/>
              <w:rPr>
                <w:b/>
                <w:sz w:val="18"/>
                <w:lang w:val="fr-FR"/>
              </w:rPr>
            </w:pPr>
            <w:r w:rsidRPr="005A4265">
              <w:rPr>
                <w:b/>
                <w:sz w:val="18"/>
                <w:lang w:val="fr-FR"/>
              </w:rPr>
              <w:t>−</w:t>
            </w:r>
          </w:p>
        </w:tc>
        <w:tc>
          <w:tcPr>
            <w:tcW w:w="1244" w:type="dxa"/>
            <w:tcBorders>
              <w:top w:val="single" w:sz="4" w:space="0" w:color="auto"/>
              <w:bottom w:val="single" w:sz="12" w:space="0" w:color="auto"/>
            </w:tcBorders>
            <w:shd w:val="clear" w:color="auto" w:fill="auto"/>
            <w:noWrap/>
            <w:vAlign w:val="bottom"/>
            <w:hideMark/>
          </w:tcPr>
          <w:p w14:paraId="15D67E48" w14:textId="77777777" w:rsidR="00EA3C11" w:rsidRPr="005A4265" w:rsidRDefault="00EA3C11" w:rsidP="00E146C5">
            <w:pPr>
              <w:suppressAutoHyphens w:val="0"/>
              <w:spacing w:before="80" w:after="80" w:line="220" w:lineRule="exact"/>
              <w:jc w:val="right"/>
              <w:rPr>
                <w:b/>
                <w:sz w:val="18"/>
                <w:lang w:val="fr-FR"/>
              </w:rPr>
            </w:pPr>
            <w:r w:rsidRPr="005A4265">
              <w:rPr>
                <w:b/>
                <w:sz w:val="18"/>
                <w:lang w:val="fr-FR"/>
              </w:rPr>
              <w:t>−</w:t>
            </w:r>
          </w:p>
        </w:tc>
        <w:tc>
          <w:tcPr>
            <w:tcW w:w="787" w:type="dxa"/>
            <w:tcBorders>
              <w:top w:val="single" w:sz="4" w:space="0" w:color="auto"/>
              <w:bottom w:val="single" w:sz="12" w:space="0" w:color="auto"/>
            </w:tcBorders>
            <w:shd w:val="clear" w:color="auto" w:fill="auto"/>
            <w:vAlign w:val="bottom"/>
            <w:hideMark/>
          </w:tcPr>
          <w:p w14:paraId="60B754F0" w14:textId="77777777" w:rsidR="00EA3C11" w:rsidRPr="005A4265" w:rsidRDefault="00EA3C11" w:rsidP="00E146C5">
            <w:pPr>
              <w:suppressAutoHyphens w:val="0"/>
              <w:spacing w:before="80" w:after="80" w:line="220" w:lineRule="exact"/>
              <w:jc w:val="right"/>
              <w:rPr>
                <w:b/>
                <w:sz w:val="18"/>
                <w:lang w:val="fr-FR"/>
              </w:rPr>
            </w:pPr>
            <w:r w:rsidRPr="005A4265">
              <w:rPr>
                <w:b/>
                <w:sz w:val="18"/>
                <w:lang w:val="fr-FR"/>
              </w:rPr>
              <w:t>−</w:t>
            </w:r>
          </w:p>
        </w:tc>
        <w:tc>
          <w:tcPr>
            <w:tcW w:w="1244" w:type="dxa"/>
            <w:tcBorders>
              <w:top w:val="single" w:sz="4" w:space="0" w:color="auto"/>
              <w:bottom w:val="single" w:sz="12" w:space="0" w:color="auto"/>
            </w:tcBorders>
            <w:shd w:val="clear" w:color="auto" w:fill="auto"/>
            <w:noWrap/>
            <w:vAlign w:val="bottom"/>
            <w:hideMark/>
          </w:tcPr>
          <w:p w14:paraId="744271A5"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10</w:t>
            </w:r>
            <w:r>
              <w:rPr>
                <w:b/>
                <w:bCs/>
                <w:sz w:val="18"/>
                <w:lang w:val="fr-FR"/>
              </w:rPr>
              <w:t> </w:t>
            </w:r>
            <w:r w:rsidRPr="005A4265">
              <w:rPr>
                <w:b/>
                <w:bCs/>
                <w:sz w:val="18"/>
                <w:lang w:val="fr-FR"/>
              </w:rPr>
              <w:t>000</w:t>
            </w:r>
          </w:p>
        </w:tc>
        <w:tc>
          <w:tcPr>
            <w:tcW w:w="787" w:type="dxa"/>
            <w:tcBorders>
              <w:top w:val="single" w:sz="4" w:space="0" w:color="auto"/>
              <w:bottom w:val="single" w:sz="12" w:space="0" w:color="auto"/>
            </w:tcBorders>
            <w:shd w:val="clear" w:color="auto" w:fill="auto"/>
            <w:vAlign w:val="bottom"/>
            <w:hideMark/>
          </w:tcPr>
          <w:p w14:paraId="340ECDD0" w14:textId="77777777" w:rsidR="00EA3C11" w:rsidRPr="005A4265" w:rsidRDefault="00EA3C11" w:rsidP="00E146C5">
            <w:pPr>
              <w:suppressAutoHyphens w:val="0"/>
              <w:spacing w:before="80" w:after="80" w:line="220" w:lineRule="exact"/>
              <w:jc w:val="right"/>
              <w:rPr>
                <w:b/>
                <w:sz w:val="18"/>
                <w:lang w:val="fr-FR"/>
              </w:rPr>
            </w:pPr>
            <w:r w:rsidRPr="005A4265">
              <w:rPr>
                <w:b/>
                <w:sz w:val="18"/>
                <w:lang w:val="fr-FR"/>
              </w:rPr>
              <w:t>−</w:t>
            </w:r>
          </w:p>
        </w:tc>
        <w:tc>
          <w:tcPr>
            <w:tcW w:w="1244" w:type="dxa"/>
            <w:tcBorders>
              <w:top w:val="single" w:sz="4" w:space="0" w:color="auto"/>
              <w:bottom w:val="single" w:sz="12" w:space="0" w:color="auto"/>
            </w:tcBorders>
            <w:shd w:val="clear" w:color="auto" w:fill="auto"/>
            <w:noWrap/>
            <w:vAlign w:val="bottom"/>
            <w:hideMark/>
          </w:tcPr>
          <w:p w14:paraId="36FA7C9B" w14:textId="77777777" w:rsidR="00EA3C11" w:rsidRPr="005A4265" w:rsidRDefault="00EA3C11" w:rsidP="00E146C5">
            <w:pPr>
              <w:suppressAutoHyphens w:val="0"/>
              <w:spacing w:before="80" w:after="80" w:line="220" w:lineRule="exact"/>
              <w:jc w:val="right"/>
              <w:rPr>
                <w:b/>
                <w:bCs/>
                <w:sz w:val="18"/>
                <w:lang w:val="fr-FR"/>
              </w:rPr>
            </w:pPr>
            <w:r w:rsidRPr="005A4265">
              <w:rPr>
                <w:b/>
                <w:bCs/>
                <w:sz w:val="18"/>
                <w:lang w:val="fr-FR"/>
              </w:rPr>
              <w:t>20</w:t>
            </w:r>
            <w:r>
              <w:rPr>
                <w:b/>
                <w:bCs/>
                <w:sz w:val="18"/>
                <w:lang w:val="fr-FR"/>
              </w:rPr>
              <w:t> </w:t>
            </w:r>
            <w:r w:rsidRPr="005A4265">
              <w:rPr>
                <w:b/>
                <w:bCs/>
                <w:sz w:val="18"/>
                <w:lang w:val="fr-FR"/>
              </w:rPr>
              <w:t>000</w:t>
            </w:r>
          </w:p>
        </w:tc>
        <w:tc>
          <w:tcPr>
            <w:tcW w:w="787" w:type="dxa"/>
            <w:tcBorders>
              <w:top w:val="single" w:sz="4" w:space="0" w:color="auto"/>
              <w:bottom w:val="single" w:sz="12" w:space="0" w:color="auto"/>
            </w:tcBorders>
            <w:shd w:val="clear" w:color="auto" w:fill="auto"/>
            <w:vAlign w:val="bottom"/>
            <w:hideMark/>
          </w:tcPr>
          <w:p w14:paraId="428B0A32" w14:textId="77777777" w:rsidR="00EA3C11" w:rsidRPr="005A4265" w:rsidRDefault="00EA3C11" w:rsidP="00E146C5">
            <w:pPr>
              <w:suppressAutoHyphens w:val="0"/>
              <w:spacing w:before="80" w:after="80" w:line="220" w:lineRule="exact"/>
              <w:jc w:val="right"/>
              <w:rPr>
                <w:b/>
                <w:sz w:val="18"/>
                <w:lang w:val="fr-FR"/>
              </w:rPr>
            </w:pPr>
            <w:r w:rsidRPr="005A4265">
              <w:rPr>
                <w:b/>
                <w:sz w:val="18"/>
                <w:lang w:val="fr-FR"/>
              </w:rPr>
              <w:t>−</w:t>
            </w:r>
          </w:p>
        </w:tc>
        <w:tc>
          <w:tcPr>
            <w:tcW w:w="1344" w:type="dxa"/>
            <w:tcBorders>
              <w:top w:val="single" w:sz="4" w:space="0" w:color="auto"/>
              <w:bottom w:val="single" w:sz="12" w:space="0" w:color="auto"/>
            </w:tcBorders>
            <w:shd w:val="clear" w:color="auto" w:fill="auto"/>
            <w:noWrap/>
            <w:vAlign w:val="bottom"/>
            <w:hideMark/>
          </w:tcPr>
          <w:p w14:paraId="6B12E95E" w14:textId="77777777" w:rsidR="00EA3C11" w:rsidRPr="005A4265" w:rsidRDefault="00EA3C11" w:rsidP="00E146C5">
            <w:pPr>
              <w:suppressAutoHyphens w:val="0"/>
              <w:spacing w:before="80" w:after="80" w:line="220" w:lineRule="exact"/>
              <w:jc w:val="right"/>
              <w:rPr>
                <w:b/>
                <w:bCs/>
                <w:sz w:val="18"/>
                <w:lang w:val="fr-FR"/>
              </w:rPr>
            </w:pPr>
            <w:r w:rsidRPr="005A4265">
              <w:rPr>
                <w:b/>
                <w:sz w:val="18"/>
                <w:lang w:val="fr-FR"/>
              </w:rPr>
              <w:t>7</w:t>
            </w:r>
            <w:r>
              <w:rPr>
                <w:b/>
                <w:sz w:val="18"/>
                <w:lang w:val="fr-FR"/>
              </w:rPr>
              <w:t> </w:t>
            </w:r>
            <w:r w:rsidRPr="005A4265">
              <w:rPr>
                <w:b/>
                <w:sz w:val="18"/>
                <w:lang w:val="fr-FR"/>
              </w:rPr>
              <w:t>500</w:t>
            </w:r>
          </w:p>
        </w:tc>
        <w:tc>
          <w:tcPr>
            <w:tcW w:w="837" w:type="dxa"/>
            <w:tcBorders>
              <w:top w:val="single" w:sz="4" w:space="0" w:color="auto"/>
              <w:bottom w:val="single" w:sz="12" w:space="0" w:color="auto"/>
            </w:tcBorders>
            <w:shd w:val="clear" w:color="auto" w:fill="auto"/>
            <w:vAlign w:val="bottom"/>
            <w:hideMark/>
          </w:tcPr>
          <w:p w14:paraId="4F8FA6BF" w14:textId="77777777" w:rsidR="00EA3C11" w:rsidRPr="005A4265" w:rsidRDefault="00EA3C11" w:rsidP="00E146C5">
            <w:pPr>
              <w:suppressAutoHyphens w:val="0"/>
              <w:spacing w:before="80" w:after="80" w:line="220" w:lineRule="exact"/>
              <w:jc w:val="right"/>
              <w:rPr>
                <w:b/>
                <w:sz w:val="18"/>
                <w:lang w:val="fr-FR"/>
              </w:rPr>
            </w:pPr>
            <w:r w:rsidRPr="005A4265">
              <w:rPr>
                <w:b/>
                <w:sz w:val="18"/>
                <w:lang w:val="fr-FR"/>
              </w:rPr>
              <w:t>−</w:t>
            </w:r>
          </w:p>
        </w:tc>
      </w:tr>
      <w:tr w:rsidR="00EA3C11" w:rsidRPr="00E14F3F" w14:paraId="0D1C34D5" w14:textId="77777777" w:rsidTr="00EA3C11">
        <w:trPr>
          <w:cantSplit/>
        </w:trPr>
        <w:tc>
          <w:tcPr>
            <w:tcW w:w="1275" w:type="dxa"/>
            <w:vMerge w:val="restart"/>
            <w:tcBorders>
              <w:top w:val="single" w:sz="12" w:space="0" w:color="auto"/>
            </w:tcBorders>
            <w:shd w:val="clear" w:color="auto" w:fill="auto"/>
            <w:hideMark/>
          </w:tcPr>
          <w:p w14:paraId="7F82589A"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VIII. </w:t>
            </w:r>
            <w:r>
              <w:rPr>
                <w:sz w:val="18"/>
                <w:lang w:val="fr-FR"/>
              </w:rPr>
              <w:br/>
            </w:r>
            <w:r w:rsidRPr="00E14F3F">
              <w:rPr>
                <w:sz w:val="18"/>
                <w:lang w:val="fr-FR"/>
              </w:rPr>
              <w:t>Sensibilisation et promotion de la Convention</w:t>
            </w:r>
            <w:r w:rsidRPr="005A4265">
              <w:rPr>
                <w:i/>
                <w:iCs/>
                <w:sz w:val="18"/>
                <w:vertAlign w:val="superscript"/>
                <w:lang w:val="fr-FR"/>
              </w:rPr>
              <w:t>g</w:t>
            </w:r>
          </w:p>
        </w:tc>
        <w:tc>
          <w:tcPr>
            <w:tcW w:w="2178" w:type="dxa"/>
            <w:tcBorders>
              <w:top w:val="single" w:sz="12" w:space="0" w:color="auto"/>
            </w:tcBorders>
            <w:shd w:val="clear" w:color="auto" w:fill="auto"/>
            <w:vAlign w:val="bottom"/>
            <w:hideMark/>
          </w:tcPr>
          <w:p w14:paraId="468E0C9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Administrateurs</w:t>
            </w:r>
            <w:r w:rsidRPr="00E14F3F">
              <w:rPr>
                <w:sz w:val="18"/>
                <w:vertAlign w:val="superscript"/>
                <w:lang w:val="fr-FR"/>
              </w:rPr>
              <w:t>c</w:t>
            </w:r>
            <w:r w:rsidRPr="00E14F3F">
              <w:rPr>
                <w:sz w:val="18"/>
                <w:lang w:val="fr-FR"/>
              </w:rPr>
              <w:t> : 1 fonctionnaire P-3 à 50 % d’EPT et 1 fonctionnaire P-3 à 5 % d’EPT</w:t>
            </w:r>
          </w:p>
        </w:tc>
        <w:tc>
          <w:tcPr>
            <w:tcW w:w="1260" w:type="dxa"/>
            <w:tcBorders>
              <w:top w:val="single" w:sz="12" w:space="0" w:color="auto"/>
            </w:tcBorders>
            <w:shd w:val="clear" w:color="auto" w:fill="auto"/>
            <w:vAlign w:val="bottom"/>
            <w:hideMark/>
          </w:tcPr>
          <w:p w14:paraId="52861EC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99</w:t>
            </w:r>
            <w:r>
              <w:rPr>
                <w:sz w:val="18"/>
                <w:lang w:val="fr-FR"/>
              </w:rPr>
              <w:t> </w:t>
            </w:r>
            <w:r w:rsidRPr="00E14F3F">
              <w:rPr>
                <w:sz w:val="18"/>
                <w:lang w:val="fr-FR"/>
              </w:rPr>
              <w:t>000</w:t>
            </w:r>
          </w:p>
        </w:tc>
        <w:tc>
          <w:tcPr>
            <w:tcW w:w="789" w:type="dxa"/>
            <w:tcBorders>
              <w:top w:val="single" w:sz="12" w:space="0" w:color="auto"/>
            </w:tcBorders>
            <w:shd w:val="clear" w:color="auto" w:fill="auto"/>
            <w:vAlign w:val="bottom"/>
            <w:hideMark/>
          </w:tcPr>
          <w:p w14:paraId="7E577FE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vAlign w:val="bottom"/>
            <w:hideMark/>
          </w:tcPr>
          <w:p w14:paraId="7DD3737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3400E03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vAlign w:val="bottom"/>
            <w:hideMark/>
          </w:tcPr>
          <w:p w14:paraId="20A664F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2A7B258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vAlign w:val="bottom"/>
            <w:hideMark/>
          </w:tcPr>
          <w:p w14:paraId="515C6E4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99</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6200AF9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vAlign w:val="bottom"/>
            <w:hideMark/>
          </w:tcPr>
          <w:p w14:paraId="4F5D9E2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99</w:t>
            </w:r>
            <w:r>
              <w:rPr>
                <w:sz w:val="18"/>
                <w:lang w:val="fr-FR"/>
              </w:rPr>
              <w:t> </w:t>
            </w:r>
            <w:r w:rsidRPr="00E14F3F">
              <w:rPr>
                <w:sz w:val="18"/>
                <w:lang w:val="fr-FR"/>
              </w:rPr>
              <w:t>000</w:t>
            </w:r>
          </w:p>
        </w:tc>
        <w:tc>
          <w:tcPr>
            <w:tcW w:w="837" w:type="dxa"/>
            <w:tcBorders>
              <w:top w:val="single" w:sz="12" w:space="0" w:color="auto"/>
            </w:tcBorders>
            <w:shd w:val="clear" w:color="auto" w:fill="auto"/>
            <w:vAlign w:val="bottom"/>
            <w:hideMark/>
          </w:tcPr>
          <w:p w14:paraId="55893DF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38F63241" w14:textId="77777777" w:rsidTr="00EA3C11">
        <w:tc>
          <w:tcPr>
            <w:tcW w:w="1275" w:type="dxa"/>
            <w:vMerge/>
            <w:shd w:val="clear" w:color="auto" w:fill="auto"/>
            <w:hideMark/>
          </w:tcPr>
          <w:p w14:paraId="0E239704"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06651A7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Contrats de consultants (publications et matériels de promotion, par exemple)</w:t>
            </w:r>
          </w:p>
        </w:tc>
        <w:tc>
          <w:tcPr>
            <w:tcW w:w="1260" w:type="dxa"/>
            <w:shd w:val="clear" w:color="auto" w:fill="auto"/>
            <w:vAlign w:val="bottom"/>
            <w:hideMark/>
          </w:tcPr>
          <w:p w14:paraId="6FB43E6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9" w:type="dxa"/>
            <w:shd w:val="clear" w:color="auto" w:fill="auto"/>
            <w:vAlign w:val="bottom"/>
            <w:hideMark/>
          </w:tcPr>
          <w:p w14:paraId="70CB286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1244" w:type="dxa"/>
            <w:shd w:val="clear" w:color="auto" w:fill="auto"/>
            <w:noWrap/>
            <w:vAlign w:val="bottom"/>
            <w:hideMark/>
          </w:tcPr>
          <w:p w14:paraId="3CDA8ED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vAlign w:val="bottom"/>
            <w:hideMark/>
          </w:tcPr>
          <w:p w14:paraId="27A61B8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1244" w:type="dxa"/>
            <w:shd w:val="clear" w:color="auto" w:fill="auto"/>
            <w:noWrap/>
            <w:vAlign w:val="bottom"/>
            <w:hideMark/>
          </w:tcPr>
          <w:p w14:paraId="2A7AF2F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vAlign w:val="bottom"/>
            <w:hideMark/>
          </w:tcPr>
          <w:p w14:paraId="49C6ECC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1244" w:type="dxa"/>
            <w:shd w:val="clear" w:color="auto" w:fill="auto"/>
            <w:noWrap/>
            <w:vAlign w:val="bottom"/>
            <w:hideMark/>
          </w:tcPr>
          <w:p w14:paraId="6F76775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vAlign w:val="bottom"/>
            <w:hideMark/>
          </w:tcPr>
          <w:p w14:paraId="2ECD37C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1344" w:type="dxa"/>
            <w:shd w:val="clear" w:color="auto" w:fill="auto"/>
            <w:noWrap/>
            <w:vAlign w:val="bottom"/>
            <w:hideMark/>
          </w:tcPr>
          <w:p w14:paraId="11E1617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837" w:type="dxa"/>
            <w:shd w:val="clear" w:color="auto" w:fill="auto"/>
            <w:noWrap/>
            <w:vAlign w:val="bottom"/>
            <w:hideMark/>
          </w:tcPr>
          <w:p w14:paraId="0E644D4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r>
      <w:tr w:rsidR="00EA3C11" w:rsidRPr="00E14F3F" w14:paraId="57D3D943" w14:textId="77777777" w:rsidTr="00EA3C11">
        <w:tc>
          <w:tcPr>
            <w:tcW w:w="1275" w:type="dxa"/>
            <w:vMerge/>
            <w:shd w:val="clear" w:color="auto" w:fill="auto"/>
            <w:hideMark/>
          </w:tcPr>
          <w:p w14:paraId="57F2B2B1"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14BE0A4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et indemnités journalières de subsistance pour les participants à des manifestations et à des missions dans les pays visant à promouvoir la Convention et ses principes ; appui à des États non membres de la CEE en vue de leur adhésion à la Convention ; appui aux initiatives régionales et mondiales se rapportant au Principe 10 de la Déclaration de Rio sur l’environnement et le développement</w:t>
            </w:r>
          </w:p>
        </w:tc>
        <w:tc>
          <w:tcPr>
            <w:tcW w:w="1260" w:type="dxa"/>
            <w:shd w:val="clear" w:color="auto" w:fill="auto"/>
            <w:vAlign w:val="bottom"/>
            <w:hideMark/>
          </w:tcPr>
          <w:p w14:paraId="599D987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9" w:type="dxa"/>
            <w:shd w:val="clear" w:color="auto" w:fill="auto"/>
            <w:vAlign w:val="bottom"/>
            <w:hideMark/>
          </w:tcPr>
          <w:p w14:paraId="0DEFEAE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18</w:t>
            </w:r>
            <w:r>
              <w:rPr>
                <w:sz w:val="18"/>
                <w:lang w:val="fr-FR"/>
              </w:rPr>
              <w:t> </w:t>
            </w:r>
            <w:r w:rsidRPr="00E14F3F">
              <w:rPr>
                <w:sz w:val="18"/>
                <w:lang w:val="fr-FR"/>
              </w:rPr>
              <w:t>000</w:t>
            </w:r>
          </w:p>
        </w:tc>
        <w:tc>
          <w:tcPr>
            <w:tcW w:w="1244" w:type="dxa"/>
            <w:shd w:val="clear" w:color="auto" w:fill="auto"/>
            <w:noWrap/>
            <w:vAlign w:val="bottom"/>
            <w:hideMark/>
          </w:tcPr>
          <w:p w14:paraId="48142EB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vAlign w:val="bottom"/>
            <w:hideMark/>
          </w:tcPr>
          <w:p w14:paraId="4950C0D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18</w:t>
            </w:r>
            <w:r>
              <w:rPr>
                <w:sz w:val="18"/>
                <w:lang w:val="fr-FR"/>
              </w:rPr>
              <w:t> </w:t>
            </w:r>
            <w:r w:rsidRPr="00E14F3F">
              <w:rPr>
                <w:sz w:val="18"/>
                <w:lang w:val="fr-FR"/>
              </w:rPr>
              <w:t>000</w:t>
            </w:r>
          </w:p>
        </w:tc>
        <w:tc>
          <w:tcPr>
            <w:tcW w:w="1244" w:type="dxa"/>
            <w:shd w:val="clear" w:color="auto" w:fill="auto"/>
            <w:noWrap/>
            <w:vAlign w:val="bottom"/>
            <w:hideMark/>
          </w:tcPr>
          <w:p w14:paraId="3A024E25" w14:textId="77777777" w:rsidR="00EA3C11" w:rsidRPr="00E14F3F" w:rsidRDefault="00EA3C11" w:rsidP="00E146C5">
            <w:pPr>
              <w:suppressAutoHyphens w:val="0"/>
              <w:spacing w:before="40" w:after="40" w:line="220" w:lineRule="exact"/>
              <w:jc w:val="right"/>
              <w:rPr>
                <w:sz w:val="18"/>
                <w:lang w:val="fr-FR"/>
              </w:rPr>
            </w:pPr>
            <w:r>
              <w:rPr>
                <w:sz w:val="18"/>
                <w:lang w:val="fr-FR"/>
              </w:rPr>
              <w:t>5 </w:t>
            </w:r>
            <w:r w:rsidRPr="00E14F3F">
              <w:rPr>
                <w:sz w:val="18"/>
                <w:lang w:val="fr-FR"/>
              </w:rPr>
              <w:t>000</w:t>
            </w:r>
          </w:p>
        </w:tc>
        <w:tc>
          <w:tcPr>
            <w:tcW w:w="787" w:type="dxa"/>
            <w:shd w:val="clear" w:color="auto" w:fill="auto"/>
            <w:vAlign w:val="bottom"/>
            <w:hideMark/>
          </w:tcPr>
          <w:p w14:paraId="057CC61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18</w:t>
            </w:r>
            <w:r>
              <w:rPr>
                <w:sz w:val="18"/>
                <w:lang w:val="fr-FR"/>
              </w:rPr>
              <w:t> </w:t>
            </w:r>
            <w:r w:rsidRPr="00E14F3F">
              <w:rPr>
                <w:sz w:val="18"/>
                <w:lang w:val="fr-FR"/>
              </w:rPr>
              <w:t>000</w:t>
            </w:r>
          </w:p>
        </w:tc>
        <w:tc>
          <w:tcPr>
            <w:tcW w:w="1244" w:type="dxa"/>
            <w:shd w:val="clear" w:color="auto" w:fill="auto"/>
            <w:noWrap/>
            <w:vAlign w:val="bottom"/>
            <w:hideMark/>
          </w:tcPr>
          <w:p w14:paraId="1EC7783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vAlign w:val="bottom"/>
            <w:hideMark/>
          </w:tcPr>
          <w:p w14:paraId="655B50A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18</w:t>
            </w:r>
            <w:r>
              <w:rPr>
                <w:sz w:val="18"/>
                <w:lang w:val="fr-FR"/>
              </w:rPr>
              <w:t> </w:t>
            </w:r>
            <w:r w:rsidRPr="00E14F3F">
              <w:rPr>
                <w:sz w:val="18"/>
                <w:lang w:val="fr-FR"/>
              </w:rPr>
              <w:t>000</w:t>
            </w:r>
          </w:p>
        </w:tc>
        <w:tc>
          <w:tcPr>
            <w:tcW w:w="1344" w:type="dxa"/>
            <w:shd w:val="clear" w:color="auto" w:fill="auto"/>
            <w:noWrap/>
            <w:vAlign w:val="bottom"/>
            <w:hideMark/>
          </w:tcPr>
          <w:p w14:paraId="7B32413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837" w:type="dxa"/>
            <w:shd w:val="clear" w:color="auto" w:fill="auto"/>
            <w:vAlign w:val="bottom"/>
            <w:hideMark/>
          </w:tcPr>
          <w:p w14:paraId="51FC519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18</w:t>
            </w:r>
            <w:r>
              <w:rPr>
                <w:sz w:val="18"/>
                <w:lang w:val="fr-FR"/>
              </w:rPr>
              <w:t> </w:t>
            </w:r>
            <w:r w:rsidRPr="00E14F3F">
              <w:rPr>
                <w:sz w:val="18"/>
                <w:lang w:val="fr-FR"/>
              </w:rPr>
              <w:t>000</w:t>
            </w:r>
          </w:p>
        </w:tc>
      </w:tr>
      <w:tr w:rsidR="00EA3C11" w:rsidRPr="00E14F3F" w14:paraId="5DB7A4AD" w14:textId="77777777" w:rsidTr="00EA3C11">
        <w:tc>
          <w:tcPr>
            <w:tcW w:w="1275" w:type="dxa"/>
            <w:tcBorders>
              <w:bottom w:val="single" w:sz="4" w:space="0" w:color="auto"/>
            </w:tcBorders>
            <w:shd w:val="clear" w:color="auto" w:fill="auto"/>
            <w:hideMark/>
          </w:tcPr>
          <w:p w14:paraId="7542C863" w14:textId="77777777" w:rsidR="00EA3C11" w:rsidRPr="00E14F3F" w:rsidRDefault="00EA3C11" w:rsidP="00E146C5">
            <w:pPr>
              <w:suppressAutoHyphens w:val="0"/>
              <w:spacing w:before="40" w:after="40" w:line="220" w:lineRule="exact"/>
              <w:rPr>
                <w:b/>
                <w:bCs/>
                <w:sz w:val="18"/>
                <w:lang w:val="fr-FR"/>
              </w:rPr>
            </w:pPr>
          </w:p>
        </w:tc>
        <w:tc>
          <w:tcPr>
            <w:tcW w:w="2178" w:type="dxa"/>
            <w:tcBorders>
              <w:bottom w:val="single" w:sz="4" w:space="0" w:color="auto"/>
            </w:tcBorders>
            <w:shd w:val="clear" w:color="auto" w:fill="auto"/>
            <w:vAlign w:val="bottom"/>
            <w:hideMark/>
          </w:tcPr>
          <w:p w14:paraId="1E0E7122" w14:textId="12761961"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et indemnités journalières de subsistance (personnel en mission)</w:t>
            </w:r>
            <w:r w:rsidRPr="00372CD4">
              <w:rPr>
                <w:i/>
                <w:iCs/>
                <w:sz w:val="18"/>
                <w:vertAlign w:val="superscript"/>
                <w:lang w:val="fr-FR"/>
              </w:rPr>
              <w:t>d</w:t>
            </w:r>
            <w:r w:rsidRPr="00E14F3F">
              <w:rPr>
                <w:sz w:val="18"/>
                <w:lang w:val="fr-FR"/>
              </w:rPr>
              <w:t>, et</w:t>
            </w:r>
            <w:r w:rsidR="00FE4806">
              <w:rPr>
                <w:sz w:val="18"/>
                <w:lang w:val="fr-FR"/>
              </w:rPr>
              <w:t> </w:t>
            </w:r>
            <w:r w:rsidRPr="00E14F3F">
              <w:rPr>
                <w:sz w:val="18"/>
                <w:lang w:val="fr-FR"/>
              </w:rPr>
              <w:t>participation aux manifestations pertinentes lorsqu’aucune autre source de financement n’existe</w:t>
            </w:r>
          </w:p>
        </w:tc>
        <w:tc>
          <w:tcPr>
            <w:tcW w:w="1260" w:type="dxa"/>
            <w:tcBorders>
              <w:bottom w:val="single" w:sz="4" w:space="0" w:color="auto"/>
            </w:tcBorders>
            <w:shd w:val="clear" w:color="auto" w:fill="auto"/>
            <w:vAlign w:val="bottom"/>
            <w:hideMark/>
          </w:tcPr>
          <w:p w14:paraId="2B16DFD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9" w:type="dxa"/>
            <w:tcBorders>
              <w:bottom w:val="single" w:sz="4" w:space="0" w:color="auto"/>
            </w:tcBorders>
            <w:shd w:val="clear" w:color="auto" w:fill="auto"/>
            <w:vAlign w:val="bottom"/>
            <w:hideMark/>
          </w:tcPr>
          <w:p w14:paraId="2797428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500</w:t>
            </w:r>
          </w:p>
        </w:tc>
        <w:tc>
          <w:tcPr>
            <w:tcW w:w="1244" w:type="dxa"/>
            <w:tcBorders>
              <w:bottom w:val="single" w:sz="4" w:space="0" w:color="auto"/>
            </w:tcBorders>
            <w:shd w:val="clear" w:color="auto" w:fill="auto"/>
            <w:noWrap/>
            <w:vAlign w:val="bottom"/>
            <w:hideMark/>
          </w:tcPr>
          <w:p w14:paraId="70E0310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63C68AC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500</w:t>
            </w:r>
          </w:p>
        </w:tc>
        <w:tc>
          <w:tcPr>
            <w:tcW w:w="1244" w:type="dxa"/>
            <w:tcBorders>
              <w:bottom w:val="single" w:sz="4" w:space="0" w:color="auto"/>
            </w:tcBorders>
            <w:shd w:val="clear" w:color="auto" w:fill="auto"/>
            <w:noWrap/>
            <w:vAlign w:val="bottom"/>
            <w:hideMark/>
          </w:tcPr>
          <w:p w14:paraId="52C7B49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5268B23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500</w:t>
            </w:r>
          </w:p>
        </w:tc>
        <w:tc>
          <w:tcPr>
            <w:tcW w:w="1244" w:type="dxa"/>
            <w:tcBorders>
              <w:bottom w:val="single" w:sz="4" w:space="0" w:color="auto"/>
            </w:tcBorders>
            <w:shd w:val="clear" w:color="auto" w:fill="auto"/>
            <w:noWrap/>
            <w:vAlign w:val="bottom"/>
            <w:hideMark/>
          </w:tcPr>
          <w:p w14:paraId="1589D74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641381F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500</w:t>
            </w:r>
          </w:p>
        </w:tc>
        <w:tc>
          <w:tcPr>
            <w:tcW w:w="1344" w:type="dxa"/>
            <w:tcBorders>
              <w:bottom w:val="single" w:sz="4" w:space="0" w:color="auto"/>
            </w:tcBorders>
            <w:shd w:val="clear" w:color="auto" w:fill="auto"/>
            <w:noWrap/>
            <w:vAlign w:val="bottom"/>
            <w:hideMark/>
          </w:tcPr>
          <w:p w14:paraId="5B6E117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837" w:type="dxa"/>
            <w:tcBorders>
              <w:bottom w:val="single" w:sz="4" w:space="0" w:color="auto"/>
            </w:tcBorders>
            <w:shd w:val="clear" w:color="auto" w:fill="auto"/>
            <w:noWrap/>
            <w:vAlign w:val="bottom"/>
            <w:hideMark/>
          </w:tcPr>
          <w:p w14:paraId="28A1AEB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7</w:t>
            </w:r>
            <w:r>
              <w:rPr>
                <w:sz w:val="18"/>
                <w:lang w:val="fr-FR"/>
              </w:rPr>
              <w:t> </w:t>
            </w:r>
            <w:r w:rsidRPr="00E14F3F">
              <w:rPr>
                <w:sz w:val="18"/>
                <w:lang w:val="fr-FR"/>
              </w:rPr>
              <w:t>500</w:t>
            </w:r>
          </w:p>
        </w:tc>
      </w:tr>
      <w:tr w:rsidR="00EA3C11" w:rsidRPr="00BE6E53" w14:paraId="36A2EEBD" w14:textId="77777777" w:rsidTr="00EA3C11">
        <w:tc>
          <w:tcPr>
            <w:tcW w:w="3453" w:type="dxa"/>
            <w:gridSpan w:val="2"/>
            <w:tcBorders>
              <w:top w:val="single" w:sz="4" w:space="0" w:color="auto"/>
              <w:bottom w:val="single" w:sz="12" w:space="0" w:color="auto"/>
            </w:tcBorders>
            <w:shd w:val="clear" w:color="auto" w:fill="auto"/>
            <w:hideMark/>
          </w:tcPr>
          <w:p w14:paraId="69355BA9" w14:textId="77777777" w:rsidR="00EA3C11" w:rsidRPr="00BE6E53" w:rsidRDefault="00EA3C11" w:rsidP="00E146C5">
            <w:pPr>
              <w:suppressAutoHyphens w:val="0"/>
              <w:spacing w:before="80" w:after="80" w:line="220" w:lineRule="exact"/>
              <w:ind w:left="283"/>
              <w:rPr>
                <w:b/>
                <w:bCs/>
                <w:sz w:val="18"/>
                <w:lang w:val="fr-FR"/>
              </w:rPr>
            </w:pPr>
            <w:r w:rsidRPr="00BE6E53">
              <w:rPr>
                <w:b/>
                <w:bCs/>
                <w:sz w:val="18"/>
                <w:lang w:val="fr-FR"/>
              </w:rPr>
              <w:t>Total partiel</w:t>
            </w:r>
          </w:p>
        </w:tc>
        <w:tc>
          <w:tcPr>
            <w:tcW w:w="1260" w:type="dxa"/>
            <w:tcBorders>
              <w:top w:val="single" w:sz="4" w:space="0" w:color="auto"/>
              <w:bottom w:val="single" w:sz="12" w:space="0" w:color="auto"/>
            </w:tcBorders>
            <w:shd w:val="clear" w:color="auto" w:fill="auto"/>
            <w:vAlign w:val="bottom"/>
            <w:hideMark/>
          </w:tcPr>
          <w:p w14:paraId="3F0A41EE"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119 000</w:t>
            </w:r>
          </w:p>
        </w:tc>
        <w:tc>
          <w:tcPr>
            <w:tcW w:w="789" w:type="dxa"/>
            <w:tcBorders>
              <w:top w:val="single" w:sz="4" w:space="0" w:color="auto"/>
              <w:bottom w:val="single" w:sz="12" w:space="0" w:color="auto"/>
            </w:tcBorders>
            <w:shd w:val="clear" w:color="auto" w:fill="auto"/>
            <w:vAlign w:val="bottom"/>
            <w:hideMark/>
          </w:tcPr>
          <w:p w14:paraId="079011A5"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34 500</w:t>
            </w:r>
          </w:p>
        </w:tc>
        <w:tc>
          <w:tcPr>
            <w:tcW w:w="1244" w:type="dxa"/>
            <w:tcBorders>
              <w:top w:val="single" w:sz="4" w:space="0" w:color="auto"/>
              <w:bottom w:val="single" w:sz="12" w:space="0" w:color="auto"/>
            </w:tcBorders>
            <w:shd w:val="clear" w:color="auto" w:fill="auto"/>
            <w:vAlign w:val="bottom"/>
            <w:hideMark/>
          </w:tcPr>
          <w:p w14:paraId="3D0193AD"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119 000</w:t>
            </w:r>
          </w:p>
        </w:tc>
        <w:tc>
          <w:tcPr>
            <w:tcW w:w="787" w:type="dxa"/>
            <w:tcBorders>
              <w:top w:val="single" w:sz="4" w:space="0" w:color="auto"/>
              <w:bottom w:val="single" w:sz="12" w:space="0" w:color="auto"/>
            </w:tcBorders>
            <w:shd w:val="clear" w:color="auto" w:fill="auto"/>
            <w:vAlign w:val="bottom"/>
            <w:hideMark/>
          </w:tcPr>
          <w:p w14:paraId="008B1830"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34 500</w:t>
            </w:r>
          </w:p>
        </w:tc>
        <w:tc>
          <w:tcPr>
            <w:tcW w:w="1244" w:type="dxa"/>
            <w:tcBorders>
              <w:top w:val="single" w:sz="4" w:space="0" w:color="auto"/>
              <w:bottom w:val="single" w:sz="12" w:space="0" w:color="auto"/>
            </w:tcBorders>
            <w:shd w:val="clear" w:color="auto" w:fill="auto"/>
            <w:vAlign w:val="bottom"/>
            <w:hideMark/>
          </w:tcPr>
          <w:p w14:paraId="732B8FB9"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119 000</w:t>
            </w:r>
          </w:p>
        </w:tc>
        <w:tc>
          <w:tcPr>
            <w:tcW w:w="787" w:type="dxa"/>
            <w:tcBorders>
              <w:top w:val="single" w:sz="4" w:space="0" w:color="auto"/>
              <w:bottom w:val="single" w:sz="12" w:space="0" w:color="auto"/>
            </w:tcBorders>
            <w:shd w:val="clear" w:color="auto" w:fill="auto"/>
            <w:vAlign w:val="bottom"/>
            <w:hideMark/>
          </w:tcPr>
          <w:p w14:paraId="6935A571"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34 500</w:t>
            </w:r>
          </w:p>
        </w:tc>
        <w:tc>
          <w:tcPr>
            <w:tcW w:w="1244" w:type="dxa"/>
            <w:tcBorders>
              <w:top w:val="single" w:sz="4" w:space="0" w:color="auto"/>
              <w:bottom w:val="single" w:sz="12" w:space="0" w:color="auto"/>
            </w:tcBorders>
            <w:shd w:val="clear" w:color="auto" w:fill="auto"/>
            <w:vAlign w:val="bottom"/>
            <w:hideMark/>
          </w:tcPr>
          <w:p w14:paraId="4A18C162"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119 000</w:t>
            </w:r>
          </w:p>
        </w:tc>
        <w:tc>
          <w:tcPr>
            <w:tcW w:w="787" w:type="dxa"/>
            <w:tcBorders>
              <w:top w:val="single" w:sz="4" w:space="0" w:color="auto"/>
              <w:bottom w:val="single" w:sz="12" w:space="0" w:color="auto"/>
            </w:tcBorders>
            <w:shd w:val="clear" w:color="auto" w:fill="auto"/>
            <w:vAlign w:val="bottom"/>
            <w:hideMark/>
          </w:tcPr>
          <w:p w14:paraId="32BFA492"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34 500</w:t>
            </w:r>
          </w:p>
        </w:tc>
        <w:tc>
          <w:tcPr>
            <w:tcW w:w="1344" w:type="dxa"/>
            <w:tcBorders>
              <w:top w:val="single" w:sz="4" w:space="0" w:color="auto"/>
              <w:bottom w:val="single" w:sz="12" w:space="0" w:color="auto"/>
            </w:tcBorders>
            <w:shd w:val="clear" w:color="auto" w:fill="auto"/>
            <w:vAlign w:val="bottom"/>
            <w:hideMark/>
          </w:tcPr>
          <w:p w14:paraId="7D1931F4"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119 000</w:t>
            </w:r>
          </w:p>
        </w:tc>
        <w:tc>
          <w:tcPr>
            <w:tcW w:w="837" w:type="dxa"/>
            <w:tcBorders>
              <w:top w:val="single" w:sz="4" w:space="0" w:color="auto"/>
              <w:bottom w:val="single" w:sz="12" w:space="0" w:color="auto"/>
            </w:tcBorders>
            <w:shd w:val="clear" w:color="auto" w:fill="auto"/>
            <w:vAlign w:val="bottom"/>
            <w:hideMark/>
          </w:tcPr>
          <w:p w14:paraId="4A9E5154"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34 500</w:t>
            </w:r>
          </w:p>
        </w:tc>
      </w:tr>
      <w:tr w:rsidR="00EA3C11" w:rsidRPr="00E14F3F" w14:paraId="393A5650" w14:textId="77777777" w:rsidTr="00EA3C11">
        <w:trPr>
          <w:cantSplit/>
        </w:trPr>
        <w:tc>
          <w:tcPr>
            <w:tcW w:w="1275" w:type="dxa"/>
            <w:vMerge w:val="restart"/>
            <w:tcBorders>
              <w:top w:val="single" w:sz="12" w:space="0" w:color="auto"/>
            </w:tcBorders>
            <w:shd w:val="clear" w:color="auto" w:fill="auto"/>
            <w:hideMark/>
          </w:tcPr>
          <w:p w14:paraId="23AD9FBB" w14:textId="583187F9" w:rsidR="00EA3C11" w:rsidRPr="00E14F3F" w:rsidRDefault="00EA3C11" w:rsidP="00E146C5">
            <w:pPr>
              <w:suppressAutoHyphens w:val="0"/>
              <w:spacing w:before="40" w:after="40" w:line="220" w:lineRule="exact"/>
              <w:rPr>
                <w:sz w:val="18"/>
                <w:lang w:val="fr-FR"/>
              </w:rPr>
            </w:pPr>
            <w:r w:rsidRPr="00E14F3F">
              <w:rPr>
                <w:sz w:val="18"/>
                <w:lang w:val="fr-FR"/>
              </w:rPr>
              <w:t xml:space="preserve">IX. </w:t>
            </w:r>
            <w:r w:rsidRPr="00E14F3F">
              <w:rPr>
                <w:sz w:val="18"/>
                <w:lang w:val="fr-FR"/>
              </w:rPr>
              <w:br/>
              <w:t>Promotion des principes de la Convention dans</w:t>
            </w:r>
            <w:r w:rsidR="00FE4806">
              <w:rPr>
                <w:sz w:val="18"/>
                <w:lang w:val="fr-FR"/>
              </w:rPr>
              <w:t xml:space="preserve"> </w:t>
            </w:r>
            <w:r w:rsidRPr="00E14F3F">
              <w:rPr>
                <w:sz w:val="18"/>
                <w:lang w:val="fr-FR"/>
              </w:rPr>
              <w:t>les instances internationales, promotion des</w:t>
            </w:r>
            <w:r>
              <w:rPr>
                <w:sz w:val="18"/>
                <w:lang w:val="fr-FR"/>
              </w:rPr>
              <w:t> </w:t>
            </w:r>
            <w:r w:rsidRPr="00E14F3F">
              <w:rPr>
                <w:sz w:val="18"/>
                <w:lang w:val="fr-FR"/>
              </w:rPr>
              <w:t>Lignes directrices d’Almaty et d’autres formes d’interaction avec les organismes et</w:t>
            </w:r>
            <w:r>
              <w:rPr>
                <w:sz w:val="18"/>
                <w:lang w:val="fr-FR"/>
              </w:rPr>
              <w:t> </w:t>
            </w:r>
            <w:r w:rsidRPr="00E14F3F">
              <w:rPr>
                <w:sz w:val="18"/>
                <w:lang w:val="fr-FR"/>
              </w:rPr>
              <w:t>processus internationaux concernés</w:t>
            </w:r>
          </w:p>
        </w:tc>
        <w:tc>
          <w:tcPr>
            <w:tcW w:w="2178" w:type="dxa"/>
            <w:tcBorders>
              <w:top w:val="single" w:sz="12" w:space="0" w:color="auto"/>
            </w:tcBorders>
            <w:shd w:val="clear" w:color="auto" w:fill="auto"/>
            <w:vAlign w:val="bottom"/>
            <w:hideMark/>
          </w:tcPr>
          <w:p w14:paraId="56D57EF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Administrateurs</w:t>
            </w:r>
            <w:r w:rsidRPr="00E14F3F">
              <w:rPr>
                <w:sz w:val="18"/>
                <w:vertAlign w:val="superscript"/>
                <w:lang w:val="fr-FR"/>
              </w:rPr>
              <w:t>c</w:t>
            </w:r>
            <w:r w:rsidRPr="00E14F3F">
              <w:rPr>
                <w:sz w:val="18"/>
                <w:lang w:val="fr-FR"/>
              </w:rPr>
              <w:t> : 2 fonctionnaires P-3, l’un à 50 % d’EPT et l’autre à 10 % d’EPT</w:t>
            </w:r>
          </w:p>
        </w:tc>
        <w:tc>
          <w:tcPr>
            <w:tcW w:w="1260" w:type="dxa"/>
            <w:tcBorders>
              <w:top w:val="single" w:sz="12" w:space="0" w:color="auto"/>
            </w:tcBorders>
            <w:shd w:val="clear" w:color="auto" w:fill="auto"/>
            <w:vAlign w:val="bottom"/>
            <w:hideMark/>
          </w:tcPr>
          <w:p w14:paraId="5774556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108</w:t>
            </w:r>
            <w:r>
              <w:rPr>
                <w:sz w:val="18"/>
                <w:lang w:val="fr-FR"/>
              </w:rPr>
              <w:t> </w:t>
            </w:r>
            <w:r w:rsidRPr="00E14F3F">
              <w:rPr>
                <w:sz w:val="18"/>
                <w:lang w:val="fr-FR"/>
              </w:rPr>
              <w:t>000</w:t>
            </w:r>
          </w:p>
        </w:tc>
        <w:tc>
          <w:tcPr>
            <w:tcW w:w="789" w:type="dxa"/>
            <w:tcBorders>
              <w:top w:val="single" w:sz="12" w:space="0" w:color="auto"/>
            </w:tcBorders>
            <w:shd w:val="clear" w:color="auto" w:fill="auto"/>
            <w:vAlign w:val="bottom"/>
            <w:hideMark/>
          </w:tcPr>
          <w:p w14:paraId="24FDD09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3838588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108</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64A9B9F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5E50210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108</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431003C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586CC06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108</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5F1E1F9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21AE941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108</w:t>
            </w:r>
            <w:r>
              <w:rPr>
                <w:sz w:val="18"/>
                <w:lang w:val="fr-FR"/>
              </w:rPr>
              <w:t> </w:t>
            </w:r>
            <w:r w:rsidRPr="00E14F3F">
              <w:rPr>
                <w:sz w:val="18"/>
                <w:lang w:val="fr-FR"/>
              </w:rPr>
              <w:t>000</w:t>
            </w:r>
          </w:p>
        </w:tc>
        <w:tc>
          <w:tcPr>
            <w:tcW w:w="837" w:type="dxa"/>
            <w:tcBorders>
              <w:top w:val="single" w:sz="12" w:space="0" w:color="auto"/>
            </w:tcBorders>
            <w:shd w:val="clear" w:color="auto" w:fill="auto"/>
            <w:vAlign w:val="bottom"/>
            <w:hideMark/>
          </w:tcPr>
          <w:p w14:paraId="4174CF1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5B04587D" w14:textId="77777777" w:rsidTr="00EA3C11">
        <w:tc>
          <w:tcPr>
            <w:tcW w:w="1275" w:type="dxa"/>
            <w:vMerge/>
            <w:shd w:val="clear" w:color="auto" w:fill="auto"/>
            <w:hideMark/>
          </w:tcPr>
          <w:p w14:paraId="0E0E1F8B"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4EDCE13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Contrats de consultants (études d’experts)</w:t>
            </w:r>
          </w:p>
        </w:tc>
        <w:tc>
          <w:tcPr>
            <w:tcW w:w="1260" w:type="dxa"/>
            <w:shd w:val="clear" w:color="auto" w:fill="auto"/>
            <w:vAlign w:val="bottom"/>
            <w:hideMark/>
          </w:tcPr>
          <w:p w14:paraId="0AB93DB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789" w:type="dxa"/>
            <w:shd w:val="clear" w:color="auto" w:fill="auto"/>
            <w:vAlign w:val="bottom"/>
            <w:hideMark/>
          </w:tcPr>
          <w:p w14:paraId="7F8198E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1244" w:type="dxa"/>
            <w:shd w:val="clear" w:color="auto" w:fill="auto"/>
            <w:noWrap/>
            <w:vAlign w:val="bottom"/>
            <w:hideMark/>
          </w:tcPr>
          <w:p w14:paraId="29D3C6B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787" w:type="dxa"/>
            <w:shd w:val="clear" w:color="auto" w:fill="auto"/>
            <w:noWrap/>
            <w:vAlign w:val="bottom"/>
            <w:hideMark/>
          </w:tcPr>
          <w:p w14:paraId="3C7A0FA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1244" w:type="dxa"/>
            <w:shd w:val="clear" w:color="auto" w:fill="auto"/>
            <w:noWrap/>
            <w:vAlign w:val="bottom"/>
            <w:hideMark/>
          </w:tcPr>
          <w:p w14:paraId="31B7389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787" w:type="dxa"/>
            <w:shd w:val="clear" w:color="auto" w:fill="auto"/>
            <w:noWrap/>
            <w:vAlign w:val="bottom"/>
            <w:hideMark/>
          </w:tcPr>
          <w:p w14:paraId="5D03825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1244" w:type="dxa"/>
            <w:shd w:val="clear" w:color="auto" w:fill="auto"/>
            <w:noWrap/>
            <w:vAlign w:val="bottom"/>
            <w:hideMark/>
          </w:tcPr>
          <w:p w14:paraId="6AAB993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787" w:type="dxa"/>
            <w:shd w:val="clear" w:color="auto" w:fill="auto"/>
            <w:noWrap/>
            <w:vAlign w:val="bottom"/>
            <w:hideMark/>
          </w:tcPr>
          <w:p w14:paraId="5420F45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c>
          <w:tcPr>
            <w:tcW w:w="1344" w:type="dxa"/>
            <w:shd w:val="clear" w:color="auto" w:fill="auto"/>
            <w:noWrap/>
            <w:vAlign w:val="bottom"/>
            <w:hideMark/>
          </w:tcPr>
          <w:p w14:paraId="0F4AC45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2</w:t>
            </w:r>
            <w:r>
              <w:rPr>
                <w:sz w:val="18"/>
                <w:lang w:val="fr-FR"/>
              </w:rPr>
              <w:t> </w:t>
            </w:r>
            <w:r w:rsidRPr="00E14F3F">
              <w:rPr>
                <w:sz w:val="18"/>
                <w:lang w:val="fr-FR"/>
              </w:rPr>
              <w:t>000</w:t>
            </w:r>
          </w:p>
        </w:tc>
        <w:tc>
          <w:tcPr>
            <w:tcW w:w="837" w:type="dxa"/>
            <w:shd w:val="clear" w:color="auto" w:fill="auto"/>
            <w:noWrap/>
            <w:vAlign w:val="bottom"/>
            <w:hideMark/>
          </w:tcPr>
          <w:p w14:paraId="425BE8F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000</w:t>
            </w:r>
          </w:p>
        </w:tc>
      </w:tr>
      <w:tr w:rsidR="00EA3C11" w:rsidRPr="00E14F3F" w14:paraId="015D8DBD" w14:textId="77777777" w:rsidTr="00EA3C11">
        <w:tc>
          <w:tcPr>
            <w:tcW w:w="1275" w:type="dxa"/>
            <w:vMerge/>
            <w:shd w:val="clear" w:color="auto" w:fill="auto"/>
            <w:hideMark/>
          </w:tcPr>
          <w:p w14:paraId="50C3A5AD"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7CB7B7C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et indemnités journalières de subsistance (experts en mission)</w:t>
            </w:r>
          </w:p>
        </w:tc>
        <w:tc>
          <w:tcPr>
            <w:tcW w:w="1260" w:type="dxa"/>
            <w:shd w:val="clear" w:color="auto" w:fill="auto"/>
            <w:vAlign w:val="bottom"/>
            <w:hideMark/>
          </w:tcPr>
          <w:p w14:paraId="2F118C7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9" w:type="dxa"/>
            <w:shd w:val="clear" w:color="auto" w:fill="auto"/>
            <w:vAlign w:val="bottom"/>
            <w:hideMark/>
          </w:tcPr>
          <w:p w14:paraId="4F47200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76A4821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noWrap/>
            <w:vAlign w:val="bottom"/>
            <w:hideMark/>
          </w:tcPr>
          <w:p w14:paraId="202056A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13A8D62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noWrap/>
            <w:vAlign w:val="bottom"/>
            <w:hideMark/>
          </w:tcPr>
          <w:p w14:paraId="4F2B6FD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506DE89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noWrap/>
            <w:vAlign w:val="bottom"/>
            <w:hideMark/>
          </w:tcPr>
          <w:p w14:paraId="237FC04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76FFD66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837" w:type="dxa"/>
            <w:shd w:val="clear" w:color="auto" w:fill="auto"/>
            <w:noWrap/>
            <w:vAlign w:val="bottom"/>
            <w:hideMark/>
          </w:tcPr>
          <w:p w14:paraId="4FD033B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20D8130C" w14:textId="77777777" w:rsidTr="00EA3C11">
        <w:tc>
          <w:tcPr>
            <w:tcW w:w="1275" w:type="dxa"/>
            <w:vMerge/>
            <w:tcBorders>
              <w:bottom w:val="single" w:sz="4" w:space="0" w:color="auto"/>
            </w:tcBorders>
            <w:shd w:val="clear" w:color="auto" w:fill="auto"/>
            <w:hideMark/>
          </w:tcPr>
          <w:p w14:paraId="7D134859" w14:textId="77777777" w:rsidR="00EA3C11" w:rsidRPr="00E14F3F" w:rsidRDefault="00EA3C11" w:rsidP="00E146C5">
            <w:pPr>
              <w:suppressAutoHyphens w:val="0"/>
              <w:spacing w:before="40" w:after="40" w:line="220" w:lineRule="exact"/>
              <w:rPr>
                <w:b/>
                <w:bCs/>
                <w:sz w:val="18"/>
                <w:lang w:val="fr-FR"/>
              </w:rPr>
            </w:pPr>
          </w:p>
        </w:tc>
        <w:tc>
          <w:tcPr>
            <w:tcW w:w="2178" w:type="dxa"/>
            <w:tcBorders>
              <w:bottom w:val="single" w:sz="4" w:space="0" w:color="auto"/>
            </w:tcBorders>
            <w:shd w:val="clear" w:color="auto" w:fill="auto"/>
            <w:vAlign w:val="bottom"/>
            <w:hideMark/>
          </w:tcPr>
          <w:p w14:paraId="67CB837B" w14:textId="158809BB" w:rsidR="00EA3C11" w:rsidRPr="00E14F3F" w:rsidRDefault="00EA3C11" w:rsidP="00E146C5">
            <w:pPr>
              <w:suppressAutoHyphens w:val="0"/>
              <w:spacing w:before="40" w:after="40" w:line="220" w:lineRule="exact"/>
              <w:jc w:val="right"/>
              <w:rPr>
                <w:sz w:val="18"/>
                <w:lang w:val="fr-FR"/>
              </w:rPr>
            </w:pPr>
            <w:r w:rsidRPr="00E14F3F">
              <w:rPr>
                <w:sz w:val="18"/>
                <w:lang w:val="fr-FR"/>
              </w:rPr>
              <w:t xml:space="preserve">Frais de voyage </w:t>
            </w:r>
            <w:r w:rsidR="00FE4806">
              <w:rPr>
                <w:sz w:val="18"/>
                <w:lang w:val="fr-FR"/>
              </w:rPr>
              <w:br/>
            </w:r>
            <w:r w:rsidRPr="00E14F3F">
              <w:rPr>
                <w:sz w:val="18"/>
                <w:lang w:val="fr-FR"/>
              </w:rPr>
              <w:t>et indemnités journalières de</w:t>
            </w:r>
            <w:r w:rsidR="00FE4806">
              <w:rPr>
                <w:sz w:val="18"/>
                <w:lang w:val="fr-FR"/>
              </w:rPr>
              <w:t> </w:t>
            </w:r>
            <w:r w:rsidRPr="00E14F3F">
              <w:rPr>
                <w:sz w:val="18"/>
                <w:lang w:val="fr-FR"/>
              </w:rPr>
              <w:t>subsistance (personnel</w:t>
            </w:r>
            <w:r w:rsidR="00FE4806">
              <w:rPr>
                <w:sz w:val="18"/>
                <w:lang w:val="fr-FR"/>
              </w:rPr>
              <w:t> </w:t>
            </w:r>
            <w:r w:rsidRPr="00E14F3F">
              <w:rPr>
                <w:sz w:val="18"/>
                <w:lang w:val="fr-FR"/>
              </w:rPr>
              <w:t>en</w:t>
            </w:r>
            <w:r w:rsidR="00FE4806">
              <w:rPr>
                <w:sz w:val="18"/>
                <w:lang w:val="fr-FR"/>
              </w:rPr>
              <w:t> </w:t>
            </w:r>
            <w:r w:rsidRPr="00E14F3F">
              <w:rPr>
                <w:sz w:val="18"/>
                <w:lang w:val="fr-FR"/>
              </w:rPr>
              <w:t>mission)</w:t>
            </w:r>
            <w:r w:rsidRPr="00E14F3F">
              <w:rPr>
                <w:sz w:val="18"/>
                <w:vertAlign w:val="superscript"/>
                <w:lang w:val="fr-FR"/>
              </w:rPr>
              <w:t>d</w:t>
            </w:r>
          </w:p>
        </w:tc>
        <w:tc>
          <w:tcPr>
            <w:tcW w:w="1260" w:type="dxa"/>
            <w:tcBorders>
              <w:bottom w:val="single" w:sz="4" w:space="0" w:color="auto"/>
            </w:tcBorders>
            <w:shd w:val="clear" w:color="auto" w:fill="auto"/>
            <w:vAlign w:val="bottom"/>
            <w:hideMark/>
          </w:tcPr>
          <w:p w14:paraId="057FE28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9" w:type="dxa"/>
            <w:tcBorders>
              <w:bottom w:val="single" w:sz="4" w:space="0" w:color="auto"/>
            </w:tcBorders>
            <w:shd w:val="clear" w:color="auto" w:fill="auto"/>
            <w:vAlign w:val="bottom"/>
            <w:hideMark/>
          </w:tcPr>
          <w:p w14:paraId="1621E42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2D3B86B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5FABD15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5D8A5BD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1FF2C05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3EC8C28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787" w:type="dxa"/>
            <w:tcBorders>
              <w:bottom w:val="single" w:sz="4" w:space="0" w:color="auto"/>
            </w:tcBorders>
            <w:shd w:val="clear" w:color="auto" w:fill="auto"/>
            <w:noWrap/>
            <w:vAlign w:val="bottom"/>
            <w:hideMark/>
          </w:tcPr>
          <w:p w14:paraId="36DAE25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bottom w:val="single" w:sz="4" w:space="0" w:color="auto"/>
            </w:tcBorders>
            <w:shd w:val="clear" w:color="auto" w:fill="auto"/>
            <w:noWrap/>
            <w:vAlign w:val="bottom"/>
            <w:hideMark/>
          </w:tcPr>
          <w:p w14:paraId="06294F9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000</w:t>
            </w:r>
          </w:p>
        </w:tc>
        <w:tc>
          <w:tcPr>
            <w:tcW w:w="837" w:type="dxa"/>
            <w:tcBorders>
              <w:bottom w:val="single" w:sz="4" w:space="0" w:color="auto"/>
            </w:tcBorders>
            <w:shd w:val="clear" w:color="auto" w:fill="auto"/>
            <w:noWrap/>
            <w:vAlign w:val="bottom"/>
            <w:hideMark/>
          </w:tcPr>
          <w:p w14:paraId="79DFFC1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BE6E53" w14:paraId="0883C944" w14:textId="77777777" w:rsidTr="00EA3C11">
        <w:tc>
          <w:tcPr>
            <w:tcW w:w="3453" w:type="dxa"/>
            <w:gridSpan w:val="2"/>
            <w:tcBorders>
              <w:top w:val="single" w:sz="4" w:space="0" w:color="auto"/>
              <w:bottom w:val="single" w:sz="12" w:space="0" w:color="auto"/>
            </w:tcBorders>
            <w:shd w:val="clear" w:color="auto" w:fill="auto"/>
            <w:hideMark/>
          </w:tcPr>
          <w:p w14:paraId="1C5F687C" w14:textId="77777777" w:rsidR="00EA3C11" w:rsidRPr="00BE6E53" w:rsidRDefault="00EA3C11" w:rsidP="00E146C5">
            <w:pPr>
              <w:suppressAutoHyphens w:val="0"/>
              <w:spacing w:before="80" w:after="80" w:line="220" w:lineRule="exact"/>
              <w:ind w:left="283"/>
              <w:rPr>
                <w:b/>
                <w:bCs/>
                <w:sz w:val="18"/>
                <w:lang w:val="fr-FR"/>
              </w:rPr>
            </w:pPr>
            <w:r w:rsidRPr="00BE6E53">
              <w:rPr>
                <w:b/>
                <w:bCs/>
                <w:sz w:val="18"/>
                <w:lang w:val="fr-FR"/>
              </w:rPr>
              <w:t>Total partiel</w:t>
            </w:r>
            <w:r w:rsidRPr="00BE6E53">
              <w:rPr>
                <w:b/>
                <w:sz w:val="18"/>
                <w:lang w:val="fr-FR"/>
              </w:rPr>
              <w:t xml:space="preserve"> </w:t>
            </w:r>
          </w:p>
        </w:tc>
        <w:tc>
          <w:tcPr>
            <w:tcW w:w="1260" w:type="dxa"/>
            <w:tcBorders>
              <w:top w:val="single" w:sz="4" w:space="0" w:color="auto"/>
              <w:bottom w:val="single" w:sz="12" w:space="0" w:color="auto"/>
            </w:tcBorders>
            <w:shd w:val="clear" w:color="auto" w:fill="auto"/>
            <w:vAlign w:val="bottom"/>
            <w:hideMark/>
          </w:tcPr>
          <w:p w14:paraId="13382E92"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125</w:t>
            </w:r>
            <w:r>
              <w:rPr>
                <w:b/>
                <w:bCs/>
                <w:sz w:val="18"/>
                <w:lang w:val="fr-FR"/>
              </w:rPr>
              <w:t> </w:t>
            </w:r>
            <w:r w:rsidRPr="00BE6E53">
              <w:rPr>
                <w:b/>
                <w:bCs/>
                <w:sz w:val="18"/>
                <w:lang w:val="fr-FR"/>
              </w:rPr>
              <w:t>000</w:t>
            </w:r>
          </w:p>
        </w:tc>
        <w:tc>
          <w:tcPr>
            <w:tcW w:w="789" w:type="dxa"/>
            <w:tcBorders>
              <w:top w:val="single" w:sz="4" w:space="0" w:color="auto"/>
              <w:bottom w:val="single" w:sz="12" w:space="0" w:color="auto"/>
            </w:tcBorders>
            <w:shd w:val="clear" w:color="auto" w:fill="auto"/>
            <w:vAlign w:val="bottom"/>
            <w:hideMark/>
          </w:tcPr>
          <w:p w14:paraId="6D5F627D"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w:t>
            </w:r>
            <w:r>
              <w:rPr>
                <w:b/>
                <w:bCs/>
                <w:sz w:val="18"/>
                <w:lang w:val="fr-FR"/>
              </w:rPr>
              <w:t> </w:t>
            </w:r>
            <w:r w:rsidRPr="00BE6E53">
              <w:rPr>
                <w:b/>
                <w:bCs/>
                <w:sz w:val="18"/>
                <w:lang w:val="fr-FR"/>
              </w:rPr>
              <w:t>000</w:t>
            </w:r>
          </w:p>
        </w:tc>
        <w:tc>
          <w:tcPr>
            <w:tcW w:w="1244" w:type="dxa"/>
            <w:tcBorders>
              <w:top w:val="single" w:sz="4" w:space="0" w:color="auto"/>
              <w:bottom w:val="single" w:sz="12" w:space="0" w:color="auto"/>
            </w:tcBorders>
            <w:shd w:val="clear" w:color="auto" w:fill="auto"/>
            <w:vAlign w:val="bottom"/>
            <w:hideMark/>
          </w:tcPr>
          <w:p w14:paraId="7F52523D"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125</w:t>
            </w:r>
            <w:r>
              <w:rPr>
                <w:b/>
                <w:bCs/>
                <w:sz w:val="18"/>
                <w:lang w:val="fr-FR"/>
              </w:rPr>
              <w:t> </w:t>
            </w:r>
            <w:r w:rsidRPr="00BE6E53">
              <w:rPr>
                <w:b/>
                <w:bCs/>
                <w:sz w:val="18"/>
                <w:lang w:val="fr-FR"/>
              </w:rPr>
              <w:t>000</w:t>
            </w:r>
          </w:p>
        </w:tc>
        <w:tc>
          <w:tcPr>
            <w:tcW w:w="787" w:type="dxa"/>
            <w:tcBorders>
              <w:top w:val="single" w:sz="4" w:space="0" w:color="auto"/>
              <w:bottom w:val="single" w:sz="12" w:space="0" w:color="auto"/>
            </w:tcBorders>
            <w:shd w:val="clear" w:color="auto" w:fill="auto"/>
            <w:vAlign w:val="bottom"/>
            <w:hideMark/>
          </w:tcPr>
          <w:p w14:paraId="1429DFAE"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w:t>
            </w:r>
            <w:r>
              <w:rPr>
                <w:b/>
                <w:bCs/>
                <w:sz w:val="18"/>
                <w:lang w:val="fr-FR"/>
              </w:rPr>
              <w:t> </w:t>
            </w:r>
            <w:r w:rsidRPr="00BE6E53">
              <w:rPr>
                <w:b/>
                <w:bCs/>
                <w:sz w:val="18"/>
                <w:lang w:val="fr-FR"/>
              </w:rPr>
              <w:t>000</w:t>
            </w:r>
          </w:p>
        </w:tc>
        <w:tc>
          <w:tcPr>
            <w:tcW w:w="1244" w:type="dxa"/>
            <w:tcBorders>
              <w:top w:val="single" w:sz="4" w:space="0" w:color="auto"/>
              <w:bottom w:val="single" w:sz="12" w:space="0" w:color="auto"/>
            </w:tcBorders>
            <w:shd w:val="clear" w:color="auto" w:fill="auto"/>
            <w:vAlign w:val="bottom"/>
            <w:hideMark/>
          </w:tcPr>
          <w:p w14:paraId="2576D0E2"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125</w:t>
            </w:r>
            <w:r>
              <w:rPr>
                <w:b/>
                <w:bCs/>
                <w:sz w:val="18"/>
                <w:lang w:val="fr-FR"/>
              </w:rPr>
              <w:t> </w:t>
            </w:r>
            <w:r w:rsidRPr="00BE6E53">
              <w:rPr>
                <w:b/>
                <w:bCs/>
                <w:sz w:val="18"/>
                <w:lang w:val="fr-FR"/>
              </w:rPr>
              <w:t>000</w:t>
            </w:r>
          </w:p>
        </w:tc>
        <w:tc>
          <w:tcPr>
            <w:tcW w:w="787" w:type="dxa"/>
            <w:tcBorders>
              <w:top w:val="single" w:sz="4" w:space="0" w:color="auto"/>
              <w:bottom w:val="single" w:sz="12" w:space="0" w:color="auto"/>
            </w:tcBorders>
            <w:shd w:val="clear" w:color="auto" w:fill="auto"/>
            <w:vAlign w:val="bottom"/>
            <w:hideMark/>
          </w:tcPr>
          <w:p w14:paraId="5A382A31"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w:t>
            </w:r>
            <w:r>
              <w:rPr>
                <w:b/>
                <w:bCs/>
                <w:sz w:val="18"/>
                <w:lang w:val="fr-FR"/>
              </w:rPr>
              <w:t> </w:t>
            </w:r>
            <w:r w:rsidRPr="00BE6E53">
              <w:rPr>
                <w:b/>
                <w:bCs/>
                <w:sz w:val="18"/>
                <w:lang w:val="fr-FR"/>
              </w:rPr>
              <w:t>000</w:t>
            </w:r>
          </w:p>
        </w:tc>
        <w:tc>
          <w:tcPr>
            <w:tcW w:w="1244" w:type="dxa"/>
            <w:tcBorders>
              <w:top w:val="single" w:sz="4" w:space="0" w:color="auto"/>
              <w:bottom w:val="single" w:sz="12" w:space="0" w:color="auto"/>
            </w:tcBorders>
            <w:shd w:val="clear" w:color="auto" w:fill="auto"/>
            <w:noWrap/>
            <w:vAlign w:val="bottom"/>
            <w:hideMark/>
          </w:tcPr>
          <w:p w14:paraId="37B78D91"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125</w:t>
            </w:r>
            <w:r>
              <w:rPr>
                <w:b/>
                <w:bCs/>
                <w:sz w:val="18"/>
                <w:lang w:val="fr-FR"/>
              </w:rPr>
              <w:t> </w:t>
            </w:r>
            <w:r w:rsidRPr="00BE6E53">
              <w:rPr>
                <w:b/>
                <w:bCs/>
                <w:sz w:val="18"/>
                <w:lang w:val="fr-FR"/>
              </w:rPr>
              <w:t>000</w:t>
            </w:r>
          </w:p>
        </w:tc>
        <w:tc>
          <w:tcPr>
            <w:tcW w:w="787" w:type="dxa"/>
            <w:tcBorders>
              <w:top w:val="single" w:sz="4" w:space="0" w:color="auto"/>
              <w:bottom w:val="single" w:sz="12" w:space="0" w:color="auto"/>
            </w:tcBorders>
            <w:shd w:val="clear" w:color="auto" w:fill="auto"/>
            <w:noWrap/>
            <w:vAlign w:val="bottom"/>
            <w:hideMark/>
          </w:tcPr>
          <w:p w14:paraId="17BEBF82"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3 000</w:t>
            </w:r>
          </w:p>
        </w:tc>
        <w:tc>
          <w:tcPr>
            <w:tcW w:w="1344" w:type="dxa"/>
            <w:tcBorders>
              <w:top w:val="single" w:sz="4" w:space="0" w:color="auto"/>
              <w:bottom w:val="single" w:sz="12" w:space="0" w:color="auto"/>
            </w:tcBorders>
            <w:shd w:val="clear" w:color="auto" w:fill="auto"/>
            <w:noWrap/>
            <w:vAlign w:val="bottom"/>
            <w:hideMark/>
          </w:tcPr>
          <w:p w14:paraId="0BC58AD0"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125</w:t>
            </w:r>
            <w:r>
              <w:rPr>
                <w:b/>
                <w:bCs/>
                <w:sz w:val="18"/>
                <w:lang w:val="fr-FR"/>
              </w:rPr>
              <w:t> </w:t>
            </w:r>
            <w:r w:rsidRPr="00BE6E53">
              <w:rPr>
                <w:b/>
                <w:bCs/>
                <w:sz w:val="18"/>
                <w:lang w:val="fr-FR"/>
              </w:rPr>
              <w:t>000</w:t>
            </w:r>
          </w:p>
        </w:tc>
        <w:tc>
          <w:tcPr>
            <w:tcW w:w="837" w:type="dxa"/>
            <w:tcBorders>
              <w:top w:val="single" w:sz="4" w:space="0" w:color="auto"/>
              <w:bottom w:val="single" w:sz="12" w:space="0" w:color="auto"/>
            </w:tcBorders>
            <w:shd w:val="clear" w:color="auto" w:fill="auto"/>
            <w:noWrap/>
            <w:vAlign w:val="bottom"/>
            <w:hideMark/>
          </w:tcPr>
          <w:p w14:paraId="346B03F6"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3</w:t>
            </w:r>
            <w:r>
              <w:rPr>
                <w:b/>
                <w:bCs/>
                <w:sz w:val="18"/>
                <w:lang w:val="fr-FR"/>
              </w:rPr>
              <w:t> </w:t>
            </w:r>
            <w:r w:rsidRPr="00BE6E53">
              <w:rPr>
                <w:b/>
                <w:bCs/>
                <w:sz w:val="18"/>
                <w:lang w:val="fr-FR"/>
              </w:rPr>
              <w:t>000</w:t>
            </w:r>
          </w:p>
        </w:tc>
      </w:tr>
      <w:tr w:rsidR="00EA3C11" w:rsidRPr="00E14F3F" w14:paraId="021F2919" w14:textId="77777777" w:rsidTr="00EA3C11">
        <w:tc>
          <w:tcPr>
            <w:tcW w:w="1275" w:type="dxa"/>
            <w:vMerge w:val="restart"/>
            <w:tcBorders>
              <w:top w:val="single" w:sz="12" w:space="0" w:color="auto"/>
            </w:tcBorders>
            <w:shd w:val="clear" w:color="auto" w:fill="auto"/>
            <w:hideMark/>
          </w:tcPr>
          <w:p w14:paraId="42CCE176"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X. </w:t>
            </w:r>
            <w:r w:rsidRPr="00E14F3F">
              <w:rPr>
                <w:sz w:val="18"/>
                <w:lang w:val="fr-FR"/>
              </w:rPr>
              <w:br/>
              <w:t>Coordination et</w:t>
            </w:r>
            <w:r>
              <w:rPr>
                <w:sz w:val="18"/>
                <w:lang w:val="fr-FR"/>
              </w:rPr>
              <w:t> </w:t>
            </w:r>
            <w:r w:rsidRPr="00E14F3F">
              <w:rPr>
                <w:sz w:val="18"/>
                <w:lang w:val="fr-FR"/>
              </w:rPr>
              <w:t>supervision des activités intersessions, y compris les préparatifs de la huitième session ordinaire de la Réunion des Parties</w:t>
            </w:r>
          </w:p>
        </w:tc>
        <w:tc>
          <w:tcPr>
            <w:tcW w:w="2178" w:type="dxa"/>
            <w:tcBorders>
              <w:top w:val="single" w:sz="12" w:space="0" w:color="auto"/>
            </w:tcBorders>
            <w:shd w:val="clear" w:color="auto" w:fill="auto"/>
            <w:vAlign w:val="bottom"/>
            <w:hideMark/>
          </w:tcPr>
          <w:p w14:paraId="48F248B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Administrateurs</w:t>
            </w:r>
            <w:r w:rsidRPr="00372CD4">
              <w:rPr>
                <w:i/>
                <w:iCs/>
                <w:sz w:val="18"/>
                <w:vertAlign w:val="superscript"/>
                <w:lang w:val="fr-FR"/>
              </w:rPr>
              <w:t>h</w:t>
            </w:r>
            <w:r w:rsidRPr="00E14F3F">
              <w:rPr>
                <w:sz w:val="18"/>
                <w:lang w:val="fr-FR"/>
              </w:rPr>
              <w:t> : 3 fonctionnaires P-3, l’un à 10 % d’EPT et les deux autres à 5 % d’EPT</w:t>
            </w:r>
          </w:p>
        </w:tc>
        <w:tc>
          <w:tcPr>
            <w:tcW w:w="1260" w:type="dxa"/>
            <w:tcBorders>
              <w:top w:val="single" w:sz="12" w:space="0" w:color="auto"/>
            </w:tcBorders>
            <w:shd w:val="clear" w:color="auto" w:fill="auto"/>
            <w:vAlign w:val="bottom"/>
            <w:hideMark/>
          </w:tcPr>
          <w:p w14:paraId="11DBFD4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36</w:t>
            </w:r>
            <w:r>
              <w:rPr>
                <w:sz w:val="18"/>
                <w:lang w:val="fr-FR"/>
              </w:rPr>
              <w:t> </w:t>
            </w:r>
            <w:r w:rsidRPr="00E14F3F">
              <w:rPr>
                <w:sz w:val="18"/>
                <w:lang w:val="fr-FR"/>
              </w:rPr>
              <w:t>000</w:t>
            </w:r>
          </w:p>
        </w:tc>
        <w:tc>
          <w:tcPr>
            <w:tcW w:w="789" w:type="dxa"/>
            <w:tcBorders>
              <w:top w:val="single" w:sz="12" w:space="0" w:color="auto"/>
            </w:tcBorders>
            <w:shd w:val="clear" w:color="auto" w:fill="auto"/>
            <w:vAlign w:val="bottom"/>
            <w:hideMark/>
          </w:tcPr>
          <w:p w14:paraId="3F8F749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7D79883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36</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3A6CB13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76D7DDE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36</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5268CCF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198C2F3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36</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31FC4B1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36DA743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36</w:t>
            </w:r>
            <w:r>
              <w:rPr>
                <w:sz w:val="18"/>
                <w:lang w:val="fr-FR"/>
              </w:rPr>
              <w:t> </w:t>
            </w:r>
            <w:r w:rsidRPr="00E14F3F">
              <w:rPr>
                <w:sz w:val="18"/>
                <w:lang w:val="fr-FR"/>
              </w:rPr>
              <w:t>000</w:t>
            </w:r>
          </w:p>
        </w:tc>
        <w:tc>
          <w:tcPr>
            <w:tcW w:w="837" w:type="dxa"/>
            <w:tcBorders>
              <w:top w:val="single" w:sz="12" w:space="0" w:color="auto"/>
            </w:tcBorders>
            <w:shd w:val="clear" w:color="auto" w:fill="auto"/>
            <w:vAlign w:val="bottom"/>
            <w:hideMark/>
          </w:tcPr>
          <w:p w14:paraId="75A97CA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44BAF5C6" w14:textId="77777777" w:rsidTr="00EA3C11">
        <w:tc>
          <w:tcPr>
            <w:tcW w:w="1275" w:type="dxa"/>
            <w:vMerge/>
            <w:shd w:val="clear" w:color="auto" w:fill="auto"/>
            <w:hideMark/>
          </w:tcPr>
          <w:p w14:paraId="00785A42"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242B55F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indemnités journalières de subsistance pour les participants qui y ont droit (réunions du Groupe de travail des Parties, réunions du Bureau et huitième session de la Réunion des Parties)</w:t>
            </w:r>
          </w:p>
        </w:tc>
        <w:tc>
          <w:tcPr>
            <w:tcW w:w="1260" w:type="dxa"/>
            <w:shd w:val="clear" w:color="auto" w:fill="auto"/>
            <w:vAlign w:val="bottom"/>
            <w:hideMark/>
          </w:tcPr>
          <w:p w14:paraId="2D8DDA3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47</w:t>
            </w:r>
            <w:r>
              <w:rPr>
                <w:sz w:val="18"/>
                <w:lang w:val="fr-FR"/>
              </w:rPr>
              <w:t> </w:t>
            </w:r>
            <w:r w:rsidRPr="00E14F3F">
              <w:rPr>
                <w:sz w:val="18"/>
                <w:lang w:val="fr-FR"/>
              </w:rPr>
              <w:t>600</w:t>
            </w:r>
          </w:p>
        </w:tc>
        <w:tc>
          <w:tcPr>
            <w:tcW w:w="789" w:type="dxa"/>
            <w:shd w:val="clear" w:color="auto" w:fill="auto"/>
            <w:vAlign w:val="bottom"/>
            <w:hideMark/>
          </w:tcPr>
          <w:p w14:paraId="35F92F7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339F6C6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47</w:t>
            </w:r>
            <w:r>
              <w:rPr>
                <w:sz w:val="18"/>
                <w:lang w:val="fr-FR"/>
              </w:rPr>
              <w:t> </w:t>
            </w:r>
            <w:r w:rsidRPr="00E14F3F">
              <w:rPr>
                <w:sz w:val="18"/>
                <w:lang w:val="fr-FR"/>
              </w:rPr>
              <w:t>600</w:t>
            </w:r>
          </w:p>
        </w:tc>
        <w:tc>
          <w:tcPr>
            <w:tcW w:w="787" w:type="dxa"/>
            <w:shd w:val="clear" w:color="auto" w:fill="auto"/>
            <w:vAlign w:val="bottom"/>
            <w:hideMark/>
          </w:tcPr>
          <w:p w14:paraId="060F283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0E870D5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47</w:t>
            </w:r>
            <w:r>
              <w:rPr>
                <w:sz w:val="18"/>
                <w:lang w:val="fr-FR"/>
              </w:rPr>
              <w:t> </w:t>
            </w:r>
            <w:r w:rsidRPr="00E14F3F">
              <w:rPr>
                <w:sz w:val="18"/>
                <w:lang w:val="fr-FR"/>
              </w:rPr>
              <w:t>600</w:t>
            </w:r>
          </w:p>
        </w:tc>
        <w:tc>
          <w:tcPr>
            <w:tcW w:w="787" w:type="dxa"/>
            <w:shd w:val="clear" w:color="auto" w:fill="auto"/>
            <w:vAlign w:val="bottom"/>
            <w:hideMark/>
          </w:tcPr>
          <w:p w14:paraId="6E188FE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3F54CEE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102</w:t>
            </w:r>
            <w:r>
              <w:rPr>
                <w:sz w:val="18"/>
                <w:lang w:val="fr-FR"/>
              </w:rPr>
              <w:t> </w:t>
            </w:r>
            <w:r w:rsidRPr="00E14F3F">
              <w:rPr>
                <w:sz w:val="18"/>
                <w:lang w:val="fr-FR"/>
              </w:rPr>
              <w:t>000</w:t>
            </w:r>
          </w:p>
        </w:tc>
        <w:tc>
          <w:tcPr>
            <w:tcW w:w="787" w:type="dxa"/>
            <w:shd w:val="clear" w:color="auto" w:fill="auto"/>
            <w:vAlign w:val="bottom"/>
            <w:hideMark/>
          </w:tcPr>
          <w:p w14:paraId="3392733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145B1C7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61</w:t>
            </w:r>
            <w:r>
              <w:rPr>
                <w:sz w:val="18"/>
                <w:lang w:val="fr-FR"/>
              </w:rPr>
              <w:t> </w:t>
            </w:r>
            <w:r w:rsidRPr="00E14F3F">
              <w:rPr>
                <w:sz w:val="18"/>
                <w:lang w:val="fr-FR"/>
              </w:rPr>
              <w:t>200</w:t>
            </w:r>
          </w:p>
        </w:tc>
        <w:tc>
          <w:tcPr>
            <w:tcW w:w="837" w:type="dxa"/>
            <w:shd w:val="clear" w:color="auto" w:fill="auto"/>
            <w:vAlign w:val="bottom"/>
            <w:hideMark/>
          </w:tcPr>
          <w:p w14:paraId="0660A58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5C10E265" w14:textId="77777777" w:rsidTr="00FE4806">
        <w:tc>
          <w:tcPr>
            <w:tcW w:w="1275" w:type="dxa"/>
            <w:vMerge/>
            <w:tcBorders>
              <w:bottom w:val="single" w:sz="4" w:space="0" w:color="auto"/>
            </w:tcBorders>
            <w:shd w:val="clear" w:color="auto" w:fill="auto"/>
            <w:hideMark/>
          </w:tcPr>
          <w:p w14:paraId="53737C94" w14:textId="77777777" w:rsidR="00EA3C11" w:rsidRPr="00E14F3F" w:rsidRDefault="00EA3C11" w:rsidP="00E146C5">
            <w:pPr>
              <w:suppressAutoHyphens w:val="0"/>
              <w:spacing w:before="40" w:after="40" w:line="220" w:lineRule="exact"/>
              <w:rPr>
                <w:b/>
                <w:bCs/>
                <w:sz w:val="18"/>
                <w:lang w:val="fr-FR"/>
              </w:rPr>
            </w:pPr>
          </w:p>
        </w:tc>
        <w:tc>
          <w:tcPr>
            <w:tcW w:w="2178" w:type="dxa"/>
            <w:tcBorders>
              <w:bottom w:val="single" w:sz="4" w:space="0" w:color="auto"/>
            </w:tcBorders>
            <w:shd w:val="clear" w:color="auto" w:fill="auto"/>
            <w:vAlign w:val="bottom"/>
            <w:hideMark/>
          </w:tcPr>
          <w:p w14:paraId="107F16D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Frais de voyage et indemnités journalières de subsistance (personnel en mission)</w:t>
            </w:r>
            <w:r w:rsidRPr="00BE6E53">
              <w:rPr>
                <w:i/>
                <w:iCs/>
                <w:sz w:val="18"/>
                <w:vertAlign w:val="superscript"/>
                <w:lang w:val="fr-FR"/>
              </w:rPr>
              <w:t>d</w:t>
            </w:r>
          </w:p>
        </w:tc>
        <w:tc>
          <w:tcPr>
            <w:tcW w:w="1260" w:type="dxa"/>
            <w:tcBorders>
              <w:bottom w:val="single" w:sz="4" w:space="0" w:color="auto"/>
            </w:tcBorders>
            <w:shd w:val="clear" w:color="auto" w:fill="auto"/>
            <w:vAlign w:val="bottom"/>
            <w:hideMark/>
          </w:tcPr>
          <w:p w14:paraId="769B8D6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9" w:type="dxa"/>
            <w:tcBorders>
              <w:bottom w:val="single" w:sz="4" w:space="0" w:color="auto"/>
            </w:tcBorders>
            <w:shd w:val="clear" w:color="auto" w:fill="auto"/>
            <w:vAlign w:val="bottom"/>
            <w:hideMark/>
          </w:tcPr>
          <w:p w14:paraId="488D29D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6A8C2E5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1EDADA1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4CEE2C7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682D290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278BA9D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787" w:type="dxa"/>
            <w:tcBorders>
              <w:bottom w:val="single" w:sz="4" w:space="0" w:color="auto"/>
            </w:tcBorders>
            <w:shd w:val="clear" w:color="auto" w:fill="auto"/>
            <w:vAlign w:val="bottom"/>
            <w:hideMark/>
          </w:tcPr>
          <w:p w14:paraId="33FE7A3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bottom w:val="single" w:sz="4" w:space="0" w:color="auto"/>
            </w:tcBorders>
            <w:shd w:val="clear" w:color="auto" w:fill="auto"/>
            <w:noWrap/>
            <w:vAlign w:val="bottom"/>
            <w:hideMark/>
          </w:tcPr>
          <w:p w14:paraId="44A347C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3</w:t>
            </w:r>
            <w:r>
              <w:rPr>
                <w:sz w:val="18"/>
                <w:lang w:val="fr-FR"/>
              </w:rPr>
              <w:t> </w:t>
            </w:r>
            <w:r w:rsidRPr="00E14F3F">
              <w:rPr>
                <w:sz w:val="18"/>
                <w:lang w:val="fr-FR"/>
              </w:rPr>
              <w:t>500</w:t>
            </w:r>
          </w:p>
        </w:tc>
        <w:tc>
          <w:tcPr>
            <w:tcW w:w="837" w:type="dxa"/>
            <w:tcBorders>
              <w:bottom w:val="single" w:sz="4" w:space="0" w:color="auto"/>
            </w:tcBorders>
            <w:shd w:val="clear" w:color="auto" w:fill="auto"/>
            <w:vAlign w:val="bottom"/>
            <w:hideMark/>
          </w:tcPr>
          <w:p w14:paraId="470669A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FE4806" w14:paraId="545B4ED6" w14:textId="77777777" w:rsidTr="00FE4806">
        <w:tc>
          <w:tcPr>
            <w:tcW w:w="3453" w:type="dxa"/>
            <w:gridSpan w:val="2"/>
            <w:tcBorders>
              <w:top w:val="single" w:sz="4" w:space="0" w:color="auto"/>
              <w:bottom w:val="single" w:sz="12" w:space="0" w:color="auto"/>
            </w:tcBorders>
            <w:shd w:val="clear" w:color="auto" w:fill="auto"/>
            <w:hideMark/>
          </w:tcPr>
          <w:p w14:paraId="0ECA20A6" w14:textId="77777777" w:rsidR="00EA3C11" w:rsidRPr="00FE4806" w:rsidRDefault="00EA3C11" w:rsidP="00FE4806">
            <w:pPr>
              <w:suppressAutoHyphens w:val="0"/>
              <w:spacing w:before="80" w:after="80" w:line="220" w:lineRule="exact"/>
              <w:ind w:left="283"/>
              <w:rPr>
                <w:bCs/>
                <w:sz w:val="18"/>
                <w:lang w:val="fr-FR"/>
              </w:rPr>
            </w:pPr>
            <w:r w:rsidRPr="00FE4806">
              <w:rPr>
                <w:bCs/>
                <w:sz w:val="18"/>
                <w:lang w:val="fr-FR"/>
              </w:rPr>
              <w:t>Total partiel</w:t>
            </w:r>
          </w:p>
        </w:tc>
        <w:tc>
          <w:tcPr>
            <w:tcW w:w="1260" w:type="dxa"/>
            <w:tcBorders>
              <w:top w:val="single" w:sz="4" w:space="0" w:color="auto"/>
              <w:bottom w:val="single" w:sz="12" w:space="0" w:color="auto"/>
            </w:tcBorders>
            <w:shd w:val="clear" w:color="auto" w:fill="auto"/>
            <w:noWrap/>
            <w:vAlign w:val="bottom"/>
            <w:hideMark/>
          </w:tcPr>
          <w:p w14:paraId="7B533F9E" w14:textId="77777777" w:rsidR="00EA3C11" w:rsidRPr="00FE4806" w:rsidRDefault="00EA3C11" w:rsidP="00FE4806">
            <w:pPr>
              <w:suppressAutoHyphens w:val="0"/>
              <w:spacing w:before="80" w:after="80" w:line="220" w:lineRule="exact"/>
              <w:jc w:val="right"/>
              <w:rPr>
                <w:bCs/>
                <w:sz w:val="18"/>
                <w:lang w:val="fr-FR"/>
              </w:rPr>
            </w:pPr>
            <w:r w:rsidRPr="00FE4806">
              <w:rPr>
                <w:bCs/>
                <w:sz w:val="18"/>
                <w:lang w:val="fr-FR"/>
              </w:rPr>
              <w:t>87 100</w:t>
            </w:r>
          </w:p>
        </w:tc>
        <w:tc>
          <w:tcPr>
            <w:tcW w:w="789" w:type="dxa"/>
            <w:tcBorders>
              <w:top w:val="single" w:sz="4" w:space="0" w:color="auto"/>
              <w:bottom w:val="single" w:sz="12" w:space="0" w:color="auto"/>
            </w:tcBorders>
            <w:shd w:val="clear" w:color="auto" w:fill="auto"/>
            <w:vAlign w:val="bottom"/>
            <w:hideMark/>
          </w:tcPr>
          <w:p w14:paraId="43BC7CE5" w14:textId="77777777" w:rsidR="00EA3C11" w:rsidRPr="00FE4806" w:rsidRDefault="00EA3C11" w:rsidP="00FE4806">
            <w:pPr>
              <w:suppressAutoHyphens w:val="0"/>
              <w:spacing w:before="80" w:after="80" w:line="220" w:lineRule="exact"/>
              <w:jc w:val="right"/>
              <w:rPr>
                <w:sz w:val="18"/>
                <w:lang w:val="fr-FR"/>
              </w:rPr>
            </w:pPr>
            <w:r w:rsidRPr="00FE4806">
              <w:rPr>
                <w:sz w:val="18"/>
                <w:lang w:val="fr-FR"/>
              </w:rPr>
              <w:t>−</w:t>
            </w:r>
          </w:p>
        </w:tc>
        <w:tc>
          <w:tcPr>
            <w:tcW w:w="1244" w:type="dxa"/>
            <w:tcBorders>
              <w:top w:val="single" w:sz="4" w:space="0" w:color="auto"/>
              <w:bottom w:val="single" w:sz="12" w:space="0" w:color="auto"/>
            </w:tcBorders>
            <w:shd w:val="clear" w:color="auto" w:fill="auto"/>
            <w:noWrap/>
            <w:vAlign w:val="bottom"/>
            <w:hideMark/>
          </w:tcPr>
          <w:p w14:paraId="311037A2" w14:textId="77777777" w:rsidR="00EA3C11" w:rsidRPr="00FE4806" w:rsidRDefault="00EA3C11" w:rsidP="00FE4806">
            <w:pPr>
              <w:suppressAutoHyphens w:val="0"/>
              <w:spacing w:before="80" w:after="80" w:line="220" w:lineRule="exact"/>
              <w:jc w:val="right"/>
              <w:rPr>
                <w:bCs/>
                <w:sz w:val="18"/>
                <w:lang w:val="fr-FR"/>
              </w:rPr>
            </w:pPr>
            <w:r w:rsidRPr="00FE4806">
              <w:rPr>
                <w:bCs/>
                <w:sz w:val="18"/>
                <w:lang w:val="fr-FR"/>
              </w:rPr>
              <w:t>87 100</w:t>
            </w:r>
          </w:p>
        </w:tc>
        <w:tc>
          <w:tcPr>
            <w:tcW w:w="787" w:type="dxa"/>
            <w:tcBorders>
              <w:top w:val="single" w:sz="4" w:space="0" w:color="auto"/>
              <w:bottom w:val="single" w:sz="12" w:space="0" w:color="auto"/>
            </w:tcBorders>
            <w:shd w:val="clear" w:color="auto" w:fill="auto"/>
            <w:vAlign w:val="bottom"/>
            <w:hideMark/>
          </w:tcPr>
          <w:p w14:paraId="5632FE8B" w14:textId="77777777" w:rsidR="00EA3C11" w:rsidRPr="00FE4806" w:rsidRDefault="00EA3C11" w:rsidP="00FE4806">
            <w:pPr>
              <w:suppressAutoHyphens w:val="0"/>
              <w:spacing w:before="80" w:after="80" w:line="220" w:lineRule="exact"/>
              <w:jc w:val="right"/>
              <w:rPr>
                <w:sz w:val="18"/>
                <w:lang w:val="fr-FR"/>
              </w:rPr>
            </w:pPr>
            <w:r w:rsidRPr="00FE4806">
              <w:rPr>
                <w:sz w:val="18"/>
                <w:lang w:val="fr-FR"/>
              </w:rPr>
              <w:t>−</w:t>
            </w:r>
          </w:p>
        </w:tc>
        <w:tc>
          <w:tcPr>
            <w:tcW w:w="1244" w:type="dxa"/>
            <w:tcBorders>
              <w:top w:val="single" w:sz="4" w:space="0" w:color="auto"/>
              <w:bottom w:val="single" w:sz="12" w:space="0" w:color="auto"/>
            </w:tcBorders>
            <w:shd w:val="clear" w:color="auto" w:fill="auto"/>
            <w:noWrap/>
            <w:vAlign w:val="bottom"/>
            <w:hideMark/>
          </w:tcPr>
          <w:p w14:paraId="7D5BF947" w14:textId="77777777" w:rsidR="00EA3C11" w:rsidRPr="00FE4806" w:rsidRDefault="00EA3C11" w:rsidP="00FE4806">
            <w:pPr>
              <w:suppressAutoHyphens w:val="0"/>
              <w:spacing w:before="80" w:after="80" w:line="220" w:lineRule="exact"/>
              <w:jc w:val="right"/>
              <w:rPr>
                <w:bCs/>
                <w:sz w:val="18"/>
                <w:lang w:val="fr-FR"/>
              </w:rPr>
            </w:pPr>
            <w:r w:rsidRPr="00FE4806">
              <w:rPr>
                <w:bCs/>
                <w:sz w:val="18"/>
                <w:lang w:val="fr-FR"/>
              </w:rPr>
              <w:t>87 100</w:t>
            </w:r>
          </w:p>
        </w:tc>
        <w:tc>
          <w:tcPr>
            <w:tcW w:w="787" w:type="dxa"/>
            <w:tcBorders>
              <w:top w:val="single" w:sz="4" w:space="0" w:color="auto"/>
              <w:bottom w:val="single" w:sz="12" w:space="0" w:color="auto"/>
            </w:tcBorders>
            <w:shd w:val="clear" w:color="auto" w:fill="auto"/>
            <w:vAlign w:val="bottom"/>
            <w:hideMark/>
          </w:tcPr>
          <w:p w14:paraId="4C771061" w14:textId="77777777" w:rsidR="00EA3C11" w:rsidRPr="00FE4806" w:rsidRDefault="00EA3C11" w:rsidP="00FE4806">
            <w:pPr>
              <w:suppressAutoHyphens w:val="0"/>
              <w:spacing w:before="80" w:after="80" w:line="220" w:lineRule="exact"/>
              <w:jc w:val="right"/>
              <w:rPr>
                <w:sz w:val="18"/>
                <w:lang w:val="fr-FR"/>
              </w:rPr>
            </w:pPr>
            <w:r w:rsidRPr="00FE4806">
              <w:rPr>
                <w:sz w:val="18"/>
                <w:lang w:val="fr-FR"/>
              </w:rPr>
              <w:t>−</w:t>
            </w:r>
          </w:p>
        </w:tc>
        <w:tc>
          <w:tcPr>
            <w:tcW w:w="1244" w:type="dxa"/>
            <w:tcBorders>
              <w:top w:val="single" w:sz="4" w:space="0" w:color="auto"/>
              <w:bottom w:val="single" w:sz="12" w:space="0" w:color="auto"/>
            </w:tcBorders>
            <w:shd w:val="clear" w:color="auto" w:fill="auto"/>
            <w:noWrap/>
            <w:vAlign w:val="bottom"/>
            <w:hideMark/>
          </w:tcPr>
          <w:p w14:paraId="0EBC2F2F" w14:textId="77777777" w:rsidR="00EA3C11" w:rsidRPr="00FE4806" w:rsidRDefault="00EA3C11" w:rsidP="00FE4806">
            <w:pPr>
              <w:suppressAutoHyphens w:val="0"/>
              <w:spacing w:before="80" w:after="80" w:line="220" w:lineRule="exact"/>
              <w:jc w:val="right"/>
              <w:rPr>
                <w:bCs/>
                <w:sz w:val="18"/>
                <w:lang w:val="fr-FR"/>
              </w:rPr>
            </w:pPr>
            <w:r w:rsidRPr="00FE4806">
              <w:rPr>
                <w:bCs/>
                <w:sz w:val="18"/>
                <w:lang w:val="fr-FR"/>
              </w:rPr>
              <w:t>141 500</w:t>
            </w:r>
          </w:p>
        </w:tc>
        <w:tc>
          <w:tcPr>
            <w:tcW w:w="787" w:type="dxa"/>
            <w:tcBorders>
              <w:top w:val="single" w:sz="4" w:space="0" w:color="auto"/>
              <w:bottom w:val="single" w:sz="12" w:space="0" w:color="auto"/>
            </w:tcBorders>
            <w:shd w:val="clear" w:color="auto" w:fill="auto"/>
            <w:vAlign w:val="bottom"/>
            <w:hideMark/>
          </w:tcPr>
          <w:p w14:paraId="646ADEA9" w14:textId="77777777" w:rsidR="00EA3C11" w:rsidRPr="00FE4806" w:rsidRDefault="00EA3C11" w:rsidP="00FE4806">
            <w:pPr>
              <w:suppressAutoHyphens w:val="0"/>
              <w:spacing w:before="80" w:after="80" w:line="220" w:lineRule="exact"/>
              <w:jc w:val="right"/>
              <w:rPr>
                <w:sz w:val="18"/>
                <w:lang w:val="fr-FR"/>
              </w:rPr>
            </w:pPr>
            <w:r w:rsidRPr="00FE4806">
              <w:rPr>
                <w:sz w:val="18"/>
                <w:lang w:val="fr-FR"/>
              </w:rPr>
              <w:t>−</w:t>
            </w:r>
          </w:p>
        </w:tc>
        <w:tc>
          <w:tcPr>
            <w:tcW w:w="1344" w:type="dxa"/>
            <w:tcBorders>
              <w:top w:val="single" w:sz="4" w:space="0" w:color="auto"/>
              <w:bottom w:val="single" w:sz="12" w:space="0" w:color="auto"/>
            </w:tcBorders>
            <w:shd w:val="clear" w:color="auto" w:fill="auto"/>
            <w:noWrap/>
            <w:vAlign w:val="bottom"/>
            <w:hideMark/>
          </w:tcPr>
          <w:p w14:paraId="72ECE942" w14:textId="77777777" w:rsidR="00EA3C11" w:rsidRPr="00FE4806" w:rsidRDefault="00EA3C11" w:rsidP="00FE4806">
            <w:pPr>
              <w:suppressAutoHyphens w:val="0"/>
              <w:spacing w:before="80" w:after="80" w:line="220" w:lineRule="exact"/>
              <w:jc w:val="right"/>
              <w:rPr>
                <w:bCs/>
                <w:sz w:val="18"/>
                <w:lang w:val="fr-FR"/>
              </w:rPr>
            </w:pPr>
            <w:r w:rsidRPr="00FE4806">
              <w:rPr>
                <w:sz w:val="18"/>
                <w:lang w:val="fr-FR"/>
              </w:rPr>
              <w:t>100 700</w:t>
            </w:r>
          </w:p>
        </w:tc>
        <w:tc>
          <w:tcPr>
            <w:tcW w:w="837" w:type="dxa"/>
            <w:tcBorders>
              <w:top w:val="single" w:sz="4" w:space="0" w:color="auto"/>
              <w:bottom w:val="single" w:sz="12" w:space="0" w:color="auto"/>
            </w:tcBorders>
            <w:shd w:val="clear" w:color="auto" w:fill="auto"/>
            <w:vAlign w:val="bottom"/>
            <w:hideMark/>
          </w:tcPr>
          <w:p w14:paraId="05BD9073" w14:textId="77777777" w:rsidR="00EA3C11" w:rsidRPr="00FE4806" w:rsidRDefault="00EA3C11" w:rsidP="00FE4806">
            <w:pPr>
              <w:suppressAutoHyphens w:val="0"/>
              <w:spacing w:before="80" w:after="80" w:line="220" w:lineRule="exact"/>
              <w:jc w:val="right"/>
              <w:rPr>
                <w:sz w:val="18"/>
                <w:lang w:val="fr-FR"/>
              </w:rPr>
            </w:pPr>
            <w:r w:rsidRPr="00FE4806">
              <w:rPr>
                <w:sz w:val="18"/>
                <w:lang w:val="fr-FR"/>
              </w:rPr>
              <w:t>−</w:t>
            </w:r>
          </w:p>
        </w:tc>
      </w:tr>
      <w:tr w:rsidR="00EA3C11" w:rsidRPr="00E14F3F" w14:paraId="124574A0" w14:textId="77777777" w:rsidTr="00FE4806">
        <w:tc>
          <w:tcPr>
            <w:tcW w:w="1275" w:type="dxa"/>
            <w:tcBorders>
              <w:top w:val="single" w:sz="12" w:space="0" w:color="auto"/>
              <w:bottom w:val="single" w:sz="4" w:space="0" w:color="auto"/>
            </w:tcBorders>
            <w:shd w:val="clear" w:color="auto" w:fill="auto"/>
            <w:hideMark/>
          </w:tcPr>
          <w:p w14:paraId="4DEC5763" w14:textId="08B7A4E3" w:rsidR="00EA3C11" w:rsidRPr="00E14F3F" w:rsidRDefault="00EA3C11" w:rsidP="00E146C5">
            <w:pPr>
              <w:suppressAutoHyphens w:val="0"/>
              <w:spacing w:before="40" w:after="40" w:line="220" w:lineRule="exact"/>
              <w:rPr>
                <w:sz w:val="18"/>
                <w:lang w:val="fr-FR"/>
              </w:rPr>
            </w:pPr>
            <w:r w:rsidRPr="00E14F3F">
              <w:rPr>
                <w:sz w:val="18"/>
                <w:lang w:val="fr-FR"/>
              </w:rPr>
              <w:t xml:space="preserve">XI. </w:t>
            </w:r>
            <w:r w:rsidRPr="00E14F3F">
              <w:rPr>
                <w:sz w:val="18"/>
                <w:lang w:val="fr-FR"/>
              </w:rPr>
              <w:br/>
              <w:t>Huitième session ordinaire de la</w:t>
            </w:r>
            <w:r w:rsidR="00372CD4">
              <w:rPr>
                <w:sz w:val="18"/>
                <w:lang w:val="fr-FR"/>
              </w:rPr>
              <w:t> </w:t>
            </w:r>
            <w:r w:rsidRPr="00E14F3F">
              <w:rPr>
                <w:sz w:val="18"/>
                <w:lang w:val="fr-FR"/>
              </w:rPr>
              <w:t>Réunion des</w:t>
            </w:r>
            <w:r w:rsidR="00372CD4">
              <w:rPr>
                <w:sz w:val="18"/>
                <w:lang w:val="fr-FR"/>
              </w:rPr>
              <w:t> </w:t>
            </w:r>
            <w:r w:rsidRPr="00E14F3F">
              <w:rPr>
                <w:sz w:val="18"/>
                <w:lang w:val="fr-FR"/>
              </w:rPr>
              <w:t>Parties</w:t>
            </w:r>
          </w:p>
        </w:tc>
        <w:tc>
          <w:tcPr>
            <w:tcW w:w="2178" w:type="dxa"/>
            <w:tcBorders>
              <w:top w:val="single" w:sz="12" w:space="0" w:color="auto"/>
              <w:bottom w:val="single" w:sz="4" w:space="0" w:color="auto"/>
            </w:tcBorders>
            <w:shd w:val="clear" w:color="auto" w:fill="auto"/>
            <w:vAlign w:val="bottom"/>
            <w:hideMark/>
          </w:tcPr>
          <w:p w14:paraId="7EE13D2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Administrateur</w:t>
            </w:r>
            <w:r w:rsidRPr="00372CD4">
              <w:rPr>
                <w:i/>
                <w:iCs/>
                <w:sz w:val="18"/>
                <w:vertAlign w:val="superscript"/>
                <w:lang w:val="fr-FR"/>
              </w:rPr>
              <w:t>c</w:t>
            </w:r>
            <w:r w:rsidRPr="00E14F3F">
              <w:rPr>
                <w:sz w:val="18"/>
                <w:lang w:val="fr-FR"/>
              </w:rPr>
              <w:t xml:space="preserve"> : 1 fonctionnaire P-2 </w:t>
            </w:r>
            <w:r>
              <w:rPr>
                <w:sz w:val="18"/>
                <w:lang w:val="fr-FR"/>
              </w:rPr>
              <w:br/>
            </w:r>
            <w:r w:rsidRPr="00E14F3F">
              <w:rPr>
                <w:sz w:val="18"/>
                <w:lang w:val="fr-FR"/>
              </w:rPr>
              <w:t>à 50 % d’EPT</w:t>
            </w:r>
          </w:p>
        </w:tc>
        <w:tc>
          <w:tcPr>
            <w:tcW w:w="1260" w:type="dxa"/>
            <w:tcBorders>
              <w:top w:val="single" w:sz="12" w:space="0" w:color="auto"/>
              <w:bottom w:val="single" w:sz="4" w:space="0" w:color="auto"/>
            </w:tcBorders>
            <w:shd w:val="clear" w:color="auto" w:fill="auto"/>
            <w:vAlign w:val="bottom"/>
            <w:hideMark/>
          </w:tcPr>
          <w:p w14:paraId="21F46A0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9" w:type="dxa"/>
            <w:tcBorders>
              <w:top w:val="single" w:sz="12" w:space="0" w:color="auto"/>
              <w:bottom w:val="single" w:sz="4" w:space="0" w:color="auto"/>
            </w:tcBorders>
            <w:shd w:val="clear" w:color="auto" w:fill="auto"/>
            <w:vAlign w:val="bottom"/>
            <w:hideMark/>
          </w:tcPr>
          <w:p w14:paraId="3895168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bottom w:val="single" w:sz="4" w:space="0" w:color="auto"/>
            </w:tcBorders>
            <w:shd w:val="clear" w:color="auto" w:fill="auto"/>
            <w:noWrap/>
            <w:vAlign w:val="bottom"/>
            <w:hideMark/>
          </w:tcPr>
          <w:p w14:paraId="4A8D9CB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tcBorders>
              <w:top w:val="single" w:sz="12" w:space="0" w:color="auto"/>
              <w:bottom w:val="single" w:sz="4" w:space="0" w:color="auto"/>
            </w:tcBorders>
            <w:shd w:val="clear" w:color="auto" w:fill="auto"/>
            <w:vAlign w:val="bottom"/>
            <w:hideMark/>
          </w:tcPr>
          <w:p w14:paraId="35C225B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bottom w:val="single" w:sz="4" w:space="0" w:color="auto"/>
            </w:tcBorders>
            <w:shd w:val="clear" w:color="auto" w:fill="auto"/>
            <w:noWrap/>
            <w:vAlign w:val="bottom"/>
            <w:hideMark/>
          </w:tcPr>
          <w:p w14:paraId="742DECB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787" w:type="dxa"/>
            <w:tcBorders>
              <w:top w:val="single" w:sz="12" w:space="0" w:color="auto"/>
              <w:bottom w:val="single" w:sz="4" w:space="0" w:color="auto"/>
            </w:tcBorders>
            <w:shd w:val="clear" w:color="auto" w:fill="auto"/>
            <w:vAlign w:val="bottom"/>
            <w:hideMark/>
          </w:tcPr>
          <w:p w14:paraId="20E01A4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bottom w:val="single" w:sz="4" w:space="0" w:color="auto"/>
            </w:tcBorders>
            <w:shd w:val="clear" w:color="auto" w:fill="auto"/>
            <w:noWrap/>
            <w:vAlign w:val="bottom"/>
            <w:hideMark/>
          </w:tcPr>
          <w:p w14:paraId="505BF26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60</w:t>
            </w:r>
            <w:r>
              <w:rPr>
                <w:sz w:val="18"/>
                <w:lang w:val="fr-FR"/>
              </w:rPr>
              <w:t> </w:t>
            </w:r>
            <w:r w:rsidRPr="00E14F3F">
              <w:rPr>
                <w:sz w:val="18"/>
                <w:lang w:val="fr-FR"/>
              </w:rPr>
              <w:t>000</w:t>
            </w:r>
          </w:p>
        </w:tc>
        <w:tc>
          <w:tcPr>
            <w:tcW w:w="787" w:type="dxa"/>
            <w:tcBorders>
              <w:top w:val="single" w:sz="12" w:space="0" w:color="auto"/>
              <w:bottom w:val="single" w:sz="4" w:space="0" w:color="auto"/>
            </w:tcBorders>
            <w:shd w:val="clear" w:color="auto" w:fill="auto"/>
            <w:vAlign w:val="bottom"/>
            <w:hideMark/>
          </w:tcPr>
          <w:p w14:paraId="726E20A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bottom w:val="single" w:sz="4" w:space="0" w:color="auto"/>
            </w:tcBorders>
            <w:shd w:val="clear" w:color="auto" w:fill="auto"/>
            <w:noWrap/>
            <w:vAlign w:val="bottom"/>
            <w:hideMark/>
          </w:tcPr>
          <w:p w14:paraId="05E736A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15</w:t>
            </w:r>
            <w:r>
              <w:rPr>
                <w:sz w:val="18"/>
                <w:lang w:val="fr-FR"/>
              </w:rPr>
              <w:t> </w:t>
            </w:r>
            <w:r w:rsidRPr="00E14F3F">
              <w:rPr>
                <w:sz w:val="18"/>
                <w:lang w:val="fr-FR"/>
              </w:rPr>
              <w:t>000</w:t>
            </w:r>
            <w:r w:rsidRPr="00E14F3F">
              <w:rPr>
                <w:sz w:val="18"/>
                <w:vertAlign w:val="superscript"/>
                <w:lang w:val="fr-FR"/>
              </w:rPr>
              <w:t>i</w:t>
            </w:r>
          </w:p>
        </w:tc>
        <w:tc>
          <w:tcPr>
            <w:tcW w:w="837" w:type="dxa"/>
            <w:tcBorders>
              <w:top w:val="single" w:sz="12" w:space="0" w:color="auto"/>
              <w:bottom w:val="single" w:sz="4" w:space="0" w:color="auto"/>
            </w:tcBorders>
            <w:shd w:val="clear" w:color="auto" w:fill="auto"/>
            <w:vAlign w:val="bottom"/>
            <w:hideMark/>
          </w:tcPr>
          <w:p w14:paraId="12278C7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BE6E53" w14:paraId="10BA526C" w14:textId="77777777" w:rsidTr="00EA3C11">
        <w:tc>
          <w:tcPr>
            <w:tcW w:w="3453" w:type="dxa"/>
            <w:gridSpan w:val="2"/>
            <w:tcBorders>
              <w:top w:val="single" w:sz="4" w:space="0" w:color="auto"/>
              <w:bottom w:val="single" w:sz="12" w:space="0" w:color="auto"/>
            </w:tcBorders>
            <w:shd w:val="clear" w:color="auto" w:fill="auto"/>
            <w:hideMark/>
          </w:tcPr>
          <w:p w14:paraId="0D97D01B" w14:textId="77777777" w:rsidR="00EA3C11" w:rsidRPr="00BE6E53" w:rsidRDefault="00EA3C11" w:rsidP="00E146C5">
            <w:pPr>
              <w:suppressAutoHyphens w:val="0"/>
              <w:spacing w:before="80" w:after="80" w:line="220" w:lineRule="exact"/>
              <w:ind w:left="283"/>
              <w:rPr>
                <w:b/>
                <w:bCs/>
                <w:sz w:val="18"/>
                <w:lang w:val="fr-FR"/>
              </w:rPr>
            </w:pPr>
            <w:r w:rsidRPr="00BE6E53">
              <w:rPr>
                <w:b/>
                <w:bCs/>
                <w:sz w:val="18"/>
                <w:lang w:val="fr-FR"/>
              </w:rPr>
              <w:t>Total partiel</w:t>
            </w:r>
          </w:p>
        </w:tc>
        <w:tc>
          <w:tcPr>
            <w:tcW w:w="1260" w:type="dxa"/>
            <w:tcBorders>
              <w:top w:val="single" w:sz="4" w:space="0" w:color="auto"/>
              <w:bottom w:val="single" w:sz="12" w:space="0" w:color="auto"/>
            </w:tcBorders>
            <w:shd w:val="clear" w:color="auto" w:fill="auto"/>
            <w:vAlign w:val="bottom"/>
            <w:hideMark/>
          </w:tcPr>
          <w:p w14:paraId="14175535" w14:textId="77777777" w:rsidR="00EA3C11" w:rsidRPr="00BE6E53" w:rsidRDefault="00EA3C11" w:rsidP="00E146C5">
            <w:pPr>
              <w:suppressAutoHyphens w:val="0"/>
              <w:spacing w:before="80" w:after="80" w:line="220" w:lineRule="exact"/>
              <w:jc w:val="right"/>
              <w:rPr>
                <w:b/>
                <w:sz w:val="18"/>
                <w:lang w:val="fr-FR"/>
              </w:rPr>
            </w:pPr>
            <w:r w:rsidRPr="00BE6E53">
              <w:rPr>
                <w:b/>
                <w:sz w:val="18"/>
                <w:lang w:val="fr-FR"/>
              </w:rPr>
              <w:t>−</w:t>
            </w:r>
          </w:p>
        </w:tc>
        <w:tc>
          <w:tcPr>
            <w:tcW w:w="789" w:type="dxa"/>
            <w:tcBorders>
              <w:top w:val="single" w:sz="4" w:space="0" w:color="auto"/>
              <w:bottom w:val="single" w:sz="12" w:space="0" w:color="auto"/>
            </w:tcBorders>
            <w:shd w:val="clear" w:color="auto" w:fill="auto"/>
            <w:vAlign w:val="bottom"/>
            <w:hideMark/>
          </w:tcPr>
          <w:p w14:paraId="5E2C8AF9" w14:textId="77777777" w:rsidR="00EA3C11" w:rsidRPr="00BE6E53" w:rsidRDefault="00EA3C11" w:rsidP="00E146C5">
            <w:pPr>
              <w:suppressAutoHyphens w:val="0"/>
              <w:spacing w:before="80" w:after="80" w:line="220" w:lineRule="exact"/>
              <w:jc w:val="right"/>
              <w:rPr>
                <w:b/>
                <w:sz w:val="18"/>
                <w:lang w:val="fr-FR"/>
              </w:rPr>
            </w:pPr>
            <w:r w:rsidRPr="00BE6E53">
              <w:rPr>
                <w:b/>
                <w:sz w:val="18"/>
                <w:lang w:val="fr-FR"/>
              </w:rPr>
              <w:t>−</w:t>
            </w:r>
          </w:p>
        </w:tc>
        <w:tc>
          <w:tcPr>
            <w:tcW w:w="1244" w:type="dxa"/>
            <w:tcBorders>
              <w:top w:val="single" w:sz="4" w:space="0" w:color="auto"/>
              <w:bottom w:val="single" w:sz="12" w:space="0" w:color="auto"/>
            </w:tcBorders>
            <w:shd w:val="clear" w:color="auto" w:fill="auto"/>
            <w:vAlign w:val="bottom"/>
            <w:hideMark/>
          </w:tcPr>
          <w:p w14:paraId="6DDC5F8D" w14:textId="77777777" w:rsidR="00EA3C11" w:rsidRPr="00BE6E53" w:rsidRDefault="00EA3C11" w:rsidP="00E146C5">
            <w:pPr>
              <w:suppressAutoHyphens w:val="0"/>
              <w:spacing w:before="80" w:after="80" w:line="220" w:lineRule="exact"/>
              <w:jc w:val="right"/>
              <w:rPr>
                <w:b/>
                <w:sz w:val="18"/>
                <w:lang w:val="fr-FR"/>
              </w:rPr>
            </w:pPr>
            <w:r w:rsidRPr="00BE6E53">
              <w:rPr>
                <w:b/>
                <w:sz w:val="18"/>
                <w:lang w:val="fr-FR"/>
              </w:rPr>
              <w:t>−</w:t>
            </w:r>
          </w:p>
        </w:tc>
        <w:tc>
          <w:tcPr>
            <w:tcW w:w="787" w:type="dxa"/>
            <w:tcBorders>
              <w:top w:val="single" w:sz="4" w:space="0" w:color="auto"/>
              <w:bottom w:val="single" w:sz="12" w:space="0" w:color="auto"/>
            </w:tcBorders>
            <w:shd w:val="clear" w:color="auto" w:fill="auto"/>
            <w:vAlign w:val="bottom"/>
            <w:hideMark/>
          </w:tcPr>
          <w:p w14:paraId="3A4A900C" w14:textId="77777777" w:rsidR="00EA3C11" w:rsidRPr="00BE6E53" w:rsidRDefault="00EA3C11" w:rsidP="00E146C5">
            <w:pPr>
              <w:suppressAutoHyphens w:val="0"/>
              <w:spacing w:before="80" w:after="80" w:line="220" w:lineRule="exact"/>
              <w:jc w:val="right"/>
              <w:rPr>
                <w:b/>
                <w:sz w:val="18"/>
                <w:lang w:val="fr-FR"/>
              </w:rPr>
            </w:pPr>
            <w:r w:rsidRPr="00BE6E53">
              <w:rPr>
                <w:b/>
                <w:sz w:val="18"/>
                <w:lang w:val="fr-FR"/>
              </w:rPr>
              <w:t>−</w:t>
            </w:r>
          </w:p>
        </w:tc>
        <w:tc>
          <w:tcPr>
            <w:tcW w:w="1244" w:type="dxa"/>
            <w:tcBorders>
              <w:top w:val="single" w:sz="4" w:space="0" w:color="auto"/>
              <w:bottom w:val="single" w:sz="12" w:space="0" w:color="auto"/>
            </w:tcBorders>
            <w:shd w:val="clear" w:color="auto" w:fill="auto"/>
            <w:vAlign w:val="bottom"/>
            <w:hideMark/>
          </w:tcPr>
          <w:p w14:paraId="5984DE85" w14:textId="77777777" w:rsidR="00EA3C11" w:rsidRPr="00BE6E53" w:rsidRDefault="00EA3C11" w:rsidP="00E146C5">
            <w:pPr>
              <w:suppressAutoHyphens w:val="0"/>
              <w:spacing w:before="80" w:after="80" w:line="220" w:lineRule="exact"/>
              <w:jc w:val="right"/>
              <w:rPr>
                <w:b/>
                <w:sz w:val="18"/>
                <w:lang w:val="fr-FR"/>
              </w:rPr>
            </w:pPr>
            <w:r w:rsidRPr="00BE6E53">
              <w:rPr>
                <w:b/>
                <w:sz w:val="18"/>
                <w:lang w:val="fr-FR"/>
              </w:rPr>
              <w:t>−</w:t>
            </w:r>
          </w:p>
        </w:tc>
        <w:tc>
          <w:tcPr>
            <w:tcW w:w="787" w:type="dxa"/>
            <w:tcBorders>
              <w:top w:val="single" w:sz="4" w:space="0" w:color="auto"/>
              <w:bottom w:val="single" w:sz="12" w:space="0" w:color="auto"/>
            </w:tcBorders>
            <w:shd w:val="clear" w:color="auto" w:fill="auto"/>
            <w:vAlign w:val="bottom"/>
            <w:hideMark/>
          </w:tcPr>
          <w:p w14:paraId="59597D11" w14:textId="77777777" w:rsidR="00EA3C11" w:rsidRPr="00BE6E53" w:rsidRDefault="00EA3C11" w:rsidP="00E146C5">
            <w:pPr>
              <w:suppressAutoHyphens w:val="0"/>
              <w:spacing w:before="80" w:after="80" w:line="220" w:lineRule="exact"/>
              <w:jc w:val="right"/>
              <w:rPr>
                <w:b/>
                <w:sz w:val="18"/>
                <w:lang w:val="fr-FR"/>
              </w:rPr>
            </w:pPr>
            <w:r w:rsidRPr="00BE6E53">
              <w:rPr>
                <w:b/>
                <w:sz w:val="18"/>
                <w:lang w:val="fr-FR"/>
              </w:rPr>
              <w:t>−</w:t>
            </w:r>
          </w:p>
        </w:tc>
        <w:tc>
          <w:tcPr>
            <w:tcW w:w="1244" w:type="dxa"/>
            <w:tcBorders>
              <w:top w:val="single" w:sz="4" w:space="0" w:color="auto"/>
              <w:bottom w:val="single" w:sz="12" w:space="0" w:color="auto"/>
            </w:tcBorders>
            <w:shd w:val="clear" w:color="auto" w:fill="auto"/>
            <w:noWrap/>
            <w:vAlign w:val="bottom"/>
            <w:hideMark/>
          </w:tcPr>
          <w:p w14:paraId="591FCC77"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60</w:t>
            </w:r>
            <w:r>
              <w:rPr>
                <w:b/>
                <w:bCs/>
                <w:sz w:val="18"/>
                <w:lang w:val="fr-FR"/>
              </w:rPr>
              <w:t> </w:t>
            </w:r>
            <w:r w:rsidRPr="00BE6E53">
              <w:rPr>
                <w:b/>
                <w:bCs/>
                <w:sz w:val="18"/>
                <w:lang w:val="fr-FR"/>
              </w:rPr>
              <w:t>000</w:t>
            </w:r>
          </w:p>
        </w:tc>
        <w:tc>
          <w:tcPr>
            <w:tcW w:w="787" w:type="dxa"/>
            <w:tcBorders>
              <w:top w:val="single" w:sz="4" w:space="0" w:color="auto"/>
              <w:bottom w:val="single" w:sz="12" w:space="0" w:color="auto"/>
            </w:tcBorders>
            <w:shd w:val="clear" w:color="auto" w:fill="auto"/>
            <w:vAlign w:val="bottom"/>
            <w:hideMark/>
          </w:tcPr>
          <w:p w14:paraId="33F3E286" w14:textId="77777777" w:rsidR="00EA3C11" w:rsidRPr="00BE6E53" w:rsidRDefault="00EA3C11" w:rsidP="00E146C5">
            <w:pPr>
              <w:suppressAutoHyphens w:val="0"/>
              <w:spacing w:before="80" w:after="80" w:line="220" w:lineRule="exact"/>
              <w:jc w:val="right"/>
              <w:rPr>
                <w:b/>
                <w:sz w:val="18"/>
                <w:lang w:val="fr-FR"/>
              </w:rPr>
            </w:pPr>
            <w:r w:rsidRPr="00BE6E53">
              <w:rPr>
                <w:b/>
                <w:sz w:val="18"/>
                <w:lang w:val="fr-FR"/>
              </w:rPr>
              <w:t>−</w:t>
            </w:r>
          </w:p>
        </w:tc>
        <w:tc>
          <w:tcPr>
            <w:tcW w:w="1344" w:type="dxa"/>
            <w:tcBorders>
              <w:top w:val="single" w:sz="4" w:space="0" w:color="auto"/>
              <w:bottom w:val="single" w:sz="12" w:space="0" w:color="auto"/>
            </w:tcBorders>
            <w:shd w:val="clear" w:color="auto" w:fill="auto"/>
            <w:noWrap/>
            <w:vAlign w:val="bottom"/>
            <w:hideMark/>
          </w:tcPr>
          <w:p w14:paraId="2E45FABC"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w:t>
            </w:r>
            <w:r>
              <w:rPr>
                <w:b/>
                <w:bCs/>
                <w:sz w:val="18"/>
                <w:lang w:val="fr-FR"/>
              </w:rPr>
              <w:t>5 </w:t>
            </w:r>
            <w:r w:rsidRPr="00BE6E53">
              <w:rPr>
                <w:b/>
                <w:bCs/>
                <w:sz w:val="18"/>
                <w:lang w:val="fr-FR"/>
              </w:rPr>
              <w:t>000</w:t>
            </w:r>
          </w:p>
        </w:tc>
        <w:tc>
          <w:tcPr>
            <w:tcW w:w="837" w:type="dxa"/>
            <w:tcBorders>
              <w:top w:val="single" w:sz="4" w:space="0" w:color="auto"/>
              <w:bottom w:val="single" w:sz="12" w:space="0" w:color="auto"/>
            </w:tcBorders>
            <w:shd w:val="clear" w:color="auto" w:fill="auto"/>
            <w:vAlign w:val="bottom"/>
            <w:hideMark/>
          </w:tcPr>
          <w:p w14:paraId="4DB0BFC9" w14:textId="77777777" w:rsidR="00EA3C11" w:rsidRPr="00BE6E53" w:rsidRDefault="00EA3C11" w:rsidP="00E146C5">
            <w:pPr>
              <w:suppressAutoHyphens w:val="0"/>
              <w:spacing w:before="80" w:after="80" w:line="220" w:lineRule="exact"/>
              <w:jc w:val="right"/>
              <w:rPr>
                <w:b/>
                <w:sz w:val="18"/>
                <w:lang w:val="fr-FR"/>
              </w:rPr>
            </w:pPr>
            <w:r w:rsidRPr="00BE6E53">
              <w:rPr>
                <w:b/>
                <w:sz w:val="18"/>
                <w:lang w:val="fr-FR"/>
              </w:rPr>
              <w:t>−</w:t>
            </w:r>
          </w:p>
        </w:tc>
      </w:tr>
      <w:tr w:rsidR="00EA3C11" w:rsidRPr="00E14F3F" w14:paraId="6CBEFF05" w14:textId="77777777" w:rsidTr="00EA3C11">
        <w:tc>
          <w:tcPr>
            <w:tcW w:w="1275" w:type="dxa"/>
            <w:tcBorders>
              <w:top w:val="single" w:sz="12" w:space="0" w:color="auto"/>
            </w:tcBorders>
            <w:shd w:val="clear" w:color="auto" w:fill="auto"/>
            <w:hideMark/>
          </w:tcPr>
          <w:p w14:paraId="56F8A8E3" w14:textId="77777777" w:rsidR="00EA3C11" w:rsidRPr="00E14F3F" w:rsidRDefault="00EA3C11" w:rsidP="00E146C5">
            <w:pPr>
              <w:suppressAutoHyphens w:val="0"/>
              <w:spacing w:before="40" w:after="40" w:line="220" w:lineRule="exact"/>
              <w:rPr>
                <w:sz w:val="18"/>
                <w:lang w:val="fr-FR"/>
              </w:rPr>
            </w:pPr>
            <w:r w:rsidRPr="00E14F3F">
              <w:rPr>
                <w:sz w:val="18"/>
                <w:lang w:val="fr-FR"/>
              </w:rPr>
              <w:t xml:space="preserve">XII. </w:t>
            </w:r>
            <w:r w:rsidRPr="00E14F3F">
              <w:rPr>
                <w:sz w:val="18"/>
                <w:lang w:val="fr-FR"/>
              </w:rPr>
              <w:br/>
              <w:t>Soutien horizontal</w:t>
            </w:r>
          </w:p>
        </w:tc>
        <w:tc>
          <w:tcPr>
            <w:tcW w:w="2178" w:type="dxa"/>
            <w:tcBorders>
              <w:top w:val="single" w:sz="12" w:space="0" w:color="auto"/>
            </w:tcBorders>
            <w:shd w:val="clear" w:color="auto" w:fill="auto"/>
            <w:vAlign w:val="bottom"/>
            <w:hideMark/>
          </w:tcPr>
          <w:p w14:paraId="1C73FA6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 xml:space="preserve">Services de secrétariat : 1 fonctionnaire G-5 </w:t>
            </w:r>
            <w:r>
              <w:rPr>
                <w:sz w:val="18"/>
                <w:lang w:val="fr-FR"/>
              </w:rPr>
              <w:br/>
            </w:r>
            <w:r w:rsidRPr="00E14F3F">
              <w:rPr>
                <w:sz w:val="18"/>
                <w:lang w:val="fr-FR"/>
              </w:rPr>
              <w:t>à 70 % d’EPT</w:t>
            </w:r>
            <w:r w:rsidRPr="00E14F3F">
              <w:rPr>
                <w:sz w:val="18"/>
                <w:vertAlign w:val="superscript"/>
                <w:lang w:val="fr-FR"/>
              </w:rPr>
              <w:t>j</w:t>
            </w:r>
          </w:p>
        </w:tc>
        <w:tc>
          <w:tcPr>
            <w:tcW w:w="1260" w:type="dxa"/>
            <w:tcBorders>
              <w:top w:val="single" w:sz="12" w:space="0" w:color="auto"/>
            </w:tcBorders>
            <w:shd w:val="clear" w:color="auto" w:fill="auto"/>
            <w:vAlign w:val="bottom"/>
            <w:hideMark/>
          </w:tcPr>
          <w:p w14:paraId="28596D5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90</w:t>
            </w:r>
            <w:r>
              <w:rPr>
                <w:sz w:val="18"/>
                <w:lang w:val="fr-FR"/>
              </w:rPr>
              <w:t> </w:t>
            </w:r>
            <w:r w:rsidRPr="00E14F3F">
              <w:rPr>
                <w:sz w:val="18"/>
                <w:lang w:val="fr-FR"/>
              </w:rPr>
              <w:t>000</w:t>
            </w:r>
          </w:p>
        </w:tc>
        <w:tc>
          <w:tcPr>
            <w:tcW w:w="789" w:type="dxa"/>
            <w:tcBorders>
              <w:top w:val="single" w:sz="12" w:space="0" w:color="auto"/>
            </w:tcBorders>
            <w:shd w:val="clear" w:color="auto" w:fill="auto"/>
            <w:vAlign w:val="bottom"/>
            <w:hideMark/>
          </w:tcPr>
          <w:p w14:paraId="09C4D0D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5E8BA17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90</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2DBE2D4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73DB7E2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90</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46830F4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top w:val="single" w:sz="12" w:space="0" w:color="auto"/>
            </w:tcBorders>
            <w:shd w:val="clear" w:color="auto" w:fill="auto"/>
            <w:noWrap/>
            <w:vAlign w:val="bottom"/>
            <w:hideMark/>
          </w:tcPr>
          <w:p w14:paraId="2CED2B4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90</w:t>
            </w:r>
            <w:r>
              <w:rPr>
                <w:sz w:val="18"/>
                <w:lang w:val="fr-FR"/>
              </w:rPr>
              <w:t> </w:t>
            </w:r>
            <w:r w:rsidRPr="00E14F3F">
              <w:rPr>
                <w:sz w:val="18"/>
                <w:lang w:val="fr-FR"/>
              </w:rPr>
              <w:t>000</w:t>
            </w:r>
          </w:p>
        </w:tc>
        <w:tc>
          <w:tcPr>
            <w:tcW w:w="787" w:type="dxa"/>
            <w:tcBorders>
              <w:top w:val="single" w:sz="12" w:space="0" w:color="auto"/>
            </w:tcBorders>
            <w:shd w:val="clear" w:color="auto" w:fill="auto"/>
            <w:vAlign w:val="bottom"/>
            <w:hideMark/>
          </w:tcPr>
          <w:p w14:paraId="21A1DD2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top w:val="single" w:sz="12" w:space="0" w:color="auto"/>
            </w:tcBorders>
            <w:shd w:val="clear" w:color="auto" w:fill="auto"/>
            <w:noWrap/>
            <w:vAlign w:val="bottom"/>
            <w:hideMark/>
          </w:tcPr>
          <w:p w14:paraId="59AE921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90</w:t>
            </w:r>
            <w:r>
              <w:rPr>
                <w:sz w:val="18"/>
                <w:lang w:val="fr-FR"/>
              </w:rPr>
              <w:t> </w:t>
            </w:r>
            <w:r w:rsidRPr="00E14F3F">
              <w:rPr>
                <w:sz w:val="18"/>
                <w:lang w:val="fr-FR"/>
              </w:rPr>
              <w:t>000</w:t>
            </w:r>
          </w:p>
        </w:tc>
        <w:tc>
          <w:tcPr>
            <w:tcW w:w="837" w:type="dxa"/>
            <w:tcBorders>
              <w:top w:val="single" w:sz="12" w:space="0" w:color="auto"/>
            </w:tcBorders>
            <w:shd w:val="clear" w:color="auto" w:fill="auto"/>
            <w:vAlign w:val="bottom"/>
            <w:hideMark/>
          </w:tcPr>
          <w:p w14:paraId="192648A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2BFE971B" w14:textId="77777777" w:rsidTr="00EA3C11">
        <w:tc>
          <w:tcPr>
            <w:tcW w:w="1275" w:type="dxa"/>
            <w:shd w:val="clear" w:color="auto" w:fill="auto"/>
            <w:hideMark/>
          </w:tcPr>
          <w:p w14:paraId="764A4B6A"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hideMark/>
          </w:tcPr>
          <w:p w14:paraId="1B3C113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Dépenses d’appui technique</w:t>
            </w:r>
            <w:r w:rsidRPr="00372CD4">
              <w:rPr>
                <w:i/>
                <w:iCs/>
                <w:sz w:val="18"/>
                <w:vertAlign w:val="superscript"/>
                <w:lang w:val="fr-FR"/>
              </w:rPr>
              <w:t>k</w:t>
            </w:r>
            <w:r w:rsidRPr="00E14F3F">
              <w:rPr>
                <w:sz w:val="18"/>
                <w:lang w:val="fr-FR"/>
              </w:rPr>
              <w:t xml:space="preserve"> (ordinateurs, licences, matériel et services externes d’impression, par exemple)</w:t>
            </w:r>
          </w:p>
        </w:tc>
        <w:tc>
          <w:tcPr>
            <w:tcW w:w="1260" w:type="dxa"/>
            <w:shd w:val="clear" w:color="auto" w:fill="auto"/>
            <w:vAlign w:val="bottom"/>
            <w:hideMark/>
          </w:tcPr>
          <w:p w14:paraId="6A6DB15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789" w:type="dxa"/>
            <w:shd w:val="clear" w:color="auto" w:fill="auto"/>
            <w:vAlign w:val="bottom"/>
            <w:hideMark/>
          </w:tcPr>
          <w:p w14:paraId="0D3842B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4263917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787" w:type="dxa"/>
            <w:shd w:val="clear" w:color="auto" w:fill="auto"/>
            <w:vAlign w:val="bottom"/>
            <w:hideMark/>
          </w:tcPr>
          <w:p w14:paraId="00CF495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2B3C2A7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787" w:type="dxa"/>
            <w:shd w:val="clear" w:color="auto" w:fill="auto"/>
            <w:vAlign w:val="bottom"/>
            <w:hideMark/>
          </w:tcPr>
          <w:p w14:paraId="3E3553F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hideMark/>
          </w:tcPr>
          <w:p w14:paraId="1EE24BE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787" w:type="dxa"/>
            <w:shd w:val="clear" w:color="auto" w:fill="auto"/>
            <w:vAlign w:val="bottom"/>
            <w:hideMark/>
          </w:tcPr>
          <w:p w14:paraId="6A86F57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hideMark/>
          </w:tcPr>
          <w:p w14:paraId="5683F5E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9</w:t>
            </w:r>
            <w:r>
              <w:rPr>
                <w:sz w:val="18"/>
                <w:lang w:val="fr-FR"/>
              </w:rPr>
              <w:t> </w:t>
            </w:r>
            <w:r w:rsidRPr="00E14F3F">
              <w:rPr>
                <w:sz w:val="18"/>
                <w:lang w:val="fr-FR"/>
              </w:rPr>
              <w:t>000</w:t>
            </w:r>
          </w:p>
        </w:tc>
        <w:tc>
          <w:tcPr>
            <w:tcW w:w="837" w:type="dxa"/>
            <w:shd w:val="clear" w:color="auto" w:fill="auto"/>
            <w:vAlign w:val="bottom"/>
            <w:hideMark/>
          </w:tcPr>
          <w:p w14:paraId="1F7D7BA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48A4FC2C" w14:textId="77777777" w:rsidTr="00EA3C11">
        <w:tc>
          <w:tcPr>
            <w:tcW w:w="1275" w:type="dxa"/>
            <w:shd w:val="clear" w:color="auto" w:fill="auto"/>
          </w:tcPr>
          <w:p w14:paraId="60F7B8EE" w14:textId="77777777" w:rsidR="00EA3C11" w:rsidRPr="00E14F3F" w:rsidRDefault="00EA3C11" w:rsidP="00E146C5">
            <w:pPr>
              <w:suppressAutoHyphens w:val="0"/>
              <w:spacing w:before="40" w:after="40" w:line="220" w:lineRule="exact"/>
              <w:rPr>
                <w:sz w:val="18"/>
                <w:lang w:val="fr-FR"/>
              </w:rPr>
            </w:pPr>
          </w:p>
        </w:tc>
        <w:tc>
          <w:tcPr>
            <w:tcW w:w="2178" w:type="dxa"/>
            <w:shd w:val="clear" w:color="auto" w:fill="auto"/>
            <w:vAlign w:val="bottom"/>
          </w:tcPr>
          <w:p w14:paraId="1A7E5F4D"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Autres dépenses d’appui opérationnel (administration financière, par exemple)</w:t>
            </w:r>
          </w:p>
        </w:tc>
        <w:tc>
          <w:tcPr>
            <w:tcW w:w="1260" w:type="dxa"/>
            <w:shd w:val="clear" w:color="auto" w:fill="auto"/>
            <w:vAlign w:val="bottom"/>
          </w:tcPr>
          <w:p w14:paraId="7D1AC27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9" w:type="dxa"/>
            <w:shd w:val="clear" w:color="auto" w:fill="auto"/>
            <w:vAlign w:val="bottom"/>
          </w:tcPr>
          <w:p w14:paraId="06A369F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tcPr>
          <w:p w14:paraId="4624B94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vAlign w:val="bottom"/>
          </w:tcPr>
          <w:p w14:paraId="09E52B3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tcPr>
          <w:p w14:paraId="37B6D27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vAlign w:val="bottom"/>
          </w:tcPr>
          <w:p w14:paraId="7BB3F22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shd w:val="clear" w:color="auto" w:fill="auto"/>
            <w:noWrap/>
            <w:vAlign w:val="bottom"/>
          </w:tcPr>
          <w:p w14:paraId="415D5F0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787" w:type="dxa"/>
            <w:shd w:val="clear" w:color="auto" w:fill="auto"/>
            <w:vAlign w:val="bottom"/>
          </w:tcPr>
          <w:p w14:paraId="3612F3BF"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shd w:val="clear" w:color="auto" w:fill="auto"/>
            <w:noWrap/>
            <w:vAlign w:val="bottom"/>
          </w:tcPr>
          <w:p w14:paraId="101DB15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5</w:t>
            </w:r>
            <w:r>
              <w:rPr>
                <w:sz w:val="18"/>
                <w:lang w:val="fr-FR"/>
              </w:rPr>
              <w:t> </w:t>
            </w:r>
            <w:r w:rsidRPr="00E14F3F">
              <w:rPr>
                <w:sz w:val="18"/>
                <w:lang w:val="fr-FR"/>
              </w:rPr>
              <w:t>000</w:t>
            </w:r>
          </w:p>
        </w:tc>
        <w:tc>
          <w:tcPr>
            <w:tcW w:w="837" w:type="dxa"/>
            <w:shd w:val="clear" w:color="auto" w:fill="auto"/>
            <w:vAlign w:val="bottom"/>
          </w:tcPr>
          <w:p w14:paraId="5E283C7A"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E14F3F" w14:paraId="551DC480" w14:textId="77777777" w:rsidTr="00EA3C11">
        <w:tc>
          <w:tcPr>
            <w:tcW w:w="1275" w:type="dxa"/>
            <w:tcBorders>
              <w:bottom w:val="single" w:sz="4" w:space="0" w:color="auto"/>
            </w:tcBorders>
            <w:shd w:val="clear" w:color="auto" w:fill="auto"/>
            <w:hideMark/>
          </w:tcPr>
          <w:p w14:paraId="7C6AF461" w14:textId="77777777" w:rsidR="00EA3C11" w:rsidRPr="00E14F3F" w:rsidRDefault="00EA3C11" w:rsidP="00E146C5">
            <w:pPr>
              <w:suppressAutoHyphens w:val="0"/>
              <w:spacing w:before="40" w:after="40" w:line="220" w:lineRule="exact"/>
              <w:rPr>
                <w:sz w:val="18"/>
                <w:lang w:val="fr-FR"/>
              </w:rPr>
            </w:pPr>
          </w:p>
        </w:tc>
        <w:tc>
          <w:tcPr>
            <w:tcW w:w="2178" w:type="dxa"/>
            <w:tcBorders>
              <w:bottom w:val="single" w:sz="4" w:space="0" w:color="auto"/>
            </w:tcBorders>
            <w:shd w:val="clear" w:color="auto" w:fill="auto"/>
            <w:vAlign w:val="bottom"/>
            <w:hideMark/>
          </w:tcPr>
          <w:p w14:paraId="2E2E299F" w14:textId="301BEACE" w:rsidR="00EA3C11" w:rsidRPr="00E14F3F" w:rsidRDefault="00EA3C11" w:rsidP="00E146C5">
            <w:pPr>
              <w:suppressAutoHyphens w:val="0"/>
              <w:spacing w:before="40" w:after="40" w:line="220" w:lineRule="exact"/>
              <w:jc w:val="right"/>
              <w:rPr>
                <w:sz w:val="18"/>
                <w:lang w:val="fr-FR"/>
              </w:rPr>
            </w:pPr>
            <w:r w:rsidRPr="00E14F3F">
              <w:rPr>
                <w:sz w:val="18"/>
                <w:lang w:val="fr-FR"/>
              </w:rPr>
              <w:t>Formation du personnel</w:t>
            </w:r>
            <w:r w:rsidRPr="00372CD4">
              <w:rPr>
                <w:i/>
                <w:iCs/>
                <w:sz w:val="18"/>
                <w:vertAlign w:val="superscript"/>
                <w:lang w:val="fr-FR"/>
              </w:rPr>
              <w:t>l</w:t>
            </w:r>
            <w:r w:rsidRPr="00E14F3F">
              <w:rPr>
                <w:sz w:val="18"/>
                <w:lang w:val="fr-FR"/>
              </w:rPr>
              <w:t xml:space="preserve"> (activités de perfectionnement des</w:t>
            </w:r>
            <w:r w:rsidR="00372CD4">
              <w:rPr>
                <w:sz w:val="18"/>
                <w:lang w:val="fr-FR"/>
              </w:rPr>
              <w:t> </w:t>
            </w:r>
            <w:r w:rsidRPr="00E14F3F">
              <w:rPr>
                <w:sz w:val="18"/>
                <w:lang w:val="fr-FR"/>
              </w:rPr>
              <w:t>compétences)</w:t>
            </w:r>
          </w:p>
        </w:tc>
        <w:tc>
          <w:tcPr>
            <w:tcW w:w="1260" w:type="dxa"/>
            <w:tcBorders>
              <w:bottom w:val="single" w:sz="4" w:space="0" w:color="auto"/>
            </w:tcBorders>
            <w:shd w:val="clear" w:color="auto" w:fill="auto"/>
            <w:vAlign w:val="bottom"/>
            <w:hideMark/>
          </w:tcPr>
          <w:p w14:paraId="3BFF805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w:t>
            </w:r>
            <w:r>
              <w:rPr>
                <w:sz w:val="18"/>
                <w:lang w:val="fr-FR"/>
              </w:rPr>
              <w:t> </w:t>
            </w:r>
            <w:r w:rsidRPr="00E14F3F">
              <w:rPr>
                <w:sz w:val="18"/>
                <w:lang w:val="fr-FR"/>
              </w:rPr>
              <w:t>000</w:t>
            </w:r>
          </w:p>
        </w:tc>
        <w:tc>
          <w:tcPr>
            <w:tcW w:w="789" w:type="dxa"/>
            <w:tcBorders>
              <w:bottom w:val="single" w:sz="4" w:space="0" w:color="auto"/>
            </w:tcBorders>
            <w:shd w:val="clear" w:color="auto" w:fill="auto"/>
            <w:vAlign w:val="bottom"/>
            <w:hideMark/>
          </w:tcPr>
          <w:p w14:paraId="53EA8F2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68836C7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w:t>
            </w:r>
            <w:r>
              <w:rPr>
                <w:sz w:val="18"/>
                <w:lang w:val="fr-FR"/>
              </w:rPr>
              <w:t> </w:t>
            </w:r>
            <w:r w:rsidRPr="00E14F3F">
              <w:rPr>
                <w:sz w:val="18"/>
                <w:lang w:val="fr-FR"/>
              </w:rPr>
              <w:t>000</w:t>
            </w:r>
          </w:p>
        </w:tc>
        <w:tc>
          <w:tcPr>
            <w:tcW w:w="787" w:type="dxa"/>
            <w:tcBorders>
              <w:bottom w:val="single" w:sz="4" w:space="0" w:color="auto"/>
            </w:tcBorders>
            <w:shd w:val="clear" w:color="auto" w:fill="auto"/>
            <w:vAlign w:val="bottom"/>
            <w:hideMark/>
          </w:tcPr>
          <w:p w14:paraId="14E4F723"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2EE9AE64"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w:t>
            </w:r>
            <w:r>
              <w:rPr>
                <w:sz w:val="18"/>
                <w:lang w:val="fr-FR"/>
              </w:rPr>
              <w:t> </w:t>
            </w:r>
            <w:r w:rsidRPr="00E14F3F">
              <w:rPr>
                <w:sz w:val="18"/>
                <w:lang w:val="fr-FR"/>
              </w:rPr>
              <w:t>000</w:t>
            </w:r>
          </w:p>
        </w:tc>
        <w:tc>
          <w:tcPr>
            <w:tcW w:w="787" w:type="dxa"/>
            <w:tcBorders>
              <w:bottom w:val="single" w:sz="4" w:space="0" w:color="auto"/>
            </w:tcBorders>
            <w:shd w:val="clear" w:color="auto" w:fill="auto"/>
            <w:vAlign w:val="bottom"/>
            <w:hideMark/>
          </w:tcPr>
          <w:p w14:paraId="55D40067"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244" w:type="dxa"/>
            <w:tcBorders>
              <w:bottom w:val="single" w:sz="4" w:space="0" w:color="auto"/>
            </w:tcBorders>
            <w:shd w:val="clear" w:color="auto" w:fill="auto"/>
            <w:noWrap/>
            <w:vAlign w:val="bottom"/>
            <w:hideMark/>
          </w:tcPr>
          <w:p w14:paraId="4120539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w:t>
            </w:r>
            <w:r>
              <w:rPr>
                <w:sz w:val="18"/>
                <w:lang w:val="fr-FR"/>
              </w:rPr>
              <w:t> </w:t>
            </w:r>
            <w:r w:rsidRPr="00E14F3F">
              <w:rPr>
                <w:sz w:val="18"/>
                <w:lang w:val="fr-FR"/>
              </w:rPr>
              <w:t>000</w:t>
            </w:r>
          </w:p>
        </w:tc>
        <w:tc>
          <w:tcPr>
            <w:tcW w:w="787" w:type="dxa"/>
            <w:tcBorders>
              <w:bottom w:val="single" w:sz="4" w:space="0" w:color="auto"/>
            </w:tcBorders>
            <w:shd w:val="clear" w:color="auto" w:fill="auto"/>
            <w:vAlign w:val="bottom"/>
            <w:hideMark/>
          </w:tcPr>
          <w:p w14:paraId="1033E8CE"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c>
          <w:tcPr>
            <w:tcW w:w="1344" w:type="dxa"/>
            <w:tcBorders>
              <w:bottom w:val="single" w:sz="4" w:space="0" w:color="auto"/>
            </w:tcBorders>
            <w:shd w:val="clear" w:color="auto" w:fill="auto"/>
            <w:noWrap/>
            <w:vAlign w:val="bottom"/>
            <w:hideMark/>
          </w:tcPr>
          <w:p w14:paraId="3276E09B"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4</w:t>
            </w:r>
            <w:r>
              <w:rPr>
                <w:sz w:val="18"/>
                <w:lang w:val="fr-FR"/>
              </w:rPr>
              <w:t> </w:t>
            </w:r>
            <w:r w:rsidRPr="00E14F3F">
              <w:rPr>
                <w:sz w:val="18"/>
                <w:lang w:val="fr-FR"/>
              </w:rPr>
              <w:t>000</w:t>
            </w:r>
          </w:p>
        </w:tc>
        <w:tc>
          <w:tcPr>
            <w:tcW w:w="837" w:type="dxa"/>
            <w:tcBorders>
              <w:bottom w:val="single" w:sz="4" w:space="0" w:color="auto"/>
            </w:tcBorders>
            <w:shd w:val="clear" w:color="auto" w:fill="auto"/>
            <w:vAlign w:val="bottom"/>
            <w:hideMark/>
          </w:tcPr>
          <w:p w14:paraId="159375E0"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w:t>
            </w:r>
          </w:p>
        </w:tc>
      </w:tr>
      <w:tr w:rsidR="00EA3C11" w:rsidRPr="00BE6E53" w14:paraId="7715CA79" w14:textId="77777777" w:rsidTr="00372CD4">
        <w:tc>
          <w:tcPr>
            <w:tcW w:w="3453" w:type="dxa"/>
            <w:gridSpan w:val="2"/>
            <w:tcBorders>
              <w:top w:val="single" w:sz="4" w:space="0" w:color="auto"/>
              <w:bottom w:val="single" w:sz="4" w:space="0" w:color="auto"/>
            </w:tcBorders>
            <w:shd w:val="clear" w:color="auto" w:fill="auto"/>
            <w:hideMark/>
          </w:tcPr>
          <w:p w14:paraId="72085031" w14:textId="77777777" w:rsidR="00EA3C11" w:rsidRPr="00BE6E53" w:rsidRDefault="00EA3C11" w:rsidP="00E146C5">
            <w:pPr>
              <w:suppressAutoHyphens w:val="0"/>
              <w:spacing w:before="80" w:after="80" w:line="220" w:lineRule="exact"/>
              <w:ind w:left="283"/>
              <w:rPr>
                <w:b/>
                <w:bCs/>
                <w:sz w:val="18"/>
                <w:lang w:val="fr-FR"/>
              </w:rPr>
            </w:pPr>
            <w:r w:rsidRPr="00BE6E53">
              <w:rPr>
                <w:b/>
                <w:bCs/>
                <w:sz w:val="18"/>
                <w:lang w:val="fr-FR"/>
              </w:rPr>
              <w:t>Total partiel</w:t>
            </w:r>
          </w:p>
        </w:tc>
        <w:tc>
          <w:tcPr>
            <w:tcW w:w="1260" w:type="dxa"/>
            <w:tcBorders>
              <w:top w:val="single" w:sz="4" w:space="0" w:color="auto"/>
              <w:bottom w:val="single" w:sz="4" w:space="0" w:color="auto"/>
            </w:tcBorders>
            <w:shd w:val="clear" w:color="auto" w:fill="auto"/>
            <w:vAlign w:val="bottom"/>
            <w:hideMark/>
          </w:tcPr>
          <w:p w14:paraId="43F96502"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108</w:t>
            </w:r>
            <w:r>
              <w:rPr>
                <w:b/>
                <w:bCs/>
                <w:sz w:val="18"/>
                <w:lang w:val="fr-FR"/>
              </w:rPr>
              <w:t> </w:t>
            </w:r>
            <w:r w:rsidRPr="00BE6E53">
              <w:rPr>
                <w:b/>
                <w:bCs/>
                <w:sz w:val="18"/>
                <w:lang w:val="fr-FR"/>
              </w:rPr>
              <w:t>000</w:t>
            </w:r>
          </w:p>
        </w:tc>
        <w:tc>
          <w:tcPr>
            <w:tcW w:w="789" w:type="dxa"/>
            <w:tcBorders>
              <w:top w:val="single" w:sz="4" w:space="0" w:color="auto"/>
              <w:bottom w:val="single" w:sz="4" w:space="0" w:color="auto"/>
            </w:tcBorders>
            <w:shd w:val="clear" w:color="auto" w:fill="auto"/>
            <w:vAlign w:val="bottom"/>
            <w:hideMark/>
          </w:tcPr>
          <w:p w14:paraId="51A4C548"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w:t>
            </w:r>
          </w:p>
        </w:tc>
        <w:tc>
          <w:tcPr>
            <w:tcW w:w="1244" w:type="dxa"/>
            <w:tcBorders>
              <w:top w:val="single" w:sz="4" w:space="0" w:color="auto"/>
              <w:bottom w:val="single" w:sz="4" w:space="0" w:color="auto"/>
            </w:tcBorders>
            <w:shd w:val="clear" w:color="auto" w:fill="auto"/>
            <w:vAlign w:val="bottom"/>
            <w:hideMark/>
          </w:tcPr>
          <w:p w14:paraId="393146E7"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108</w:t>
            </w:r>
            <w:r>
              <w:rPr>
                <w:b/>
                <w:bCs/>
                <w:sz w:val="18"/>
                <w:lang w:val="fr-FR"/>
              </w:rPr>
              <w:t> </w:t>
            </w:r>
            <w:r w:rsidRPr="00BE6E53">
              <w:rPr>
                <w:b/>
                <w:bCs/>
                <w:sz w:val="18"/>
                <w:lang w:val="fr-FR"/>
              </w:rPr>
              <w:t>000</w:t>
            </w:r>
          </w:p>
        </w:tc>
        <w:tc>
          <w:tcPr>
            <w:tcW w:w="787" w:type="dxa"/>
            <w:tcBorders>
              <w:top w:val="single" w:sz="4" w:space="0" w:color="auto"/>
              <w:bottom w:val="single" w:sz="4" w:space="0" w:color="auto"/>
            </w:tcBorders>
            <w:shd w:val="clear" w:color="auto" w:fill="auto"/>
            <w:vAlign w:val="bottom"/>
            <w:hideMark/>
          </w:tcPr>
          <w:p w14:paraId="3279ED67"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w:t>
            </w:r>
          </w:p>
        </w:tc>
        <w:tc>
          <w:tcPr>
            <w:tcW w:w="1244" w:type="dxa"/>
            <w:tcBorders>
              <w:top w:val="single" w:sz="4" w:space="0" w:color="auto"/>
              <w:bottom w:val="single" w:sz="4" w:space="0" w:color="auto"/>
            </w:tcBorders>
            <w:shd w:val="clear" w:color="auto" w:fill="auto"/>
            <w:noWrap/>
            <w:vAlign w:val="bottom"/>
            <w:hideMark/>
          </w:tcPr>
          <w:p w14:paraId="0A9547F6"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108</w:t>
            </w:r>
            <w:r>
              <w:rPr>
                <w:b/>
                <w:bCs/>
                <w:sz w:val="18"/>
                <w:lang w:val="fr-FR"/>
              </w:rPr>
              <w:t> </w:t>
            </w:r>
            <w:r w:rsidRPr="00BE6E53">
              <w:rPr>
                <w:b/>
                <w:bCs/>
                <w:sz w:val="18"/>
                <w:lang w:val="fr-FR"/>
              </w:rPr>
              <w:t>000</w:t>
            </w:r>
          </w:p>
        </w:tc>
        <w:tc>
          <w:tcPr>
            <w:tcW w:w="787" w:type="dxa"/>
            <w:tcBorders>
              <w:top w:val="single" w:sz="4" w:space="0" w:color="auto"/>
              <w:bottom w:val="single" w:sz="4" w:space="0" w:color="auto"/>
            </w:tcBorders>
            <w:shd w:val="clear" w:color="auto" w:fill="auto"/>
            <w:vAlign w:val="bottom"/>
            <w:hideMark/>
          </w:tcPr>
          <w:p w14:paraId="1BF65D0B"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w:t>
            </w:r>
          </w:p>
        </w:tc>
        <w:tc>
          <w:tcPr>
            <w:tcW w:w="1244" w:type="dxa"/>
            <w:tcBorders>
              <w:top w:val="single" w:sz="4" w:space="0" w:color="auto"/>
              <w:bottom w:val="single" w:sz="4" w:space="0" w:color="auto"/>
            </w:tcBorders>
            <w:shd w:val="clear" w:color="auto" w:fill="auto"/>
            <w:noWrap/>
            <w:vAlign w:val="bottom"/>
            <w:hideMark/>
          </w:tcPr>
          <w:p w14:paraId="555C3D12"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108 000</w:t>
            </w:r>
          </w:p>
        </w:tc>
        <w:tc>
          <w:tcPr>
            <w:tcW w:w="787" w:type="dxa"/>
            <w:tcBorders>
              <w:top w:val="single" w:sz="4" w:space="0" w:color="auto"/>
              <w:bottom w:val="single" w:sz="4" w:space="0" w:color="auto"/>
            </w:tcBorders>
            <w:shd w:val="clear" w:color="auto" w:fill="auto"/>
            <w:vAlign w:val="bottom"/>
            <w:hideMark/>
          </w:tcPr>
          <w:p w14:paraId="4E9FBFB8"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w:t>
            </w:r>
          </w:p>
        </w:tc>
        <w:tc>
          <w:tcPr>
            <w:tcW w:w="1344" w:type="dxa"/>
            <w:tcBorders>
              <w:top w:val="single" w:sz="4" w:space="0" w:color="auto"/>
              <w:bottom w:val="single" w:sz="4" w:space="0" w:color="auto"/>
            </w:tcBorders>
            <w:shd w:val="clear" w:color="auto" w:fill="auto"/>
            <w:noWrap/>
            <w:vAlign w:val="bottom"/>
            <w:hideMark/>
          </w:tcPr>
          <w:p w14:paraId="618ACA10"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108</w:t>
            </w:r>
            <w:r>
              <w:rPr>
                <w:b/>
                <w:bCs/>
                <w:sz w:val="18"/>
                <w:lang w:val="fr-FR"/>
              </w:rPr>
              <w:t> </w:t>
            </w:r>
            <w:r w:rsidRPr="00BE6E53">
              <w:rPr>
                <w:b/>
                <w:bCs/>
                <w:sz w:val="18"/>
                <w:lang w:val="fr-FR"/>
              </w:rPr>
              <w:t>000</w:t>
            </w:r>
          </w:p>
        </w:tc>
        <w:tc>
          <w:tcPr>
            <w:tcW w:w="837" w:type="dxa"/>
            <w:tcBorders>
              <w:top w:val="single" w:sz="4" w:space="0" w:color="auto"/>
              <w:bottom w:val="single" w:sz="4" w:space="0" w:color="auto"/>
            </w:tcBorders>
            <w:shd w:val="clear" w:color="auto" w:fill="auto"/>
            <w:vAlign w:val="bottom"/>
            <w:hideMark/>
          </w:tcPr>
          <w:p w14:paraId="2476A7F3" w14:textId="77777777" w:rsidR="00EA3C11" w:rsidRPr="00BE6E53" w:rsidRDefault="00EA3C11" w:rsidP="00E146C5">
            <w:pPr>
              <w:suppressAutoHyphens w:val="0"/>
              <w:spacing w:before="80" w:after="80" w:line="220" w:lineRule="exact"/>
              <w:jc w:val="right"/>
              <w:rPr>
                <w:b/>
                <w:bCs/>
                <w:sz w:val="18"/>
                <w:lang w:val="fr-FR"/>
              </w:rPr>
            </w:pPr>
            <w:r w:rsidRPr="00BE6E53">
              <w:rPr>
                <w:b/>
                <w:bCs/>
                <w:sz w:val="18"/>
                <w:lang w:val="fr-FR"/>
              </w:rPr>
              <w:t>−</w:t>
            </w:r>
          </w:p>
        </w:tc>
      </w:tr>
      <w:tr w:rsidR="00EA3C11" w:rsidRPr="00372CD4" w14:paraId="7809F64F" w14:textId="77777777" w:rsidTr="00EA3C11">
        <w:tc>
          <w:tcPr>
            <w:tcW w:w="3453" w:type="dxa"/>
            <w:gridSpan w:val="2"/>
            <w:tcBorders>
              <w:top w:val="single" w:sz="4" w:space="0" w:color="auto"/>
              <w:bottom w:val="single" w:sz="12" w:space="0" w:color="auto"/>
            </w:tcBorders>
            <w:shd w:val="clear" w:color="auto" w:fill="auto"/>
            <w:hideMark/>
          </w:tcPr>
          <w:p w14:paraId="1A0582D0" w14:textId="77777777" w:rsidR="00EA3C11" w:rsidRPr="00372CD4" w:rsidRDefault="00EA3C11" w:rsidP="00372CD4">
            <w:pPr>
              <w:suppressAutoHyphens w:val="0"/>
              <w:spacing w:before="80" w:after="80" w:line="220" w:lineRule="exact"/>
              <w:ind w:left="283"/>
              <w:rPr>
                <w:b/>
                <w:sz w:val="18"/>
                <w:lang w:val="fr-FR"/>
              </w:rPr>
            </w:pPr>
            <w:r w:rsidRPr="00372CD4">
              <w:rPr>
                <w:b/>
                <w:bCs/>
                <w:sz w:val="18"/>
                <w:lang w:val="fr-FR"/>
              </w:rPr>
              <w:t>Total</w:t>
            </w:r>
          </w:p>
        </w:tc>
        <w:tc>
          <w:tcPr>
            <w:tcW w:w="1260" w:type="dxa"/>
            <w:tcBorders>
              <w:top w:val="single" w:sz="4" w:space="0" w:color="auto"/>
              <w:bottom w:val="single" w:sz="12" w:space="0" w:color="auto"/>
            </w:tcBorders>
            <w:shd w:val="clear" w:color="auto" w:fill="auto"/>
            <w:vAlign w:val="bottom"/>
          </w:tcPr>
          <w:p w14:paraId="60782CF8" w14:textId="7777777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1 </w:t>
            </w:r>
            <w:r w:rsidRPr="00372CD4">
              <w:rPr>
                <w:b/>
                <w:bCs/>
                <w:sz w:val="18"/>
                <w:szCs w:val="18"/>
                <w:lang w:val="fr-FR"/>
              </w:rPr>
              <w:t>495</w:t>
            </w:r>
            <w:r w:rsidRPr="00372CD4">
              <w:rPr>
                <w:b/>
                <w:sz w:val="18"/>
                <w:szCs w:val="18"/>
                <w:lang w:val="fr-FR"/>
              </w:rPr>
              <w:t> 300</w:t>
            </w:r>
          </w:p>
        </w:tc>
        <w:tc>
          <w:tcPr>
            <w:tcW w:w="789" w:type="dxa"/>
            <w:tcBorders>
              <w:top w:val="single" w:sz="4" w:space="0" w:color="auto"/>
              <w:bottom w:val="single" w:sz="12" w:space="0" w:color="auto"/>
            </w:tcBorders>
            <w:shd w:val="clear" w:color="auto" w:fill="auto"/>
            <w:vAlign w:val="bottom"/>
          </w:tcPr>
          <w:p w14:paraId="7D6203E7" w14:textId="7777777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82 000</w:t>
            </w:r>
          </w:p>
        </w:tc>
        <w:tc>
          <w:tcPr>
            <w:tcW w:w="1244" w:type="dxa"/>
            <w:tcBorders>
              <w:top w:val="single" w:sz="4" w:space="0" w:color="auto"/>
              <w:bottom w:val="single" w:sz="12" w:space="0" w:color="auto"/>
            </w:tcBorders>
            <w:shd w:val="clear" w:color="auto" w:fill="auto"/>
            <w:vAlign w:val="bottom"/>
          </w:tcPr>
          <w:p w14:paraId="343C9EA5" w14:textId="7777777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1 </w:t>
            </w:r>
            <w:r w:rsidRPr="00372CD4">
              <w:rPr>
                <w:b/>
                <w:bCs/>
                <w:sz w:val="18"/>
                <w:szCs w:val="18"/>
                <w:lang w:val="fr-FR"/>
              </w:rPr>
              <w:t>535</w:t>
            </w:r>
            <w:r w:rsidRPr="00372CD4">
              <w:rPr>
                <w:b/>
                <w:sz w:val="18"/>
                <w:szCs w:val="18"/>
                <w:lang w:val="fr-FR"/>
              </w:rPr>
              <w:t> 300</w:t>
            </w:r>
          </w:p>
        </w:tc>
        <w:tc>
          <w:tcPr>
            <w:tcW w:w="787" w:type="dxa"/>
            <w:tcBorders>
              <w:top w:val="single" w:sz="4" w:space="0" w:color="auto"/>
              <w:bottom w:val="single" w:sz="12" w:space="0" w:color="auto"/>
            </w:tcBorders>
            <w:shd w:val="clear" w:color="auto" w:fill="auto"/>
            <w:vAlign w:val="bottom"/>
          </w:tcPr>
          <w:p w14:paraId="149EDECF" w14:textId="7777777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82 000</w:t>
            </w:r>
          </w:p>
        </w:tc>
        <w:tc>
          <w:tcPr>
            <w:tcW w:w="1244" w:type="dxa"/>
            <w:tcBorders>
              <w:top w:val="single" w:sz="4" w:space="0" w:color="auto"/>
              <w:bottom w:val="single" w:sz="12" w:space="0" w:color="auto"/>
            </w:tcBorders>
            <w:shd w:val="clear" w:color="auto" w:fill="auto"/>
            <w:vAlign w:val="bottom"/>
          </w:tcPr>
          <w:p w14:paraId="2DD66DE3" w14:textId="7777777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1 </w:t>
            </w:r>
            <w:r w:rsidRPr="00372CD4">
              <w:rPr>
                <w:b/>
                <w:bCs/>
                <w:sz w:val="18"/>
                <w:szCs w:val="18"/>
                <w:lang w:val="fr-FR"/>
              </w:rPr>
              <w:t>505</w:t>
            </w:r>
            <w:r w:rsidRPr="00372CD4">
              <w:rPr>
                <w:b/>
                <w:sz w:val="18"/>
                <w:szCs w:val="18"/>
                <w:lang w:val="fr-FR"/>
              </w:rPr>
              <w:t> 300</w:t>
            </w:r>
          </w:p>
        </w:tc>
        <w:tc>
          <w:tcPr>
            <w:tcW w:w="787" w:type="dxa"/>
            <w:tcBorders>
              <w:top w:val="single" w:sz="4" w:space="0" w:color="auto"/>
              <w:bottom w:val="single" w:sz="12" w:space="0" w:color="auto"/>
            </w:tcBorders>
            <w:shd w:val="clear" w:color="auto" w:fill="auto"/>
            <w:vAlign w:val="bottom"/>
          </w:tcPr>
          <w:p w14:paraId="16426A45" w14:textId="7777777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82 200</w:t>
            </w:r>
          </w:p>
        </w:tc>
        <w:tc>
          <w:tcPr>
            <w:tcW w:w="1244" w:type="dxa"/>
            <w:tcBorders>
              <w:top w:val="single" w:sz="4" w:space="0" w:color="auto"/>
              <w:bottom w:val="single" w:sz="12" w:space="0" w:color="auto"/>
            </w:tcBorders>
            <w:shd w:val="clear" w:color="auto" w:fill="auto"/>
            <w:vAlign w:val="bottom"/>
          </w:tcPr>
          <w:p w14:paraId="0CF39384" w14:textId="12EB52F4"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1</w:t>
            </w:r>
            <w:r w:rsidR="00372CD4">
              <w:rPr>
                <w:b/>
                <w:sz w:val="18"/>
                <w:szCs w:val="18"/>
                <w:lang w:val="fr-FR"/>
              </w:rPr>
              <w:t> </w:t>
            </w:r>
            <w:r w:rsidRPr="00372CD4">
              <w:rPr>
                <w:b/>
                <w:bCs/>
                <w:sz w:val="18"/>
                <w:szCs w:val="18"/>
                <w:lang w:val="fr-FR"/>
              </w:rPr>
              <w:t>588</w:t>
            </w:r>
            <w:r w:rsidR="00372CD4">
              <w:rPr>
                <w:b/>
                <w:sz w:val="18"/>
                <w:szCs w:val="18"/>
                <w:lang w:val="fr-FR"/>
              </w:rPr>
              <w:t> </w:t>
            </w:r>
            <w:r w:rsidRPr="00372CD4">
              <w:rPr>
                <w:b/>
                <w:sz w:val="18"/>
                <w:szCs w:val="18"/>
                <w:lang w:val="fr-FR"/>
              </w:rPr>
              <w:t>900</w:t>
            </w:r>
          </w:p>
        </w:tc>
        <w:tc>
          <w:tcPr>
            <w:tcW w:w="787" w:type="dxa"/>
            <w:tcBorders>
              <w:top w:val="single" w:sz="4" w:space="0" w:color="auto"/>
              <w:bottom w:val="single" w:sz="12" w:space="0" w:color="auto"/>
            </w:tcBorders>
            <w:shd w:val="clear" w:color="auto" w:fill="auto"/>
            <w:vAlign w:val="bottom"/>
          </w:tcPr>
          <w:p w14:paraId="776ED623" w14:textId="12C0AB0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82</w:t>
            </w:r>
            <w:r w:rsidR="00372CD4">
              <w:rPr>
                <w:b/>
                <w:sz w:val="18"/>
                <w:szCs w:val="18"/>
                <w:lang w:val="fr-FR"/>
              </w:rPr>
              <w:t> </w:t>
            </w:r>
            <w:r w:rsidRPr="00372CD4">
              <w:rPr>
                <w:b/>
                <w:sz w:val="18"/>
                <w:szCs w:val="18"/>
                <w:lang w:val="fr-FR"/>
              </w:rPr>
              <w:t>000</w:t>
            </w:r>
          </w:p>
        </w:tc>
        <w:tc>
          <w:tcPr>
            <w:tcW w:w="1344" w:type="dxa"/>
            <w:tcBorders>
              <w:top w:val="single" w:sz="4" w:space="0" w:color="auto"/>
              <w:bottom w:val="single" w:sz="12" w:space="0" w:color="auto"/>
            </w:tcBorders>
            <w:shd w:val="clear" w:color="auto" w:fill="auto"/>
            <w:vAlign w:val="bottom"/>
          </w:tcPr>
          <w:p w14:paraId="7219FCD7" w14:textId="7777777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1 </w:t>
            </w:r>
            <w:r w:rsidRPr="00372CD4">
              <w:rPr>
                <w:b/>
                <w:bCs/>
                <w:sz w:val="18"/>
                <w:szCs w:val="18"/>
                <w:lang w:val="fr-FR"/>
              </w:rPr>
              <w:t>531</w:t>
            </w:r>
            <w:r w:rsidRPr="00372CD4">
              <w:rPr>
                <w:b/>
                <w:sz w:val="18"/>
                <w:szCs w:val="18"/>
                <w:lang w:val="fr-FR"/>
              </w:rPr>
              <w:t> 200</w:t>
            </w:r>
          </w:p>
        </w:tc>
        <w:tc>
          <w:tcPr>
            <w:tcW w:w="837" w:type="dxa"/>
            <w:tcBorders>
              <w:top w:val="single" w:sz="4" w:space="0" w:color="auto"/>
              <w:bottom w:val="single" w:sz="12" w:space="0" w:color="auto"/>
            </w:tcBorders>
            <w:shd w:val="clear" w:color="auto" w:fill="auto"/>
            <w:vAlign w:val="bottom"/>
          </w:tcPr>
          <w:p w14:paraId="6A05B552" w14:textId="77777777" w:rsidR="00EA3C11" w:rsidRPr="00372CD4" w:rsidRDefault="00EA3C11" w:rsidP="00372CD4">
            <w:pPr>
              <w:suppressAutoHyphens w:val="0"/>
              <w:spacing w:before="80" w:after="80" w:line="220" w:lineRule="exact"/>
              <w:jc w:val="right"/>
              <w:rPr>
                <w:b/>
                <w:bCs/>
                <w:sz w:val="18"/>
                <w:szCs w:val="18"/>
                <w:lang w:val="fr-FR"/>
              </w:rPr>
            </w:pPr>
            <w:r w:rsidRPr="00372CD4">
              <w:rPr>
                <w:b/>
                <w:sz w:val="18"/>
                <w:szCs w:val="18"/>
                <w:lang w:val="fr-FR"/>
              </w:rPr>
              <w:t>82 000</w:t>
            </w:r>
          </w:p>
        </w:tc>
      </w:tr>
      <w:tr w:rsidR="00EA3C11" w:rsidRPr="00E14F3F" w14:paraId="058B1398" w14:textId="77777777" w:rsidTr="00EA3C11">
        <w:tc>
          <w:tcPr>
            <w:tcW w:w="3453" w:type="dxa"/>
            <w:gridSpan w:val="2"/>
            <w:tcBorders>
              <w:top w:val="single" w:sz="12" w:space="0" w:color="auto"/>
              <w:bottom w:val="single" w:sz="4" w:space="0" w:color="auto"/>
            </w:tcBorders>
            <w:shd w:val="clear" w:color="auto" w:fill="auto"/>
            <w:hideMark/>
          </w:tcPr>
          <w:p w14:paraId="313B27A4" w14:textId="77777777" w:rsidR="00EA3C11" w:rsidRPr="00E14F3F" w:rsidRDefault="00EA3C11" w:rsidP="00E146C5">
            <w:pPr>
              <w:suppressAutoHyphens w:val="0"/>
              <w:spacing w:before="40" w:after="40" w:line="220" w:lineRule="exact"/>
              <w:rPr>
                <w:sz w:val="18"/>
                <w:lang w:val="fr-FR"/>
              </w:rPr>
            </w:pPr>
            <w:r w:rsidRPr="00E14F3F">
              <w:rPr>
                <w:sz w:val="18"/>
                <w:lang w:val="fr-FR"/>
              </w:rPr>
              <w:t>Dépenses d’appui au programme (13 %)</w:t>
            </w:r>
          </w:p>
        </w:tc>
        <w:tc>
          <w:tcPr>
            <w:tcW w:w="1260" w:type="dxa"/>
            <w:tcBorders>
              <w:top w:val="single" w:sz="12" w:space="0" w:color="auto"/>
              <w:bottom w:val="single" w:sz="4" w:space="0" w:color="auto"/>
            </w:tcBorders>
            <w:shd w:val="clear" w:color="auto" w:fill="auto"/>
            <w:vAlign w:val="bottom"/>
          </w:tcPr>
          <w:p w14:paraId="456C8AA1"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194 389</w:t>
            </w:r>
          </w:p>
        </w:tc>
        <w:tc>
          <w:tcPr>
            <w:tcW w:w="789" w:type="dxa"/>
            <w:tcBorders>
              <w:top w:val="single" w:sz="12" w:space="0" w:color="auto"/>
              <w:bottom w:val="single" w:sz="4" w:space="0" w:color="auto"/>
            </w:tcBorders>
            <w:shd w:val="clear" w:color="auto" w:fill="auto"/>
            <w:vAlign w:val="bottom"/>
          </w:tcPr>
          <w:p w14:paraId="700F2A56"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660</w:t>
            </w:r>
          </w:p>
        </w:tc>
        <w:tc>
          <w:tcPr>
            <w:tcW w:w="1244" w:type="dxa"/>
            <w:tcBorders>
              <w:top w:val="single" w:sz="12" w:space="0" w:color="auto"/>
              <w:bottom w:val="single" w:sz="4" w:space="0" w:color="auto"/>
            </w:tcBorders>
            <w:shd w:val="clear" w:color="auto" w:fill="auto"/>
            <w:vAlign w:val="bottom"/>
          </w:tcPr>
          <w:p w14:paraId="10D81C0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199</w:t>
            </w:r>
            <w:r>
              <w:rPr>
                <w:sz w:val="18"/>
                <w:lang w:val="fr-FR"/>
              </w:rPr>
              <w:t> </w:t>
            </w:r>
            <w:r w:rsidRPr="00E14F3F">
              <w:rPr>
                <w:sz w:val="18"/>
                <w:lang w:val="fr-FR"/>
              </w:rPr>
              <w:t>589</w:t>
            </w:r>
          </w:p>
        </w:tc>
        <w:tc>
          <w:tcPr>
            <w:tcW w:w="787" w:type="dxa"/>
            <w:tcBorders>
              <w:top w:val="single" w:sz="12" w:space="0" w:color="auto"/>
              <w:bottom w:val="single" w:sz="4" w:space="0" w:color="auto"/>
            </w:tcBorders>
            <w:shd w:val="clear" w:color="auto" w:fill="auto"/>
            <w:vAlign w:val="bottom"/>
          </w:tcPr>
          <w:p w14:paraId="4DB72875"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660</w:t>
            </w:r>
          </w:p>
        </w:tc>
        <w:tc>
          <w:tcPr>
            <w:tcW w:w="1244" w:type="dxa"/>
            <w:tcBorders>
              <w:top w:val="single" w:sz="12" w:space="0" w:color="auto"/>
              <w:bottom w:val="single" w:sz="4" w:space="0" w:color="auto"/>
            </w:tcBorders>
            <w:shd w:val="clear" w:color="auto" w:fill="auto"/>
            <w:vAlign w:val="bottom"/>
          </w:tcPr>
          <w:p w14:paraId="0697DF08"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195 689</w:t>
            </w:r>
          </w:p>
        </w:tc>
        <w:tc>
          <w:tcPr>
            <w:tcW w:w="787" w:type="dxa"/>
            <w:tcBorders>
              <w:top w:val="single" w:sz="12" w:space="0" w:color="auto"/>
              <w:bottom w:val="single" w:sz="4" w:space="0" w:color="auto"/>
            </w:tcBorders>
            <w:shd w:val="clear" w:color="auto" w:fill="auto"/>
            <w:vAlign w:val="bottom"/>
          </w:tcPr>
          <w:p w14:paraId="0B53F72C"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660</w:t>
            </w:r>
          </w:p>
        </w:tc>
        <w:tc>
          <w:tcPr>
            <w:tcW w:w="1244" w:type="dxa"/>
            <w:tcBorders>
              <w:top w:val="single" w:sz="12" w:space="0" w:color="auto"/>
              <w:bottom w:val="single" w:sz="4" w:space="0" w:color="auto"/>
            </w:tcBorders>
            <w:shd w:val="clear" w:color="auto" w:fill="auto"/>
            <w:vAlign w:val="bottom"/>
          </w:tcPr>
          <w:p w14:paraId="2F3E0E7B" w14:textId="06AFAD61" w:rsidR="00EA3C11" w:rsidRPr="00E14F3F" w:rsidRDefault="00EA3C11" w:rsidP="00E146C5">
            <w:pPr>
              <w:suppressAutoHyphens w:val="0"/>
              <w:spacing w:before="40" w:after="40" w:line="220" w:lineRule="exact"/>
              <w:jc w:val="right"/>
              <w:rPr>
                <w:sz w:val="18"/>
                <w:lang w:val="fr-FR"/>
              </w:rPr>
            </w:pPr>
            <w:r w:rsidRPr="00E14F3F">
              <w:rPr>
                <w:sz w:val="18"/>
                <w:lang w:val="fr-FR"/>
              </w:rPr>
              <w:t>206</w:t>
            </w:r>
            <w:r w:rsidR="00372CD4">
              <w:rPr>
                <w:sz w:val="18"/>
                <w:lang w:val="fr-FR"/>
              </w:rPr>
              <w:t> </w:t>
            </w:r>
            <w:r w:rsidRPr="00E14F3F">
              <w:rPr>
                <w:sz w:val="18"/>
                <w:lang w:val="fr-FR"/>
              </w:rPr>
              <w:t>557</w:t>
            </w:r>
          </w:p>
        </w:tc>
        <w:tc>
          <w:tcPr>
            <w:tcW w:w="787" w:type="dxa"/>
            <w:tcBorders>
              <w:top w:val="single" w:sz="12" w:space="0" w:color="auto"/>
              <w:bottom w:val="single" w:sz="4" w:space="0" w:color="auto"/>
            </w:tcBorders>
            <w:shd w:val="clear" w:color="auto" w:fill="auto"/>
            <w:vAlign w:val="bottom"/>
          </w:tcPr>
          <w:p w14:paraId="7ABE40B3" w14:textId="0512B9DB"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sidR="00372CD4">
              <w:rPr>
                <w:sz w:val="18"/>
                <w:lang w:val="fr-FR"/>
              </w:rPr>
              <w:t> </w:t>
            </w:r>
            <w:r w:rsidRPr="00E14F3F">
              <w:rPr>
                <w:sz w:val="18"/>
                <w:lang w:val="fr-FR"/>
              </w:rPr>
              <w:t>660</w:t>
            </w:r>
          </w:p>
        </w:tc>
        <w:tc>
          <w:tcPr>
            <w:tcW w:w="1344" w:type="dxa"/>
            <w:tcBorders>
              <w:top w:val="single" w:sz="12" w:space="0" w:color="auto"/>
              <w:bottom w:val="single" w:sz="4" w:space="0" w:color="auto"/>
            </w:tcBorders>
            <w:shd w:val="clear" w:color="auto" w:fill="auto"/>
            <w:vAlign w:val="bottom"/>
          </w:tcPr>
          <w:p w14:paraId="6FC4FFD2"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199</w:t>
            </w:r>
            <w:r>
              <w:rPr>
                <w:sz w:val="18"/>
                <w:lang w:val="fr-FR"/>
              </w:rPr>
              <w:t> </w:t>
            </w:r>
            <w:r w:rsidRPr="00E14F3F">
              <w:rPr>
                <w:sz w:val="18"/>
                <w:lang w:val="fr-FR"/>
              </w:rPr>
              <w:t xml:space="preserve">056   </w:t>
            </w:r>
          </w:p>
        </w:tc>
        <w:tc>
          <w:tcPr>
            <w:tcW w:w="837" w:type="dxa"/>
            <w:tcBorders>
              <w:top w:val="single" w:sz="12" w:space="0" w:color="auto"/>
              <w:bottom w:val="single" w:sz="4" w:space="0" w:color="auto"/>
            </w:tcBorders>
            <w:shd w:val="clear" w:color="auto" w:fill="auto"/>
            <w:vAlign w:val="bottom"/>
          </w:tcPr>
          <w:p w14:paraId="73971199" w14:textId="77777777" w:rsidR="00EA3C11" w:rsidRPr="00E14F3F" w:rsidRDefault="00EA3C11" w:rsidP="00E146C5">
            <w:pPr>
              <w:suppressAutoHyphens w:val="0"/>
              <w:spacing w:before="40" w:after="40" w:line="220" w:lineRule="exact"/>
              <w:jc w:val="right"/>
              <w:rPr>
                <w:sz w:val="18"/>
                <w:lang w:val="fr-FR"/>
              </w:rPr>
            </w:pPr>
            <w:r w:rsidRPr="00E14F3F">
              <w:rPr>
                <w:sz w:val="18"/>
                <w:lang w:val="fr-FR"/>
              </w:rPr>
              <w:t>10</w:t>
            </w:r>
            <w:r>
              <w:rPr>
                <w:sz w:val="18"/>
                <w:lang w:val="fr-FR"/>
              </w:rPr>
              <w:t> </w:t>
            </w:r>
            <w:r w:rsidRPr="00E14F3F">
              <w:rPr>
                <w:sz w:val="18"/>
                <w:lang w:val="fr-FR"/>
              </w:rPr>
              <w:t>660</w:t>
            </w:r>
          </w:p>
        </w:tc>
      </w:tr>
      <w:tr w:rsidR="00EA3C11" w:rsidRPr="00BE6E53" w14:paraId="70601AFB" w14:textId="77777777" w:rsidTr="00EA3C11">
        <w:tc>
          <w:tcPr>
            <w:tcW w:w="3453" w:type="dxa"/>
            <w:gridSpan w:val="2"/>
            <w:tcBorders>
              <w:top w:val="single" w:sz="4" w:space="0" w:color="auto"/>
              <w:bottom w:val="single" w:sz="12" w:space="0" w:color="auto"/>
            </w:tcBorders>
            <w:shd w:val="clear" w:color="auto" w:fill="auto"/>
            <w:hideMark/>
          </w:tcPr>
          <w:p w14:paraId="437B6F2F" w14:textId="77777777" w:rsidR="00EA3C11" w:rsidRPr="00BE6E53" w:rsidRDefault="00EA3C11" w:rsidP="00E146C5">
            <w:pPr>
              <w:suppressAutoHyphens w:val="0"/>
              <w:spacing w:before="80" w:after="80" w:line="220" w:lineRule="exact"/>
              <w:ind w:left="283"/>
              <w:rPr>
                <w:b/>
                <w:sz w:val="18"/>
                <w:lang w:val="fr-FR"/>
              </w:rPr>
            </w:pPr>
            <w:r w:rsidRPr="00BE6E53">
              <w:rPr>
                <w:b/>
                <w:bCs/>
                <w:sz w:val="18"/>
                <w:lang w:val="fr-FR"/>
              </w:rPr>
              <w:t>Total général</w:t>
            </w:r>
          </w:p>
        </w:tc>
        <w:tc>
          <w:tcPr>
            <w:tcW w:w="1260" w:type="dxa"/>
            <w:tcBorders>
              <w:top w:val="single" w:sz="4" w:space="0" w:color="auto"/>
              <w:bottom w:val="single" w:sz="12" w:space="0" w:color="auto"/>
            </w:tcBorders>
            <w:shd w:val="clear" w:color="auto" w:fill="auto"/>
            <w:vAlign w:val="bottom"/>
          </w:tcPr>
          <w:p w14:paraId="7165240E"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1 689 689</w:t>
            </w:r>
          </w:p>
        </w:tc>
        <w:tc>
          <w:tcPr>
            <w:tcW w:w="789" w:type="dxa"/>
            <w:tcBorders>
              <w:top w:val="single" w:sz="4" w:space="0" w:color="auto"/>
              <w:bottom w:val="single" w:sz="12" w:space="0" w:color="auto"/>
            </w:tcBorders>
            <w:shd w:val="clear" w:color="auto" w:fill="auto"/>
            <w:vAlign w:val="bottom"/>
          </w:tcPr>
          <w:p w14:paraId="50251FF3"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92 660</w:t>
            </w:r>
          </w:p>
        </w:tc>
        <w:tc>
          <w:tcPr>
            <w:tcW w:w="1244" w:type="dxa"/>
            <w:tcBorders>
              <w:top w:val="single" w:sz="4" w:space="0" w:color="auto"/>
              <w:bottom w:val="single" w:sz="12" w:space="0" w:color="auto"/>
            </w:tcBorders>
            <w:shd w:val="clear" w:color="auto" w:fill="auto"/>
            <w:vAlign w:val="bottom"/>
          </w:tcPr>
          <w:p w14:paraId="3B4798A6"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1 734 889</w:t>
            </w:r>
          </w:p>
        </w:tc>
        <w:tc>
          <w:tcPr>
            <w:tcW w:w="787" w:type="dxa"/>
            <w:tcBorders>
              <w:top w:val="single" w:sz="4" w:space="0" w:color="auto"/>
              <w:bottom w:val="single" w:sz="12" w:space="0" w:color="auto"/>
            </w:tcBorders>
            <w:shd w:val="clear" w:color="auto" w:fill="auto"/>
            <w:vAlign w:val="bottom"/>
          </w:tcPr>
          <w:p w14:paraId="44B7FD4F"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92 660</w:t>
            </w:r>
          </w:p>
        </w:tc>
        <w:tc>
          <w:tcPr>
            <w:tcW w:w="1244" w:type="dxa"/>
            <w:tcBorders>
              <w:top w:val="single" w:sz="4" w:space="0" w:color="auto"/>
              <w:bottom w:val="single" w:sz="12" w:space="0" w:color="auto"/>
            </w:tcBorders>
            <w:shd w:val="clear" w:color="auto" w:fill="auto"/>
            <w:vAlign w:val="bottom"/>
          </w:tcPr>
          <w:p w14:paraId="617D93D8"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1 700 989</w:t>
            </w:r>
          </w:p>
        </w:tc>
        <w:tc>
          <w:tcPr>
            <w:tcW w:w="787" w:type="dxa"/>
            <w:tcBorders>
              <w:top w:val="single" w:sz="4" w:space="0" w:color="auto"/>
              <w:bottom w:val="single" w:sz="12" w:space="0" w:color="auto"/>
            </w:tcBorders>
            <w:shd w:val="clear" w:color="auto" w:fill="auto"/>
            <w:vAlign w:val="bottom"/>
          </w:tcPr>
          <w:p w14:paraId="299D9EA3"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92 660</w:t>
            </w:r>
          </w:p>
        </w:tc>
        <w:tc>
          <w:tcPr>
            <w:tcW w:w="1244" w:type="dxa"/>
            <w:tcBorders>
              <w:top w:val="single" w:sz="4" w:space="0" w:color="auto"/>
              <w:bottom w:val="single" w:sz="12" w:space="0" w:color="auto"/>
            </w:tcBorders>
            <w:shd w:val="clear" w:color="auto" w:fill="auto"/>
            <w:vAlign w:val="bottom"/>
          </w:tcPr>
          <w:p w14:paraId="1EDB8C8A"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1 795 457</w:t>
            </w:r>
          </w:p>
        </w:tc>
        <w:tc>
          <w:tcPr>
            <w:tcW w:w="787" w:type="dxa"/>
            <w:tcBorders>
              <w:top w:val="single" w:sz="4" w:space="0" w:color="auto"/>
              <w:bottom w:val="single" w:sz="12" w:space="0" w:color="auto"/>
            </w:tcBorders>
            <w:shd w:val="clear" w:color="auto" w:fill="auto"/>
            <w:vAlign w:val="bottom"/>
          </w:tcPr>
          <w:p w14:paraId="67AB3BE2"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92 660</w:t>
            </w:r>
          </w:p>
        </w:tc>
        <w:tc>
          <w:tcPr>
            <w:tcW w:w="1344" w:type="dxa"/>
            <w:tcBorders>
              <w:top w:val="single" w:sz="4" w:space="0" w:color="auto"/>
              <w:bottom w:val="single" w:sz="12" w:space="0" w:color="auto"/>
            </w:tcBorders>
            <w:shd w:val="clear" w:color="auto" w:fill="auto"/>
            <w:vAlign w:val="bottom"/>
          </w:tcPr>
          <w:p w14:paraId="2F253E52"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1 730 256</w:t>
            </w:r>
          </w:p>
        </w:tc>
        <w:tc>
          <w:tcPr>
            <w:tcW w:w="837" w:type="dxa"/>
            <w:tcBorders>
              <w:top w:val="single" w:sz="4" w:space="0" w:color="auto"/>
              <w:bottom w:val="single" w:sz="12" w:space="0" w:color="auto"/>
            </w:tcBorders>
            <w:shd w:val="clear" w:color="auto" w:fill="auto"/>
            <w:vAlign w:val="bottom"/>
          </w:tcPr>
          <w:p w14:paraId="42D494E0" w14:textId="77777777" w:rsidR="00EA3C11" w:rsidRPr="00BE6E53" w:rsidRDefault="00EA3C11" w:rsidP="00E146C5">
            <w:pPr>
              <w:suppressAutoHyphens w:val="0"/>
              <w:spacing w:before="80" w:after="80" w:line="220" w:lineRule="exact"/>
              <w:jc w:val="right"/>
              <w:rPr>
                <w:b/>
                <w:bCs/>
                <w:sz w:val="18"/>
                <w:szCs w:val="18"/>
                <w:lang w:val="fr-FR"/>
              </w:rPr>
            </w:pPr>
            <w:r w:rsidRPr="00BE6E53">
              <w:rPr>
                <w:b/>
                <w:sz w:val="18"/>
                <w:szCs w:val="18"/>
                <w:lang w:val="fr-FR"/>
              </w:rPr>
              <w:t>92 660</w:t>
            </w:r>
          </w:p>
        </w:tc>
      </w:tr>
    </w:tbl>
    <w:p w14:paraId="0327DE6A" w14:textId="77777777" w:rsidR="00EA3C11" w:rsidRPr="00E3055D" w:rsidRDefault="00EA3C11" w:rsidP="00EA3C11">
      <w:pPr>
        <w:spacing w:before="120"/>
        <w:ind w:left="295" w:firstLine="170"/>
        <w:rPr>
          <w:iCs/>
          <w:sz w:val="18"/>
          <w:szCs w:val="18"/>
          <w:lang w:val="fr-FR"/>
        </w:rPr>
      </w:pPr>
      <w:r w:rsidRPr="00E3055D">
        <w:rPr>
          <w:i/>
          <w:iCs/>
          <w:sz w:val="18"/>
          <w:szCs w:val="18"/>
          <w:lang w:val="fr-FR"/>
        </w:rPr>
        <w:t>Abréviations </w:t>
      </w:r>
      <w:r w:rsidRPr="00E3055D">
        <w:rPr>
          <w:sz w:val="18"/>
          <w:szCs w:val="18"/>
          <w:lang w:val="fr-FR"/>
        </w:rPr>
        <w:t>: EPT = équivalent plein temps.</w:t>
      </w:r>
    </w:p>
    <w:p w14:paraId="2B8C371D" w14:textId="467C969F" w:rsidR="00EA3C11" w:rsidRPr="00E3055D" w:rsidRDefault="00EA3C11" w:rsidP="00EA3C11">
      <w:pPr>
        <w:ind w:left="295" w:firstLine="170"/>
        <w:rPr>
          <w:sz w:val="18"/>
          <w:szCs w:val="18"/>
          <w:lang w:val="fr-FR"/>
        </w:rPr>
      </w:pPr>
      <w:r w:rsidRPr="00E3055D">
        <w:rPr>
          <w:i/>
          <w:iCs/>
          <w:sz w:val="18"/>
          <w:szCs w:val="18"/>
          <w:vertAlign w:val="superscript"/>
          <w:lang w:val="fr-FR"/>
        </w:rPr>
        <w:t>a</w:t>
      </w:r>
      <w:r w:rsidRPr="00E3055D">
        <w:rPr>
          <w:sz w:val="18"/>
          <w:szCs w:val="18"/>
          <w:lang w:val="fr-FR"/>
        </w:rPr>
        <w:t xml:space="preserve">  Les coûts estimatifs donnés dans ce tableau correspondent uniquement aux dépenses qui devraient être couvertes par des contributions volontaires versées conformément aux dispositions financières arrêtées au titre de la Convention, qui peuvent prendre la forme de versements au fonds d</w:t>
      </w:r>
      <w:r>
        <w:rPr>
          <w:sz w:val="18"/>
          <w:szCs w:val="18"/>
          <w:lang w:val="fr-FR"/>
        </w:rPr>
        <w:t>’</w:t>
      </w:r>
      <w:r w:rsidRPr="00E3055D">
        <w:rPr>
          <w:sz w:val="18"/>
          <w:szCs w:val="18"/>
          <w:lang w:val="fr-FR"/>
        </w:rPr>
        <w:t>affectation spéciale ou de contributions en nature. Ils ne comprennent pas les dépenses qui</w:t>
      </w:r>
      <w:r w:rsidR="006131A3">
        <w:rPr>
          <w:sz w:val="18"/>
          <w:szCs w:val="18"/>
          <w:lang w:val="fr-FR"/>
        </w:rPr>
        <w:t> </w:t>
      </w:r>
      <w:r w:rsidRPr="00E3055D">
        <w:rPr>
          <w:sz w:val="18"/>
          <w:szCs w:val="18"/>
          <w:lang w:val="fr-FR"/>
        </w:rPr>
        <w:t>devraient être financées sur le budget ordinaire de l</w:t>
      </w:r>
      <w:r>
        <w:rPr>
          <w:sz w:val="18"/>
          <w:szCs w:val="18"/>
          <w:lang w:val="fr-FR"/>
        </w:rPr>
        <w:t>’</w:t>
      </w:r>
      <w:r w:rsidRPr="00E3055D">
        <w:rPr>
          <w:sz w:val="18"/>
          <w:szCs w:val="18"/>
          <w:lang w:val="fr-FR"/>
        </w:rPr>
        <w:t>ONU ou par d</w:t>
      </w:r>
      <w:r>
        <w:rPr>
          <w:sz w:val="18"/>
          <w:szCs w:val="18"/>
          <w:lang w:val="fr-FR"/>
        </w:rPr>
        <w:t>’</w:t>
      </w:r>
      <w:r w:rsidRPr="00E3055D">
        <w:rPr>
          <w:sz w:val="18"/>
          <w:szCs w:val="18"/>
          <w:lang w:val="fr-FR"/>
        </w:rPr>
        <w:t>autres sources de financement. Les chiffres sont arrondis. Ils sont susceptibles de changer en fonction des règles administratives de l</w:t>
      </w:r>
      <w:r>
        <w:rPr>
          <w:sz w:val="18"/>
          <w:szCs w:val="18"/>
          <w:lang w:val="fr-FR"/>
        </w:rPr>
        <w:t>’</w:t>
      </w:r>
      <w:r w:rsidRPr="00E3055D">
        <w:rPr>
          <w:sz w:val="18"/>
          <w:szCs w:val="18"/>
          <w:lang w:val="fr-FR"/>
        </w:rPr>
        <w:t>ONU.</w:t>
      </w:r>
    </w:p>
    <w:p w14:paraId="3D2B2CA1" w14:textId="116A587A" w:rsidR="00EA3C11" w:rsidRPr="00E3055D" w:rsidRDefault="00EA3C11" w:rsidP="00EA3C11">
      <w:pPr>
        <w:ind w:left="295" w:firstLine="170"/>
        <w:rPr>
          <w:sz w:val="18"/>
          <w:szCs w:val="18"/>
          <w:lang w:val="fr-FR"/>
        </w:rPr>
      </w:pPr>
      <w:r w:rsidRPr="00E3055D">
        <w:rPr>
          <w:i/>
          <w:iCs/>
          <w:sz w:val="18"/>
          <w:szCs w:val="18"/>
          <w:vertAlign w:val="superscript"/>
          <w:lang w:val="fr-FR"/>
        </w:rPr>
        <w:t>b</w:t>
      </w:r>
      <w:r w:rsidRPr="00E3055D">
        <w:rPr>
          <w:sz w:val="18"/>
          <w:szCs w:val="18"/>
          <w:lang w:val="fr-FR"/>
        </w:rPr>
        <w:t xml:space="preserve">  Les experts associés aux travaux de l</w:t>
      </w:r>
      <w:r>
        <w:rPr>
          <w:sz w:val="18"/>
          <w:szCs w:val="18"/>
          <w:lang w:val="fr-FR"/>
        </w:rPr>
        <w:t>’</w:t>
      </w:r>
      <w:r w:rsidRPr="00E3055D">
        <w:rPr>
          <w:sz w:val="18"/>
          <w:szCs w:val="18"/>
          <w:lang w:val="fr-FR"/>
        </w:rPr>
        <w:t>Équipe spéciale de l</w:t>
      </w:r>
      <w:r>
        <w:rPr>
          <w:sz w:val="18"/>
          <w:szCs w:val="18"/>
          <w:lang w:val="fr-FR"/>
        </w:rPr>
        <w:t>’</w:t>
      </w:r>
      <w:r w:rsidRPr="00E3055D">
        <w:rPr>
          <w:sz w:val="18"/>
          <w:szCs w:val="18"/>
          <w:lang w:val="fr-FR"/>
        </w:rPr>
        <w:t>accès à l</w:t>
      </w:r>
      <w:r>
        <w:rPr>
          <w:sz w:val="18"/>
          <w:szCs w:val="18"/>
          <w:lang w:val="fr-FR"/>
        </w:rPr>
        <w:t>’</w:t>
      </w:r>
      <w:r w:rsidRPr="00E3055D">
        <w:rPr>
          <w:sz w:val="18"/>
          <w:szCs w:val="18"/>
          <w:lang w:val="fr-FR"/>
        </w:rPr>
        <w:t>information, de l</w:t>
      </w:r>
      <w:r>
        <w:rPr>
          <w:sz w:val="18"/>
          <w:szCs w:val="18"/>
          <w:lang w:val="fr-FR"/>
        </w:rPr>
        <w:t>’</w:t>
      </w:r>
      <w:r w:rsidRPr="00E3055D">
        <w:rPr>
          <w:sz w:val="18"/>
          <w:szCs w:val="18"/>
          <w:lang w:val="fr-FR"/>
        </w:rPr>
        <w:t>Équipe spéciale de la participation du public au processus décisionnel et de l</w:t>
      </w:r>
      <w:r>
        <w:rPr>
          <w:sz w:val="18"/>
          <w:szCs w:val="18"/>
          <w:lang w:val="fr-FR"/>
        </w:rPr>
        <w:t>’</w:t>
      </w:r>
      <w:r w:rsidRPr="00E3055D">
        <w:rPr>
          <w:sz w:val="18"/>
          <w:szCs w:val="18"/>
          <w:lang w:val="fr-FR"/>
        </w:rPr>
        <w:t>Équipe spéciale de l</w:t>
      </w:r>
      <w:r>
        <w:rPr>
          <w:sz w:val="18"/>
          <w:szCs w:val="18"/>
          <w:lang w:val="fr-FR"/>
        </w:rPr>
        <w:t>’</w:t>
      </w:r>
      <w:r w:rsidRPr="00E3055D">
        <w:rPr>
          <w:sz w:val="18"/>
          <w:szCs w:val="18"/>
          <w:lang w:val="fr-FR"/>
        </w:rPr>
        <w:t>accès à la justice seront invités à apporter un appui fonctionnel en formulant des observations sur les documents et en participant à des séances de formation, ateliers, projets pilotes, etc. Les</w:t>
      </w:r>
      <w:r w:rsidR="00FE4806">
        <w:rPr>
          <w:sz w:val="18"/>
          <w:szCs w:val="18"/>
          <w:lang w:val="fr-FR"/>
        </w:rPr>
        <w:t xml:space="preserve"> </w:t>
      </w:r>
      <w:r w:rsidRPr="00E3055D">
        <w:rPr>
          <w:sz w:val="18"/>
          <w:szCs w:val="18"/>
          <w:lang w:val="fr-FR"/>
        </w:rPr>
        <w:t>réunions de l</w:t>
      </w:r>
      <w:r>
        <w:rPr>
          <w:sz w:val="18"/>
          <w:szCs w:val="18"/>
          <w:lang w:val="fr-FR"/>
        </w:rPr>
        <w:t>’</w:t>
      </w:r>
      <w:r w:rsidRPr="00E3055D">
        <w:rPr>
          <w:sz w:val="18"/>
          <w:szCs w:val="18"/>
          <w:lang w:val="fr-FR"/>
        </w:rPr>
        <w:t>Équipe spéciale seront l</w:t>
      </w:r>
      <w:r>
        <w:rPr>
          <w:sz w:val="18"/>
          <w:szCs w:val="18"/>
          <w:lang w:val="fr-FR"/>
        </w:rPr>
        <w:t>’</w:t>
      </w:r>
      <w:r w:rsidRPr="00E3055D">
        <w:rPr>
          <w:sz w:val="18"/>
          <w:szCs w:val="18"/>
          <w:lang w:val="fr-FR"/>
        </w:rPr>
        <w:t>occasion de débattre des principaux résultats de ces activités et de recenser les bonnes pratiques et les obstacles à l</w:t>
      </w:r>
      <w:r>
        <w:rPr>
          <w:sz w:val="18"/>
          <w:szCs w:val="18"/>
          <w:lang w:val="fr-FR"/>
        </w:rPr>
        <w:t>’</w:t>
      </w:r>
      <w:r w:rsidRPr="00E3055D">
        <w:rPr>
          <w:sz w:val="18"/>
          <w:szCs w:val="18"/>
          <w:lang w:val="fr-FR"/>
        </w:rPr>
        <w:t>application.</w:t>
      </w:r>
    </w:p>
    <w:p w14:paraId="3C5BE5D8" w14:textId="6550F459" w:rsidR="00EA3C11" w:rsidRPr="00E3055D" w:rsidRDefault="00EA3C11" w:rsidP="00EA3C11">
      <w:pPr>
        <w:ind w:left="295" w:firstLine="170"/>
        <w:rPr>
          <w:sz w:val="18"/>
          <w:szCs w:val="18"/>
          <w:lang w:val="fr-FR"/>
        </w:rPr>
      </w:pPr>
      <w:r w:rsidRPr="00E3055D">
        <w:rPr>
          <w:i/>
          <w:iCs/>
          <w:sz w:val="18"/>
          <w:szCs w:val="18"/>
          <w:vertAlign w:val="superscript"/>
          <w:lang w:val="fr-FR"/>
        </w:rPr>
        <w:t>c</w:t>
      </w:r>
      <w:r w:rsidRPr="00E3055D">
        <w:rPr>
          <w:sz w:val="18"/>
          <w:szCs w:val="18"/>
          <w:lang w:val="fr-FR"/>
        </w:rPr>
        <w:t xml:space="preserve">  Les prévisions de dépenses liées aux postes d</w:t>
      </w:r>
      <w:r>
        <w:rPr>
          <w:sz w:val="18"/>
          <w:szCs w:val="18"/>
          <w:lang w:val="fr-FR"/>
        </w:rPr>
        <w:t>’</w:t>
      </w:r>
      <w:r w:rsidRPr="00E3055D">
        <w:rPr>
          <w:sz w:val="18"/>
          <w:szCs w:val="18"/>
          <w:lang w:val="fr-FR"/>
        </w:rPr>
        <w:t>administrateur sont obtenues en multipliant le temps de travail du personnel dans chaque domaine d</w:t>
      </w:r>
      <w:r>
        <w:rPr>
          <w:sz w:val="18"/>
          <w:szCs w:val="18"/>
          <w:lang w:val="fr-FR"/>
        </w:rPr>
        <w:t>’</w:t>
      </w:r>
      <w:r w:rsidRPr="00E3055D">
        <w:rPr>
          <w:sz w:val="18"/>
          <w:szCs w:val="18"/>
          <w:lang w:val="fr-FR"/>
        </w:rPr>
        <w:t>activité par la somme des coûts salariaux annuels prévus à la classe indiquée. Ces dépenses sont considérées comme des coûts opérationnels étant donné qu</w:t>
      </w:r>
      <w:r>
        <w:rPr>
          <w:sz w:val="18"/>
          <w:szCs w:val="18"/>
          <w:lang w:val="fr-FR"/>
        </w:rPr>
        <w:t>’</w:t>
      </w:r>
      <w:r w:rsidRPr="00E3055D">
        <w:rPr>
          <w:sz w:val="18"/>
          <w:szCs w:val="18"/>
          <w:lang w:val="fr-FR"/>
        </w:rPr>
        <w:t>elles sont essentielles à la mise en œuvre efficace et équilibrée de</w:t>
      </w:r>
      <w:r w:rsidR="00FE4806">
        <w:rPr>
          <w:sz w:val="18"/>
          <w:szCs w:val="18"/>
          <w:lang w:val="fr-FR"/>
        </w:rPr>
        <w:t xml:space="preserve"> </w:t>
      </w:r>
      <w:r w:rsidRPr="00E3055D">
        <w:rPr>
          <w:sz w:val="18"/>
          <w:szCs w:val="18"/>
          <w:lang w:val="fr-FR"/>
        </w:rPr>
        <w:t>tous les domaines d</w:t>
      </w:r>
      <w:r>
        <w:rPr>
          <w:sz w:val="18"/>
          <w:szCs w:val="18"/>
          <w:lang w:val="fr-FR"/>
        </w:rPr>
        <w:t>’</w:t>
      </w:r>
      <w:r w:rsidRPr="00E3055D">
        <w:rPr>
          <w:sz w:val="18"/>
          <w:szCs w:val="18"/>
          <w:lang w:val="fr-FR"/>
        </w:rPr>
        <w:t>activité. En outre, les fonds nécessaires aux contrats du personnel doivent être obtenus au moins une année à l</w:t>
      </w:r>
      <w:r>
        <w:rPr>
          <w:sz w:val="18"/>
          <w:szCs w:val="18"/>
          <w:lang w:val="fr-FR"/>
        </w:rPr>
        <w:t>’</w:t>
      </w:r>
      <w:r w:rsidRPr="00E3055D">
        <w:rPr>
          <w:sz w:val="18"/>
          <w:szCs w:val="18"/>
          <w:lang w:val="fr-FR"/>
        </w:rPr>
        <w:t>avance. Ce poste P-2 est indispensable pour apporter l</w:t>
      </w:r>
      <w:r>
        <w:rPr>
          <w:sz w:val="18"/>
          <w:szCs w:val="18"/>
          <w:lang w:val="fr-FR"/>
        </w:rPr>
        <w:t>’</w:t>
      </w:r>
      <w:r w:rsidRPr="00E3055D">
        <w:rPr>
          <w:sz w:val="18"/>
          <w:szCs w:val="18"/>
          <w:lang w:val="fr-FR"/>
        </w:rPr>
        <w:t>appui nécessaire à la préparation des sessions des Réunions des Parties à la Convention et au Protocole, en particulier en ce qui concerne le débat conjoint de haut niveau, les activités de communication et le processus de participation. Les dépenses de personnel seraient partagées entre la Convention et son protocole (50 % à la charge de la Convention d</w:t>
      </w:r>
      <w:r>
        <w:rPr>
          <w:sz w:val="18"/>
          <w:szCs w:val="18"/>
          <w:lang w:val="fr-FR"/>
        </w:rPr>
        <w:t>’</w:t>
      </w:r>
      <w:r w:rsidRPr="00E3055D">
        <w:rPr>
          <w:sz w:val="18"/>
          <w:szCs w:val="18"/>
          <w:lang w:val="fr-FR"/>
        </w:rPr>
        <w:t>Aarhus et 50 % à celle du Protocole).</w:t>
      </w:r>
    </w:p>
    <w:p w14:paraId="2C8D62A4" w14:textId="77777777" w:rsidR="00EA3C11" w:rsidRPr="00E3055D" w:rsidRDefault="00EA3C11" w:rsidP="00EA3C11">
      <w:pPr>
        <w:ind w:left="295" w:firstLine="170"/>
        <w:rPr>
          <w:sz w:val="18"/>
          <w:szCs w:val="18"/>
          <w:lang w:val="fr-FR"/>
        </w:rPr>
      </w:pPr>
      <w:r w:rsidRPr="00E3055D">
        <w:rPr>
          <w:i/>
          <w:iCs/>
          <w:sz w:val="18"/>
          <w:szCs w:val="18"/>
          <w:vertAlign w:val="superscript"/>
          <w:lang w:val="fr-FR"/>
        </w:rPr>
        <w:t>d</w:t>
      </w:r>
      <w:r w:rsidRPr="00E3055D">
        <w:rPr>
          <w:sz w:val="18"/>
          <w:szCs w:val="18"/>
          <w:lang w:val="fr-FR"/>
        </w:rPr>
        <w:t xml:space="preserve">  Les coûts opérationnels des missions du personnel correspondent aux frais de voyage des membres du secrétariat chargés d</w:t>
      </w:r>
      <w:r>
        <w:rPr>
          <w:sz w:val="18"/>
          <w:szCs w:val="18"/>
          <w:lang w:val="fr-FR"/>
        </w:rPr>
        <w:t>’</w:t>
      </w:r>
      <w:r w:rsidRPr="00E3055D">
        <w:rPr>
          <w:sz w:val="18"/>
          <w:szCs w:val="18"/>
          <w:lang w:val="fr-FR"/>
        </w:rPr>
        <w:t>assurer, par exemple, le service des réunions des équipes spéciales qui ne se tiennent pas à Genève et des ateliers/manifestations liés à ce domaine d</w:t>
      </w:r>
      <w:r>
        <w:rPr>
          <w:sz w:val="18"/>
          <w:szCs w:val="18"/>
          <w:lang w:val="fr-FR"/>
        </w:rPr>
        <w:t>’</w:t>
      </w:r>
      <w:r w:rsidRPr="00E3055D">
        <w:rPr>
          <w:sz w:val="18"/>
          <w:szCs w:val="18"/>
          <w:lang w:val="fr-FR"/>
        </w:rPr>
        <w:t>activité.</w:t>
      </w:r>
    </w:p>
    <w:p w14:paraId="470DF8E2" w14:textId="77777777" w:rsidR="00EA3C11" w:rsidRPr="00E3055D" w:rsidRDefault="00EA3C11" w:rsidP="00EA3C11">
      <w:pPr>
        <w:ind w:left="295" w:firstLine="170"/>
        <w:rPr>
          <w:sz w:val="18"/>
          <w:szCs w:val="18"/>
          <w:lang w:val="fr-FR"/>
        </w:rPr>
      </w:pPr>
      <w:r w:rsidRPr="00E3055D">
        <w:rPr>
          <w:i/>
          <w:iCs/>
          <w:sz w:val="18"/>
          <w:szCs w:val="18"/>
          <w:vertAlign w:val="superscript"/>
          <w:lang w:val="fr-FR"/>
        </w:rPr>
        <w:t>e</w:t>
      </w:r>
      <w:r w:rsidRPr="00E3055D">
        <w:rPr>
          <w:sz w:val="18"/>
          <w:szCs w:val="18"/>
          <w:lang w:val="fr-FR"/>
        </w:rPr>
        <w:t xml:space="preserve">  Il peut être demandé au secrétariat de mener des missions officielles liées aux travaux du mécanisme d</w:t>
      </w:r>
      <w:r>
        <w:rPr>
          <w:sz w:val="18"/>
          <w:szCs w:val="18"/>
          <w:lang w:val="fr-FR"/>
        </w:rPr>
        <w:t>’</w:t>
      </w:r>
      <w:r w:rsidRPr="00E3055D">
        <w:rPr>
          <w:sz w:val="18"/>
          <w:szCs w:val="18"/>
          <w:lang w:val="fr-FR"/>
        </w:rPr>
        <w:t>examen du respect des dispositions. De tels coûts sont donc considérés comme opérationnels.</w:t>
      </w:r>
    </w:p>
    <w:p w14:paraId="7E11BEA1" w14:textId="77777777" w:rsidR="00EA3C11" w:rsidRPr="00E3055D" w:rsidRDefault="00EA3C11" w:rsidP="00EA3C11">
      <w:pPr>
        <w:ind w:left="295" w:firstLine="170"/>
        <w:rPr>
          <w:sz w:val="18"/>
          <w:szCs w:val="18"/>
          <w:lang w:val="fr-FR"/>
        </w:rPr>
      </w:pPr>
      <w:r w:rsidRPr="00E3055D">
        <w:rPr>
          <w:i/>
          <w:iCs/>
          <w:sz w:val="18"/>
          <w:szCs w:val="18"/>
          <w:vertAlign w:val="superscript"/>
          <w:lang w:val="fr-FR"/>
        </w:rPr>
        <w:t>f</w:t>
      </w:r>
      <w:r w:rsidRPr="00E3055D">
        <w:rPr>
          <w:sz w:val="18"/>
          <w:szCs w:val="18"/>
          <w:lang w:val="fr-FR"/>
        </w:rPr>
        <w:t xml:space="preserve">  Entrent dans cette catégorie les activités qui contribuent à renforcer les capacités dans des domaines se rapportant à la Convention dans son ensemble. Les activités de renforcement des capacités relatives à un domaine particulier visé par la Convention (outils d</w:t>
      </w:r>
      <w:r>
        <w:rPr>
          <w:sz w:val="18"/>
          <w:szCs w:val="18"/>
          <w:lang w:val="fr-FR"/>
        </w:rPr>
        <w:t>’</w:t>
      </w:r>
      <w:r w:rsidRPr="00E3055D">
        <w:rPr>
          <w:sz w:val="18"/>
          <w:szCs w:val="18"/>
          <w:lang w:val="fr-FR"/>
        </w:rPr>
        <w:t>information électroniques et accès à la justice, par exemple) relèvent de ce domaine. Afin d</w:t>
      </w:r>
      <w:r>
        <w:rPr>
          <w:sz w:val="18"/>
          <w:szCs w:val="18"/>
          <w:lang w:val="fr-FR"/>
        </w:rPr>
        <w:t>’</w:t>
      </w:r>
      <w:r w:rsidRPr="00E3055D">
        <w:rPr>
          <w:sz w:val="18"/>
          <w:szCs w:val="18"/>
          <w:lang w:val="fr-FR"/>
        </w:rPr>
        <w:t>améliorer l</w:t>
      </w:r>
      <w:r>
        <w:rPr>
          <w:sz w:val="18"/>
          <w:szCs w:val="18"/>
          <w:lang w:val="fr-FR"/>
        </w:rPr>
        <w:t>’</w:t>
      </w:r>
      <w:r w:rsidRPr="00E3055D">
        <w:rPr>
          <w:sz w:val="18"/>
          <w:szCs w:val="18"/>
          <w:lang w:val="fr-FR"/>
        </w:rPr>
        <w:t>efficacité du renforcement des capacités et les synergies, le secrétariat mène ces activités en collaboration avec tous les principaux acteurs compétents de la région. En outre, il assure le service d</w:t>
      </w:r>
      <w:r>
        <w:rPr>
          <w:sz w:val="18"/>
          <w:szCs w:val="18"/>
          <w:lang w:val="fr-FR"/>
        </w:rPr>
        <w:t>’</w:t>
      </w:r>
      <w:r w:rsidRPr="00E3055D">
        <w:rPr>
          <w:sz w:val="18"/>
          <w:szCs w:val="18"/>
          <w:lang w:val="fr-FR"/>
        </w:rPr>
        <w:t>un mécanisme de coordination du renforcement des capacités à l</w:t>
      </w:r>
      <w:r>
        <w:rPr>
          <w:sz w:val="18"/>
          <w:szCs w:val="18"/>
          <w:lang w:val="fr-FR"/>
        </w:rPr>
        <w:t>’</w:t>
      </w:r>
      <w:r w:rsidRPr="00E3055D">
        <w:rPr>
          <w:sz w:val="18"/>
          <w:szCs w:val="18"/>
          <w:lang w:val="fr-FR"/>
        </w:rPr>
        <w:t>échelle régionale visant à garantir que les projets mis en œuvre par des organisations partenaires soient conformes aux décisions de la Réunion des Parties. La plupart des frais de voyage et des coûts des services de consultants sont normalement couverts par d</w:t>
      </w:r>
      <w:r>
        <w:rPr>
          <w:sz w:val="18"/>
          <w:szCs w:val="18"/>
          <w:lang w:val="fr-FR"/>
        </w:rPr>
        <w:t>’</w:t>
      </w:r>
      <w:r w:rsidRPr="00E3055D">
        <w:rPr>
          <w:sz w:val="18"/>
          <w:szCs w:val="18"/>
          <w:lang w:val="fr-FR"/>
        </w:rPr>
        <w:t>autres sources, à savoir des organisations partenaires ou des contributions spécifiques de donateurs. Ces synergies permettent également de réduire considérablement la charge financière, les Parties à la Convention devant verser une contribution modique au regard de l</w:t>
      </w:r>
      <w:r>
        <w:rPr>
          <w:sz w:val="18"/>
          <w:szCs w:val="18"/>
          <w:lang w:val="fr-FR"/>
        </w:rPr>
        <w:t>’</w:t>
      </w:r>
      <w:r w:rsidRPr="00E3055D">
        <w:rPr>
          <w:sz w:val="18"/>
          <w:szCs w:val="18"/>
          <w:lang w:val="fr-FR"/>
        </w:rPr>
        <w:t>impact final des activités.</w:t>
      </w:r>
    </w:p>
    <w:p w14:paraId="09CB201A" w14:textId="336D227C" w:rsidR="00EA3C11" w:rsidRPr="00E3055D" w:rsidRDefault="00EA3C11" w:rsidP="00EA3C11">
      <w:pPr>
        <w:ind w:left="295" w:firstLine="170"/>
        <w:rPr>
          <w:sz w:val="18"/>
          <w:szCs w:val="18"/>
          <w:lang w:val="fr-FR"/>
        </w:rPr>
      </w:pPr>
      <w:r w:rsidRPr="00E3055D">
        <w:rPr>
          <w:i/>
          <w:iCs/>
          <w:sz w:val="18"/>
          <w:szCs w:val="18"/>
          <w:vertAlign w:val="superscript"/>
          <w:lang w:val="fr-FR"/>
        </w:rPr>
        <w:t>g</w:t>
      </w:r>
      <w:r w:rsidRPr="00E3055D">
        <w:rPr>
          <w:sz w:val="18"/>
          <w:szCs w:val="18"/>
          <w:lang w:val="fr-FR"/>
        </w:rPr>
        <w:t xml:space="preserve">  Au titre de ce domaine d</w:t>
      </w:r>
      <w:r>
        <w:rPr>
          <w:sz w:val="18"/>
          <w:szCs w:val="18"/>
          <w:lang w:val="fr-FR"/>
        </w:rPr>
        <w:t>’</w:t>
      </w:r>
      <w:r w:rsidRPr="00E3055D">
        <w:rPr>
          <w:sz w:val="18"/>
          <w:szCs w:val="18"/>
          <w:lang w:val="fr-FR"/>
        </w:rPr>
        <w:t>activité, des activités de promotion seront menées dans la région et au-delà. Les participants à ces activités sont en quelque sorte les « ambassadeurs » des Parties. Le secrétariat et les experts de la Convention d</w:t>
      </w:r>
      <w:r>
        <w:rPr>
          <w:sz w:val="18"/>
          <w:szCs w:val="18"/>
          <w:lang w:val="fr-FR"/>
        </w:rPr>
        <w:t>’</w:t>
      </w:r>
      <w:r w:rsidRPr="00E3055D">
        <w:rPr>
          <w:sz w:val="18"/>
          <w:szCs w:val="18"/>
          <w:lang w:val="fr-FR"/>
        </w:rPr>
        <w:t>Aarhus sont régulièrement invités à participer à des réunions et processus internationaux dans le monde entier et à partager dans ce cadre leurs expériences et leurs connaissances. Dans la mesure du possible, la promotion de la Convention s</w:t>
      </w:r>
      <w:r>
        <w:rPr>
          <w:sz w:val="18"/>
          <w:szCs w:val="18"/>
          <w:lang w:val="fr-FR"/>
        </w:rPr>
        <w:t>’</w:t>
      </w:r>
      <w:r w:rsidRPr="00E3055D">
        <w:rPr>
          <w:sz w:val="18"/>
          <w:szCs w:val="18"/>
          <w:lang w:val="fr-FR"/>
        </w:rPr>
        <w:t>effectue au moyen d</w:t>
      </w:r>
      <w:r>
        <w:rPr>
          <w:sz w:val="18"/>
          <w:szCs w:val="18"/>
          <w:lang w:val="fr-FR"/>
        </w:rPr>
        <w:t>’</w:t>
      </w:r>
      <w:r w:rsidRPr="00E3055D">
        <w:rPr>
          <w:sz w:val="18"/>
          <w:szCs w:val="18"/>
          <w:lang w:val="fr-FR"/>
        </w:rPr>
        <w:t>outils électroniques. Le secrétariat met tout en œuvre pour que les incidences financières de telles activités soient aussi minimes que possible. En outre, conformément à la pratique établie, certaines publications devraient être financées sur le budget ordinaire de</w:t>
      </w:r>
      <w:r w:rsidR="005A11E3">
        <w:rPr>
          <w:sz w:val="18"/>
          <w:szCs w:val="18"/>
          <w:lang w:val="fr-FR"/>
        </w:rPr>
        <w:t> </w:t>
      </w:r>
      <w:r w:rsidRPr="00E3055D">
        <w:rPr>
          <w:sz w:val="18"/>
          <w:szCs w:val="18"/>
          <w:lang w:val="fr-FR"/>
        </w:rPr>
        <w:t>l</w:t>
      </w:r>
      <w:r>
        <w:rPr>
          <w:sz w:val="18"/>
          <w:szCs w:val="18"/>
          <w:lang w:val="fr-FR"/>
        </w:rPr>
        <w:t>’</w:t>
      </w:r>
      <w:r w:rsidRPr="00E3055D">
        <w:rPr>
          <w:sz w:val="18"/>
          <w:szCs w:val="18"/>
          <w:lang w:val="fr-FR"/>
        </w:rPr>
        <w:t>ONU.</w:t>
      </w:r>
    </w:p>
    <w:p w14:paraId="509B316D" w14:textId="6C595071" w:rsidR="00EA3C11" w:rsidRPr="00E3055D" w:rsidRDefault="00EA3C11" w:rsidP="00EA3C11">
      <w:pPr>
        <w:ind w:left="295" w:firstLine="170"/>
        <w:rPr>
          <w:sz w:val="18"/>
          <w:szCs w:val="18"/>
          <w:lang w:val="fr-FR"/>
        </w:rPr>
      </w:pPr>
      <w:r w:rsidRPr="00E3055D">
        <w:rPr>
          <w:i/>
          <w:sz w:val="18"/>
          <w:szCs w:val="18"/>
          <w:vertAlign w:val="superscript"/>
          <w:lang w:val="fr-FR"/>
        </w:rPr>
        <w:t>h</w:t>
      </w:r>
      <w:r w:rsidRPr="00E3055D">
        <w:rPr>
          <w:sz w:val="18"/>
          <w:szCs w:val="18"/>
          <w:lang w:val="fr-FR"/>
        </w:rPr>
        <w:t xml:space="preserve">  </w:t>
      </w:r>
      <w:r w:rsidRPr="006131A3">
        <w:rPr>
          <w:spacing w:val="-1"/>
          <w:sz w:val="18"/>
          <w:szCs w:val="18"/>
          <w:lang w:val="fr-FR"/>
        </w:rPr>
        <w:t>Y compris les conseils juridiques et les tâches de caractère général. Les prévisions de dépenses liées aux postes d’administrateur sont obtenues en multipliant le temps de travail du personnel dans chaque domaine d’activité par la somme des coûts salariaux annuels prévus à la classe indiquée. Ces dépenses sont considérées comme des coûts opérationnels étant donné qu’elles sont essentielles à la mise en œuvre efficace et équilibrée de tous les domaines d’activité. En outre, les fonds nécessaires aux contrats du personnel doivent être obtenus au moins une</w:t>
      </w:r>
      <w:r w:rsidR="005A11E3" w:rsidRPr="006131A3">
        <w:rPr>
          <w:spacing w:val="-1"/>
          <w:sz w:val="18"/>
          <w:szCs w:val="18"/>
          <w:lang w:val="fr-FR"/>
        </w:rPr>
        <w:t xml:space="preserve"> </w:t>
      </w:r>
      <w:r w:rsidRPr="006131A3">
        <w:rPr>
          <w:spacing w:val="-1"/>
          <w:sz w:val="18"/>
          <w:szCs w:val="18"/>
          <w:lang w:val="fr-FR"/>
        </w:rPr>
        <w:t>année à l’avance.</w:t>
      </w:r>
    </w:p>
    <w:p w14:paraId="6CC41456" w14:textId="6BE48916" w:rsidR="00EA3C11" w:rsidRPr="00E3055D" w:rsidRDefault="00EA3C11" w:rsidP="00EA3C11">
      <w:pPr>
        <w:ind w:left="295" w:firstLine="170"/>
        <w:rPr>
          <w:sz w:val="18"/>
          <w:szCs w:val="18"/>
          <w:lang w:val="fr-FR"/>
        </w:rPr>
      </w:pPr>
      <w:r w:rsidRPr="00E3055D">
        <w:rPr>
          <w:i/>
          <w:sz w:val="18"/>
          <w:szCs w:val="18"/>
          <w:vertAlign w:val="superscript"/>
          <w:lang w:val="fr-FR"/>
        </w:rPr>
        <w:t>i</w:t>
      </w:r>
      <w:r w:rsidRPr="00E3055D">
        <w:rPr>
          <w:sz w:val="18"/>
          <w:szCs w:val="18"/>
          <w:lang w:val="fr-FR"/>
        </w:rPr>
        <w:t xml:space="preserve">  Les frais de voyage et les indemnités journalières de subsistance pour les participants qui y ont droit sont comptabilisés au titre du domaine d</w:t>
      </w:r>
      <w:r>
        <w:rPr>
          <w:sz w:val="18"/>
          <w:szCs w:val="18"/>
          <w:lang w:val="fr-FR"/>
        </w:rPr>
        <w:t>’</w:t>
      </w:r>
      <w:r w:rsidRPr="00E3055D">
        <w:rPr>
          <w:sz w:val="18"/>
          <w:szCs w:val="18"/>
          <w:lang w:val="fr-FR"/>
        </w:rPr>
        <w:t>activité</w:t>
      </w:r>
      <w:r w:rsidR="00476F99">
        <w:rPr>
          <w:sz w:val="18"/>
          <w:szCs w:val="18"/>
          <w:lang w:val="fr-FR"/>
        </w:rPr>
        <w:t> </w:t>
      </w:r>
      <w:r w:rsidRPr="00E3055D">
        <w:rPr>
          <w:sz w:val="18"/>
          <w:szCs w:val="18"/>
          <w:lang w:val="fr-FR"/>
        </w:rPr>
        <w:t>X.</w:t>
      </w:r>
    </w:p>
    <w:p w14:paraId="394D1D1B" w14:textId="1758811B" w:rsidR="00EA3C11" w:rsidRPr="00E3055D" w:rsidRDefault="00EA3C11" w:rsidP="00EA3C11">
      <w:pPr>
        <w:ind w:left="295" w:firstLine="170"/>
        <w:rPr>
          <w:sz w:val="18"/>
          <w:szCs w:val="18"/>
          <w:lang w:val="fr-FR"/>
        </w:rPr>
      </w:pPr>
      <w:r w:rsidRPr="00E3055D">
        <w:rPr>
          <w:i/>
          <w:sz w:val="18"/>
          <w:szCs w:val="18"/>
          <w:vertAlign w:val="superscript"/>
          <w:lang w:val="fr-FR"/>
        </w:rPr>
        <w:t>j</w:t>
      </w:r>
      <w:r w:rsidRPr="00E3055D">
        <w:rPr>
          <w:sz w:val="18"/>
          <w:szCs w:val="18"/>
          <w:lang w:val="fr-FR"/>
        </w:rPr>
        <w:t xml:space="preserve">  Depuis le 1</w:t>
      </w:r>
      <w:r w:rsidRPr="00E3055D">
        <w:rPr>
          <w:sz w:val="18"/>
          <w:szCs w:val="18"/>
          <w:vertAlign w:val="superscript"/>
          <w:lang w:val="fr-FR"/>
        </w:rPr>
        <w:t>er</w:t>
      </w:r>
      <w:r w:rsidRPr="00E3055D">
        <w:rPr>
          <w:sz w:val="18"/>
          <w:szCs w:val="18"/>
          <w:lang w:val="fr-FR"/>
        </w:rPr>
        <w:t> février 2016, le financement d</w:t>
      </w:r>
      <w:r>
        <w:rPr>
          <w:sz w:val="18"/>
          <w:szCs w:val="18"/>
          <w:lang w:val="fr-FR"/>
        </w:rPr>
        <w:t>’</w:t>
      </w:r>
      <w:r w:rsidRPr="00E3055D">
        <w:rPr>
          <w:sz w:val="18"/>
          <w:szCs w:val="18"/>
          <w:lang w:val="fr-FR"/>
        </w:rPr>
        <w:t>un poste d</w:t>
      </w:r>
      <w:r>
        <w:rPr>
          <w:sz w:val="18"/>
          <w:szCs w:val="18"/>
          <w:lang w:val="fr-FR"/>
        </w:rPr>
        <w:t>’</w:t>
      </w:r>
      <w:r w:rsidRPr="00E3055D">
        <w:rPr>
          <w:sz w:val="18"/>
          <w:szCs w:val="18"/>
          <w:lang w:val="fr-FR"/>
        </w:rPr>
        <w:t>agent d</w:t>
      </w:r>
      <w:r>
        <w:rPr>
          <w:sz w:val="18"/>
          <w:szCs w:val="18"/>
          <w:lang w:val="fr-FR"/>
        </w:rPr>
        <w:t>’</w:t>
      </w:r>
      <w:r w:rsidRPr="00E3055D">
        <w:rPr>
          <w:sz w:val="18"/>
          <w:szCs w:val="18"/>
          <w:lang w:val="fr-FR"/>
        </w:rPr>
        <w:t>administration n</w:t>
      </w:r>
      <w:r>
        <w:rPr>
          <w:sz w:val="18"/>
          <w:szCs w:val="18"/>
          <w:lang w:val="fr-FR"/>
        </w:rPr>
        <w:t>’</w:t>
      </w:r>
      <w:r w:rsidRPr="00E3055D">
        <w:rPr>
          <w:sz w:val="18"/>
          <w:szCs w:val="18"/>
          <w:lang w:val="fr-FR"/>
        </w:rPr>
        <w:t>est plus assuré par le prélèvement de 13 % opéré au titre des dépenses d</w:t>
      </w:r>
      <w:r>
        <w:rPr>
          <w:sz w:val="18"/>
          <w:szCs w:val="18"/>
          <w:lang w:val="fr-FR"/>
        </w:rPr>
        <w:t>’</w:t>
      </w:r>
      <w:r w:rsidRPr="00E3055D">
        <w:rPr>
          <w:sz w:val="18"/>
          <w:szCs w:val="18"/>
          <w:lang w:val="fr-FR"/>
        </w:rPr>
        <w:t>appui au programme sur les fonds d</w:t>
      </w:r>
      <w:r>
        <w:rPr>
          <w:sz w:val="18"/>
          <w:szCs w:val="18"/>
          <w:lang w:val="fr-FR"/>
        </w:rPr>
        <w:t>’</w:t>
      </w:r>
      <w:r w:rsidRPr="00E3055D">
        <w:rPr>
          <w:sz w:val="18"/>
          <w:szCs w:val="18"/>
          <w:lang w:val="fr-FR"/>
        </w:rPr>
        <w:t>affectation spéciale de la Division de l</w:t>
      </w:r>
      <w:r>
        <w:rPr>
          <w:sz w:val="18"/>
          <w:szCs w:val="18"/>
          <w:lang w:val="fr-FR"/>
        </w:rPr>
        <w:t>’</w:t>
      </w:r>
      <w:r w:rsidRPr="00E3055D">
        <w:rPr>
          <w:sz w:val="18"/>
          <w:szCs w:val="18"/>
          <w:lang w:val="fr-FR"/>
        </w:rPr>
        <w:t>environnement de la CEE. Ce poste est indispensable pour que puisse être assuré l</w:t>
      </w:r>
      <w:r>
        <w:rPr>
          <w:sz w:val="18"/>
          <w:szCs w:val="18"/>
          <w:lang w:val="fr-FR"/>
        </w:rPr>
        <w:t>’</w:t>
      </w:r>
      <w:r w:rsidRPr="00E3055D">
        <w:rPr>
          <w:sz w:val="18"/>
          <w:szCs w:val="18"/>
          <w:lang w:val="fr-FR"/>
        </w:rPr>
        <w:t>appui administratif nécessaire aux activités menées au titre</w:t>
      </w:r>
      <w:r w:rsidR="005A11E3">
        <w:rPr>
          <w:sz w:val="18"/>
          <w:szCs w:val="18"/>
          <w:lang w:val="fr-FR"/>
        </w:rPr>
        <w:t xml:space="preserve"> </w:t>
      </w:r>
      <w:r w:rsidRPr="00E3055D">
        <w:rPr>
          <w:sz w:val="18"/>
          <w:szCs w:val="18"/>
          <w:lang w:val="fr-FR"/>
        </w:rPr>
        <w:t>de la Convention d</w:t>
      </w:r>
      <w:r>
        <w:rPr>
          <w:sz w:val="18"/>
          <w:szCs w:val="18"/>
          <w:lang w:val="fr-FR"/>
        </w:rPr>
        <w:t>’</w:t>
      </w:r>
      <w:r w:rsidRPr="00E3055D">
        <w:rPr>
          <w:sz w:val="18"/>
          <w:szCs w:val="18"/>
          <w:lang w:val="fr-FR"/>
        </w:rPr>
        <w:t>Aarhus et de son protocole, y compris les dispositions administratives à prendre en vue de la tenue des réunions des organes directeurs et des organes subsidiaires des</w:t>
      </w:r>
      <w:r>
        <w:rPr>
          <w:sz w:val="18"/>
          <w:szCs w:val="18"/>
          <w:lang w:val="fr-FR"/>
        </w:rPr>
        <w:t xml:space="preserve"> </w:t>
      </w:r>
      <w:r w:rsidRPr="00E3055D">
        <w:rPr>
          <w:sz w:val="18"/>
          <w:szCs w:val="18"/>
          <w:lang w:val="fr-FR"/>
        </w:rPr>
        <w:t>deux instruments. Les dépenses de personnel seraient partagées entre la Convention et son protocole (70 % à la charge de la Convention et 30 % à celle du Protocole).</w:t>
      </w:r>
    </w:p>
    <w:p w14:paraId="6B2E8CF9" w14:textId="77777777" w:rsidR="00EA3C11" w:rsidRDefault="00EA3C11" w:rsidP="00EA3C11">
      <w:pPr>
        <w:ind w:left="295" w:firstLine="170"/>
        <w:rPr>
          <w:sz w:val="18"/>
          <w:szCs w:val="18"/>
          <w:lang w:val="fr-FR"/>
        </w:rPr>
      </w:pPr>
      <w:r w:rsidRPr="00E3055D">
        <w:rPr>
          <w:i/>
          <w:sz w:val="18"/>
          <w:szCs w:val="18"/>
          <w:vertAlign w:val="superscript"/>
          <w:lang w:val="fr-FR"/>
        </w:rPr>
        <w:t>k</w:t>
      </w:r>
      <w:r w:rsidRPr="00E3055D">
        <w:rPr>
          <w:sz w:val="18"/>
          <w:szCs w:val="18"/>
          <w:lang w:val="fr-FR"/>
        </w:rPr>
        <w:t xml:space="preserve">  Habituellement, l</w:t>
      </w:r>
      <w:r>
        <w:rPr>
          <w:sz w:val="18"/>
          <w:szCs w:val="18"/>
          <w:lang w:val="fr-FR"/>
        </w:rPr>
        <w:t>’</w:t>
      </w:r>
      <w:r w:rsidRPr="00E3055D">
        <w:rPr>
          <w:sz w:val="18"/>
          <w:szCs w:val="18"/>
          <w:lang w:val="fr-FR"/>
        </w:rPr>
        <w:t>ONU prenait aussi en charge les dépenses liées au matériel technique et les autres dépenses d</w:t>
      </w:r>
      <w:r>
        <w:rPr>
          <w:sz w:val="18"/>
          <w:szCs w:val="18"/>
          <w:lang w:val="fr-FR"/>
        </w:rPr>
        <w:t>’</w:t>
      </w:r>
      <w:r w:rsidRPr="00E3055D">
        <w:rPr>
          <w:sz w:val="18"/>
          <w:szCs w:val="18"/>
          <w:lang w:val="fr-FR"/>
        </w:rPr>
        <w:t>appui opérationnel (administration financière, par exemple) pour les fonctionnaires dont le poste était financé au moyen de fonds extrabudgétaires, mais cette pratique a été abandonnée. Ces dépenses sont donc incluses dans les coûts opérationnels du programme de travail.</w:t>
      </w:r>
    </w:p>
    <w:p w14:paraId="55C5E092" w14:textId="16843822" w:rsidR="00EA3C11" w:rsidRDefault="00EA3C11" w:rsidP="00EA3C11">
      <w:pPr>
        <w:ind w:left="295" w:firstLine="170"/>
        <w:rPr>
          <w:sz w:val="18"/>
          <w:szCs w:val="18"/>
          <w:lang w:val="fr-FR"/>
        </w:rPr>
      </w:pPr>
      <w:r w:rsidRPr="00E3055D">
        <w:rPr>
          <w:i/>
          <w:sz w:val="18"/>
          <w:szCs w:val="18"/>
          <w:vertAlign w:val="superscript"/>
          <w:lang w:val="fr-FR"/>
        </w:rPr>
        <w:t>l</w:t>
      </w:r>
      <w:r w:rsidRPr="00E3055D">
        <w:rPr>
          <w:sz w:val="18"/>
          <w:szCs w:val="18"/>
          <w:lang w:val="fr-FR"/>
        </w:rPr>
        <w:t xml:space="preserve">  Tous les fonctionnaires de l</w:t>
      </w:r>
      <w:r>
        <w:rPr>
          <w:sz w:val="18"/>
          <w:szCs w:val="18"/>
          <w:lang w:val="fr-FR"/>
        </w:rPr>
        <w:t>’</w:t>
      </w:r>
      <w:r w:rsidRPr="00E3055D">
        <w:rPr>
          <w:sz w:val="18"/>
          <w:szCs w:val="18"/>
          <w:lang w:val="fr-FR"/>
        </w:rPr>
        <w:t>ONU doivent développer leurs compétences et participer à des activités de formation. La formation continue et l</w:t>
      </w:r>
      <w:r>
        <w:rPr>
          <w:sz w:val="18"/>
          <w:szCs w:val="18"/>
          <w:lang w:val="fr-FR"/>
        </w:rPr>
        <w:t>’</w:t>
      </w:r>
      <w:r w:rsidRPr="00E3055D">
        <w:rPr>
          <w:sz w:val="18"/>
          <w:szCs w:val="18"/>
          <w:lang w:val="fr-FR"/>
        </w:rPr>
        <w:t>acquisition de nouvelles compétences sont essentielles afin que le personnel maintienne un haut niveau de professionnalisme et s</w:t>
      </w:r>
      <w:r>
        <w:rPr>
          <w:sz w:val="18"/>
          <w:szCs w:val="18"/>
          <w:lang w:val="fr-FR"/>
        </w:rPr>
        <w:t>’</w:t>
      </w:r>
      <w:r w:rsidRPr="00E3055D">
        <w:rPr>
          <w:sz w:val="18"/>
          <w:szCs w:val="18"/>
          <w:lang w:val="fr-FR"/>
        </w:rPr>
        <w:t xml:space="preserve">adapte à de nouvelles exigences en matière de compétences. </w:t>
      </w:r>
      <w:r w:rsidR="005A11E3">
        <w:rPr>
          <w:sz w:val="18"/>
          <w:szCs w:val="18"/>
          <w:lang w:val="fr-FR"/>
        </w:rPr>
        <w:t>Par c</w:t>
      </w:r>
      <w:r w:rsidRPr="00E3055D">
        <w:rPr>
          <w:sz w:val="18"/>
          <w:szCs w:val="18"/>
          <w:lang w:val="fr-FR"/>
        </w:rPr>
        <w:t>onséquent</w:t>
      </w:r>
      <w:r w:rsidR="005A11E3">
        <w:rPr>
          <w:sz w:val="18"/>
          <w:szCs w:val="18"/>
          <w:lang w:val="fr-FR"/>
        </w:rPr>
        <w:t xml:space="preserve">, </w:t>
      </w:r>
      <w:r w:rsidRPr="00E3055D">
        <w:rPr>
          <w:sz w:val="18"/>
          <w:szCs w:val="18"/>
          <w:lang w:val="fr-FR"/>
        </w:rPr>
        <w:t>la formation du personnel est</w:t>
      </w:r>
      <w:r w:rsidR="006131A3">
        <w:rPr>
          <w:sz w:val="18"/>
          <w:szCs w:val="18"/>
          <w:lang w:val="fr-FR"/>
        </w:rPr>
        <w:t> </w:t>
      </w:r>
      <w:r w:rsidRPr="00E3055D">
        <w:rPr>
          <w:sz w:val="18"/>
          <w:szCs w:val="18"/>
          <w:lang w:val="fr-FR"/>
        </w:rPr>
        <w:t>considérée comme relevant des coûts opérationnels.</w:t>
      </w:r>
    </w:p>
    <w:p w14:paraId="08CC8556" w14:textId="77777777" w:rsidR="00DC7782" w:rsidRDefault="00DC7782" w:rsidP="00EA3C11">
      <w:pPr>
        <w:ind w:left="295" w:firstLine="170"/>
        <w:rPr>
          <w:sz w:val="18"/>
          <w:szCs w:val="18"/>
          <w:lang w:val="fr-FR"/>
        </w:rPr>
        <w:sectPr w:rsidR="00DC7782" w:rsidSect="00EA3C11">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14:paraId="604AE081" w14:textId="77777777" w:rsidR="00DC7782" w:rsidRPr="00E3055D" w:rsidRDefault="00DC7782" w:rsidP="00DC7782">
      <w:pPr>
        <w:pStyle w:val="HChG"/>
        <w:rPr>
          <w:lang w:val="fr-FR"/>
        </w:rPr>
      </w:pPr>
      <w:r w:rsidRPr="00E3055D">
        <w:rPr>
          <w:lang w:val="fr-FR"/>
        </w:rPr>
        <w:t>Annexe III</w:t>
      </w:r>
    </w:p>
    <w:p w14:paraId="3393A149" w14:textId="77777777" w:rsidR="00DC7782" w:rsidRPr="00E3055D" w:rsidRDefault="00DC7782" w:rsidP="00DC7782">
      <w:pPr>
        <w:pStyle w:val="HChG"/>
        <w:rPr>
          <w:iCs/>
          <w:lang w:val="fr-FR"/>
        </w:rPr>
      </w:pPr>
      <w:r w:rsidRPr="00E3055D">
        <w:rPr>
          <w:lang w:val="fr-FR"/>
        </w:rPr>
        <w:tab/>
      </w:r>
      <w:r w:rsidRPr="00E3055D">
        <w:rPr>
          <w:lang w:val="fr-FR"/>
        </w:rPr>
        <w:tab/>
        <w:t xml:space="preserve">Exemple de répartition des différentes réunions prévues au titre de la Convention pour la période 2022-2025 </w:t>
      </w:r>
      <w:r w:rsidRPr="00E3055D">
        <w:rPr>
          <w:iCs/>
          <w:lang w:val="fr-FR"/>
        </w:rPr>
        <w:t>(</w:t>
      </w:r>
      <w:r w:rsidRPr="00E3055D">
        <w:rPr>
          <w:i/>
          <w:iCs/>
          <w:lang w:val="fr-FR"/>
        </w:rPr>
        <w:t>identique à</w:t>
      </w:r>
      <w:r>
        <w:rPr>
          <w:i/>
          <w:iCs/>
          <w:lang w:val="fr-FR"/>
        </w:rPr>
        <w:t> </w:t>
      </w:r>
      <w:r w:rsidRPr="00E3055D">
        <w:rPr>
          <w:i/>
          <w:iCs/>
          <w:lang w:val="fr-FR"/>
        </w:rPr>
        <w:t>la répartition prévue au titre du programme</w:t>
      </w:r>
      <w:r>
        <w:rPr>
          <w:i/>
          <w:iCs/>
          <w:lang w:val="fr-FR"/>
        </w:rPr>
        <w:t xml:space="preserve"> </w:t>
      </w:r>
      <w:r w:rsidRPr="00E3055D">
        <w:rPr>
          <w:i/>
          <w:iCs/>
          <w:lang w:val="fr-FR"/>
        </w:rPr>
        <w:t xml:space="preserve">de travail </w:t>
      </w:r>
      <w:r>
        <w:rPr>
          <w:i/>
          <w:iCs/>
          <w:lang w:val="fr-FR"/>
        </w:rPr>
        <w:br/>
      </w:r>
      <w:r w:rsidRPr="00E3055D">
        <w:rPr>
          <w:i/>
          <w:iCs/>
          <w:lang w:val="fr-FR"/>
        </w:rPr>
        <w:t>pour la période 2018-2021</w:t>
      </w:r>
      <w:r w:rsidRPr="00E3055D">
        <w:rPr>
          <w:iCs/>
          <w:lang w:val="fr-FR"/>
        </w:rPr>
        <w:t>)</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602"/>
        <w:gridCol w:w="602"/>
        <w:gridCol w:w="602"/>
        <w:gridCol w:w="602"/>
      </w:tblGrid>
      <w:tr w:rsidR="00DC7782" w:rsidRPr="00476F99" w14:paraId="68CC5E20" w14:textId="77777777" w:rsidTr="00476F99">
        <w:trPr>
          <w:tblHeader/>
        </w:trPr>
        <w:tc>
          <w:tcPr>
            <w:tcW w:w="4962" w:type="dxa"/>
            <w:tcBorders>
              <w:top w:val="single" w:sz="4" w:space="0" w:color="auto"/>
              <w:bottom w:val="single" w:sz="12" w:space="0" w:color="auto"/>
            </w:tcBorders>
            <w:shd w:val="clear" w:color="auto" w:fill="auto"/>
            <w:vAlign w:val="bottom"/>
          </w:tcPr>
          <w:p w14:paraId="419F40FD" w14:textId="77777777" w:rsidR="00DC7782" w:rsidRPr="00476F99" w:rsidRDefault="00DC7782" w:rsidP="00476F99">
            <w:pPr>
              <w:spacing w:before="80" w:after="80" w:line="200" w:lineRule="exact"/>
              <w:ind w:right="113"/>
              <w:rPr>
                <w:i/>
                <w:sz w:val="16"/>
                <w:lang w:val="fr-FR"/>
              </w:rPr>
            </w:pPr>
            <w:r w:rsidRPr="00476F99">
              <w:rPr>
                <w:i/>
                <w:sz w:val="16"/>
                <w:lang w:val="fr-FR"/>
              </w:rPr>
              <w:t>Type de réunion</w:t>
            </w:r>
          </w:p>
        </w:tc>
        <w:tc>
          <w:tcPr>
            <w:tcW w:w="602" w:type="dxa"/>
            <w:tcBorders>
              <w:top w:val="single" w:sz="4" w:space="0" w:color="auto"/>
              <w:bottom w:val="single" w:sz="12" w:space="0" w:color="auto"/>
            </w:tcBorders>
            <w:shd w:val="clear" w:color="auto" w:fill="auto"/>
            <w:vAlign w:val="bottom"/>
          </w:tcPr>
          <w:p w14:paraId="158D1117" w14:textId="77777777" w:rsidR="00DC7782" w:rsidRPr="00476F99" w:rsidRDefault="00DC7782" w:rsidP="004E307E">
            <w:pPr>
              <w:spacing w:before="80" w:after="80" w:line="200" w:lineRule="exact"/>
              <w:ind w:right="113"/>
              <w:jc w:val="right"/>
              <w:rPr>
                <w:i/>
                <w:sz w:val="16"/>
                <w:lang w:val="fr-FR"/>
              </w:rPr>
            </w:pPr>
            <w:r w:rsidRPr="00476F99">
              <w:rPr>
                <w:i/>
                <w:sz w:val="16"/>
                <w:lang w:val="fr-FR"/>
              </w:rPr>
              <w:t>2022</w:t>
            </w:r>
          </w:p>
        </w:tc>
        <w:tc>
          <w:tcPr>
            <w:tcW w:w="602" w:type="dxa"/>
            <w:tcBorders>
              <w:top w:val="single" w:sz="4" w:space="0" w:color="auto"/>
              <w:bottom w:val="single" w:sz="12" w:space="0" w:color="auto"/>
            </w:tcBorders>
            <w:shd w:val="clear" w:color="auto" w:fill="auto"/>
            <w:vAlign w:val="bottom"/>
          </w:tcPr>
          <w:p w14:paraId="5FD55766" w14:textId="77777777" w:rsidR="00DC7782" w:rsidRPr="00476F99" w:rsidRDefault="00DC7782" w:rsidP="004E307E">
            <w:pPr>
              <w:spacing w:before="80" w:after="80" w:line="200" w:lineRule="exact"/>
              <w:ind w:right="113"/>
              <w:jc w:val="right"/>
              <w:rPr>
                <w:i/>
                <w:sz w:val="16"/>
                <w:lang w:val="fr-FR"/>
              </w:rPr>
            </w:pPr>
            <w:r w:rsidRPr="00476F99">
              <w:rPr>
                <w:i/>
                <w:sz w:val="16"/>
                <w:lang w:val="fr-FR"/>
              </w:rPr>
              <w:t>2023</w:t>
            </w:r>
          </w:p>
        </w:tc>
        <w:tc>
          <w:tcPr>
            <w:tcW w:w="602" w:type="dxa"/>
            <w:tcBorders>
              <w:top w:val="single" w:sz="4" w:space="0" w:color="auto"/>
              <w:bottom w:val="single" w:sz="12" w:space="0" w:color="auto"/>
            </w:tcBorders>
            <w:shd w:val="clear" w:color="auto" w:fill="auto"/>
            <w:vAlign w:val="bottom"/>
          </w:tcPr>
          <w:p w14:paraId="1686DF2A" w14:textId="77777777" w:rsidR="00DC7782" w:rsidRPr="00476F99" w:rsidRDefault="00DC7782" w:rsidP="004E307E">
            <w:pPr>
              <w:spacing w:before="80" w:after="80" w:line="200" w:lineRule="exact"/>
              <w:ind w:right="113"/>
              <w:jc w:val="right"/>
              <w:rPr>
                <w:i/>
                <w:sz w:val="16"/>
                <w:lang w:val="fr-FR"/>
              </w:rPr>
            </w:pPr>
            <w:r w:rsidRPr="00476F99">
              <w:rPr>
                <w:i/>
                <w:sz w:val="16"/>
                <w:lang w:val="fr-FR"/>
              </w:rPr>
              <w:t>2024</w:t>
            </w:r>
          </w:p>
        </w:tc>
        <w:tc>
          <w:tcPr>
            <w:tcW w:w="602" w:type="dxa"/>
            <w:tcBorders>
              <w:top w:val="single" w:sz="4" w:space="0" w:color="auto"/>
              <w:bottom w:val="single" w:sz="12" w:space="0" w:color="auto"/>
            </w:tcBorders>
            <w:shd w:val="clear" w:color="auto" w:fill="auto"/>
            <w:vAlign w:val="bottom"/>
          </w:tcPr>
          <w:p w14:paraId="4F2C1271" w14:textId="77777777" w:rsidR="00DC7782" w:rsidRPr="00476F99" w:rsidRDefault="00DC7782" w:rsidP="004E307E">
            <w:pPr>
              <w:spacing w:before="80" w:after="80" w:line="200" w:lineRule="exact"/>
              <w:ind w:right="113"/>
              <w:jc w:val="right"/>
              <w:rPr>
                <w:i/>
                <w:sz w:val="16"/>
                <w:lang w:val="fr-FR"/>
              </w:rPr>
            </w:pPr>
            <w:r w:rsidRPr="00476F99">
              <w:rPr>
                <w:i/>
                <w:sz w:val="16"/>
                <w:lang w:val="fr-FR"/>
              </w:rPr>
              <w:t>2025</w:t>
            </w:r>
          </w:p>
        </w:tc>
      </w:tr>
      <w:tr w:rsidR="00476F99" w:rsidRPr="00476F99" w14:paraId="2E93FE17" w14:textId="77777777" w:rsidTr="00476F99">
        <w:trPr>
          <w:trHeight w:hRule="exact" w:val="113"/>
          <w:tblHeader/>
        </w:trPr>
        <w:tc>
          <w:tcPr>
            <w:tcW w:w="4962" w:type="dxa"/>
            <w:tcBorders>
              <w:top w:val="single" w:sz="12" w:space="0" w:color="auto"/>
            </w:tcBorders>
            <w:shd w:val="clear" w:color="auto" w:fill="auto"/>
          </w:tcPr>
          <w:p w14:paraId="76EB7BEF" w14:textId="77777777" w:rsidR="00476F99" w:rsidRPr="00476F99" w:rsidRDefault="00476F99" w:rsidP="00476F99">
            <w:pPr>
              <w:spacing w:before="40" w:after="120"/>
              <w:ind w:right="113"/>
              <w:rPr>
                <w:lang w:val="fr-FR"/>
              </w:rPr>
            </w:pPr>
          </w:p>
        </w:tc>
        <w:tc>
          <w:tcPr>
            <w:tcW w:w="602" w:type="dxa"/>
            <w:tcBorders>
              <w:top w:val="single" w:sz="12" w:space="0" w:color="auto"/>
            </w:tcBorders>
            <w:shd w:val="clear" w:color="auto" w:fill="auto"/>
          </w:tcPr>
          <w:p w14:paraId="42FE869F" w14:textId="77777777" w:rsidR="00476F99" w:rsidRPr="00476F99" w:rsidRDefault="00476F99" w:rsidP="004E307E">
            <w:pPr>
              <w:spacing w:before="40" w:after="120"/>
              <w:ind w:right="113"/>
              <w:jc w:val="right"/>
              <w:rPr>
                <w:lang w:val="fr-FR"/>
              </w:rPr>
            </w:pPr>
          </w:p>
        </w:tc>
        <w:tc>
          <w:tcPr>
            <w:tcW w:w="602" w:type="dxa"/>
            <w:tcBorders>
              <w:top w:val="single" w:sz="12" w:space="0" w:color="auto"/>
            </w:tcBorders>
            <w:shd w:val="clear" w:color="auto" w:fill="auto"/>
          </w:tcPr>
          <w:p w14:paraId="397F52E9" w14:textId="77777777" w:rsidR="00476F99" w:rsidRPr="00476F99" w:rsidRDefault="00476F99" w:rsidP="004E307E">
            <w:pPr>
              <w:spacing w:before="40" w:after="120"/>
              <w:ind w:right="113"/>
              <w:jc w:val="right"/>
              <w:rPr>
                <w:lang w:val="fr-FR"/>
              </w:rPr>
            </w:pPr>
          </w:p>
        </w:tc>
        <w:tc>
          <w:tcPr>
            <w:tcW w:w="602" w:type="dxa"/>
            <w:tcBorders>
              <w:top w:val="single" w:sz="12" w:space="0" w:color="auto"/>
            </w:tcBorders>
            <w:shd w:val="clear" w:color="auto" w:fill="auto"/>
          </w:tcPr>
          <w:p w14:paraId="649C839E" w14:textId="77777777" w:rsidR="00476F99" w:rsidRPr="00476F99" w:rsidRDefault="00476F99" w:rsidP="004E307E">
            <w:pPr>
              <w:spacing w:before="40" w:after="120"/>
              <w:ind w:right="113"/>
              <w:jc w:val="right"/>
              <w:rPr>
                <w:lang w:val="fr-FR"/>
              </w:rPr>
            </w:pPr>
          </w:p>
        </w:tc>
        <w:tc>
          <w:tcPr>
            <w:tcW w:w="602" w:type="dxa"/>
            <w:tcBorders>
              <w:top w:val="single" w:sz="12" w:space="0" w:color="auto"/>
            </w:tcBorders>
            <w:shd w:val="clear" w:color="auto" w:fill="auto"/>
          </w:tcPr>
          <w:p w14:paraId="63722F78" w14:textId="77777777" w:rsidR="00476F99" w:rsidRPr="00476F99" w:rsidRDefault="00476F99" w:rsidP="004E307E">
            <w:pPr>
              <w:spacing w:before="40" w:after="120"/>
              <w:ind w:right="113"/>
              <w:jc w:val="right"/>
              <w:rPr>
                <w:lang w:val="fr-FR"/>
              </w:rPr>
            </w:pPr>
          </w:p>
        </w:tc>
      </w:tr>
      <w:tr w:rsidR="00DC7782" w:rsidRPr="00476F99" w14:paraId="082DF431" w14:textId="77777777" w:rsidTr="00476F99">
        <w:tc>
          <w:tcPr>
            <w:tcW w:w="4962" w:type="dxa"/>
            <w:shd w:val="clear" w:color="auto" w:fill="auto"/>
          </w:tcPr>
          <w:p w14:paraId="0343F31B" w14:textId="77777777" w:rsidR="00DC7782" w:rsidRPr="00476F99" w:rsidRDefault="00DC7782" w:rsidP="00476F99">
            <w:pPr>
              <w:spacing w:before="40" w:after="120"/>
              <w:ind w:right="113"/>
              <w:rPr>
                <w:lang w:val="fr-FR"/>
              </w:rPr>
            </w:pPr>
            <w:r w:rsidRPr="00476F99">
              <w:rPr>
                <w:lang w:val="fr-FR"/>
              </w:rPr>
              <w:t>Équipe spéciale de l’accès à l’information (AI)</w:t>
            </w:r>
          </w:p>
        </w:tc>
        <w:tc>
          <w:tcPr>
            <w:tcW w:w="602" w:type="dxa"/>
            <w:shd w:val="clear" w:color="auto" w:fill="auto"/>
          </w:tcPr>
          <w:p w14:paraId="60D2017D" w14:textId="77777777" w:rsidR="00DC7782" w:rsidRPr="00476F99" w:rsidRDefault="00DC7782" w:rsidP="004E307E">
            <w:pPr>
              <w:spacing w:before="40" w:after="120"/>
              <w:ind w:right="113"/>
              <w:jc w:val="right"/>
              <w:rPr>
                <w:lang w:val="fr-FR"/>
              </w:rPr>
            </w:pPr>
            <w:r w:rsidRPr="00476F99">
              <w:rPr>
                <w:lang w:val="fr-FR"/>
              </w:rPr>
              <w:t>−</w:t>
            </w:r>
          </w:p>
        </w:tc>
        <w:tc>
          <w:tcPr>
            <w:tcW w:w="602" w:type="dxa"/>
            <w:shd w:val="clear" w:color="auto" w:fill="auto"/>
          </w:tcPr>
          <w:p w14:paraId="738FF878" w14:textId="77777777" w:rsidR="00DC7782" w:rsidRPr="00476F99" w:rsidRDefault="00DC7782" w:rsidP="004E307E">
            <w:pPr>
              <w:spacing w:before="40" w:after="120"/>
              <w:ind w:right="113"/>
              <w:jc w:val="right"/>
              <w:rPr>
                <w:lang w:val="fr-FR"/>
              </w:rPr>
            </w:pPr>
            <w:r w:rsidRPr="00476F99">
              <w:rPr>
                <w:lang w:val="fr-FR"/>
              </w:rPr>
              <w:t>x</w:t>
            </w:r>
          </w:p>
        </w:tc>
        <w:tc>
          <w:tcPr>
            <w:tcW w:w="602" w:type="dxa"/>
            <w:shd w:val="clear" w:color="auto" w:fill="auto"/>
          </w:tcPr>
          <w:p w14:paraId="753BFF30" w14:textId="77777777" w:rsidR="00DC7782" w:rsidRPr="00476F99" w:rsidRDefault="00DC7782" w:rsidP="004E307E">
            <w:pPr>
              <w:spacing w:before="40" w:after="120"/>
              <w:ind w:right="113"/>
              <w:jc w:val="right"/>
              <w:rPr>
                <w:lang w:val="fr-FR"/>
              </w:rPr>
            </w:pPr>
            <w:r w:rsidRPr="00476F99">
              <w:rPr>
                <w:lang w:val="fr-FR"/>
              </w:rPr>
              <w:t>x</w:t>
            </w:r>
          </w:p>
        </w:tc>
        <w:tc>
          <w:tcPr>
            <w:tcW w:w="602" w:type="dxa"/>
            <w:shd w:val="clear" w:color="auto" w:fill="auto"/>
          </w:tcPr>
          <w:p w14:paraId="19B9CE59" w14:textId="77777777" w:rsidR="00DC7782" w:rsidRPr="00476F99" w:rsidRDefault="00DC7782" w:rsidP="004E307E">
            <w:pPr>
              <w:spacing w:before="40" w:after="120"/>
              <w:ind w:right="113"/>
              <w:jc w:val="right"/>
              <w:rPr>
                <w:lang w:val="fr-FR"/>
              </w:rPr>
            </w:pPr>
            <w:r w:rsidRPr="00476F99">
              <w:rPr>
                <w:lang w:val="fr-FR"/>
              </w:rPr>
              <w:t>−</w:t>
            </w:r>
          </w:p>
        </w:tc>
      </w:tr>
      <w:tr w:rsidR="00DC7782" w:rsidRPr="00476F99" w14:paraId="3EBD547A" w14:textId="77777777" w:rsidTr="00476F99">
        <w:tc>
          <w:tcPr>
            <w:tcW w:w="4962" w:type="dxa"/>
            <w:shd w:val="clear" w:color="auto" w:fill="auto"/>
          </w:tcPr>
          <w:p w14:paraId="65FDB6B1" w14:textId="77777777" w:rsidR="00DC7782" w:rsidRPr="00476F99" w:rsidRDefault="00DC7782" w:rsidP="00476F99">
            <w:pPr>
              <w:spacing w:before="40" w:after="120"/>
              <w:ind w:right="113"/>
              <w:rPr>
                <w:lang w:val="fr-FR"/>
              </w:rPr>
            </w:pPr>
            <w:r w:rsidRPr="00476F99">
              <w:rPr>
                <w:lang w:val="fr-FR"/>
              </w:rPr>
              <w:t>Équipe spéciale de la participation du public au processus décisionnel (PP)</w:t>
            </w:r>
          </w:p>
        </w:tc>
        <w:tc>
          <w:tcPr>
            <w:tcW w:w="602" w:type="dxa"/>
            <w:shd w:val="clear" w:color="auto" w:fill="auto"/>
          </w:tcPr>
          <w:p w14:paraId="51569BA9" w14:textId="77777777" w:rsidR="00DC7782" w:rsidRPr="00476F99" w:rsidRDefault="00DC7782" w:rsidP="004E307E">
            <w:pPr>
              <w:spacing w:before="40" w:after="120"/>
              <w:ind w:right="113"/>
              <w:jc w:val="right"/>
              <w:rPr>
                <w:lang w:val="fr-FR"/>
              </w:rPr>
            </w:pPr>
            <w:r w:rsidRPr="00476F99">
              <w:rPr>
                <w:lang w:val="fr-FR"/>
              </w:rPr>
              <w:t>x</w:t>
            </w:r>
          </w:p>
        </w:tc>
        <w:tc>
          <w:tcPr>
            <w:tcW w:w="602" w:type="dxa"/>
            <w:shd w:val="clear" w:color="auto" w:fill="auto"/>
          </w:tcPr>
          <w:p w14:paraId="029E89CD" w14:textId="77777777" w:rsidR="00DC7782" w:rsidRPr="00476F99" w:rsidRDefault="00DC7782" w:rsidP="004E307E">
            <w:pPr>
              <w:spacing w:before="40" w:after="120"/>
              <w:ind w:right="113"/>
              <w:jc w:val="right"/>
              <w:rPr>
                <w:lang w:val="fr-FR"/>
              </w:rPr>
            </w:pPr>
            <w:r w:rsidRPr="00476F99">
              <w:rPr>
                <w:lang w:val="fr-FR"/>
              </w:rPr>
              <w:t>−</w:t>
            </w:r>
          </w:p>
        </w:tc>
        <w:tc>
          <w:tcPr>
            <w:tcW w:w="602" w:type="dxa"/>
            <w:shd w:val="clear" w:color="auto" w:fill="auto"/>
          </w:tcPr>
          <w:p w14:paraId="17192410" w14:textId="77777777" w:rsidR="00DC7782" w:rsidRPr="00476F99" w:rsidRDefault="00DC7782" w:rsidP="004E307E">
            <w:pPr>
              <w:spacing w:before="40" w:after="120"/>
              <w:ind w:right="113"/>
              <w:jc w:val="right"/>
              <w:rPr>
                <w:lang w:val="fr-FR"/>
              </w:rPr>
            </w:pPr>
            <w:r w:rsidRPr="00476F99">
              <w:rPr>
                <w:lang w:val="fr-FR"/>
              </w:rPr>
              <w:t>x</w:t>
            </w:r>
          </w:p>
        </w:tc>
        <w:tc>
          <w:tcPr>
            <w:tcW w:w="602" w:type="dxa"/>
            <w:shd w:val="clear" w:color="auto" w:fill="auto"/>
          </w:tcPr>
          <w:p w14:paraId="3A894232" w14:textId="77777777" w:rsidR="00DC7782" w:rsidRPr="00476F99" w:rsidRDefault="00DC7782" w:rsidP="004E307E">
            <w:pPr>
              <w:spacing w:before="40" w:after="120"/>
              <w:ind w:right="113"/>
              <w:jc w:val="right"/>
              <w:rPr>
                <w:lang w:val="fr-FR"/>
              </w:rPr>
            </w:pPr>
            <w:r w:rsidRPr="00476F99">
              <w:rPr>
                <w:lang w:val="fr-FR"/>
              </w:rPr>
              <w:t>−</w:t>
            </w:r>
          </w:p>
        </w:tc>
      </w:tr>
      <w:tr w:rsidR="00DC7782" w:rsidRPr="00476F99" w14:paraId="17F20A73" w14:textId="77777777" w:rsidTr="00476F99">
        <w:tc>
          <w:tcPr>
            <w:tcW w:w="4962" w:type="dxa"/>
            <w:shd w:val="clear" w:color="auto" w:fill="auto"/>
          </w:tcPr>
          <w:p w14:paraId="005E9DC6" w14:textId="77777777" w:rsidR="00DC7782" w:rsidRPr="00476F99" w:rsidRDefault="00DC7782" w:rsidP="00476F99">
            <w:pPr>
              <w:spacing w:before="40" w:after="120"/>
              <w:ind w:right="113"/>
              <w:rPr>
                <w:lang w:val="fr-FR"/>
              </w:rPr>
            </w:pPr>
            <w:r w:rsidRPr="00476F99">
              <w:rPr>
                <w:lang w:val="fr-FR"/>
              </w:rPr>
              <w:t>Équipe spéciale de l’accès à la justice (AJ)</w:t>
            </w:r>
          </w:p>
        </w:tc>
        <w:tc>
          <w:tcPr>
            <w:tcW w:w="602" w:type="dxa"/>
            <w:shd w:val="clear" w:color="auto" w:fill="auto"/>
          </w:tcPr>
          <w:p w14:paraId="48D7530D" w14:textId="77777777" w:rsidR="00DC7782" w:rsidRPr="00476F99" w:rsidRDefault="00DC7782" w:rsidP="004E307E">
            <w:pPr>
              <w:spacing w:before="40" w:after="120"/>
              <w:ind w:right="113"/>
              <w:jc w:val="right"/>
              <w:rPr>
                <w:lang w:val="fr-FR"/>
              </w:rPr>
            </w:pPr>
            <w:r w:rsidRPr="00476F99">
              <w:rPr>
                <w:lang w:val="fr-FR"/>
              </w:rPr>
              <w:t>x</w:t>
            </w:r>
          </w:p>
        </w:tc>
        <w:tc>
          <w:tcPr>
            <w:tcW w:w="602" w:type="dxa"/>
            <w:shd w:val="clear" w:color="auto" w:fill="auto"/>
          </w:tcPr>
          <w:p w14:paraId="0799F451" w14:textId="77777777" w:rsidR="00DC7782" w:rsidRPr="00476F99" w:rsidRDefault="00DC7782" w:rsidP="004E307E">
            <w:pPr>
              <w:spacing w:before="40" w:after="120"/>
              <w:ind w:right="113"/>
              <w:jc w:val="right"/>
              <w:rPr>
                <w:lang w:val="fr-FR"/>
              </w:rPr>
            </w:pPr>
            <w:r w:rsidRPr="00476F99">
              <w:rPr>
                <w:lang w:val="fr-FR"/>
              </w:rPr>
              <w:t>x</w:t>
            </w:r>
          </w:p>
        </w:tc>
        <w:tc>
          <w:tcPr>
            <w:tcW w:w="602" w:type="dxa"/>
            <w:shd w:val="clear" w:color="auto" w:fill="auto"/>
          </w:tcPr>
          <w:p w14:paraId="383E7A14" w14:textId="77777777" w:rsidR="00DC7782" w:rsidRPr="00476F99" w:rsidRDefault="00DC7782" w:rsidP="004E307E">
            <w:pPr>
              <w:spacing w:before="40" w:after="120"/>
              <w:ind w:right="113"/>
              <w:jc w:val="right"/>
              <w:rPr>
                <w:lang w:val="fr-FR"/>
              </w:rPr>
            </w:pPr>
            <w:r w:rsidRPr="00476F99">
              <w:rPr>
                <w:lang w:val="fr-FR"/>
              </w:rPr>
              <w:t>−</w:t>
            </w:r>
          </w:p>
        </w:tc>
        <w:tc>
          <w:tcPr>
            <w:tcW w:w="602" w:type="dxa"/>
            <w:shd w:val="clear" w:color="auto" w:fill="auto"/>
          </w:tcPr>
          <w:p w14:paraId="4FDE2303" w14:textId="77777777" w:rsidR="00DC7782" w:rsidRPr="00476F99" w:rsidRDefault="00DC7782" w:rsidP="004E307E">
            <w:pPr>
              <w:spacing w:before="40" w:after="120"/>
              <w:ind w:right="113"/>
              <w:jc w:val="right"/>
              <w:rPr>
                <w:lang w:val="fr-FR"/>
              </w:rPr>
            </w:pPr>
            <w:r w:rsidRPr="00476F99">
              <w:rPr>
                <w:lang w:val="fr-FR"/>
              </w:rPr>
              <w:t>x</w:t>
            </w:r>
          </w:p>
        </w:tc>
      </w:tr>
      <w:tr w:rsidR="00DC7782" w:rsidRPr="00476F99" w14:paraId="2C5A17ED" w14:textId="77777777" w:rsidTr="00476F99">
        <w:tc>
          <w:tcPr>
            <w:tcW w:w="4962" w:type="dxa"/>
            <w:shd w:val="clear" w:color="auto" w:fill="auto"/>
          </w:tcPr>
          <w:p w14:paraId="3B87A7E2" w14:textId="77777777" w:rsidR="00DC7782" w:rsidRPr="00476F99" w:rsidRDefault="00DC7782" w:rsidP="00476F99">
            <w:pPr>
              <w:spacing w:before="40" w:after="120"/>
              <w:ind w:right="113"/>
              <w:rPr>
                <w:lang w:val="fr-FR"/>
              </w:rPr>
            </w:pPr>
            <w:r w:rsidRPr="00476F99">
              <w:rPr>
                <w:lang w:val="fr-FR"/>
              </w:rPr>
              <w:t>Table ronde sur les OGM (OGM)</w:t>
            </w:r>
          </w:p>
        </w:tc>
        <w:tc>
          <w:tcPr>
            <w:tcW w:w="602" w:type="dxa"/>
            <w:shd w:val="clear" w:color="auto" w:fill="auto"/>
          </w:tcPr>
          <w:p w14:paraId="5E40553A" w14:textId="77777777" w:rsidR="00DC7782" w:rsidRPr="00476F99" w:rsidRDefault="00DC7782" w:rsidP="004E307E">
            <w:pPr>
              <w:spacing w:before="40" w:after="120"/>
              <w:ind w:right="113"/>
              <w:jc w:val="right"/>
              <w:rPr>
                <w:lang w:val="fr-FR"/>
              </w:rPr>
            </w:pPr>
            <w:r w:rsidRPr="00476F99">
              <w:rPr>
                <w:lang w:val="fr-FR"/>
              </w:rPr>
              <w:t>−</w:t>
            </w:r>
          </w:p>
        </w:tc>
        <w:tc>
          <w:tcPr>
            <w:tcW w:w="602" w:type="dxa"/>
            <w:shd w:val="clear" w:color="auto" w:fill="auto"/>
          </w:tcPr>
          <w:p w14:paraId="651280E3" w14:textId="77777777" w:rsidR="00DC7782" w:rsidRPr="00476F99" w:rsidRDefault="00DC7782" w:rsidP="004E307E">
            <w:pPr>
              <w:spacing w:before="40" w:after="120"/>
              <w:ind w:right="113"/>
              <w:jc w:val="right"/>
              <w:rPr>
                <w:lang w:val="fr-FR"/>
              </w:rPr>
            </w:pPr>
            <w:r w:rsidRPr="00476F99">
              <w:rPr>
                <w:lang w:val="fr-FR"/>
              </w:rPr>
              <w:t>x</w:t>
            </w:r>
          </w:p>
        </w:tc>
        <w:tc>
          <w:tcPr>
            <w:tcW w:w="602" w:type="dxa"/>
            <w:shd w:val="clear" w:color="auto" w:fill="auto"/>
          </w:tcPr>
          <w:p w14:paraId="11E7771C" w14:textId="77777777" w:rsidR="00DC7782" w:rsidRPr="00476F99" w:rsidRDefault="00DC7782" w:rsidP="004E307E">
            <w:pPr>
              <w:spacing w:before="40" w:after="120"/>
              <w:ind w:right="113"/>
              <w:jc w:val="right"/>
              <w:rPr>
                <w:lang w:val="fr-FR"/>
              </w:rPr>
            </w:pPr>
            <w:r w:rsidRPr="00476F99">
              <w:rPr>
                <w:lang w:val="fr-FR"/>
              </w:rPr>
              <w:t>−</w:t>
            </w:r>
          </w:p>
        </w:tc>
        <w:tc>
          <w:tcPr>
            <w:tcW w:w="602" w:type="dxa"/>
            <w:shd w:val="clear" w:color="auto" w:fill="auto"/>
          </w:tcPr>
          <w:p w14:paraId="77D11D33" w14:textId="77777777" w:rsidR="00DC7782" w:rsidRPr="00476F99" w:rsidRDefault="00DC7782" w:rsidP="004E307E">
            <w:pPr>
              <w:spacing w:before="40" w:after="120"/>
              <w:ind w:right="113"/>
              <w:jc w:val="right"/>
              <w:rPr>
                <w:lang w:val="fr-FR"/>
              </w:rPr>
            </w:pPr>
            <w:r w:rsidRPr="00476F99">
              <w:rPr>
                <w:lang w:val="fr-FR"/>
              </w:rPr>
              <w:t>−</w:t>
            </w:r>
          </w:p>
        </w:tc>
      </w:tr>
      <w:tr w:rsidR="00DC7782" w:rsidRPr="00476F99" w14:paraId="235A0290" w14:textId="77777777" w:rsidTr="00476F99">
        <w:tc>
          <w:tcPr>
            <w:tcW w:w="4962" w:type="dxa"/>
            <w:shd w:val="clear" w:color="auto" w:fill="auto"/>
          </w:tcPr>
          <w:p w14:paraId="1754B63E" w14:textId="77777777" w:rsidR="00DC7782" w:rsidRPr="00476F99" w:rsidRDefault="00DC7782" w:rsidP="00476F99">
            <w:pPr>
              <w:spacing w:before="40" w:after="120"/>
              <w:ind w:right="113"/>
              <w:rPr>
                <w:lang w:val="fr-FR"/>
              </w:rPr>
            </w:pPr>
            <w:r w:rsidRPr="00476F99">
              <w:rPr>
                <w:lang w:val="fr-FR"/>
              </w:rPr>
              <w:t xml:space="preserve">Séances thématiques du Groupe de travail des Parties </w:t>
            </w:r>
          </w:p>
        </w:tc>
        <w:tc>
          <w:tcPr>
            <w:tcW w:w="602" w:type="dxa"/>
            <w:shd w:val="clear" w:color="auto" w:fill="auto"/>
          </w:tcPr>
          <w:p w14:paraId="27E02584" w14:textId="77777777" w:rsidR="00DC7782" w:rsidRPr="00476F99" w:rsidRDefault="00DC7782" w:rsidP="004E307E">
            <w:pPr>
              <w:spacing w:before="40" w:after="120"/>
              <w:ind w:right="113"/>
              <w:jc w:val="right"/>
              <w:rPr>
                <w:lang w:val="fr-FR"/>
              </w:rPr>
            </w:pPr>
            <w:r w:rsidRPr="00476F99">
              <w:rPr>
                <w:lang w:val="fr-FR"/>
              </w:rPr>
              <w:t>AI</w:t>
            </w:r>
          </w:p>
        </w:tc>
        <w:tc>
          <w:tcPr>
            <w:tcW w:w="602" w:type="dxa"/>
            <w:shd w:val="clear" w:color="auto" w:fill="auto"/>
          </w:tcPr>
          <w:p w14:paraId="5D0C0D3F" w14:textId="77777777" w:rsidR="00DC7782" w:rsidRPr="00476F99" w:rsidRDefault="00DC7782" w:rsidP="004E307E">
            <w:pPr>
              <w:spacing w:before="40" w:after="120"/>
              <w:ind w:right="113"/>
              <w:jc w:val="right"/>
              <w:rPr>
                <w:lang w:val="fr-FR"/>
              </w:rPr>
            </w:pPr>
            <w:r w:rsidRPr="00476F99">
              <w:rPr>
                <w:lang w:val="fr-FR"/>
              </w:rPr>
              <w:t>PP</w:t>
            </w:r>
          </w:p>
        </w:tc>
        <w:tc>
          <w:tcPr>
            <w:tcW w:w="602" w:type="dxa"/>
            <w:shd w:val="clear" w:color="auto" w:fill="auto"/>
          </w:tcPr>
          <w:p w14:paraId="326510FD" w14:textId="77777777" w:rsidR="00DC7782" w:rsidRPr="00476F99" w:rsidRDefault="00DC7782" w:rsidP="004E307E">
            <w:pPr>
              <w:spacing w:before="40" w:after="120"/>
              <w:ind w:right="113"/>
              <w:jc w:val="right"/>
              <w:rPr>
                <w:lang w:val="fr-FR"/>
              </w:rPr>
            </w:pPr>
            <w:r w:rsidRPr="00476F99">
              <w:rPr>
                <w:lang w:val="fr-FR"/>
              </w:rPr>
              <w:t>AJ</w:t>
            </w:r>
          </w:p>
        </w:tc>
        <w:tc>
          <w:tcPr>
            <w:tcW w:w="602" w:type="dxa"/>
            <w:shd w:val="clear" w:color="auto" w:fill="auto"/>
          </w:tcPr>
          <w:p w14:paraId="6A499159" w14:textId="77777777" w:rsidR="00DC7782" w:rsidRPr="00476F99" w:rsidRDefault="00DC7782" w:rsidP="004E307E">
            <w:pPr>
              <w:spacing w:before="40" w:after="120"/>
              <w:ind w:right="113"/>
              <w:jc w:val="right"/>
              <w:rPr>
                <w:lang w:val="fr-FR"/>
              </w:rPr>
            </w:pPr>
            <w:r w:rsidRPr="00476F99">
              <w:rPr>
                <w:lang w:val="fr-FR"/>
              </w:rPr>
              <w:t>OGM</w:t>
            </w:r>
          </w:p>
        </w:tc>
      </w:tr>
      <w:tr w:rsidR="00DC7782" w:rsidRPr="00476F99" w14:paraId="049BEEB2" w14:textId="77777777" w:rsidTr="00476F99">
        <w:tc>
          <w:tcPr>
            <w:tcW w:w="4962" w:type="dxa"/>
            <w:tcBorders>
              <w:bottom w:val="single" w:sz="12" w:space="0" w:color="auto"/>
            </w:tcBorders>
            <w:shd w:val="clear" w:color="auto" w:fill="auto"/>
          </w:tcPr>
          <w:p w14:paraId="4F21121F" w14:textId="77777777" w:rsidR="00DC7782" w:rsidRPr="00476F99" w:rsidRDefault="00DC7782" w:rsidP="00476F99">
            <w:pPr>
              <w:spacing w:before="40" w:after="120"/>
              <w:ind w:right="113"/>
              <w:rPr>
                <w:lang w:val="fr-FR"/>
              </w:rPr>
            </w:pPr>
            <w:r w:rsidRPr="00476F99">
              <w:rPr>
                <w:lang w:val="fr-FR"/>
              </w:rPr>
              <w:t>Réunion des Parties</w:t>
            </w:r>
          </w:p>
        </w:tc>
        <w:tc>
          <w:tcPr>
            <w:tcW w:w="602" w:type="dxa"/>
            <w:tcBorders>
              <w:bottom w:val="single" w:sz="12" w:space="0" w:color="auto"/>
            </w:tcBorders>
            <w:shd w:val="clear" w:color="auto" w:fill="auto"/>
          </w:tcPr>
          <w:p w14:paraId="42C117DD" w14:textId="77777777" w:rsidR="00DC7782" w:rsidRPr="00476F99" w:rsidRDefault="00DC7782" w:rsidP="004E307E">
            <w:pPr>
              <w:spacing w:before="40" w:after="120"/>
              <w:ind w:right="113"/>
              <w:jc w:val="right"/>
              <w:rPr>
                <w:lang w:val="fr-FR"/>
              </w:rPr>
            </w:pPr>
            <w:r w:rsidRPr="00476F99">
              <w:rPr>
                <w:lang w:val="fr-FR"/>
              </w:rPr>
              <w:t>−</w:t>
            </w:r>
          </w:p>
        </w:tc>
        <w:tc>
          <w:tcPr>
            <w:tcW w:w="602" w:type="dxa"/>
            <w:tcBorders>
              <w:bottom w:val="single" w:sz="12" w:space="0" w:color="auto"/>
            </w:tcBorders>
            <w:shd w:val="clear" w:color="auto" w:fill="auto"/>
          </w:tcPr>
          <w:p w14:paraId="04BD42A5" w14:textId="77777777" w:rsidR="00DC7782" w:rsidRPr="00476F99" w:rsidRDefault="00DC7782" w:rsidP="004E307E">
            <w:pPr>
              <w:spacing w:before="40" w:after="120"/>
              <w:ind w:right="113"/>
              <w:jc w:val="right"/>
              <w:rPr>
                <w:lang w:val="fr-FR"/>
              </w:rPr>
            </w:pPr>
            <w:r w:rsidRPr="00476F99">
              <w:rPr>
                <w:lang w:val="fr-FR"/>
              </w:rPr>
              <w:t>−</w:t>
            </w:r>
          </w:p>
        </w:tc>
        <w:tc>
          <w:tcPr>
            <w:tcW w:w="602" w:type="dxa"/>
            <w:tcBorders>
              <w:bottom w:val="single" w:sz="12" w:space="0" w:color="auto"/>
            </w:tcBorders>
            <w:shd w:val="clear" w:color="auto" w:fill="auto"/>
          </w:tcPr>
          <w:p w14:paraId="6BB260BF" w14:textId="77777777" w:rsidR="00DC7782" w:rsidRPr="00476F99" w:rsidRDefault="00DC7782" w:rsidP="004E307E">
            <w:pPr>
              <w:spacing w:before="40" w:after="120"/>
              <w:ind w:right="113"/>
              <w:jc w:val="right"/>
              <w:rPr>
                <w:lang w:val="fr-FR"/>
              </w:rPr>
            </w:pPr>
            <w:r w:rsidRPr="00476F99">
              <w:rPr>
                <w:lang w:val="fr-FR"/>
              </w:rPr>
              <w:t>−</w:t>
            </w:r>
          </w:p>
        </w:tc>
        <w:tc>
          <w:tcPr>
            <w:tcW w:w="602" w:type="dxa"/>
            <w:tcBorders>
              <w:bottom w:val="single" w:sz="12" w:space="0" w:color="auto"/>
            </w:tcBorders>
            <w:shd w:val="clear" w:color="auto" w:fill="auto"/>
          </w:tcPr>
          <w:p w14:paraId="3536710E" w14:textId="77777777" w:rsidR="00DC7782" w:rsidRPr="00476F99" w:rsidRDefault="00DC7782" w:rsidP="004E307E">
            <w:pPr>
              <w:spacing w:before="40" w:after="120"/>
              <w:ind w:right="113"/>
              <w:jc w:val="right"/>
              <w:rPr>
                <w:lang w:val="fr-FR"/>
              </w:rPr>
            </w:pPr>
            <w:r w:rsidRPr="00476F99">
              <w:rPr>
                <w:lang w:val="fr-FR"/>
              </w:rPr>
              <w:t>x</w:t>
            </w:r>
          </w:p>
        </w:tc>
      </w:tr>
    </w:tbl>
    <w:p w14:paraId="63D3349D" w14:textId="254CF175" w:rsidR="00DC7782" w:rsidRDefault="00DC7782" w:rsidP="00DC7782">
      <w:pPr>
        <w:pStyle w:val="SingleTxtG"/>
        <w:spacing w:before="120" w:after="240"/>
        <w:ind w:firstLine="170"/>
        <w:rPr>
          <w:sz w:val="18"/>
          <w:szCs w:val="18"/>
          <w:lang w:val="fr-FR"/>
        </w:rPr>
      </w:pPr>
      <w:r w:rsidRPr="00E3055D">
        <w:rPr>
          <w:i/>
          <w:iCs/>
          <w:sz w:val="18"/>
          <w:szCs w:val="18"/>
          <w:lang w:val="fr-FR"/>
        </w:rPr>
        <w:t>Note</w:t>
      </w:r>
      <w:r w:rsidRPr="00E3055D">
        <w:rPr>
          <w:sz w:val="18"/>
          <w:szCs w:val="18"/>
          <w:lang w:val="fr-FR"/>
        </w:rPr>
        <w:t> : Les préparatifs de fond de chaque séance thématique du Groupe de travail des Parties sont fondés sur les résultats des travaux de l</w:t>
      </w:r>
      <w:r>
        <w:rPr>
          <w:sz w:val="18"/>
          <w:szCs w:val="18"/>
          <w:lang w:val="fr-FR"/>
        </w:rPr>
        <w:t>’</w:t>
      </w:r>
      <w:r w:rsidRPr="00E3055D">
        <w:rPr>
          <w:sz w:val="18"/>
          <w:szCs w:val="18"/>
          <w:lang w:val="fr-FR"/>
        </w:rPr>
        <w:t>équipe spéciale concernée et des autres activités</w:t>
      </w:r>
      <w:r>
        <w:rPr>
          <w:sz w:val="18"/>
          <w:szCs w:val="18"/>
          <w:lang w:val="fr-FR"/>
        </w:rPr>
        <w:t xml:space="preserve"> </w:t>
      </w:r>
      <w:r w:rsidRPr="00E3055D">
        <w:rPr>
          <w:sz w:val="18"/>
          <w:szCs w:val="18"/>
          <w:lang w:val="fr-FR"/>
        </w:rPr>
        <w:t>menées dans les domaines pertinents.</w:t>
      </w:r>
    </w:p>
    <w:p w14:paraId="13D7CFBA" w14:textId="3FCBA6CC" w:rsidR="00DC7782" w:rsidRPr="00DC7782" w:rsidRDefault="00DC7782" w:rsidP="00DC778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C7782" w:rsidRPr="00DC7782" w:rsidSect="00DC7782">
      <w:headerReference w:type="default" r:id="rId18"/>
      <w:footerReference w:type="default" r:id="rId19"/>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002B1" w14:textId="77777777" w:rsidR="00806E9E" w:rsidRDefault="00806E9E" w:rsidP="00F95C08">
      <w:pPr>
        <w:spacing w:line="240" w:lineRule="auto"/>
      </w:pPr>
    </w:p>
  </w:endnote>
  <w:endnote w:type="continuationSeparator" w:id="0">
    <w:p w14:paraId="6C42667C" w14:textId="77777777" w:rsidR="00806E9E" w:rsidRPr="00AC3823" w:rsidRDefault="00806E9E" w:rsidP="00AC3823">
      <w:pPr>
        <w:pStyle w:val="Pieddepage"/>
      </w:pPr>
    </w:p>
  </w:endnote>
  <w:endnote w:type="continuationNotice" w:id="1">
    <w:p w14:paraId="446B6804" w14:textId="77777777" w:rsidR="00806E9E" w:rsidRDefault="00806E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388F" w14:textId="0851D008" w:rsidR="00806E9E" w:rsidRPr="00FC4B6D" w:rsidRDefault="00806E9E" w:rsidP="00FC4B6D">
    <w:pPr>
      <w:pStyle w:val="Pieddepage"/>
      <w:tabs>
        <w:tab w:val="right" w:pos="9638"/>
      </w:tabs>
    </w:pPr>
    <w:r w:rsidRPr="00FC4B6D">
      <w:rPr>
        <w:b/>
        <w:sz w:val="18"/>
      </w:rPr>
      <w:fldChar w:fldCharType="begin"/>
    </w:r>
    <w:r w:rsidRPr="00FC4B6D">
      <w:rPr>
        <w:b/>
        <w:sz w:val="18"/>
      </w:rPr>
      <w:instrText xml:space="preserve"> PAGE  \* MERGEFORMAT </w:instrText>
    </w:r>
    <w:r w:rsidRPr="00FC4B6D">
      <w:rPr>
        <w:b/>
        <w:sz w:val="18"/>
      </w:rPr>
      <w:fldChar w:fldCharType="separate"/>
    </w:r>
    <w:r w:rsidRPr="00FC4B6D">
      <w:rPr>
        <w:b/>
        <w:noProof/>
        <w:sz w:val="18"/>
      </w:rPr>
      <w:t>2</w:t>
    </w:r>
    <w:r w:rsidRPr="00FC4B6D">
      <w:rPr>
        <w:b/>
        <w:sz w:val="18"/>
      </w:rPr>
      <w:fldChar w:fldCharType="end"/>
    </w:r>
    <w:r>
      <w:rPr>
        <w:b/>
        <w:sz w:val="18"/>
      </w:rPr>
      <w:tab/>
    </w:r>
    <w:r>
      <w:t>GE.21-03698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01B2A" w14:textId="7FFF4A02" w:rsidR="00806E9E" w:rsidRPr="00FC4B6D" w:rsidRDefault="00806E9E" w:rsidP="00FC4B6D">
    <w:pPr>
      <w:pStyle w:val="Pieddepage"/>
      <w:tabs>
        <w:tab w:val="right" w:pos="9638"/>
      </w:tabs>
      <w:rPr>
        <w:b/>
        <w:sz w:val="18"/>
      </w:rPr>
    </w:pPr>
    <w:r>
      <w:t>GE.21-03698</w:t>
    </w:r>
    <w:r>
      <w:tab/>
    </w:r>
    <w:r w:rsidRPr="00FC4B6D">
      <w:rPr>
        <w:b/>
        <w:sz w:val="18"/>
      </w:rPr>
      <w:fldChar w:fldCharType="begin"/>
    </w:r>
    <w:r w:rsidRPr="00FC4B6D">
      <w:rPr>
        <w:b/>
        <w:sz w:val="18"/>
      </w:rPr>
      <w:instrText xml:space="preserve"> PAGE  \* MERGEFORMAT </w:instrText>
    </w:r>
    <w:r w:rsidRPr="00FC4B6D">
      <w:rPr>
        <w:b/>
        <w:sz w:val="18"/>
      </w:rPr>
      <w:fldChar w:fldCharType="separate"/>
    </w:r>
    <w:r w:rsidRPr="00FC4B6D">
      <w:rPr>
        <w:b/>
        <w:noProof/>
        <w:sz w:val="18"/>
      </w:rPr>
      <w:t>3</w:t>
    </w:r>
    <w:r w:rsidRPr="00FC4B6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692C" w14:textId="7868D793" w:rsidR="00806E9E" w:rsidRPr="00FC4B6D" w:rsidRDefault="00806E9E" w:rsidP="00FC4B6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DB8B2E6" wp14:editId="6A9196BD">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21-03698  (F)</w:t>
    </w:r>
    <w:r>
      <w:rPr>
        <w:noProof/>
        <w:sz w:val="20"/>
      </w:rPr>
      <w:drawing>
        <wp:anchor distT="0" distB="0" distL="114300" distR="114300" simplePos="0" relativeHeight="251660288" behindDoc="0" locked="0" layoutInCell="1" allowOverlap="1" wp14:anchorId="15ACE2FC" wp14:editId="3881346E">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260421    270421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7AB23" w14:textId="6A622F63" w:rsidR="00806E9E" w:rsidRPr="00EA3C11" w:rsidRDefault="00806E9E" w:rsidP="00EA3C11">
    <w:pPr>
      <w:pStyle w:val="Pieddepage"/>
    </w:pPr>
    <w:r>
      <w:rPr>
        <w:noProof/>
      </w:rPr>
      <mc:AlternateContent>
        <mc:Choice Requires="wps">
          <w:drawing>
            <wp:anchor distT="0" distB="0" distL="114300" distR="114300" simplePos="0" relativeHeight="251664384" behindDoc="0" locked="0" layoutInCell="1" allowOverlap="1" wp14:anchorId="53C0DFE0" wp14:editId="3D3133C7">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9FD078" w14:textId="77777777" w:rsidR="00806E9E" w:rsidRPr="00FC4B6D" w:rsidRDefault="00806E9E" w:rsidP="00EA3C11">
                          <w:pPr>
                            <w:pStyle w:val="Pieddepage"/>
                            <w:tabs>
                              <w:tab w:val="right" w:pos="9638"/>
                            </w:tabs>
                          </w:pPr>
                          <w:r w:rsidRPr="00FC4B6D">
                            <w:rPr>
                              <w:b/>
                              <w:sz w:val="18"/>
                            </w:rPr>
                            <w:fldChar w:fldCharType="begin"/>
                          </w:r>
                          <w:r w:rsidRPr="00FC4B6D">
                            <w:rPr>
                              <w:b/>
                              <w:sz w:val="18"/>
                            </w:rPr>
                            <w:instrText xml:space="preserve"> PAGE  \* MERGEFORMAT </w:instrText>
                          </w:r>
                          <w:r w:rsidRPr="00FC4B6D">
                            <w:rPr>
                              <w:b/>
                              <w:sz w:val="18"/>
                            </w:rPr>
                            <w:fldChar w:fldCharType="separate"/>
                          </w:r>
                          <w:r>
                            <w:rPr>
                              <w:b/>
                              <w:sz w:val="18"/>
                            </w:rPr>
                            <w:t>14</w:t>
                          </w:r>
                          <w:r w:rsidRPr="00FC4B6D">
                            <w:rPr>
                              <w:b/>
                              <w:sz w:val="18"/>
                            </w:rPr>
                            <w:fldChar w:fldCharType="end"/>
                          </w:r>
                          <w:r>
                            <w:rPr>
                              <w:b/>
                              <w:sz w:val="18"/>
                            </w:rPr>
                            <w:tab/>
                          </w:r>
                          <w:r>
                            <w:t>GE.21-03698</w:t>
                          </w:r>
                        </w:p>
                        <w:p w14:paraId="4895884C" w14:textId="77777777" w:rsidR="00806E9E" w:rsidRDefault="00806E9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C0DFE0" id="_x0000_t202" coordsize="21600,21600" o:spt="202" path="m,l,21600r21600,l21600,xe">
              <v:stroke joinstyle="miter"/>
              <v:path gradientshapeok="t" o:connecttype="rect"/>
            </v:shapetype>
            <v:shape id="Zone de texte 9"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zdF1G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5D9FD078" w14:textId="77777777" w:rsidR="00806E9E" w:rsidRPr="00FC4B6D" w:rsidRDefault="00806E9E" w:rsidP="00EA3C11">
                    <w:pPr>
                      <w:pStyle w:val="Pieddepage"/>
                      <w:tabs>
                        <w:tab w:val="right" w:pos="9638"/>
                      </w:tabs>
                    </w:pPr>
                    <w:r w:rsidRPr="00FC4B6D">
                      <w:rPr>
                        <w:b/>
                        <w:sz w:val="18"/>
                      </w:rPr>
                      <w:fldChar w:fldCharType="begin"/>
                    </w:r>
                    <w:r w:rsidRPr="00FC4B6D">
                      <w:rPr>
                        <w:b/>
                        <w:sz w:val="18"/>
                      </w:rPr>
                      <w:instrText xml:space="preserve"> PAGE  \* MERGEFORMAT </w:instrText>
                    </w:r>
                    <w:r w:rsidRPr="00FC4B6D">
                      <w:rPr>
                        <w:b/>
                        <w:sz w:val="18"/>
                      </w:rPr>
                      <w:fldChar w:fldCharType="separate"/>
                    </w:r>
                    <w:r>
                      <w:rPr>
                        <w:b/>
                        <w:sz w:val="18"/>
                      </w:rPr>
                      <w:t>14</w:t>
                    </w:r>
                    <w:r w:rsidRPr="00FC4B6D">
                      <w:rPr>
                        <w:b/>
                        <w:sz w:val="18"/>
                      </w:rPr>
                      <w:fldChar w:fldCharType="end"/>
                    </w:r>
                    <w:r>
                      <w:rPr>
                        <w:b/>
                        <w:sz w:val="18"/>
                      </w:rPr>
                      <w:tab/>
                    </w:r>
                    <w:r>
                      <w:t>GE.21-03698</w:t>
                    </w:r>
                  </w:p>
                  <w:p w14:paraId="4895884C" w14:textId="77777777" w:rsidR="00806E9E" w:rsidRDefault="00806E9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D92F" w14:textId="0A1E7253" w:rsidR="00806E9E" w:rsidRPr="00EA3C11" w:rsidRDefault="00806E9E" w:rsidP="00EA3C11">
    <w:pPr>
      <w:pStyle w:val="Pieddepage"/>
    </w:pPr>
    <w:r>
      <w:rPr>
        <w:noProof/>
      </w:rPr>
      <mc:AlternateContent>
        <mc:Choice Requires="wps">
          <w:drawing>
            <wp:anchor distT="0" distB="0" distL="114300" distR="114300" simplePos="0" relativeHeight="251662336" behindDoc="0" locked="0" layoutInCell="1" allowOverlap="1" wp14:anchorId="4D149D5D" wp14:editId="6565560B">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0B05477" w14:textId="77777777" w:rsidR="00806E9E" w:rsidRPr="00FC4B6D" w:rsidRDefault="00806E9E" w:rsidP="00EA3C11">
                          <w:pPr>
                            <w:pStyle w:val="Pieddepage"/>
                            <w:tabs>
                              <w:tab w:val="right" w:pos="9638"/>
                            </w:tabs>
                            <w:rPr>
                              <w:b/>
                              <w:sz w:val="18"/>
                            </w:rPr>
                          </w:pPr>
                          <w:r>
                            <w:t>GE.21-03698</w:t>
                          </w:r>
                          <w:r>
                            <w:tab/>
                          </w:r>
                          <w:r w:rsidRPr="00FC4B6D">
                            <w:rPr>
                              <w:b/>
                              <w:sz w:val="18"/>
                            </w:rPr>
                            <w:fldChar w:fldCharType="begin"/>
                          </w:r>
                          <w:r w:rsidRPr="00FC4B6D">
                            <w:rPr>
                              <w:b/>
                              <w:sz w:val="18"/>
                            </w:rPr>
                            <w:instrText xml:space="preserve"> PAGE  \* MERGEFORMAT </w:instrText>
                          </w:r>
                          <w:r w:rsidRPr="00FC4B6D">
                            <w:rPr>
                              <w:b/>
                              <w:sz w:val="18"/>
                            </w:rPr>
                            <w:fldChar w:fldCharType="separate"/>
                          </w:r>
                          <w:r>
                            <w:rPr>
                              <w:b/>
                              <w:sz w:val="18"/>
                            </w:rPr>
                            <w:t>13</w:t>
                          </w:r>
                          <w:r w:rsidRPr="00FC4B6D">
                            <w:rPr>
                              <w:b/>
                              <w:sz w:val="18"/>
                            </w:rPr>
                            <w:fldChar w:fldCharType="end"/>
                          </w:r>
                        </w:p>
                        <w:p w14:paraId="62869253" w14:textId="77777777" w:rsidR="00806E9E" w:rsidRDefault="00806E9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149D5D" id="_x0000_t202" coordsize="21600,21600" o:spt="202" path="m,l,21600r21600,l21600,xe">
              <v:stroke joinstyle="miter"/>
              <v:path gradientshapeok="t" o:connecttype="rect"/>
            </v:shapetype>
            <v:shape id="Zone de texte 7"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0B05477" w14:textId="77777777" w:rsidR="00806E9E" w:rsidRPr="00FC4B6D" w:rsidRDefault="00806E9E" w:rsidP="00EA3C11">
                    <w:pPr>
                      <w:pStyle w:val="Pieddepage"/>
                      <w:tabs>
                        <w:tab w:val="right" w:pos="9638"/>
                      </w:tabs>
                      <w:rPr>
                        <w:b/>
                        <w:sz w:val="18"/>
                      </w:rPr>
                    </w:pPr>
                    <w:r>
                      <w:t>GE.21-03698</w:t>
                    </w:r>
                    <w:r>
                      <w:tab/>
                    </w:r>
                    <w:r w:rsidRPr="00FC4B6D">
                      <w:rPr>
                        <w:b/>
                        <w:sz w:val="18"/>
                      </w:rPr>
                      <w:fldChar w:fldCharType="begin"/>
                    </w:r>
                    <w:r w:rsidRPr="00FC4B6D">
                      <w:rPr>
                        <w:b/>
                        <w:sz w:val="18"/>
                      </w:rPr>
                      <w:instrText xml:space="preserve"> PAGE  \* MERGEFORMAT </w:instrText>
                    </w:r>
                    <w:r w:rsidRPr="00FC4B6D">
                      <w:rPr>
                        <w:b/>
                        <w:sz w:val="18"/>
                      </w:rPr>
                      <w:fldChar w:fldCharType="separate"/>
                    </w:r>
                    <w:r>
                      <w:rPr>
                        <w:b/>
                        <w:sz w:val="18"/>
                      </w:rPr>
                      <w:t>13</w:t>
                    </w:r>
                    <w:r w:rsidRPr="00FC4B6D">
                      <w:rPr>
                        <w:b/>
                        <w:sz w:val="18"/>
                      </w:rPr>
                      <w:fldChar w:fldCharType="end"/>
                    </w:r>
                  </w:p>
                  <w:p w14:paraId="62869253" w14:textId="77777777" w:rsidR="00806E9E" w:rsidRDefault="00806E9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55AA5" w14:textId="273AE316" w:rsidR="00806E9E" w:rsidRPr="00DC7782" w:rsidRDefault="00806E9E" w:rsidP="00DC7782">
    <w:pPr>
      <w:pStyle w:val="Pieddepage"/>
      <w:tabs>
        <w:tab w:val="right" w:pos="9638"/>
      </w:tabs>
    </w:pPr>
    <w:r>
      <w:t>GE.21-03698</w:t>
    </w:r>
    <w:r>
      <w:tab/>
    </w:r>
    <w:r w:rsidRPr="00FC4B6D">
      <w:rPr>
        <w:b/>
        <w:sz w:val="18"/>
      </w:rPr>
      <w:fldChar w:fldCharType="begin"/>
    </w:r>
    <w:r w:rsidRPr="00FC4B6D">
      <w:rPr>
        <w:b/>
        <w:sz w:val="18"/>
      </w:rPr>
      <w:instrText xml:space="preserve"> PAGE  \* MERGEFORMAT </w:instrText>
    </w:r>
    <w:r w:rsidRPr="00FC4B6D">
      <w:rPr>
        <w:b/>
        <w:sz w:val="18"/>
      </w:rPr>
      <w:fldChar w:fldCharType="separate"/>
    </w:r>
    <w:r>
      <w:rPr>
        <w:b/>
        <w:sz w:val="18"/>
      </w:rPr>
      <w:t>11</w:t>
    </w:r>
    <w:r w:rsidRPr="00FC4B6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30D6" w14:textId="77777777" w:rsidR="00806E9E" w:rsidRPr="00AC3823" w:rsidRDefault="00806E9E" w:rsidP="00AC3823">
      <w:pPr>
        <w:pStyle w:val="Pieddepage"/>
        <w:tabs>
          <w:tab w:val="right" w:pos="2155"/>
        </w:tabs>
        <w:spacing w:after="80" w:line="240" w:lineRule="atLeast"/>
        <w:ind w:left="680"/>
        <w:rPr>
          <w:u w:val="single"/>
        </w:rPr>
      </w:pPr>
      <w:r>
        <w:rPr>
          <w:u w:val="single"/>
        </w:rPr>
        <w:tab/>
      </w:r>
    </w:p>
  </w:footnote>
  <w:footnote w:type="continuationSeparator" w:id="0">
    <w:p w14:paraId="010EDCC0" w14:textId="77777777" w:rsidR="00806E9E" w:rsidRPr="00AC3823" w:rsidRDefault="00806E9E" w:rsidP="00AC3823">
      <w:pPr>
        <w:pStyle w:val="Pieddepage"/>
        <w:tabs>
          <w:tab w:val="right" w:pos="2155"/>
        </w:tabs>
        <w:spacing w:after="80" w:line="240" w:lineRule="atLeast"/>
        <w:ind w:left="680"/>
        <w:rPr>
          <w:u w:val="single"/>
        </w:rPr>
      </w:pPr>
      <w:r>
        <w:rPr>
          <w:u w:val="single"/>
        </w:rPr>
        <w:tab/>
      </w:r>
    </w:p>
  </w:footnote>
  <w:footnote w:type="continuationNotice" w:id="1">
    <w:p w14:paraId="123EB33B" w14:textId="77777777" w:rsidR="00806E9E" w:rsidRPr="00AC3823" w:rsidRDefault="00806E9E">
      <w:pPr>
        <w:spacing w:line="240" w:lineRule="auto"/>
        <w:rPr>
          <w:sz w:val="2"/>
          <w:szCs w:val="2"/>
        </w:rPr>
      </w:pPr>
    </w:p>
  </w:footnote>
  <w:footnote w:id="2">
    <w:p w14:paraId="6F0A90DF" w14:textId="77777777" w:rsidR="00806E9E" w:rsidRPr="00D32F94" w:rsidRDefault="00806E9E" w:rsidP="00FC4B6D">
      <w:pPr>
        <w:pStyle w:val="Notedebasdepage"/>
      </w:pPr>
      <w:r>
        <w:rPr>
          <w:rStyle w:val="Appelnotedebasdep"/>
        </w:rPr>
        <w:tab/>
      </w:r>
      <w:r w:rsidRPr="00D32F94">
        <w:rPr>
          <w:rStyle w:val="Appelnotedebasdep"/>
          <w:sz w:val="20"/>
          <w:vertAlign w:val="baseline"/>
        </w:rPr>
        <w:t>*</w:t>
      </w:r>
      <w:r>
        <w:rPr>
          <w:rStyle w:val="Appelnotedebasdep"/>
          <w:sz w:val="20"/>
          <w:vertAlign w:val="baseline"/>
        </w:rPr>
        <w:tab/>
      </w:r>
      <w:r>
        <w:t>Il a été convenu que le présent document serait publié après la date normale de publication en raison de circonstances indépendantes de la volonté du soumetteur</w:t>
      </w:r>
      <w:r w:rsidRPr="005778D9">
        <w:rPr>
          <w:lang w:val="fr-FR"/>
        </w:rPr>
        <w:t>.</w:t>
      </w:r>
    </w:p>
  </w:footnote>
  <w:footnote w:id="3">
    <w:p w14:paraId="31A13AF6" w14:textId="77777777" w:rsidR="00806E9E" w:rsidRPr="005778D9" w:rsidRDefault="00806E9E" w:rsidP="00FC4B6D">
      <w:pPr>
        <w:pStyle w:val="Notedebasdepage"/>
      </w:pPr>
      <w:r>
        <w:tab/>
      </w:r>
      <w:r w:rsidRPr="00EA7884">
        <w:rPr>
          <w:rStyle w:val="Appelnotedebasdep"/>
        </w:rPr>
        <w:footnoteRef/>
      </w:r>
      <w:r w:rsidRPr="006B7D2F">
        <w:tab/>
      </w:r>
      <w:r w:rsidRPr="005778D9">
        <w:t>Les déclarations et commentaires</w:t>
      </w:r>
      <w:r w:rsidRPr="007303E6">
        <w:t>, tels que reçu</w:t>
      </w:r>
      <w:r>
        <w:t xml:space="preserve">s par le </w:t>
      </w:r>
      <w:r w:rsidRPr="007303E6">
        <w:t>secr</w:t>
      </w:r>
      <w:r>
        <w:t>é</w:t>
      </w:r>
      <w:r w:rsidRPr="007303E6">
        <w:t>tariat</w:t>
      </w:r>
      <w:r>
        <w:t>, peuvent être consultés sur la page Web de la réunion </w:t>
      </w:r>
      <w:r w:rsidRPr="005778D9">
        <w:t xml:space="preserve">: </w:t>
      </w:r>
      <w:r w:rsidRPr="006B7D2F">
        <w:t>https://unece.org/environmental-policy/events/twenty-fourth-meeting-working-group-parties-aarhus-convention-hybrid</w:t>
      </w:r>
      <w:r w:rsidRPr="006B7D2F">
        <w:rPr>
          <w:rStyle w:val="Lienhypertexte"/>
        </w:rPr>
        <w:t>.</w:t>
      </w:r>
    </w:p>
  </w:footnote>
  <w:footnote w:id="4">
    <w:p w14:paraId="115FCC0F" w14:textId="77777777" w:rsidR="00806E9E" w:rsidRPr="005778D9" w:rsidRDefault="00806E9E" w:rsidP="00FC4B6D">
      <w:pPr>
        <w:pStyle w:val="Notedebasdepage"/>
        <w:rPr>
          <w:lang w:val="fr-FR"/>
        </w:rPr>
      </w:pPr>
      <w:r w:rsidRPr="006B7D2F">
        <w:tab/>
      </w:r>
      <w:r w:rsidRPr="00EA7884">
        <w:rPr>
          <w:rStyle w:val="Appelnotedebasdep"/>
        </w:rPr>
        <w:footnoteRef/>
      </w:r>
      <w:r w:rsidRPr="005778D9">
        <w:rPr>
          <w:lang w:val="fr-FR"/>
        </w:rPr>
        <w:tab/>
      </w:r>
      <w:r w:rsidRPr="007303E6">
        <w:t>Les commentaires, tels que reçu</w:t>
      </w:r>
      <w:r>
        <w:t xml:space="preserve">s par le </w:t>
      </w:r>
      <w:r w:rsidRPr="007303E6">
        <w:t>secr</w:t>
      </w:r>
      <w:r>
        <w:t>é</w:t>
      </w:r>
      <w:r w:rsidRPr="007303E6">
        <w:t>tariat</w:t>
      </w:r>
      <w:r>
        <w:t>, peuvent être consultés sur la page Web de la réunion </w:t>
      </w:r>
      <w:r w:rsidRPr="005778D9">
        <w:rPr>
          <w:lang w:val="fr-FR"/>
        </w:rPr>
        <w:t xml:space="preserve">: </w:t>
      </w:r>
      <w:hyperlink r:id="rId1" w:history="1">
        <w:r w:rsidRPr="005778D9">
          <w:rPr>
            <w:rStyle w:val="Lienhypertexte"/>
            <w:lang w:val="fr-FR"/>
          </w:rPr>
          <w:t>https://unece.org/environment-policy/public-participation/consultation-draft-documents-aarhus-convention-mop7</w:t>
        </w:r>
      </w:hyperlink>
      <w:r w:rsidRPr="005778D9">
        <w:rPr>
          <w:lang w:val="fr-FR"/>
        </w:rPr>
        <w:t>.</w:t>
      </w:r>
    </w:p>
  </w:footnote>
  <w:footnote w:id="5">
    <w:p w14:paraId="23240303" w14:textId="77777777" w:rsidR="00806E9E" w:rsidRPr="005778D9" w:rsidRDefault="00806E9E" w:rsidP="00FC4B6D">
      <w:pPr>
        <w:pStyle w:val="Notedebasdepage"/>
        <w:rPr>
          <w:lang w:val="fr-FR"/>
        </w:rPr>
      </w:pPr>
      <w:r w:rsidRPr="005778D9">
        <w:rPr>
          <w:lang w:val="fr-FR"/>
        </w:rPr>
        <w:tab/>
      </w:r>
      <w:r w:rsidRPr="00EA7884">
        <w:rPr>
          <w:rStyle w:val="Appelnotedebasdep"/>
        </w:rPr>
        <w:footnoteRef/>
      </w:r>
      <w:r w:rsidRPr="005778D9">
        <w:rPr>
          <w:lang w:val="fr-FR"/>
        </w:rPr>
        <w:tab/>
        <w:t>Une omission technique faussait le calcul des sous-totaux relatif</w:t>
      </w:r>
      <w:r>
        <w:rPr>
          <w:lang w:val="fr-FR"/>
        </w:rPr>
        <w:t>s au domaine d’activité </w:t>
      </w:r>
      <w:r w:rsidRPr="005778D9">
        <w:rPr>
          <w:lang w:val="fr-FR"/>
        </w:rPr>
        <w:t xml:space="preserve">V </w:t>
      </w:r>
      <w:r>
        <w:rPr>
          <w:lang w:val="fr-FR"/>
        </w:rPr>
        <w:t xml:space="preserve">dans le </w:t>
      </w:r>
      <w:r w:rsidRPr="005778D9">
        <w:rPr>
          <w:lang w:val="fr-FR"/>
        </w:rPr>
        <w:t xml:space="preserve">document </w:t>
      </w:r>
      <w:r w:rsidRPr="005778D9">
        <w:rPr>
          <w:rFonts w:asciiTheme="majorBidi" w:hAnsiTheme="majorBidi" w:cstheme="majorBidi"/>
          <w:lang w:val="fr-FR"/>
        </w:rPr>
        <w:t>ECE/MP.PP/WG.1/2020/7</w:t>
      </w:r>
      <w:r w:rsidRPr="005778D9">
        <w:rPr>
          <w:lang w:val="fr-FR"/>
        </w:rPr>
        <w:t xml:space="preserve">, </w:t>
      </w:r>
      <w:r>
        <w:rPr>
          <w:lang w:val="fr-FR"/>
        </w:rPr>
        <w:t>l’erreur a été corrigée dans la présente version</w:t>
      </w:r>
      <w:r w:rsidRPr="005778D9">
        <w:rPr>
          <w:lang w:val="fr-FR"/>
        </w:rPr>
        <w:t>.</w:t>
      </w:r>
    </w:p>
  </w:footnote>
  <w:footnote w:id="6">
    <w:p w14:paraId="37946055" w14:textId="77777777" w:rsidR="00806E9E" w:rsidRPr="00D32F94" w:rsidRDefault="00806E9E" w:rsidP="00FC4B6D">
      <w:pPr>
        <w:pStyle w:val="Notedebasdepage"/>
      </w:pPr>
      <w:r w:rsidRPr="002F5F16">
        <w:rPr>
          <w:lang w:val="fr-FR"/>
        </w:rPr>
        <w:tab/>
      </w:r>
      <w:r w:rsidRPr="00EA7884">
        <w:rPr>
          <w:rStyle w:val="Appelnotedebasdep"/>
        </w:rPr>
        <w:footnoteRef/>
      </w:r>
      <w:r w:rsidRPr="00D32F94">
        <w:tab/>
        <w:t xml:space="preserve">Voir </w:t>
      </w:r>
      <w:hyperlink r:id="rId2" w:history="1">
        <w:r w:rsidRPr="000220FE">
          <w:rPr>
            <w:rStyle w:val="Lienhypertexte"/>
            <w:color w:val="auto"/>
          </w:rPr>
          <w:t>https://crudeaccountability.org/wp-content/uploads/Report_DangerousWork_compressed_for_</w:t>
        </w:r>
        <w:r w:rsidRPr="000220FE">
          <w:rPr>
            <w:rStyle w:val="Lienhypertexte"/>
            <w:color w:val="auto"/>
          </w:rPr>
          <w:br/>
          <w:t>web.pdf</w:t>
        </w:r>
      </w:hyperlink>
      <w:r w:rsidRPr="000220FE">
        <w:t>.</w:t>
      </w:r>
    </w:p>
  </w:footnote>
  <w:footnote w:id="7">
    <w:p w14:paraId="52407957" w14:textId="77777777" w:rsidR="00806E9E" w:rsidRPr="00C30712" w:rsidRDefault="00806E9E" w:rsidP="00FC4B6D">
      <w:pPr>
        <w:pStyle w:val="Notedebasdepage"/>
        <w:rPr>
          <w:lang w:val="en-US"/>
        </w:rPr>
      </w:pPr>
      <w:r w:rsidRPr="00D32F94">
        <w:tab/>
      </w:r>
      <w:r w:rsidRPr="00EA7884">
        <w:rPr>
          <w:rStyle w:val="Appelnotedebasdep"/>
        </w:rPr>
        <w:footnoteRef/>
      </w:r>
      <w:r w:rsidRPr="00C30712">
        <w:rPr>
          <w:lang w:val="en-US"/>
        </w:rPr>
        <w:tab/>
        <w:t>Front Line Defenders (Blackrock, comté de Dublin, Front Line, the International Foundation for the Protection of Human Rights Defenders, 2018), disponible à l</w:t>
      </w:r>
      <w:r>
        <w:rPr>
          <w:lang w:val="en-US"/>
        </w:rPr>
        <w:t>’</w:t>
      </w:r>
      <w:r w:rsidRPr="00C30712">
        <w:rPr>
          <w:lang w:val="en-US"/>
        </w:rPr>
        <w:t xml:space="preserve">adresse </w:t>
      </w:r>
      <w:hyperlink r:id="rId3" w:history="1">
        <w:r w:rsidRPr="005778D9">
          <w:rPr>
            <w:rStyle w:val="Lienhypertexte"/>
            <w:lang w:val="en-US"/>
          </w:rPr>
          <w:t>www.frontlinedefenders.org/</w:t>
        </w:r>
        <w:r>
          <w:rPr>
            <w:rStyle w:val="Lienhypertexte"/>
            <w:lang w:val="en-US"/>
          </w:rPr>
          <w:br/>
        </w:r>
        <w:r w:rsidRPr="005778D9">
          <w:rPr>
            <w:rStyle w:val="Lienhypertexte"/>
            <w:lang w:val="en-US"/>
          </w:rPr>
          <w:t>sites/default/files/global_analysis_2018.pdf</w:t>
        </w:r>
      </w:hyperlink>
      <w:r w:rsidRPr="005778D9">
        <w:rPr>
          <w:lang w:val="en-US"/>
        </w:rPr>
        <w:t xml:space="preserve">. Since the </w:t>
      </w:r>
      <w:r w:rsidRPr="005778D9">
        <w:rPr>
          <w:rFonts w:asciiTheme="majorBidi" w:hAnsiTheme="majorBidi" w:cstheme="majorBidi"/>
          <w:lang w:val="en-US"/>
        </w:rPr>
        <w:t>twenty-third meeting of the Working Group of the Parties</w:t>
      </w:r>
      <w:r w:rsidRPr="005778D9">
        <w:rPr>
          <w:lang w:val="en-US"/>
        </w:rPr>
        <w:t xml:space="preserve"> a new report for 2020 has been made available online: </w:t>
      </w:r>
      <w:hyperlink r:id="rId4" w:history="1">
        <w:r w:rsidRPr="005778D9">
          <w:rPr>
            <w:rStyle w:val="Lienhypertexte"/>
            <w:lang w:val="en-US"/>
          </w:rPr>
          <w:t>https://www.frontlinedefenders.org/</w:t>
        </w:r>
        <w:r>
          <w:rPr>
            <w:rStyle w:val="Lienhypertexte"/>
            <w:lang w:val="en-US"/>
          </w:rPr>
          <w:br/>
        </w:r>
        <w:r w:rsidRPr="005778D9">
          <w:rPr>
            <w:rStyle w:val="Lienhypertexte"/>
            <w:lang w:val="en-US"/>
          </w:rPr>
          <w:t>sites/default/files/fld_global_analysis_2020.pdf</w:t>
        </w:r>
      </w:hyperlink>
      <w:r w:rsidRPr="00C30712">
        <w:rPr>
          <w:lang w:val="en-US"/>
        </w:rPr>
        <w:t>.</w:t>
      </w:r>
    </w:p>
  </w:footnote>
  <w:footnote w:id="8">
    <w:p w14:paraId="0E7BDDFE" w14:textId="77777777" w:rsidR="00806E9E" w:rsidRPr="005778D9" w:rsidRDefault="00806E9E" w:rsidP="00FC4B6D">
      <w:pPr>
        <w:pStyle w:val="Notedebasdepage"/>
        <w:rPr>
          <w:lang w:val="fr-FR"/>
        </w:rPr>
      </w:pPr>
      <w:r w:rsidRPr="00D32F94">
        <w:rPr>
          <w:spacing w:val="-2"/>
          <w:lang w:val="en-US"/>
        </w:rPr>
        <w:tab/>
      </w:r>
      <w:r w:rsidRPr="00D32F94">
        <w:rPr>
          <w:rStyle w:val="Appelnotedebasdep"/>
          <w:spacing w:val="-2"/>
        </w:rPr>
        <w:footnoteRef/>
      </w:r>
      <w:r w:rsidRPr="00D32F94">
        <w:rPr>
          <w:spacing w:val="-2"/>
          <w:lang w:val="fr-FR"/>
        </w:rPr>
        <w:t xml:space="preserve"> </w:t>
      </w:r>
      <w:r w:rsidRPr="00D32F94">
        <w:rPr>
          <w:spacing w:val="-2"/>
          <w:lang w:val="fr-FR"/>
        </w:rPr>
        <w:tab/>
        <w:t>De plus, depuis octobre 2020, un administrateur auxiliaire, essentiellement chargé d’appuyer ce domaine</w:t>
      </w:r>
      <w:r>
        <w:rPr>
          <w:lang w:val="fr-FR"/>
        </w:rPr>
        <w:t xml:space="preserve"> d’activité, a</w:t>
      </w:r>
      <w:r w:rsidRPr="00C0607B">
        <w:rPr>
          <w:lang w:val="fr-FR"/>
        </w:rPr>
        <w:t xml:space="preserve"> </w:t>
      </w:r>
      <w:r w:rsidRPr="005778D9">
        <w:rPr>
          <w:lang w:val="fr-FR"/>
        </w:rPr>
        <w:t>rejoint le se</w:t>
      </w:r>
      <w:r>
        <w:rPr>
          <w:lang w:val="fr-FR"/>
        </w:rPr>
        <w:t>crétariat</w:t>
      </w:r>
      <w:r w:rsidRPr="005778D9">
        <w:rPr>
          <w:lang w:val="fr-FR"/>
        </w:rPr>
        <w:t>.</w:t>
      </w:r>
    </w:p>
  </w:footnote>
  <w:footnote w:id="9">
    <w:p w14:paraId="41001584" w14:textId="77777777" w:rsidR="00806E9E" w:rsidRPr="00476F99" w:rsidRDefault="00806E9E" w:rsidP="00FC4B6D">
      <w:pPr>
        <w:pStyle w:val="Notedebasdepage"/>
        <w:rPr>
          <w:lang w:val="fr-FR"/>
        </w:rPr>
      </w:pPr>
      <w:r w:rsidRPr="005778D9">
        <w:rPr>
          <w:lang w:val="fr-FR"/>
        </w:rPr>
        <w:tab/>
      </w:r>
      <w:r w:rsidRPr="00EA7884">
        <w:rPr>
          <w:rStyle w:val="Appelnotedebasdep"/>
        </w:rPr>
        <w:footnoteRef/>
      </w:r>
      <w:r>
        <w:rPr>
          <w:lang w:val="fr-FR"/>
        </w:rPr>
        <w:tab/>
      </w:r>
      <w:r w:rsidRPr="00476F99">
        <w:rPr>
          <w:lang w:val="fr-FR"/>
        </w:rPr>
        <w:t xml:space="preserve">Voir </w:t>
      </w:r>
      <w:hyperlink r:id="rId5" w:history="1">
        <w:r w:rsidRPr="00476F99">
          <w:rPr>
            <w:rStyle w:val="Lienhypertexte"/>
            <w:color w:val="auto"/>
            <w:lang w:val="fr-FR"/>
          </w:rPr>
          <w:t>https://ec.europa.eu/info/strategy/priorities-2019-2024/european-green-deal_fr</w:t>
        </w:r>
      </w:hyperlink>
      <w:r w:rsidRPr="00476F99">
        <w:rPr>
          <w:lang w:val="fr-FR"/>
        </w:rPr>
        <w:t>.</w:t>
      </w:r>
    </w:p>
  </w:footnote>
  <w:footnote w:id="10">
    <w:p w14:paraId="3B46444B" w14:textId="77777777" w:rsidR="00806E9E" w:rsidRPr="00476F99" w:rsidRDefault="00806E9E" w:rsidP="00FC4B6D">
      <w:pPr>
        <w:pStyle w:val="Notedebasdepage"/>
        <w:rPr>
          <w:lang w:val="fr-FR"/>
        </w:rPr>
      </w:pPr>
      <w:r w:rsidRPr="00476F99">
        <w:rPr>
          <w:lang w:val="fr-FR"/>
        </w:rPr>
        <w:tab/>
      </w:r>
      <w:r w:rsidRPr="00476F99">
        <w:rPr>
          <w:rStyle w:val="Appelnotedebasdep"/>
        </w:rPr>
        <w:footnoteRef/>
      </w:r>
      <w:r w:rsidRPr="00476F99">
        <w:rPr>
          <w:lang w:val="fr-FR"/>
        </w:rPr>
        <w:tab/>
        <w:t xml:space="preserve">Voir </w:t>
      </w:r>
      <w:hyperlink r:id="rId6" w:history="1">
        <w:r w:rsidRPr="00476F99">
          <w:rPr>
            <w:rStyle w:val="Lienhypertexte"/>
            <w:color w:val="auto"/>
            <w:lang w:val="fr-FR"/>
          </w:rPr>
          <w:t>www.ohchr.org/FR/hrbodies/upr/pages/UPRMain.aspx</w:t>
        </w:r>
      </w:hyperlink>
      <w:r w:rsidRPr="00476F99">
        <w:rPr>
          <w:lang w:val="fr-FR"/>
        </w:rPr>
        <w:t>.</w:t>
      </w:r>
    </w:p>
  </w:footnote>
  <w:footnote w:id="11">
    <w:p w14:paraId="11B6B4D6" w14:textId="77777777" w:rsidR="00806E9E" w:rsidRPr="00476F99" w:rsidRDefault="00806E9E" w:rsidP="00FC4B6D">
      <w:pPr>
        <w:pStyle w:val="Notedebasdepage"/>
        <w:rPr>
          <w:lang w:val="fr-FR"/>
        </w:rPr>
      </w:pPr>
      <w:r w:rsidRPr="00476F99">
        <w:rPr>
          <w:lang w:val="fr-FR"/>
        </w:rPr>
        <w:tab/>
      </w:r>
      <w:r w:rsidRPr="00476F99">
        <w:rPr>
          <w:rStyle w:val="Appelnotedebasdep"/>
        </w:rPr>
        <w:footnoteRef/>
      </w:r>
      <w:r w:rsidRPr="00476F99">
        <w:rPr>
          <w:lang w:val="fr-FR"/>
        </w:rPr>
        <w:tab/>
        <w:t xml:space="preserve">Voir </w:t>
      </w:r>
      <w:hyperlink r:id="rId7" w:history="1">
        <w:r w:rsidRPr="00476F99">
          <w:rPr>
            <w:rStyle w:val="Lienhypertexte"/>
            <w:color w:val="auto"/>
            <w:lang w:val="fr-FR"/>
          </w:rPr>
          <w:t>www.ohchr.org/FR/HRBodies/SP/Pages/Welcomepage.aspx</w:t>
        </w:r>
      </w:hyperlink>
      <w:r w:rsidRPr="00476F99">
        <w:rPr>
          <w:lang w:val="fr-FR"/>
        </w:rPr>
        <w:t>.</w:t>
      </w:r>
    </w:p>
  </w:footnote>
  <w:footnote w:id="12">
    <w:p w14:paraId="29442313" w14:textId="77777777" w:rsidR="00806E9E" w:rsidRPr="00476F99" w:rsidRDefault="00806E9E" w:rsidP="00FC4B6D">
      <w:pPr>
        <w:pStyle w:val="Notedebasdepage"/>
        <w:rPr>
          <w:lang w:val="fr-FR"/>
        </w:rPr>
      </w:pPr>
      <w:r w:rsidRPr="00476F99">
        <w:rPr>
          <w:lang w:val="fr-FR"/>
        </w:rPr>
        <w:tab/>
      </w:r>
      <w:r w:rsidRPr="00476F99">
        <w:rPr>
          <w:rStyle w:val="Appelnotedebasdep"/>
        </w:rPr>
        <w:footnoteRef/>
      </w:r>
      <w:r w:rsidRPr="00476F99">
        <w:rPr>
          <w:lang w:val="fr-FR"/>
        </w:rPr>
        <w:tab/>
        <w:t xml:space="preserve">Voir </w:t>
      </w:r>
      <w:hyperlink r:id="rId8" w:history="1">
        <w:r w:rsidRPr="00476F99">
          <w:rPr>
            <w:rStyle w:val="Lienhypertexte"/>
            <w:color w:val="auto"/>
            <w:lang w:val="fr-FR"/>
          </w:rPr>
          <w:t>https://publicadministration.un.org/fr/ict4d</w:t>
        </w:r>
      </w:hyperlink>
      <w:r w:rsidRPr="00476F99">
        <w:rPr>
          <w:lang w:val="fr-FR"/>
        </w:rPr>
        <w:t xml:space="preserve"> ; </w:t>
      </w:r>
      <w:hyperlink r:id="rId9" w:history="1">
        <w:r w:rsidRPr="00476F99">
          <w:rPr>
            <w:rStyle w:val="Lienhypertexte"/>
            <w:color w:val="auto"/>
            <w:lang w:val="fr-FR"/>
          </w:rPr>
          <w:t>www.oecd.org/fr/gov/gouvernement-ouvert</w:t>
        </w:r>
      </w:hyperlink>
      <w:r w:rsidRPr="00476F99">
        <w:rPr>
          <w:lang w:val="fr-FR"/>
        </w:rPr>
        <w:t xml:space="preserve">/ ; </w:t>
      </w:r>
      <w:hyperlink r:id="rId10" w:history="1">
        <w:r w:rsidRPr="00476F99">
          <w:rPr>
            <w:rStyle w:val="Lienhypertexte"/>
            <w:color w:val="auto"/>
            <w:lang w:val="fr-FR"/>
          </w:rPr>
          <w:t>www.oecd.org/gov/digital-government/open-government-data.htm</w:t>
        </w:r>
      </w:hyperlink>
      <w:r w:rsidRPr="00476F99">
        <w:rPr>
          <w:lang w:val="fr-FR"/>
        </w:rPr>
        <w:t xml:space="preserve"> ; </w:t>
      </w:r>
      <w:hyperlink r:id="rId11" w:history="1">
        <w:r w:rsidRPr="00476F99">
          <w:rPr>
            <w:rStyle w:val="Lienhypertexte"/>
            <w:color w:val="auto"/>
            <w:lang w:val="fr-FR"/>
          </w:rPr>
          <w:t>https://ec.europa.eu/digital-single-market/en/open-data</w:t>
        </w:r>
      </w:hyperlink>
      <w:r w:rsidRPr="00476F99">
        <w:rPr>
          <w:lang w:val="fr-FR"/>
        </w:rPr>
        <w:t>.</w:t>
      </w:r>
    </w:p>
  </w:footnote>
  <w:footnote w:id="13">
    <w:p w14:paraId="3602659F" w14:textId="77777777" w:rsidR="00806E9E" w:rsidRPr="00476F99" w:rsidRDefault="00806E9E" w:rsidP="00FC4B6D">
      <w:pPr>
        <w:pStyle w:val="Notedebasdepage"/>
        <w:rPr>
          <w:lang w:val="fr-FR"/>
        </w:rPr>
      </w:pPr>
      <w:r w:rsidRPr="00476F99">
        <w:rPr>
          <w:lang w:val="fr-FR"/>
        </w:rPr>
        <w:tab/>
      </w:r>
      <w:r w:rsidRPr="00476F99">
        <w:rPr>
          <w:rStyle w:val="Appelnotedebasdep"/>
        </w:rPr>
        <w:footnoteRef/>
      </w:r>
      <w:r w:rsidRPr="00476F99">
        <w:rPr>
          <w:lang w:val="fr-FR"/>
        </w:rPr>
        <w:tab/>
        <w:t xml:space="preserve">Voir </w:t>
      </w:r>
      <w:hyperlink r:id="rId12" w:history="1">
        <w:r w:rsidRPr="00476F99">
          <w:rPr>
            <w:rStyle w:val="Lienhypertexte"/>
            <w:color w:val="auto"/>
            <w:lang w:val="fr-FR"/>
          </w:rPr>
          <w:t>www.cbd.int/nbsap/</w:t>
        </w:r>
      </w:hyperlink>
      <w:r w:rsidRPr="00476F99">
        <w:rPr>
          <w:lang w:val="fr-FR"/>
        </w:rPr>
        <w:t>.</w:t>
      </w:r>
    </w:p>
  </w:footnote>
  <w:footnote w:id="14">
    <w:p w14:paraId="150156D0" w14:textId="77777777" w:rsidR="00806E9E" w:rsidRPr="001D5B62" w:rsidRDefault="00806E9E" w:rsidP="00FC4B6D">
      <w:pPr>
        <w:pStyle w:val="Notedebasdepage"/>
        <w:rPr>
          <w:lang w:val="fr-FR"/>
        </w:rPr>
      </w:pPr>
      <w:r>
        <w:rPr>
          <w:lang w:val="fr-FR"/>
        </w:rPr>
        <w:tab/>
      </w:r>
      <w:r w:rsidRPr="00EA7884">
        <w:rPr>
          <w:rStyle w:val="Appelnotedebasdep"/>
        </w:rPr>
        <w:footnoteRef/>
      </w:r>
      <w:r>
        <w:rPr>
          <w:lang w:val="fr-FR"/>
        </w:rPr>
        <w:tab/>
        <w:t>Sous réserve qu’il soit décidé d’établir un nouveau mécanisme chargé de traiter les cas relevant du paragraphe 8 de l’article 3.</w:t>
      </w:r>
    </w:p>
  </w:footnote>
  <w:footnote w:id="15">
    <w:p w14:paraId="6F6C1911" w14:textId="77777777" w:rsidR="00806E9E" w:rsidRPr="001D5B62" w:rsidRDefault="00806E9E" w:rsidP="00FC4B6D">
      <w:pPr>
        <w:pStyle w:val="Notedebasdepage"/>
        <w:rPr>
          <w:lang w:val="fr-FR"/>
        </w:rPr>
      </w:pPr>
      <w:r>
        <w:rPr>
          <w:lang w:val="fr-FR"/>
        </w:rPr>
        <w:tab/>
      </w:r>
      <w:r w:rsidRPr="00EA7884">
        <w:rPr>
          <w:rStyle w:val="Appelnotedebasdep"/>
        </w:rPr>
        <w:footnoteRef/>
      </w:r>
      <w:r>
        <w:rPr>
          <w:lang w:val="fr-FR"/>
        </w:rPr>
        <w:tab/>
        <w:t>Les estimations relatives au mécanisme d’examen du respect des dispositions ont été établies sur la base de l’option 3 (Rapporteur sur les défenseurs de l’environnement) présentée dans le projet de note sur un mécanisme de réaction rapide visant à traiter les cas relevant du paragraphe 8 de l’article 3 de la Convention d’Aarhus (voir ECE/MP.PP/WG.1/2020/13).</w:t>
      </w:r>
    </w:p>
  </w:footnote>
  <w:footnote w:id="16">
    <w:p w14:paraId="210A8129" w14:textId="4AEFFE90" w:rsidR="00806E9E" w:rsidRPr="00C31AAB" w:rsidRDefault="00806E9E" w:rsidP="00FC4B6D">
      <w:pPr>
        <w:pStyle w:val="Notedebasdepage"/>
      </w:pPr>
      <w:r w:rsidRPr="0050642F">
        <w:tab/>
      </w:r>
      <w:r w:rsidRPr="00EA7884">
        <w:rPr>
          <w:rStyle w:val="Appelnotedebasdep"/>
        </w:rPr>
        <w:footnoteRef/>
      </w:r>
      <w:r w:rsidRPr="00C31AAB">
        <w:t xml:space="preserve"> </w:t>
      </w:r>
      <w:r w:rsidRPr="00C31AAB">
        <w:tab/>
        <w:t>Le texte actuel est fondé sur la décision</w:t>
      </w:r>
      <w:r w:rsidR="0041339F">
        <w:t> </w:t>
      </w:r>
      <w:r w:rsidRPr="00C31AAB">
        <w:t xml:space="preserve">VI/5 </w:t>
      </w:r>
      <w:r>
        <w:t xml:space="preserve">sur le programme de travail pour </w:t>
      </w:r>
      <w:r w:rsidRPr="00C31AAB">
        <w:t>2018-2021 (ECE/MP.PP/2017/2/Add.1)</w:t>
      </w:r>
      <w:r>
        <w:t xml:space="preserve">, </w:t>
      </w:r>
      <w:r>
        <w:rPr>
          <w:lang w:val="fr-FR"/>
        </w:rPr>
        <w:t>à laquelle seules des révisions factuelles et rédactionnelles ont été apportées</w:t>
      </w:r>
      <w:r w:rsidRPr="00C31AAB">
        <w:t>.</w:t>
      </w:r>
    </w:p>
  </w:footnote>
  <w:footnote w:id="17">
    <w:p w14:paraId="2B09CF99" w14:textId="77777777" w:rsidR="00806E9E" w:rsidRPr="00EA7884" w:rsidRDefault="00806E9E" w:rsidP="00FC4B6D">
      <w:pPr>
        <w:pStyle w:val="Notedebasdepage"/>
      </w:pPr>
      <w:r w:rsidRPr="00C31AAB">
        <w:tab/>
      </w:r>
      <w:r w:rsidRPr="00EA7884">
        <w:rPr>
          <w:rStyle w:val="Appelnotedebasdep"/>
        </w:rPr>
        <w:footnoteRef/>
      </w:r>
      <w:r w:rsidRPr="00EA7884">
        <w:t xml:space="preserve"> </w:t>
      </w:r>
      <w:r w:rsidRPr="00EA7884">
        <w:tab/>
        <w:t>Voir ECE/MP.PP/2/Add.12.</w:t>
      </w:r>
    </w:p>
  </w:footnote>
  <w:footnote w:id="18">
    <w:p w14:paraId="326DE1EC" w14:textId="77777777" w:rsidR="00806E9E" w:rsidRPr="00EA7884" w:rsidRDefault="00806E9E" w:rsidP="00FC4B6D">
      <w:pPr>
        <w:pStyle w:val="Notedebasdepage"/>
      </w:pPr>
      <w:r w:rsidRPr="00EA7884">
        <w:tab/>
      </w:r>
      <w:r w:rsidRPr="00EA7884">
        <w:rPr>
          <w:rStyle w:val="Appelnotedebasdep"/>
        </w:rPr>
        <w:footnoteRef/>
      </w:r>
      <w:r w:rsidRPr="00EA7884">
        <w:t xml:space="preserve"> </w:t>
      </w:r>
      <w:r w:rsidRPr="00EA7884">
        <w:tab/>
        <w:t>Voir ECE/MP.PP/2014/2/Add.1.</w:t>
      </w:r>
    </w:p>
  </w:footnote>
  <w:footnote w:id="19">
    <w:p w14:paraId="3C80DD32" w14:textId="77777777" w:rsidR="00806E9E" w:rsidRPr="00EA7884" w:rsidRDefault="00806E9E" w:rsidP="00FC4B6D">
      <w:pPr>
        <w:pStyle w:val="Notedebasdepage"/>
      </w:pPr>
      <w:r w:rsidRPr="00EA7884">
        <w:tab/>
      </w:r>
      <w:r w:rsidRPr="00EA7884">
        <w:rPr>
          <w:rStyle w:val="Appelnotedebasdep"/>
        </w:rPr>
        <w:footnoteRef/>
      </w:r>
      <w:r w:rsidRPr="00EA7884">
        <w:t xml:space="preserve"> </w:t>
      </w:r>
      <w:r w:rsidRPr="00EA7884">
        <w:tab/>
        <w:t>Voir ECE/MP.PP/2017/2/Add.1.</w:t>
      </w:r>
    </w:p>
  </w:footnote>
  <w:footnote w:id="20">
    <w:p w14:paraId="36B2A56D" w14:textId="77777777" w:rsidR="00806E9E" w:rsidRPr="00EA7884" w:rsidRDefault="00806E9E" w:rsidP="00FC4B6D">
      <w:pPr>
        <w:pStyle w:val="Notedebasdepage"/>
      </w:pPr>
      <w:r w:rsidRPr="00EA7884">
        <w:tab/>
      </w:r>
      <w:r w:rsidRPr="00EA7884">
        <w:rPr>
          <w:rStyle w:val="Appelnotedebasdep"/>
        </w:rPr>
        <w:footnoteRef/>
      </w:r>
      <w:r w:rsidRPr="00EA7884">
        <w:t xml:space="preserve"> </w:t>
      </w:r>
      <w:r w:rsidRPr="00EA7884">
        <w:tab/>
        <w:t>Voir ECE/MP.PP/2011/2/Add.1.</w:t>
      </w:r>
    </w:p>
  </w:footnote>
  <w:footnote w:id="21">
    <w:p w14:paraId="7E810D67" w14:textId="77777777" w:rsidR="00806E9E" w:rsidRPr="005501A0" w:rsidRDefault="00806E9E" w:rsidP="00FC4B6D">
      <w:pPr>
        <w:pStyle w:val="Notedebasdepage"/>
        <w:rPr>
          <w:lang w:val="fr-FR"/>
        </w:rPr>
      </w:pPr>
      <w:r w:rsidRPr="00EA7884">
        <w:tab/>
      </w:r>
      <w:r w:rsidRPr="00EA7884">
        <w:rPr>
          <w:rStyle w:val="Appelnotedebasdep"/>
        </w:rPr>
        <w:footnoteRef/>
      </w:r>
      <w:r w:rsidRPr="005501A0">
        <w:rPr>
          <w:lang w:val="fr-FR"/>
        </w:rPr>
        <w:t xml:space="preserve"> </w:t>
      </w:r>
      <w:r w:rsidRPr="005501A0">
        <w:rPr>
          <w:lang w:val="fr-FR"/>
        </w:rPr>
        <w:tab/>
        <w:t>Voir ECE/MP.PP/2005/2/Add.5, décision</w:t>
      </w:r>
      <w:r>
        <w:rPr>
          <w:lang w:val="fr-FR"/>
        </w:rPr>
        <w:t> </w:t>
      </w:r>
      <w:r w:rsidRPr="005501A0">
        <w:rPr>
          <w:lang w:val="fr-FR"/>
        </w:rPr>
        <w:t>II/4, annexe.</w:t>
      </w:r>
    </w:p>
  </w:footnote>
  <w:footnote w:id="22">
    <w:p w14:paraId="37EC1B35" w14:textId="77777777" w:rsidR="00806E9E" w:rsidRPr="00325C48" w:rsidRDefault="00806E9E" w:rsidP="00FC4B6D">
      <w:pPr>
        <w:pStyle w:val="Notedebasdepage"/>
        <w:rPr>
          <w:lang w:val="fr-FR"/>
        </w:rPr>
      </w:pPr>
      <w:r w:rsidRPr="005501A0">
        <w:rPr>
          <w:lang w:val="fr-FR"/>
        </w:rPr>
        <w:tab/>
      </w:r>
      <w:r w:rsidRPr="00EA7884">
        <w:rPr>
          <w:rStyle w:val="Appelnotedebasdep"/>
        </w:rPr>
        <w:footnoteRef/>
      </w:r>
      <w:r w:rsidRPr="00714D6D">
        <w:rPr>
          <w:lang w:val="fr-FR"/>
        </w:rPr>
        <w:tab/>
      </w:r>
      <w:r w:rsidRPr="00714D6D">
        <w:rPr>
          <w:lang w:val="fr-FR"/>
        </w:rPr>
        <w:tab/>
      </w:r>
      <w:r>
        <w:rPr>
          <w:lang w:val="fr-FR"/>
        </w:rPr>
        <w:t xml:space="preserve">Outre le fait qu’il répond à une volonté d’expliquer l’allocation des ressources proposée aux </w:t>
      </w:r>
      <w:r w:rsidRPr="00714D6D">
        <w:rPr>
          <w:lang w:val="fr-FR"/>
        </w:rPr>
        <w:t>annexes</w:t>
      </w:r>
      <w:r>
        <w:rPr>
          <w:lang w:val="fr-FR"/>
        </w:rPr>
        <w:t xml:space="preserve"> et d’en tenir compte,</w:t>
      </w:r>
      <w:r w:rsidRPr="00714D6D">
        <w:rPr>
          <w:lang w:val="fr-FR"/>
        </w:rPr>
        <w:t xml:space="preserve"> l</w:t>
      </w:r>
      <w:r>
        <w:rPr>
          <w:lang w:val="fr-FR"/>
        </w:rPr>
        <w:t>’</w:t>
      </w:r>
      <w:r w:rsidRPr="00714D6D">
        <w:rPr>
          <w:lang w:val="fr-FR"/>
        </w:rPr>
        <w:t>établissement des priorités décrit aux paragraphes</w:t>
      </w:r>
      <w:r>
        <w:rPr>
          <w:lang w:val="fr-FR"/>
        </w:rPr>
        <w:t> </w:t>
      </w:r>
      <w:r w:rsidRPr="00714D6D">
        <w:rPr>
          <w:lang w:val="fr-FR"/>
        </w:rPr>
        <w:t xml:space="preserve">7 et 8 vise essentiellement à </w:t>
      </w:r>
      <w:r>
        <w:rPr>
          <w:lang w:val="fr-FR"/>
        </w:rPr>
        <w:t>orienter les décisions</w:t>
      </w:r>
      <w:r w:rsidRPr="00714D6D">
        <w:rPr>
          <w:lang w:val="fr-FR"/>
        </w:rPr>
        <w:t xml:space="preserve"> dans les situations </w:t>
      </w:r>
      <w:r>
        <w:rPr>
          <w:lang w:val="fr-FR"/>
        </w:rPr>
        <w:t>où</w:t>
      </w:r>
      <w:r w:rsidRPr="00714D6D">
        <w:rPr>
          <w:lang w:val="fr-FR"/>
        </w:rPr>
        <w:t xml:space="preserve"> il e</w:t>
      </w:r>
      <w:r>
        <w:rPr>
          <w:lang w:val="fr-FR"/>
        </w:rPr>
        <w:t>xiste un écart important entre le montant effectif des recettes et le montant estimatif des ressources financières nécessaires</w:t>
      </w:r>
      <w:r w:rsidRPr="00714D6D">
        <w:rPr>
          <w:lang w:val="fr-FR"/>
        </w:rPr>
        <w:t xml:space="preserve">. </w:t>
      </w:r>
      <w:r w:rsidRPr="00221B49">
        <w:rPr>
          <w:lang w:val="fr-FR"/>
        </w:rPr>
        <w:t>Si les ressources sont nettement insuffisantes, des économies doi</w:t>
      </w:r>
      <w:r>
        <w:rPr>
          <w:lang w:val="fr-FR"/>
        </w:rPr>
        <w:t>vent être faites ; les priorités établies donnent alors des orientations sur les domaines dans lesquels les économies doivent être faites</w:t>
      </w:r>
      <w:r w:rsidRPr="00221B49">
        <w:rPr>
          <w:lang w:val="fr-FR"/>
        </w:rPr>
        <w:t xml:space="preserve">. </w:t>
      </w:r>
      <w:r w:rsidRPr="001D5F65">
        <w:rPr>
          <w:lang w:val="fr-FR"/>
        </w:rPr>
        <w:t>S</w:t>
      </w:r>
      <w:r>
        <w:rPr>
          <w:lang w:val="fr-FR"/>
        </w:rPr>
        <w:t>’</w:t>
      </w:r>
      <w:r w:rsidRPr="001D5F65">
        <w:rPr>
          <w:lang w:val="fr-FR"/>
        </w:rPr>
        <w:t>il existe des ressources excédentaires qui ne sont pas préaffectées, l</w:t>
      </w:r>
      <w:r>
        <w:rPr>
          <w:lang w:val="fr-FR"/>
        </w:rPr>
        <w:t>es priorités établies donnent des orientations sur la façon dont ces ressources peuvent être utilisées</w:t>
      </w:r>
      <w:r w:rsidRPr="001D5F65">
        <w:rPr>
          <w:lang w:val="fr-FR"/>
        </w:rPr>
        <w:t xml:space="preserve">. </w:t>
      </w:r>
      <w:r w:rsidRPr="00325C48">
        <w:rPr>
          <w:lang w:val="fr-FR"/>
        </w:rPr>
        <w:t>Si les ressources disponibles correspondent étroitement au montant estimatif des ressources nécessaires</w:t>
      </w:r>
      <w:r>
        <w:rPr>
          <w:lang w:val="fr-FR"/>
        </w:rPr>
        <w:t xml:space="preserve"> figurant dans les annexes, les ressources peuvent simplement être allouées comme indiqué dans lesdites annexes et il est inutile d’établir d’autres priorités que celles qui sont déjà prévues</w:t>
      </w:r>
      <w:r w:rsidRPr="00325C48">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8087" w14:textId="6E45F8D2" w:rsidR="00806E9E" w:rsidRPr="00FC4B6D" w:rsidRDefault="00806E9E">
    <w:pPr>
      <w:pStyle w:val="En-tte"/>
    </w:pPr>
    <w:fldSimple w:instr=" TITLE  \* MERGEFORMAT ">
      <w:r w:rsidR="00FA5E3F">
        <w:t>ECE/MP.PP/WG.1/2021/8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B9AB8" w14:textId="5450BADF" w:rsidR="00806E9E" w:rsidRPr="00FC4B6D" w:rsidRDefault="00806E9E" w:rsidP="00FC4B6D">
    <w:pPr>
      <w:pStyle w:val="En-tte"/>
      <w:jc w:val="right"/>
    </w:pPr>
    <w:fldSimple w:instr=" TITLE  \* MERGEFORMAT ">
      <w:r w:rsidR="00FA5E3F">
        <w:t>ECE/MP.PP/WG.1/2021/8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BD0F" w14:textId="6E9C8B7A" w:rsidR="00806E9E" w:rsidRPr="00EA3C11" w:rsidRDefault="00806E9E" w:rsidP="00EA3C11">
    <w:r>
      <w:rPr>
        <w:noProof/>
      </w:rPr>
      <mc:AlternateContent>
        <mc:Choice Requires="wps">
          <w:drawing>
            <wp:anchor distT="0" distB="0" distL="114300" distR="114300" simplePos="0" relativeHeight="251663360" behindDoc="0" locked="0" layoutInCell="1" allowOverlap="1" wp14:anchorId="069FC92D" wp14:editId="1D29986B">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5E57D210" w14:textId="03A63D12" w:rsidR="00806E9E" w:rsidRPr="00FC4B6D" w:rsidRDefault="00806E9E" w:rsidP="00EA3C11">
                          <w:pPr>
                            <w:pStyle w:val="En-tte"/>
                          </w:pPr>
                          <w:fldSimple w:instr=" TITLE  \* MERGEFORMAT ">
                            <w:r w:rsidR="00FA5E3F">
                              <w:t>ECE/MP.PP/WG.1/2021/8</w:t>
                            </w:r>
                          </w:fldSimple>
                        </w:p>
                        <w:p w14:paraId="3D741F92" w14:textId="77777777" w:rsidR="00806E9E" w:rsidRDefault="00806E9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9FC92D" id="_x0000_t202" coordsize="21600,21600" o:spt="202" path="m,l,21600r21600,l21600,xe">
              <v:stroke joinstyle="miter"/>
              <v:path gradientshapeok="t" o:connecttype="rect"/>
            </v:shapetype>
            <v:shape id="Zone de texte 8"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BVIs7NTAgAAqg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5E57D210" w14:textId="03A63D12" w:rsidR="00806E9E" w:rsidRPr="00FC4B6D" w:rsidRDefault="00806E9E" w:rsidP="00EA3C11">
                    <w:pPr>
                      <w:pStyle w:val="En-tte"/>
                    </w:pPr>
                    <w:fldSimple w:instr=" TITLE  \* MERGEFORMAT ">
                      <w:r w:rsidR="00FA5E3F">
                        <w:t>ECE/MP.PP/WG.1/2021/8</w:t>
                      </w:r>
                    </w:fldSimple>
                  </w:p>
                  <w:p w14:paraId="3D741F92" w14:textId="77777777" w:rsidR="00806E9E" w:rsidRDefault="00806E9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0F58" w14:textId="24D443BE" w:rsidR="00806E9E" w:rsidRPr="00EA3C11" w:rsidRDefault="00806E9E" w:rsidP="00EA3C11">
    <w:r>
      <w:rPr>
        <w:noProof/>
      </w:rPr>
      <mc:AlternateContent>
        <mc:Choice Requires="wps">
          <w:drawing>
            <wp:anchor distT="0" distB="0" distL="114300" distR="114300" simplePos="0" relativeHeight="251661312" behindDoc="0" locked="0" layoutInCell="1" allowOverlap="1" wp14:anchorId="7E37A55D" wp14:editId="74F29D5F">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97B4DA" w14:textId="52E58ECF" w:rsidR="00806E9E" w:rsidRPr="00FC4B6D" w:rsidRDefault="00806E9E" w:rsidP="00EA3C11">
                          <w:pPr>
                            <w:pStyle w:val="En-tte"/>
                            <w:jc w:val="right"/>
                          </w:pPr>
                          <w:fldSimple w:instr=" TITLE  \* MERGEFORMAT ">
                            <w:r w:rsidR="00FA5E3F">
                              <w:t>ECE/MP.PP/WG.1/2021/8</w:t>
                            </w:r>
                          </w:fldSimple>
                        </w:p>
                        <w:p w14:paraId="421840C4" w14:textId="77777777" w:rsidR="00806E9E" w:rsidRDefault="00806E9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E37A55D"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3oBRr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5797B4DA" w14:textId="52E58ECF" w:rsidR="00806E9E" w:rsidRPr="00FC4B6D" w:rsidRDefault="00806E9E" w:rsidP="00EA3C11">
                    <w:pPr>
                      <w:pStyle w:val="En-tte"/>
                      <w:jc w:val="right"/>
                    </w:pPr>
                    <w:fldSimple w:instr=" TITLE  \* MERGEFORMAT ">
                      <w:r w:rsidR="00FA5E3F">
                        <w:t>ECE/MP.PP/WG.1/2021/8</w:t>
                      </w:r>
                    </w:fldSimple>
                  </w:p>
                  <w:p w14:paraId="421840C4" w14:textId="77777777" w:rsidR="00806E9E" w:rsidRDefault="00806E9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193A" w14:textId="6C9FD12A" w:rsidR="00806E9E" w:rsidRPr="00DC7782" w:rsidRDefault="00806E9E" w:rsidP="00DC7782">
    <w:pPr>
      <w:pStyle w:val="En-tte"/>
      <w:jc w:val="right"/>
    </w:pPr>
    <w:fldSimple w:instr=" TITLE  \* MERGEFORMAT ">
      <w:r w:rsidR="00FA5E3F">
        <w:t>ECE/MP.PP/WG.1/2021/8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EF7DD0"/>
    <w:multiLevelType w:val="hybridMultilevel"/>
    <w:tmpl w:val="A148EA30"/>
    <w:lvl w:ilvl="0" w:tplc="700027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EC25D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08309B"/>
    <w:multiLevelType w:val="hybridMultilevel"/>
    <w:tmpl w:val="D01AF22A"/>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067B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D61644C"/>
    <w:multiLevelType w:val="hybridMultilevel"/>
    <w:tmpl w:val="38907044"/>
    <w:lvl w:ilvl="0" w:tplc="8306ED96">
      <w:start w:val="1"/>
      <w:numFmt w:val="upperRoman"/>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37153"/>
    <w:multiLevelType w:val="hybridMultilevel"/>
    <w:tmpl w:val="683A13B8"/>
    <w:lvl w:ilvl="0" w:tplc="760AE4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9D2F3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C720B"/>
    <w:multiLevelType w:val="hybridMultilevel"/>
    <w:tmpl w:val="F0408E54"/>
    <w:lvl w:ilvl="0" w:tplc="BB34386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6"/>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1"/>
  </w:num>
  <w:num w:numId="16">
    <w:abstractNumId w:val="12"/>
  </w:num>
  <w:num w:numId="17">
    <w:abstractNumId w:val="18"/>
  </w:num>
  <w:num w:numId="18">
    <w:abstractNumId w:val="17"/>
  </w:num>
  <w:num w:numId="19">
    <w:abstractNumId w:val="10"/>
  </w:num>
  <w:num w:numId="20">
    <w:abstractNumId w:val="15"/>
  </w:num>
  <w:num w:numId="21">
    <w:abstractNumId w:val="19"/>
  </w:num>
  <w:num w:numId="22">
    <w:abstractNumId w:val="16"/>
  </w:num>
  <w:num w:numId="23">
    <w:abstractNumId w:val="25"/>
  </w:num>
  <w:num w:numId="24">
    <w:abstractNumId w:val="27"/>
  </w:num>
  <w:num w:numId="25">
    <w:abstractNumId w:val="22"/>
  </w:num>
  <w:num w:numId="26">
    <w:abstractNumId w:val="11"/>
  </w:num>
  <w:num w:numId="27">
    <w:abstractNumId w:val="14"/>
  </w:num>
  <w:num w:numId="28">
    <w:abstractNumId w:val="23"/>
  </w:num>
  <w:num w:numId="29">
    <w:abstractNumId w:val="13"/>
  </w:num>
  <w:num w:numId="30">
    <w:abstractNumId w:val="20"/>
  </w:num>
  <w:num w:numId="31">
    <w:abstractNumId w:val="2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87"/>
    <w:rsid w:val="00017F94"/>
    <w:rsid w:val="000220FE"/>
    <w:rsid w:val="00023842"/>
    <w:rsid w:val="00031189"/>
    <w:rsid w:val="000334F9"/>
    <w:rsid w:val="00034375"/>
    <w:rsid w:val="00070966"/>
    <w:rsid w:val="0007796D"/>
    <w:rsid w:val="000B7790"/>
    <w:rsid w:val="000F0755"/>
    <w:rsid w:val="00111F2F"/>
    <w:rsid w:val="0014365E"/>
    <w:rsid w:val="00176178"/>
    <w:rsid w:val="001F525A"/>
    <w:rsid w:val="002044E5"/>
    <w:rsid w:val="00223272"/>
    <w:rsid w:val="0024779E"/>
    <w:rsid w:val="002739BD"/>
    <w:rsid w:val="002832AC"/>
    <w:rsid w:val="002B40F9"/>
    <w:rsid w:val="002D7C93"/>
    <w:rsid w:val="00372CD4"/>
    <w:rsid w:val="003C72CF"/>
    <w:rsid w:val="003F4C80"/>
    <w:rsid w:val="0041339F"/>
    <w:rsid w:val="00441C3B"/>
    <w:rsid w:val="00446FE5"/>
    <w:rsid w:val="00452396"/>
    <w:rsid w:val="00476F99"/>
    <w:rsid w:val="004E307E"/>
    <w:rsid w:val="004E468C"/>
    <w:rsid w:val="005505B7"/>
    <w:rsid w:val="00573BE5"/>
    <w:rsid w:val="00586ED3"/>
    <w:rsid w:val="00596AA9"/>
    <w:rsid w:val="005A11E3"/>
    <w:rsid w:val="005D6D16"/>
    <w:rsid w:val="005F26E5"/>
    <w:rsid w:val="006131A3"/>
    <w:rsid w:val="006C0E3B"/>
    <w:rsid w:val="0071601D"/>
    <w:rsid w:val="007A1857"/>
    <w:rsid w:val="007A411F"/>
    <w:rsid w:val="007A5FC4"/>
    <w:rsid w:val="007A62E6"/>
    <w:rsid w:val="007C52C0"/>
    <w:rsid w:val="008045ED"/>
    <w:rsid w:val="0080684C"/>
    <w:rsid w:val="00806E9E"/>
    <w:rsid w:val="0081075B"/>
    <w:rsid w:val="00871C75"/>
    <w:rsid w:val="008751E7"/>
    <w:rsid w:val="008776DC"/>
    <w:rsid w:val="008B78B2"/>
    <w:rsid w:val="008D6B3F"/>
    <w:rsid w:val="0090540F"/>
    <w:rsid w:val="009705C8"/>
    <w:rsid w:val="009C1CF4"/>
    <w:rsid w:val="00A06579"/>
    <w:rsid w:val="00A14420"/>
    <w:rsid w:val="00A30353"/>
    <w:rsid w:val="00AA0203"/>
    <w:rsid w:val="00AB399F"/>
    <w:rsid w:val="00AC3823"/>
    <w:rsid w:val="00AE323C"/>
    <w:rsid w:val="00B00181"/>
    <w:rsid w:val="00B00B0D"/>
    <w:rsid w:val="00B35CB3"/>
    <w:rsid w:val="00B61815"/>
    <w:rsid w:val="00B765F7"/>
    <w:rsid w:val="00BA0CA9"/>
    <w:rsid w:val="00BD6587"/>
    <w:rsid w:val="00C02897"/>
    <w:rsid w:val="00C554CE"/>
    <w:rsid w:val="00C96DE3"/>
    <w:rsid w:val="00CE26D2"/>
    <w:rsid w:val="00D3439C"/>
    <w:rsid w:val="00D47864"/>
    <w:rsid w:val="00D503D3"/>
    <w:rsid w:val="00DB1831"/>
    <w:rsid w:val="00DC1882"/>
    <w:rsid w:val="00DC7782"/>
    <w:rsid w:val="00DD3BFD"/>
    <w:rsid w:val="00DF5712"/>
    <w:rsid w:val="00DF6678"/>
    <w:rsid w:val="00E146C5"/>
    <w:rsid w:val="00E96BD6"/>
    <w:rsid w:val="00EA3C11"/>
    <w:rsid w:val="00EB34E6"/>
    <w:rsid w:val="00ED5F56"/>
    <w:rsid w:val="00EE22F9"/>
    <w:rsid w:val="00EF2E22"/>
    <w:rsid w:val="00F274A2"/>
    <w:rsid w:val="00F660DF"/>
    <w:rsid w:val="00F77613"/>
    <w:rsid w:val="00F95C08"/>
    <w:rsid w:val="00FA5E3F"/>
    <w:rsid w:val="00FC4B6D"/>
    <w:rsid w:val="00FE480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3BB74"/>
  <w15:docId w15:val="{1995C0DB-897C-415E-BA17-F10D149C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C4B6D"/>
    <w:rPr>
      <w:rFonts w:ascii="Times New Roman" w:eastAsiaTheme="minorHAnsi" w:hAnsi="Times New Roman" w:cs="Times New Roman"/>
      <w:sz w:val="20"/>
      <w:szCs w:val="20"/>
      <w:lang w:eastAsia="en-US"/>
    </w:rPr>
  </w:style>
  <w:style w:type="table" w:styleId="Effetsdetableau3D1">
    <w:name w:val="Table 3D effects 1"/>
    <w:basedOn w:val="TableauNormal"/>
    <w:semiHidden/>
    <w:rsid w:val="00EA3C11"/>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EA3C11"/>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EA3C11"/>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EA3C11"/>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EA3C11"/>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EA3C11"/>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EA3C11"/>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EA3C11"/>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EA3C11"/>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EA3C11"/>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EA3C11"/>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EA3C11"/>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semiHidden/>
    <w:rsid w:val="00EA3C11"/>
    <w:pPr>
      <w:spacing w:after="0" w:line="240" w:lineRule="auto"/>
    </w:pPr>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arhusclearinghouse.unece.org/"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ublicadministration.un.org/fr/ict4d" TargetMode="External"/><Relationship Id="rId3" Type="http://schemas.openxmlformats.org/officeDocument/2006/relationships/hyperlink" Target="http://www.frontlinedefenders.org/sites/default/files/global_analysis_2018.pdf" TargetMode="External"/><Relationship Id="rId7" Type="http://schemas.openxmlformats.org/officeDocument/2006/relationships/hyperlink" Target="https://www.ohchr.org/FR/HRBodies/SP/Pages/Welcomepage.aspx" TargetMode="External"/><Relationship Id="rId12" Type="http://schemas.openxmlformats.org/officeDocument/2006/relationships/hyperlink" Target="https://www.cbd.int/nbsap/" TargetMode="External"/><Relationship Id="rId2" Type="http://schemas.openxmlformats.org/officeDocument/2006/relationships/hyperlink" Target="https://crudeaccountability.org/wp-content/uploads/Report_DangerousWork_compressed_for_web.pdf" TargetMode="External"/><Relationship Id="rId1" Type="http://schemas.openxmlformats.org/officeDocument/2006/relationships/hyperlink" Target="https://unece.org/environment-policy/public-participation/consultation-draft-documents-aarhus-convention-mop7" TargetMode="External"/><Relationship Id="rId6" Type="http://schemas.openxmlformats.org/officeDocument/2006/relationships/hyperlink" Target="https://www.ohchr.org/FR/hrbodies/upr/pages/UPRMain.aspx" TargetMode="External"/><Relationship Id="rId11" Type="http://schemas.openxmlformats.org/officeDocument/2006/relationships/hyperlink" Target="https://ec.europa.eu/digital-single-market/en/open-data" TargetMode="External"/><Relationship Id="rId5" Type="http://schemas.openxmlformats.org/officeDocument/2006/relationships/hyperlink" Target="https://ec.europa.eu/info/strategy/priorities-2019-2024/european-green-deal_fr" TargetMode="External"/><Relationship Id="rId10" Type="http://schemas.openxmlformats.org/officeDocument/2006/relationships/hyperlink" Target="http://www.oecd.org/gov/digital-government/open-government-data.htm" TargetMode="External"/><Relationship Id="rId4" Type="http://schemas.openxmlformats.org/officeDocument/2006/relationships/hyperlink" Target="https://www.frontlinedefenders.org/sites/default/files/fld_global_analysis_2020.pdf" TargetMode="External"/><Relationship Id="rId9" Type="http://schemas.openxmlformats.org/officeDocument/2006/relationships/hyperlink" Target="http://www.oecd.org/fr/gov/gouvernement-ouve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27</Pages>
  <Words>10347</Words>
  <Characters>55075</Characters>
  <Application>Microsoft Office Word</Application>
  <DocSecurity>0</DocSecurity>
  <Lines>1922</Lines>
  <Paragraphs>938</Paragraphs>
  <ScaleCrop>false</ScaleCrop>
  <HeadingPairs>
    <vt:vector size="2" baseType="variant">
      <vt:variant>
        <vt:lpstr>Titre</vt:lpstr>
      </vt:variant>
      <vt:variant>
        <vt:i4>1</vt:i4>
      </vt:variant>
    </vt:vector>
  </HeadingPairs>
  <TitlesOfParts>
    <vt:vector size="1" baseType="lpstr">
      <vt:lpstr>ECE/MP.PP/WG.1/2021/8</vt:lpstr>
    </vt:vector>
  </TitlesOfParts>
  <Company>DCM</Company>
  <LinksUpToDate>false</LinksUpToDate>
  <CharactersWithSpaces>64588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ECE/MP.PP/WG.1/2021/8</dc:title>
  <dc:subject/>
  <dc:creator>Marie DESCHAMPS</dc:creator>
  <cp:keywords/>
  <cp:lastModifiedBy>Marie DESCHAMPS</cp:lastModifiedBy>
  <cp:revision>2</cp:revision>
  <cp:lastPrinted>2014-05-14T10:59:00Z</cp:lastPrinted>
  <dcterms:created xsi:type="dcterms:W3CDTF">2021-04-27T14:36:00Z</dcterms:created>
  <dcterms:modified xsi:type="dcterms:W3CDTF">2021-04-27T14:36:00Z</dcterms:modified>
</cp:coreProperties>
</file>