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1587E9" w14:textId="77777777" w:rsidTr="00B20551">
        <w:trPr>
          <w:cantSplit/>
          <w:trHeight w:hRule="exact" w:val="851"/>
        </w:trPr>
        <w:tc>
          <w:tcPr>
            <w:tcW w:w="1276" w:type="dxa"/>
            <w:tcBorders>
              <w:bottom w:val="single" w:sz="4" w:space="0" w:color="auto"/>
            </w:tcBorders>
            <w:vAlign w:val="bottom"/>
          </w:tcPr>
          <w:p w14:paraId="25DEBD35" w14:textId="77777777" w:rsidR="009E6CB7" w:rsidRDefault="009E6CB7" w:rsidP="00B20551">
            <w:pPr>
              <w:spacing w:after="80"/>
            </w:pPr>
          </w:p>
        </w:tc>
        <w:tc>
          <w:tcPr>
            <w:tcW w:w="2268" w:type="dxa"/>
            <w:tcBorders>
              <w:bottom w:val="single" w:sz="4" w:space="0" w:color="auto"/>
            </w:tcBorders>
            <w:vAlign w:val="bottom"/>
          </w:tcPr>
          <w:p w14:paraId="6D0D506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D34BF3" w14:textId="77777777" w:rsidR="009E6CB7" w:rsidRPr="00D47EEA" w:rsidRDefault="00D5202C" w:rsidP="00D5202C">
            <w:pPr>
              <w:jc w:val="right"/>
            </w:pPr>
            <w:r w:rsidRPr="00D5202C">
              <w:rPr>
                <w:sz w:val="40"/>
              </w:rPr>
              <w:t>ECE</w:t>
            </w:r>
            <w:r>
              <w:t>/</w:t>
            </w:r>
            <w:proofErr w:type="gramStart"/>
            <w:r>
              <w:t>MP.PP</w:t>
            </w:r>
            <w:proofErr w:type="gramEnd"/>
            <w:r>
              <w:t>/WG.1/2021/21</w:t>
            </w:r>
          </w:p>
        </w:tc>
      </w:tr>
      <w:tr w:rsidR="009E6CB7" w14:paraId="4BE1F1C2" w14:textId="77777777" w:rsidTr="00B20551">
        <w:trPr>
          <w:cantSplit/>
          <w:trHeight w:hRule="exact" w:val="2835"/>
        </w:trPr>
        <w:tc>
          <w:tcPr>
            <w:tcW w:w="1276" w:type="dxa"/>
            <w:tcBorders>
              <w:top w:val="single" w:sz="4" w:space="0" w:color="auto"/>
              <w:bottom w:val="single" w:sz="12" w:space="0" w:color="auto"/>
            </w:tcBorders>
          </w:tcPr>
          <w:p w14:paraId="280BDF4C" w14:textId="77777777" w:rsidR="009E6CB7" w:rsidRDefault="00686A48" w:rsidP="00B20551">
            <w:pPr>
              <w:spacing w:before="120"/>
            </w:pPr>
            <w:r>
              <w:rPr>
                <w:noProof/>
                <w:lang w:val="fr-CH" w:eastAsia="fr-CH"/>
              </w:rPr>
              <w:drawing>
                <wp:inline distT="0" distB="0" distL="0" distR="0" wp14:anchorId="6555A298" wp14:editId="214B98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821E9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DC07E8" w14:textId="77777777" w:rsidR="009E6CB7" w:rsidRDefault="00D5202C" w:rsidP="00D5202C">
            <w:pPr>
              <w:spacing w:before="240" w:line="240" w:lineRule="exact"/>
            </w:pPr>
            <w:r>
              <w:t>Distr.: General</w:t>
            </w:r>
          </w:p>
          <w:p w14:paraId="40281796" w14:textId="6B8917FD" w:rsidR="00D5202C" w:rsidRDefault="00612739" w:rsidP="00D5202C">
            <w:pPr>
              <w:spacing w:line="240" w:lineRule="exact"/>
            </w:pPr>
            <w:r>
              <w:t>10</w:t>
            </w:r>
            <w:r w:rsidR="00D5202C">
              <w:t xml:space="preserve"> March 2021</w:t>
            </w:r>
          </w:p>
          <w:p w14:paraId="5D1DBA32" w14:textId="77777777" w:rsidR="00D5202C" w:rsidRDefault="00D5202C" w:rsidP="00D5202C">
            <w:pPr>
              <w:spacing w:line="240" w:lineRule="exact"/>
            </w:pPr>
          </w:p>
          <w:p w14:paraId="587CEECC" w14:textId="77777777" w:rsidR="00D5202C" w:rsidRDefault="00D5202C" w:rsidP="00D5202C">
            <w:pPr>
              <w:spacing w:line="240" w:lineRule="exact"/>
            </w:pPr>
            <w:r>
              <w:t>Original: English</w:t>
            </w:r>
          </w:p>
        </w:tc>
      </w:tr>
    </w:tbl>
    <w:p w14:paraId="4D434AF2" w14:textId="77777777" w:rsidR="00D5202C" w:rsidRPr="004F5C50" w:rsidRDefault="00D5202C" w:rsidP="0066654F">
      <w:pPr>
        <w:spacing w:before="120"/>
        <w:rPr>
          <w:b/>
          <w:bCs/>
          <w:sz w:val="28"/>
          <w:szCs w:val="28"/>
        </w:rPr>
      </w:pPr>
      <w:r w:rsidRPr="004F5C50">
        <w:rPr>
          <w:b/>
          <w:bCs/>
          <w:sz w:val="28"/>
          <w:szCs w:val="28"/>
        </w:rPr>
        <w:t>Economic Commission for Europe</w:t>
      </w:r>
    </w:p>
    <w:p w14:paraId="299F0C58" w14:textId="77777777" w:rsidR="00D5202C" w:rsidRPr="004F5C50" w:rsidRDefault="00D5202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r>
      <w:bookmarkStart w:id="0" w:name="_GoBack"/>
      <w:r w:rsidRPr="004F5C50">
        <w:rPr>
          <w:sz w:val="28"/>
          <w:szCs w:val="28"/>
        </w:rPr>
        <w:t>i</w:t>
      </w:r>
      <w:bookmarkEnd w:id="0"/>
      <w:r w:rsidRPr="004F5C50">
        <w:rPr>
          <w:sz w:val="28"/>
          <w:szCs w:val="28"/>
        </w:rPr>
        <w:t>n Environmental Matters</w:t>
      </w:r>
    </w:p>
    <w:p w14:paraId="55A94B0F" w14:textId="77777777" w:rsidR="00D5202C" w:rsidRPr="004F5C50" w:rsidRDefault="00D5202C" w:rsidP="0066654F">
      <w:pPr>
        <w:spacing w:before="120"/>
        <w:rPr>
          <w:b/>
          <w:sz w:val="24"/>
          <w:szCs w:val="24"/>
        </w:rPr>
      </w:pPr>
      <w:r w:rsidRPr="004F5C50">
        <w:rPr>
          <w:b/>
          <w:sz w:val="24"/>
          <w:szCs w:val="24"/>
        </w:rPr>
        <w:t>Working Group of the Parties</w:t>
      </w:r>
    </w:p>
    <w:p w14:paraId="3B577615" w14:textId="77777777" w:rsidR="00D5202C" w:rsidRPr="00BC6A41" w:rsidRDefault="00D5202C" w:rsidP="00D5202C">
      <w:pPr>
        <w:spacing w:before="120"/>
        <w:rPr>
          <w:b/>
          <w:bCs/>
        </w:rPr>
      </w:pPr>
      <w:r w:rsidRPr="00BC6A41">
        <w:rPr>
          <w:b/>
        </w:rPr>
        <w:t>Twenty-fifth meeting</w:t>
      </w:r>
    </w:p>
    <w:p w14:paraId="2559C977" w14:textId="77777777" w:rsidR="00D5202C" w:rsidRPr="0020650D" w:rsidRDefault="00D5202C" w:rsidP="00D5202C">
      <w:r w:rsidRPr="0020650D">
        <w:t>Geneva, 3 May and 7</w:t>
      </w:r>
      <w:r>
        <w:t xml:space="preserve"> and </w:t>
      </w:r>
      <w:r w:rsidRPr="0020650D">
        <w:t>8 June 2021</w:t>
      </w:r>
    </w:p>
    <w:p w14:paraId="36047DAA" w14:textId="62094195" w:rsidR="001C6663" w:rsidRDefault="00D5202C" w:rsidP="00D5202C">
      <w:pPr>
        <w:rPr>
          <w:b/>
          <w:bCs/>
        </w:rPr>
      </w:pPr>
      <w:r w:rsidRPr="00BC6A41">
        <w:t xml:space="preserve">Item </w:t>
      </w:r>
      <w:r>
        <w:t>9 (f)</w:t>
      </w:r>
      <w:r w:rsidRPr="00BC6A41">
        <w:t xml:space="preserve"> of the provisional agenda</w:t>
      </w:r>
      <w:r>
        <w:br/>
      </w:r>
      <w:r w:rsidRPr="00E82639">
        <w:rPr>
          <w:b/>
          <w:bCs/>
        </w:rPr>
        <w:t>Preparations for the seventh session</w:t>
      </w:r>
      <w:r>
        <w:rPr>
          <w:b/>
          <w:bCs/>
        </w:rPr>
        <w:t xml:space="preserve"> </w:t>
      </w:r>
      <w:r w:rsidRPr="00E82639">
        <w:rPr>
          <w:b/>
          <w:bCs/>
        </w:rPr>
        <w:t xml:space="preserve">of the </w:t>
      </w:r>
      <w:r>
        <w:rPr>
          <w:b/>
          <w:bCs/>
        </w:rPr>
        <w:br/>
      </w:r>
      <w:r w:rsidRPr="00E82639">
        <w:rPr>
          <w:b/>
          <w:bCs/>
        </w:rPr>
        <w:t>Meeting of the Parties:</w:t>
      </w:r>
      <w:r>
        <w:rPr>
          <w:b/>
          <w:bCs/>
        </w:rPr>
        <w:t xml:space="preserve"> a</w:t>
      </w:r>
      <w:r w:rsidRPr="005E181C">
        <w:rPr>
          <w:b/>
          <w:bCs/>
        </w:rPr>
        <w:t>ccession by</w:t>
      </w:r>
      <w:r>
        <w:rPr>
          <w:b/>
          <w:bCs/>
        </w:rPr>
        <w:t xml:space="preserve"> Guinea-Bissau</w:t>
      </w:r>
    </w:p>
    <w:p w14:paraId="53ADD3BC" w14:textId="2E89C809" w:rsidR="00D5202C" w:rsidRPr="0046634E" w:rsidRDefault="00D5202C" w:rsidP="00D5202C">
      <w:pPr>
        <w:pStyle w:val="HChG"/>
      </w:pPr>
      <w:r>
        <w:tab/>
      </w:r>
      <w:r>
        <w:tab/>
      </w:r>
      <w:r w:rsidRPr="00BC6A41">
        <w:t xml:space="preserve">Draft </w:t>
      </w:r>
      <w:r w:rsidRPr="00D5202C">
        <w:t>Decision</w:t>
      </w:r>
      <w:r w:rsidRPr="00BC6A41">
        <w:t xml:space="preserve"> VII/… </w:t>
      </w:r>
      <w:r w:rsidRPr="0046634E">
        <w:t>on accession of Guinea-Bissau</w:t>
      </w:r>
      <w:r>
        <w:br/>
      </w:r>
      <w:r w:rsidRPr="0046634E">
        <w:t>to the Convention</w:t>
      </w:r>
      <w:r w:rsidR="000C366B" w:rsidRPr="000C366B">
        <w:rPr>
          <w:rStyle w:val="FootnoteReference"/>
          <w:sz w:val="20"/>
          <w:vertAlign w:val="baseline"/>
        </w:rPr>
        <w:footnoteReference w:customMarkFollows="1" w:id="2"/>
        <w:t>*</w:t>
      </w:r>
    </w:p>
    <w:p w14:paraId="4EA0B740" w14:textId="77777777" w:rsidR="00D5202C" w:rsidRPr="00BC6A41" w:rsidRDefault="00D5202C" w:rsidP="00D5202C">
      <w:pPr>
        <w:pStyle w:val="H1G"/>
      </w:pPr>
      <w:r w:rsidRPr="00BC6A41">
        <w:tab/>
      </w:r>
      <w:r w:rsidRPr="00BC6A41">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5202C" w:rsidRPr="00BC6A41" w14:paraId="350E2B98" w14:textId="77777777" w:rsidTr="003602AA">
        <w:trPr>
          <w:jc w:val="center"/>
        </w:trPr>
        <w:tc>
          <w:tcPr>
            <w:tcW w:w="9629" w:type="dxa"/>
            <w:tcBorders>
              <w:top w:val="single" w:sz="4" w:space="0" w:color="auto"/>
              <w:bottom w:val="nil"/>
            </w:tcBorders>
            <w:shd w:val="clear" w:color="auto" w:fill="auto"/>
          </w:tcPr>
          <w:p w14:paraId="06A2F7EE" w14:textId="77777777" w:rsidR="00D5202C" w:rsidRPr="00BC6A41" w:rsidRDefault="00D5202C" w:rsidP="003602AA">
            <w:pPr>
              <w:spacing w:before="240" w:after="120"/>
              <w:ind w:left="255"/>
              <w:rPr>
                <w:i/>
                <w:sz w:val="24"/>
              </w:rPr>
            </w:pPr>
            <w:r w:rsidRPr="00BC6A41">
              <w:rPr>
                <w:i/>
                <w:sz w:val="24"/>
              </w:rPr>
              <w:t>Summary</w:t>
            </w:r>
          </w:p>
        </w:tc>
      </w:tr>
      <w:tr w:rsidR="00D5202C" w:rsidRPr="00BC6A41" w14:paraId="65F93AED" w14:textId="77777777" w:rsidTr="003602AA">
        <w:trPr>
          <w:jc w:val="center"/>
        </w:trPr>
        <w:tc>
          <w:tcPr>
            <w:tcW w:w="9629" w:type="dxa"/>
            <w:tcBorders>
              <w:top w:val="nil"/>
              <w:bottom w:val="nil"/>
            </w:tcBorders>
            <w:shd w:val="clear" w:color="auto" w:fill="auto"/>
          </w:tcPr>
          <w:p w14:paraId="53A69287" w14:textId="77777777" w:rsidR="00D5202C" w:rsidRDefault="00D5202C" w:rsidP="00D5202C">
            <w:pPr>
              <w:pStyle w:val="SingleTxtG"/>
              <w:spacing w:after="60" w:line="240" w:lineRule="auto"/>
            </w:pPr>
            <w:r w:rsidRPr="00BC6A41">
              <w:tab/>
            </w:r>
            <w:r w:rsidRPr="00BC6A41">
              <w:tab/>
            </w:r>
            <w:r w:rsidRPr="0046634E">
              <w:t xml:space="preserve">The present document sets out a draft decision on the </w:t>
            </w:r>
            <w:r w:rsidRPr="0046634E">
              <w:rPr>
                <w:rFonts w:asciiTheme="majorBidi" w:hAnsiTheme="majorBidi" w:cstheme="majorBidi"/>
              </w:rPr>
              <w:t xml:space="preserve">accession of Guinea-Bissau to the Convention </w:t>
            </w:r>
            <w:r w:rsidRPr="0046634E">
              <w:t>on Access to Information, Public Participation in Decision-making and Access to Justice in Environmental Matters (Aarhus Convention). The document is prepared pursuant</w:t>
            </w:r>
            <w:r>
              <w:t xml:space="preserve"> to</w:t>
            </w:r>
            <w:r w:rsidRPr="0046634E">
              <w:t xml:space="preserve"> </w:t>
            </w:r>
            <w:r w:rsidRPr="00CD574A">
              <w:rPr>
                <w:rFonts w:asciiTheme="majorBidi" w:hAnsiTheme="majorBidi" w:cstheme="majorBidi"/>
              </w:rPr>
              <w:t>decision IV/5 on accession to the Convention by non-</w:t>
            </w:r>
            <w:r>
              <w:rPr>
                <w:rFonts w:asciiTheme="majorBidi" w:hAnsiTheme="majorBidi" w:cstheme="majorBidi"/>
              </w:rPr>
              <w:t>United Nations Economic Commission for Europe</w:t>
            </w:r>
            <w:r w:rsidRPr="00CD574A">
              <w:rPr>
                <w:rFonts w:asciiTheme="majorBidi" w:hAnsiTheme="majorBidi" w:cstheme="majorBidi"/>
              </w:rPr>
              <w:t xml:space="preserve"> member States (</w:t>
            </w:r>
            <w:r w:rsidRPr="00CD574A">
              <w:t>ECE/MP.PP/2011/2/Add.1</w:t>
            </w:r>
            <w:r w:rsidRPr="00CD574A">
              <w:rPr>
                <w:rFonts w:asciiTheme="majorBidi" w:hAnsiTheme="majorBidi" w:cstheme="majorBidi"/>
              </w:rPr>
              <w:t xml:space="preserve">) adopted by the </w:t>
            </w:r>
            <w:r>
              <w:rPr>
                <w:rFonts w:asciiTheme="majorBidi" w:hAnsiTheme="majorBidi" w:cstheme="majorBidi"/>
              </w:rPr>
              <w:t xml:space="preserve">Convention’s </w:t>
            </w:r>
            <w:r w:rsidRPr="00CD574A">
              <w:rPr>
                <w:rFonts w:asciiTheme="majorBidi" w:hAnsiTheme="majorBidi" w:cstheme="majorBidi"/>
              </w:rPr>
              <w:t>Meeting of the Parties at its fourth session (Chisinau, 29 June–1 July 2011)</w:t>
            </w:r>
            <w:r>
              <w:rPr>
                <w:rFonts w:asciiTheme="majorBidi" w:hAnsiTheme="majorBidi" w:cstheme="majorBidi"/>
              </w:rPr>
              <w:t xml:space="preserve"> and </w:t>
            </w:r>
            <w:r w:rsidRPr="0046634E">
              <w:t xml:space="preserve">to the </w:t>
            </w:r>
            <w:r w:rsidRPr="0046634E">
              <w:rPr>
                <w:rFonts w:asciiTheme="majorBidi" w:hAnsiTheme="majorBidi" w:cstheme="majorBidi"/>
              </w:rPr>
              <w:t>note on the expression of intention by Guinea-Bissau to accede to the Convention (ECE/MP.PP/WG.1/2020/12) submitted by the secretariat</w:t>
            </w:r>
            <w:r w:rsidRPr="0046634E">
              <w:rPr>
                <w:rFonts w:asciiTheme="majorBidi" w:hAnsiTheme="majorBidi" w:cstheme="majorBidi"/>
                <w:i/>
                <w:iCs/>
              </w:rPr>
              <w:t xml:space="preserve"> </w:t>
            </w:r>
            <w:r w:rsidRPr="0046634E">
              <w:rPr>
                <w:rFonts w:asciiTheme="majorBidi" w:hAnsiTheme="majorBidi" w:cstheme="majorBidi"/>
              </w:rPr>
              <w:t xml:space="preserve">to the </w:t>
            </w:r>
            <w:r w:rsidRPr="0046634E">
              <w:t>Working Group of the Parties to the Convention at its twenty-fourth meetin</w:t>
            </w:r>
            <w:r w:rsidRPr="00BC6A41">
              <w:t>g (</w:t>
            </w:r>
            <w:r>
              <w:t xml:space="preserve">Geneva (online), </w:t>
            </w:r>
            <w:r w:rsidRPr="00BC6A41">
              <w:t>1</w:t>
            </w:r>
            <w:r w:rsidRPr="00AB1F57">
              <w:t>–</w:t>
            </w:r>
            <w:r w:rsidRPr="00BC6A41">
              <w:t xml:space="preserve">3 July 2020 and </w:t>
            </w:r>
            <w:r>
              <w:t xml:space="preserve">Geneva (hybrid), </w:t>
            </w:r>
            <w:r w:rsidRPr="00BC6A41">
              <w:t>29</w:t>
            </w:r>
            <w:r>
              <w:t xml:space="preserve"> and </w:t>
            </w:r>
            <w:r w:rsidRPr="00BC6A41">
              <w:t>30 October 2020</w:t>
            </w:r>
            <w:r>
              <w:t>).</w:t>
            </w:r>
          </w:p>
          <w:p w14:paraId="73DC5015" w14:textId="7838ADAE" w:rsidR="00D5202C" w:rsidRPr="00BC6A41" w:rsidRDefault="00D5202C" w:rsidP="00D5202C">
            <w:pPr>
              <w:pStyle w:val="SingleTxtG"/>
              <w:spacing w:after="60" w:line="240" w:lineRule="auto"/>
            </w:pPr>
            <w:r>
              <w:tab/>
            </w:r>
            <w:r>
              <w:tab/>
            </w:r>
            <w:r w:rsidRPr="00BC6A41">
              <w:t xml:space="preserve">There </w:t>
            </w:r>
            <w:r>
              <w:t>were</w:t>
            </w:r>
            <w:r w:rsidRPr="00BC6A41">
              <w:t xml:space="preserve"> opportunities for open-ended consultations among national focal points and stakeholders on the present draft document after the twenty-fourth meeting of the Working Group. The Bureau revise</w:t>
            </w:r>
            <w:r>
              <w:t>d</w:t>
            </w:r>
            <w:r w:rsidRPr="00BC6A41">
              <w:t xml:space="preserve"> the draft document thereafter in the light of the comments received and </w:t>
            </w:r>
            <w:r>
              <w:t>s</w:t>
            </w:r>
            <w:r w:rsidRPr="00BC6A41">
              <w:t>ubmit</w:t>
            </w:r>
            <w:r>
              <w:t>ted</w:t>
            </w:r>
            <w:r w:rsidRPr="00BC6A41">
              <w:t xml:space="preserve"> it to the Working Group for consideration and approval at its twenty-fifth meeting, with a view to its subsequent submission to the Meeting of the Parties for consideration at its seventh session.</w:t>
            </w:r>
          </w:p>
        </w:tc>
      </w:tr>
      <w:tr w:rsidR="00D5202C" w:rsidRPr="00BC6A41" w14:paraId="00E0128D" w14:textId="77777777" w:rsidTr="003602AA">
        <w:trPr>
          <w:jc w:val="center"/>
        </w:trPr>
        <w:tc>
          <w:tcPr>
            <w:tcW w:w="9629" w:type="dxa"/>
            <w:tcBorders>
              <w:top w:val="nil"/>
              <w:bottom w:val="single" w:sz="4" w:space="0" w:color="auto"/>
            </w:tcBorders>
            <w:shd w:val="clear" w:color="auto" w:fill="auto"/>
          </w:tcPr>
          <w:p w14:paraId="25567555" w14:textId="77777777" w:rsidR="00D5202C" w:rsidRPr="00BC6A41" w:rsidRDefault="00D5202C" w:rsidP="003602AA">
            <w:pPr>
              <w:pStyle w:val="SingleTxtG"/>
              <w:spacing w:after="60" w:line="240" w:lineRule="auto"/>
            </w:pPr>
          </w:p>
        </w:tc>
      </w:tr>
    </w:tbl>
    <w:p w14:paraId="2F346871" w14:textId="5A321F77" w:rsidR="00D5202C" w:rsidRDefault="00D5202C" w:rsidP="00D5202C">
      <w:pPr>
        <w:pStyle w:val="Default"/>
        <w:rPr>
          <w:rFonts w:asciiTheme="majorBidi" w:hAnsiTheme="majorBidi" w:cstheme="majorBidi"/>
          <w:b/>
          <w:bCs/>
        </w:rPr>
      </w:pPr>
    </w:p>
    <w:p w14:paraId="4FEDF31E" w14:textId="77777777" w:rsidR="00D5202C" w:rsidRDefault="00D5202C">
      <w:pPr>
        <w:suppressAutoHyphens w:val="0"/>
        <w:spacing w:line="240" w:lineRule="auto"/>
        <w:rPr>
          <w:rFonts w:asciiTheme="majorBidi" w:eastAsiaTheme="minorEastAsia" w:hAnsiTheme="majorBidi" w:cstheme="majorBidi"/>
          <w:b/>
          <w:bCs/>
          <w:color w:val="000000"/>
          <w:sz w:val="24"/>
          <w:szCs w:val="24"/>
          <w:lang w:eastAsia="zh-CN"/>
        </w:rPr>
      </w:pPr>
      <w:r>
        <w:rPr>
          <w:rFonts w:asciiTheme="majorBidi" w:hAnsiTheme="majorBidi" w:cstheme="majorBidi"/>
          <w:b/>
          <w:bCs/>
        </w:rPr>
        <w:br w:type="page"/>
      </w:r>
    </w:p>
    <w:p w14:paraId="4C31E39B" w14:textId="77777777" w:rsidR="00D5202C" w:rsidRPr="00D5202C" w:rsidRDefault="00D5202C" w:rsidP="00D5202C">
      <w:pPr>
        <w:pStyle w:val="SingleTxtG"/>
        <w:ind w:firstLine="567"/>
        <w:rPr>
          <w:i/>
          <w:iCs/>
        </w:rPr>
      </w:pPr>
      <w:r w:rsidRPr="00D5202C">
        <w:rPr>
          <w:i/>
          <w:iCs/>
        </w:rPr>
        <w:lastRenderedPageBreak/>
        <w:t xml:space="preserve">The Meeting of the Parties, </w:t>
      </w:r>
    </w:p>
    <w:p w14:paraId="553BB5BF" w14:textId="34073688" w:rsidR="00D5202C" w:rsidRPr="00CD574A" w:rsidRDefault="00D5202C" w:rsidP="00D5202C">
      <w:pPr>
        <w:pStyle w:val="SingleTxtG"/>
      </w:pPr>
      <w:r>
        <w:rPr>
          <w:i/>
          <w:iCs/>
        </w:rPr>
        <w:tab/>
      </w:r>
      <w:r>
        <w:rPr>
          <w:i/>
          <w:iCs/>
        </w:rPr>
        <w:tab/>
      </w:r>
      <w:r w:rsidRPr="00CD574A">
        <w:rPr>
          <w:i/>
          <w:iCs/>
        </w:rPr>
        <w:t>Recalling</w:t>
      </w:r>
      <w:r w:rsidRPr="00CD574A">
        <w:t xml:space="preserve"> article 19 </w:t>
      </w:r>
      <w:r>
        <w:t>(</w:t>
      </w:r>
      <w:r w:rsidRPr="00CD574A">
        <w:t>3</w:t>
      </w:r>
      <w:r>
        <w:t>)</w:t>
      </w:r>
      <w:r w:rsidRPr="00CD574A">
        <w:t xml:space="preserve"> of the Convention on Access to Information, Public Participation in Decision-making and Access to Justice in Environmental Matters, which provides for the possibility of States from outside the United Nations Economic Commission for Europe (ECE) region becoming Parties to the Convention upon approval by the Meeting of the Parties, </w:t>
      </w:r>
    </w:p>
    <w:p w14:paraId="6EB83A00" w14:textId="5905337E" w:rsidR="00D5202C" w:rsidRPr="00CD574A" w:rsidRDefault="00D5202C" w:rsidP="00D5202C">
      <w:pPr>
        <w:pStyle w:val="SingleTxtG"/>
        <w:rPr>
          <w:i/>
          <w:iCs/>
        </w:rPr>
      </w:pPr>
      <w:r>
        <w:rPr>
          <w:i/>
          <w:iCs/>
        </w:rPr>
        <w:tab/>
      </w:r>
      <w:r>
        <w:rPr>
          <w:i/>
          <w:iCs/>
        </w:rPr>
        <w:tab/>
      </w:r>
      <w:r w:rsidRPr="00CD574A">
        <w:rPr>
          <w:i/>
          <w:iCs/>
        </w:rPr>
        <w:t>Recalling also</w:t>
      </w:r>
      <w:r w:rsidRPr="00CD574A">
        <w:t xml:space="preserve"> that, over the years, the Parties to the Convention have expressed their support for accession to the Convention by States from outside the ECE region,</w:t>
      </w:r>
    </w:p>
    <w:p w14:paraId="2C95F522" w14:textId="75430608" w:rsidR="00D5202C" w:rsidRPr="00CD574A" w:rsidRDefault="00D5202C" w:rsidP="00D5202C">
      <w:pPr>
        <w:pStyle w:val="SingleTxtG"/>
        <w:rPr>
          <w:i/>
          <w:iCs/>
        </w:rPr>
      </w:pPr>
      <w:r>
        <w:rPr>
          <w:i/>
          <w:iCs/>
        </w:rPr>
        <w:tab/>
      </w:r>
      <w:r>
        <w:rPr>
          <w:i/>
          <w:iCs/>
        </w:rPr>
        <w:tab/>
      </w:r>
      <w:r w:rsidRPr="00CD574A">
        <w:rPr>
          <w:i/>
          <w:iCs/>
        </w:rPr>
        <w:t xml:space="preserve">Recalling further </w:t>
      </w:r>
      <w:r w:rsidRPr="00CD574A">
        <w:t>decision IV/5 on accession to the Convention by non-ECE member States</w:t>
      </w:r>
      <w:r>
        <w:t>,</w:t>
      </w:r>
      <w:r w:rsidRPr="00CD574A">
        <w:rPr>
          <w:rStyle w:val="FootnoteReference"/>
          <w:rFonts w:cstheme="majorBidi"/>
        </w:rPr>
        <w:footnoteReference w:id="3"/>
      </w:r>
      <w:r w:rsidRPr="00CD574A">
        <w:t xml:space="preserve"> adopted by the Meeting of the Parties at its fourth session,</w:t>
      </w:r>
    </w:p>
    <w:p w14:paraId="0FE9D8D2" w14:textId="0EBFE49E" w:rsidR="00D5202C" w:rsidRPr="00FD13B4" w:rsidRDefault="00D5202C" w:rsidP="00D5202C">
      <w:pPr>
        <w:pStyle w:val="SingleTxtG"/>
      </w:pPr>
      <w:r>
        <w:rPr>
          <w:i/>
          <w:iCs/>
        </w:rPr>
        <w:tab/>
      </w:r>
      <w:r>
        <w:rPr>
          <w:i/>
          <w:iCs/>
        </w:rPr>
        <w:tab/>
      </w:r>
      <w:r w:rsidRPr="00CD574A">
        <w:rPr>
          <w:i/>
          <w:iCs/>
        </w:rPr>
        <w:t xml:space="preserve">Acknowledging </w:t>
      </w:r>
      <w:r w:rsidRPr="00CD574A">
        <w:t>a note by the secretariat</w:t>
      </w:r>
      <w:r w:rsidRPr="00CD574A">
        <w:rPr>
          <w:i/>
          <w:iCs/>
        </w:rPr>
        <w:t xml:space="preserve"> </w:t>
      </w:r>
      <w:r w:rsidRPr="00CD574A">
        <w:t>on the expression of intention by Guinea-Bissau to accede to the Convention</w:t>
      </w:r>
      <w:r>
        <w:t>,</w:t>
      </w:r>
      <w:r w:rsidRPr="00CD574A">
        <w:rPr>
          <w:rStyle w:val="FootnoteReference"/>
          <w:rFonts w:cstheme="majorBidi"/>
        </w:rPr>
        <w:footnoteReference w:id="4"/>
      </w:r>
    </w:p>
    <w:p w14:paraId="192F9DFF" w14:textId="00B6FD87" w:rsidR="00D5202C" w:rsidRPr="00CD574A" w:rsidRDefault="00D5202C" w:rsidP="00D5202C">
      <w:pPr>
        <w:pStyle w:val="SingleTxtG"/>
      </w:pPr>
      <w:bookmarkStart w:id="1" w:name="_Hlk57124330"/>
      <w:r>
        <w:tab/>
      </w:r>
      <w:r>
        <w:tab/>
      </w:r>
      <w:r w:rsidRPr="00CD574A">
        <w:t>1.</w:t>
      </w:r>
      <w:r w:rsidRPr="00CD574A">
        <w:tab/>
      </w:r>
      <w:r>
        <w:rPr>
          <w:i/>
          <w:iCs/>
        </w:rPr>
        <w:t>Welcomes and a</w:t>
      </w:r>
      <w:r w:rsidRPr="00CD574A">
        <w:rPr>
          <w:i/>
          <w:iCs/>
        </w:rPr>
        <w:t>pproves</w:t>
      </w:r>
      <w:r w:rsidRPr="00CD574A">
        <w:t xml:space="preserve"> the accession of </w:t>
      </w:r>
      <w:r w:rsidRPr="00D5202C">
        <w:t>Guinea</w:t>
      </w:r>
      <w:r w:rsidRPr="00CD574A">
        <w:t>-Bissau to the Convention;</w:t>
      </w:r>
    </w:p>
    <w:p w14:paraId="52CD11D5" w14:textId="42237A8C"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2.</w:t>
      </w:r>
      <w:r w:rsidRPr="00CD574A">
        <w:rPr>
          <w:rFonts w:eastAsiaTheme="minorEastAsia"/>
          <w:lang w:eastAsia="zh-CN"/>
        </w:rPr>
        <w:tab/>
      </w:r>
      <w:r w:rsidRPr="00D5202C">
        <w:rPr>
          <w:i/>
          <w:iCs/>
        </w:rPr>
        <w:t xml:space="preserve">Requests </w:t>
      </w:r>
      <w:r w:rsidRPr="00D5202C">
        <w:t>the secretariat to inform the Treaty Section of the Office of Legal Affairs of this approval so that the appropriate arrangements can be made;</w:t>
      </w:r>
    </w:p>
    <w:bookmarkEnd w:id="1"/>
    <w:p w14:paraId="38A46ED1" w14:textId="1DF523E9"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3.</w:t>
      </w:r>
      <w:r w:rsidRPr="00CD574A">
        <w:rPr>
          <w:rFonts w:eastAsiaTheme="minorEastAsia"/>
          <w:lang w:eastAsia="zh-CN"/>
        </w:rPr>
        <w:tab/>
      </w:r>
      <w:r w:rsidRPr="00D5202C">
        <w:rPr>
          <w:i/>
          <w:iCs/>
        </w:rPr>
        <w:t>Calls upon</w:t>
      </w:r>
      <w:r w:rsidRPr="00D5202C">
        <w:t xml:space="preserve"> Parties, international financial institutions, international organizations and other interested actors to support the implementation of the Convention in Guinea-Bissau;</w:t>
      </w:r>
    </w:p>
    <w:p w14:paraId="773061A9" w14:textId="12F3FEEE"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4.</w:t>
      </w:r>
      <w:r w:rsidRPr="00CD574A">
        <w:rPr>
          <w:rFonts w:eastAsiaTheme="minorEastAsia"/>
          <w:lang w:eastAsia="zh-CN"/>
        </w:rPr>
        <w:tab/>
      </w:r>
      <w:r w:rsidRPr="00D5202C">
        <w:rPr>
          <w:i/>
          <w:iCs/>
        </w:rPr>
        <w:t xml:space="preserve"> Expresses </w:t>
      </w:r>
      <w:r w:rsidRPr="00D5202C">
        <w:t xml:space="preserve">its firm belief that being a Party to the Convention </w:t>
      </w:r>
      <w:r w:rsidRPr="00D5202C">
        <w:rPr>
          <w:noProof/>
          <w:lang w:val="en-US"/>
        </w:rPr>
        <w:t>brings tangible positive changes with regard to legislation and practice, with multiple effects not only for environmental protection but also for the social and economic aspects of people’s lives;</w:t>
      </w:r>
    </w:p>
    <w:p w14:paraId="50AB1568" w14:textId="2E69EE37"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5.</w:t>
      </w:r>
      <w:r w:rsidRPr="00CD574A">
        <w:rPr>
          <w:rFonts w:eastAsiaTheme="minorEastAsia"/>
          <w:lang w:eastAsia="zh-CN"/>
        </w:rPr>
        <w:tab/>
      </w:r>
      <w:r w:rsidRPr="00D5202C">
        <w:rPr>
          <w:i/>
          <w:iCs/>
        </w:rPr>
        <w:t>Encourages</w:t>
      </w:r>
      <w:r w:rsidRPr="00D5202C">
        <w:t xml:space="preserve"> other interested States to explore accession to the Convention;</w:t>
      </w:r>
    </w:p>
    <w:p w14:paraId="1825CB6C" w14:textId="11D43B0C" w:rsidR="00D5202C" w:rsidRDefault="000F70C4" w:rsidP="00D5202C">
      <w:pPr>
        <w:pStyle w:val="SingleTxtG"/>
      </w:pPr>
      <w:r>
        <w:rPr>
          <w:i/>
          <w:iCs/>
        </w:rPr>
        <w:tab/>
      </w:r>
      <w:r w:rsidR="00D5202C">
        <w:rPr>
          <w:i/>
          <w:iCs/>
        </w:rPr>
        <w:tab/>
      </w:r>
      <w:r w:rsidR="001D2631" w:rsidRPr="00183745">
        <w:t>6.</w:t>
      </w:r>
      <w:r w:rsidR="001D2631">
        <w:rPr>
          <w:i/>
          <w:iCs/>
        </w:rPr>
        <w:tab/>
      </w:r>
      <w:r w:rsidR="00D5202C" w:rsidRPr="00CD574A">
        <w:rPr>
          <w:i/>
          <w:iCs/>
        </w:rPr>
        <w:t xml:space="preserve">Calls </w:t>
      </w:r>
      <w:r w:rsidR="00D5202C" w:rsidRPr="00EC7273">
        <w:rPr>
          <w:i/>
          <w:iCs/>
        </w:rPr>
        <w:t>on</w:t>
      </w:r>
      <w:r w:rsidR="00D5202C" w:rsidRPr="00CD574A">
        <w:t xml:space="preserve"> Parties, international financial institutions, international organizations and other interested actors to strengthen cooperation with and support non-ECE countries interested in acceding to the Convention, with a view to promoting the mutual exchange of experience, as well as the application of the Convention beyond the ECE region.</w:t>
      </w:r>
    </w:p>
    <w:p w14:paraId="1C74C413" w14:textId="532A39C2" w:rsidR="009C6F18" w:rsidRDefault="000F70C4" w:rsidP="000F70C4">
      <w:pPr>
        <w:spacing w:before="240"/>
        <w:jc w:val="center"/>
        <w:rPr>
          <w:u w:val="single"/>
        </w:rPr>
      </w:pPr>
      <w:r>
        <w:rPr>
          <w:u w:val="single"/>
        </w:rPr>
        <w:tab/>
      </w:r>
      <w:r>
        <w:rPr>
          <w:u w:val="single"/>
        </w:rPr>
        <w:tab/>
      </w:r>
      <w:r>
        <w:rPr>
          <w:u w:val="single"/>
        </w:rPr>
        <w:tab/>
      </w:r>
    </w:p>
    <w:p w14:paraId="21CD11A2" w14:textId="77777777" w:rsidR="000F70C4" w:rsidRPr="000F70C4" w:rsidRDefault="000F70C4" w:rsidP="000F70C4">
      <w:pPr>
        <w:spacing w:before="240"/>
        <w:jc w:val="center"/>
        <w:rPr>
          <w:u w:val="single"/>
        </w:rPr>
      </w:pPr>
    </w:p>
    <w:sectPr w:rsidR="000F70C4" w:rsidRPr="000F70C4" w:rsidSect="00D5202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CE3C" w14:textId="77777777" w:rsidR="00D5202C" w:rsidRDefault="00D5202C"/>
  </w:endnote>
  <w:endnote w:type="continuationSeparator" w:id="0">
    <w:p w14:paraId="2B39712A" w14:textId="77777777" w:rsidR="00D5202C" w:rsidRDefault="00D5202C"/>
  </w:endnote>
  <w:endnote w:type="continuationNotice" w:id="1">
    <w:p w14:paraId="6FB65E80" w14:textId="77777777" w:rsidR="00D5202C" w:rsidRDefault="00D52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69AF" w14:textId="77777777" w:rsidR="00D5202C" w:rsidRPr="00D5202C" w:rsidRDefault="00D5202C" w:rsidP="00D5202C">
    <w:pPr>
      <w:pStyle w:val="Footer"/>
      <w:tabs>
        <w:tab w:val="right" w:pos="9638"/>
      </w:tabs>
      <w:rPr>
        <w:sz w:val="18"/>
      </w:rPr>
    </w:pPr>
    <w:r w:rsidRPr="00D5202C">
      <w:rPr>
        <w:b/>
        <w:sz w:val="18"/>
      </w:rPr>
      <w:fldChar w:fldCharType="begin"/>
    </w:r>
    <w:r w:rsidRPr="00D5202C">
      <w:rPr>
        <w:b/>
        <w:sz w:val="18"/>
      </w:rPr>
      <w:instrText xml:space="preserve"> PAGE  \* MERGEFORMAT </w:instrText>
    </w:r>
    <w:r w:rsidRPr="00D5202C">
      <w:rPr>
        <w:b/>
        <w:sz w:val="18"/>
      </w:rPr>
      <w:fldChar w:fldCharType="separate"/>
    </w:r>
    <w:r w:rsidRPr="00D5202C">
      <w:rPr>
        <w:b/>
        <w:noProof/>
        <w:sz w:val="18"/>
      </w:rPr>
      <w:t>2</w:t>
    </w:r>
    <w:r w:rsidRPr="00D520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7940" w14:textId="77777777" w:rsidR="00D5202C" w:rsidRPr="00D5202C" w:rsidRDefault="00D5202C" w:rsidP="00D5202C">
    <w:pPr>
      <w:pStyle w:val="Footer"/>
      <w:tabs>
        <w:tab w:val="right" w:pos="9638"/>
      </w:tabs>
      <w:rPr>
        <w:b/>
        <w:sz w:val="18"/>
      </w:rPr>
    </w:pPr>
    <w:r>
      <w:tab/>
    </w:r>
    <w:r w:rsidRPr="00D5202C">
      <w:rPr>
        <w:b/>
        <w:sz w:val="18"/>
      </w:rPr>
      <w:fldChar w:fldCharType="begin"/>
    </w:r>
    <w:r w:rsidRPr="00D5202C">
      <w:rPr>
        <w:b/>
        <w:sz w:val="18"/>
      </w:rPr>
      <w:instrText xml:space="preserve"> PAGE  \* MERGEFORMAT </w:instrText>
    </w:r>
    <w:r w:rsidRPr="00D5202C">
      <w:rPr>
        <w:b/>
        <w:sz w:val="18"/>
      </w:rPr>
      <w:fldChar w:fldCharType="separate"/>
    </w:r>
    <w:r w:rsidRPr="00D5202C">
      <w:rPr>
        <w:b/>
        <w:noProof/>
        <w:sz w:val="18"/>
      </w:rPr>
      <w:t>3</w:t>
    </w:r>
    <w:r w:rsidRPr="00D520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EBD1" w14:textId="14E2391C" w:rsidR="00EA3900" w:rsidRDefault="00EA3900" w:rsidP="00EA3900">
    <w:pPr>
      <w:pStyle w:val="Footer"/>
    </w:pPr>
    <w:r w:rsidRPr="0027112F">
      <w:rPr>
        <w:noProof/>
        <w:lang w:val="en-US"/>
      </w:rPr>
      <w:drawing>
        <wp:anchor distT="0" distB="0" distL="114300" distR="114300" simplePos="0" relativeHeight="251659264" behindDoc="0" locked="1" layoutInCell="1" allowOverlap="1" wp14:anchorId="2C81496B" wp14:editId="76EA48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B59ED8" w14:textId="2132C31C" w:rsidR="00EA3900" w:rsidRPr="00EA3900" w:rsidRDefault="00EA3900" w:rsidP="00EA3900">
    <w:pPr>
      <w:pStyle w:val="Footer"/>
      <w:ind w:right="1134"/>
      <w:rPr>
        <w:sz w:val="20"/>
      </w:rPr>
    </w:pPr>
    <w:r>
      <w:rPr>
        <w:sz w:val="20"/>
      </w:rPr>
      <w:t>GE.21-03249(E)</w:t>
    </w:r>
    <w:r>
      <w:rPr>
        <w:noProof/>
        <w:sz w:val="20"/>
      </w:rPr>
      <w:drawing>
        <wp:anchor distT="0" distB="0" distL="114300" distR="114300" simplePos="0" relativeHeight="251660288" behindDoc="0" locked="0" layoutInCell="1" allowOverlap="1" wp14:anchorId="7B54226D" wp14:editId="0637F27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E132" w14:textId="77777777" w:rsidR="00D5202C" w:rsidRPr="000B175B" w:rsidRDefault="00D5202C" w:rsidP="000B175B">
      <w:pPr>
        <w:tabs>
          <w:tab w:val="right" w:pos="2155"/>
        </w:tabs>
        <w:spacing w:after="80"/>
        <w:ind w:left="680"/>
        <w:rPr>
          <w:u w:val="single"/>
        </w:rPr>
      </w:pPr>
      <w:r>
        <w:rPr>
          <w:u w:val="single"/>
        </w:rPr>
        <w:tab/>
      </w:r>
    </w:p>
  </w:footnote>
  <w:footnote w:type="continuationSeparator" w:id="0">
    <w:p w14:paraId="198EE8DF" w14:textId="77777777" w:rsidR="00D5202C" w:rsidRPr="00FC68B7" w:rsidRDefault="00D5202C" w:rsidP="00FC68B7">
      <w:pPr>
        <w:tabs>
          <w:tab w:val="left" w:pos="2155"/>
        </w:tabs>
        <w:spacing w:after="80"/>
        <w:ind w:left="680"/>
        <w:rPr>
          <w:u w:val="single"/>
        </w:rPr>
      </w:pPr>
      <w:r>
        <w:rPr>
          <w:u w:val="single"/>
        </w:rPr>
        <w:tab/>
      </w:r>
    </w:p>
  </w:footnote>
  <w:footnote w:type="continuationNotice" w:id="1">
    <w:p w14:paraId="010995F8" w14:textId="77777777" w:rsidR="00D5202C" w:rsidRDefault="00D5202C"/>
  </w:footnote>
  <w:footnote w:id="2">
    <w:p w14:paraId="675A1A8F" w14:textId="77777777" w:rsidR="000C366B" w:rsidRPr="009C6F18" w:rsidRDefault="000C366B" w:rsidP="000C366B">
      <w:pPr>
        <w:pStyle w:val="FootnoteText"/>
      </w:pPr>
      <w:r>
        <w:rPr>
          <w:rStyle w:val="FootnoteReference"/>
        </w:rPr>
        <w:tab/>
      </w:r>
      <w:r w:rsidRPr="000C366B">
        <w:rPr>
          <w:rStyle w:val="FootnoteReference"/>
          <w:sz w:val="20"/>
          <w:vertAlign w:val="baseline"/>
        </w:rPr>
        <w:t>*</w:t>
      </w:r>
      <w:r>
        <w:rPr>
          <w:rStyle w:val="FootnoteReference"/>
          <w:sz w:val="20"/>
          <w:vertAlign w:val="baseline"/>
        </w:rPr>
        <w:tab/>
      </w:r>
      <w:r w:rsidRPr="00834B8C">
        <w:t>This</w:t>
      </w:r>
      <w:r>
        <w:t xml:space="preserve"> </w:t>
      </w:r>
      <w:r w:rsidRPr="000C366B">
        <w:t>document</w:t>
      </w:r>
      <w:r>
        <w:t xml:space="preserve"> </w:t>
      </w:r>
      <w:r w:rsidRPr="00834B8C">
        <w:t xml:space="preserve">was scheduled for publication after the standard publication date owing to circumstances beyond the </w:t>
      </w:r>
      <w:r w:rsidRPr="000C366B">
        <w:t>submitter's</w:t>
      </w:r>
      <w:r w:rsidRPr="00834B8C">
        <w:t xml:space="preserve"> control.</w:t>
      </w:r>
    </w:p>
    <w:p w14:paraId="76CBD5EF" w14:textId="06B9DBCF" w:rsidR="000C366B" w:rsidRPr="009C6F18" w:rsidRDefault="000C366B">
      <w:pPr>
        <w:pStyle w:val="FootnoteText"/>
      </w:pPr>
    </w:p>
  </w:footnote>
  <w:footnote w:id="3">
    <w:p w14:paraId="39EC1540" w14:textId="256B71DD" w:rsidR="00D5202C" w:rsidRPr="00CD574A" w:rsidRDefault="00CA5984" w:rsidP="00CA5984">
      <w:pPr>
        <w:pStyle w:val="FootnoteText"/>
      </w:pPr>
      <w:r>
        <w:tab/>
      </w:r>
      <w:r w:rsidR="00D5202C">
        <w:rPr>
          <w:rStyle w:val="FootnoteReference"/>
        </w:rPr>
        <w:footnoteRef/>
      </w:r>
      <w:r>
        <w:tab/>
      </w:r>
      <w:r w:rsidR="00D5202C">
        <w:t xml:space="preserve">See </w:t>
      </w:r>
      <w:r w:rsidR="00D5202C" w:rsidRPr="00C403C6">
        <w:t>ECE/</w:t>
      </w:r>
      <w:proofErr w:type="gramStart"/>
      <w:r w:rsidR="00D5202C" w:rsidRPr="00C403C6">
        <w:t>MP.PP</w:t>
      </w:r>
      <w:proofErr w:type="gramEnd"/>
      <w:r w:rsidR="00D5202C" w:rsidRPr="00C403C6">
        <w:t>/2011/2/Add.1</w:t>
      </w:r>
      <w:r w:rsidR="00D5202C">
        <w:t>.</w:t>
      </w:r>
      <w:r w:rsidR="00D5202C" w:rsidDel="00C403C6">
        <w:t xml:space="preserve"> </w:t>
      </w:r>
    </w:p>
  </w:footnote>
  <w:footnote w:id="4">
    <w:p w14:paraId="30F809B3" w14:textId="705CA75F" w:rsidR="00D5202C" w:rsidRPr="00CD574A" w:rsidRDefault="00CA5984" w:rsidP="00CA5984">
      <w:pPr>
        <w:pStyle w:val="FootnoteText"/>
        <w:rPr>
          <w:lang w:val="en-US"/>
        </w:rPr>
      </w:pPr>
      <w:r>
        <w:tab/>
      </w:r>
      <w:r w:rsidR="00D5202C">
        <w:rPr>
          <w:rStyle w:val="FootnoteReference"/>
        </w:rPr>
        <w:footnoteRef/>
      </w:r>
      <w:r>
        <w:tab/>
      </w:r>
      <w:r w:rsidR="00D5202C">
        <w:t>See</w:t>
      </w:r>
      <w:r w:rsidR="00D5202C" w:rsidDel="00C403C6">
        <w:t xml:space="preserve"> </w:t>
      </w:r>
      <w:r w:rsidR="00D5202C" w:rsidRPr="00CA5984">
        <w:t>ECE</w:t>
      </w:r>
      <w:r w:rsidR="00D5202C" w:rsidRPr="00C403C6">
        <w:t>/</w:t>
      </w:r>
      <w:proofErr w:type="gramStart"/>
      <w:r w:rsidR="00D5202C" w:rsidRPr="00C403C6">
        <w:t>MP.PP</w:t>
      </w:r>
      <w:proofErr w:type="gramEnd"/>
      <w:r w:rsidR="00D5202C" w:rsidRPr="00C403C6">
        <w:t>/WG.1/2020/12</w:t>
      </w:r>
      <w:r w:rsidR="00D520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835" w14:textId="3963416E" w:rsidR="00D5202C" w:rsidRPr="00D5202C" w:rsidRDefault="00CA5984">
    <w:pPr>
      <w:pStyle w:val="Header"/>
    </w:pPr>
    <w:r>
      <w:t>ECE/</w:t>
    </w:r>
    <w:proofErr w:type="gramStart"/>
    <w:r>
      <w:t>MP.PP</w:t>
    </w:r>
    <w:proofErr w:type="gramEnd"/>
    <w:r>
      <w:t>/WG.1/2021/21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1DDC" w14:textId="71A058C1" w:rsidR="00D5202C" w:rsidRPr="00D5202C" w:rsidRDefault="00CA5984" w:rsidP="00D5202C">
    <w:pPr>
      <w:pStyle w:val="Header"/>
      <w:jc w:val="right"/>
    </w:pPr>
    <w:r>
      <w:t>ECE/</w:t>
    </w:r>
    <w:proofErr w:type="gramStart"/>
    <w:r>
      <w:t>MP.PP</w:t>
    </w:r>
    <w:proofErr w:type="gramEnd"/>
    <w:r>
      <w:t>/WG.1/2021/21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F6845"/>
    <w:multiLevelType w:val="hybridMultilevel"/>
    <w:tmpl w:val="D62C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2C"/>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C366B"/>
    <w:rsid w:val="000E0415"/>
    <w:rsid w:val="000E62A4"/>
    <w:rsid w:val="000F5FAB"/>
    <w:rsid w:val="000F70C4"/>
    <w:rsid w:val="000F7715"/>
    <w:rsid w:val="00156B99"/>
    <w:rsid w:val="00166124"/>
    <w:rsid w:val="00183745"/>
    <w:rsid w:val="00184DDA"/>
    <w:rsid w:val="001900CD"/>
    <w:rsid w:val="001A0452"/>
    <w:rsid w:val="001B4B04"/>
    <w:rsid w:val="001B5875"/>
    <w:rsid w:val="001C4B9C"/>
    <w:rsid w:val="001C6663"/>
    <w:rsid w:val="001C7895"/>
    <w:rsid w:val="001D2631"/>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2739"/>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C6F18"/>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A598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202C"/>
    <w:rsid w:val="00D704E5"/>
    <w:rsid w:val="00D72727"/>
    <w:rsid w:val="00D978C6"/>
    <w:rsid w:val="00DA0956"/>
    <w:rsid w:val="00DA357F"/>
    <w:rsid w:val="00DA3E12"/>
    <w:rsid w:val="00DC18AD"/>
    <w:rsid w:val="00DC41C9"/>
    <w:rsid w:val="00DD6380"/>
    <w:rsid w:val="00DF7CAE"/>
    <w:rsid w:val="00E423C0"/>
    <w:rsid w:val="00E6414C"/>
    <w:rsid w:val="00E7260F"/>
    <w:rsid w:val="00E8702D"/>
    <w:rsid w:val="00E905F4"/>
    <w:rsid w:val="00E916A9"/>
    <w:rsid w:val="00E916DE"/>
    <w:rsid w:val="00E925AD"/>
    <w:rsid w:val="00E96630"/>
    <w:rsid w:val="00EA390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906E42"/>
  <w15:docId w15:val="{31103706-B323-4217-9FC3-82A33B0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basedOn w:val="DefaultParagraphFont"/>
    <w:link w:val="FootnoteText"/>
    <w:uiPriority w:val="99"/>
    <w:rsid w:val="00D5202C"/>
    <w:rPr>
      <w:sz w:val="18"/>
      <w:lang w:val="en-GB"/>
    </w:rPr>
  </w:style>
  <w:style w:type="paragraph" w:customStyle="1" w:styleId="Default">
    <w:name w:val="Default"/>
    <w:rsid w:val="00D5202C"/>
    <w:pPr>
      <w:autoSpaceDE w:val="0"/>
      <w:autoSpaceDN w:val="0"/>
      <w:adjustRightInd w:val="0"/>
    </w:pPr>
    <w:rPr>
      <w:rFonts w:eastAsiaTheme="minorEastAsia"/>
      <w:color w:val="000000"/>
      <w:sz w:val="24"/>
      <w:szCs w:val="24"/>
      <w:lang w:val="en-GB" w:eastAsia="zh-CN"/>
    </w:rPr>
  </w:style>
  <w:style w:type="character" w:styleId="CommentReference">
    <w:name w:val="annotation reference"/>
    <w:basedOn w:val="DefaultParagraphFont"/>
    <w:rsid w:val="00D5202C"/>
    <w:rPr>
      <w:sz w:val="6"/>
    </w:rPr>
  </w:style>
  <w:style w:type="paragraph" w:styleId="CommentText">
    <w:name w:val="annotation text"/>
    <w:basedOn w:val="Normal"/>
    <w:link w:val="CommentTextChar"/>
    <w:rsid w:val="00D5202C"/>
    <w:rPr>
      <w:lang w:eastAsia="en-US"/>
    </w:rPr>
  </w:style>
  <w:style w:type="character" w:customStyle="1" w:styleId="CommentTextChar">
    <w:name w:val="Comment Text Char"/>
    <w:basedOn w:val="DefaultParagraphFont"/>
    <w:link w:val="CommentText"/>
    <w:rsid w:val="00D5202C"/>
    <w:rPr>
      <w:lang w:val="en-GB" w:eastAsia="en-US"/>
    </w:rPr>
  </w:style>
  <w:style w:type="character" w:customStyle="1" w:styleId="SingleTxtGChar">
    <w:name w:val="_ Single Txt_G Char"/>
    <w:link w:val="SingleTxtG"/>
    <w:qFormat/>
    <w:rsid w:val="00D5202C"/>
    <w:rPr>
      <w:lang w:val="en-GB"/>
    </w:rPr>
  </w:style>
  <w:style w:type="paragraph" w:styleId="ListParagraph">
    <w:name w:val="List Paragraph"/>
    <w:basedOn w:val="Normal"/>
    <w:uiPriority w:val="34"/>
    <w:semiHidden/>
    <w:qFormat/>
    <w:rsid w:val="00D5202C"/>
    <w:pPr>
      <w:kinsoku w:val="0"/>
      <w:overflowPunct w:val="0"/>
      <w:autoSpaceDE w:val="0"/>
      <w:autoSpaceDN w:val="0"/>
      <w:adjustRightInd w:val="0"/>
      <w:snapToGrid w:val="0"/>
      <w:ind w:left="720"/>
      <w:contextualSpacing/>
    </w:pPr>
    <w:rPr>
      <w:rFonts w:eastAsiaTheme="minorEastAsia"/>
      <w:lang w:eastAsia="zh-CN"/>
    </w:rPr>
  </w:style>
  <w:style w:type="character" w:customStyle="1" w:styleId="H1GChar">
    <w:name w:val="_ H_1_G Char"/>
    <w:link w:val="H1G"/>
    <w:rsid w:val="00D5202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B7E0-4F6E-4B23-A219-1B36CB36ECB3}">
  <ds:schemaRefs>
    <ds:schemaRef ds:uri="http://schemas.microsoft.com/sharepoint/v3/contenttype/forms"/>
  </ds:schemaRefs>
</ds:datastoreItem>
</file>

<file path=customXml/itemProps2.xml><?xml version="1.0" encoding="utf-8"?>
<ds:datastoreItem xmlns:ds="http://schemas.openxmlformats.org/officeDocument/2006/customXml" ds:itemID="{4BFA21B1-681C-48E9-B133-98A681F3271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18fc245-16fb-4e80-b15a-44d5324d7fea"/>
    <ds:schemaRef ds:uri="http://purl.org/dc/dcmitype/"/>
    <ds:schemaRef ds:uri="http://schemas.openxmlformats.org/package/2006/metadata/core-properties"/>
    <ds:schemaRef ds:uri="http://purl.org/dc/terms/"/>
    <ds:schemaRef ds:uri="c938e5d9-4d9f-46ad-8df2-2c223b949764"/>
    <ds:schemaRef ds:uri="http://www.w3.org/XML/1998/namespace"/>
  </ds:schemaRefs>
</ds:datastoreItem>
</file>

<file path=customXml/itemProps3.xml><?xml version="1.0" encoding="utf-8"?>
<ds:datastoreItem xmlns:ds="http://schemas.openxmlformats.org/officeDocument/2006/customXml" ds:itemID="{5D4AEE73-C5D7-4484-9FF2-868DCB16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B4F57-65C9-4B2E-9879-CA313A49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3268</Characters>
  <Application>Microsoft Office Word</Application>
  <DocSecurity>0</DocSecurity>
  <Lines>70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ECE/MP.PP/WG.1/2021/21</vt:lpstr>
      <vt:lpstr/>
    </vt:vector>
  </TitlesOfParts>
  <Company>CSD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ECE/MP.PP/WG.1/2021/21</dc:title>
  <dc:subject>2103249</dc:subject>
  <dc:creator>Sadaf Shamsie</dc:creator>
  <cp:keywords/>
  <dc:description/>
  <cp:lastModifiedBy>Don Canete Martin</cp:lastModifiedBy>
  <cp:revision>2</cp:revision>
  <cp:lastPrinted>2009-02-18T09:36:00Z</cp:lastPrinted>
  <dcterms:created xsi:type="dcterms:W3CDTF">2021-03-10T08:47:00Z</dcterms:created>
  <dcterms:modified xsi:type="dcterms:W3CDTF">2021-03-10T08:47:00Z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