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0E0D2C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C398F21" w14:textId="77777777" w:rsidR="002D5AAC" w:rsidRDefault="002D5AAC" w:rsidP="007F57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7349FA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8DDD27C" w14:textId="501571CF" w:rsidR="002D5AAC" w:rsidRDefault="007F576F" w:rsidP="007F576F">
            <w:pPr>
              <w:jc w:val="right"/>
            </w:pPr>
            <w:r w:rsidRPr="007F576F">
              <w:rPr>
                <w:sz w:val="40"/>
              </w:rPr>
              <w:t>ECE</w:t>
            </w:r>
            <w:r>
              <w:t>/MP.PP/WG.1/2021/10</w:t>
            </w:r>
          </w:p>
        </w:tc>
      </w:tr>
      <w:tr w:rsidR="002D5AAC" w:rsidRPr="008C6338" w14:paraId="6F0744A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04417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3BD6B8" wp14:editId="35A9431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504C3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F514AB0" w14:textId="77777777" w:rsidR="002D5AAC" w:rsidRDefault="007F576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D7F9C11" w14:textId="616AD2F9" w:rsidR="007F576F" w:rsidRDefault="007F576F" w:rsidP="007F57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March 2021</w:t>
            </w:r>
          </w:p>
          <w:p w14:paraId="0CC25118" w14:textId="77777777" w:rsidR="007F576F" w:rsidRDefault="007F576F" w:rsidP="007F57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88E008" w14:textId="43FFCC56" w:rsidR="007F576F" w:rsidRPr="008D53B6" w:rsidRDefault="007F576F" w:rsidP="007F57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4E1D24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E2C03C2" w14:textId="25524DCB" w:rsidR="007F576F" w:rsidRPr="007F576F" w:rsidRDefault="007F576F" w:rsidP="007F576F">
      <w:pPr>
        <w:spacing w:before="120"/>
        <w:rPr>
          <w:sz w:val="28"/>
          <w:szCs w:val="28"/>
        </w:rPr>
      </w:pPr>
      <w:r w:rsidRPr="007F576F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7F576F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7F576F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7F576F">
        <w:rPr>
          <w:sz w:val="28"/>
          <w:szCs w:val="28"/>
        </w:rPr>
        <w:t xml:space="preserve">к правосудию по вопросам, </w:t>
      </w:r>
      <w:r>
        <w:rPr>
          <w:sz w:val="28"/>
          <w:szCs w:val="28"/>
        </w:rPr>
        <w:br/>
      </w:r>
      <w:r w:rsidRPr="007F576F">
        <w:rPr>
          <w:sz w:val="28"/>
          <w:szCs w:val="28"/>
        </w:rPr>
        <w:t>касающимся окружающей среды</w:t>
      </w:r>
    </w:p>
    <w:p w14:paraId="399909D6" w14:textId="77777777" w:rsidR="007F576F" w:rsidRPr="007F576F" w:rsidRDefault="007F576F" w:rsidP="007F576F">
      <w:pPr>
        <w:spacing w:before="120"/>
        <w:rPr>
          <w:b/>
          <w:sz w:val="24"/>
          <w:szCs w:val="24"/>
        </w:rPr>
      </w:pPr>
      <w:r w:rsidRPr="007F576F">
        <w:rPr>
          <w:b/>
          <w:bCs/>
          <w:sz w:val="24"/>
          <w:szCs w:val="24"/>
        </w:rPr>
        <w:t>Рабочая группа Сторон</w:t>
      </w:r>
    </w:p>
    <w:p w14:paraId="3F1B20D9" w14:textId="77777777" w:rsidR="007F576F" w:rsidRPr="00CA4D2B" w:rsidRDefault="007F576F" w:rsidP="007F576F">
      <w:pPr>
        <w:spacing w:before="120"/>
        <w:rPr>
          <w:b/>
        </w:rPr>
      </w:pPr>
      <w:r>
        <w:rPr>
          <w:b/>
          <w:bCs/>
        </w:rPr>
        <w:t>Двадцать пятое совещание</w:t>
      </w:r>
    </w:p>
    <w:p w14:paraId="0EC7F0F6" w14:textId="77777777" w:rsidR="007F576F" w:rsidRPr="00CA4D2B" w:rsidRDefault="007F576F" w:rsidP="007F576F">
      <w:r>
        <w:t>Женева, 3 мая и 7 и 8 июня 2021 года</w:t>
      </w:r>
    </w:p>
    <w:p w14:paraId="2773D5D3" w14:textId="77777777" w:rsidR="007F576F" w:rsidRPr="00CA4D2B" w:rsidRDefault="007F576F" w:rsidP="007F576F">
      <w:r>
        <w:t>Пункт 9 k) предварительной повестки дня</w:t>
      </w:r>
    </w:p>
    <w:p w14:paraId="21DECBEE" w14:textId="61983D60" w:rsidR="007F576F" w:rsidRPr="00CA4D2B" w:rsidRDefault="007F576F" w:rsidP="007F576F">
      <w:pPr>
        <w:rPr>
          <w:b/>
          <w:bCs/>
        </w:rPr>
      </w:pPr>
      <w:r>
        <w:rPr>
          <w:b/>
          <w:bCs/>
        </w:rPr>
        <w:t xml:space="preserve">Подготовка к седьмой сессии Совещания Сторон: </w:t>
      </w:r>
      <w:r>
        <w:rPr>
          <w:b/>
          <w:bCs/>
        </w:rPr>
        <w:br/>
        <w:t>повестка дня седьмой сессии Совещания Сторон</w:t>
      </w:r>
    </w:p>
    <w:p w14:paraId="7B423FDA" w14:textId="77777777" w:rsidR="007F576F" w:rsidRPr="00CA4D2B" w:rsidRDefault="007F576F" w:rsidP="007F576F">
      <w:pPr>
        <w:pStyle w:val="HChG"/>
        <w:rPr>
          <w:i/>
          <w:sz w:val="22"/>
          <w:szCs w:val="22"/>
        </w:rPr>
      </w:pPr>
      <w:r>
        <w:tab/>
      </w:r>
      <w:r>
        <w:tab/>
      </w:r>
      <w:r>
        <w:rPr>
          <w:bCs/>
        </w:rPr>
        <w:t>Проект предварительной повестки дня седьмой сессии Совещания Сторон Орхусской Конвенции</w:t>
      </w:r>
      <w:r w:rsidRPr="007F576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37987898" w14:textId="77777777" w:rsidR="007F576F" w:rsidRDefault="007F576F" w:rsidP="007F576F">
      <w:pPr>
        <w:pStyle w:val="H1G"/>
      </w:pPr>
      <w:r>
        <w:tab/>
      </w:r>
      <w:r>
        <w:tab/>
      </w:r>
      <w:r>
        <w:rPr>
          <w:bCs/>
        </w:rPr>
        <w:t>Подготовлен Президиумом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37"/>
      </w:tblGrid>
      <w:tr w:rsidR="007F576F" w14:paraId="7FCD4AC6" w14:textId="77777777" w:rsidTr="002E35F5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57365C" w14:textId="77777777" w:rsidR="007F576F" w:rsidRPr="007F576F" w:rsidRDefault="007F576F" w:rsidP="002E35F5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7F576F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7F576F" w14:paraId="0B23EEEA" w14:textId="77777777" w:rsidTr="002E35F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1BA88BE" w14:textId="3BA4C7D4" w:rsidR="007F576F" w:rsidRPr="00CA4D2B" w:rsidRDefault="007F576F" w:rsidP="002E35F5">
            <w:pPr>
              <w:pStyle w:val="SingleTxtG"/>
            </w:pPr>
            <w:r>
              <w:tab/>
              <w:t xml:space="preserve">Настоящий документ содержит проект плана повестки дня седьмой сессии Совещания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среды, а также предложение по организации работы сессии. Поскольку седьмая сессия Совещания Сторон Конвенции будет проведена в увязке с четвертой сессией Совещания Сторон Протокола о регистрах выбросов и переноса загрязнителей, консультации по предложенному порядку организации работы </w:t>
            </w:r>
            <w:r>
              <w:br/>
              <w:t>(см. раздел II ниже) также были проведены с Президиумом Протокола до его рассмотрения Рабочей группой на своем двадцать четвертом совещании (Женева (онлайн), 1–3 июля 2020 года, и Женева, (в смешанном формате), 29 и 30 октября 2020</w:t>
            </w:r>
            <w:r>
              <w:rPr>
                <w:lang w:val="en-US"/>
              </w:rPr>
              <w:t> </w:t>
            </w:r>
            <w:r>
              <w:t>года).</w:t>
            </w:r>
          </w:p>
          <w:p w14:paraId="6C1C8968" w14:textId="66B5C8C7" w:rsidR="007F576F" w:rsidRPr="00D01F1E" w:rsidRDefault="007F576F" w:rsidP="002E35F5">
            <w:pPr>
              <w:pStyle w:val="SingleTxtG"/>
            </w:pPr>
            <w:r>
              <w:tab/>
              <w:t>Настоящий документ был подготовлен в соответствии с программой работы на 2018–2021 годы (см. ECE/MP.PP/2017/2/Add.1, решение VI/5, приложение I, область работы XI), принятой Совещанием Сторон Конвенции на его шестой сессии (Будва, Черногория, 11–14 сентября 2017 года).</w:t>
            </w:r>
            <w:bookmarkStart w:id="0" w:name="_Hlk36105136"/>
            <w:bookmarkEnd w:id="0"/>
          </w:p>
          <w:p w14:paraId="1DD05751" w14:textId="66E46B35" w:rsidR="007F576F" w:rsidRPr="00CA4D2B" w:rsidRDefault="007F576F" w:rsidP="002E35F5">
            <w:pPr>
              <w:pStyle w:val="SingleTxtG"/>
            </w:pPr>
            <w:r>
              <w:tab/>
              <w:t xml:space="preserve">Рабочая группа рассмотрела проект элементов предварительной повестки дня седьмой сессии Совещания Сторон Орхусской конвенции (ECE/MP.PP/WG.1/2020/10) на своем двадцать четвертом совещании. На октябрьском заседании двадцать </w:t>
            </w:r>
            <w:r>
              <w:lastRenderedPageBreak/>
              <w:t>четвертого совещания Грузия объявила о том, что она вынуждена отозвать свое предложение о проведении этой сессии у себя в стране из-за финансовых проблем, связанных с пандемией коронавирусного заболевания (COVID-19). Этот вопрос отражен в разделе I настоящего документа. Замечания, полученные до и на двадцать четвертом совещании, свидетельствуют об общей поддержке повестки дня и не предполагают внесения каких-либо существенных изменений, исходя из чего никаких других изменений внесено не было.</w:t>
            </w:r>
          </w:p>
          <w:p w14:paraId="5CB284A2" w14:textId="6D5E3A00" w:rsidR="007F576F" w:rsidRPr="00425945" w:rsidRDefault="007F576F" w:rsidP="002E35F5">
            <w:pPr>
              <w:pStyle w:val="SingleTxtG"/>
            </w:pPr>
            <w:r>
              <w:tab/>
              <w:t>Настоящий документ представляется Рабочей группе на ее двадцать пятом совещании (Женева (онлайн), 3 мая и Женева (в смешанном формате), 7 и 8 июня 2021</w:t>
            </w:r>
            <w:r>
              <w:rPr>
                <w:lang w:val="en-US"/>
              </w:rPr>
              <w:t> </w:t>
            </w:r>
            <w:r>
              <w:t>года) для рассмотрения, утверждения и последующего представления Совещанию Сторон.</w:t>
            </w:r>
          </w:p>
          <w:p w14:paraId="47971C42" w14:textId="6BAA598A" w:rsidR="007F576F" w:rsidRDefault="007F576F" w:rsidP="002E35F5">
            <w:pPr>
              <w:pStyle w:val="SingleTxtG"/>
            </w:pPr>
            <w:r>
              <w:tab/>
              <w:t xml:space="preserve">Президиум Протокола представил предварительную повестку дня четвертой сессии Рабочей группе Сторон Протокола на ее восьмом совещании (Женева </w:t>
            </w:r>
            <w:r w:rsidR="00357EF2">
              <w:br/>
            </w:r>
            <w:r>
              <w:t>(в смешанном формате), 16 и 18 декабря 2020 года). Рабочая группа Сторон Протокола утвердила предварительную повестку дня четвертой сессии и представила ее на рассмотрение Совещанию Сторон Протокола.</w:t>
            </w:r>
          </w:p>
        </w:tc>
      </w:tr>
      <w:tr w:rsidR="007F576F" w14:paraId="6B498F89" w14:textId="77777777" w:rsidTr="002E35F5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14:paraId="7C913FCD" w14:textId="77777777" w:rsidR="007F576F" w:rsidRDefault="007F576F" w:rsidP="002E35F5"/>
        </w:tc>
      </w:tr>
    </w:tbl>
    <w:p w14:paraId="0014628D" w14:textId="77777777" w:rsidR="007F576F" w:rsidRDefault="007F576F" w:rsidP="007F576F">
      <w:pPr>
        <w:suppressAutoHyphens w:val="0"/>
        <w:spacing w:line="240" w:lineRule="auto"/>
      </w:pPr>
      <w:r>
        <w:br w:type="page"/>
      </w:r>
    </w:p>
    <w:p w14:paraId="29155E5E" w14:textId="52E3F6C7" w:rsidR="007F576F" w:rsidRPr="00CA4D2B" w:rsidRDefault="007F576F" w:rsidP="007F576F">
      <w:pPr>
        <w:pStyle w:val="HChG"/>
      </w:pPr>
      <w:r>
        <w:tab/>
        <w:t>I.</w:t>
      </w:r>
      <w:r>
        <w:tab/>
      </w:r>
      <w:r>
        <w:rPr>
          <w:bCs/>
        </w:rPr>
        <w:t>Сроки и место проведения</w:t>
      </w:r>
    </w:p>
    <w:p w14:paraId="33D1F6E5" w14:textId="48A299B3" w:rsidR="007F576F" w:rsidRPr="00D01F1E" w:rsidRDefault="007F576F" w:rsidP="007F576F">
      <w:pPr>
        <w:pStyle w:val="SingleTxtG"/>
      </w:pPr>
      <w:r>
        <w:t>1.</w:t>
      </w:r>
      <w:r>
        <w:tab/>
        <w:t>Во исполнение решений двадцать третьего совещания Рабочей группы Сторон (Женева, 26–28 июня 2019 года) седьмая сессия Совещания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 и четвертая сессия Совещания Сторон Протокола о регистрах выбросов и переноса загрязнителей будут проведены в увязке друг с другом. Учитывая также сроки подготовки документов, в частности решений, связанных с вопросом соблюдения, мероприятия запланированы на неделю, начинающуюся 18 октября 2021</w:t>
      </w:r>
      <w:r>
        <w:rPr>
          <w:lang w:val="en-US"/>
        </w:rPr>
        <w:t> </w:t>
      </w:r>
      <w:r>
        <w:t>года. Грузия выразила предварительную заинтересованность в организации этих мероприятий. На октябрьском заседании двадцать четвертого совещания Рабочей группы Грузия объявила о том, что она вынуждена отозвать свое предложение о проведении этих сессий у себя в стране из-за финансовых проблем, связанных с пандемией коронавирусного заболевания (COVID-19). Президиум провел консультации по этому вопросу и принял решение о том, что в данных обстоятельствах вышеупомянутая сессия Совещания Сторон Конвенции должна быть проведена в Женеве, если только какая-либо Сторона не подтвердит свою готовность принять у себя это мероприятие. Президиум также решил продолжить подготовку к сессии согласно существующему плану и, в случае необходимости</w:t>
      </w:r>
      <w:r>
        <w:rPr>
          <w:rStyle w:val="aa"/>
          <w:rFonts w:cstheme="majorBidi"/>
        </w:rPr>
        <w:footnoteReference w:id="2"/>
      </w:r>
      <w:r>
        <w:t>, провести повторную оценку ситуации весной 2021 года с учетом возможных альтернативных возможностей проведения очной сессии или сессии в смешанном формате. Замечания, полученные до и на двадцать четвертом совещании, свидетельствуют об общей поддержке повестки дня и не предполагают внесения каких-либо существенных изменений.</w:t>
      </w:r>
    </w:p>
    <w:p w14:paraId="18F97FE4" w14:textId="69A4A7DD" w:rsidR="007F576F" w:rsidRPr="00CA4D2B" w:rsidRDefault="007F576F" w:rsidP="007F576F">
      <w:pPr>
        <w:pStyle w:val="HChG"/>
      </w:pPr>
      <w:r>
        <w:tab/>
        <w:t>II.</w:t>
      </w:r>
      <w:r>
        <w:tab/>
      </w:r>
      <w:r>
        <w:rPr>
          <w:bCs/>
        </w:rPr>
        <w:t>Организация работы</w:t>
      </w:r>
    </w:p>
    <w:p w14:paraId="36AC195B" w14:textId="77777777" w:rsidR="007F576F" w:rsidRPr="00CA4D2B" w:rsidRDefault="007F576F" w:rsidP="007F576F">
      <w:pPr>
        <w:pStyle w:val="SingleTxtG"/>
        <w:spacing w:after="240"/>
      </w:pPr>
      <w:r>
        <w:t>2.</w:t>
      </w:r>
      <w:r>
        <w:tab/>
        <w:t>В приводимой ниже таблице показано предлагаемое распределение времени работы седьмой сессии Совещания Сторон Конвенции и четвертой сессии Совещания Сторон Протокола о регистрах выбросов и переноса загрязнителей, а также соответствующих заседаний.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1"/>
      </w:tblGrid>
      <w:tr w:rsidR="007F576F" w:rsidRPr="007F576F" w14:paraId="2688C337" w14:textId="77777777" w:rsidTr="002E35F5"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559580" w14:textId="77777777" w:rsidR="007F576F" w:rsidRPr="007F576F" w:rsidRDefault="007F576F" w:rsidP="007F576F">
            <w:pPr>
              <w:spacing w:before="80" w:after="80" w:line="200" w:lineRule="exact"/>
              <w:ind w:left="17" w:right="113"/>
              <w:rPr>
                <w:i/>
                <w:sz w:val="16"/>
                <w:szCs w:val="16"/>
              </w:rPr>
            </w:pPr>
            <w:r w:rsidRPr="007F576F">
              <w:rPr>
                <w:i/>
                <w:iCs/>
                <w:sz w:val="16"/>
                <w:szCs w:val="16"/>
              </w:rPr>
              <w:t>Дата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554F006" w14:textId="77777777" w:rsidR="007F576F" w:rsidRPr="007F576F" w:rsidRDefault="007F576F" w:rsidP="002E35F5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7F576F">
              <w:rPr>
                <w:i/>
                <w:iCs/>
                <w:sz w:val="16"/>
                <w:szCs w:val="16"/>
              </w:rPr>
              <w:t>Орган Конвенции/Протокола</w:t>
            </w:r>
          </w:p>
        </w:tc>
      </w:tr>
      <w:tr w:rsidR="007F576F" w:rsidRPr="002E42CC" w14:paraId="6E397A71" w14:textId="77777777" w:rsidTr="002E35F5">
        <w:trPr>
          <w:trHeight w:hRule="exact" w:val="113"/>
          <w:tblHeader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14:paraId="67B5CED3" w14:textId="77777777" w:rsidR="007F576F" w:rsidRPr="002E42CC" w:rsidRDefault="007F576F" w:rsidP="007F576F">
            <w:pPr>
              <w:spacing w:before="40" w:after="120"/>
              <w:ind w:left="17" w:right="113"/>
            </w:pPr>
          </w:p>
        </w:tc>
        <w:tc>
          <w:tcPr>
            <w:tcW w:w="4251" w:type="dxa"/>
            <w:tcBorders>
              <w:top w:val="single" w:sz="12" w:space="0" w:color="auto"/>
            </w:tcBorders>
            <w:shd w:val="clear" w:color="auto" w:fill="auto"/>
          </w:tcPr>
          <w:p w14:paraId="44CC572F" w14:textId="77777777" w:rsidR="007F576F" w:rsidRPr="002E42CC" w:rsidRDefault="007F576F" w:rsidP="002E35F5">
            <w:pPr>
              <w:spacing w:before="40" w:after="120"/>
              <w:ind w:right="113"/>
            </w:pPr>
          </w:p>
        </w:tc>
      </w:tr>
      <w:tr w:rsidR="007F576F" w:rsidRPr="00CA4D2B" w14:paraId="5E598C3D" w14:textId="77777777" w:rsidTr="002E35F5">
        <w:tc>
          <w:tcPr>
            <w:tcW w:w="3119" w:type="dxa"/>
            <w:shd w:val="clear" w:color="auto" w:fill="auto"/>
          </w:tcPr>
          <w:p w14:paraId="2E1B2F1F" w14:textId="3EC36126" w:rsidR="007F576F" w:rsidRPr="002E42CC" w:rsidRDefault="007F576F" w:rsidP="007F576F">
            <w:pPr>
              <w:spacing w:before="40" w:after="120"/>
              <w:ind w:left="17" w:right="113"/>
            </w:pPr>
            <w:r>
              <w:t xml:space="preserve">Воскресенье, 17 октября  </w:t>
            </w:r>
            <w:r>
              <w:br/>
              <w:t>(полный день)</w:t>
            </w:r>
          </w:p>
        </w:tc>
        <w:tc>
          <w:tcPr>
            <w:tcW w:w="4251" w:type="dxa"/>
            <w:shd w:val="clear" w:color="auto" w:fill="auto"/>
          </w:tcPr>
          <w:p w14:paraId="63EB8BA8" w14:textId="77777777" w:rsidR="007F576F" w:rsidRPr="00CA4D2B" w:rsidRDefault="007F576F" w:rsidP="002E35F5">
            <w:pPr>
              <w:spacing w:before="40" w:after="120"/>
              <w:ind w:right="113"/>
            </w:pPr>
            <w:r>
              <w:t>Комитет по вопросам соблюдения Конвенции (при необходимости может продолжить свою работу параллельно с седьмой сессией Совещания Сторон Конвенции)</w:t>
            </w:r>
          </w:p>
        </w:tc>
      </w:tr>
      <w:tr w:rsidR="007F576F" w:rsidRPr="002E42CC" w14:paraId="01A6B232" w14:textId="77777777" w:rsidTr="002E35F5">
        <w:tc>
          <w:tcPr>
            <w:tcW w:w="3119" w:type="dxa"/>
            <w:shd w:val="clear" w:color="auto" w:fill="auto"/>
          </w:tcPr>
          <w:p w14:paraId="2C65E2B1" w14:textId="1B5FA180" w:rsidR="007F576F" w:rsidRPr="00CA4D2B" w:rsidDel="00A51347" w:rsidRDefault="007F576F" w:rsidP="007F576F">
            <w:pPr>
              <w:spacing w:before="40" w:after="120"/>
              <w:ind w:left="17" w:right="113"/>
            </w:pPr>
            <w:r>
              <w:t xml:space="preserve">Воскресенье, 17 октября  </w:t>
            </w:r>
            <w:r>
              <w:br/>
              <w:t>(15 ч 00 мин – 17 ч 00 мин)</w:t>
            </w:r>
          </w:p>
        </w:tc>
        <w:tc>
          <w:tcPr>
            <w:tcW w:w="4251" w:type="dxa"/>
            <w:shd w:val="clear" w:color="auto" w:fill="auto"/>
          </w:tcPr>
          <w:p w14:paraId="5BB674AB" w14:textId="77777777" w:rsidR="007F576F" w:rsidRPr="002E42CC" w:rsidRDefault="007F576F" w:rsidP="002E35F5">
            <w:pPr>
              <w:spacing w:before="40" w:after="120"/>
              <w:ind w:right="113"/>
            </w:pPr>
            <w:r>
              <w:t>Президиум Конвенции</w:t>
            </w:r>
          </w:p>
        </w:tc>
      </w:tr>
      <w:tr w:rsidR="007F576F" w:rsidRPr="00CA4D2B" w14:paraId="3E1523C4" w14:textId="77777777" w:rsidTr="002E35F5">
        <w:tc>
          <w:tcPr>
            <w:tcW w:w="3119" w:type="dxa"/>
            <w:shd w:val="clear" w:color="auto" w:fill="auto"/>
          </w:tcPr>
          <w:p w14:paraId="730ED51E" w14:textId="16D8AFFF" w:rsidR="007F576F" w:rsidRPr="00CA4D2B" w:rsidRDefault="007F576F" w:rsidP="007F576F">
            <w:pPr>
              <w:spacing w:before="40" w:after="120"/>
              <w:ind w:left="17" w:right="113"/>
            </w:pPr>
            <w:r>
              <w:t xml:space="preserve">Понедельник, 18 октября  </w:t>
            </w:r>
            <w:r>
              <w:br/>
              <w:t xml:space="preserve">(9 ч 00 мин – 13 ч 00 мин  </w:t>
            </w:r>
            <w:r>
              <w:br/>
              <w:t>и 15 ч 00 мин – 17 ч 30 мин)</w:t>
            </w:r>
          </w:p>
        </w:tc>
        <w:tc>
          <w:tcPr>
            <w:tcW w:w="4251" w:type="dxa"/>
            <w:shd w:val="clear" w:color="auto" w:fill="auto"/>
          </w:tcPr>
          <w:p w14:paraId="1B12DF81" w14:textId="77777777" w:rsidR="007F576F" w:rsidRPr="00CA4D2B" w:rsidRDefault="007F576F" w:rsidP="002E35F5">
            <w:pPr>
              <w:spacing w:before="40" w:after="120"/>
              <w:ind w:right="113"/>
            </w:pPr>
            <w:r>
              <w:t>Седьмая сессия Совещания Сторон Конвенции (подготовительный сегмент)</w:t>
            </w:r>
            <w:r w:rsidRPr="00357EF2">
              <w:rPr>
                <w:i/>
                <w:iCs/>
                <w:sz w:val="18"/>
                <w:szCs w:val="18"/>
                <w:vertAlign w:val="superscript"/>
              </w:rPr>
              <w:t>а</w:t>
            </w:r>
          </w:p>
        </w:tc>
      </w:tr>
      <w:tr w:rsidR="007F576F" w:rsidRPr="00CA4D2B" w14:paraId="1D558E67" w14:textId="77777777" w:rsidTr="002E35F5">
        <w:tc>
          <w:tcPr>
            <w:tcW w:w="3119" w:type="dxa"/>
            <w:shd w:val="clear" w:color="auto" w:fill="auto"/>
          </w:tcPr>
          <w:p w14:paraId="4C09F01E" w14:textId="0583D481" w:rsidR="007F576F" w:rsidRPr="00CA4D2B" w:rsidRDefault="007F576F" w:rsidP="007F576F">
            <w:pPr>
              <w:spacing w:before="40" w:after="120"/>
              <w:ind w:left="17" w:right="113"/>
            </w:pPr>
            <w:r>
              <w:t xml:space="preserve">Вторник, 19 октября  </w:t>
            </w:r>
            <w:r>
              <w:br/>
              <w:t xml:space="preserve">(10 ч 00 мин – 13 ч 00 мин  </w:t>
            </w:r>
            <w:r>
              <w:br/>
              <w:t>и 15 ч 00 мин – 18 ч 00 мин)</w:t>
            </w:r>
          </w:p>
        </w:tc>
        <w:tc>
          <w:tcPr>
            <w:tcW w:w="4251" w:type="dxa"/>
            <w:shd w:val="clear" w:color="auto" w:fill="auto"/>
          </w:tcPr>
          <w:p w14:paraId="344D878A" w14:textId="77777777" w:rsidR="007F576F" w:rsidRPr="00CA4D2B" w:rsidRDefault="007F576F" w:rsidP="002E35F5">
            <w:pPr>
              <w:spacing w:before="40" w:after="120"/>
              <w:ind w:right="113"/>
            </w:pPr>
            <w:r>
              <w:t>Седьмая сессия Совещания Сторон Конвенции (общий сегмент)</w:t>
            </w:r>
          </w:p>
        </w:tc>
      </w:tr>
      <w:tr w:rsidR="007F576F" w:rsidRPr="00CA4D2B" w14:paraId="49B78618" w14:textId="77777777" w:rsidTr="002E35F5">
        <w:tc>
          <w:tcPr>
            <w:tcW w:w="3119" w:type="dxa"/>
            <w:shd w:val="clear" w:color="auto" w:fill="auto"/>
          </w:tcPr>
          <w:p w14:paraId="7644D404" w14:textId="0B4E3324" w:rsidR="007F576F" w:rsidRPr="00CA4D2B" w:rsidRDefault="007F576F" w:rsidP="007F576F">
            <w:pPr>
              <w:spacing w:before="40" w:after="120"/>
              <w:ind w:left="17" w:right="113"/>
            </w:pPr>
            <w:r>
              <w:t xml:space="preserve">Среда, 20 октября  </w:t>
            </w:r>
            <w:r>
              <w:br/>
              <w:t xml:space="preserve">(10 ч 00 мин – 13 ч 00 мин  </w:t>
            </w:r>
            <w:r>
              <w:br/>
              <w:t>и 15 ч 00 мин – 18 ч 00 мин)</w:t>
            </w:r>
          </w:p>
        </w:tc>
        <w:tc>
          <w:tcPr>
            <w:tcW w:w="4251" w:type="dxa"/>
            <w:shd w:val="clear" w:color="auto" w:fill="auto"/>
          </w:tcPr>
          <w:p w14:paraId="49868C0C" w14:textId="77777777" w:rsidR="007F576F" w:rsidRPr="00CA4D2B" w:rsidRDefault="007F576F" w:rsidP="002E35F5">
            <w:pPr>
              <w:spacing w:before="40" w:after="120"/>
              <w:ind w:right="113"/>
            </w:pPr>
            <w:r>
              <w:t xml:space="preserve">Седьмая сессия Совещания Сторон Конвенции (общий сегмент) </w:t>
            </w:r>
          </w:p>
        </w:tc>
      </w:tr>
      <w:tr w:rsidR="007F576F" w:rsidRPr="00CA4D2B" w14:paraId="0403E925" w14:textId="77777777" w:rsidTr="00BB17FB">
        <w:tc>
          <w:tcPr>
            <w:tcW w:w="3119" w:type="dxa"/>
            <w:shd w:val="clear" w:color="auto" w:fill="auto"/>
          </w:tcPr>
          <w:p w14:paraId="20A0297A" w14:textId="336587AE" w:rsidR="007F576F" w:rsidRPr="00CA4D2B" w:rsidRDefault="007F576F" w:rsidP="007F576F">
            <w:pPr>
              <w:spacing w:before="40" w:after="120"/>
              <w:ind w:left="17" w:right="113"/>
            </w:pPr>
            <w:r>
              <w:t xml:space="preserve">Четверг, 21 октября  </w:t>
            </w:r>
            <w:r>
              <w:br/>
              <w:t xml:space="preserve">(10 ч 00 мин – 13 ч 00 мин  </w:t>
            </w:r>
            <w:r>
              <w:br/>
              <w:t>и 15 ч 00 мин – 18 ч 00 мин)</w:t>
            </w:r>
          </w:p>
        </w:tc>
        <w:tc>
          <w:tcPr>
            <w:tcW w:w="4251" w:type="dxa"/>
            <w:shd w:val="clear" w:color="auto" w:fill="auto"/>
          </w:tcPr>
          <w:p w14:paraId="3B63F03B" w14:textId="77777777" w:rsidR="007F576F" w:rsidRPr="00CA4D2B" w:rsidRDefault="007F576F" w:rsidP="002E35F5">
            <w:pPr>
              <w:spacing w:before="40" w:after="120"/>
              <w:ind w:right="113"/>
            </w:pPr>
            <w:r>
              <w:t>Совместный сегмент высокого уровня Совещаний Сторон Конвенции и Протокола о регистрах выбросов и переноса загрязнителей</w:t>
            </w:r>
            <w:r w:rsidRPr="00357EF2">
              <w:rPr>
                <w:i/>
                <w:iCs/>
                <w:sz w:val="18"/>
                <w:szCs w:val="18"/>
                <w:vertAlign w:val="superscript"/>
              </w:rPr>
              <w:t>b</w:t>
            </w:r>
          </w:p>
        </w:tc>
      </w:tr>
      <w:tr w:rsidR="007F576F" w:rsidRPr="00CA4D2B" w14:paraId="413E3742" w14:textId="77777777" w:rsidTr="00BB17FB"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14:paraId="2513DE86" w14:textId="43564F59" w:rsidR="007F576F" w:rsidRPr="00CA4D2B" w:rsidRDefault="007F576F" w:rsidP="007F576F">
            <w:pPr>
              <w:spacing w:before="40" w:after="120"/>
              <w:ind w:left="17" w:right="113"/>
            </w:pPr>
            <w:r>
              <w:t xml:space="preserve">Пятница, 22 октября  </w:t>
            </w:r>
            <w:r>
              <w:br/>
              <w:t xml:space="preserve">(10 ч 00 мин – 13 ч 00 мин  </w:t>
            </w:r>
            <w:r>
              <w:br/>
              <w:t>и 15 ч 00 мин – 18 ч 00 мин)</w:t>
            </w:r>
          </w:p>
        </w:tc>
        <w:tc>
          <w:tcPr>
            <w:tcW w:w="4251" w:type="dxa"/>
            <w:tcBorders>
              <w:bottom w:val="single" w:sz="12" w:space="0" w:color="auto"/>
            </w:tcBorders>
            <w:shd w:val="clear" w:color="auto" w:fill="auto"/>
          </w:tcPr>
          <w:p w14:paraId="064C895C" w14:textId="77777777" w:rsidR="007F576F" w:rsidRPr="00CA4D2B" w:rsidRDefault="007F576F" w:rsidP="002E35F5">
            <w:pPr>
              <w:spacing w:before="40" w:after="120"/>
              <w:ind w:right="113"/>
            </w:pPr>
            <w:r>
              <w:t>Четвертая сессия Совещания Сторон Протокола о регистрах выбросов и переноса загрязнителей (общий с</w:t>
            </w:r>
            <w:bookmarkStart w:id="1" w:name="_GoBack"/>
            <w:bookmarkEnd w:id="1"/>
            <w:r>
              <w:t>егмент)</w:t>
            </w:r>
          </w:p>
        </w:tc>
      </w:tr>
    </w:tbl>
    <w:p w14:paraId="0ADAB898" w14:textId="53CAAE82" w:rsidR="007F576F" w:rsidRPr="007F576F" w:rsidRDefault="007F576F" w:rsidP="007F576F">
      <w:pPr>
        <w:pStyle w:val="ad"/>
        <w:spacing w:before="120"/>
        <w:ind w:firstLine="170"/>
      </w:pPr>
      <w:r w:rsidRPr="007F576F">
        <w:rPr>
          <w:i/>
          <w:iCs/>
          <w:vertAlign w:val="superscript"/>
        </w:rPr>
        <w:t>а</w:t>
      </w:r>
      <w:r>
        <w:t xml:space="preserve"> </w:t>
      </w:r>
      <w:r w:rsidRPr="007F576F">
        <w:t xml:space="preserve"> </w:t>
      </w:r>
      <w:r>
        <w:t xml:space="preserve">Цель подготовительного сегмента заключается в доработке любых незавершенных документов, которая может потребоваться. Конец второй половины дня/вечер будет зарезервирован для завершения подготовки и письменного перевода возможных пересмотренных документов, а также для проведения возможных координационных </w:t>
      </w:r>
      <w:r w:rsidRPr="007F576F">
        <w:t>совещаний.</w:t>
      </w:r>
    </w:p>
    <w:p w14:paraId="03E85BFD" w14:textId="219585AC" w:rsidR="007F576F" w:rsidRPr="00D01F1E" w:rsidRDefault="007F576F" w:rsidP="007F576F">
      <w:pPr>
        <w:pStyle w:val="ad"/>
        <w:ind w:firstLine="170"/>
      </w:pPr>
      <w:r w:rsidRPr="007F576F">
        <w:rPr>
          <w:i/>
          <w:iCs/>
          <w:vertAlign w:val="superscript"/>
        </w:rPr>
        <w:t>b</w:t>
      </w:r>
      <w:r>
        <w:t xml:space="preserve"> </w:t>
      </w:r>
      <w:r w:rsidRPr="007F576F">
        <w:t xml:space="preserve"> </w:t>
      </w:r>
      <w:r>
        <w:t>При условии принятия Сторонами Конвенции и Протокола соответствующего решения тематический сегмент высокого уровня можно было бы организовать совместно силами обоих Совещаний Сторон. Если сегмент высокого уровня проводиться не будет, то четвертую сессию Совещания Сторон Протокола о регистрах выбросов и переноса загрязнителей можно было бы провести в четверг, 21 октября.</w:t>
      </w:r>
    </w:p>
    <w:p w14:paraId="041DB84E" w14:textId="0035E62A" w:rsidR="007F576F" w:rsidRPr="00CA4D2B" w:rsidRDefault="007F576F" w:rsidP="007F576F">
      <w:pPr>
        <w:pStyle w:val="HChG"/>
        <w:ind w:left="0" w:firstLine="0"/>
      </w:pPr>
      <w:r>
        <w:tab/>
        <w:t>III.</w:t>
      </w:r>
      <w:r>
        <w:tab/>
      </w:r>
      <w:r>
        <w:rPr>
          <w:bCs/>
        </w:rPr>
        <w:t>Основные элементы повестки дня</w:t>
      </w:r>
    </w:p>
    <w:p w14:paraId="03342F14" w14:textId="2BACE477" w:rsidR="007F576F" w:rsidRPr="00CA4D2B" w:rsidRDefault="007F576F" w:rsidP="007F576F">
      <w:pPr>
        <w:pStyle w:val="SingleTxtG"/>
      </w:pPr>
      <w:r>
        <w:t>3.</w:t>
      </w:r>
      <w:r>
        <w:tab/>
        <w:t>В отношении седьмой сессии Совещания Сторон Конвенции предлагается, чтобы: a) повестка дня в целом была аналогична повестке дня шестой сессии (Будва, Черногория, 11</w:t>
      </w:r>
      <w:r w:rsidR="00357EF2" w:rsidRPr="00357EF2">
        <w:t>–</w:t>
      </w:r>
      <w:r>
        <w:t xml:space="preserve">14 сентября 2017 года); b) повестка дня охватывала все основные области работы по Конвенции; и с) в ходе обсуждений были рассмотрены надлежащая практика, достигнутые результаты, извлеченные уроки, проблемы и препятствия на пути осуществления Конвенции. Представителям правительств и заинтересованным субъектам можно было бы предложить выступить с основными докладами по конкретным пунктам повестки дня, как это было сделано на шестой сессии Совещания Сторон. </w:t>
      </w:r>
    </w:p>
    <w:p w14:paraId="03FEC239" w14:textId="5CAFC4BE" w:rsidR="007F576F" w:rsidRPr="00CA4D2B" w:rsidRDefault="007F576F" w:rsidP="007F576F">
      <w:pPr>
        <w:pStyle w:val="SingleTxtG"/>
      </w:pPr>
      <w:r>
        <w:t>4.</w:t>
      </w:r>
      <w:r>
        <w:tab/>
        <w:t>В случае принятия Сторонами решения провести сегмент высокого уровня они, возможно, пожелают рассмотреть возможность организации тематического заседания по какой-либо теме, которая способствовала бы привлечению участников высокого уровня и могла бы быть увязана с новыми вопросами в глобальном контексте. Основное внимание в ходе этого заседания можно было бы уделить, например, роли Конвенции и Протокола к ней в обеспечении устойчивой инфраструктуры и территориального планирования</w:t>
      </w:r>
      <w:r w:rsidRPr="00425945">
        <w:rPr>
          <w:rStyle w:val="aa"/>
          <w:rFonts w:cstheme="majorBidi"/>
        </w:rPr>
        <w:footnoteReference w:id="3"/>
      </w:r>
      <w:r w:rsidR="00357EF2" w:rsidRPr="00357EF2">
        <w:t>.</w:t>
      </w:r>
      <w:r>
        <w:t xml:space="preserve"> </w:t>
      </w:r>
    </w:p>
    <w:p w14:paraId="5F6DC1C6" w14:textId="5E1B96D2" w:rsidR="007F576F" w:rsidRPr="00CA4D2B" w:rsidRDefault="007F576F" w:rsidP="007F576F">
      <w:pPr>
        <w:pStyle w:val="SingleTxtG"/>
        <w:rPr>
          <w:shd w:val="clear" w:color="auto" w:fill="FFFFFF"/>
        </w:rPr>
      </w:pPr>
      <w:r>
        <w:t>5.</w:t>
      </w:r>
      <w:r>
        <w:tab/>
        <w:t>Территориальное планирование и крупномасштабные инфраструктурные проекты оказывают существенное влияние на жизни тысяч людей в разных странах и регионах. Такие проекты создают новые возможности для занятости, путешествий и экономического роста в целом. В то же время они оказывают огромное влияние на экосистемы и здоровье и благополучие людей. Они часто приводят к возникновению серьезных экологических проблем, например в результате выбросов парниковых газов, отходов и других форм загрязнения, а также к изменению открытых зеленых пространств и сельскохозяйственных угодий. Кроме того, они могут активно менять природные среды обитания и влиять на биоразнообразие. Против этих проектов обычно выступают люди, обеспокоенные их потенциальным воздействием на окружающую среду. Слишком часто такое противостояние приводит к тому, что эти люди находятся под угрозой преследования и даже опасаются за свою жизнь. В этой связи крайне важно обеспечить полноценный учет и решение экологических и социальных проблем с самых первых этапов территориального планирования и разработки концепций проектов, а также при продлении срока и изменении условий эксплуатации.</w:t>
      </w:r>
    </w:p>
    <w:p w14:paraId="10AFBB30" w14:textId="77777777" w:rsidR="007F576F" w:rsidRPr="00CA4D2B" w:rsidRDefault="007F576F" w:rsidP="007F576F">
      <w:pPr>
        <w:pStyle w:val="SingleTxtG"/>
      </w:pPr>
      <w:r>
        <w:t>6.</w:t>
      </w:r>
      <w:r>
        <w:tab/>
        <w:t xml:space="preserve">Вышеупомянутые темы позволили бы Сторонам и заинтересованным субъектам обсудить ряд вопросов, которые были определены в ходе работы по Конвенции и Протоколу как имеющие решающее значение, а именно: а) прозрачность и эффективное и инклюзивное участие общественности в принятии решений по вопросам политики и проектам, связанным с масштабным, в том числе трансграничным, инфраструктурным и территориально-пространственным планированием; b) возможный вклад регистров выбросов и переноса загрязнителей в устойчивое планирование и политику в области здравоохранения посредством, например, картографической визуализации зарегистрированных источников выбросов загрязнителей, которая может помочь определить оптимальное место для осуществления инфраструктурных проектов, а также необходимость и возможности для улучшения условий их эксплуатации в целях предотвращения или, по крайней мере, сведения к минимуму потенциальных рисков для окружающей среды и здоровья человека; и c) верховенство права в этом контексте. </w:t>
      </w:r>
    </w:p>
    <w:p w14:paraId="40ACEB11" w14:textId="4DAB7483" w:rsidR="007F576F" w:rsidRPr="00CA4D2B" w:rsidRDefault="007F576F" w:rsidP="007F576F">
      <w:pPr>
        <w:pStyle w:val="SingleTxtG"/>
        <w:rPr>
          <w:shd w:val="clear" w:color="auto" w:fill="FFFFFF"/>
        </w:rPr>
      </w:pPr>
      <w:r>
        <w:t>7.</w:t>
      </w:r>
      <w:r>
        <w:tab/>
        <w:t>Эти темы тесно связаны с осуществлением ряда региональных и глобальных инициатив и обязательств, в частности: резолюции 4/5 Ассамблеи Организации Объединенных Наций по окружающей среде об устойчивой инфраструктуре (UNEP/EA.4/Res.5), в которой признается центральное место инфраструктуры в осуществлении Повестки дня в области устойчивого развития на период до 2030 года; резолюции 4/19 Ассамблеи Организации Объединенных Наций по окружающей среде о регулировании полезных ископаемых (UNEP/EA.4/Res.19), в которой рассматриваются такие вопросы, как экологические риски, риски, связанные с правами человека, и риски, связанные с конфликтами в горнодобывающей промышленности; нового «Европейского зеленого курса»</w:t>
      </w:r>
      <w:r w:rsidRPr="00425945">
        <w:rPr>
          <w:rStyle w:val="aa"/>
          <w:rFonts w:asciiTheme="majorBidi" w:hAnsiTheme="majorBidi" w:cstheme="majorBidi"/>
        </w:rPr>
        <w:footnoteReference w:id="4"/>
      </w:r>
      <w:r>
        <w:t>, в рамках которого признается важность «умной инфраструктуры» и «нулевого загрязнения» в экономике замкнутого цикла; решений, принятых под эгидой Конвенции о биологическом разнообразии, призывающих к принятию срочных мер, например по обеспечению безопасности и сохранению разнообразия жизни на планете</w:t>
      </w:r>
      <w:r w:rsidRPr="00425945">
        <w:rPr>
          <w:rStyle w:val="aa"/>
          <w:rFonts w:asciiTheme="majorBidi" w:hAnsiTheme="majorBidi" w:cstheme="majorBidi"/>
          <w:shd w:val="clear" w:color="auto" w:fill="FFFFFF"/>
        </w:rPr>
        <w:footnoteReference w:id="5"/>
      </w:r>
      <w:r>
        <w:t>; а также обязательства в отношении климатоустойчивой инфраструктуры, принятых в соответствии с Рамочной конвенцией Организации Объединенных Наций об изменении климата. Кроме того, непосредственное отношение к вышеупомянутым вопросам имеют резолюции Совета по правам человека 37/8 о правах человека и окружающей среде (A/HRC/RES/37/8), 40/11 о признании вклада защитников экологических прав человека в осуществление прав человека, охрану окружающей среды и устойчивое развитие (A/HRC/RES/40/11) и 42/21 о защите прав работников, подвергающихся воздействию опасных веществ и отходов (A/HRC/RES/42/21). Эти обсуждения будут также иметь важное значение с точки зрения масштабного инфраструктурного проекта «Один пояс, один путь»</w:t>
      </w:r>
      <w:r w:rsidRPr="00425945">
        <w:rPr>
          <w:rStyle w:val="aa"/>
          <w:rFonts w:cstheme="majorBidi"/>
          <w:shd w:val="clear" w:color="auto" w:fill="FFFFFF"/>
        </w:rPr>
        <w:footnoteReference w:id="6"/>
      </w:r>
      <w:r>
        <w:t>, учитывая, что в этой инициативе участвует подавляющее большинство Сторон Орхусской Конвенции и Протокола.</w:t>
      </w:r>
      <w:bookmarkStart w:id="2" w:name="_Hlk36047863"/>
      <w:bookmarkEnd w:id="2"/>
    </w:p>
    <w:p w14:paraId="44C2C1B8" w14:textId="66AFD6A3" w:rsidR="007F576F" w:rsidRPr="00CA4D2B" w:rsidRDefault="007F576F" w:rsidP="007F576F">
      <w:pPr>
        <w:pStyle w:val="SingleTxtG"/>
      </w:pPr>
      <w:r>
        <w:t>8.</w:t>
      </w:r>
      <w:r>
        <w:tab/>
        <w:t>И наконец, эти темы имеют отношение к реализации ряда Целей в области устойчивого развития. Помимо Цели 16 к ним относятся: Цель 3 (Здоровье и благополучие), Цель 9 (Индустриализация, инновации и инфраструктура), Цель 11 (Устойчивые города и населенные пункты), Цель 13 (Борьба с изменением климата) и Цель 15 (Сохранение экосистем суши). Кроме того, в качестве отдельной темы будет рассматриваться вопрос о защитниках окружающей среды, учитывая его неизменную актуальность. В рамках этого сегмента может быть подготовлена краткая (объемом не более двух с половиной страниц) совместная (т.</w:t>
      </w:r>
      <w:r w:rsidR="00AD5DA6">
        <w:rPr>
          <w:lang w:val="en-US"/>
        </w:rPr>
        <w:t> </w:t>
      </w:r>
      <w:r>
        <w:t>е. со Сторонами Протокола) декларация по конкретной теме для ее рассмотрения высокопоставленными должностными лицами.</w:t>
      </w:r>
    </w:p>
    <w:p w14:paraId="7E8E81D0" w14:textId="77777777" w:rsidR="007F576F" w:rsidRPr="00CA4D2B" w:rsidRDefault="007F576F" w:rsidP="007F576F">
      <w:pPr>
        <w:pStyle w:val="SingleTxtG"/>
      </w:pPr>
      <w:r>
        <w:t>9.</w:t>
      </w:r>
      <w:r>
        <w:tab/>
        <w:t>Таким образом, повестка дня седьмой сессии Совещания Сторон Конвенции могла бы включать следующие пункты:</w:t>
      </w:r>
    </w:p>
    <w:p w14:paraId="3C16FDD3" w14:textId="77777777" w:rsidR="007F576F" w:rsidRPr="00CA4D2B" w:rsidRDefault="007F576F" w:rsidP="007F576F">
      <w:pPr>
        <w:pStyle w:val="H23G"/>
      </w:pPr>
      <w:r>
        <w:tab/>
      </w:r>
      <w:r>
        <w:tab/>
      </w:r>
      <w:r>
        <w:rPr>
          <w:bCs/>
        </w:rPr>
        <w:t>Подготовительный сегмент</w:t>
      </w:r>
    </w:p>
    <w:p w14:paraId="59146BD5" w14:textId="77777777" w:rsidR="007F576F" w:rsidRPr="00CA4D2B" w:rsidRDefault="007F576F" w:rsidP="007F576F">
      <w:pPr>
        <w:pStyle w:val="SingleTxtG"/>
        <w:ind w:firstLine="567"/>
      </w:pPr>
      <w:r>
        <w:t>1.</w:t>
      </w:r>
      <w:r>
        <w:tab/>
        <w:t xml:space="preserve">Открытие подготовительного сегмента. </w:t>
      </w:r>
    </w:p>
    <w:p w14:paraId="7F799E98" w14:textId="77777777" w:rsidR="007F576F" w:rsidRPr="00CA4D2B" w:rsidRDefault="007F576F" w:rsidP="007F576F">
      <w:pPr>
        <w:pStyle w:val="SingleTxtG"/>
        <w:ind w:firstLine="567"/>
      </w:pPr>
      <w:r>
        <w:t>2.</w:t>
      </w:r>
      <w:r>
        <w:tab/>
        <w:t xml:space="preserve">Утверждение повестки дня. </w:t>
      </w:r>
    </w:p>
    <w:p w14:paraId="77C633B6" w14:textId="77777777" w:rsidR="007F576F" w:rsidRPr="00CA4D2B" w:rsidRDefault="007F576F" w:rsidP="007F576F">
      <w:pPr>
        <w:pStyle w:val="SingleTxtG"/>
        <w:ind w:firstLine="567"/>
      </w:pPr>
      <w:r>
        <w:t>3.</w:t>
      </w:r>
      <w:r>
        <w:tab/>
        <w:t>Доработка незавершенных документов.</w:t>
      </w:r>
    </w:p>
    <w:p w14:paraId="09BACF1F" w14:textId="77777777" w:rsidR="007F576F" w:rsidRPr="00CA4D2B" w:rsidRDefault="007F576F" w:rsidP="007F576F">
      <w:pPr>
        <w:pStyle w:val="H23G"/>
      </w:pPr>
      <w:r>
        <w:tab/>
      </w:r>
      <w:r>
        <w:tab/>
      </w:r>
      <w:r>
        <w:rPr>
          <w:bCs/>
        </w:rPr>
        <w:t>Общий сегмент</w:t>
      </w:r>
    </w:p>
    <w:p w14:paraId="5EA8916E" w14:textId="77777777" w:rsidR="007F576F" w:rsidRPr="00CA4D2B" w:rsidRDefault="007F576F" w:rsidP="007F576F">
      <w:pPr>
        <w:pStyle w:val="SingleTxtG"/>
        <w:ind w:firstLine="558"/>
      </w:pPr>
      <w:r>
        <w:t>4.</w:t>
      </w:r>
      <w:r>
        <w:tab/>
        <w:t>Открытие общего сегмента.</w:t>
      </w:r>
    </w:p>
    <w:p w14:paraId="03E01982" w14:textId="77777777" w:rsidR="007F576F" w:rsidRPr="00CA4D2B" w:rsidRDefault="007F576F" w:rsidP="007F576F">
      <w:pPr>
        <w:pStyle w:val="SingleTxtG"/>
        <w:ind w:left="2262" w:hanging="570"/>
      </w:pPr>
      <w:r>
        <w:t>5.</w:t>
      </w:r>
      <w:r>
        <w:tab/>
        <w:t>Положение дел с ратификацией Конвенции и поправками к Конвенции.</w:t>
      </w:r>
    </w:p>
    <w:p w14:paraId="473F3CF5" w14:textId="77777777" w:rsidR="007F576F" w:rsidRPr="00CA4D2B" w:rsidRDefault="007F576F" w:rsidP="00AD5DA6">
      <w:pPr>
        <w:pStyle w:val="SingleTxtG"/>
        <w:ind w:left="1692"/>
      </w:pPr>
      <w:r>
        <w:t>6.</w:t>
      </w:r>
      <w:r>
        <w:tab/>
        <w:t>Вопросы существа:</w:t>
      </w:r>
    </w:p>
    <w:p w14:paraId="60126DB3" w14:textId="7324F567" w:rsidR="007F576F" w:rsidRPr="00CA4D2B" w:rsidRDefault="007F576F" w:rsidP="007F576F">
      <w:pPr>
        <w:pStyle w:val="SingleTxtG"/>
        <w:ind w:firstLine="567"/>
      </w:pPr>
      <w:r>
        <w:tab/>
        <w:t>a)</w:t>
      </w:r>
      <w:r>
        <w:tab/>
        <w:t xml:space="preserve">доступ к информации, включая электронные средства </w:t>
      </w:r>
      <w:r w:rsidR="00AD5DA6">
        <w:tab/>
      </w:r>
      <w:r w:rsidR="00AD5DA6">
        <w:tab/>
      </w:r>
      <w:r w:rsidR="00AD5DA6">
        <w:tab/>
      </w:r>
      <w:r w:rsidR="00AD5DA6">
        <w:tab/>
      </w:r>
      <w:r>
        <w:t>информации;</w:t>
      </w:r>
    </w:p>
    <w:p w14:paraId="3E075F0B" w14:textId="2CF97445" w:rsidR="007F576F" w:rsidRPr="00CA4D2B" w:rsidRDefault="007F576F" w:rsidP="007F576F">
      <w:pPr>
        <w:pStyle w:val="SingleTxtG"/>
        <w:ind w:firstLine="567"/>
      </w:pPr>
      <w:r>
        <w:tab/>
        <w:t>b)</w:t>
      </w:r>
      <w:r>
        <w:tab/>
        <w:t>участие общественности в процессе принятия решений;</w:t>
      </w:r>
    </w:p>
    <w:p w14:paraId="3BD5FBDE" w14:textId="78EE435E" w:rsidR="007F576F" w:rsidRPr="00CA4D2B" w:rsidRDefault="007F576F" w:rsidP="007F576F">
      <w:pPr>
        <w:pStyle w:val="SingleTxtG"/>
        <w:ind w:firstLine="567"/>
      </w:pPr>
      <w:r>
        <w:tab/>
        <w:t>с)</w:t>
      </w:r>
      <w:r>
        <w:tab/>
        <w:t>доступ к правосудию;</w:t>
      </w:r>
    </w:p>
    <w:p w14:paraId="1B2C4972" w14:textId="679B7837" w:rsidR="007F576F" w:rsidRPr="00CA4D2B" w:rsidRDefault="007F576F" w:rsidP="007F576F">
      <w:pPr>
        <w:pStyle w:val="SingleTxtG"/>
        <w:ind w:firstLine="567"/>
      </w:pPr>
      <w:r>
        <w:tab/>
        <w:t>d)</w:t>
      </w:r>
      <w:r>
        <w:tab/>
        <w:t>генетически модифицированные организмы.</w:t>
      </w:r>
      <w:r>
        <w:tab/>
      </w:r>
    </w:p>
    <w:p w14:paraId="0D0A4D12" w14:textId="77777777" w:rsidR="007F576F" w:rsidRPr="00D01F1E" w:rsidRDefault="007F576F" w:rsidP="007F576F">
      <w:pPr>
        <w:pStyle w:val="SingleTxtG"/>
        <w:ind w:left="1701"/>
      </w:pPr>
      <w:r>
        <w:t>7.</w:t>
      </w:r>
      <w:r>
        <w:tab/>
        <w:t xml:space="preserve">Процедуры и механизмы, способствующие осуществлению Конвенции: </w:t>
      </w:r>
    </w:p>
    <w:p w14:paraId="5F3B56EC" w14:textId="525FB49D" w:rsidR="007F576F" w:rsidRPr="00CA4D2B" w:rsidRDefault="007F576F" w:rsidP="007F576F">
      <w:pPr>
        <w:pStyle w:val="SingleTxtG"/>
        <w:ind w:firstLine="567"/>
      </w:pPr>
      <w:r>
        <w:tab/>
        <w:t>a)</w:t>
      </w:r>
      <w:r>
        <w:tab/>
        <w:t>механизм отчетности;</w:t>
      </w:r>
    </w:p>
    <w:p w14:paraId="02827C19" w14:textId="3CA0D4AF" w:rsidR="007F576F" w:rsidRPr="00CA4D2B" w:rsidRDefault="007F576F" w:rsidP="007F576F">
      <w:pPr>
        <w:pStyle w:val="SingleTxtG"/>
        <w:ind w:firstLine="567"/>
        <w:rPr>
          <w:bCs/>
        </w:rPr>
      </w:pPr>
      <w:r>
        <w:tab/>
        <w:t>b)</w:t>
      </w:r>
      <w:r>
        <w:tab/>
        <w:t>механизм соблюдения;</w:t>
      </w:r>
    </w:p>
    <w:p w14:paraId="62DF6ED2" w14:textId="010C1BC3" w:rsidR="007F576F" w:rsidRPr="00CA4D2B" w:rsidRDefault="007F576F" w:rsidP="007F576F">
      <w:pPr>
        <w:pStyle w:val="SingleTxtG"/>
        <w:ind w:firstLine="567"/>
      </w:pPr>
      <w:r>
        <w:tab/>
        <w:t>с)</w:t>
      </w:r>
      <w:r>
        <w:tab/>
        <w:t>укрепление потенциала.</w:t>
      </w:r>
    </w:p>
    <w:p w14:paraId="30AB60C8" w14:textId="77777777" w:rsidR="007F576F" w:rsidRPr="00CA4D2B" w:rsidRDefault="007F576F" w:rsidP="00AD5DA6">
      <w:pPr>
        <w:pStyle w:val="SingleTxtG"/>
        <w:ind w:left="1701"/>
        <w:rPr>
          <w:bCs/>
          <w:sz w:val="22"/>
          <w:szCs w:val="22"/>
        </w:rPr>
      </w:pPr>
      <w:r>
        <w:t>8.</w:t>
      </w:r>
      <w:r>
        <w:tab/>
        <w:t>Пропаганда Конвенции и соответствующие изменения и взаимосвязи:</w:t>
      </w:r>
    </w:p>
    <w:p w14:paraId="39ACB81E" w14:textId="5A745976" w:rsidR="007F576F" w:rsidRPr="00CA4D2B" w:rsidRDefault="007F576F" w:rsidP="00AD5DA6">
      <w:pPr>
        <w:pStyle w:val="SingleTxtG"/>
        <w:ind w:left="2835" w:hanging="567"/>
      </w:pPr>
      <w:r>
        <w:t>a)</w:t>
      </w:r>
      <w:r>
        <w:tab/>
        <w:t>присоединение к Конвенции государств, расположенных за пределами региона Европейской экономической комиссии Организации Объединенных Наций;</w:t>
      </w:r>
    </w:p>
    <w:p w14:paraId="32201A1C" w14:textId="12A4C31D" w:rsidR="007F576F" w:rsidRPr="00CA4D2B" w:rsidRDefault="007F576F" w:rsidP="00AD5DA6">
      <w:pPr>
        <w:pStyle w:val="SingleTxtG"/>
        <w:ind w:left="2835" w:hanging="567"/>
        <w:rPr>
          <w:bCs/>
        </w:rPr>
      </w:pPr>
      <w:r>
        <w:t>b)</w:t>
      </w:r>
      <w:r>
        <w:tab/>
        <w:t>пропаганда принципов Конвенции;</w:t>
      </w:r>
    </w:p>
    <w:p w14:paraId="14967B64" w14:textId="19996769" w:rsidR="007F576F" w:rsidRPr="00CA4D2B" w:rsidRDefault="007F576F" w:rsidP="00AD5DA6">
      <w:pPr>
        <w:pStyle w:val="SingleTxtG"/>
        <w:ind w:left="2835" w:hanging="567"/>
      </w:pPr>
      <w:r>
        <w:t>с)</w:t>
      </w:r>
      <w:r>
        <w:tab/>
        <w:t>синергетические связи между Конвенцией и другими соответствующими многосторонними природоохранными соглашениями и процессами;</w:t>
      </w:r>
    </w:p>
    <w:p w14:paraId="6C086F49" w14:textId="2E6CBE5A" w:rsidR="007F576F" w:rsidRPr="00AD5DA6" w:rsidRDefault="007F576F" w:rsidP="00AD5DA6">
      <w:pPr>
        <w:pStyle w:val="SingleTxtG"/>
        <w:ind w:left="2835" w:hanging="567"/>
      </w:pPr>
      <w:r>
        <w:t>d)</w:t>
      </w:r>
      <w:r>
        <w:tab/>
        <w:t>глобальные и региональные изменения, касающиеся осуществления принципа 10 Рио-де-Жанейрской декларации по окружающей среде и развитию</w:t>
      </w:r>
      <w:r w:rsidR="00AD5DA6" w:rsidRPr="00AD5DA6">
        <w:t>;</w:t>
      </w:r>
    </w:p>
    <w:p w14:paraId="1AA23A0F" w14:textId="52457D8D" w:rsidR="007F576F" w:rsidRPr="00CA4D2B" w:rsidRDefault="007F576F" w:rsidP="00AD5DA6">
      <w:pPr>
        <w:pStyle w:val="SingleTxtG"/>
        <w:ind w:left="2835" w:hanging="567"/>
        <w:rPr>
          <w:i/>
          <w:sz w:val="22"/>
          <w:szCs w:val="22"/>
        </w:rPr>
      </w:pPr>
      <w:r>
        <w:t>e)</w:t>
      </w:r>
      <w:r>
        <w:tab/>
        <w:t>обновленная информация об инициативах Программы Организации Объединенных Наций по окружающей среде в области доступа к информации, участия общественности и доступа к правосудию по вопросам, касающимся окружающей среды.</w:t>
      </w:r>
    </w:p>
    <w:p w14:paraId="5C9A12B6" w14:textId="77777777" w:rsidR="007F576F" w:rsidRPr="00CA4D2B" w:rsidRDefault="007F576F" w:rsidP="007F576F">
      <w:pPr>
        <w:pStyle w:val="SingleTxtG"/>
        <w:ind w:firstLine="567"/>
      </w:pPr>
      <w:r>
        <w:t>9.</w:t>
      </w:r>
      <w:r>
        <w:tab/>
        <w:t>Программа работы и функционирование Конвенции:</w:t>
      </w:r>
    </w:p>
    <w:p w14:paraId="1DCCB1FA" w14:textId="5A0BEBFB" w:rsidR="007F576F" w:rsidRPr="00CA4D2B" w:rsidRDefault="007F576F" w:rsidP="007F576F">
      <w:pPr>
        <w:pStyle w:val="SingleTxtG"/>
        <w:ind w:firstLine="567"/>
      </w:pPr>
      <w:r>
        <w:tab/>
        <w:t>a)</w:t>
      </w:r>
      <w:r>
        <w:tab/>
        <w:t>осуществление программы работы на 2018–2021 годы;</w:t>
      </w:r>
      <w:bookmarkStart w:id="3" w:name="_Hlk31879406"/>
      <w:bookmarkEnd w:id="3"/>
    </w:p>
    <w:p w14:paraId="50D47FD6" w14:textId="77777777" w:rsidR="007F576F" w:rsidRPr="00CA4D2B" w:rsidRDefault="007F576F" w:rsidP="007F576F">
      <w:pPr>
        <w:pStyle w:val="SingleTxtG"/>
        <w:ind w:left="1701" w:firstLine="567"/>
      </w:pPr>
      <w:r>
        <w:t>b)</w:t>
      </w:r>
      <w:r>
        <w:tab/>
        <w:t>будущая программа работы на 2022–2025 годы;</w:t>
      </w:r>
    </w:p>
    <w:p w14:paraId="0339218B" w14:textId="1668E9A8" w:rsidR="007F576F" w:rsidRPr="00CA4D2B" w:rsidRDefault="007F576F" w:rsidP="007F576F">
      <w:pPr>
        <w:pStyle w:val="SingleTxtG"/>
        <w:ind w:firstLine="567"/>
      </w:pPr>
      <w:r>
        <w:tab/>
        <w:t>с)</w:t>
      </w:r>
      <w:r>
        <w:tab/>
        <w:t>Стратегический план на 2022–2030 годы;</w:t>
      </w:r>
    </w:p>
    <w:p w14:paraId="41C87B15" w14:textId="51D893F8" w:rsidR="007F576F" w:rsidRPr="00CA4D2B" w:rsidRDefault="007F576F" w:rsidP="007F576F">
      <w:pPr>
        <w:pStyle w:val="SingleTxtG"/>
        <w:ind w:firstLine="567"/>
      </w:pPr>
      <w:r>
        <w:tab/>
        <w:t>d)</w:t>
      </w:r>
      <w:r>
        <w:tab/>
        <w:t>механизмы финансирования.</w:t>
      </w:r>
    </w:p>
    <w:p w14:paraId="4326A734" w14:textId="77777777" w:rsidR="007F576F" w:rsidRPr="00CA4D2B" w:rsidRDefault="007F576F" w:rsidP="007F576F">
      <w:pPr>
        <w:pStyle w:val="SingleTxtG"/>
        <w:ind w:firstLine="567"/>
      </w:pPr>
      <w:r>
        <w:t>10.</w:t>
      </w:r>
      <w:r>
        <w:tab/>
        <w:t>Доклад о проверке полномочий в отношении Сторон Конвенции.</w:t>
      </w:r>
    </w:p>
    <w:p w14:paraId="3CE946D0" w14:textId="77777777" w:rsidR="007F576F" w:rsidRPr="00CA4D2B" w:rsidRDefault="007F576F" w:rsidP="007F576F">
      <w:pPr>
        <w:pStyle w:val="SingleTxtG"/>
        <w:ind w:firstLine="567"/>
      </w:pPr>
      <w:r>
        <w:t>11.</w:t>
      </w:r>
      <w:r>
        <w:tab/>
        <w:t>Выборы должностных лиц и других членов Президиума.</w:t>
      </w:r>
    </w:p>
    <w:p w14:paraId="5C4E79FE" w14:textId="77777777" w:rsidR="007F576F" w:rsidRPr="00CA4D2B" w:rsidRDefault="007F576F" w:rsidP="007F576F">
      <w:pPr>
        <w:pStyle w:val="SingleTxtG"/>
        <w:ind w:firstLine="567"/>
        <w:rPr>
          <w:sz w:val="22"/>
          <w:szCs w:val="22"/>
        </w:rPr>
      </w:pPr>
      <w:r>
        <w:t>12.</w:t>
      </w:r>
      <w:r>
        <w:tab/>
        <w:t>Сроки и место проведения восьмой очередной сессии.</w:t>
      </w:r>
    </w:p>
    <w:p w14:paraId="49AAFCB5" w14:textId="1CCF4948" w:rsidR="007F576F" w:rsidRPr="00CA4D2B" w:rsidRDefault="007F576F" w:rsidP="00AD5DA6">
      <w:pPr>
        <w:pStyle w:val="SingleTxtG"/>
        <w:ind w:left="1701"/>
      </w:pPr>
      <w:r>
        <w:t>13.</w:t>
      </w:r>
      <w:r>
        <w:tab/>
        <w:t>Прочие вопросы.</w:t>
      </w:r>
    </w:p>
    <w:p w14:paraId="3FAD9A20" w14:textId="77777777" w:rsidR="007F576F" w:rsidRPr="00CA4D2B" w:rsidRDefault="007F576F" w:rsidP="007F576F">
      <w:pPr>
        <w:pStyle w:val="H23G"/>
      </w:pPr>
      <w:r>
        <w:tab/>
      </w:r>
      <w:r>
        <w:tab/>
      </w:r>
      <w:r>
        <w:rPr>
          <w:bCs/>
        </w:rPr>
        <w:t>Совместный сегмент высокого уровня (при условии принятия Сторонами Конвенции и Протокола соответствующего решения)</w:t>
      </w:r>
    </w:p>
    <w:p w14:paraId="01FE8676" w14:textId="77777777" w:rsidR="007F576F" w:rsidRPr="00CA4D2B" w:rsidRDefault="007F576F" w:rsidP="007F576F">
      <w:pPr>
        <w:pStyle w:val="SingleTxtG"/>
        <w:ind w:left="1701"/>
      </w:pPr>
      <w:r>
        <w:t>1.</w:t>
      </w:r>
      <w:r>
        <w:tab/>
        <w:t>Открытие.</w:t>
      </w:r>
    </w:p>
    <w:p w14:paraId="1C78FF43" w14:textId="77777777" w:rsidR="007F576F" w:rsidRPr="00CA4D2B" w:rsidRDefault="007F576F" w:rsidP="007F576F">
      <w:pPr>
        <w:pStyle w:val="SingleTxtG"/>
        <w:ind w:left="1701"/>
      </w:pPr>
      <w:r>
        <w:t>2.</w:t>
      </w:r>
      <w:r>
        <w:tab/>
        <w:t>Доклад о проверке полномочий в отношении Сторон Протокола.</w:t>
      </w:r>
    </w:p>
    <w:p w14:paraId="68E56F21" w14:textId="77777777" w:rsidR="007F576F" w:rsidRPr="00CA4D2B" w:rsidRDefault="007F576F" w:rsidP="007F576F">
      <w:pPr>
        <w:pStyle w:val="SingleTxtG"/>
        <w:ind w:left="1704"/>
      </w:pPr>
      <w:r>
        <w:t>3.</w:t>
      </w:r>
      <w:r>
        <w:tab/>
        <w:t>Тематическое заседание.</w:t>
      </w:r>
    </w:p>
    <w:p w14:paraId="44E521E6" w14:textId="77777777" w:rsidR="007F576F" w:rsidRPr="00CA4D2B" w:rsidRDefault="007F576F" w:rsidP="007F576F">
      <w:pPr>
        <w:pStyle w:val="SingleTxtG"/>
        <w:ind w:left="1704" w:hanging="3"/>
      </w:pPr>
      <w:r>
        <w:t>4.</w:t>
      </w:r>
      <w:r>
        <w:tab/>
        <w:t>Обсуждение и принятие декларации.</w:t>
      </w:r>
    </w:p>
    <w:p w14:paraId="25525763" w14:textId="77777777" w:rsidR="007F576F" w:rsidRPr="00CA4D2B" w:rsidRDefault="007F576F" w:rsidP="007F576F">
      <w:pPr>
        <w:pStyle w:val="SingleTxtG"/>
        <w:ind w:left="2268" w:hanging="567"/>
      </w:pPr>
      <w:r>
        <w:t>5.</w:t>
      </w:r>
      <w:r>
        <w:tab/>
        <w:t>Рассмотрение и принятие решений по Конвенции Совещанием Сторон Конвенции.</w:t>
      </w:r>
    </w:p>
    <w:p w14:paraId="62EF3AD8" w14:textId="77777777" w:rsidR="007F576F" w:rsidRPr="00CA4D2B" w:rsidRDefault="007F576F" w:rsidP="007F576F">
      <w:pPr>
        <w:pStyle w:val="SingleTxtG"/>
        <w:ind w:left="1701"/>
      </w:pPr>
      <w:r>
        <w:t>6.</w:t>
      </w:r>
      <w:r>
        <w:tab/>
        <w:t>Закрытие совместного сегмента высокого уровня.</w:t>
      </w:r>
    </w:p>
    <w:p w14:paraId="0EB14E0F" w14:textId="77777777" w:rsidR="007F576F" w:rsidRPr="00CA4D2B" w:rsidRDefault="007F576F" w:rsidP="007F576F">
      <w:pPr>
        <w:spacing w:before="240"/>
        <w:ind w:left="1134" w:right="1134"/>
        <w:jc w:val="center"/>
        <w:rPr>
          <w:u w:val="single"/>
        </w:rPr>
      </w:pPr>
      <w:r w:rsidRPr="00CA4D2B">
        <w:rPr>
          <w:u w:val="single"/>
        </w:rPr>
        <w:tab/>
      </w:r>
      <w:r w:rsidRPr="00CA4D2B">
        <w:rPr>
          <w:u w:val="single"/>
        </w:rPr>
        <w:tab/>
      </w:r>
      <w:r w:rsidRPr="00CA4D2B">
        <w:rPr>
          <w:u w:val="single"/>
        </w:rPr>
        <w:tab/>
      </w:r>
      <w:r w:rsidRPr="00CA4D2B">
        <w:rPr>
          <w:u w:val="single"/>
        </w:rPr>
        <w:tab/>
      </w:r>
    </w:p>
    <w:p w14:paraId="0D2E3CDF" w14:textId="77777777" w:rsidR="00E12C5F" w:rsidRPr="008D53B6" w:rsidRDefault="00E12C5F" w:rsidP="00D9145B"/>
    <w:sectPr w:rsidR="00E12C5F" w:rsidRPr="008D53B6" w:rsidSect="007F576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D07E2" w14:textId="77777777" w:rsidR="00F10A75" w:rsidRPr="00A312BC" w:rsidRDefault="00F10A75" w:rsidP="00A312BC"/>
  </w:endnote>
  <w:endnote w:type="continuationSeparator" w:id="0">
    <w:p w14:paraId="6487A3D8" w14:textId="77777777" w:rsidR="00F10A75" w:rsidRPr="00A312BC" w:rsidRDefault="00F10A7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8A045" w14:textId="1EA6B344" w:rsidR="007F576F" w:rsidRPr="007F576F" w:rsidRDefault="007F576F">
    <w:pPr>
      <w:pStyle w:val="a8"/>
    </w:pPr>
    <w:r w:rsidRPr="007F576F">
      <w:rPr>
        <w:b/>
        <w:sz w:val="18"/>
      </w:rPr>
      <w:fldChar w:fldCharType="begin"/>
    </w:r>
    <w:r w:rsidRPr="007F576F">
      <w:rPr>
        <w:b/>
        <w:sz w:val="18"/>
      </w:rPr>
      <w:instrText xml:space="preserve"> PAGE  \* MERGEFORMAT </w:instrText>
    </w:r>
    <w:r w:rsidRPr="007F576F">
      <w:rPr>
        <w:b/>
        <w:sz w:val="18"/>
      </w:rPr>
      <w:fldChar w:fldCharType="separate"/>
    </w:r>
    <w:r w:rsidRPr="007F576F">
      <w:rPr>
        <w:b/>
        <w:noProof/>
        <w:sz w:val="18"/>
      </w:rPr>
      <w:t>2</w:t>
    </w:r>
    <w:r w:rsidRPr="007F576F">
      <w:rPr>
        <w:b/>
        <w:sz w:val="18"/>
      </w:rPr>
      <w:fldChar w:fldCharType="end"/>
    </w:r>
    <w:r>
      <w:rPr>
        <w:b/>
        <w:sz w:val="18"/>
      </w:rPr>
      <w:tab/>
    </w:r>
    <w:r>
      <w:t>GE.21-03311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32AA5" w14:textId="144A2F86" w:rsidR="007F576F" w:rsidRPr="007F576F" w:rsidRDefault="007F576F" w:rsidP="007F576F">
    <w:pPr>
      <w:pStyle w:val="a8"/>
      <w:tabs>
        <w:tab w:val="clear" w:pos="9639"/>
        <w:tab w:val="right" w:pos="9638"/>
      </w:tabs>
      <w:rPr>
        <w:b/>
        <w:sz w:val="18"/>
      </w:rPr>
    </w:pPr>
    <w:r>
      <w:t>GE.21-03311</w:t>
    </w:r>
    <w:r>
      <w:tab/>
    </w:r>
    <w:r w:rsidRPr="007F576F">
      <w:rPr>
        <w:b/>
        <w:sz w:val="18"/>
      </w:rPr>
      <w:fldChar w:fldCharType="begin"/>
    </w:r>
    <w:r w:rsidRPr="007F576F">
      <w:rPr>
        <w:b/>
        <w:sz w:val="18"/>
      </w:rPr>
      <w:instrText xml:space="preserve"> PAGE  \* MERGEFORMAT </w:instrText>
    </w:r>
    <w:r w:rsidRPr="007F576F">
      <w:rPr>
        <w:b/>
        <w:sz w:val="18"/>
      </w:rPr>
      <w:fldChar w:fldCharType="separate"/>
    </w:r>
    <w:r w:rsidRPr="007F576F">
      <w:rPr>
        <w:b/>
        <w:noProof/>
        <w:sz w:val="18"/>
      </w:rPr>
      <w:t>3</w:t>
    </w:r>
    <w:r w:rsidRPr="007F57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73E8" w14:textId="6C7E3DB2" w:rsidR="00042B72" w:rsidRPr="007F576F" w:rsidRDefault="007F576F" w:rsidP="007F576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8877CD2" wp14:editId="7C0F53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21-03311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9CC3040" wp14:editId="31B0760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260321  290321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06329" w14:textId="77777777" w:rsidR="00F10A75" w:rsidRPr="001075E9" w:rsidRDefault="00F10A7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855504" w14:textId="77777777" w:rsidR="00F10A75" w:rsidRDefault="00F10A7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30C43E8" w14:textId="77777777" w:rsidR="007F576F" w:rsidRPr="00D01F1E" w:rsidRDefault="007F576F" w:rsidP="007F576F">
      <w:pPr>
        <w:pStyle w:val="ad"/>
      </w:pPr>
      <w:r>
        <w:tab/>
      </w:r>
      <w:r w:rsidRPr="007F576F">
        <w:rPr>
          <w:sz w:val="20"/>
        </w:rPr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  <w:footnote w:id="2">
    <w:p w14:paraId="4895E66F" w14:textId="5B135A6C" w:rsidR="007F576F" w:rsidRPr="00357EF2" w:rsidRDefault="007F576F" w:rsidP="007F576F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>
        <w:tab/>
        <w:t xml:space="preserve">См. документ ACF-47, Доклад Президиума о работе его сорок седьмого совещания. </w:t>
      </w:r>
      <w:r w:rsidR="00357EF2">
        <w:br/>
      </w:r>
      <w:r w:rsidR="00357EF2" w:rsidRPr="00357EF2">
        <w:rPr>
          <w:lang w:val="en-US"/>
        </w:rPr>
        <w:t>URL</w:t>
      </w:r>
      <w:r w:rsidRPr="00357EF2">
        <w:rPr>
          <w:lang w:val="en-US"/>
        </w:rPr>
        <w:t xml:space="preserve">: </w:t>
      </w:r>
      <w:r w:rsidR="002D22BE">
        <w:fldChar w:fldCharType="begin"/>
      </w:r>
      <w:r w:rsidR="002D22BE" w:rsidRPr="008C6338">
        <w:rPr>
          <w:lang w:val="en-US"/>
        </w:rPr>
        <w:instrText xml:space="preserve"> HYPERLINK "https://unece.org/environmental-policy/events/bureau-aarhus-conventio</w:instrText>
      </w:r>
      <w:r w:rsidR="002D22BE" w:rsidRPr="008C6338">
        <w:rPr>
          <w:lang w:val="en-US"/>
        </w:rPr>
        <w:instrText xml:space="preserve">n-47th-meeting" </w:instrText>
      </w:r>
      <w:r w:rsidR="002D22BE">
        <w:fldChar w:fldCharType="separate"/>
      </w:r>
      <w:r w:rsidRPr="00357EF2">
        <w:rPr>
          <w:rStyle w:val="af1"/>
          <w:lang w:val="en-US"/>
        </w:rPr>
        <w:t>https://unece.org/environmental-policy/events/bureau-aarhus-convention-47th-meeting</w:t>
      </w:r>
      <w:r w:rsidR="002D22BE">
        <w:rPr>
          <w:rStyle w:val="af1"/>
          <w:lang w:val="en-US"/>
        </w:rPr>
        <w:fldChar w:fldCharType="end"/>
      </w:r>
      <w:r w:rsidRPr="00357EF2">
        <w:rPr>
          <w:lang w:val="en-US"/>
        </w:rPr>
        <w:t>.</w:t>
      </w:r>
    </w:p>
  </w:footnote>
  <w:footnote w:id="3">
    <w:p w14:paraId="39B61148" w14:textId="77777777" w:rsidR="007F576F" w:rsidRPr="00D01F1E" w:rsidRDefault="007F576F" w:rsidP="007F576F">
      <w:pPr>
        <w:pStyle w:val="ad"/>
      </w:pPr>
      <w:r w:rsidRPr="00357EF2">
        <w:rPr>
          <w:sz w:val="16"/>
          <w:szCs w:val="16"/>
          <w:lang w:val="en-US"/>
        </w:rPr>
        <w:tab/>
      </w:r>
      <w:r w:rsidRPr="00BF4345">
        <w:rPr>
          <w:rStyle w:val="aa"/>
          <w:szCs w:val="18"/>
        </w:rPr>
        <w:footnoteRef/>
      </w:r>
      <w:r>
        <w:tab/>
        <w:t>Одной из основных тем девятой конференции министров «Окружающая среда для Европы» (Никосия, 3–5 ноября 2021 года) станет тема «Устойчивая инфраструктура».</w:t>
      </w:r>
    </w:p>
  </w:footnote>
  <w:footnote w:id="4">
    <w:p w14:paraId="18C1D2A5" w14:textId="6C8C26AE" w:rsidR="007F576F" w:rsidRPr="007F576F" w:rsidRDefault="007F576F" w:rsidP="007F576F">
      <w:pPr>
        <w:pStyle w:val="ad"/>
        <w:rPr>
          <w:lang w:val="en-US"/>
        </w:rPr>
      </w:pPr>
      <w:r>
        <w:tab/>
      </w:r>
      <w:r w:rsidRPr="00BF4345">
        <w:rPr>
          <w:rStyle w:val="aa"/>
          <w:szCs w:val="18"/>
        </w:rPr>
        <w:footnoteRef/>
      </w:r>
      <w:r w:rsidRPr="007F576F">
        <w:rPr>
          <w:lang w:val="en-US"/>
        </w:rPr>
        <w:tab/>
        <w:t xml:space="preserve">URL: </w:t>
      </w:r>
      <w:r w:rsidR="002D22BE">
        <w:fldChar w:fldCharType="begin"/>
      </w:r>
      <w:r w:rsidR="002D22BE" w:rsidRPr="008C6338">
        <w:rPr>
          <w:lang w:val="en-US"/>
        </w:rPr>
        <w:instrText xml:space="preserve"> HYPERLINK "https://ec.europa.eu/info/strategy/priorities-2019-2024/european-green-deal_en" </w:instrText>
      </w:r>
      <w:r w:rsidR="002D22BE">
        <w:fldChar w:fldCharType="separate"/>
      </w:r>
      <w:r w:rsidRPr="007F576F">
        <w:rPr>
          <w:rStyle w:val="af1"/>
          <w:lang w:val="en-US"/>
        </w:rPr>
        <w:t>https://ec.europa.eu/info/strategy/priorities-2019-2024/european-green-deal_en</w:t>
      </w:r>
      <w:r w:rsidR="002D22BE">
        <w:rPr>
          <w:rStyle w:val="af1"/>
          <w:lang w:val="en-US"/>
        </w:rPr>
        <w:fldChar w:fldCharType="end"/>
      </w:r>
      <w:r w:rsidRPr="007F576F">
        <w:rPr>
          <w:lang w:val="en-US"/>
        </w:rPr>
        <w:t>.</w:t>
      </w:r>
    </w:p>
  </w:footnote>
  <w:footnote w:id="5">
    <w:p w14:paraId="5EBAD576" w14:textId="54998807" w:rsidR="007F576F" w:rsidRPr="007F576F" w:rsidRDefault="007F576F" w:rsidP="007F576F">
      <w:pPr>
        <w:pStyle w:val="ad"/>
        <w:rPr>
          <w:szCs w:val="18"/>
          <w:lang w:val="en-US"/>
        </w:rPr>
      </w:pPr>
      <w:r w:rsidRPr="007F576F">
        <w:rPr>
          <w:szCs w:val="18"/>
          <w:lang w:val="en-US"/>
        </w:rPr>
        <w:tab/>
      </w:r>
      <w:r w:rsidRPr="00BF4345">
        <w:rPr>
          <w:rStyle w:val="aa"/>
          <w:szCs w:val="18"/>
        </w:rPr>
        <w:footnoteRef/>
      </w:r>
      <w:r w:rsidRPr="007F576F">
        <w:rPr>
          <w:lang w:val="en-US"/>
        </w:rPr>
        <w:tab/>
      </w:r>
      <w:r>
        <w:rPr>
          <w:lang w:val="en-US"/>
        </w:rPr>
        <w:t>URL:</w:t>
      </w:r>
      <w:r w:rsidRPr="007F576F">
        <w:rPr>
          <w:lang w:val="en-US"/>
        </w:rPr>
        <w:t xml:space="preserve"> </w:t>
      </w:r>
      <w:r w:rsidR="002D22BE">
        <w:fldChar w:fldCharType="begin"/>
      </w:r>
      <w:r w:rsidR="002D22BE" w:rsidRPr="008C6338">
        <w:rPr>
          <w:lang w:val="en-US"/>
        </w:rPr>
        <w:instrText xml:space="preserve"> HYPERLINK "http://www.cbd.int/nbsap/" </w:instrText>
      </w:r>
      <w:r w:rsidR="002D22BE">
        <w:fldChar w:fldCharType="separate"/>
      </w:r>
      <w:r w:rsidRPr="007F576F">
        <w:rPr>
          <w:rStyle w:val="af1"/>
          <w:lang w:val="en-US"/>
        </w:rPr>
        <w:t>www.cbd.int/nbsap/</w:t>
      </w:r>
      <w:r w:rsidR="002D22BE">
        <w:rPr>
          <w:rStyle w:val="af1"/>
          <w:lang w:val="en-US"/>
        </w:rPr>
        <w:fldChar w:fldCharType="end"/>
      </w:r>
      <w:r w:rsidRPr="007F576F">
        <w:rPr>
          <w:lang w:val="en-US"/>
        </w:rPr>
        <w:t>.</w:t>
      </w:r>
    </w:p>
  </w:footnote>
  <w:footnote w:id="6">
    <w:p w14:paraId="409C01AF" w14:textId="19E845CB" w:rsidR="007F576F" w:rsidRPr="00D01F1E" w:rsidRDefault="007F576F" w:rsidP="007F576F">
      <w:pPr>
        <w:pStyle w:val="ad"/>
      </w:pPr>
      <w:r w:rsidRPr="007F576F">
        <w:rPr>
          <w:lang w:val="en-US"/>
        </w:rPr>
        <w:tab/>
      </w:r>
      <w:r>
        <w:rPr>
          <w:rStyle w:val="aa"/>
        </w:rPr>
        <w:footnoteRef/>
      </w:r>
      <w:r>
        <w:tab/>
      </w:r>
      <w:r>
        <w:rPr>
          <w:lang w:val="en-US"/>
        </w:rPr>
        <w:t>URL</w:t>
      </w:r>
      <w:r w:rsidRPr="007F576F">
        <w:t xml:space="preserve">: </w:t>
      </w:r>
      <w:hyperlink r:id="rId1" w:history="1">
        <w:r w:rsidRPr="007719A4">
          <w:rPr>
            <w:rStyle w:val="af1"/>
          </w:rPr>
          <w:t>www.un.org/development/desa/dpad/tag/belt-and-road-initiative/</w:t>
        </w:r>
      </w:hyperlink>
      <w:r>
        <w:t xml:space="preserve">; и </w:t>
      </w:r>
      <w:hyperlink r:id="rId2" w:history="1">
        <w:r w:rsidRPr="007B5E0B">
          <w:rPr>
            <w:rStyle w:val="af1"/>
          </w:rPr>
          <w:t>http://www.china-un.ch/eng/zywjyjh/t1675564.htm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B95E7" w14:textId="4BFA879C" w:rsidR="007F576F" w:rsidRPr="007F576F" w:rsidRDefault="002D22B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</w:t>
    </w:r>
    <w:proofErr w:type="gramStart"/>
    <w:r>
      <w:t>MP.PP</w:t>
    </w:r>
    <w:proofErr w:type="gramEnd"/>
    <w:r>
      <w:t>/WG.1/2021/10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8BFB" w14:textId="2F35F966" w:rsidR="007F576F" w:rsidRPr="007F576F" w:rsidRDefault="002D22BE" w:rsidP="007F576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</w:t>
    </w:r>
    <w:proofErr w:type="gramStart"/>
    <w:r>
      <w:t>MP.PP</w:t>
    </w:r>
    <w:proofErr w:type="gramEnd"/>
    <w:r>
      <w:t>/WG.1/2021/10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75"/>
    <w:rsid w:val="00033EE1"/>
    <w:rsid w:val="00034A7C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22BE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7EF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7300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576F"/>
    <w:rsid w:val="00806737"/>
    <w:rsid w:val="00825F8D"/>
    <w:rsid w:val="00834B71"/>
    <w:rsid w:val="0086445C"/>
    <w:rsid w:val="00894693"/>
    <w:rsid w:val="008A08D7"/>
    <w:rsid w:val="008A37C8"/>
    <w:rsid w:val="008B6909"/>
    <w:rsid w:val="008C6338"/>
    <w:rsid w:val="008D53B6"/>
    <w:rsid w:val="008F4CBE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5DA6"/>
    <w:rsid w:val="00B10CC7"/>
    <w:rsid w:val="00B36DF7"/>
    <w:rsid w:val="00B539E7"/>
    <w:rsid w:val="00B62458"/>
    <w:rsid w:val="00BB17FB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0A75"/>
    <w:rsid w:val="00F2523A"/>
    <w:rsid w:val="00F43903"/>
    <w:rsid w:val="00F94155"/>
    <w:rsid w:val="00F9783F"/>
    <w:rsid w:val="00FC79E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A0191"/>
  <w15:docId w15:val="{BE71AC54-3635-4942-B70D-6CF2C2AD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n,footnote text,Footnotes,Footnote ak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n Знак,footnote text Знак,Footnotes Знак,Footnote ak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F576F"/>
    <w:rPr>
      <w:lang w:val="ru-RU" w:eastAsia="en-US"/>
    </w:rPr>
  </w:style>
  <w:style w:type="character" w:customStyle="1" w:styleId="H1GChar">
    <w:name w:val="_ H_1_G Char"/>
    <w:link w:val="H1G"/>
    <w:rsid w:val="007F576F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7F5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na-un.ch/eng/zywjyjh/t1675564.htm" TargetMode="External"/><Relationship Id="rId1" Type="http://schemas.openxmlformats.org/officeDocument/2006/relationships/hyperlink" Target="file://unece-fs1.unog.un.org/data/Shares/Groups/Ehlm/Public_Participation_Internal/Aarhus%20Conv/TFs%20%26%20WGs/WGP/WGP-24,%20July%202020/Documents/MOP-7%20Agenda/www.un.org/development/desa/dpad/tag/belt-and-road-initiativ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7</Pages>
  <Words>1968</Words>
  <Characters>12990</Characters>
  <Application>Microsoft Office Word</Application>
  <DocSecurity>0</DocSecurity>
  <Lines>295</Lines>
  <Paragraphs>57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ECE/MP.PP/WG.1/2021/10</vt:lpstr>
      <vt:lpstr>A/</vt:lpstr>
      <vt:lpstr>A/</vt:lpstr>
    </vt:vector>
  </TitlesOfParts>
  <Company>DCM</Company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ECE/MP.PP/WG.1/2021/10</dc:title>
  <dc:subject/>
  <dc:creator>Staff Assistant</dc:creator>
  <cp:keywords/>
  <cp:lastModifiedBy>Anna Petelina</cp:lastModifiedBy>
  <cp:revision>3</cp:revision>
  <cp:lastPrinted>2021-03-29T08:35:00Z</cp:lastPrinted>
  <dcterms:created xsi:type="dcterms:W3CDTF">2021-03-29T08:35:00Z</dcterms:created>
  <dcterms:modified xsi:type="dcterms:W3CDTF">2021-03-29T08:35:00Z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