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64CC2C19" w14:textId="77777777" w:rsidTr="00B20551">
        <w:trPr>
          <w:cantSplit/>
          <w:trHeight w:hRule="exact" w:val="851"/>
        </w:trPr>
        <w:tc>
          <w:tcPr>
            <w:tcW w:w="1276" w:type="dxa"/>
            <w:tcBorders>
              <w:bottom w:val="single" w:sz="4" w:space="0" w:color="auto"/>
            </w:tcBorders>
            <w:vAlign w:val="bottom"/>
          </w:tcPr>
          <w:p w14:paraId="0B97692A" w14:textId="77777777" w:rsidR="009E6CB7" w:rsidRDefault="009E6CB7" w:rsidP="00B20551">
            <w:pPr>
              <w:spacing w:after="80"/>
            </w:pPr>
          </w:p>
        </w:tc>
        <w:tc>
          <w:tcPr>
            <w:tcW w:w="2268" w:type="dxa"/>
            <w:tcBorders>
              <w:bottom w:val="single" w:sz="4" w:space="0" w:color="auto"/>
            </w:tcBorders>
            <w:vAlign w:val="bottom"/>
          </w:tcPr>
          <w:p w14:paraId="4AAA2FA6"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7DF2C067" w14:textId="05C20102" w:rsidR="009E6CB7" w:rsidRPr="00D47EEA" w:rsidRDefault="00882F4E" w:rsidP="00882F4E">
            <w:pPr>
              <w:jc w:val="right"/>
            </w:pPr>
            <w:r w:rsidRPr="00882F4E">
              <w:rPr>
                <w:sz w:val="40"/>
              </w:rPr>
              <w:t>ECE</w:t>
            </w:r>
            <w:r>
              <w:t>/TRANS/WP.15/AC.1/160</w:t>
            </w:r>
          </w:p>
        </w:tc>
      </w:tr>
      <w:tr w:rsidR="009E6CB7" w14:paraId="06089E2B" w14:textId="77777777" w:rsidTr="00B20551">
        <w:trPr>
          <w:cantSplit/>
          <w:trHeight w:hRule="exact" w:val="2835"/>
        </w:trPr>
        <w:tc>
          <w:tcPr>
            <w:tcW w:w="1276" w:type="dxa"/>
            <w:tcBorders>
              <w:top w:val="single" w:sz="4" w:space="0" w:color="auto"/>
              <w:bottom w:val="single" w:sz="12" w:space="0" w:color="auto"/>
            </w:tcBorders>
          </w:tcPr>
          <w:p w14:paraId="07C49E84" w14:textId="77777777" w:rsidR="009E6CB7" w:rsidRDefault="00686A48" w:rsidP="00B20551">
            <w:pPr>
              <w:spacing w:before="120"/>
            </w:pPr>
            <w:r>
              <w:rPr>
                <w:noProof/>
                <w:lang w:val="de-DE" w:eastAsia="de-DE"/>
              </w:rPr>
              <w:drawing>
                <wp:inline distT="0" distB="0" distL="0" distR="0" wp14:anchorId="43409783" wp14:editId="2001671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1D01E2DB"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97865CE" w14:textId="77777777" w:rsidR="009E6CB7" w:rsidRDefault="00882F4E" w:rsidP="00882F4E">
            <w:pPr>
              <w:spacing w:before="240" w:line="240" w:lineRule="exact"/>
            </w:pPr>
            <w:r>
              <w:t>Distr.: General</w:t>
            </w:r>
          </w:p>
          <w:p w14:paraId="012C3C37" w14:textId="5B428766" w:rsidR="00882F4E" w:rsidRDefault="005F5DAA" w:rsidP="00882F4E">
            <w:pPr>
              <w:spacing w:line="240" w:lineRule="exact"/>
            </w:pPr>
            <w:r>
              <w:t>20</w:t>
            </w:r>
            <w:r w:rsidR="00882F4E">
              <w:t xml:space="preserve"> </w:t>
            </w:r>
            <w:r w:rsidR="00261FAF">
              <w:t>April</w:t>
            </w:r>
            <w:r w:rsidR="00882F4E">
              <w:t xml:space="preserve"> 2021</w:t>
            </w:r>
          </w:p>
          <w:p w14:paraId="66251C10" w14:textId="77777777" w:rsidR="00882F4E" w:rsidRDefault="00882F4E" w:rsidP="00882F4E">
            <w:pPr>
              <w:spacing w:line="240" w:lineRule="exact"/>
            </w:pPr>
          </w:p>
          <w:p w14:paraId="6C68A82C" w14:textId="38B27A3A" w:rsidR="00882F4E" w:rsidRDefault="00882F4E" w:rsidP="00882F4E">
            <w:pPr>
              <w:spacing w:line="240" w:lineRule="exact"/>
            </w:pPr>
            <w:r>
              <w:t>Original: English</w:t>
            </w:r>
          </w:p>
        </w:tc>
      </w:tr>
    </w:tbl>
    <w:p w14:paraId="3618B2D4" w14:textId="6D683FF2" w:rsidR="00196AC7" w:rsidRPr="00217B04" w:rsidRDefault="00C70ADE" w:rsidP="00196AC7">
      <w:pPr>
        <w:spacing w:before="120"/>
        <w:rPr>
          <w:b/>
          <w:sz w:val="28"/>
          <w:szCs w:val="28"/>
        </w:rPr>
      </w:pPr>
      <w:r>
        <w:rPr>
          <w:b/>
          <w:sz w:val="28"/>
          <w:szCs w:val="28"/>
        </w:rPr>
        <w:t>E</w:t>
      </w:r>
      <w:r w:rsidR="00196AC7" w:rsidRPr="00217B04">
        <w:rPr>
          <w:b/>
          <w:sz w:val="28"/>
          <w:szCs w:val="28"/>
        </w:rPr>
        <w:t>conomic Commission for Europe</w:t>
      </w:r>
    </w:p>
    <w:p w14:paraId="6C914302" w14:textId="77777777" w:rsidR="00196AC7" w:rsidRPr="00217B04" w:rsidRDefault="00196AC7" w:rsidP="00196AC7">
      <w:pPr>
        <w:spacing w:before="120"/>
        <w:outlineLvl w:val="0"/>
        <w:rPr>
          <w:sz w:val="28"/>
          <w:szCs w:val="28"/>
        </w:rPr>
      </w:pPr>
      <w:r w:rsidRPr="00217B04">
        <w:rPr>
          <w:sz w:val="28"/>
          <w:szCs w:val="28"/>
        </w:rPr>
        <w:t>Inland Transport Committee</w:t>
      </w:r>
    </w:p>
    <w:p w14:paraId="1BC49552" w14:textId="77777777" w:rsidR="00196AC7" w:rsidRPr="00217B04" w:rsidRDefault="00196AC7" w:rsidP="00196AC7">
      <w:pPr>
        <w:spacing w:before="120"/>
        <w:outlineLvl w:val="0"/>
        <w:rPr>
          <w:b/>
          <w:sz w:val="24"/>
          <w:szCs w:val="24"/>
        </w:rPr>
      </w:pPr>
      <w:r w:rsidRPr="00217B04">
        <w:rPr>
          <w:b/>
          <w:sz w:val="24"/>
          <w:szCs w:val="24"/>
        </w:rPr>
        <w:t>Working Party on the Transport of Dangerous Goods</w:t>
      </w:r>
    </w:p>
    <w:p w14:paraId="5FA12C5A" w14:textId="77777777" w:rsidR="00196AC7" w:rsidRPr="00217B04" w:rsidRDefault="00196AC7" w:rsidP="00196AC7">
      <w:pPr>
        <w:spacing w:before="120"/>
        <w:rPr>
          <w:b/>
        </w:rPr>
      </w:pPr>
      <w:r w:rsidRPr="00217B04">
        <w:rPr>
          <w:b/>
        </w:rPr>
        <w:t>Joint Meeting of the RID Committee of Experts and the</w:t>
      </w:r>
      <w:r w:rsidRPr="00217B04">
        <w:rPr>
          <w:b/>
        </w:rPr>
        <w:br/>
        <w:t>Working Party on the Transport of Dangerous Goods</w:t>
      </w:r>
    </w:p>
    <w:p w14:paraId="1A05E764" w14:textId="485DFDC5" w:rsidR="00730438" w:rsidRPr="00217B04" w:rsidRDefault="00730438" w:rsidP="00730438">
      <w:pPr>
        <w:pStyle w:val="HChG"/>
      </w:pPr>
      <w:r w:rsidRPr="00217B04">
        <w:tab/>
      </w:r>
      <w:r w:rsidRPr="00217B04">
        <w:tab/>
        <w:t xml:space="preserve">Report of the Joint Meeting of the RID Committee of Experts and the Working Party on the Transport of Dangerous Goods on its </w:t>
      </w:r>
      <w:r w:rsidR="008B0314">
        <w:t>Spring</w:t>
      </w:r>
      <w:r w:rsidRPr="00217B04">
        <w:t xml:space="preserve"> 202</w:t>
      </w:r>
      <w:r w:rsidR="008B0314">
        <w:t>1</w:t>
      </w:r>
      <w:r w:rsidRPr="00217B04">
        <w:t xml:space="preserve"> session</w:t>
      </w:r>
      <w:r w:rsidR="000329EE" w:rsidRPr="000329EE">
        <w:rPr>
          <w:rStyle w:val="Appelnotedebasdep"/>
          <w:sz w:val="20"/>
        </w:rPr>
        <w:footnoteReference w:id="2"/>
      </w:r>
    </w:p>
    <w:p w14:paraId="6F8A994D" w14:textId="09D94181" w:rsidR="00730438" w:rsidRPr="00217B04" w:rsidRDefault="00730438" w:rsidP="00730438">
      <w:pPr>
        <w:pStyle w:val="H56G"/>
      </w:pPr>
      <w:r w:rsidRPr="00217B04">
        <w:tab/>
      </w:r>
      <w:r w:rsidRPr="00217B04">
        <w:tab/>
        <w:t xml:space="preserve">held in Bern, </w:t>
      </w:r>
      <w:r w:rsidR="00402925">
        <w:t xml:space="preserve">15-19 </w:t>
      </w:r>
      <w:r w:rsidR="003563F8">
        <w:t>March</w:t>
      </w:r>
      <w:r w:rsidR="00402925">
        <w:t xml:space="preserve"> 2021</w:t>
      </w:r>
    </w:p>
    <w:p w14:paraId="2623E8F4" w14:textId="521369B8" w:rsidR="00730438" w:rsidRDefault="00730438" w:rsidP="00730438">
      <w:pPr>
        <w:spacing w:after="120"/>
        <w:outlineLvl w:val="0"/>
        <w:rPr>
          <w:sz w:val="28"/>
          <w:lang w:val="en-US"/>
        </w:rPr>
      </w:pPr>
      <w:r w:rsidRPr="007149C6">
        <w:rPr>
          <w:sz w:val="28"/>
          <w:lang w:val="en-US"/>
        </w:rPr>
        <w:t>Contents</w:t>
      </w:r>
    </w:p>
    <w:p w14:paraId="4AACAD4F" w14:textId="77777777" w:rsidR="00730438" w:rsidRPr="00037456" w:rsidRDefault="00730438" w:rsidP="00730438">
      <w:pPr>
        <w:tabs>
          <w:tab w:val="right" w:pos="8929"/>
          <w:tab w:val="right" w:pos="9638"/>
        </w:tabs>
        <w:spacing w:after="120"/>
        <w:ind w:left="283"/>
        <w:rPr>
          <w:lang w:val="en-US"/>
        </w:rPr>
      </w:pPr>
      <w:r w:rsidRPr="00037456">
        <w:rPr>
          <w:i/>
          <w:sz w:val="18"/>
          <w:lang w:val="en-US"/>
        </w:rPr>
        <w:tab/>
        <w:t>Paragraphs</w:t>
      </w:r>
      <w:r w:rsidRPr="00037456">
        <w:rPr>
          <w:i/>
          <w:sz w:val="18"/>
          <w:lang w:val="en-US"/>
        </w:rPr>
        <w:tab/>
        <w:t>Page</w:t>
      </w:r>
    </w:p>
    <w:p w14:paraId="5D819347" w14:textId="6810E0B5"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rPr>
          <w:lang w:val="en-US"/>
        </w:rPr>
      </w:pPr>
      <w:r w:rsidRPr="00037456">
        <w:rPr>
          <w:lang w:val="en-US"/>
        </w:rPr>
        <w:tab/>
        <w:t>I.</w:t>
      </w:r>
      <w:r w:rsidRPr="00037456">
        <w:rPr>
          <w:lang w:val="en-US"/>
        </w:rPr>
        <w:tab/>
        <w:t>Attendance</w:t>
      </w:r>
      <w:r w:rsidRPr="00037456">
        <w:rPr>
          <w:lang w:val="en-US"/>
        </w:rPr>
        <w:tab/>
      </w:r>
      <w:r w:rsidRPr="00037456">
        <w:rPr>
          <w:lang w:val="en-US"/>
        </w:rPr>
        <w:tab/>
      </w:r>
      <w:r w:rsidR="00C72BF2" w:rsidRPr="00037456">
        <w:rPr>
          <w:lang w:val="en-US"/>
        </w:rPr>
        <w:t>1-3</w:t>
      </w:r>
      <w:r w:rsidRPr="00037456">
        <w:rPr>
          <w:lang w:val="en-US"/>
        </w:rPr>
        <w:tab/>
      </w:r>
      <w:r w:rsidR="00C72BF2" w:rsidRPr="00037456">
        <w:rPr>
          <w:lang w:val="en-US"/>
        </w:rPr>
        <w:t>3</w:t>
      </w:r>
    </w:p>
    <w:p w14:paraId="4EFBF3FE" w14:textId="6C148A90"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pPr>
      <w:r w:rsidRPr="00037456">
        <w:rPr>
          <w:lang w:val="en-US"/>
        </w:rPr>
        <w:tab/>
      </w:r>
      <w:r w:rsidRPr="00037456">
        <w:t>II.</w:t>
      </w:r>
      <w:r w:rsidRPr="00037456">
        <w:tab/>
        <w:t>Opening of the session</w:t>
      </w:r>
      <w:r w:rsidRPr="00037456">
        <w:tab/>
      </w:r>
      <w:r w:rsidRPr="00037456">
        <w:tab/>
      </w:r>
      <w:r w:rsidR="00C72BF2" w:rsidRPr="00037456">
        <w:t>4</w:t>
      </w:r>
      <w:r w:rsidRPr="00037456">
        <w:tab/>
      </w:r>
      <w:r w:rsidR="00C72BF2" w:rsidRPr="00037456">
        <w:t>3</w:t>
      </w:r>
    </w:p>
    <w:p w14:paraId="32CC3203" w14:textId="3F2C4C01"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pPr>
      <w:r w:rsidRPr="00037456">
        <w:tab/>
        <w:t>III.</w:t>
      </w:r>
      <w:r w:rsidRPr="00037456">
        <w:tab/>
        <w:t>Adoption of the agenda (agenda item 1)</w:t>
      </w:r>
      <w:r w:rsidRPr="00037456">
        <w:tab/>
      </w:r>
      <w:r w:rsidRPr="00037456">
        <w:tab/>
      </w:r>
      <w:r w:rsidR="00C72BF2" w:rsidRPr="00037456">
        <w:t>5</w:t>
      </w:r>
      <w:r w:rsidRPr="00037456">
        <w:tab/>
      </w:r>
      <w:r w:rsidR="00C72BF2" w:rsidRPr="00037456">
        <w:t>3</w:t>
      </w:r>
    </w:p>
    <w:p w14:paraId="5EA775A7" w14:textId="34F75E66" w:rsidR="00730438" w:rsidRPr="00037456" w:rsidRDefault="00730438" w:rsidP="00730438">
      <w:pPr>
        <w:tabs>
          <w:tab w:val="right" w:pos="850"/>
          <w:tab w:val="left" w:pos="1134"/>
          <w:tab w:val="left" w:pos="1984"/>
          <w:tab w:val="left" w:leader="dot" w:pos="7654"/>
          <w:tab w:val="right" w:pos="8929"/>
          <w:tab w:val="right" w:pos="9638"/>
        </w:tabs>
        <w:spacing w:after="120"/>
        <w:ind w:left="1134" w:hanging="534"/>
      </w:pPr>
      <w:r w:rsidRPr="00037456">
        <w:t>IV.</w:t>
      </w:r>
      <w:r w:rsidRPr="00037456">
        <w:tab/>
        <w:t>Tanks (agenda item 2)</w:t>
      </w:r>
      <w:r w:rsidRPr="00037456">
        <w:tab/>
      </w:r>
      <w:r w:rsidRPr="00037456">
        <w:tab/>
      </w:r>
      <w:r w:rsidR="00C72BF2" w:rsidRPr="00037456">
        <w:t>6</w:t>
      </w:r>
      <w:r w:rsidR="0041749E">
        <w:t>-15</w:t>
      </w:r>
      <w:r w:rsidRPr="00037456">
        <w:tab/>
      </w:r>
      <w:r w:rsidR="00C72BF2" w:rsidRPr="00037456">
        <w:t>4</w:t>
      </w:r>
    </w:p>
    <w:p w14:paraId="59597C55" w14:textId="19B470F9" w:rsidR="00730438" w:rsidRPr="00037456" w:rsidRDefault="00730438" w:rsidP="007E4E90">
      <w:pPr>
        <w:tabs>
          <w:tab w:val="right" w:pos="850"/>
          <w:tab w:val="left" w:pos="1134"/>
          <w:tab w:val="left" w:pos="1418"/>
          <w:tab w:val="left" w:pos="1984"/>
          <w:tab w:val="left" w:leader="dot" w:pos="7654"/>
          <w:tab w:val="right" w:pos="8929"/>
          <w:tab w:val="right" w:pos="9638"/>
        </w:tabs>
        <w:spacing w:after="120"/>
        <w:ind w:left="1134" w:hanging="534"/>
      </w:pPr>
      <w:r w:rsidRPr="00037456">
        <w:tab/>
      </w:r>
      <w:r w:rsidRPr="00037456">
        <w:tab/>
      </w:r>
      <w:r w:rsidR="007E4E90" w:rsidRPr="00037456">
        <w:t>A.</w:t>
      </w:r>
      <w:r w:rsidR="007E4E90" w:rsidRPr="00037456">
        <w:tab/>
      </w:r>
      <w:r w:rsidRPr="00037456">
        <w:t>Report of the Working Group on Tanks</w:t>
      </w:r>
      <w:r w:rsidRPr="00037456">
        <w:tab/>
      </w:r>
      <w:r w:rsidRPr="00037456">
        <w:tab/>
      </w:r>
      <w:r w:rsidR="00B06506" w:rsidRPr="00037456">
        <w:t>7-11</w:t>
      </w:r>
      <w:r w:rsidRPr="00037456">
        <w:tab/>
      </w:r>
      <w:r w:rsidR="00B06506" w:rsidRPr="00037456">
        <w:t>4</w:t>
      </w:r>
    </w:p>
    <w:p w14:paraId="304FD46C" w14:textId="5055D5A1" w:rsidR="006E5529" w:rsidRPr="00037456" w:rsidRDefault="006E5529" w:rsidP="007149C6">
      <w:pPr>
        <w:tabs>
          <w:tab w:val="right" w:pos="850"/>
          <w:tab w:val="left" w:pos="1134"/>
          <w:tab w:val="left" w:pos="1418"/>
          <w:tab w:val="left" w:pos="1984"/>
          <w:tab w:val="left" w:leader="dot" w:pos="7654"/>
          <w:tab w:val="right" w:pos="8929"/>
          <w:tab w:val="right" w:pos="9638"/>
        </w:tabs>
        <w:spacing w:after="120"/>
        <w:ind w:left="1134" w:hanging="534"/>
      </w:pPr>
      <w:r w:rsidRPr="00037456">
        <w:tab/>
      </w:r>
      <w:r w:rsidRPr="00037456">
        <w:tab/>
      </w:r>
      <w:r w:rsidR="007E4E90" w:rsidRPr="00037456">
        <w:t>B.</w:t>
      </w:r>
      <w:r w:rsidR="007E4E90" w:rsidRPr="00037456">
        <w:tab/>
        <w:t xml:space="preserve">Report of the informal working group on the inspection and </w:t>
      </w:r>
      <w:r w:rsidR="00B42E46">
        <w:br/>
      </w:r>
      <w:r w:rsidR="007E4E90" w:rsidRPr="00037456">
        <w:t>certification of tanks</w:t>
      </w:r>
      <w:r w:rsidRPr="00037456">
        <w:tab/>
      </w:r>
      <w:r w:rsidR="009376D3">
        <w:tab/>
      </w:r>
      <w:r w:rsidR="00730F36" w:rsidRPr="00037456">
        <w:t>12-15</w:t>
      </w:r>
      <w:r w:rsidRPr="00037456">
        <w:tab/>
      </w:r>
      <w:r w:rsidR="00FE5229">
        <w:t>5</w:t>
      </w:r>
    </w:p>
    <w:p w14:paraId="59039B99" w14:textId="753FC814" w:rsidR="00730438" w:rsidRDefault="00730438" w:rsidP="00730438">
      <w:pPr>
        <w:tabs>
          <w:tab w:val="right" w:pos="850"/>
          <w:tab w:val="left" w:pos="1134"/>
          <w:tab w:val="left" w:pos="1559"/>
          <w:tab w:val="left" w:pos="1984"/>
          <w:tab w:val="left" w:leader="dot" w:pos="7654"/>
          <w:tab w:val="right" w:pos="8929"/>
          <w:tab w:val="right" w:pos="9638"/>
        </w:tabs>
        <w:spacing w:after="120"/>
        <w:ind w:left="1980" w:hanging="1380"/>
      </w:pPr>
      <w:r w:rsidRPr="00037456">
        <w:tab/>
        <w:t>V.</w:t>
      </w:r>
      <w:r w:rsidRPr="00037456">
        <w:tab/>
        <w:t>Standards (agenda item 3)</w:t>
      </w:r>
      <w:r w:rsidRPr="00037456">
        <w:tab/>
      </w:r>
      <w:r w:rsidRPr="00037456">
        <w:tab/>
      </w:r>
      <w:r w:rsidR="00730F36" w:rsidRPr="00037456">
        <w:t>16-20</w:t>
      </w:r>
      <w:r w:rsidRPr="00037456">
        <w:tab/>
      </w:r>
      <w:r w:rsidR="00DB010A">
        <w:t>5</w:t>
      </w:r>
    </w:p>
    <w:p w14:paraId="0DB79183" w14:textId="345ECC3C" w:rsidR="005F0830" w:rsidRPr="00037456" w:rsidRDefault="00090390" w:rsidP="00730438">
      <w:pPr>
        <w:tabs>
          <w:tab w:val="right" w:pos="850"/>
          <w:tab w:val="left" w:pos="1134"/>
          <w:tab w:val="left" w:pos="1559"/>
          <w:tab w:val="left" w:pos="1984"/>
          <w:tab w:val="left" w:leader="dot" w:pos="7654"/>
          <w:tab w:val="right" w:pos="8929"/>
          <w:tab w:val="right" w:pos="9638"/>
        </w:tabs>
        <w:spacing w:after="120"/>
        <w:ind w:left="1980" w:hanging="1380"/>
      </w:pPr>
      <w:r>
        <w:tab/>
      </w:r>
      <w:r>
        <w:tab/>
      </w:r>
      <w:r w:rsidRPr="00AA5051">
        <w:t>Report of the Working Group on Standards</w:t>
      </w:r>
      <w:r>
        <w:tab/>
      </w:r>
      <w:r>
        <w:tab/>
        <w:t>17</w:t>
      </w:r>
      <w:r w:rsidR="00D75331">
        <w:t>-20</w:t>
      </w:r>
      <w:r>
        <w:tab/>
      </w:r>
      <w:r w:rsidR="005D1399">
        <w:t>6</w:t>
      </w:r>
    </w:p>
    <w:p w14:paraId="432A07B5" w14:textId="4D6607D3" w:rsidR="00730438" w:rsidRPr="00037456" w:rsidRDefault="00730438" w:rsidP="00730438">
      <w:pPr>
        <w:tabs>
          <w:tab w:val="right" w:pos="850"/>
          <w:tab w:val="left" w:pos="1134"/>
          <w:tab w:val="left" w:pos="1559"/>
          <w:tab w:val="left" w:leader="dot" w:pos="7654"/>
          <w:tab w:val="right" w:pos="8929"/>
          <w:tab w:val="right" w:pos="9638"/>
        </w:tabs>
        <w:spacing w:after="120"/>
        <w:ind w:left="1134" w:hanging="1134"/>
      </w:pPr>
      <w:r w:rsidRPr="00037456">
        <w:tab/>
        <w:t>VI.</w:t>
      </w:r>
      <w:r w:rsidRPr="00037456">
        <w:tab/>
        <w:t>Interpretation of RID/ADR/ADN s (agenda item 4)</w:t>
      </w:r>
      <w:r w:rsidRPr="00037456">
        <w:tab/>
      </w:r>
      <w:r w:rsidRPr="00037456">
        <w:tab/>
      </w:r>
      <w:r w:rsidR="00A2049D" w:rsidRPr="00037456">
        <w:t>21</w:t>
      </w:r>
      <w:r w:rsidRPr="00037456">
        <w:tab/>
      </w:r>
      <w:r w:rsidR="00A2049D" w:rsidRPr="00037456">
        <w:t>6</w:t>
      </w:r>
    </w:p>
    <w:p w14:paraId="5C7ECB7A" w14:textId="281F2966" w:rsidR="00730438" w:rsidRPr="00037456" w:rsidRDefault="00730438" w:rsidP="00730438">
      <w:pPr>
        <w:tabs>
          <w:tab w:val="right" w:pos="850"/>
          <w:tab w:val="left" w:pos="1134"/>
          <w:tab w:val="left" w:pos="1559"/>
          <w:tab w:val="left" w:pos="1984"/>
          <w:tab w:val="left" w:leader="dot" w:pos="7654"/>
          <w:tab w:val="right" w:pos="8929"/>
          <w:tab w:val="right" w:pos="9638"/>
        </w:tabs>
        <w:spacing w:after="120"/>
        <w:ind w:left="1980" w:hanging="1980"/>
      </w:pPr>
      <w:r w:rsidRPr="00037456">
        <w:tab/>
        <w:t>VII.</w:t>
      </w:r>
      <w:r w:rsidRPr="00037456">
        <w:tab/>
        <w:t>Proposals for amendments to RID/ADR/ADN (agenda item 5)</w:t>
      </w:r>
      <w:r w:rsidRPr="00037456">
        <w:tab/>
      </w:r>
      <w:r w:rsidRPr="00037456">
        <w:tab/>
      </w:r>
      <w:r w:rsidR="00A2049D" w:rsidRPr="00037456">
        <w:t>22-</w:t>
      </w:r>
      <w:r w:rsidR="00906B9E" w:rsidRPr="00037456">
        <w:t>39</w:t>
      </w:r>
      <w:r w:rsidRPr="00037456">
        <w:tab/>
      </w:r>
      <w:r w:rsidR="005060C1">
        <w:t>6</w:t>
      </w:r>
    </w:p>
    <w:p w14:paraId="64F85D8C" w14:textId="0F44FC09" w:rsidR="00DD5EC2" w:rsidRPr="00037456" w:rsidRDefault="00C3442B" w:rsidP="00B0693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A82F83" w:rsidRPr="00037456">
        <w:t>A</w:t>
      </w:r>
      <w:r w:rsidR="00A82F83" w:rsidRPr="00037456">
        <w:tab/>
        <w:t>Pending issues</w:t>
      </w:r>
      <w:r w:rsidR="00A82F83" w:rsidRPr="00037456">
        <w:tab/>
      </w:r>
      <w:r w:rsidR="00A82F83" w:rsidRPr="00037456">
        <w:tab/>
      </w:r>
      <w:r w:rsidR="005B545F" w:rsidRPr="00037456">
        <w:t>22-28</w:t>
      </w:r>
      <w:r w:rsidR="00A82F83" w:rsidRPr="00037456">
        <w:tab/>
      </w:r>
      <w:r w:rsidR="005B545F" w:rsidRPr="00037456">
        <w:t>6</w:t>
      </w:r>
    </w:p>
    <w:p w14:paraId="3D23891B" w14:textId="1F4D66A4" w:rsidR="00246221" w:rsidRPr="00037456" w:rsidRDefault="00137382" w:rsidP="00DB1085">
      <w:pPr>
        <w:tabs>
          <w:tab w:val="right" w:pos="850"/>
          <w:tab w:val="left" w:pos="1134"/>
          <w:tab w:val="left" w:pos="1559"/>
          <w:tab w:val="left" w:pos="1984"/>
          <w:tab w:val="left" w:leader="dot" w:pos="7654"/>
          <w:tab w:val="right" w:pos="8929"/>
          <w:tab w:val="right" w:pos="9638"/>
        </w:tabs>
        <w:spacing w:after="120"/>
        <w:ind w:left="1559" w:hanging="1559"/>
        <w:rPr>
          <w:lang w:val="en-US"/>
        </w:rPr>
      </w:pPr>
      <w:r w:rsidRPr="00037456">
        <w:tab/>
      </w:r>
      <w:r w:rsidRPr="00037456">
        <w:tab/>
      </w:r>
      <w:r w:rsidR="00683579" w:rsidRPr="00037456">
        <w:tab/>
      </w:r>
      <w:r w:rsidR="00246221" w:rsidRPr="00037456">
        <w:t>1.</w:t>
      </w:r>
      <w:r w:rsidR="00246221" w:rsidRPr="00037456">
        <w:tab/>
        <w:t xml:space="preserve">Carriage of polymerizing substances as waste – </w:t>
      </w:r>
      <w:r w:rsidR="005F149E" w:rsidRPr="00037456">
        <w:br/>
      </w:r>
      <w:r w:rsidR="00037456">
        <w:tab/>
      </w:r>
      <w:r w:rsidR="00246221" w:rsidRPr="00037456">
        <w:t xml:space="preserve">Revision of </w:t>
      </w:r>
      <w:r w:rsidR="00246221" w:rsidRPr="00037456">
        <w:rPr>
          <w:lang w:val="en-US"/>
        </w:rPr>
        <w:t>ECE/TRANS/WP.15/AC.1/2020/51</w:t>
      </w:r>
      <w:r w:rsidRPr="00037456">
        <w:rPr>
          <w:lang w:val="en-US"/>
        </w:rPr>
        <w:tab/>
      </w:r>
      <w:r w:rsidR="00DB1085" w:rsidRPr="00037456">
        <w:rPr>
          <w:lang w:val="en-US"/>
        </w:rPr>
        <w:tab/>
      </w:r>
      <w:r w:rsidR="00A54C99" w:rsidRPr="00037456">
        <w:rPr>
          <w:lang w:val="en-US"/>
        </w:rPr>
        <w:t>22</w:t>
      </w:r>
      <w:r w:rsidR="00DB1085" w:rsidRPr="00037456">
        <w:rPr>
          <w:lang w:val="en-US"/>
        </w:rPr>
        <w:tab/>
      </w:r>
      <w:r w:rsidR="005026EE" w:rsidRPr="00037456">
        <w:rPr>
          <w:lang w:val="en-US"/>
        </w:rPr>
        <w:t>6</w:t>
      </w:r>
    </w:p>
    <w:p w14:paraId="25A42A27" w14:textId="4DE95E85" w:rsidR="005026EE" w:rsidRPr="00037456" w:rsidRDefault="005026EE" w:rsidP="00DB108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B06935" w:rsidRPr="00037456">
        <w:tab/>
      </w:r>
      <w:r w:rsidR="00A83402" w:rsidRPr="00037456">
        <w:t>2.</w:t>
      </w:r>
      <w:r w:rsidR="00A83402" w:rsidRPr="00037456">
        <w:tab/>
        <w:t xml:space="preserve">Name and description for UN numbers in the Model Regulations and </w:t>
      </w:r>
      <w:r w:rsidR="00A83402" w:rsidRPr="00037456">
        <w:br/>
      </w:r>
      <w:r w:rsidR="00037456">
        <w:tab/>
      </w:r>
      <w:r w:rsidR="00A83402" w:rsidRPr="00037456">
        <w:t>RID/ADR: UN 2426 Ammonium nitrate</w:t>
      </w:r>
      <w:r w:rsidR="00DB1085" w:rsidRPr="00037456">
        <w:tab/>
      </w:r>
      <w:r w:rsidR="00DB1085" w:rsidRPr="00037456">
        <w:tab/>
      </w:r>
      <w:r w:rsidR="00A54C99" w:rsidRPr="00037456">
        <w:t>23</w:t>
      </w:r>
      <w:r w:rsidR="00DB1085" w:rsidRPr="00037456">
        <w:tab/>
      </w:r>
      <w:r w:rsidR="0093093F">
        <w:t>6</w:t>
      </w:r>
    </w:p>
    <w:p w14:paraId="5793B975" w14:textId="5E52AD65" w:rsidR="001111FB" w:rsidRPr="00037456" w:rsidRDefault="001111FB" w:rsidP="001111FB">
      <w:pPr>
        <w:tabs>
          <w:tab w:val="right" w:pos="850"/>
          <w:tab w:val="left" w:pos="1134"/>
          <w:tab w:val="left" w:pos="1559"/>
          <w:tab w:val="left" w:pos="1984"/>
          <w:tab w:val="left" w:leader="dot" w:pos="7654"/>
          <w:tab w:val="right" w:pos="8929"/>
          <w:tab w:val="right" w:pos="9638"/>
        </w:tabs>
        <w:spacing w:after="120"/>
        <w:ind w:left="1559" w:hanging="1559"/>
      </w:pPr>
      <w:r w:rsidRPr="00037456">
        <w:lastRenderedPageBreak/>
        <w:tab/>
      </w:r>
      <w:r w:rsidRPr="00037456">
        <w:tab/>
      </w:r>
      <w:r w:rsidR="00B06935" w:rsidRPr="00037456">
        <w:tab/>
      </w:r>
      <w:r w:rsidRPr="00037456">
        <w:t>3.</w:t>
      </w:r>
      <w:r w:rsidRPr="00037456">
        <w:tab/>
        <w:t>Harmonization of SP 593 with 5.5.3</w:t>
      </w:r>
      <w:r w:rsidRPr="00037456">
        <w:tab/>
      </w:r>
      <w:r w:rsidRPr="00037456">
        <w:tab/>
        <w:t>24</w:t>
      </w:r>
      <w:r w:rsidRPr="00037456">
        <w:tab/>
      </w:r>
      <w:r w:rsidR="00C51BB5">
        <w:t>7</w:t>
      </w:r>
    </w:p>
    <w:p w14:paraId="763F3B64" w14:textId="4A08750A" w:rsidR="00A54C99" w:rsidRPr="00037456" w:rsidRDefault="001842CE" w:rsidP="00DB108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B06935" w:rsidRPr="00037456">
        <w:tab/>
      </w:r>
      <w:r w:rsidR="001111FB" w:rsidRPr="00037456">
        <w:t>4</w:t>
      </w:r>
      <w:r w:rsidRPr="00037456">
        <w:t>.</w:t>
      </w:r>
      <w:r w:rsidRPr="00037456">
        <w:tab/>
        <w:t>Special provision 363</w:t>
      </w:r>
      <w:r w:rsidRPr="00037456">
        <w:tab/>
      </w:r>
      <w:r w:rsidRPr="00037456">
        <w:tab/>
        <w:t>25</w:t>
      </w:r>
      <w:r w:rsidRPr="00037456">
        <w:tab/>
      </w:r>
      <w:r w:rsidR="00C51BB5">
        <w:t>7</w:t>
      </w:r>
    </w:p>
    <w:p w14:paraId="523F72E4" w14:textId="38854B7F" w:rsidR="00BC134E" w:rsidRPr="00037456" w:rsidRDefault="00BC134E" w:rsidP="00BC134E">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5.</w:t>
      </w:r>
      <w:r w:rsidRPr="00037456">
        <w:tab/>
        <w:t xml:space="preserve">Name and description for UN numbers in the Model Regulations and RID/ADR: </w:t>
      </w:r>
      <w:r w:rsidRPr="00037456">
        <w:br/>
      </w:r>
      <w:r w:rsidR="006A3502">
        <w:tab/>
      </w:r>
      <w:r w:rsidRPr="00037456">
        <w:t>UN 1012 Butylene</w:t>
      </w:r>
      <w:r w:rsidRPr="00037456">
        <w:tab/>
      </w:r>
      <w:r w:rsidRPr="00037456">
        <w:tab/>
        <w:t>26</w:t>
      </w:r>
      <w:r w:rsidRPr="00037456">
        <w:tab/>
        <w:t>7</w:t>
      </w:r>
    </w:p>
    <w:p w14:paraId="7FCB099E" w14:textId="0E3B6B3A" w:rsidR="00BC134E" w:rsidRPr="00037456" w:rsidRDefault="00E64845" w:rsidP="00BC134E">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6.</w:t>
      </w:r>
      <w:r w:rsidRPr="00037456">
        <w:tab/>
        <w:t>Proposal of amendment to Chapter 1.2 of RID/ADR</w:t>
      </w:r>
      <w:r w:rsidRPr="00037456">
        <w:tab/>
      </w:r>
      <w:r w:rsidRPr="00037456">
        <w:tab/>
        <w:t>27</w:t>
      </w:r>
      <w:r w:rsidRPr="00037456">
        <w:tab/>
        <w:t>7</w:t>
      </w:r>
    </w:p>
    <w:p w14:paraId="1715548A" w14:textId="188D4B91" w:rsidR="00E64845" w:rsidRPr="00037456" w:rsidRDefault="00B95B47" w:rsidP="00BC134E">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7.</w:t>
      </w:r>
      <w:r w:rsidRPr="00037456">
        <w:tab/>
        <w:t>Additions to the definitions in 1.2.1</w:t>
      </w:r>
      <w:r w:rsidRPr="00037456">
        <w:tab/>
      </w:r>
      <w:r w:rsidRPr="00037456">
        <w:tab/>
        <w:t>28</w:t>
      </w:r>
      <w:r w:rsidRPr="00037456">
        <w:tab/>
        <w:t>7</w:t>
      </w:r>
    </w:p>
    <w:p w14:paraId="76D9DA30" w14:textId="0417BC98" w:rsidR="00B95B47" w:rsidRPr="00037456" w:rsidRDefault="00061B17" w:rsidP="006A3502">
      <w:pPr>
        <w:tabs>
          <w:tab w:val="right" w:pos="850"/>
          <w:tab w:val="left" w:pos="1134"/>
          <w:tab w:val="left" w:pos="1559"/>
          <w:tab w:val="left" w:pos="1984"/>
          <w:tab w:val="left" w:leader="dot" w:pos="7654"/>
          <w:tab w:val="right" w:pos="8929"/>
          <w:tab w:val="right" w:pos="9638"/>
        </w:tabs>
        <w:spacing w:after="120"/>
        <w:ind w:left="1559" w:hanging="1559"/>
      </w:pPr>
      <w:r>
        <w:tab/>
      </w:r>
      <w:r w:rsidR="006A3502">
        <w:tab/>
      </w:r>
      <w:r w:rsidR="00B95B47" w:rsidRPr="00037456">
        <w:t>B</w:t>
      </w:r>
      <w:r w:rsidR="00B95B47" w:rsidRPr="00037456">
        <w:tab/>
        <w:t>New proposals</w:t>
      </w:r>
      <w:r w:rsidR="00B95B47" w:rsidRPr="00037456">
        <w:tab/>
      </w:r>
      <w:r w:rsidR="00B95B47" w:rsidRPr="00037456">
        <w:tab/>
        <w:t>29-39</w:t>
      </w:r>
      <w:r w:rsidR="00B95B47" w:rsidRPr="00037456">
        <w:tab/>
      </w:r>
      <w:r w:rsidR="00E83EC4">
        <w:t>8</w:t>
      </w:r>
    </w:p>
    <w:p w14:paraId="21A01D06" w14:textId="3A678B80" w:rsidR="00B95B47" w:rsidRPr="00037456" w:rsidRDefault="00B06935" w:rsidP="00B06935">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4502B3" w:rsidRPr="00037456">
        <w:t>1.</w:t>
      </w:r>
      <w:r w:rsidR="004502B3" w:rsidRPr="00037456">
        <w:tab/>
        <w:t xml:space="preserve">Inclusion of provisions for the carriage of molten aluminium of </w:t>
      </w:r>
      <w:r w:rsidR="00037456">
        <w:br/>
      </w:r>
      <w:r w:rsidR="006A3502">
        <w:tab/>
      </w:r>
      <w:r w:rsidR="004502B3" w:rsidRPr="00037456">
        <w:t>UN number 3257</w:t>
      </w:r>
      <w:r w:rsidR="00037456">
        <w:tab/>
      </w:r>
      <w:r w:rsidR="00037456">
        <w:tab/>
      </w:r>
      <w:r w:rsidR="003E01AB">
        <w:t>29</w:t>
      </w:r>
      <w:r w:rsidR="003E01AB">
        <w:tab/>
      </w:r>
      <w:r w:rsidR="00CA06AE">
        <w:t>8</w:t>
      </w:r>
    </w:p>
    <w:p w14:paraId="511B47FA" w14:textId="38E645A2" w:rsidR="00B82818" w:rsidRPr="00037456" w:rsidRDefault="00B06935"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B82818" w:rsidRPr="00037456">
        <w:t>2.</w:t>
      </w:r>
      <w:r w:rsidR="00B82818" w:rsidRPr="00037456">
        <w:tab/>
        <w:t>RID/ADR 1.8.7.2.3 – Scope of the type approval certificate</w:t>
      </w:r>
      <w:r w:rsidR="00037456">
        <w:tab/>
      </w:r>
      <w:r w:rsidR="00037456">
        <w:tab/>
      </w:r>
      <w:r w:rsidR="002E4CAB">
        <w:t>30</w:t>
      </w:r>
      <w:r w:rsidR="00037456">
        <w:tab/>
      </w:r>
      <w:r w:rsidR="00CA06AE">
        <w:t>8</w:t>
      </w:r>
    </w:p>
    <w:p w14:paraId="5933EFF7" w14:textId="6DD6375F" w:rsidR="00E257ED" w:rsidRPr="00037456" w:rsidRDefault="00E257ED"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3.</w:t>
      </w:r>
      <w:r w:rsidRPr="00037456">
        <w:tab/>
        <w:t>Security provisions and supervision requirements for detonators</w:t>
      </w:r>
      <w:r w:rsidR="00037456">
        <w:tab/>
      </w:r>
      <w:r w:rsidR="00037456">
        <w:tab/>
      </w:r>
      <w:r w:rsidR="002E4CAB">
        <w:t>31</w:t>
      </w:r>
      <w:r w:rsidR="00037456">
        <w:tab/>
      </w:r>
      <w:r w:rsidR="002E4CAB">
        <w:t>8</w:t>
      </w:r>
    </w:p>
    <w:p w14:paraId="24ECD42E" w14:textId="20292B74" w:rsidR="00E9687C" w:rsidRPr="00037456" w:rsidRDefault="00B06935"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E9687C" w:rsidRPr="00037456">
        <w:t>4.</w:t>
      </w:r>
      <w:r w:rsidR="00E9687C" w:rsidRPr="00037456">
        <w:tab/>
        <w:t xml:space="preserve">Carriage of pressure receptacles approved by the Department of </w:t>
      </w:r>
      <w:r w:rsidR="00037456">
        <w:br/>
      </w:r>
      <w:r w:rsidR="006A3502">
        <w:tab/>
      </w:r>
      <w:r w:rsidR="00E9687C" w:rsidRPr="00037456">
        <w:t>Transportation of the United States of America (DOT)</w:t>
      </w:r>
      <w:r w:rsidR="00037456">
        <w:tab/>
      </w:r>
      <w:r w:rsidR="00037456">
        <w:tab/>
      </w:r>
      <w:r w:rsidR="002E4CAB">
        <w:t>32-33</w:t>
      </w:r>
      <w:r w:rsidR="00037456">
        <w:tab/>
      </w:r>
      <w:r w:rsidR="002E4CAB">
        <w:t>8</w:t>
      </w:r>
    </w:p>
    <w:p w14:paraId="1B34B032" w14:textId="24C67FE0" w:rsidR="00296E88" w:rsidRPr="00037456" w:rsidRDefault="00B06935"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Pr="00037456">
        <w:tab/>
      </w:r>
      <w:r w:rsidR="00D07131">
        <w:tab/>
      </w:r>
      <w:r w:rsidR="00296E88" w:rsidRPr="00037456">
        <w:t>5.</w:t>
      </w:r>
      <w:r w:rsidR="00296E88" w:rsidRPr="00037456">
        <w:tab/>
        <w:t>RID/ADR 6.2.3.1.5 – Pressure relief devices for non-UN acetylene cylinders</w:t>
      </w:r>
      <w:r w:rsidR="00037456">
        <w:tab/>
      </w:r>
      <w:r w:rsidR="00CE36C6">
        <w:t>34</w:t>
      </w:r>
      <w:r w:rsidR="00037456">
        <w:tab/>
      </w:r>
      <w:r w:rsidR="00CE36C6">
        <w:t>8</w:t>
      </w:r>
    </w:p>
    <w:p w14:paraId="37D9C211" w14:textId="398894D0" w:rsidR="008211DD" w:rsidRPr="00037456" w:rsidRDefault="008211DD"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D07131">
        <w:tab/>
      </w:r>
      <w:r w:rsidRPr="00037456">
        <w:t>6.</w:t>
      </w:r>
      <w:r w:rsidRPr="00037456">
        <w:tab/>
        <w:t>Improvement of the introductory sentence of Chapter 7.4, section 7.4.1</w:t>
      </w:r>
      <w:r w:rsidR="00037456">
        <w:tab/>
      </w:r>
      <w:r w:rsidR="00CE36C6">
        <w:t>35</w:t>
      </w:r>
      <w:r w:rsidR="00037456">
        <w:tab/>
      </w:r>
      <w:r w:rsidR="0035404D">
        <w:t>8</w:t>
      </w:r>
    </w:p>
    <w:p w14:paraId="7FD9210F" w14:textId="1C3ED77C" w:rsidR="00267A52" w:rsidRPr="00037456" w:rsidRDefault="00267A52"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7.</w:t>
      </w:r>
      <w:r w:rsidRPr="00037456">
        <w:tab/>
        <w:t>Environmentally hazardous paints and printing inks</w:t>
      </w:r>
      <w:r w:rsidR="00037456">
        <w:tab/>
      </w:r>
      <w:r w:rsidR="00037456">
        <w:tab/>
      </w:r>
      <w:r w:rsidR="00CE36C6">
        <w:t>36</w:t>
      </w:r>
      <w:r w:rsidR="00037456">
        <w:tab/>
      </w:r>
      <w:r w:rsidR="00A210FA">
        <w:t>9</w:t>
      </w:r>
    </w:p>
    <w:p w14:paraId="407A5053" w14:textId="18A9B60A" w:rsidR="0059277C" w:rsidRPr="00037456" w:rsidRDefault="0059277C"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8.</w:t>
      </w:r>
      <w:r w:rsidRPr="00037456">
        <w:tab/>
        <w:t>Container/vehicle packing certificate</w:t>
      </w:r>
      <w:r w:rsidR="00037456">
        <w:tab/>
      </w:r>
      <w:r w:rsidR="00037456">
        <w:tab/>
      </w:r>
      <w:r w:rsidR="004E2DAA">
        <w:t>37</w:t>
      </w:r>
      <w:r w:rsidR="00037456">
        <w:tab/>
      </w:r>
      <w:r w:rsidR="00A210FA">
        <w:t>9</w:t>
      </w:r>
    </w:p>
    <w:p w14:paraId="5D0B1BD7" w14:textId="7F521ADB" w:rsidR="001A2B7F" w:rsidRPr="00037456" w:rsidRDefault="001A2B7F"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9.</w:t>
      </w:r>
      <w:r w:rsidRPr="00037456">
        <w:tab/>
        <w:t>Terms of reference for the informal working group on "e-learning"</w:t>
      </w:r>
      <w:r w:rsidR="00037456">
        <w:tab/>
      </w:r>
      <w:r w:rsidR="00037456">
        <w:tab/>
      </w:r>
      <w:r w:rsidR="004E2DAA">
        <w:t>38</w:t>
      </w:r>
      <w:r w:rsidR="00037456">
        <w:tab/>
      </w:r>
      <w:r w:rsidR="00A210FA">
        <w:t>9</w:t>
      </w:r>
    </w:p>
    <w:p w14:paraId="3019446A" w14:textId="4493A249" w:rsidR="00E83DBF" w:rsidRDefault="00E83DBF" w:rsidP="00080610">
      <w:pPr>
        <w:tabs>
          <w:tab w:val="right" w:pos="850"/>
          <w:tab w:val="left" w:pos="1134"/>
          <w:tab w:val="left" w:pos="1559"/>
          <w:tab w:val="left" w:pos="1984"/>
          <w:tab w:val="left" w:leader="dot" w:pos="7654"/>
          <w:tab w:val="right" w:pos="8929"/>
          <w:tab w:val="right" w:pos="9638"/>
        </w:tabs>
        <w:spacing w:after="120"/>
        <w:ind w:left="1559" w:hanging="1559"/>
      </w:pPr>
      <w:r w:rsidRPr="00037456">
        <w:tab/>
      </w:r>
      <w:r w:rsidR="00B06935" w:rsidRPr="00037456">
        <w:tab/>
      </w:r>
      <w:r w:rsidR="006A3502">
        <w:tab/>
      </w:r>
      <w:r w:rsidRPr="00037456">
        <w:t>10.</w:t>
      </w:r>
      <w:r w:rsidRPr="00037456">
        <w:tab/>
        <w:t xml:space="preserve">Classification of UN 1010, mixtures of </w:t>
      </w:r>
      <w:proofErr w:type="spellStart"/>
      <w:r w:rsidRPr="00037456">
        <w:t>butadienes</w:t>
      </w:r>
      <w:proofErr w:type="spellEnd"/>
      <w:r w:rsidRPr="00037456">
        <w:t xml:space="preserve"> and hydrocarbons</w:t>
      </w:r>
      <w:r w:rsidR="00037456">
        <w:tab/>
      </w:r>
      <w:r w:rsidR="00037456">
        <w:tab/>
      </w:r>
      <w:r w:rsidR="004E2DAA">
        <w:t>39</w:t>
      </w:r>
      <w:r w:rsidR="00037456">
        <w:tab/>
      </w:r>
      <w:r w:rsidR="004E2DAA">
        <w:t>9</w:t>
      </w:r>
    </w:p>
    <w:p w14:paraId="47181BEB" w14:textId="477CAE27" w:rsidR="00730438" w:rsidRDefault="00BF1ABA" w:rsidP="00BF1ABA">
      <w:pPr>
        <w:tabs>
          <w:tab w:val="right" w:pos="850"/>
          <w:tab w:val="left" w:pos="1134"/>
          <w:tab w:val="left" w:pos="1559"/>
          <w:tab w:val="left" w:pos="1984"/>
          <w:tab w:val="left" w:leader="dot" w:pos="7654"/>
          <w:tab w:val="right" w:pos="8929"/>
          <w:tab w:val="right" w:pos="9638"/>
        </w:tabs>
        <w:spacing w:after="120"/>
        <w:ind w:left="567"/>
      </w:pPr>
      <w:r>
        <w:tab/>
      </w:r>
      <w:r w:rsidR="00730438" w:rsidRPr="00037456">
        <w:t>VIII</w:t>
      </w:r>
      <w:r w:rsidR="004B5D6C">
        <w:t>.</w:t>
      </w:r>
      <w:r>
        <w:tab/>
      </w:r>
      <w:r w:rsidR="00730438" w:rsidRPr="00037456">
        <w:t>Reports of informal working groups (agenda item 6)</w:t>
      </w:r>
      <w:r w:rsidR="00730438" w:rsidRPr="00037456">
        <w:tab/>
      </w:r>
      <w:r w:rsidR="00730438" w:rsidRPr="00037456">
        <w:tab/>
      </w:r>
      <w:r w:rsidR="001422ED">
        <w:t>40</w:t>
      </w:r>
      <w:r w:rsidR="00730438" w:rsidRPr="00037456">
        <w:tab/>
      </w:r>
      <w:r w:rsidR="001422ED">
        <w:t>9</w:t>
      </w:r>
    </w:p>
    <w:p w14:paraId="2F96D278" w14:textId="58711D25" w:rsidR="001422ED" w:rsidRPr="00037456" w:rsidRDefault="00D831A9" w:rsidP="00BF1ABA">
      <w:pPr>
        <w:tabs>
          <w:tab w:val="right" w:pos="850"/>
          <w:tab w:val="left" w:pos="1134"/>
          <w:tab w:val="left" w:pos="1559"/>
          <w:tab w:val="left" w:pos="1984"/>
          <w:tab w:val="left" w:leader="dot" w:pos="7654"/>
          <w:tab w:val="right" w:pos="8929"/>
          <w:tab w:val="right" w:pos="9638"/>
        </w:tabs>
        <w:spacing w:after="120"/>
        <w:ind w:left="567"/>
      </w:pPr>
      <w:r>
        <w:tab/>
      </w:r>
      <w:r>
        <w:tab/>
        <w:t>Information on the quantity transported in the transport document</w:t>
      </w:r>
      <w:r>
        <w:tab/>
      </w:r>
      <w:r>
        <w:tab/>
        <w:t>40</w:t>
      </w:r>
      <w:r>
        <w:tab/>
        <w:t>9</w:t>
      </w:r>
    </w:p>
    <w:p w14:paraId="141A0DC6" w14:textId="3418C662"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IX.</w:t>
      </w:r>
      <w:r w:rsidRPr="00037456">
        <w:tab/>
        <w:t>Accidents and risk management (agenda item 7)</w:t>
      </w:r>
      <w:r w:rsidRPr="00037456">
        <w:tab/>
      </w:r>
      <w:r w:rsidRPr="00037456">
        <w:tab/>
      </w:r>
      <w:r w:rsidR="0050567F">
        <w:t>41</w:t>
      </w:r>
      <w:r w:rsidRPr="00037456">
        <w:tab/>
      </w:r>
      <w:r w:rsidR="00C8635C">
        <w:t>10</w:t>
      </w:r>
    </w:p>
    <w:p w14:paraId="468F22D2" w14:textId="0D33FE1A"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X.</w:t>
      </w:r>
      <w:r w:rsidRPr="00037456">
        <w:tab/>
        <w:t>Future work (agenda item 8)</w:t>
      </w:r>
      <w:r w:rsidRPr="00037456">
        <w:tab/>
      </w:r>
      <w:r w:rsidRPr="00037456">
        <w:tab/>
      </w:r>
      <w:r w:rsidR="0050567F">
        <w:t>42-44</w:t>
      </w:r>
      <w:r w:rsidRPr="00037456">
        <w:tab/>
      </w:r>
      <w:r w:rsidR="00C8635C">
        <w:t>10</w:t>
      </w:r>
    </w:p>
    <w:p w14:paraId="7F06FD54" w14:textId="43F9C1B3"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XI.</w:t>
      </w:r>
      <w:r w:rsidRPr="00037456">
        <w:tab/>
        <w:t xml:space="preserve">Any other business (agenda item </w:t>
      </w:r>
      <w:r w:rsidR="003563F8" w:rsidRPr="00037456">
        <w:t>9</w:t>
      </w:r>
      <w:r w:rsidRPr="00037456">
        <w:t>)</w:t>
      </w:r>
      <w:r w:rsidRPr="00037456">
        <w:tab/>
      </w:r>
      <w:r w:rsidRPr="00037456">
        <w:tab/>
      </w:r>
      <w:r w:rsidR="008F773A">
        <w:t>45-47</w:t>
      </w:r>
      <w:r w:rsidRPr="00037456">
        <w:tab/>
      </w:r>
      <w:r w:rsidR="008F773A">
        <w:t>10</w:t>
      </w:r>
    </w:p>
    <w:p w14:paraId="2B24B7B4" w14:textId="29447953" w:rsidR="00ED6066" w:rsidRPr="00037456" w:rsidRDefault="00B06935" w:rsidP="008F1E27">
      <w:pPr>
        <w:tabs>
          <w:tab w:val="right" w:pos="850"/>
          <w:tab w:val="left" w:pos="1134"/>
          <w:tab w:val="left" w:pos="1701"/>
          <w:tab w:val="left" w:leader="dot" w:pos="7654"/>
          <w:tab w:val="right" w:pos="8929"/>
          <w:tab w:val="right" w:pos="9638"/>
        </w:tabs>
        <w:spacing w:after="120"/>
        <w:ind w:left="1134" w:hanging="534"/>
      </w:pPr>
      <w:r w:rsidRPr="00037456">
        <w:tab/>
      </w:r>
      <w:r w:rsidR="00ED6066" w:rsidRPr="00037456">
        <w:tab/>
        <w:t>A.</w:t>
      </w:r>
      <w:r w:rsidR="00ED6066" w:rsidRPr="00037456">
        <w:tab/>
        <w:t xml:space="preserve">Request for consultative status by the </w:t>
      </w:r>
      <w:r w:rsidR="00037456" w:rsidRPr="00037456">
        <w:br/>
      </w:r>
      <w:r w:rsidR="00037456" w:rsidRPr="00037456">
        <w:tab/>
      </w:r>
      <w:r w:rsidR="00ED6066" w:rsidRPr="00037456">
        <w:t>European Recycling Industries' Confederation (EuRIC</w:t>
      </w:r>
      <w:r w:rsidR="00037456" w:rsidRPr="00037456">
        <w:t>)</w:t>
      </w:r>
      <w:r w:rsidR="00037456" w:rsidRPr="00037456">
        <w:tab/>
      </w:r>
      <w:r w:rsidR="00037456" w:rsidRPr="00037456">
        <w:tab/>
      </w:r>
      <w:r w:rsidR="008F773A">
        <w:t>45</w:t>
      </w:r>
      <w:r w:rsidR="00037456" w:rsidRPr="00037456">
        <w:tab/>
      </w:r>
      <w:r w:rsidR="008F773A">
        <w:t>10</w:t>
      </w:r>
    </w:p>
    <w:p w14:paraId="0276C8BC" w14:textId="648CCDF4" w:rsidR="00186864" w:rsidRPr="00037456" w:rsidRDefault="00B06935" w:rsidP="008F1E27">
      <w:pPr>
        <w:tabs>
          <w:tab w:val="right" w:pos="850"/>
          <w:tab w:val="left" w:pos="1134"/>
          <w:tab w:val="left" w:pos="1701"/>
          <w:tab w:val="left" w:leader="dot" w:pos="7654"/>
          <w:tab w:val="right" w:pos="8929"/>
          <w:tab w:val="right" w:pos="9638"/>
        </w:tabs>
        <w:spacing w:after="120"/>
        <w:ind w:left="1134" w:hanging="534"/>
      </w:pPr>
      <w:r w:rsidRPr="00037456">
        <w:tab/>
      </w:r>
      <w:r w:rsidR="00186864" w:rsidRPr="00037456">
        <w:tab/>
        <w:t>B.</w:t>
      </w:r>
      <w:r w:rsidR="00186864" w:rsidRPr="00037456">
        <w:tab/>
        <w:t xml:space="preserve">Guidelines for the use of 5.4.0.2 in RID/ADR/ADN – </w:t>
      </w:r>
      <w:r w:rsidR="00037456" w:rsidRPr="00037456">
        <w:br/>
      </w:r>
      <w:r w:rsidR="00037456" w:rsidRPr="00037456">
        <w:tab/>
      </w:r>
      <w:r w:rsidR="00186864" w:rsidRPr="00037456">
        <w:t xml:space="preserve">Use of the data model in the context of the </w:t>
      </w:r>
      <w:proofErr w:type="spellStart"/>
      <w:r w:rsidR="00186864" w:rsidRPr="00037456">
        <w:t>eFTI</w:t>
      </w:r>
      <w:proofErr w:type="spellEnd"/>
      <w:r w:rsidR="00186864" w:rsidRPr="00037456">
        <w:t xml:space="preserve"> Regulation</w:t>
      </w:r>
      <w:r w:rsidR="00037456" w:rsidRPr="00037456">
        <w:tab/>
      </w:r>
      <w:r w:rsidR="00037456" w:rsidRPr="00037456">
        <w:tab/>
      </w:r>
      <w:r w:rsidR="008F773A">
        <w:t>46-47</w:t>
      </w:r>
      <w:r w:rsidR="00037456">
        <w:tab/>
      </w:r>
      <w:r w:rsidR="008F773A">
        <w:t>10</w:t>
      </w:r>
    </w:p>
    <w:p w14:paraId="6D047A73" w14:textId="2026DCB2" w:rsidR="00730438" w:rsidRPr="00037456" w:rsidRDefault="00730438" w:rsidP="00730438">
      <w:pPr>
        <w:tabs>
          <w:tab w:val="right" w:pos="850"/>
          <w:tab w:val="left" w:pos="1134"/>
          <w:tab w:val="left" w:leader="dot" w:pos="7654"/>
          <w:tab w:val="right" w:pos="8929"/>
          <w:tab w:val="right" w:pos="9638"/>
        </w:tabs>
        <w:spacing w:after="120"/>
        <w:ind w:left="1980" w:hanging="1980"/>
      </w:pPr>
      <w:r w:rsidRPr="00037456">
        <w:tab/>
        <w:t>XII.</w:t>
      </w:r>
      <w:r w:rsidRPr="00037456">
        <w:tab/>
        <w:t>Adoption of the report (agenda item 1</w:t>
      </w:r>
      <w:r w:rsidR="003563F8" w:rsidRPr="00037456">
        <w:t>0</w:t>
      </w:r>
      <w:r w:rsidRPr="00037456">
        <w:t>)</w:t>
      </w:r>
      <w:r w:rsidRPr="00037456">
        <w:tab/>
      </w:r>
      <w:r w:rsidRPr="00037456">
        <w:tab/>
      </w:r>
      <w:r w:rsidR="008F773A">
        <w:t>48</w:t>
      </w:r>
      <w:r w:rsidRPr="00037456">
        <w:tab/>
        <w:t>1</w:t>
      </w:r>
      <w:r w:rsidR="00450999">
        <w:t>1</w:t>
      </w:r>
    </w:p>
    <w:p w14:paraId="5FDA7B19" w14:textId="77777777" w:rsidR="00730438" w:rsidRPr="002C3B5E" w:rsidRDefault="00730438" w:rsidP="00730438">
      <w:pPr>
        <w:tabs>
          <w:tab w:val="right" w:pos="850"/>
          <w:tab w:val="left" w:pos="1134"/>
          <w:tab w:val="left" w:pos="1559"/>
          <w:tab w:val="left" w:pos="1984"/>
          <w:tab w:val="left" w:leader="dot" w:pos="7654"/>
          <w:tab w:val="right" w:pos="8929"/>
          <w:tab w:val="right" w:pos="9638"/>
        </w:tabs>
        <w:spacing w:after="120"/>
      </w:pPr>
    </w:p>
    <w:p w14:paraId="5BB14885" w14:textId="77777777" w:rsidR="00730438" w:rsidRPr="007149C6" w:rsidRDefault="00730438" w:rsidP="00730438">
      <w:pPr>
        <w:tabs>
          <w:tab w:val="right" w:pos="850"/>
          <w:tab w:val="left" w:pos="1134"/>
          <w:tab w:val="left" w:pos="1559"/>
          <w:tab w:val="left" w:pos="1984"/>
          <w:tab w:val="left" w:leader="dot" w:pos="7654"/>
          <w:tab w:val="right" w:pos="8929"/>
          <w:tab w:val="right" w:pos="9638"/>
        </w:tabs>
        <w:spacing w:after="120"/>
        <w:rPr>
          <w:lang w:val="fr-FR"/>
        </w:rPr>
      </w:pPr>
      <w:r w:rsidRPr="007149C6">
        <w:rPr>
          <w:lang w:val="fr-FR"/>
        </w:rPr>
        <w:t>Annexes</w:t>
      </w:r>
    </w:p>
    <w:p w14:paraId="3B37F95F" w14:textId="63583535" w:rsidR="00730438" w:rsidRPr="007149C6" w:rsidRDefault="00730438" w:rsidP="00730438">
      <w:pPr>
        <w:tabs>
          <w:tab w:val="right" w:pos="850"/>
          <w:tab w:val="left" w:pos="1134"/>
          <w:tab w:val="left" w:leader="dot" w:pos="7654"/>
          <w:tab w:val="right" w:pos="8929"/>
          <w:tab w:val="right" w:pos="9638"/>
        </w:tabs>
        <w:snapToGrid w:val="0"/>
        <w:spacing w:before="120" w:after="120"/>
        <w:ind w:left="1134" w:hanging="1134"/>
        <w:rPr>
          <w:lang w:val="fr-FR"/>
        </w:rPr>
      </w:pPr>
      <w:r w:rsidRPr="007149C6">
        <w:rPr>
          <w:lang w:val="fr-FR"/>
        </w:rPr>
        <w:tab/>
        <w:t>I.</w:t>
      </w:r>
      <w:r w:rsidRPr="007149C6">
        <w:rPr>
          <w:lang w:val="fr-FR"/>
        </w:rPr>
        <w:tab/>
      </w:r>
      <w:r w:rsidR="005F1F53" w:rsidRPr="00217B04">
        <w:t>Report of the Working Group on Tanks</w:t>
      </w:r>
      <w:r w:rsidRPr="007149C6">
        <w:rPr>
          <w:lang w:val="fr-FR"/>
        </w:rPr>
        <w:tab/>
      </w:r>
      <w:r w:rsidRPr="007149C6">
        <w:rPr>
          <w:lang w:val="fr-FR"/>
        </w:rPr>
        <w:tab/>
      </w:r>
      <w:r w:rsidRPr="007149C6">
        <w:rPr>
          <w:lang w:val="fr-FR"/>
        </w:rPr>
        <w:tab/>
        <w:t>1</w:t>
      </w:r>
      <w:r w:rsidR="00450999">
        <w:rPr>
          <w:lang w:val="fr-FR"/>
        </w:rPr>
        <w:t>2</w:t>
      </w:r>
    </w:p>
    <w:p w14:paraId="6D66904B" w14:textId="324DE474" w:rsidR="00730438" w:rsidRPr="007149C6" w:rsidRDefault="00730438" w:rsidP="0011286E">
      <w:pPr>
        <w:tabs>
          <w:tab w:val="right" w:pos="850"/>
          <w:tab w:val="left" w:pos="1134"/>
          <w:tab w:val="left" w:leader="dot" w:pos="7654"/>
          <w:tab w:val="right" w:pos="8929"/>
          <w:tab w:val="right" w:pos="9638"/>
        </w:tabs>
        <w:snapToGrid w:val="0"/>
        <w:spacing w:before="120" w:after="120"/>
        <w:ind w:left="1134" w:hanging="1134"/>
        <w:rPr>
          <w:lang w:val="fr-FR"/>
        </w:rPr>
      </w:pPr>
      <w:r w:rsidRPr="007149C6">
        <w:rPr>
          <w:lang w:val="fr-FR"/>
        </w:rPr>
        <w:tab/>
        <w:t>II.</w:t>
      </w:r>
      <w:r w:rsidRPr="007149C6">
        <w:rPr>
          <w:lang w:val="fr-FR"/>
        </w:rPr>
        <w:tab/>
      </w:r>
      <w:r w:rsidR="00F23027" w:rsidRPr="005004C2">
        <w:t>Draft amendments to RID, ADR and ADN for entry into force on 1 January 2023</w:t>
      </w:r>
      <w:r w:rsidRPr="007149C6">
        <w:rPr>
          <w:lang w:val="fr-FR"/>
        </w:rPr>
        <w:tab/>
      </w:r>
      <w:r w:rsidRPr="007149C6">
        <w:rPr>
          <w:lang w:val="fr-FR"/>
        </w:rPr>
        <w:tab/>
      </w:r>
      <w:r w:rsidRPr="007149C6">
        <w:rPr>
          <w:lang w:val="fr-FR"/>
        </w:rPr>
        <w:tab/>
        <w:t>1</w:t>
      </w:r>
      <w:r w:rsidR="00450999">
        <w:rPr>
          <w:lang w:val="fr-FR"/>
        </w:rPr>
        <w:t>3</w:t>
      </w:r>
    </w:p>
    <w:p w14:paraId="12BA84D6" w14:textId="0AD6EB1D" w:rsidR="00730438" w:rsidRPr="007149C6" w:rsidRDefault="00730438" w:rsidP="00730438">
      <w:pPr>
        <w:tabs>
          <w:tab w:val="right" w:pos="850"/>
          <w:tab w:val="left" w:pos="1134"/>
          <w:tab w:val="left" w:leader="dot" w:pos="7654"/>
          <w:tab w:val="right" w:pos="8929"/>
          <w:tab w:val="right" w:pos="9639"/>
        </w:tabs>
        <w:ind w:left="1134" w:hanging="1134"/>
        <w:rPr>
          <w:lang w:val="fr-FR"/>
        </w:rPr>
      </w:pPr>
      <w:r w:rsidRPr="007149C6">
        <w:rPr>
          <w:lang w:val="fr-FR"/>
        </w:rPr>
        <w:tab/>
        <w:t>III.</w:t>
      </w:r>
      <w:r w:rsidRPr="007149C6">
        <w:rPr>
          <w:lang w:val="fr-FR"/>
        </w:rPr>
        <w:tab/>
      </w:r>
      <w:r w:rsidR="0072130E">
        <w:t>Terms of reference of the informal working group on</w:t>
      </w:r>
      <w:r w:rsidR="0072130E" w:rsidRPr="00D00C92">
        <w:t xml:space="preserve"> the carriage of molten aluminium</w:t>
      </w:r>
      <w:r w:rsidR="003A3D0B">
        <w:tab/>
      </w:r>
      <w:r w:rsidRPr="007149C6">
        <w:rPr>
          <w:lang w:val="fr-FR"/>
        </w:rPr>
        <w:tab/>
        <w:t>2</w:t>
      </w:r>
      <w:r w:rsidR="00450999">
        <w:rPr>
          <w:lang w:val="fr-FR"/>
        </w:rPr>
        <w:t>7</w:t>
      </w:r>
    </w:p>
    <w:p w14:paraId="1886B553" w14:textId="77777777" w:rsidR="00730438" w:rsidRPr="007149C6" w:rsidRDefault="00730438" w:rsidP="00730438">
      <w:pPr>
        <w:tabs>
          <w:tab w:val="right" w:pos="850"/>
          <w:tab w:val="left" w:pos="1134"/>
          <w:tab w:val="left" w:leader="dot" w:pos="7654"/>
          <w:tab w:val="right" w:pos="8929"/>
          <w:tab w:val="right" w:pos="9638"/>
        </w:tabs>
        <w:ind w:left="1134" w:hanging="1134"/>
        <w:rPr>
          <w:lang w:val="fr-FR"/>
        </w:rPr>
      </w:pPr>
    </w:p>
    <w:p w14:paraId="02E6F1BF" w14:textId="77777777" w:rsidR="00730438" w:rsidRPr="007149C6" w:rsidRDefault="00730438" w:rsidP="00730438">
      <w:pPr>
        <w:tabs>
          <w:tab w:val="right" w:pos="850"/>
          <w:tab w:val="left" w:pos="1134"/>
          <w:tab w:val="left" w:pos="1559"/>
          <w:tab w:val="left" w:pos="1984"/>
          <w:tab w:val="left" w:leader="dot" w:pos="7654"/>
          <w:tab w:val="right" w:pos="8929"/>
          <w:tab w:val="right" w:pos="9638"/>
        </w:tabs>
        <w:rPr>
          <w:lang w:val="fr-FR"/>
        </w:rPr>
      </w:pPr>
      <w:r w:rsidRPr="007149C6">
        <w:rPr>
          <w:lang w:val="fr-FR"/>
        </w:rPr>
        <w:tab/>
      </w:r>
      <w:r w:rsidRPr="007149C6">
        <w:rPr>
          <w:lang w:val="fr-FR"/>
        </w:rPr>
        <w:br w:type="page"/>
      </w:r>
    </w:p>
    <w:p w14:paraId="69E9CD08" w14:textId="77777777" w:rsidR="00B9145F" w:rsidRPr="007149C6" w:rsidRDefault="00730438" w:rsidP="00B9145F">
      <w:pPr>
        <w:pStyle w:val="HChG"/>
        <w:rPr>
          <w:lang w:val="fr-FR"/>
        </w:rPr>
      </w:pPr>
      <w:r w:rsidRPr="007149C6">
        <w:rPr>
          <w:lang w:val="fr-FR"/>
        </w:rPr>
        <w:lastRenderedPageBreak/>
        <w:tab/>
      </w:r>
      <w:r w:rsidR="00B9145F" w:rsidRPr="007149C6">
        <w:rPr>
          <w:lang w:val="fr-FR"/>
        </w:rPr>
        <w:t>I.</w:t>
      </w:r>
      <w:r w:rsidR="00B9145F" w:rsidRPr="007149C6">
        <w:rPr>
          <w:lang w:val="fr-FR"/>
        </w:rPr>
        <w:tab/>
      </w:r>
      <w:r w:rsidR="00B9145F" w:rsidRPr="007149C6">
        <w:rPr>
          <w:lang w:val="fr-FR"/>
        </w:rPr>
        <w:tab/>
        <w:t>Attendance</w:t>
      </w:r>
    </w:p>
    <w:p w14:paraId="496B9A6D" w14:textId="77777777" w:rsidR="00B9145F" w:rsidRPr="00D26ED3" w:rsidRDefault="00B9145F" w:rsidP="00B9145F">
      <w:pPr>
        <w:pStyle w:val="SingleTxtG"/>
      </w:pPr>
      <w:r w:rsidRPr="00D26ED3">
        <w:t>1.</w:t>
      </w:r>
      <w:r w:rsidRPr="00D26ED3">
        <w:tab/>
        <w:t>The Joint Meeting of the RID Committee of Experts and the Working Party on the Transport of Dangerous Goods of the United Nations Economic Commission for Europe was held in Bern from 15 to 19 March 2021, with Mr. C. Pfauvadel (France) as Chair and Ms. S.</w:t>
      </w:r>
      <w:r>
        <w:t> </w:t>
      </w:r>
      <w:r w:rsidRPr="00D26ED3">
        <w:t>Garcia Wolfrum (Spain) as Vice-Chair.</w:t>
      </w:r>
    </w:p>
    <w:p w14:paraId="40101E5D" w14:textId="29D72A54" w:rsidR="00B9145F" w:rsidRPr="00D26ED3" w:rsidRDefault="00B9145F" w:rsidP="00B9145F">
      <w:pPr>
        <w:pStyle w:val="SingleTxtG"/>
      </w:pPr>
      <w:r w:rsidRPr="00D26ED3">
        <w:t>2.</w:t>
      </w:r>
      <w:r w:rsidRPr="00D26ED3">
        <w:tab/>
        <w:t xml:space="preserve">In accordance with rule 1 (a) of the rules of procedure of the Joint Meeting, (ECE/TRANS/WP.15/AC.1/112/Add.2), representatives of the following countries participated as full members at the session: </w:t>
      </w:r>
      <w:r w:rsidRPr="00401A69">
        <w:t xml:space="preserve">Austria, Belgium, Czechia, Denmark, Finland, France, Germany, Ireland, Italy, Latvia, Luxembourg, Netherlands, Norway, Poland, Portugal, Romania, Russian Federation, </w:t>
      </w:r>
      <w:r w:rsidR="00AF7771" w:rsidRPr="00401A69">
        <w:t xml:space="preserve">Serbia, </w:t>
      </w:r>
      <w:r w:rsidRPr="00401A69">
        <w:t>Slovakia, Spain, Sweden, Switzerland, Turkey</w:t>
      </w:r>
      <w:r w:rsidR="00AF7771" w:rsidRPr="00401A69">
        <w:t>,</w:t>
      </w:r>
      <w:r w:rsidRPr="00401A69">
        <w:t xml:space="preserve"> United Kingdom</w:t>
      </w:r>
      <w:r w:rsidR="00AF7771" w:rsidRPr="00401A69">
        <w:t xml:space="preserve"> and United</w:t>
      </w:r>
      <w:r w:rsidR="00AF7771">
        <w:t xml:space="preserve"> States of America</w:t>
      </w:r>
      <w:r w:rsidRPr="00D26ED3">
        <w:t>.</w:t>
      </w:r>
    </w:p>
    <w:p w14:paraId="4569BCA9" w14:textId="6CC8B5FE" w:rsidR="00B9145F" w:rsidRPr="00D26ED3" w:rsidRDefault="00B9145F" w:rsidP="00B9145F">
      <w:pPr>
        <w:pStyle w:val="SingleTxtG"/>
      </w:pPr>
      <w:r w:rsidRPr="00D26ED3">
        <w:t>3.</w:t>
      </w:r>
      <w:r w:rsidRPr="00D26ED3">
        <w:tab/>
        <w:t xml:space="preserve">In accordance with rule 1 (c) </w:t>
      </w:r>
      <w:r w:rsidR="00AB269A">
        <w:t xml:space="preserve">and (d) </w:t>
      </w:r>
      <w:r w:rsidRPr="00D26ED3">
        <w:t>of the rules of procedure, the following were represented in a consultative capacity:</w:t>
      </w:r>
    </w:p>
    <w:p w14:paraId="0477884C" w14:textId="77777777" w:rsidR="00B9145F" w:rsidRPr="00D26ED3" w:rsidRDefault="00B9145F" w:rsidP="00B9145F">
      <w:pPr>
        <w:pStyle w:val="SingleTxtG"/>
      </w:pPr>
      <w:r w:rsidRPr="00D26ED3">
        <w:tab/>
      </w:r>
      <w:r w:rsidRPr="00D26ED3">
        <w:tab/>
        <w:t>(a)</w:t>
      </w:r>
      <w:r w:rsidRPr="00D26ED3">
        <w:tab/>
        <w:t>European Union (European Commission and European Union Agency for Railways (ERA)) and Organization for Cooperation between Railways (OSJD</w:t>
      </w:r>
      <w:proofErr w:type="gramStart"/>
      <w:r w:rsidRPr="00D26ED3">
        <w:t>);</w:t>
      </w:r>
      <w:proofErr w:type="gramEnd"/>
    </w:p>
    <w:p w14:paraId="024EDFC7" w14:textId="19686F50" w:rsidR="005310F0" w:rsidRPr="00041081" w:rsidRDefault="005310F0" w:rsidP="00FB0762">
      <w:pPr>
        <w:pStyle w:val="SingleTxtG"/>
      </w:pPr>
      <w:r w:rsidRPr="00D26ED3">
        <w:tab/>
      </w:r>
      <w:r w:rsidRPr="00D26ED3">
        <w:tab/>
        <w:t>(b)</w:t>
      </w:r>
      <w:r w:rsidRPr="00D26ED3">
        <w:tab/>
        <w:t>T</w:t>
      </w:r>
      <w:r w:rsidRPr="00041081">
        <w:t>he following international non-governmental organizations: Council on Safe Transportation of Hazardous Articles (COSTHA), European Association of Dangerous foods Safety Advisers (EASA), European Chemical Industry Council (</w:t>
      </w:r>
      <w:r w:rsidR="00A65A2D" w:rsidRPr="00041081">
        <w:t>Cefic</w:t>
      </w:r>
      <w:r w:rsidRPr="00041081">
        <w:t xml:space="preserve">), European Committee for Standardization (CEN), </w:t>
      </w:r>
      <w:r w:rsidR="00FB0762">
        <w:t>European Council of the Paint, Printing Ink, and Artist’s Colours Industry (CEPE)</w:t>
      </w:r>
      <w:r w:rsidR="00944540">
        <w:t xml:space="preserve">, </w:t>
      </w:r>
      <w:r w:rsidR="00FC6755" w:rsidRPr="00041081">
        <w:t>European Conference of Fuel Distributors (ECFD),</w:t>
      </w:r>
      <w:r w:rsidR="00FC6755">
        <w:t xml:space="preserve"> </w:t>
      </w:r>
      <w:r w:rsidR="006A3854" w:rsidRPr="00041081">
        <w:t>European Federation of Waste Management and Environmental Services (FEAD)</w:t>
      </w:r>
      <w:r w:rsidR="00DA6854" w:rsidRPr="00041081">
        <w:t xml:space="preserve">, </w:t>
      </w:r>
      <w:r w:rsidRPr="00041081">
        <w:t xml:space="preserve">European Industrial Gases Association (EIGA), European LPG Association (Liquid Gas Europe), Fuels Europe, International Association of the Body and Trailer Building Industry (CLCCR), </w:t>
      </w:r>
      <w:r w:rsidR="00F431C7" w:rsidRPr="00041081">
        <w:t xml:space="preserve">International Dangerous Goods and Containers Association (IDGCA), </w:t>
      </w:r>
      <w:r w:rsidRPr="00041081">
        <w:t>International Road Transport Union (IRU), International Tank Container Organisation (ITCO),</w:t>
      </w:r>
      <w:r w:rsidR="008431DB" w:rsidRPr="00041081">
        <w:t xml:space="preserve"> International Union of Railways (UIC)</w:t>
      </w:r>
      <w:r w:rsidRPr="00041081">
        <w:t xml:space="preserve"> </w:t>
      </w:r>
      <w:r w:rsidR="00944540">
        <w:t xml:space="preserve">and </w:t>
      </w:r>
      <w:r w:rsidRPr="00041081">
        <w:t>International Union of Wagon Keepers</w:t>
      </w:r>
      <w:r w:rsidR="008D0FE4" w:rsidRPr="00041081">
        <w:t xml:space="preserve"> </w:t>
      </w:r>
      <w:r w:rsidRPr="00041081">
        <w:t>(UIP)</w:t>
      </w:r>
      <w:r w:rsidR="008F4C35" w:rsidRPr="00041081">
        <w:t>.</w:t>
      </w:r>
    </w:p>
    <w:p w14:paraId="41312D02" w14:textId="77777777" w:rsidR="00B9145F" w:rsidRPr="00D26ED3" w:rsidRDefault="00B9145F" w:rsidP="00B9145F">
      <w:pPr>
        <w:pStyle w:val="HChG"/>
      </w:pPr>
      <w:r w:rsidRPr="00D26ED3">
        <w:tab/>
        <w:t>II.</w:t>
      </w:r>
      <w:r w:rsidRPr="00D26ED3">
        <w:tab/>
        <w:t>Opening of the session</w:t>
      </w:r>
    </w:p>
    <w:p w14:paraId="169872AE" w14:textId="77777777" w:rsidR="00B9145F" w:rsidRPr="00D26ED3" w:rsidRDefault="00B9145F" w:rsidP="00B9145F">
      <w:pPr>
        <w:pStyle w:val="SingleTxtG"/>
      </w:pPr>
      <w:r w:rsidRPr="00D26ED3">
        <w:t>4.</w:t>
      </w:r>
      <w:r w:rsidRPr="00D26ED3">
        <w:tab/>
        <w:t xml:space="preserve">Mr. W. Küpper, Secretary General of the Intergovernmental Organisation for International Carriage by Rail (OTIF) opened the Bern session and welcomed all delegates participating in the hybrid session of the Joint Meeting. He underlined the importance of the work by OTIF and UNECE despite the circumstances due to the COVID-19 measures and wished all participants a successful session. </w:t>
      </w:r>
      <w:r w:rsidRPr="00D26ED3">
        <w:rPr>
          <w:rFonts w:eastAsia="SimSun"/>
          <w:lang w:eastAsia="zh-CN"/>
        </w:rPr>
        <w:t>The Joint Meeting was informed that the current measures implemented by UNECE to protect public health by organising hybrid sessions allowing the participation remotely or in person would be continued at least until end of July 2021.</w:t>
      </w:r>
    </w:p>
    <w:p w14:paraId="71744597" w14:textId="77777777" w:rsidR="00B9145F" w:rsidRPr="00D26ED3" w:rsidRDefault="00B9145F" w:rsidP="00230F0A">
      <w:pPr>
        <w:pStyle w:val="HChG"/>
        <w:keepNext w:val="0"/>
        <w:keepLines w:val="0"/>
      </w:pPr>
      <w:r w:rsidRPr="00D26ED3">
        <w:tab/>
        <w:t>III.</w:t>
      </w:r>
      <w:r w:rsidRPr="00D26ED3">
        <w:tab/>
        <w:t>Adoption of the agenda (agenda item 1)</w:t>
      </w:r>
    </w:p>
    <w:p w14:paraId="149E9D88" w14:textId="3FEA2297" w:rsidR="00B9145F" w:rsidRDefault="00B9145F" w:rsidP="00230F0A">
      <w:pPr>
        <w:pStyle w:val="SingleTxtG"/>
        <w:tabs>
          <w:tab w:val="left" w:pos="3119"/>
        </w:tabs>
        <w:spacing w:after="0"/>
      </w:pPr>
      <w:r w:rsidRPr="00D26ED3">
        <w:rPr>
          <w:i/>
          <w:iCs/>
        </w:rPr>
        <w:t>Documents:</w:t>
      </w:r>
      <w:r w:rsidRPr="00D26ED3">
        <w:tab/>
        <w:t>ECE/TRANS/WP.15/AC.1/159 and Add.1</w:t>
      </w:r>
    </w:p>
    <w:p w14:paraId="143DD24D" w14:textId="23E6FF0C" w:rsidR="00E07D63" w:rsidRPr="00E07D63" w:rsidRDefault="00E07D63" w:rsidP="00230F0A">
      <w:pPr>
        <w:pStyle w:val="SingleTxtG"/>
        <w:tabs>
          <w:tab w:val="left" w:pos="3119"/>
        </w:tabs>
        <w:ind w:left="3119"/>
      </w:pPr>
      <w:r>
        <w:rPr>
          <w:iCs/>
        </w:rPr>
        <w:t>RID-21001-RC</w:t>
      </w:r>
    </w:p>
    <w:p w14:paraId="240E1EA2" w14:textId="63F93326" w:rsidR="00B9145F" w:rsidRPr="00D26ED3" w:rsidRDefault="00B9145F" w:rsidP="00230F0A">
      <w:pPr>
        <w:pStyle w:val="SingleTxtG"/>
        <w:tabs>
          <w:tab w:val="left" w:pos="3119"/>
        </w:tabs>
      </w:pPr>
      <w:r w:rsidRPr="00D26ED3">
        <w:rPr>
          <w:i/>
          <w:iCs/>
        </w:rPr>
        <w:t>Informal document</w:t>
      </w:r>
      <w:r w:rsidR="00CE0E9B">
        <w:rPr>
          <w:i/>
          <w:iCs/>
        </w:rPr>
        <w:t>s</w:t>
      </w:r>
      <w:r w:rsidRPr="00D26ED3">
        <w:rPr>
          <w:i/>
          <w:iCs/>
        </w:rPr>
        <w:t>:</w:t>
      </w:r>
      <w:r w:rsidRPr="00D26ED3">
        <w:tab/>
        <w:t xml:space="preserve">INF.2 </w:t>
      </w:r>
      <w:r w:rsidR="00623C4D">
        <w:t xml:space="preserve">and INF.25 </w:t>
      </w:r>
      <w:r w:rsidRPr="00D26ED3">
        <w:t>(Secretariat)</w:t>
      </w:r>
    </w:p>
    <w:p w14:paraId="4CB9F77B" w14:textId="578A9154" w:rsidR="00B9145F" w:rsidRPr="00D26ED3" w:rsidRDefault="00B9145F" w:rsidP="00230F0A">
      <w:pPr>
        <w:pStyle w:val="SingleTxtG"/>
      </w:pPr>
      <w:r w:rsidRPr="00D26ED3">
        <w:t>5.</w:t>
      </w:r>
      <w:r w:rsidRPr="00D26ED3">
        <w:tab/>
        <w:t>The Joint Meeting adopted the agenda proposed by the secretariat</w:t>
      </w:r>
      <w:r w:rsidR="00AB269A">
        <w:t>s</w:t>
      </w:r>
      <w:r w:rsidRPr="00D26ED3">
        <w:t xml:space="preserve"> in documents ECE/TRANS/WP.15/AC.1/159 and Add.1 </w:t>
      </w:r>
      <w:r w:rsidR="00E07D63">
        <w:t xml:space="preserve">(RID-21001-RC) </w:t>
      </w:r>
      <w:r w:rsidRPr="00D26ED3">
        <w:t>as updated by informal document INF.2 after amending it to take account of informal documents INF.</w:t>
      </w:r>
      <w:r w:rsidR="00AB269A">
        <w:t>2</w:t>
      </w:r>
      <w:r w:rsidRPr="00D26ED3">
        <w:t xml:space="preserve"> to INF.</w:t>
      </w:r>
      <w:r w:rsidR="00623C4D">
        <w:t>44</w:t>
      </w:r>
      <w:r w:rsidRPr="00D26ED3">
        <w:t>.</w:t>
      </w:r>
    </w:p>
    <w:p w14:paraId="1558003B" w14:textId="77777777" w:rsidR="00B9145F" w:rsidRPr="00D26ED3" w:rsidRDefault="00B9145F" w:rsidP="00F304E1">
      <w:pPr>
        <w:pStyle w:val="HChG"/>
      </w:pPr>
      <w:r w:rsidRPr="00D26ED3">
        <w:lastRenderedPageBreak/>
        <w:tab/>
        <w:t>IV.</w:t>
      </w:r>
      <w:r w:rsidRPr="00D26ED3">
        <w:tab/>
        <w:t>Tanks (agenda item 2)</w:t>
      </w:r>
    </w:p>
    <w:p w14:paraId="6C0D830A" w14:textId="3377BDB9" w:rsidR="00B9145F" w:rsidRPr="00D26ED3" w:rsidRDefault="00B9145F" w:rsidP="00F304E1">
      <w:pPr>
        <w:pStyle w:val="SingleTxtG"/>
        <w:keepNext/>
        <w:keepLines/>
        <w:tabs>
          <w:tab w:val="left" w:pos="3119"/>
        </w:tabs>
        <w:spacing w:after="0"/>
        <w:ind w:left="3119" w:hanging="1985"/>
      </w:pPr>
      <w:r w:rsidRPr="00D26ED3">
        <w:rPr>
          <w:i/>
          <w:iCs/>
        </w:rPr>
        <w:t>Documents:</w:t>
      </w:r>
      <w:r w:rsidRPr="00D26ED3">
        <w:tab/>
        <w:t>ECE/TRANS/WP.15/AC.1/158/Add.1 (Secretariat)</w:t>
      </w:r>
    </w:p>
    <w:p w14:paraId="5D690BE5" w14:textId="77777777" w:rsidR="00B9145F" w:rsidRPr="00D26ED3" w:rsidRDefault="00B9145F" w:rsidP="00F304E1">
      <w:pPr>
        <w:pStyle w:val="SingleTxtG"/>
        <w:keepNext/>
        <w:keepLines/>
        <w:tabs>
          <w:tab w:val="left" w:pos="3119"/>
        </w:tabs>
        <w:spacing w:after="0"/>
        <w:ind w:left="3119" w:hanging="1985"/>
      </w:pPr>
      <w:r w:rsidRPr="00D26ED3">
        <w:tab/>
        <w:t>ECE/TRANS/WP.15/AC.1/2021/3 (UIP)</w:t>
      </w:r>
    </w:p>
    <w:p w14:paraId="21FA345F" w14:textId="77777777" w:rsidR="00B9145F" w:rsidRPr="00D26ED3" w:rsidRDefault="00B9145F" w:rsidP="00F304E1">
      <w:pPr>
        <w:pStyle w:val="SingleTxtG"/>
        <w:keepNext/>
        <w:keepLines/>
        <w:tabs>
          <w:tab w:val="left" w:pos="3119"/>
        </w:tabs>
        <w:spacing w:after="0"/>
        <w:ind w:left="3119" w:hanging="1985"/>
      </w:pPr>
      <w:r w:rsidRPr="00D26ED3">
        <w:tab/>
        <w:t>ECE/TRANS/WP.15/AC.1/2021/5 (France)</w:t>
      </w:r>
    </w:p>
    <w:p w14:paraId="16B7F4BC" w14:textId="77777777" w:rsidR="00B9145F" w:rsidRPr="00D26ED3" w:rsidRDefault="00B9145F" w:rsidP="00F304E1">
      <w:pPr>
        <w:pStyle w:val="SingleTxtG"/>
        <w:keepNext/>
        <w:keepLines/>
        <w:tabs>
          <w:tab w:val="left" w:pos="3119"/>
        </w:tabs>
        <w:spacing w:after="0"/>
        <w:ind w:left="3119" w:hanging="1985"/>
      </w:pPr>
      <w:r w:rsidRPr="00D26ED3">
        <w:tab/>
        <w:t>ECE/TRANS/WP.15/AC.1/2021/6 (Germany)</w:t>
      </w:r>
    </w:p>
    <w:p w14:paraId="3CA189BD" w14:textId="758EFE3A" w:rsidR="00B9145F" w:rsidRPr="00D26ED3" w:rsidRDefault="00B9145F" w:rsidP="00F304E1">
      <w:pPr>
        <w:pStyle w:val="SingleTxtG"/>
        <w:keepNext/>
        <w:keepLines/>
        <w:tabs>
          <w:tab w:val="left" w:pos="3119"/>
        </w:tabs>
        <w:spacing w:after="0"/>
        <w:ind w:left="3119" w:hanging="1985"/>
      </w:pPr>
      <w:r w:rsidRPr="00D26ED3">
        <w:tab/>
        <w:t>ECE/TRANS/WP.15/AC.1/2021/8 (Belgium)</w:t>
      </w:r>
    </w:p>
    <w:p w14:paraId="1C2DF027" w14:textId="09BBFC26" w:rsidR="00B9145F" w:rsidRPr="00D26ED3" w:rsidRDefault="00B9145F" w:rsidP="00F304E1">
      <w:pPr>
        <w:pStyle w:val="SingleTxtG"/>
        <w:keepNext/>
        <w:keepLines/>
        <w:tabs>
          <w:tab w:val="left" w:pos="3119"/>
        </w:tabs>
        <w:spacing w:after="0"/>
        <w:ind w:left="3119" w:hanging="1985"/>
      </w:pPr>
      <w:r w:rsidRPr="00D26ED3">
        <w:tab/>
        <w:t>ECE/TRANS/WP.15/AC.1/2021/10 (</w:t>
      </w:r>
      <w:r w:rsidR="00B94CF7">
        <w:t>Poland</w:t>
      </w:r>
      <w:r w:rsidRPr="00D26ED3">
        <w:t>)</w:t>
      </w:r>
    </w:p>
    <w:p w14:paraId="2962CF80" w14:textId="77777777" w:rsidR="00B9145F" w:rsidRPr="00D26ED3" w:rsidRDefault="00B9145F" w:rsidP="00F304E1">
      <w:pPr>
        <w:pStyle w:val="SingleTxtG"/>
        <w:keepNext/>
        <w:keepLines/>
        <w:tabs>
          <w:tab w:val="left" w:pos="3119"/>
        </w:tabs>
        <w:spacing w:after="0"/>
        <w:ind w:left="3119" w:hanging="1985"/>
      </w:pPr>
      <w:r w:rsidRPr="00D26ED3">
        <w:tab/>
        <w:t>ECE/TRANS/WP.15/AC.1/2021/11 (Netherlands)</w:t>
      </w:r>
    </w:p>
    <w:p w14:paraId="18E14F74" w14:textId="40D297D3" w:rsidR="00B9145F" w:rsidRPr="00D26ED3" w:rsidRDefault="00B9145F" w:rsidP="00F304E1">
      <w:pPr>
        <w:pStyle w:val="SingleTxtG"/>
        <w:keepNext/>
        <w:keepLines/>
        <w:tabs>
          <w:tab w:val="left" w:pos="3119"/>
        </w:tabs>
        <w:spacing w:after="0"/>
        <w:ind w:left="3119" w:hanging="1985"/>
      </w:pPr>
      <w:r w:rsidRPr="00D26ED3">
        <w:tab/>
        <w:t>ECE/TRANS/WP.15/AC.1/2021/19 (United Kingdom)</w:t>
      </w:r>
    </w:p>
    <w:p w14:paraId="16B1D38F" w14:textId="65419229" w:rsidR="00B9145F" w:rsidRPr="00D26ED3" w:rsidRDefault="00B9145F" w:rsidP="00F304E1">
      <w:pPr>
        <w:pStyle w:val="SingleTxtG"/>
        <w:keepNext/>
        <w:keepLines/>
        <w:tabs>
          <w:tab w:val="left" w:pos="3119"/>
        </w:tabs>
        <w:ind w:left="3119" w:hanging="1985"/>
      </w:pPr>
      <w:r w:rsidRPr="00D26ED3">
        <w:tab/>
        <w:t>ECE/TRANS/WP.15/AC.1/2021/21 (OTIF</w:t>
      </w:r>
      <w:r w:rsidR="0005568E">
        <w:t xml:space="preserve"> </w:t>
      </w:r>
      <w:r w:rsidR="00AB269A">
        <w:t>s</w:t>
      </w:r>
      <w:r w:rsidR="0005568E">
        <w:t>ecretariat</w:t>
      </w:r>
      <w:r w:rsidRPr="00D26ED3">
        <w:t>)</w:t>
      </w:r>
    </w:p>
    <w:p w14:paraId="3F0DD430" w14:textId="77777777" w:rsidR="00B9145F" w:rsidRPr="00D26ED3" w:rsidRDefault="00B9145F" w:rsidP="00B9145F">
      <w:pPr>
        <w:pStyle w:val="SingleTxtG"/>
        <w:keepNext/>
        <w:keepLines/>
        <w:tabs>
          <w:tab w:val="left" w:pos="3119"/>
        </w:tabs>
        <w:spacing w:after="0"/>
        <w:ind w:left="3119" w:hanging="1985"/>
      </w:pPr>
      <w:r w:rsidRPr="00D26ED3">
        <w:rPr>
          <w:i/>
          <w:iCs/>
        </w:rPr>
        <w:t>Informal documents:</w:t>
      </w:r>
      <w:r w:rsidRPr="00D26ED3">
        <w:tab/>
        <w:t>INF.9 (ITCO)</w:t>
      </w:r>
    </w:p>
    <w:p w14:paraId="5021544A" w14:textId="77777777" w:rsidR="00B9145F" w:rsidRPr="00D26ED3" w:rsidRDefault="00B9145F" w:rsidP="00B9145F">
      <w:pPr>
        <w:pStyle w:val="SingleTxtG"/>
        <w:keepNext/>
        <w:keepLines/>
        <w:tabs>
          <w:tab w:val="left" w:pos="3119"/>
        </w:tabs>
        <w:spacing w:after="0"/>
        <w:ind w:left="3119" w:hanging="1985"/>
      </w:pPr>
      <w:r w:rsidRPr="00D26ED3">
        <w:tab/>
        <w:t>INF.11 (United Kingdom)</w:t>
      </w:r>
    </w:p>
    <w:p w14:paraId="29AB7D91" w14:textId="77777777" w:rsidR="00B9145F" w:rsidRPr="00D26ED3" w:rsidRDefault="00B9145F" w:rsidP="00B9145F">
      <w:pPr>
        <w:pStyle w:val="SingleTxtG"/>
        <w:keepNext/>
        <w:keepLines/>
        <w:tabs>
          <w:tab w:val="left" w:pos="3119"/>
        </w:tabs>
        <w:spacing w:after="0"/>
        <w:ind w:left="3119" w:hanging="1985"/>
      </w:pPr>
      <w:r w:rsidRPr="00D26ED3">
        <w:tab/>
        <w:t>INF.12 (Netherlands)</w:t>
      </w:r>
    </w:p>
    <w:p w14:paraId="32FCDF9F" w14:textId="2AD1DA7A" w:rsidR="00B9145F" w:rsidRPr="00D26ED3" w:rsidRDefault="00B9145F" w:rsidP="00B9145F">
      <w:pPr>
        <w:pStyle w:val="SingleTxtG"/>
        <w:tabs>
          <w:tab w:val="left" w:pos="3119"/>
        </w:tabs>
        <w:spacing w:after="0"/>
        <w:ind w:left="3119" w:hanging="1985"/>
      </w:pPr>
      <w:r w:rsidRPr="00D26ED3">
        <w:tab/>
        <w:t>INF.14 (Netherlands</w:t>
      </w:r>
      <w:r w:rsidR="009B75D2">
        <w:t xml:space="preserve"> and UIP</w:t>
      </w:r>
      <w:r w:rsidRPr="00D26ED3">
        <w:t>)</w:t>
      </w:r>
    </w:p>
    <w:p w14:paraId="2A1B963A" w14:textId="77777777" w:rsidR="00B9145F" w:rsidRPr="00D26ED3" w:rsidRDefault="00B9145F" w:rsidP="00B9145F">
      <w:pPr>
        <w:pStyle w:val="SingleTxtG"/>
        <w:tabs>
          <w:tab w:val="left" w:pos="3119"/>
        </w:tabs>
        <w:spacing w:after="0"/>
        <w:ind w:left="3119" w:hanging="1985"/>
      </w:pPr>
      <w:r w:rsidRPr="00D26ED3">
        <w:tab/>
        <w:t>INF.15 (United Kingdom)</w:t>
      </w:r>
    </w:p>
    <w:p w14:paraId="7F5F0323" w14:textId="77777777" w:rsidR="00B9145F" w:rsidRPr="00D26ED3" w:rsidRDefault="00B9145F" w:rsidP="00B9145F">
      <w:pPr>
        <w:pStyle w:val="SingleTxtG"/>
        <w:tabs>
          <w:tab w:val="left" w:pos="3119"/>
        </w:tabs>
        <w:spacing w:after="0"/>
        <w:ind w:left="3119" w:hanging="1985"/>
      </w:pPr>
      <w:r w:rsidRPr="00D26ED3">
        <w:tab/>
        <w:t>INF.16 (Poland)</w:t>
      </w:r>
    </w:p>
    <w:p w14:paraId="7B084E45" w14:textId="77777777" w:rsidR="00B9145F" w:rsidRPr="00D26ED3" w:rsidRDefault="00B9145F" w:rsidP="00B9145F">
      <w:pPr>
        <w:pStyle w:val="SingleTxtG"/>
        <w:tabs>
          <w:tab w:val="left" w:pos="3119"/>
        </w:tabs>
        <w:spacing w:after="0"/>
        <w:ind w:left="3119" w:hanging="1985"/>
      </w:pPr>
      <w:r w:rsidRPr="00D26ED3">
        <w:tab/>
        <w:t>INF.18 (Secretariat)</w:t>
      </w:r>
    </w:p>
    <w:p w14:paraId="5818307B" w14:textId="77777777" w:rsidR="00B9145F" w:rsidRPr="00D26ED3" w:rsidRDefault="00B9145F" w:rsidP="00B9145F">
      <w:pPr>
        <w:pStyle w:val="SingleTxtG"/>
        <w:tabs>
          <w:tab w:val="left" w:pos="3119"/>
        </w:tabs>
        <w:spacing w:after="0"/>
        <w:ind w:left="3119" w:hanging="1985"/>
      </w:pPr>
      <w:r w:rsidRPr="00D26ED3">
        <w:tab/>
        <w:t>INF.21 (EIGA)</w:t>
      </w:r>
    </w:p>
    <w:p w14:paraId="3308D645" w14:textId="77777777" w:rsidR="00B9145F" w:rsidRPr="00D26ED3" w:rsidRDefault="00B9145F" w:rsidP="00B9145F">
      <w:pPr>
        <w:pStyle w:val="SingleTxtG"/>
        <w:tabs>
          <w:tab w:val="left" w:pos="3119"/>
        </w:tabs>
        <w:spacing w:after="0"/>
        <w:ind w:left="3119" w:hanging="1985"/>
      </w:pPr>
      <w:r w:rsidRPr="00D26ED3">
        <w:tab/>
        <w:t>INF.23 (Germany and UIP)</w:t>
      </w:r>
    </w:p>
    <w:p w14:paraId="251492AE" w14:textId="77777777" w:rsidR="00B9145F" w:rsidRPr="00D26ED3" w:rsidRDefault="00B9145F" w:rsidP="00B9145F">
      <w:pPr>
        <w:pStyle w:val="SingleTxtG"/>
        <w:tabs>
          <w:tab w:val="left" w:pos="3119"/>
        </w:tabs>
        <w:spacing w:after="0"/>
        <w:ind w:left="3119" w:hanging="1985"/>
      </w:pPr>
      <w:r w:rsidRPr="00D26ED3">
        <w:tab/>
        <w:t>INF.31 (United Kingdom)</w:t>
      </w:r>
    </w:p>
    <w:p w14:paraId="74DB2F55" w14:textId="57EFDB5D" w:rsidR="00C156D4" w:rsidRPr="00D26ED3" w:rsidRDefault="00B9145F" w:rsidP="00206928">
      <w:pPr>
        <w:pStyle w:val="SingleTxtG"/>
        <w:tabs>
          <w:tab w:val="left" w:pos="3119"/>
        </w:tabs>
        <w:spacing w:after="0"/>
        <w:ind w:left="3119" w:hanging="1985"/>
      </w:pPr>
      <w:r w:rsidRPr="00D26ED3">
        <w:tab/>
      </w:r>
      <w:r w:rsidR="00D4275B" w:rsidRPr="00D26ED3">
        <w:t>INF.35 (France)</w:t>
      </w:r>
    </w:p>
    <w:p w14:paraId="1827C6B3" w14:textId="38AEC062" w:rsidR="00B9145F" w:rsidRPr="00D26ED3" w:rsidRDefault="00B9145F" w:rsidP="00B9145F">
      <w:pPr>
        <w:pStyle w:val="SingleTxtG"/>
        <w:tabs>
          <w:tab w:val="left" w:pos="3119"/>
        </w:tabs>
        <w:spacing w:after="240"/>
        <w:ind w:left="3119" w:hanging="1985"/>
      </w:pPr>
      <w:r w:rsidRPr="00D26ED3">
        <w:tab/>
        <w:t>INF.3</w:t>
      </w:r>
      <w:r w:rsidR="00B62E43">
        <w:t>7</w:t>
      </w:r>
      <w:r w:rsidRPr="00D26ED3">
        <w:t xml:space="preserve"> (</w:t>
      </w:r>
      <w:r w:rsidR="00B62E43">
        <w:t>UIC</w:t>
      </w:r>
      <w:r w:rsidRPr="00D26ED3">
        <w:t>)</w:t>
      </w:r>
    </w:p>
    <w:p w14:paraId="48FE8B22" w14:textId="4BF3ED8E" w:rsidR="00B9145F" w:rsidRDefault="00B9145F" w:rsidP="00B9145F">
      <w:pPr>
        <w:pStyle w:val="SingleTxtG"/>
      </w:pPr>
      <w:r w:rsidRPr="00D26ED3">
        <w:t>6.</w:t>
      </w:r>
      <w:r w:rsidRPr="00D26ED3">
        <w:tab/>
        <w:t xml:space="preserve">Consideration of the documents under agenda item 2 was entrusted to the Working Group on Tanks that </w:t>
      </w:r>
      <w:r w:rsidR="00AB269A">
        <w:t xml:space="preserve">virtually </w:t>
      </w:r>
      <w:r w:rsidRPr="00D26ED3">
        <w:t>met from 15 to 17 March with Mr. A. Bale (United Kingdom) as Chair</w:t>
      </w:r>
      <w:r w:rsidR="00D47116">
        <w:t xml:space="preserve">, except the documents </w:t>
      </w:r>
      <w:r w:rsidR="0005568E">
        <w:t>related</w:t>
      </w:r>
      <w:r w:rsidR="008D73AF">
        <w:t xml:space="preserve"> to the informal working group on the inspection and certification of tanks</w:t>
      </w:r>
      <w:r w:rsidR="003A7425">
        <w:t xml:space="preserve">, which were considered </w:t>
      </w:r>
      <w:r w:rsidR="009A7E08">
        <w:t>in</w:t>
      </w:r>
      <w:r w:rsidR="00666AD8">
        <w:t xml:space="preserve"> the</w:t>
      </w:r>
      <w:r w:rsidR="009A7E08">
        <w:t xml:space="preserve"> plenary session</w:t>
      </w:r>
      <w:r w:rsidRPr="00D26ED3">
        <w:t>.</w:t>
      </w:r>
    </w:p>
    <w:p w14:paraId="5A516B0F" w14:textId="1B4C068C" w:rsidR="00B336EA" w:rsidRDefault="00B336EA" w:rsidP="00B336EA">
      <w:pPr>
        <w:pStyle w:val="H1G"/>
        <w:spacing w:before="240" w:line="240" w:lineRule="auto"/>
      </w:pPr>
      <w:r>
        <w:tab/>
      </w:r>
      <w:r w:rsidR="00EE447E">
        <w:t>A.</w:t>
      </w:r>
      <w:r>
        <w:tab/>
        <w:t>Report of the Working Group on Tanks</w:t>
      </w:r>
    </w:p>
    <w:p w14:paraId="00850F85" w14:textId="50DBCCCF" w:rsidR="00B336EA" w:rsidRDefault="00B336EA" w:rsidP="00B336EA">
      <w:pPr>
        <w:pStyle w:val="SingleTxtG"/>
        <w:tabs>
          <w:tab w:val="left" w:pos="3119"/>
        </w:tabs>
      </w:pPr>
      <w:r>
        <w:rPr>
          <w:i/>
          <w:iCs/>
        </w:rPr>
        <w:t>Informal document:</w:t>
      </w:r>
      <w:r>
        <w:tab/>
        <w:t>INF.43 (Report of the Working Group on Tanks)</w:t>
      </w:r>
    </w:p>
    <w:p w14:paraId="0BB11878" w14:textId="486D1C15" w:rsidR="00B336EA" w:rsidRDefault="0034656B" w:rsidP="00B336EA">
      <w:pPr>
        <w:pStyle w:val="SingleTxtG"/>
      </w:pPr>
      <w:r>
        <w:t>7</w:t>
      </w:r>
      <w:r w:rsidR="00B336EA">
        <w:t>.</w:t>
      </w:r>
      <w:r w:rsidR="00B336EA">
        <w:tab/>
        <w:t xml:space="preserve">The Joint Meeting endorsed the conclusions and recommendations of the Working Group whose report appears in annex </w:t>
      </w:r>
      <w:r w:rsidR="002A1D14">
        <w:t>I</w:t>
      </w:r>
      <w:r w:rsidR="00B336EA">
        <w:t xml:space="preserve"> as </w:t>
      </w:r>
      <w:r w:rsidR="00CE2490">
        <w:t>A</w:t>
      </w:r>
      <w:r w:rsidR="00B336EA">
        <w:t xml:space="preserve">ddendum 1 to this report. Proposals 1 to 7 under items 1, 2 and 3 in </w:t>
      </w:r>
      <w:r w:rsidR="005C7C39">
        <w:t>Addendum 1</w:t>
      </w:r>
      <w:r w:rsidR="00B336EA">
        <w:t xml:space="preserve"> were adopted (see annex </w:t>
      </w:r>
      <w:r w:rsidR="009C2450">
        <w:t>I</w:t>
      </w:r>
      <w:r w:rsidR="00636967">
        <w:t>I</w:t>
      </w:r>
      <w:r w:rsidR="00B336EA">
        <w:t>).</w:t>
      </w:r>
    </w:p>
    <w:p w14:paraId="24045B16" w14:textId="79041B3E" w:rsidR="00B336EA" w:rsidRDefault="0034656B" w:rsidP="00B336EA">
      <w:pPr>
        <w:pStyle w:val="SingleTxtG"/>
      </w:pPr>
      <w:r>
        <w:t>8</w:t>
      </w:r>
      <w:r w:rsidR="00B336EA">
        <w:t>.</w:t>
      </w:r>
      <w:r w:rsidR="00B336EA">
        <w:tab/>
        <w:t>On item 2, proposal 6, the Joint Meeting adopted the extension of the scope in column 3 to include 6.8.2.1.23 and noted a possible conflict with the date in column 4. It was agreed to clarify this issue at the next session of the Joint Meeting and, therefore, to keep this amendment in square brackets.</w:t>
      </w:r>
    </w:p>
    <w:p w14:paraId="56270F67" w14:textId="717730F9" w:rsidR="00B336EA" w:rsidRDefault="0034656B" w:rsidP="00B336EA">
      <w:pPr>
        <w:pStyle w:val="SingleTxtG"/>
      </w:pPr>
      <w:r>
        <w:t>9</w:t>
      </w:r>
      <w:r w:rsidR="00B336EA">
        <w:t>.</w:t>
      </w:r>
      <w:r w:rsidR="00B336EA">
        <w:tab/>
        <w:t>On item 4, the Joint Meeting noted that no consensus could be found and agreed to resume, due to lack of time, discussion at its autumn session.</w:t>
      </w:r>
    </w:p>
    <w:p w14:paraId="3386D1A6" w14:textId="1A5911AB" w:rsidR="00B336EA" w:rsidRDefault="0034656B" w:rsidP="00B336EA">
      <w:pPr>
        <w:pStyle w:val="SingleTxtG"/>
      </w:pPr>
      <w:r>
        <w:t>10</w:t>
      </w:r>
      <w:r w:rsidR="00B336EA">
        <w:t>.</w:t>
      </w:r>
      <w:r w:rsidR="00B336EA">
        <w:tab/>
        <w:t xml:space="preserve">On item 6, the Joint Meeting acknowledged the urgency and importance to revisit RID/ADR 6.8.3.2 and agreed to set up an intersessional ad hoc working group to further discuss this subject. The </w:t>
      </w:r>
      <w:r w:rsidR="0029726A">
        <w:t xml:space="preserve">representatives of </w:t>
      </w:r>
      <w:r w:rsidR="00B336EA">
        <w:t>Netherlands and EIGA were invited to organize such a meeting and to report back to the Joint Meeting at its September session.</w:t>
      </w:r>
    </w:p>
    <w:p w14:paraId="5625ACC3" w14:textId="475D4DC9" w:rsidR="00B336EA" w:rsidRDefault="0034656B" w:rsidP="00B336EA">
      <w:pPr>
        <w:pStyle w:val="SingleTxtG"/>
      </w:pPr>
      <w:r>
        <w:t>11</w:t>
      </w:r>
      <w:r w:rsidR="00B336EA">
        <w:t>.</w:t>
      </w:r>
      <w:r w:rsidR="00B336EA">
        <w:tab/>
        <w:t xml:space="preserve">On item 7, the Joint Meeting noted the concerns raised by </w:t>
      </w:r>
      <w:r w:rsidR="002A2C4B">
        <w:t xml:space="preserve">representative of </w:t>
      </w:r>
      <w:r w:rsidR="00B336EA">
        <w:t>ITCO in informal document INF.9 and their request to defer the adoption of Chapter 6.9 in RID/ADR. Considering the outdated status of the existing prescriptions, most delegations considered the new Chapter 6.9 on fibre reinforced plastics (FRP) portable tanks from the UN Model Regulations as a considerable improvement and could support the adoption into RID/ADR. It was agreed that the Ad hoc Working Group on the Harmonization should decide on the best possible way forward on how to insert the new provisions of the new Chapter 6.9 into RID/ADR</w:t>
      </w:r>
      <w:r w:rsidR="008A2902">
        <w:t xml:space="preserve"> (document </w:t>
      </w:r>
      <w:r w:rsidR="008A2902" w:rsidRPr="00D26ED3">
        <w:t>ECE/TRANS/WP.15/AC.1/2021/5</w:t>
      </w:r>
      <w:r w:rsidR="008A2902">
        <w:t>)</w:t>
      </w:r>
      <w:r w:rsidR="00B336EA">
        <w:t>. The representative of ITCO was invited to address the concerns to the Sub-Committee on the Transport of Dangerous Goods during its June/July session.</w:t>
      </w:r>
    </w:p>
    <w:p w14:paraId="7E619E69" w14:textId="01148C3A" w:rsidR="00B336EA" w:rsidRDefault="00B336EA" w:rsidP="00B336EA">
      <w:pPr>
        <w:pStyle w:val="H1G"/>
        <w:spacing w:before="240" w:line="240" w:lineRule="auto"/>
      </w:pPr>
      <w:r>
        <w:lastRenderedPageBreak/>
        <w:tab/>
      </w:r>
      <w:r w:rsidR="00EE447E">
        <w:t>B.</w:t>
      </w:r>
      <w:r>
        <w:tab/>
        <w:t>Report of the informal working group on the inspection and certification of tanks</w:t>
      </w:r>
    </w:p>
    <w:p w14:paraId="722B92F7" w14:textId="58E97056" w:rsidR="005A0362" w:rsidRPr="00D26ED3" w:rsidRDefault="005A0362" w:rsidP="007149C6">
      <w:pPr>
        <w:pStyle w:val="SingleTxtG"/>
        <w:tabs>
          <w:tab w:val="left" w:pos="3119"/>
        </w:tabs>
        <w:ind w:left="3119" w:hanging="1985"/>
        <w:jc w:val="left"/>
      </w:pPr>
      <w:r w:rsidRPr="00D26ED3">
        <w:rPr>
          <w:i/>
          <w:iCs/>
        </w:rPr>
        <w:t>Documents:</w:t>
      </w:r>
      <w:r w:rsidRPr="00D26ED3">
        <w:t xml:space="preserve"> </w:t>
      </w:r>
      <w:r w:rsidRPr="00D26ED3">
        <w:tab/>
        <w:t>ECE/TRANS/WP.15/AC.1/</w:t>
      </w:r>
      <w:r>
        <w:t>2021</w:t>
      </w:r>
      <w:r w:rsidRPr="00D26ED3">
        <w:t>/</w:t>
      </w:r>
      <w:r w:rsidR="007103E5">
        <w:t>7</w:t>
      </w:r>
      <w:r>
        <w:t xml:space="preserve"> (</w:t>
      </w:r>
      <w:r w:rsidR="007103E5">
        <w:t>United Kingdom</w:t>
      </w:r>
      <w:r w:rsidRPr="00D26ED3">
        <w:t>)</w:t>
      </w:r>
      <w:r w:rsidR="00E22F38">
        <w:br/>
      </w:r>
      <w:r w:rsidR="007103E5" w:rsidRPr="00D26ED3">
        <w:t>ECE/TRANS/WP.15/AC.1/</w:t>
      </w:r>
      <w:r w:rsidR="007103E5">
        <w:t>2021</w:t>
      </w:r>
      <w:r w:rsidR="007103E5" w:rsidRPr="00D26ED3">
        <w:t>/</w:t>
      </w:r>
      <w:r w:rsidR="007103E5">
        <w:t>16 (Germany)</w:t>
      </w:r>
    </w:p>
    <w:p w14:paraId="7B94E79B" w14:textId="789F46E3" w:rsidR="00D4753F" w:rsidRPr="00D26ED3" w:rsidRDefault="00B336EA" w:rsidP="007149C6">
      <w:pPr>
        <w:pStyle w:val="SingleTxtG"/>
        <w:tabs>
          <w:tab w:val="left" w:pos="3119"/>
        </w:tabs>
        <w:ind w:left="3119" w:hanging="1985"/>
        <w:jc w:val="left"/>
      </w:pPr>
      <w:r>
        <w:rPr>
          <w:i/>
          <w:iCs/>
        </w:rPr>
        <w:t>Informal document</w:t>
      </w:r>
      <w:r w:rsidR="00DF39F0">
        <w:rPr>
          <w:i/>
          <w:iCs/>
        </w:rPr>
        <w:t>s</w:t>
      </w:r>
      <w:r>
        <w:rPr>
          <w:i/>
          <w:iCs/>
        </w:rPr>
        <w:t>:</w:t>
      </w:r>
      <w:r>
        <w:tab/>
      </w:r>
      <w:r w:rsidR="00D4753F" w:rsidRPr="00D26ED3">
        <w:t>INF.10 (United Kingdom)</w:t>
      </w:r>
      <w:r w:rsidR="00D4753F">
        <w:br/>
      </w:r>
      <w:r w:rsidR="0044579E" w:rsidRPr="00D26ED3">
        <w:t>INF.20 (EIGA)</w:t>
      </w:r>
      <w:r w:rsidR="001E28AB">
        <w:br/>
        <w:t xml:space="preserve">INF.29 (Ireland and </w:t>
      </w:r>
      <w:r w:rsidR="001E28AB" w:rsidRPr="00D26ED3">
        <w:t>United Kingdom</w:t>
      </w:r>
      <w:r w:rsidR="001E28AB">
        <w:t>)</w:t>
      </w:r>
      <w:r w:rsidR="0044579E">
        <w:br/>
      </w:r>
      <w:r w:rsidR="0044579E" w:rsidRPr="00D26ED3">
        <w:t>INF.32 (France)</w:t>
      </w:r>
      <w:r w:rsidR="007A7668">
        <w:br/>
      </w:r>
      <w:r w:rsidR="007A7668" w:rsidRPr="00D26ED3">
        <w:t>INF.3</w:t>
      </w:r>
      <w:r w:rsidR="007A7668">
        <w:t>3</w:t>
      </w:r>
      <w:r w:rsidR="007A7668" w:rsidRPr="00D26ED3">
        <w:t xml:space="preserve"> (</w:t>
      </w:r>
      <w:r w:rsidR="007A7668">
        <w:t>Switzerland</w:t>
      </w:r>
      <w:r w:rsidR="007A7668" w:rsidRPr="00D26ED3">
        <w:t>)</w:t>
      </w:r>
      <w:r w:rsidR="007A7668">
        <w:br/>
      </w:r>
      <w:r w:rsidR="007A7668" w:rsidRPr="00D26ED3">
        <w:t>INF.</w:t>
      </w:r>
      <w:r w:rsidR="007A7668">
        <w:t>44</w:t>
      </w:r>
      <w:r w:rsidR="007A7668" w:rsidRPr="00D26ED3">
        <w:t xml:space="preserve"> (</w:t>
      </w:r>
      <w:r w:rsidR="007A7668">
        <w:t>United Kingdom)</w:t>
      </w:r>
    </w:p>
    <w:p w14:paraId="6658E687" w14:textId="7381CFF1" w:rsidR="00B336EA" w:rsidRDefault="00511AF9" w:rsidP="00B336EA">
      <w:pPr>
        <w:pStyle w:val="SingleTxtG"/>
      </w:pPr>
      <w:r>
        <w:t>1</w:t>
      </w:r>
      <w:r w:rsidR="004858BC">
        <w:t>2</w:t>
      </w:r>
      <w:r w:rsidR="00B336EA">
        <w:t>.</w:t>
      </w:r>
      <w:r w:rsidR="00B336EA">
        <w:tab/>
        <w:t xml:space="preserve">The Joint Meeting welcomed the report in informal document INF.44 on the progress of </w:t>
      </w:r>
      <w:r w:rsidR="008E0FEA">
        <w:t xml:space="preserve">work of </w:t>
      </w:r>
      <w:r w:rsidR="00B336EA">
        <w:t>the London informal working group on the inspection and certification of tanks which had met remotely from 16 to 18 December 2020. The representatives of France and EIGA presented informal documents INF.32 and INF.20, respectively, to clarify some amendments proposed in informal document INF.10 and the consequential amendments to Chapter 6.2 proposed in document ECE/TRANS/WP.15/AC.1/2021/16. Following the discussion, the Joint Meeting invited the informal working group to further discuss these subjects at the forthcoming meeting scheduled to be held on 8 and 9 June 2021.</w:t>
      </w:r>
    </w:p>
    <w:p w14:paraId="7B90BF94" w14:textId="3C953EBA" w:rsidR="00B336EA" w:rsidRDefault="00511AF9" w:rsidP="00B336EA">
      <w:pPr>
        <w:pStyle w:val="SingleTxtG"/>
      </w:pPr>
      <w:r>
        <w:t>1</w:t>
      </w:r>
      <w:r w:rsidR="004858BC">
        <w:t>3</w:t>
      </w:r>
      <w:r w:rsidR="00B336EA">
        <w:t>.</w:t>
      </w:r>
      <w:r w:rsidR="00B336EA">
        <w:tab/>
        <w:t>The representative of Switzerland suggested in informal document INF.33 to develop an explanatory document with a list of fundamental principles on the work on the inspection and certification of tanks, including a summary of the main changes and an overview of authorized activities. The Joint Meeting welcomed that initiative and invited her to submit a first draft to the informal working group for consideration. It was agreed to resume discussion on the explanatory document during the autumn session.</w:t>
      </w:r>
    </w:p>
    <w:p w14:paraId="7B128F3E" w14:textId="06AA8CD0" w:rsidR="00B336EA" w:rsidRDefault="00511AF9" w:rsidP="00B336EA">
      <w:pPr>
        <w:pStyle w:val="SingleTxtG"/>
      </w:pPr>
      <w:r>
        <w:t>1</w:t>
      </w:r>
      <w:r w:rsidR="004858BC">
        <w:t>4</w:t>
      </w:r>
      <w:r w:rsidR="00B336EA">
        <w:t>.</w:t>
      </w:r>
      <w:r w:rsidR="00B336EA">
        <w:tab/>
        <w:t xml:space="preserve">Taking into account that some countries have still to take actions to develop and align their national systems with the </w:t>
      </w:r>
      <w:r w:rsidR="009942F2">
        <w:t>future system</w:t>
      </w:r>
      <w:r w:rsidR="005816DB">
        <w:t xml:space="preserve"> of</w:t>
      </w:r>
      <w:r w:rsidR="00B336EA">
        <w:t xml:space="preserve"> inspection bodies, the Joint Meeting endorsed in principle the transitional measures proposed in annex IV of informal document INF.10, subject to a final decision in September 2021. The representative of Germany underlined the need to clarify the mutual recognition of inspection bodies during the transitional period.</w:t>
      </w:r>
    </w:p>
    <w:p w14:paraId="120E2EBE" w14:textId="146536F1" w:rsidR="00B336EA" w:rsidRDefault="00511AF9" w:rsidP="00B336EA">
      <w:pPr>
        <w:pStyle w:val="SingleTxtG"/>
      </w:pPr>
      <w:r>
        <w:t>1</w:t>
      </w:r>
      <w:r w:rsidR="004858BC">
        <w:t>5</w:t>
      </w:r>
      <w:r w:rsidR="00B336EA">
        <w:t>.</w:t>
      </w:r>
      <w:r w:rsidR="00B336EA">
        <w:tab/>
        <w:t xml:space="preserve">Recalling the discussion of the Joint Meeting at its autumn 2020 session, the representative of Ireland proposed in informal document INF.29 </w:t>
      </w:r>
      <w:r w:rsidR="00E26822">
        <w:t xml:space="preserve">from Ireland and </w:t>
      </w:r>
      <w:r w:rsidR="00784BAB">
        <w:t xml:space="preserve">the </w:t>
      </w:r>
      <w:r w:rsidR="00E26822" w:rsidRPr="00D26ED3">
        <w:t>United Kingdom</w:t>
      </w:r>
      <w:r w:rsidR="00784BAB">
        <w:t xml:space="preserve"> </w:t>
      </w:r>
      <w:r w:rsidR="00B336EA">
        <w:t xml:space="preserve">amendments to 1.8.6.2.1 allowing competent authorities to approve, on an exceptional basis, Type C inspection bodies for </w:t>
      </w:r>
      <w:r w:rsidR="001B0D8F">
        <w:t xml:space="preserve">periodic </w:t>
      </w:r>
      <w:r w:rsidR="00937C61">
        <w:t xml:space="preserve">inspections, intermediate inspections and exceptional </w:t>
      </w:r>
      <w:r w:rsidR="00B60521">
        <w:t xml:space="preserve">inspections of </w:t>
      </w:r>
      <w:r w:rsidR="00B336EA">
        <w:t>minor repairs of tanks</w:t>
      </w:r>
      <w:r w:rsidR="00B22260">
        <w:t xml:space="preserve"> according to Chapters 6.8 and 6.10</w:t>
      </w:r>
      <w:r w:rsidR="00B336EA">
        <w:t xml:space="preserve">. However, the Joint Meeting could not support such an exemption for the international transport of dangerous goods due to the mutual recognition of inspection bodies. Countries concerned were invited to participate in the June meeting of the London informal working group and to consider </w:t>
      </w:r>
      <w:r w:rsidR="00784BAB">
        <w:t>any further proposals</w:t>
      </w:r>
      <w:r w:rsidR="00B336EA">
        <w:t>.</w:t>
      </w:r>
    </w:p>
    <w:p w14:paraId="5F3F646C" w14:textId="24192247" w:rsidR="00321409" w:rsidRPr="00AA5051" w:rsidRDefault="00321409" w:rsidP="00321409">
      <w:pPr>
        <w:pStyle w:val="HChG"/>
      </w:pPr>
      <w:r>
        <w:tab/>
        <w:t>V</w:t>
      </w:r>
      <w:r w:rsidRPr="00AA5051">
        <w:t>.</w:t>
      </w:r>
      <w:r w:rsidRPr="00AA5051">
        <w:tab/>
      </w:r>
      <w:r>
        <w:t>Standards</w:t>
      </w:r>
      <w:r w:rsidRPr="00AA5051">
        <w:t xml:space="preserve"> (agenda item </w:t>
      </w:r>
      <w:r>
        <w:t>3</w:t>
      </w:r>
      <w:r w:rsidRPr="00AA5051">
        <w:t>)</w:t>
      </w:r>
    </w:p>
    <w:p w14:paraId="1DFC647E" w14:textId="651605C1" w:rsidR="00321409" w:rsidRDefault="00321409" w:rsidP="00321409">
      <w:pPr>
        <w:pStyle w:val="SingleTxtG"/>
        <w:keepNext/>
        <w:keepLines/>
        <w:tabs>
          <w:tab w:val="left" w:pos="3119"/>
          <w:tab w:val="left" w:pos="3402"/>
        </w:tabs>
        <w:spacing w:after="0"/>
        <w:ind w:left="2268" w:hanging="1134"/>
      </w:pPr>
      <w:r w:rsidRPr="00AA5051">
        <w:rPr>
          <w:i/>
          <w:iCs/>
        </w:rPr>
        <w:t>Document:</w:t>
      </w:r>
      <w:r w:rsidRPr="00AA5051">
        <w:tab/>
      </w:r>
      <w:r w:rsidRPr="00AA5051">
        <w:tab/>
        <w:t>ECE/TRANS/WP.15/AC.1/20</w:t>
      </w:r>
      <w:r>
        <w:t>2</w:t>
      </w:r>
      <w:r w:rsidRPr="00AA5051">
        <w:t>1/1</w:t>
      </w:r>
      <w:r>
        <w:t>7</w:t>
      </w:r>
      <w:r w:rsidRPr="00AA5051">
        <w:t xml:space="preserve"> (CEN)</w:t>
      </w:r>
    </w:p>
    <w:p w14:paraId="76A806C5" w14:textId="77777777" w:rsidR="00321409" w:rsidRPr="00AA5051" w:rsidRDefault="00321409" w:rsidP="00321409">
      <w:pPr>
        <w:pStyle w:val="SingleTxtG"/>
        <w:keepNext/>
        <w:keepLines/>
        <w:tabs>
          <w:tab w:val="left" w:pos="3119"/>
          <w:tab w:val="left" w:pos="3402"/>
        </w:tabs>
        <w:ind w:left="2268" w:hanging="1134"/>
      </w:pPr>
      <w:r>
        <w:rPr>
          <w:i/>
          <w:iCs/>
        </w:rPr>
        <w:tab/>
      </w:r>
      <w:r>
        <w:rPr>
          <w:i/>
          <w:iCs/>
        </w:rPr>
        <w:tab/>
      </w:r>
      <w:r w:rsidRPr="00AA5051">
        <w:t>ECE/TRANS/WP.15/AC.1/20</w:t>
      </w:r>
      <w:r>
        <w:t>2</w:t>
      </w:r>
      <w:r w:rsidRPr="00AA5051">
        <w:t>1/1</w:t>
      </w:r>
      <w:r>
        <w:t>2 (EIGA)</w:t>
      </w:r>
    </w:p>
    <w:p w14:paraId="27189AF8" w14:textId="77777777" w:rsidR="00321409" w:rsidRDefault="00321409" w:rsidP="00321409">
      <w:pPr>
        <w:pStyle w:val="SingleTxtG"/>
        <w:tabs>
          <w:tab w:val="left" w:pos="3119"/>
        </w:tabs>
        <w:spacing w:after="0"/>
        <w:jc w:val="left"/>
      </w:pPr>
      <w:r w:rsidRPr="00AA5051">
        <w:rPr>
          <w:i/>
          <w:iCs/>
        </w:rPr>
        <w:t>Informal documents:</w:t>
      </w:r>
      <w:r w:rsidRPr="00AA5051">
        <w:tab/>
        <w:t>INF.</w:t>
      </w:r>
      <w:r>
        <w:t>3</w:t>
      </w:r>
      <w:r w:rsidRPr="00AA5051">
        <w:t xml:space="preserve"> (</w:t>
      </w:r>
      <w:r>
        <w:t>United Kingdom</w:t>
      </w:r>
      <w:r w:rsidRPr="00AA5051">
        <w:t>)</w:t>
      </w:r>
    </w:p>
    <w:p w14:paraId="75FDE90B" w14:textId="77777777" w:rsidR="00321409" w:rsidRDefault="00321409" w:rsidP="00321409">
      <w:pPr>
        <w:pStyle w:val="SingleTxtG"/>
        <w:tabs>
          <w:tab w:val="left" w:pos="3119"/>
        </w:tabs>
        <w:spacing w:after="0"/>
        <w:jc w:val="left"/>
      </w:pPr>
      <w:r>
        <w:tab/>
        <w:t>INF.13 (CEN)</w:t>
      </w:r>
    </w:p>
    <w:p w14:paraId="28E239BE" w14:textId="77777777" w:rsidR="00321409" w:rsidRPr="00AA5051" w:rsidRDefault="00321409" w:rsidP="00321409">
      <w:pPr>
        <w:pStyle w:val="SingleTxtG"/>
        <w:tabs>
          <w:tab w:val="left" w:pos="3119"/>
        </w:tabs>
        <w:jc w:val="left"/>
      </w:pPr>
      <w:r>
        <w:tab/>
        <w:t>INF.30 (EIGA)</w:t>
      </w:r>
    </w:p>
    <w:p w14:paraId="09CDF37C" w14:textId="3FEBDF50" w:rsidR="00321409" w:rsidRPr="00AA5051" w:rsidRDefault="00511AF9" w:rsidP="00321409">
      <w:pPr>
        <w:pStyle w:val="SingleTxtG"/>
      </w:pPr>
      <w:r>
        <w:t>1</w:t>
      </w:r>
      <w:r w:rsidR="004858BC">
        <w:t>6</w:t>
      </w:r>
      <w:r w:rsidR="00321409" w:rsidRPr="00AA5051">
        <w:t>.</w:t>
      </w:r>
      <w:r w:rsidR="00321409" w:rsidRPr="00AA5051">
        <w:tab/>
      </w:r>
      <w:r w:rsidR="0035116E">
        <w:t>T</w:t>
      </w:r>
      <w:r w:rsidR="0035116E" w:rsidRPr="00AA5051">
        <w:t>he Working Group on Standards</w:t>
      </w:r>
      <w:r w:rsidR="0035116E">
        <w:t xml:space="preserve"> had</w:t>
      </w:r>
      <w:r w:rsidR="0035116E" w:rsidRPr="00AA5051">
        <w:t xml:space="preserve"> met </w:t>
      </w:r>
      <w:r w:rsidR="0035116E">
        <w:t>on 4 February 2021</w:t>
      </w:r>
      <w:r w:rsidR="00125D2A">
        <w:t xml:space="preserve"> </w:t>
      </w:r>
      <w:r w:rsidR="00C17051">
        <w:t>to take</w:t>
      </w:r>
      <w:r w:rsidR="00BA7B1D">
        <w:t xml:space="preserve"> </w:t>
      </w:r>
      <w:r w:rsidR="00C17051">
        <w:t>c</w:t>
      </w:r>
      <w:r w:rsidR="00321409" w:rsidRPr="00AA5051">
        <w:t>onsideration of document</w:t>
      </w:r>
      <w:r w:rsidR="00321409">
        <w:t>s</w:t>
      </w:r>
      <w:r w:rsidR="00321409" w:rsidRPr="00AA5051">
        <w:t xml:space="preserve"> ECE/TRANS/WP.15/AC.1/20</w:t>
      </w:r>
      <w:r w:rsidR="00321409">
        <w:t>21</w:t>
      </w:r>
      <w:r w:rsidR="00321409" w:rsidRPr="00AA5051">
        <w:t>/</w:t>
      </w:r>
      <w:r w:rsidR="00321409">
        <w:t>17</w:t>
      </w:r>
      <w:r w:rsidR="00321409" w:rsidRPr="00AA5051">
        <w:t xml:space="preserve"> </w:t>
      </w:r>
      <w:r w:rsidR="00321409">
        <w:t xml:space="preserve">and </w:t>
      </w:r>
      <w:r w:rsidR="00321409" w:rsidRPr="00AA5051">
        <w:t>ECE/TRANS/WP.15/AC.1/20</w:t>
      </w:r>
      <w:r w:rsidR="00321409">
        <w:t>2</w:t>
      </w:r>
      <w:r w:rsidR="00321409" w:rsidRPr="00AA5051">
        <w:t>1/1</w:t>
      </w:r>
      <w:r w:rsidR="00321409">
        <w:t>2 including informal documents INF.3</w:t>
      </w:r>
      <w:r w:rsidR="0060779A">
        <w:t>, INF.</w:t>
      </w:r>
      <w:r w:rsidR="00AE37B7">
        <w:t>13</w:t>
      </w:r>
      <w:r w:rsidR="00321409">
        <w:t xml:space="preserve"> and INF.3</w:t>
      </w:r>
      <w:r w:rsidR="00AE37B7">
        <w:t>0</w:t>
      </w:r>
      <w:r w:rsidR="00321409" w:rsidRPr="00AA5051">
        <w:t>.</w:t>
      </w:r>
    </w:p>
    <w:p w14:paraId="3D029E22" w14:textId="77777777" w:rsidR="00321409" w:rsidRPr="00AA5051" w:rsidRDefault="00321409" w:rsidP="0043151D">
      <w:pPr>
        <w:pStyle w:val="H1G"/>
      </w:pPr>
      <w:r w:rsidRPr="00AA5051">
        <w:lastRenderedPageBreak/>
        <w:tab/>
      </w:r>
      <w:r w:rsidRPr="00AA5051">
        <w:tab/>
        <w:t>Report of the Working Group on Standards</w:t>
      </w:r>
    </w:p>
    <w:p w14:paraId="28796022" w14:textId="77777777" w:rsidR="00321409" w:rsidRPr="007149C6" w:rsidRDefault="00321409" w:rsidP="0043151D">
      <w:pPr>
        <w:pStyle w:val="SingleTxtG"/>
        <w:keepNext/>
        <w:keepLines/>
        <w:tabs>
          <w:tab w:val="left" w:pos="3119"/>
        </w:tabs>
        <w:jc w:val="left"/>
        <w:rPr>
          <w:lang w:val="fr-FR"/>
        </w:rPr>
      </w:pPr>
      <w:r w:rsidRPr="007149C6">
        <w:rPr>
          <w:i/>
          <w:iCs/>
          <w:lang w:val="fr-FR"/>
        </w:rPr>
        <w:t>Informal documents:</w:t>
      </w:r>
      <w:r w:rsidRPr="007149C6">
        <w:rPr>
          <w:lang w:val="fr-FR"/>
        </w:rPr>
        <w:tab/>
        <w:t>INF.5/Rev.1 (CEN)</w:t>
      </w:r>
    </w:p>
    <w:p w14:paraId="5369D3C3" w14:textId="206C8715" w:rsidR="00321409" w:rsidRPr="00AA5051" w:rsidRDefault="00511AF9" w:rsidP="0043151D">
      <w:pPr>
        <w:pStyle w:val="SingleTxtG"/>
        <w:keepNext/>
        <w:keepLines/>
      </w:pPr>
      <w:r>
        <w:t>1</w:t>
      </w:r>
      <w:r w:rsidR="00DC42DF">
        <w:t>7</w:t>
      </w:r>
      <w:r w:rsidR="00321409" w:rsidRPr="00AA5051">
        <w:t>.</w:t>
      </w:r>
      <w:r w:rsidR="00321409" w:rsidRPr="00AA5051">
        <w:tab/>
        <w:t>The Joint Meeting took note of the recommendations and conclusions of the Working Group in informal document INF.5</w:t>
      </w:r>
      <w:r w:rsidR="00321409">
        <w:t>/Rev.1</w:t>
      </w:r>
      <w:r w:rsidR="00321409" w:rsidRPr="00AA5051">
        <w:t xml:space="preserve"> and adopted the amendments to </w:t>
      </w:r>
      <w:r w:rsidR="00321409">
        <w:t>6</w:t>
      </w:r>
      <w:r w:rsidR="00321409" w:rsidRPr="00AA5051">
        <w:t>.2.</w:t>
      </w:r>
      <w:r w:rsidR="00321409">
        <w:t xml:space="preserve">4.1 and </w:t>
      </w:r>
      <w:r w:rsidR="00321409" w:rsidRPr="00AA5051">
        <w:t>6.8.</w:t>
      </w:r>
      <w:r w:rsidR="00321409">
        <w:t>4 (d)</w:t>
      </w:r>
      <w:r w:rsidR="00321409" w:rsidRPr="00AA5051">
        <w:t xml:space="preserve"> of RID/ADR </w:t>
      </w:r>
      <w:r w:rsidR="00321409">
        <w:t>as proposed in paragraphs</w:t>
      </w:r>
      <w:r w:rsidR="00321409" w:rsidRPr="00AA5051">
        <w:t xml:space="preserve"> </w:t>
      </w:r>
      <w:r w:rsidR="00321409">
        <w:t xml:space="preserve">4.1, 4.2, 4.3, 4.4 and 4.5 of informal </w:t>
      </w:r>
      <w:r w:rsidR="00321409" w:rsidRPr="00AA5051">
        <w:t xml:space="preserve">document </w:t>
      </w:r>
      <w:r w:rsidR="00321409">
        <w:t xml:space="preserve">INF.5/Rev.1 </w:t>
      </w:r>
      <w:r w:rsidR="00321409" w:rsidRPr="00AA5051">
        <w:t xml:space="preserve">with an additional modification (see annex </w:t>
      </w:r>
      <w:r w:rsidR="00485B8E">
        <w:t>II</w:t>
      </w:r>
      <w:r w:rsidR="00321409" w:rsidRPr="00AA5051">
        <w:t xml:space="preserve">). </w:t>
      </w:r>
      <w:r w:rsidR="00321409">
        <w:t>It was agreed to keep the amendments proposed in paragraph</w:t>
      </w:r>
      <w:r w:rsidR="00321409" w:rsidRPr="00AA5051">
        <w:t xml:space="preserve"> </w:t>
      </w:r>
      <w:r w:rsidR="00321409">
        <w:t>4.2 still in square brackets, subject to a final review at the next session.</w:t>
      </w:r>
    </w:p>
    <w:p w14:paraId="1DEDD0C2" w14:textId="1D225559" w:rsidR="00321409" w:rsidRPr="00AA5051" w:rsidRDefault="00511AF9" w:rsidP="00321409">
      <w:pPr>
        <w:pStyle w:val="SingleTxtG"/>
      </w:pPr>
      <w:r>
        <w:t>1</w:t>
      </w:r>
      <w:r w:rsidR="00DC42DF">
        <w:t>8</w:t>
      </w:r>
      <w:r w:rsidR="00321409" w:rsidRPr="00AA5051">
        <w:t>.</w:t>
      </w:r>
      <w:r w:rsidR="00321409" w:rsidRPr="00AA5051">
        <w:tab/>
        <w:t xml:space="preserve">The Joint Meeting </w:t>
      </w:r>
      <w:r w:rsidR="00321409">
        <w:t>adopted the additional note to RID/ADR/ADN 1.1.5</w:t>
      </w:r>
      <w:r w:rsidR="00321409" w:rsidRPr="00AA5051">
        <w:t xml:space="preserve"> </w:t>
      </w:r>
      <w:r w:rsidR="00321409">
        <w:t xml:space="preserve">as proposed in </w:t>
      </w:r>
      <w:r w:rsidR="00321409" w:rsidRPr="00AA5051">
        <w:t xml:space="preserve">informal document INF.3 (see annex </w:t>
      </w:r>
      <w:r w:rsidR="001F6205">
        <w:t>II</w:t>
      </w:r>
      <w:r w:rsidR="00321409" w:rsidRPr="00AA5051">
        <w:t>).</w:t>
      </w:r>
      <w:r w:rsidR="00321409">
        <w:t xml:space="preserve"> The representative of the United Kingdom underlined the need to align the UN Models Regulations in that respect and announced his intention to submit a proposal to the Sub-Committee of Experts on the Transport of Dangerous Goods.</w:t>
      </w:r>
      <w:r w:rsidR="00321409" w:rsidRPr="00E174AF">
        <w:t xml:space="preserve"> </w:t>
      </w:r>
      <w:r w:rsidR="00321409">
        <w:t>for consideration at its next session.</w:t>
      </w:r>
    </w:p>
    <w:p w14:paraId="476E720D" w14:textId="43890237" w:rsidR="00321409" w:rsidRDefault="00DC42DF" w:rsidP="00321409">
      <w:pPr>
        <w:pStyle w:val="SingleTxtG"/>
      </w:pPr>
      <w:r>
        <w:t>19</w:t>
      </w:r>
      <w:r w:rsidR="00321409" w:rsidRPr="00AA5051">
        <w:t>.</w:t>
      </w:r>
      <w:r w:rsidR="00321409" w:rsidRPr="00AA5051">
        <w:tab/>
        <w:t>The Joint Meeting welcomed th</w:t>
      </w:r>
      <w:r w:rsidR="00321409">
        <w:t>e</w:t>
      </w:r>
      <w:r w:rsidR="00321409" w:rsidRPr="00AA5051">
        <w:t xml:space="preserve"> initiative </w:t>
      </w:r>
      <w:r w:rsidR="00321409">
        <w:t>by</w:t>
      </w:r>
      <w:r w:rsidR="00321409" w:rsidRPr="00AA5051">
        <w:t xml:space="preserve"> CEN </w:t>
      </w:r>
      <w:r w:rsidR="00321409">
        <w:t xml:space="preserve">to clarify the requirements for the application of standards in Chapters 6.2 and 6.8. Delegations were invited to send their comments on </w:t>
      </w:r>
      <w:r w:rsidR="00321409" w:rsidRPr="00AA5051">
        <w:t>informal document INF.</w:t>
      </w:r>
      <w:r w:rsidR="00321409">
        <w:t xml:space="preserve">13 to the representative of CEN, who volunteered to submit an official document for the next session </w:t>
      </w:r>
      <w:proofErr w:type="gramStart"/>
      <w:r w:rsidR="00321409">
        <w:t>taking into account</w:t>
      </w:r>
      <w:proofErr w:type="gramEnd"/>
      <w:r w:rsidR="00321409">
        <w:t xml:space="preserve"> the comments received.</w:t>
      </w:r>
    </w:p>
    <w:p w14:paraId="731A32D0" w14:textId="3DB0FDF2" w:rsidR="00321409" w:rsidRPr="00AA5051" w:rsidRDefault="00511AF9" w:rsidP="00321409">
      <w:pPr>
        <w:pStyle w:val="SingleTxtG"/>
      </w:pPr>
      <w:r>
        <w:t>2</w:t>
      </w:r>
      <w:r w:rsidR="00DC42DF">
        <w:t>0</w:t>
      </w:r>
      <w:r w:rsidR="00321409" w:rsidRPr="00AA5051">
        <w:t>.</w:t>
      </w:r>
      <w:r w:rsidR="00321409" w:rsidRPr="00AA5051">
        <w:tab/>
      </w:r>
      <w:r w:rsidR="00321409">
        <w:t xml:space="preserve">On the review of </w:t>
      </w:r>
      <w:bookmarkStart w:id="0" w:name="_Hlk66737701"/>
      <w:r w:rsidR="00321409" w:rsidRPr="00AA5051">
        <w:t>ECE/TRANS/WP.15/AC.1/20</w:t>
      </w:r>
      <w:r w:rsidR="00321409">
        <w:t>2</w:t>
      </w:r>
      <w:r w:rsidR="00321409" w:rsidRPr="00AA5051">
        <w:t>1/1</w:t>
      </w:r>
      <w:r w:rsidR="00321409">
        <w:t xml:space="preserve">2 </w:t>
      </w:r>
      <w:bookmarkEnd w:id="0"/>
      <w:r w:rsidR="00321409">
        <w:t>on requirements for valve protection, t</w:t>
      </w:r>
      <w:r w:rsidR="00321409" w:rsidRPr="00AA5051">
        <w:t xml:space="preserve">he Joint Meeting </w:t>
      </w:r>
      <w:r w:rsidR="00321409">
        <w:t>also adopted the amendments proposed</w:t>
      </w:r>
      <w:r w:rsidR="00321409" w:rsidRPr="00AA5051">
        <w:t xml:space="preserve"> in informal document INF.3</w:t>
      </w:r>
      <w:r w:rsidR="00321409">
        <w:t>0</w:t>
      </w:r>
      <w:r w:rsidR="00321409" w:rsidRPr="00653DEB">
        <w:t xml:space="preserve"> </w:t>
      </w:r>
      <w:r w:rsidR="00321409" w:rsidRPr="00AA5051">
        <w:t xml:space="preserve">with an additional modification (see annex </w:t>
      </w:r>
      <w:r w:rsidR="00FD77B2">
        <w:t>II</w:t>
      </w:r>
      <w:r w:rsidR="00321409" w:rsidRPr="00AA5051">
        <w:t>)</w:t>
      </w:r>
      <w:r w:rsidR="00321409">
        <w:t>.</w:t>
      </w:r>
    </w:p>
    <w:p w14:paraId="489AA1A7" w14:textId="77777777" w:rsidR="000A4B2D" w:rsidRPr="00AA5051" w:rsidRDefault="000A4B2D" w:rsidP="000A4B2D">
      <w:pPr>
        <w:pStyle w:val="HChG"/>
        <w:spacing w:before="320"/>
      </w:pPr>
      <w:r w:rsidRPr="00AA5051">
        <w:tab/>
      </w:r>
      <w:r>
        <w:t>VI</w:t>
      </w:r>
      <w:r w:rsidRPr="00AA5051">
        <w:t>.</w:t>
      </w:r>
      <w:r w:rsidRPr="00AA5051">
        <w:tab/>
      </w:r>
      <w:r>
        <w:t>Interpretation of RID/ADR/ADN</w:t>
      </w:r>
      <w:r w:rsidRPr="00AA5051">
        <w:t xml:space="preserve"> (agenda item </w:t>
      </w:r>
      <w:r>
        <w:t>4</w:t>
      </w:r>
      <w:r w:rsidRPr="00AA5051">
        <w:t>)</w:t>
      </w:r>
    </w:p>
    <w:p w14:paraId="6F385DA7" w14:textId="22D879C1" w:rsidR="000A4B2D" w:rsidRPr="00AA5051" w:rsidRDefault="00511AF9" w:rsidP="000A4B2D">
      <w:pPr>
        <w:pStyle w:val="SingleTxtG"/>
      </w:pPr>
      <w:r>
        <w:t>2</w:t>
      </w:r>
      <w:r w:rsidR="00DC42DF">
        <w:t>1</w:t>
      </w:r>
      <w:r w:rsidR="000A4B2D" w:rsidRPr="00AA5051">
        <w:t>.</w:t>
      </w:r>
      <w:r w:rsidR="000A4B2D" w:rsidRPr="00AA5051">
        <w:tab/>
        <w:t>As no document had been submitted under this agenda, no discussion took place on this subject.</w:t>
      </w:r>
    </w:p>
    <w:p w14:paraId="3BC61005" w14:textId="77777777" w:rsidR="00F8567D" w:rsidRPr="00AA5051" w:rsidRDefault="00F8567D" w:rsidP="00F8567D">
      <w:pPr>
        <w:pStyle w:val="HChG"/>
      </w:pPr>
      <w:r w:rsidRPr="00AA5051">
        <w:tab/>
        <w:t>VI</w:t>
      </w:r>
      <w:r>
        <w:t>I</w:t>
      </w:r>
      <w:r w:rsidRPr="00AA5051">
        <w:t>.</w:t>
      </w:r>
      <w:r w:rsidRPr="00AA5051">
        <w:tab/>
        <w:t>Proposals for amendments to RID/ADR/ADN (agenda item 5)</w:t>
      </w:r>
    </w:p>
    <w:p w14:paraId="3861768B" w14:textId="77777777" w:rsidR="00F8567D" w:rsidRPr="00AA5051" w:rsidRDefault="00F8567D" w:rsidP="00F8567D">
      <w:pPr>
        <w:pStyle w:val="H1G"/>
      </w:pPr>
      <w:r w:rsidRPr="00AA5051">
        <w:tab/>
        <w:t>A.</w:t>
      </w:r>
      <w:r w:rsidRPr="00AA5051">
        <w:tab/>
        <w:t>Pending issues</w:t>
      </w:r>
    </w:p>
    <w:p w14:paraId="0E0D8D76" w14:textId="34613279" w:rsidR="00F8567D" w:rsidRPr="00AA5051" w:rsidRDefault="00F8567D" w:rsidP="00F8567D">
      <w:pPr>
        <w:pStyle w:val="H23G"/>
      </w:pPr>
      <w:r w:rsidRPr="00AA5051">
        <w:tab/>
      </w:r>
      <w:r w:rsidR="00957FB1">
        <w:t>1.</w:t>
      </w:r>
      <w:r w:rsidR="00957FB1">
        <w:tab/>
      </w:r>
      <w:r>
        <w:t xml:space="preserve">Carriage of polymerizing substances as waste – Revision of </w:t>
      </w:r>
      <w:r w:rsidRPr="00E94567">
        <w:rPr>
          <w:lang w:val="en-US"/>
        </w:rPr>
        <w:t>ECE/TRANS/WP.15/AC.1/2020/51</w:t>
      </w:r>
    </w:p>
    <w:p w14:paraId="38F8AEFA" w14:textId="77777777" w:rsidR="00F8567D" w:rsidRPr="00E94567" w:rsidRDefault="00F8567D" w:rsidP="00F8567D">
      <w:pPr>
        <w:pStyle w:val="SingleTxtG"/>
        <w:tabs>
          <w:tab w:val="left" w:pos="3119"/>
        </w:tabs>
        <w:rPr>
          <w:lang w:val="en-US"/>
        </w:rPr>
      </w:pPr>
      <w:r w:rsidRPr="00E94567">
        <w:rPr>
          <w:i/>
          <w:iCs/>
          <w:lang w:val="en-US"/>
        </w:rPr>
        <w:t>Document</w:t>
      </w:r>
      <w:r w:rsidRPr="00E94567">
        <w:rPr>
          <w:lang w:val="en-US"/>
        </w:rPr>
        <w:t>:</w:t>
      </w:r>
      <w:r w:rsidRPr="00E94567">
        <w:rPr>
          <w:lang w:val="en-US"/>
        </w:rPr>
        <w:tab/>
        <w:t>ECE/TRANS/WP.15/AC.1/2020/51/Rev.1 (Germany)</w:t>
      </w:r>
    </w:p>
    <w:p w14:paraId="375D6EC2" w14:textId="1E8C4F79" w:rsidR="00F8567D" w:rsidRPr="00AA5051" w:rsidRDefault="00511AF9" w:rsidP="00F8567D">
      <w:pPr>
        <w:pStyle w:val="SingleTxtG"/>
      </w:pPr>
      <w:r>
        <w:t>2</w:t>
      </w:r>
      <w:r w:rsidR="00DC42DF">
        <w:t>2</w:t>
      </w:r>
      <w:r w:rsidR="00F8567D" w:rsidRPr="00AA5051">
        <w:t>.</w:t>
      </w:r>
      <w:r w:rsidR="00F8567D" w:rsidRPr="00AA5051">
        <w:tab/>
        <w:t xml:space="preserve">The Joint Meeting </w:t>
      </w:r>
      <w:r w:rsidR="00F8567D">
        <w:t xml:space="preserve">adopted </w:t>
      </w:r>
      <w:r w:rsidR="00F8567D" w:rsidRPr="00AA5051">
        <w:t xml:space="preserve">the </w:t>
      </w:r>
      <w:r w:rsidR="00F8567D">
        <w:t xml:space="preserve">proposed new special provision </w:t>
      </w:r>
      <w:r w:rsidR="00F8567D" w:rsidRPr="00AA5051">
        <w:t xml:space="preserve">with an additional modification (see annex </w:t>
      </w:r>
      <w:r w:rsidR="007612FE">
        <w:t>II</w:t>
      </w:r>
      <w:r w:rsidR="00F8567D" w:rsidRPr="00AA5051">
        <w:t xml:space="preserve">). </w:t>
      </w:r>
      <w:r w:rsidR="00F8567D">
        <w:t>It was recalled that this provision does not prevent the consignor to fulfil his obligations to provide the data required for the transport document</w:t>
      </w:r>
      <w:r w:rsidR="00F8567D" w:rsidRPr="00AA5051">
        <w:t>.</w:t>
      </w:r>
    </w:p>
    <w:p w14:paraId="166EDC53" w14:textId="0FDA1A09" w:rsidR="00F8567D" w:rsidRPr="00AA5051" w:rsidRDefault="00F8567D" w:rsidP="00324E07">
      <w:pPr>
        <w:pStyle w:val="H23G"/>
      </w:pPr>
      <w:r w:rsidRPr="00AA5051">
        <w:tab/>
      </w:r>
      <w:r w:rsidR="00957FB1">
        <w:t>2.</w:t>
      </w:r>
      <w:r w:rsidR="00957FB1">
        <w:tab/>
      </w:r>
      <w:r w:rsidRPr="00AA5051">
        <w:t xml:space="preserve">Name and description </w:t>
      </w:r>
      <w:r>
        <w:t xml:space="preserve">for UN numbers in the Model Regulations and RID/ADR: </w:t>
      </w:r>
      <w:r w:rsidRPr="00AA5051">
        <w:t>UN</w:t>
      </w:r>
      <w:r>
        <w:t> 2426 Ammonium nitrate</w:t>
      </w:r>
    </w:p>
    <w:p w14:paraId="36071972" w14:textId="77777777" w:rsidR="00F8567D" w:rsidRPr="007149C6" w:rsidRDefault="00F8567D" w:rsidP="00324E07">
      <w:pPr>
        <w:pStyle w:val="SingleTxtG"/>
        <w:keepNext/>
        <w:keepLines/>
        <w:tabs>
          <w:tab w:val="left" w:pos="3119"/>
        </w:tabs>
        <w:rPr>
          <w:lang w:val="fr-FR"/>
        </w:rPr>
      </w:pPr>
      <w:r w:rsidRPr="007149C6">
        <w:rPr>
          <w:i/>
          <w:iCs/>
          <w:lang w:val="fr-FR"/>
        </w:rPr>
        <w:t>Document</w:t>
      </w:r>
      <w:r w:rsidRPr="007149C6">
        <w:rPr>
          <w:lang w:val="fr-FR"/>
        </w:rPr>
        <w:t>:</w:t>
      </w:r>
      <w:r w:rsidRPr="007149C6">
        <w:rPr>
          <w:lang w:val="fr-FR"/>
        </w:rPr>
        <w:tab/>
        <w:t>ECE/TRANS/WP.15/AC.1/2021/13 (Spain)</w:t>
      </w:r>
    </w:p>
    <w:p w14:paraId="4967F438" w14:textId="77777777" w:rsidR="00F8567D" w:rsidRPr="007149C6" w:rsidRDefault="00F8567D" w:rsidP="00324E07">
      <w:pPr>
        <w:pStyle w:val="SingleTxtG"/>
        <w:keepNext/>
        <w:keepLines/>
        <w:tabs>
          <w:tab w:val="left" w:pos="3119"/>
        </w:tabs>
        <w:spacing w:after="240"/>
        <w:jc w:val="left"/>
        <w:rPr>
          <w:lang w:val="fr-FR"/>
        </w:rPr>
      </w:pPr>
      <w:r w:rsidRPr="007149C6">
        <w:rPr>
          <w:i/>
          <w:iCs/>
          <w:lang w:val="fr-FR"/>
        </w:rPr>
        <w:t>Informal document:</w:t>
      </w:r>
      <w:r w:rsidRPr="007149C6">
        <w:rPr>
          <w:lang w:val="fr-FR"/>
        </w:rPr>
        <w:tab/>
        <w:t>INF.22 (Sweden)</w:t>
      </w:r>
    </w:p>
    <w:p w14:paraId="3410DEF6" w14:textId="2BBC0D80" w:rsidR="00F8567D" w:rsidRPr="00AA5051" w:rsidRDefault="00511AF9" w:rsidP="00F8567D">
      <w:pPr>
        <w:pStyle w:val="SingleTxtG"/>
      </w:pPr>
      <w:r>
        <w:t>2</w:t>
      </w:r>
      <w:r w:rsidR="00177E4C">
        <w:t>3</w:t>
      </w:r>
      <w:r w:rsidR="00F8567D" w:rsidRPr="00AA5051">
        <w:t>.</w:t>
      </w:r>
      <w:r w:rsidR="00F8567D" w:rsidRPr="00AA5051">
        <w:tab/>
      </w:r>
      <w:r w:rsidR="00F8567D">
        <w:t>The representative of Spain suggested modifying the name and description of UN 2426 to align with that in the UN Model Regulations and the IMDG Code.</w:t>
      </w:r>
      <w:r w:rsidR="00F8567D" w:rsidRPr="00AA5051">
        <w:t xml:space="preserve"> </w:t>
      </w:r>
      <w:r w:rsidR="00F8567D">
        <w:t>Following the concerns raised by Sweden in informal document INF.22, t</w:t>
      </w:r>
      <w:r w:rsidR="00F8567D" w:rsidRPr="00AA5051">
        <w:t xml:space="preserve">he Joint Meeting </w:t>
      </w:r>
      <w:r w:rsidR="00F8567D">
        <w:t>adopted the amendments proposed in paragraphs 21 and 22 of</w:t>
      </w:r>
      <w:r w:rsidR="00F8567D" w:rsidRPr="00E94567">
        <w:rPr>
          <w:lang w:val="en-US"/>
        </w:rPr>
        <w:t xml:space="preserve"> ECE/TRANS/WP.15/AC.1/2021/13 </w:t>
      </w:r>
      <w:r w:rsidR="00F8567D" w:rsidRPr="00AA5051">
        <w:t>with additional modification</w:t>
      </w:r>
      <w:r w:rsidR="00F8567D">
        <w:t>s</w:t>
      </w:r>
      <w:r w:rsidR="00F8567D" w:rsidRPr="00AA5051">
        <w:t xml:space="preserve"> (see annex </w:t>
      </w:r>
      <w:r w:rsidR="006A1C43">
        <w:t>II</w:t>
      </w:r>
      <w:r w:rsidR="00F8567D" w:rsidRPr="00AA5051">
        <w:t>).</w:t>
      </w:r>
      <w:r w:rsidR="00086E09">
        <w:t xml:space="preserve"> </w:t>
      </w:r>
      <w:r w:rsidR="0022444F">
        <w:t xml:space="preserve">The </w:t>
      </w:r>
      <w:r w:rsidR="00E25E82" w:rsidRPr="00AA5051">
        <w:t>Joint Meeting</w:t>
      </w:r>
      <w:r w:rsidR="00E25E82">
        <w:t xml:space="preserve"> invited </w:t>
      </w:r>
      <w:r w:rsidR="00957FB1">
        <w:t xml:space="preserve">the representative of </w:t>
      </w:r>
      <w:r w:rsidR="00E25E82">
        <w:t>Spain to</w:t>
      </w:r>
      <w:r w:rsidR="00F644A6">
        <w:t xml:space="preserve"> consult</w:t>
      </w:r>
      <w:r w:rsidR="00E25E82">
        <w:t xml:space="preserve"> </w:t>
      </w:r>
      <w:r w:rsidR="00F644A6">
        <w:t xml:space="preserve">the Sub-Committee on the Transport of Dangerous Goods </w:t>
      </w:r>
      <w:r w:rsidR="00487C70">
        <w:t xml:space="preserve">on aspects related to the maximum temperature and </w:t>
      </w:r>
      <w:r w:rsidR="008E74CC">
        <w:t>water content</w:t>
      </w:r>
      <w:r w:rsidR="00487C70">
        <w:t xml:space="preserve"> </w:t>
      </w:r>
      <w:r w:rsidR="008E74CC">
        <w:t xml:space="preserve">of </w:t>
      </w:r>
      <w:r w:rsidR="00035A7C">
        <w:t xml:space="preserve">UN </w:t>
      </w:r>
      <w:r w:rsidR="00AA57EE">
        <w:t xml:space="preserve">2426 </w:t>
      </w:r>
      <w:r w:rsidR="004252B0">
        <w:t xml:space="preserve">to </w:t>
      </w:r>
      <w:r w:rsidR="006C7FE6">
        <w:t xml:space="preserve">clarify </w:t>
      </w:r>
      <w:r w:rsidR="00E3391F">
        <w:t>the need to include common requirements into the UN Model Regulations</w:t>
      </w:r>
      <w:r w:rsidR="00F644A6">
        <w:t>.</w:t>
      </w:r>
    </w:p>
    <w:p w14:paraId="56081ECD" w14:textId="3D258916" w:rsidR="00BE7EA5" w:rsidRPr="00AA5051" w:rsidRDefault="00BE7EA5" w:rsidP="007149C6">
      <w:pPr>
        <w:pStyle w:val="H23G"/>
        <w:tabs>
          <w:tab w:val="left" w:pos="1118"/>
        </w:tabs>
      </w:pPr>
      <w:r w:rsidRPr="00AA5051">
        <w:lastRenderedPageBreak/>
        <w:tab/>
      </w:r>
      <w:r w:rsidR="00957FB1">
        <w:t>3.</w:t>
      </w:r>
      <w:r w:rsidR="00957FB1">
        <w:tab/>
      </w:r>
      <w:r>
        <w:t>Harmonization of SP 593 with 5.5.3</w:t>
      </w:r>
    </w:p>
    <w:p w14:paraId="1092765E" w14:textId="77777777" w:rsidR="00BE7EA5" w:rsidRPr="003B261D" w:rsidRDefault="00BE7EA5" w:rsidP="00BE7EA5">
      <w:pPr>
        <w:pStyle w:val="SingleTxtG"/>
        <w:tabs>
          <w:tab w:val="left" w:pos="3119"/>
        </w:tabs>
        <w:rPr>
          <w:lang w:val="en-US"/>
        </w:rPr>
      </w:pPr>
      <w:r w:rsidRPr="003B261D">
        <w:rPr>
          <w:i/>
          <w:iCs/>
          <w:lang w:val="en-US"/>
        </w:rPr>
        <w:t>Document</w:t>
      </w:r>
      <w:r w:rsidRPr="003B261D">
        <w:rPr>
          <w:lang w:val="en-US"/>
        </w:rPr>
        <w:t>:</w:t>
      </w:r>
      <w:r w:rsidRPr="003B261D">
        <w:rPr>
          <w:lang w:val="en-US"/>
        </w:rPr>
        <w:tab/>
        <w:t>ECE/TRANS/WP.15/AC.1/2021/15 (Spain)</w:t>
      </w:r>
    </w:p>
    <w:p w14:paraId="5DD3AA18" w14:textId="16A1D2FA" w:rsidR="00BE7EA5" w:rsidRDefault="00511AF9" w:rsidP="00BE7EA5">
      <w:pPr>
        <w:pStyle w:val="SingleTxtG"/>
      </w:pPr>
      <w:r>
        <w:t>2</w:t>
      </w:r>
      <w:r w:rsidR="00177E4C">
        <w:t>4</w:t>
      </w:r>
      <w:r w:rsidR="00BE7EA5" w:rsidRPr="00AA5051">
        <w:t>.</w:t>
      </w:r>
      <w:r w:rsidR="00BE7EA5" w:rsidRPr="00AA5051">
        <w:tab/>
      </w:r>
      <w:r w:rsidR="00BE7EA5">
        <w:t>As a compromise solution, t</w:t>
      </w:r>
      <w:r w:rsidR="00BE7EA5" w:rsidRPr="00AA5051">
        <w:t xml:space="preserve">he Joint Meeting </w:t>
      </w:r>
      <w:r w:rsidR="00BE7EA5">
        <w:t xml:space="preserve">adopted the amendments proposed as alternative A in </w:t>
      </w:r>
      <w:r w:rsidR="00BE7EA5" w:rsidRPr="00E94567">
        <w:rPr>
          <w:lang w:val="en-US"/>
        </w:rPr>
        <w:t>ECE/TRANS/WP.15/AC.1/2021/1</w:t>
      </w:r>
      <w:r w:rsidR="00BE7EA5">
        <w:rPr>
          <w:lang w:val="en-US"/>
        </w:rPr>
        <w:t>5</w:t>
      </w:r>
      <w:r w:rsidR="00BE7EA5" w:rsidRPr="00E94567">
        <w:rPr>
          <w:lang w:val="en-US"/>
        </w:rPr>
        <w:t xml:space="preserve"> </w:t>
      </w:r>
      <w:r w:rsidR="00BE7EA5" w:rsidRPr="00AA5051">
        <w:t xml:space="preserve">(see annex </w:t>
      </w:r>
      <w:r w:rsidR="006A1C43">
        <w:t>II</w:t>
      </w:r>
      <w:r w:rsidR="00BE7EA5" w:rsidRPr="00AA5051">
        <w:t>).</w:t>
      </w:r>
      <w:r w:rsidR="00BE7EA5">
        <w:t xml:space="preserve"> The representative of Spain volunteered to follow up on the remaining questions raised </w:t>
      </w:r>
      <w:proofErr w:type="gramStart"/>
      <w:r w:rsidR="00BE7EA5">
        <w:t>on the basis of</w:t>
      </w:r>
      <w:proofErr w:type="gramEnd"/>
      <w:r w:rsidR="00BE7EA5">
        <w:t xml:space="preserve"> a document for consideration at a future session of the Sub-Committee on the Transport of Dangerous Goods.</w:t>
      </w:r>
    </w:p>
    <w:p w14:paraId="1C315288" w14:textId="6408E536" w:rsidR="00BE7EA5" w:rsidRPr="00AA5051" w:rsidRDefault="00BE7EA5" w:rsidP="00BE7EA5">
      <w:pPr>
        <w:pStyle w:val="H23G"/>
      </w:pPr>
      <w:r w:rsidRPr="00AA5051">
        <w:tab/>
      </w:r>
      <w:r w:rsidR="00957FB1">
        <w:t>4.</w:t>
      </w:r>
      <w:r w:rsidR="00957FB1">
        <w:tab/>
      </w:r>
      <w:r>
        <w:t>Special provision 363</w:t>
      </w:r>
    </w:p>
    <w:p w14:paraId="2B37EFE4" w14:textId="77777777" w:rsidR="00BE7EA5" w:rsidRPr="003B261D" w:rsidRDefault="00BE7EA5" w:rsidP="00BE7EA5">
      <w:pPr>
        <w:pStyle w:val="SingleTxtG"/>
        <w:tabs>
          <w:tab w:val="left" w:pos="3119"/>
        </w:tabs>
        <w:spacing w:after="240"/>
        <w:jc w:val="left"/>
        <w:rPr>
          <w:lang w:val="en-US"/>
        </w:rPr>
      </w:pPr>
      <w:r w:rsidRPr="003B261D">
        <w:rPr>
          <w:i/>
          <w:iCs/>
          <w:lang w:val="en-US"/>
        </w:rPr>
        <w:t>Informal document:</w:t>
      </w:r>
      <w:r w:rsidRPr="003B261D">
        <w:rPr>
          <w:lang w:val="en-US"/>
        </w:rPr>
        <w:tab/>
        <w:t>INF.34 (Switzerland)</w:t>
      </w:r>
    </w:p>
    <w:p w14:paraId="1BFAD86B" w14:textId="196E3EA6" w:rsidR="00BE7EA5" w:rsidRDefault="00511AF9" w:rsidP="00BE7EA5">
      <w:pPr>
        <w:pStyle w:val="SingleTxtG"/>
      </w:pPr>
      <w:r>
        <w:t>2</w:t>
      </w:r>
      <w:r w:rsidR="0032630C">
        <w:t>5</w:t>
      </w:r>
      <w:r w:rsidR="00BE7EA5" w:rsidRPr="00AA5051">
        <w:t>.</w:t>
      </w:r>
      <w:r w:rsidR="00BE7EA5" w:rsidRPr="00AA5051">
        <w:tab/>
      </w:r>
      <w:r w:rsidR="00BE7EA5">
        <w:t xml:space="preserve">The </w:t>
      </w:r>
      <w:r w:rsidR="00BE7EA5" w:rsidRPr="00AA5051">
        <w:t xml:space="preserve">Joint Meeting </w:t>
      </w:r>
      <w:r w:rsidR="00BE7EA5">
        <w:t>adopted by majority the new note to paragraph (j) of special provision 363 of Chapter 3.3 as proposed in informal document INF.</w:t>
      </w:r>
      <w:r w:rsidR="003B165B">
        <w:t>34</w:t>
      </w:r>
      <w:r w:rsidR="00BE7EA5">
        <w:t xml:space="preserve"> </w:t>
      </w:r>
      <w:r w:rsidR="00BE7EA5" w:rsidRPr="00AA5051">
        <w:t xml:space="preserve">(see annex </w:t>
      </w:r>
      <w:r w:rsidR="006A1C43">
        <w:t>II</w:t>
      </w:r>
      <w:r w:rsidR="00BE7EA5" w:rsidRPr="00AA5051">
        <w:t>).</w:t>
      </w:r>
      <w:r w:rsidR="00BE7EA5">
        <w:t xml:space="preserve"> It was recalled that an interpretation should be avoided that non-mandatory labelling, </w:t>
      </w:r>
      <w:proofErr w:type="gramStart"/>
      <w:r w:rsidR="00BE7EA5">
        <w:t>placarding</w:t>
      </w:r>
      <w:proofErr w:type="gramEnd"/>
      <w:r w:rsidR="00BE7EA5">
        <w:t xml:space="preserve"> or marking is only allowed in cases where it is explicitly mentioned.</w:t>
      </w:r>
    </w:p>
    <w:p w14:paraId="45D5B162" w14:textId="444E28C0" w:rsidR="00087C99" w:rsidRPr="00F50084" w:rsidRDefault="00087C99" w:rsidP="00087C99">
      <w:pPr>
        <w:pStyle w:val="H23G"/>
      </w:pPr>
      <w:r w:rsidRPr="00F50084">
        <w:tab/>
      </w:r>
      <w:r w:rsidR="00957FB1">
        <w:t>5.</w:t>
      </w:r>
      <w:r w:rsidR="00957FB1">
        <w:tab/>
      </w:r>
      <w:r w:rsidRPr="00F50084">
        <w:t>Name and description for UN numbers in the Model Regulations and RID/ADR: UN 1012 Butylene</w:t>
      </w:r>
    </w:p>
    <w:p w14:paraId="3202C429" w14:textId="77777777" w:rsidR="00087C99" w:rsidRPr="00AF3B6F" w:rsidRDefault="00087C99" w:rsidP="00087C99">
      <w:pPr>
        <w:pStyle w:val="SingleTxtG"/>
        <w:tabs>
          <w:tab w:val="left" w:pos="3119"/>
        </w:tabs>
        <w:rPr>
          <w:lang w:val="fr-CH"/>
        </w:rPr>
      </w:pPr>
      <w:r w:rsidRPr="00AF3B6F">
        <w:rPr>
          <w:i/>
          <w:iCs/>
          <w:lang w:val="fr-CH"/>
        </w:rPr>
        <w:t>Document</w:t>
      </w:r>
      <w:r w:rsidRPr="00AF3B6F">
        <w:rPr>
          <w:lang w:val="fr-CH"/>
        </w:rPr>
        <w:t>:</w:t>
      </w:r>
      <w:r w:rsidRPr="00AF3B6F">
        <w:rPr>
          <w:lang w:val="fr-CH"/>
        </w:rPr>
        <w:tab/>
        <w:t>ECE/TRANS/WP.15/AC.1/2021/14 (Spain)</w:t>
      </w:r>
    </w:p>
    <w:p w14:paraId="2F2C1E48" w14:textId="77777777" w:rsidR="00087C99" w:rsidRPr="00AF3B6F" w:rsidRDefault="00087C99" w:rsidP="00087C99">
      <w:pPr>
        <w:pStyle w:val="SingleTxtG"/>
        <w:tabs>
          <w:tab w:val="left" w:pos="3119"/>
        </w:tabs>
        <w:jc w:val="left"/>
        <w:rPr>
          <w:lang w:val="fr-CH"/>
        </w:rPr>
      </w:pPr>
      <w:r w:rsidRPr="00AF3B6F">
        <w:rPr>
          <w:i/>
          <w:iCs/>
          <w:lang w:val="fr-CH"/>
        </w:rPr>
        <w:t>Informal document:</w:t>
      </w:r>
      <w:r w:rsidRPr="00AF3B6F">
        <w:rPr>
          <w:lang w:val="fr-CH"/>
        </w:rPr>
        <w:tab/>
        <w:t>INF.38 (Spain)</w:t>
      </w:r>
    </w:p>
    <w:p w14:paraId="4A926B46" w14:textId="29FD7390" w:rsidR="00087C99" w:rsidRPr="00F50084" w:rsidRDefault="00511AF9" w:rsidP="00087C99">
      <w:pPr>
        <w:pStyle w:val="SingleTxtG"/>
      </w:pPr>
      <w:r>
        <w:t>2</w:t>
      </w:r>
      <w:r w:rsidR="0032630C">
        <w:t>6</w:t>
      </w:r>
      <w:r w:rsidR="00087C99" w:rsidRPr="00F50084">
        <w:t>.</w:t>
      </w:r>
      <w:r w:rsidR="00087C99" w:rsidRPr="00F50084">
        <w:tab/>
        <w:t>The Joint Meeting welcomed the proposals in document ECE/TRANS/WP.15/AC.1/2021/14 as amended by informal document INF.38. It was agreed to resume consideration of this subject at the forthcoming session of the Ad hoc Working Group on the Harmonization of RID/ADR/ADN with the U</w:t>
      </w:r>
      <w:r w:rsidR="00087C99">
        <w:t xml:space="preserve">nited </w:t>
      </w:r>
      <w:r w:rsidR="00087C99" w:rsidRPr="00F50084">
        <w:t>N</w:t>
      </w:r>
      <w:r w:rsidR="00087C99">
        <w:t>ations</w:t>
      </w:r>
      <w:r w:rsidR="00087C99" w:rsidRPr="00F50084">
        <w:t xml:space="preserve"> Recommendations on the T</w:t>
      </w:r>
      <w:r w:rsidR="00087C99">
        <w:t xml:space="preserve">ransport of </w:t>
      </w:r>
      <w:r w:rsidR="00087C99" w:rsidRPr="00F50084">
        <w:t>D</w:t>
      </w:r>
      <w:r w:rsidR="00087C99">
        <w:t xml:space="preserve">angerous </w:t>
      </w:r>
      <w:r w:rsidR="00087C99" w:rsidRPr="00F50084">
        <w:t>G</w:t>
      </w:r>
      <w:r w:rsidR="00087C99">
        <w:t>oods on 21-23 April</w:t>
      </w:r>
      <w:r w:rsidR="00087C99" w:rsidRPr="00F50084">
        <w:t xml:space="preserve"> to verify the need </w:t>
      </w:r>
      <w:r w:rsidR="001976B6">
        <w:t xml:space="preserve">for </w:t>
      </w:r>
      <w:r w:rsidR="000B3F6C">
        <w:t>additional</w:t>
      </w:r>
      <w:r w:rsidR="001976B6">
        <w:t xml:space="preserve"> comments</w:t>
      </w:r>
      <w:r w:rsidR="0096453F" w:rsidRPr="00F50084">
        <w:t>.</w:t>
      </w:r>
      <w:r w:rsidR="0096453F">
        <w:t xml:space="preserve"> </w:t>
      </w:r>
      <w:r w:rsidR="00561DF2">
        <w:t>D</w:t>
      </w:r>
      <w:r w:rsidR="0096453F">
        <w:t>elegations were invited to send additional comments to the representative of Spain.</w:t>
      </w:r>
    </w:p>
    <w:p w14:paraId="18692F30" w14:textId="057E2951" w:rsidR="009F33B0" w:rsidRPr="007D4094" w:rsidRDefault="009F33B0" w:rsidP="009F33B0">
      <w:pPr>
        <w:pStyle w:val="H23G"/>
      </w:pPr>
      <w:r w:rsidRPr="007D4094">
        <w:tab/>
      </w:r>
      <w:r w:rsidR="00957FB1">
        <w:t>6.</w:t>
      </w:r>
      <w:r w:rsidR="00957FB1">
        <w:tab/>
      </w:r>
      <w:r w:rsidRPr="007D4094">
        <w:t>Proposal of amendment to Chapter 1.2 of RID/ADR</w:t>
      </w:r>
    </w:p>
    <w:p w14:paraId="1643F4EB" w14:textId="77777777" w:rsidR="009F33B0" w:rsidRPr="007D4094" w:rsidRDefault="009F33B0" w:rsidP="009F33B0">
      <w:pPr>
        <w:pStyle w:val="SingleTxtG"/>
        <w:tabs>
          <w:tab w:val="left" w:pos="3119"/>
        </w:tabs>
        <w:spacing w:after="240"/>
        <w:jc w:val="left"/>
      </w:pPr>
      <w:r w:rsidRPr="007D4094">
        <w:rPr>
          <w:i/>
          <w:iCs/>
        </w:rPr>
        <w:t>Informal documents:</w:t>
      </w:r>
      <w:r w:rsidRPr="007D4094">
        <w:tab/>
        <w:t>INF.28 (Portugal)</w:t>
      </w:r>
      <w:r w:rsidRPr="007D4094">
        <w:br/>
      </w:r>
      <w:r w:rsidRPr="007D4094">
        <w:tab/>
        <w:t xml:space="preserve">INF.39 (Austria, Portugal, </w:t>
      </w:r>
      <w:proofErr w:type="gramStart"/>
      <w:r w:rsidRPr="007D4094">
        <w:t>Spain</w:t>
      </w:r>
      <w:proofErr w:type="gramEnd"/>
      <w:r w:rsidRPr="007D4094">
        <w:t xml:space="preserve"> and the Netherlands)</w:t>
      </w:r>
    </w:p>
    <w:p w14:paraId="4817A2DA" w14:textId="71487EF5" w:rsidR="009F33B0" w:rsidRDefault="009F33B0" w:rsidP="009F33B0">
      <w:pPr>
        <w:pStyle w:val="SingleTxtG"/>
      </w:pPr>
      <w:r>
        <w:t>2</w:t>
      </w:r>
      <w:r w:rsidR="0032630C">
        <w:t>7</w:t>
      </w:r>
      <w:r w:rsidRPr="007D4094">
        <w:t>.</w:t>
      </w:r>
      <w:r w:rsidRPr="007D4094">
        <w:tab/>
        <w:t xml:space="preserve">Following the discussion, the Joint Meeting adopted the amendments proposed in informal document INF.39 with additional modifications (see annex </w:t>
      </w:r>
      <w:r w:rsidR="00836048">
        <w:t>II</w:t>
      </w:r>
      <w:r w:rsidRPr="007D4094">
        <w:t>).</w:t>
      </w:r>
    </w:p>
    <w:p w14:paraId="4DCF69F9" w14:textId="60CB75EB" w:rsidR="009F33B0" w:rsidRPr="007D4094" w:rsidRDefault="009F33B0" w:rsidP="009F33B0">
      <w:pPr>
        <w:pStyle w:val="H23G"/>
      </w:pPr>
      <w:r w:rsidRPr="007D4094">
        <w:tab/>
      </w:r>
      <w:r w:rsidR="00957FB1">
        <w:t>7.</w:t>
      </w:r>
      <w:r w:rsidR="00957FB1">
        <w:tab/>
      </w:r>
      <w:r>
        <w:t>Additions to the definitions in</w:t>
      </w:r>
      <w:r w:rsidRPr="007D4094">
        <w:t xml:space="preserve"> 1.2</w:t>
      </w:r>
      <w:r>
        <w:t>.1</w:t>
      </w:r>
    </w:p>
    <w:p w14:paraId="29215B10" w14:textId="77777777" w:rsidR="009F33B0" w:rsidRDefault="009F33B0" w:rsidP="009F33B0">
      <w:pPr>
        <w:pStyle w:val="SingleTxtG"/>
        <w:tabs>
          <w:tab w:val="left" w:pos="3119"/>
        </w:tabs>
        <w:jc w:val="left"/>
      </w:pPr>
      <w:r w:rsidRPr="007D4094">
        <w:rPr>
          <w:i/>
          <w:iCs/>
        </w:rPr>
        <w:t>Informal document:</w:t>
      </w:r>
      <w:r w:rsidRPr="007D4094">
        <w:tab/>
        <w:t>INF.</w:t>
      </w:r>
      <w:r>
        <w:t>7</w:t>
      </w:r>
      <w:r w:rsidRPr="007D4094">
        <w:t xml:space="preserve"> (</w:t>
      </w:r>
      <w:r>
        <w:t>Secretariat</w:t>
      </w:r>
      <w:r w:rsidRPr="007D4094">
        <w:t>)</w:t>
      </w:r>
    </w:p>
    <w:p w14:paraId="4B563901" w14:textId="521D5B98" w:rsidR="00087C99" w:rsidRPr="00AA5051" w:rsidRDefault="009F33B0" w:rsidP="000A1F82">
      <w:pPr>
        <w:pStyle w:val="SingleTxtG"/>
      </w:pPr>
      <w:r>
        <w:t>2</w:t>
      </w:r>
      <w:r w:rsidR="0032630C">
        <w:t>8</w:t>
      </w:r>
      <w:r w:rsidRPr="007D4094">
        <w:t>.</w:t>
      </w:r>
      <w:r w:rsidRPr="007D4094">
        <w:tab/>
      </w:r>
      <w:r>
        <w:t>T</w:t>
      </w:r>
      <w:r w:rsidRPr="007D4094">
        <w:t xml:space="preserve">he Joint Meeting </w:t>
      </w:r>
      <w:r>
        <w:t>noted</w:t>
      </w:r>
      <w:r w:rsidRPr="007D4094">
        <w:t xml:space="preserve"> the amendments </w:t>
      </w:r>
      <w:r>
        <w:t>to the definition in ADN 1.2.1 recently adopted by the ADN Safety Committee. Some delegations welcomed the clarification that the abbreviation "CMR" is usually defined with a reference to the Convention on the Contract for the International Carriage of Goods by Road, but may also be used as an indication for substances with long-term effects on health (C means carcinogenic, M means mutagenic and R means toxic to reproduction). The secretariat was requested to prepare for the next session a proposal for supplementing the existing definition of CMR in RID/ADR with these meanings.</w:t>
      </w:r>
    </w:p>
    <w:p w14:paraId="014D4B81" w14:textId="77777777" w:rsidR="00BE7EA5" w:rsidRPr="00AA5051" w:rsidRDefault="00BE7EA5" w:rsidP="00FD1D52">
      <w:pPr>
        <w:pStyle w:val="H1G"/>
      </w:pPr>
      <w:r w:rsidRPr="00AA5051">
        <w:lastRenderedPageBreak/>
        <w:tab/>
      </w:r>
      <w:r>
        <w:t>B</w:t>
      </w:r>
      <w:r w:rsidRPr="00AA5051">
        <w:t>.</w:t>
      </w:r>
      <w:r w:rsidRPr="00AA5051">
        <w:tab/>
      </w:r>
      <w:r>
        <w:t>New proposals</w:t>
      </w:r>
    </w:p>
    <w:p w14:paraId="0D56440C" w14:textId="78779AC0" w:rsidR="00BE7EA5" w:rsidRPr="00AA5051" w:rsidRDefault="00BE7EA5" w:rsidP="00FD1D52">
      <w:pPr>
        <w:pStyle w:val="H23G"/>
      </w:pPr>
      <w:r w:rsidRPr="00AA5051">
        <w:tab/>
      </w:r>
      <w:r w:rsidR="00957FB1">
        <w:t>1.</w:t>
      </w:r>
      <w:r w:rsidR="00957FB1">
        <w:tab/>
      </w:r>
      <w:r>
        <w:t>Inclusion of provisions for the carriage of molten aluminium of UN number 3257</w:t>
      </w:r>
    </w:p>
    <w:p w14:paraId="417D2BF8" w14:textId="77777777" w:rsidR="00BE7EA5" w:rsidRPr="003B261D" w:rsidRDefault="00BE7EA5" w:rsidP="00FD1D52">
      <w:pPr>
        <w:pStyle w:val="SingleTxtG"/>
        <w:keepNext/>
        <w:keepLines/>
        <w:tabs>
          <w:tab w:val="left" w:pos="3119"/>
        </w:tabs>
        <w:rPr>
          <w:lang w:val="en-US"/>
        </w:rPr>
      </w:pPr>
      <w:r w:rsidRPr="003B261D">
        <w:rPr>
          <w:i/>
          <w:iCs/>
          <w:lang w:val="en-US"/>
        </w:rPr>
        <w:t>Document</w:t>
      </w:r>
      <w:r w:rsidRPr="003B261D">
        <w:rPr>
          <w:lang w:val="en-US"/>
        </w:rPr>
        <w:t>:</w:t>
      </w:r>
      <w:r w:rsidRPr="003B261D">
        <w:rPr>
          <w:lang w:val="en-US"/>
        </w:rPr>
        <w:tab/>
        <w:t>ECE/TRANS/WP.15/AC.1/2021/1 (Germany)</w:t>
      </w:r>
    </w:p>
    <w:p w14:paraId="58AB458A" w14:textId="3713CEF5" w:rsidR="00EC7F48" w:rsidRDefault="00EC7F48" w:rsidP="00FD1D52">
      <w:pPr>
        <w:pStyle w:val="SingleTxtG"/>
        <w:keepNext/>
        <w:keepLines/>
        <w:tabs>
          <w:tab w:val="left" w:pos="3119"/>
        </w:tabs>
        <w:jc w:val="left"/>
      </w:pPr>
      <w:r w:rsidRPr="007D4094">
        <w:rPr>
          <w:i/>
          <w:iCs/>
        </w:rPr>
        <w:t>Informal document:</w:t>
      </w:r>
      <w:r w:rsidRPr="007D4094">
        <w:tab/>
        <w:t>INF.</w:t>
      </w:r>
      <w:r>
        <w:t>41</w:t>
      </w:r>
      <w:r w:rsidRPr="007D4094">
        <w:t xml:space="preserve"> (</w:t>
      </w:r>
      <w:r>
        <w:t>Germany</w:t>
      </w:r>
      <w:r w:rsidRPr="007D4094">
        <w:t>)</w:t>
      </w:r>
    </w:p>
    <w:p w14:paraId="7A0CA37E" w14:textId="0A7C9262" w:rsidR="00BE7EA5" w:rsidRDefault="0032630C" w:rsidP="00FD1D52">
      <w:pPr>
        <w:pStyle w:val="SingleTxtG"/>
        <w:keepNext/>
        <w:keepLines/>
      </w:pPr>
      <w:r>
        <w:t>29</w:t>
      </w:r>
      <w:r w:rsidR="00BE7EA5" w:rsidRPr="00AA5051">
        <w:t>.</w:t>
      </w:r>
      <w:r w:rsidR="00BE7EA5" w:rsidRPr="00AA5051">
        <w:tab/>
      </w:r>
      <w:r w:rsidR="00BE7EA5">
        <w:t>T</w:t>
      </w:r>
      <w:r w:rsidR="00BE7EA5" w:rsidRPr="00AA5051">
        <w:t xml:space="preserve">he Joint Meeting </w:t>
      </w:r>
      <w:r w:rsidR="00BE7EA5">
        <w:t xml:space="preserve">considered </w:t>
      </w:r>
      <w:r w:rsidR="00BE7EA5" w:rsidRPr="00E94567">
        <w:rPr>
          <w:lang w:val="en-US"/>
        </w:rPr>
        <w:t>ECE/TRANS/WP.15/AC.1/2021/1</w:t>
      </w:r>
      <w:r w:rsidR="00BE7EA5">
        <w:rPr>
          <w:lang w:val="en-US"/>
        </w:rPr>
        <w:t xml:space="preserve"> and</w:t>
      </w:r>
      <w:r w:rsidR="00BE7EA5" w:rsidRPr="00E94567">
        <w:rPr>
          <w:lang w:val="en-US"/>
        </w:rPr>
        <w:t xml:space="preserve"> </w:t>
      </w:r>
      <w:r w:rsidR="00BE7EA5">
        <w:t>agreed on the need to insert new provisions for the carriage of molten aluminium of UN number 3257. It was recommended to set up a new informal working group on this subject</w:t>
      </w:r>
      <w:r w:rsidR="00BE7EA5" w:rsidRPr="00AA5051">
        <w:t>.</w:t>
      </w:r>
      <w:r w:rsidR="00BE7EA5">
        <w:t xml:space="preserve"> The representative of Germany </w:t>
      </w:r>
      <w:r w:rsidR="0000577F">
        <w:t>presented</w:t>
      </w:r>
      <w:r w:rsidR="00BE7EA5">
        <w:t xml:space="preserve"> informal document </w:t>
      </w:r>
      <w:r w:rsidR="0000577F">
        <w:t xml:space="preserve">INF.41 </w:t>
      </w:r>
      <w:r w:rsidR="00BE7EA5">
        <w:t>with the terms of reference for that group.</w:t>
      </w:r>
      <w:r w:rsidR="00E40C02">
        <w:t xml:space="preserve"> </w:t>
      </w:r>
      <w:r w:rsidR="00B85BDF">
        <w:t>T</w:t>
      </w:r>
      <w:r w:rsidR="00B85BDF" w:rsidRPr="00AA5051">
        <w:t xml:space="preserve">he Joint Meeting </w:t>
      </w:r>
      <w:r w:rsidR="00B85BDF">
        <w:t xml:space="preserve">adopted </w:t>
      </w:r>
      <w:r w:rsidR="00FC1260">
        <w:t xml:space="preserve">the terms of reference (see annex </w:t>
      </w:r>
      <w:r w:rsidR="00A2104E">
        <w:t>III)</w:t>
      </w:r>
      <w:r w:rsidR="00FC1260">
        <w:t>.</w:t>
      </w:r>
    </w:p>
    <w:p w14:paraId="51E90B90" w14:textId="1F78A48C" w:rsidR="00BE7EA5" w:rsidRPr="00AA5051" w:rsidRDefault="00BE7EA5" w:rsidP="00BE7EA5">
      <w:pPr>
        <w:pStyle w:val="H23G"/>
      </w:pPr>
      <w:r w:rsidRPr="00AA5051">
        <w:tab/>
      </w:r>
      <w:r w:rsidR="00957FB1">
        <w:t>2.</w:t>
      </w:r>
      <w:r w:rsidR="00957FB1">
        <w:tab/>
      </w:r>
      <w:r>
        <w:t>RID/ADR 1.8.7.2.3 – Scope of the type approval certificate</w:t>
      </w:r>
    </w:p>
    <w:p w14:paraId="746D77A3" w14:textId="77777777" w:rsidR="00BE7EA5" w:rsidRPr="003B261D" w:rsidRDefault="00BE7EA5" w:rsidP="00BE7EA5">
      <w:pPr>
        <w:pStyle w:val="SingleTxtG"/>
        <w:tabs>
          <w:tab w:val="left" w:pos="3119"/>
        </w:tabs>
        <w:rPr>
          <w:lang w:val="en-US"/>
        </w:rPr>
      </w:pPr>
      <w:r w:rsidRPr="003B261D">
        <w:rPr>
          <w:i/>
          <w:iCs/>
          <w:lang w:val="en-US"/>
        </w:rPr>
        <w:t>Document</w:t>
      </w:r>
      <w:r w:rsidRPr="003B261D">
        <w:rPr>
          <w:lang w:val="en-US"/>
        </w:rPr>
        <w:t>:</w:t>
      </w:r>
      <w:r w:rsidRPr="003B261D">
        <w:rPr>
          <w:lang w:val="en-US"/>
        </w:rPr>
        <w:tab/>
        <w:t>ECE/TRANS/WP.15/AC.1/2021/2 (Germany)</w:t>
      </w:r>
    </w:p>
    <w:p w14:paraId="2693B0BC" w14:textId="27785C7D" w:rsidR="00BE7EA5" w:rsidRDefault="00511AF9" w:rsidP="00BE7EA5">
      <w:pPr>
        <w:pStyle w:val="SingleTxtG"/>
      </w:pPr>
      <w:r>
        <w:t>3</w:t>
      </w:r>
      <w:r w:rsidR="0032630C">
        <w:t>0</w:t>
      </w:r>
      <w:r w:rsidR="00BE7EA5" w:rsidRPr="00AA5051">
        <w:t>.</w:t>
      </w:r>
      <w:r w:rsidR="00BE7EA5" w:rsidRPr="00AA5051">
        <w:tab/>
      </w:r>
      <w:r w:rsidR="00BE7EA5">
        <w:t xml:space="preserve">Several delegations raised concerns on the proposal. The representative of Germany withdrew document </w:t>
      </w:r>
      <w:r w:rsidR="00BE7EA5" w:rsidRPr="00E94567">
        <w:rPr>
          <w:lang w:val="en-US"/>
        </w:rPr>
        <w:t>ECE/TRANS/WP.15/AC.1/2021/</w:t>
      </w:r>
      <w:r w:rsidR="00BE7EA5">
        <w:rPr>
          <w:lang w:val="en-US"/>
        </w:rPr>
        <w:t>2</w:t>
      </w:r>
      <w:r w:rsidR="00BE7EA5">
        <w:t>.</w:t>
      </w:r>
    </w:p>
    <w:p w14:paraId="0D51FE2F" w14:textId="724D5ECE" w:rsidR="009A115F" w:rsidRPr="00F50084" w:rsidRDefault="009A115F" w:rsidP="009A115F">
      <w:pPr>
        <w:pStyle w:val="H23G"/>
      </w:pPr>
      <w:r w:rsidRPr="00F50084">
        <w:tab/>
      </w:r>
      <w:r w:rsidR="00957FB1">
        <w:t>3.</w:t>
      </w:r>
      <w:r w:rsidR="00957FB1">
        <w:tab/>
      </w:r>
      <w:r>
        <w:t>Security provisions and supervision requirements for detonators</w:t>
      </w:r>
    </w:p>
    <w:p w14:paraId="1D911197" w14:textId="77777777" w:rsidR="009A115F" w:rsidRPr="00AF3B6F" w:rsidRDefault="009A115F" w:rsidP="009A115F">
      <w:pPr>
        <w:pStyle w:val="SingleTxtG"/>
        <w:tabs>
          <w:tab w:val="left" w:pos="3119"/>
        </w:tabs>
        <w:rPr>
          <w:lang w:val="fr-CH"/>
        </w:rPr>
      </w:pPr>
      <w:r w:rsidRPr="00AF3B6F">
        <w:rPr>
          <w:i/>
          <w:iCs/>
          <w:lang w:val="fr-CH"/>
        </w:rPr>
        <w:t>Document</w:t>
      </w:r>
      <w:r w:rsidRPr="00AF3B6F">
        <w:rPr>
          <w:lang w:val="fr-CH"/>
        </w:rPr>
        <w:t>:</w:t>
      </w:r>
      <w:r w:rsidRPr="00AF3B6F">
        <w:rPr>
          <w:lang w:val="fr-CH"/>
        </w:rPr>
        <w:tab/>
        <w:t>ECE/TRANS/WP.15/AC.1/2021/4 (Secretariat)</w:t>
      </w:r>
    </w:p>
    <w:p w14:paraId="615C9064" w14:textId="220B9215" w:rsidR="009A115F" w:rsidRPr="00F50084" w:rsidRDefault="00511AF9" w:rsidP="009A115F">
      <w:pPr>
        <w:pStyle w:val="SingleTxtG"/>
      </w:pPr>
      <w:r>
        <w:t>3</w:t>
      </w:r>
      <w:r w:rsidR="0032630C">
        <w:t>1</w:t>
      </w:r>
      <w:r w:rsidR="009A115F" w:rsidRPr="00F50084">
        <w:t>.</w:t>
      </w:r>
      <w:r w:rsidR="009A115F" w:rsidRPr="00F50084">
        <w:tab/>
        <w:t xml:space="preserve">The Joint Meeting adopted the amendments to RID/ADR/ADN proposed in paragraphs 13 and 14 of document ECE/TRANS/WP.15/AC.1/2021/4 (see annex </w:t>
      </w:r>
      <w:r w:rsidR="001979A0">
        <w:t>II</w:t>
      </w:r>
      <w:r w:rsidR="009A115F" w:rsidRPr="00F50084">
        <w:t xml:space="preserve">). It was noted that amendment to 1.1.3.6.2 does </w:t>
      </w:r>
      <w:r w:rsidR="009A115F">
        <w:t xml:space="preserve">not </w:t>
      </w:r>
      <w:r w:rsidR="009A115F" w:rsidRPr="00F50084">
        <w:t xml:space="preserve">apply to </w:t>
      </w:r>
      <w:r w:rsidR="009A115F">
        <w:t>RID</w:t>
      </w:r>
      <w:r w:rsidR="009A115F" w:rsidRPr="00F50084">
        <w:t>.</w:t>
      </w:r>
    </w:p>
    <w:p w14:paraId="371C318F" w14:textId="1D3AFDC6" w:rsidR="009A115F" w:rsidRPr="00F50084" w:rsidRDefault="009A115F" w:rsidP="009A115F">
      <w:pPr>
        <w:pStyle w:val="H23G"/>
      </w:pPr>
      <w:r w:rsidRPr="00F50084">
        <w:tab/>
      </w:r>
      <w:r w:rsidR="00957FB1">
        <w:t>4.</w:t>
      </w:r>
      <w:r w:rsidR="00957FB1">
        <w:tab/>
      </w:r>
      <w:r>
        <w:t>Carriage of pressure receptacles approved by the Department of Transportation of the United States of America (DOT)</w:t>
      </w:r>
    </w:p>
    <w:p w14:paraId="4FA5FDA3" w14:textId="77777777" w:rsidR="009A115F" w:rsidRPr="00AF3B6F" w:rsidRDefault="009A115F" w:rsidP="009A115F">
      <w:pPr>
        <w:pStyle w:val="SingleTxtG"/>
        <w:tabs>
          <w:tab w:val="left" w:pos="3119"/>
        </w:tabs>
        <w:rPr>
          <w:lang w:val="fr-CH"/>
        </w:rPr>
      </w:pPr>
      <w:r w:rsidRPr="00AF3B6F">
        <w:rPr>
          <w:i/>
          <w:iCs/>
          <w:lang w:val="fr-CH"/>
        </w:rPr>
        <w:t>Document</w:t>
      </w:r>
      <w:r w:rsidRPr="00AF3B6F">
        <w:rPr>
          <w:lang w:val="fr-CH"/>
        </w:rPr>
        <w:t>:</w:t>
      </w:r>
      <w:r w:rsidRPr="00AF3B6F">
        <w:rPr>
          <w:lang w:val="fr-CH"/>
        </w:rPr>
        <w:tab/>
        <w:t>ECE/TRANS/WP.15/AC.1/2021/9 (EIGA)</w:t>
      </w:r>
    </w:p>
    <w:p w14:paraId="2E002305" w14:textId="77777777" w:rsidR="009A115F" w:rsidRPr="00F50084" w:rsidRDefault="009A115F" w:rsidP="009A115F">
      <w:pPr>
        <w:pStyle w:val="SingleTxtG"/>
        <w:tabs>
          <w:tab w:val="left" w:pos="3119"/>
        </w:tabs>
        <w:jc w:val="left"/>
      </w:pPr>
      <w:r w:rsidRPr="00F50084">
        <w:rPr>
          <w:i/>
          <w:iCs/>
        </w:rPr>
        <w:t>Informal document:</w:t>
      </w:r>
      <w:r w:rsidRPr="00F50084">
        <w:tab/>
        <w:t>INF.</w:t>
      </w:r>
      <w:r>
        <w:t>24</w:t>
      </w:r>
      <w:r w:rsidRPr="00F50084">
        <w:t xml:space="preserve"> (</w:t>
      </w:r>
      <w:r>
        <w:t>France</w:t>
      </w:r>
      <w:r w:rsidRPr="00F50084">
        <w:t>)</w:t>
      </w:r>
    </w:p>
    <w:p w14:paraId="564C3142" w14:textId="7E66CEC9" w:rsidR="009A115F" w:rsidRDefault="00511AF9" w:rsidP="009A115F">
      <w:pPr>
        <w:pStyle w:val="SingleTxtG"/>
      </w:pPr>
      <w:r>
        <w:t>3</w:t>
      </w:r>
      <w:r w:rsidR="0032630C">
        <w:t>2</w:t>
      </w:r>
      <w:r w:rsidR="009A115F" w:rsidRPr="00F50084">
        <w:t>.</w:t>
      </w:r>
      <w:r w:rsidR="009A115F" w:rsidRPr="00F50084">
        <w:tab/>
        <w:t>The Joint Meeting adopted the amendments to RID/AD</w:t>
      </w:r>
      <w:r w:rsidR="009A115F">
        <w:t>R</w:t>
      </w:r>
      <w:r w:rsidR="009A115F" w:rsidRPr="00F50084">
        <w:t xml:space="preserve"> proposed in paragraph 13 of document ECE/TRANS/WP.15/AC.1/2021/</w:t>
      </w:r>
      <w:r w:rsidR="009A115F">
        <w:t>9</w:t>
      </w:r>
      <w:r w:rsidR="009A115F" w:rsidRPr="00F50084">
        <w:t xml:space="preserve"> </w:t>
      </w:r>
      <w:r w:rsidR="009A115F">
        <w:t xml:space="preserve">as supplemented by informal document INF.24 with an additional modification </w:t>
      </w:r>
      <w:r w:rsidR="009A115F" w:rsidRPr="00F50084">
        <w:t xml:space="preserve">(see annex </w:t>
      </w:r>
      <w:r w:rsidR="003E545E">
        <w:t>II</w:t>
      </w:r>
      <w:r w:rsidR="009A115F" w:rsidRPr="00F50084">
        <w:t>).</w:t>
      </w:r>
    </w:p>
    <w:p w14:paraId="440AA4E4" w14:textId="38A88C20" w:rsidR="009A115F" w:rsidRPr="00F50084" w:rsidRDefault="00511AF9" w:rsidP="009A115F">
      <w:pPr>
        <w:pStyle w:val="SingleTxtG"/>
      </w:pPr>
      <w:r>
        <w:t>3</w:t>
      </w:r>
      <w:r w:rsidR="0032630C">
        <w:t>3</w:t>
      </w:r>
      <w:r w:rsidR="009A115F">
        <w:t>.</w:t>
      </w:r>
      <w:r w:rsidR="009A115F">
        <w:tab/>
        <w:t xml:space="preserve">It was noted that no transitional provision was needed, and that the current multilateral agreement ADR M318 is still valid until mid of 2023. Further information on the DOT final rulemaking procedure for changing the provisions of the Code of Federal Regulations 49 CFR is available at: </w:t>
      </w:r>
      <w:hyperlink r:id="rId12" w:history="1">
        <w:r w:rsidR="009A115F" w:rsidRPr="008E12AC">
          <w:rPr>
            <w:rStyle w:val="Lienhypertexte"/>
          </w:rPr>
          <w:t>www.federalregister.gov/documents/2020/11/25/2020-23712/hazardous-materials-adoption-of-miscellaneous-petitions-to-reduce-regulatory-burdens</w:t>
        </w:r>
      </w:hyperlink>
      <w:r w:rsidR="009A115F">
        <w:t>.</w:t>
      </w:r>
    </w:p>
    <w:p w14:paraId="67649897" w14:textId="7B264EFF" w:rsidR="009A115F" w:rsidRPr="00F50084" w:rsidRDefault="009A115F" w:rsidP="009A115F">
      <w:pPr>
        <w:pStyle w:val="H23G"/>
      </w:pPr>
      <w:r w:rsidRPr="00F50084">
        <w:tab/>
      </w:r>
      <w:r w:rsidR="00957FB1">
        <w:t>5.</w:t>
      </w:r>
      <w:r w:rsidR="00957FB1">
        <w:tab/>
      </w:r>
      <w:r>
        <w:t>RID/ADR 6.2.3.1.5 – Pressure relief devices for non-UN acetylene cylinders</w:t>
      </w:r>
    </w:p>
    <w:p w14:paraId="193EC9ED" w14:textId="77777777" w:rsidR="009A115F" w:rsidRPr="00F50084" w:rsidRDefault="009A115F" w:rsidP="009A115F">
      <w:pPr>
        <w:pStyle w:val="SingleTxtG"/>
        <w:tabs>
          <w:tab w:val="left" w:pos="3119"/>
        </w:tabs>
      </w:pPr>
      <w:r w:rsidRPr="00F50084">
        <w:rPr>
          <w:i/>
          <w:iCs/>
        </w:rPr>
        <w:t>Document</w:t>
      </w:r>
      <w:r w:rsidRPr="00F50084">
        <w:t>:</w:t>
      </w:r>
      <w:r w:rsidRPr="00F50084">
        <w:tab/>
        <w:t>ECE/TRANS/WP.15/AC.1/2021/</w:t>
      </w:r>
      <w:r>
        <w:t>20</w:t>
      </w:r>
      <w:r w:rsidRPr="00F50084">
        <w:t xml:space="preserve"> (</w:t>
      </w:r>
      <w:r>
        <w:t>Germany</w:t>
      </w:r>
      <w:r w:rsidRPr="00F50084">
        <w:t>)</w:t>
      </w:r>
    </w:p>
    <w:p w14:paraId="18D5403F" w14:textId="77777777" w:rsidR="009A115F" w:rsidRPr="00F50084" w:rsidRDefault="009A115F" w:rsidP="009A115F">
      <w:pPr>
        <w:pStyle w:val="SingleTxtG"/>
        <w:tabs>
          <w:tab w:val="left" w:pos="3119"/>
        </w:tabs>
        <w:jc w:val="left"/>
      </w:pPr>
      <w:r w:rsidRPr="00F50084">
        <w:rPr>
          <w:i/>
          <w:iCs/>
        </w:rPr>
        <w:t>Informal document:</w:t>
      </w:r>
      <w:r w:rsidRPr="00F50084">
        <w:tab/>
        <w:t>INF.8 (</w:t>
      </w:r>
      <w:r>
        <w:t>Germany</w:t>
      </w:r>
      <w:r w:rsidRPr="00F50084">
        <w:t>)</w:t>
      </w:r>
    </w:p>
    <w:p w14:paraId="480E7EBD" w14:textId="6D6CF2C6" w:rsidR="009A115F" w:rsidRPr="00F50084" w:rsidRDefault="00511AF9" w:rsidP="009A115F">
      <w:pPr>
        <w:pStyle w:val="SingleTxtG"/>
      </w:pPr>
      <w:r>
        <w:t>3</w:t>
      </w:r>
      <w:r w:rsidR="0032630C">
        <w:t>4</w:t>
      </w:r>
      <w:r w:rsidR="009A115F" w:rsidRPr="00F50084">
        <w:t>.</w:t>
      </w:r>
      <w:r w:rsidR="009A115F" w:rsidRPr="00F50084">
        <w:tab/>
        <w:t xml:space="preserve">The Joint Meeting </w:t>
      </w:r>
      <w:r w:rsidR="009A115F">
        <w:t xml:space="preserve">noted general support and </w:t>
      </w:r>
      <w:r w:rsidR="009A115F" w:rsidRPr="00F50084">
        <w:t>adopted the amendments to RID/AD</w:t>
      </w:r>
      <w:r w:rsidR="009A115F">
        <w:t>R</w:t>
      </w:r>
      <w:r w:rsidR="009A115F" w:rsidRPr="00F50084">
        <w:t xml:space="preserve"> </w:t>
      </w:r>
      <w:r w:rsidR="009A115F">
        <w:t xml:space="preserve">6.2.3.1.5 as </w:t>
      </w:r>
      <w:r w:rsidR="009A115F" w:rsidRPr="00F50084">
        <w:t xml:space="preserve">proposed in </w:t>
      </w:r>
      <w:r w:rsidR="009A115F">
        <w:t>informal</w:t>
      </w:r>
      <w:r w:rsidR="009A115F" w:rsidRPr="00F50084">
        <w:t xml:space="preserve"> document </w:t>
      </w:r>
      <w:r w:rsidR="009A115F">
        <w:t xml:space="preserve">INF.8 </w:t>
      </w:r>
      <w:r w:rsidR="009A115F" w:rsidRPr="00F50084">
        <w:t xml:space="preserve">(see annex </w:t>
      </w:r>
      <w:r w:rsidR="003E545E">
        <w:t>II</w:t>
      </w:r>
      <w:r w:rsidR="009A115F" w:rsidRPr="00F50084">
        <w:t>).</w:t>
      </w:r>
    </w:p>
    <w:p w14:paraId="429DF138" w14:textId="07B18414" w:rsidR="00BC6725" w:rsidRPr="007D4094" w:rsidRDefault="00BC6725" w:rsidP="0035404D">
      <w:pPr>
        <w:pStyle w:val="H23G"/>
        <w:keepNext w:val="0"/>
        <w:keepLines w:val="0"/>
      </w:pPr>
      <w:r w:rsidRPr="007D4094">
        <w:tab/>
      </w:r>
      <w:r w:rsidR="00957FB1">
        <w:t>6.</w:t>
      </w:r>
      <w:r w:rsidR="00957FB1">
        <w:tab/>
      </w:r>
      <w:r>
        <w:t>Improvement of the introductory sentence of Chapter 7.4, section 7.4.1</w:t>
      </w:r>
    </w:p>
    <w:p w14:paraId="403BD872" w14:textId="77777777" w:rsidR="00BC6725" w:rsidRDefault="00BC6725" w:rsidP="0035404D">
      <w:pPr>
        <w:pStyle w:val="SingleTxtG"/>
        <w:tabs>
          <w:tab w:val="left" w:pos="3119"/>
        </w:tabs>
        <w:jc w:val="left"/>
      </w:pPr>
      <w:r w:rsidRPr="007D4094">
        <w:rPr>
          <w:i/>
          <w:iCs/>
        </w:rPr>
        <w:t>Informal document:</w:t>
      </w:r>
      <w:r w:rsidRPr="007D4094">
        <w:tab/>
        <w:t>INF.</w:t>
      </w:r>
      <w:r>
        <w:t>4</w:t>
      </w:r>
      <w:r w:rsidRPr="007D4094">
        <w:t xml:space="preserve"> (</w:t>
      </w:r>
      <w:r>
        <w:t>EASA</w:t>
      </w:r>
      <w:r w:rsidRPr="007D4094">
        <w:t>)</w:t>
      </w:r>
    </w:p>
    <w:p w14:paraId="52EB64DB" w14:textId="3285B3C2" w:rsidR="00BC6725" w:rsidRPr="007D4094" w:rsidRDefault="00511AF9" w:rsidP="0035404D">
      <w:pPr>
        <w:pStyle w:val="SingleTxtG"/>
      </w:pPr>
      <w:r>
        <w:t>3</w:t>
      </w:r>
      <w:r w:rsidR="0032630C">
        <w:t>5</w:t>
      </w:r>
      <w:r w:rsidR="00BC6725" w:rsidRPr="007D4094">
        <w:t>.</w:t>
      </w:r>
      <w:r w:rsidR="00BC6725" w:rsidRPr="007D4094">
        <w:tab/>
        <w:t xml:space="preserve">The Joint Meeting adopted the </w:t>
      </w:r>
      <w:r w:rsidR="00BC6725">
        <w:t xml:space="preserve">proposed </w:t>
      </w:r>
      <w:r w:rsidR="00BC6725" w:rsidRPr="007D4094">
        <w:t>amendments to RID/ADR</w:t>
      </w:r>
      <w:r w:rsidR="00BC6725">
        <w:t xml:space="preserve"> 7</w:t>
      </w:r>
      <w:r w:rsidR="00BC6725" w:rsidRPr="007D4094">
        <w:t>.4.</w:t>
      </w:r>
      <w:r w:rsidR="00BC6725">
        <w:t>1</w:t>
      </w:r>
      <w:r w:rsidR="00BC6725" w:rsidRPr="007D4094">
        <w:t xml:space="preserve"> (see annex </w:t>
      </w:r>
      <w:r w:rsidR="003E545E">
        <w:t>II</w:t>
      </w:r>
      <w:r w:rsidR="00BC6725" w:rsidRPr="007D4094">
        <w:t>).</w:t>
      </w:r>
    </w:p>
    <w:p w14:paraId="2B88FE6D" w14:textId="4024950F" w:rsidR="00BC6725" w:rsidRPr="007D4094" w:rsidRDefault="00BC6725" w:rsidP="0035404D">
      <w:pPr>
        <w:pStyle w:val="H23G"/>
      </w:pPr>
      <w:r w:rsidRPr="007D4094">
        <w:lastRenderedPageBreak/>
        <w:tab/>
      </w:r>
      <w:r w:rsidR="00957FB1">
        <w:t>7.</w:t>
      </w:r>
      <w:r w:rsidR="00957FB1">
        <w:tab/>
      </w:r>
      <w:r>
        <w:t>Environmentally hazardous paints and printing inks</w:t>
      </w:r>
    </w:p>
    <w:p w14:paraId="41955F68" w14:textId="77777777" w:rsidR="00BC6725" w:rsidRDefault="00BC6725" w:rsidP="0035404D">
      <w:pPr>
        <w:pStyle w:val="SingleTxtG"/>
        <w:keepNext/>
        <w:keepLines/>
        <w:tabs>
          <w:tab w:val="left" w:pos="3119"/>
        </w:tabs>
        <w:jc w:val="left"/>
      </w:pPr>
      <w:r w:rsidRPr="007D4094">
        <w:rPr>
          <w:i/>
          <w:iCs/>
        </w:rPr>
        <w:t>Informal document:</w:t>
      </w:r>
      <w:r w:rsidRPr="007D4094">
        <w:tab/>
        <w:t>INF.</w:t>
      </w:r>
      <w:r>
        <w:t>17</w:t>
      </w:r>
      <w:r w:rsidRPr="007D4094">
        <w:t xml:space="preserve"> (</w:t>
      </w:r>
      <w:r>
        <w:t>CEPE</w:t>
      </w:r>
      <w:r w:rsidRPr="007D4094">
        <w:t>)</w:t>
      </w:r>
    </w:p>
    <w:p w14:paraId="1A7A0162" w14:textId="1CE9F9B7" w:rsidR="00BC6725" w:rsidRPr="007D4094" w:rsidRDefault="00511AF9" w:rsidP="0035404D">
      <w:pPr>
        <w:pStyle w:val="SingleTxtG"/>
        <w:keepNext/>
        <w:keepLines/>
      </w:pPr>
      <w:r>
        <w:t>3</w:t>
      </w:r>
      <w:r w:rsidR="0032630C">
        <w:t>6</w:t>
      </w:r>
      <w:r w:rsidR="00BC6725" w:rsidRPr="007D4094">
        <w:t>.</w:t>
      </w:r>
      <w:r w:rsidR="00BC6725" w:rsidRPr="007D4094">
        <w:tab/>
      </w:r>
      <w:r w:rsidR="00BC6725">
        <w:t xml:space="preserve">Several delegates raised concern that not all materials covered by UN 3082 should be exempted and that the scope should be focussed. Furthermore, it was noted that, instead of the insertion of </w:t>
      </w:r>
      <w:r w:rsidR="009F4833">
        <w:t xml:space="preserve">a </w:t>
      </w:r>
      <w:r w:rsidR="00BC6725">
        <w:t xml:space="preserve">transitional provision, a multilateral agreement could also resolve the issue. Delegates were invited to send their written comments to the representative of CEPE who volunteered to prepare a revised proposal for consideration as an official document at the next session, </w:t>
      </w:r>
      <w:proofErr w:type="gramStart"/>
      <w:r w:rsidR="00BC6725">
        <w:t>taking into account</w:t>
      </w:r>
      <w:proofErr w:type="gramEnd"/>
      <w:r w:rsidR="00BC6725">
        <w:t xml:space="preserve"> the comments received</w:t>
      </w:r>
      <w:r w:rsidR="00BC6725" w:rsidRPr="007D4094">
        <w:t>.</w:t>
      </w:r>
    </w:p>
    <w:p w14:paraId="0904BAFA" w14:textId="2A1E083B" w:rsidR="000509AE" w:rsidRPr="007D4094" w:rsidRDefault="000509AE" w:rsidP="000509AE">
      <w:pPr>
        <w:pStyle w:val="H23G"/>
      </w:pPr>
      <w:r>
        <w:tab/>
      </w:r>
      <w:r w:rsidR="00957FB1">
        <w:t>8.</w:t>
      </w:r>
      <w:r w:rsidR="00957FB1">
        <w:tab/>
      </w:r>
      <w:r w:rsidRPr="007D4094">
        <w:t>Container/vehicle packing certificate</w:t>
      </w:r>
    </w:p>
    <w:p w14:paraId="1585C8D0" w14:textId="77777777" w:rsidR="000509AE" w:rsidRPr="007D4094" w:rsidRDefault="000509AE" w:rsidP="000509AE">
      <w:pPr>
        <w:pStyle w:val="SingleTxtG"/>
        <w:tabs>
          <w:tab w:val="left" w:pos="3119"/>
        </w:tabs>
      </w:pPr>
      <w:r w:rsidRPr="007D4094">
        <w:rPr>
          <w:i/>
          <w:iCs/>
        </w:rPr>
        <w:t>Document</w:t>
      </w:r>
      <w:r w:rsidRPr="007D4094">
        <w:t>:</w:t>
      </w:r>
      <w:r w:rsidRPr="007D4094">
        <w:tab/>
        <w:t>ECE/TRANS/WP.15/AC.1/2021/22 (Netherlands)</w:t>
      </w:r>
    </w:p>
    <w:p w14:paraId="48758BAF" w14:textId="77777777" w:rsidR="000509AE" w:rsidRDefault="000509AE" w:rsidP="000509AE">
      <w:pPr>
        <w:pStyle w:val="SingleTxtG"/>
        <w:tabs>
          <w:tab w:val="left" w:pos="3119"/>
        </w:tabs>
        <w:jc w:val="left"/>
      </w:pPr>
      <w:r w:rsidRPr="007D4094">
        <w:rPr>
          <w:i/>
          <w:iCs/>
        </w:rPr>
        <w:t>Informal document:</w:t>
      </w:r>
      <w:r w:rsidRPr="007D4094">
        <w:tab/>
        <w:t>INF.</w:t>
      </w:r>
      <w:r>
        <w:t>40</w:t>
      </w:r>
      <w:r w:rsidRPr="007D4094">
        <w:t xml:space="preserve"> (</w:t>
      </w:r>
      <w:r>
        <w:t>Netherlands</w:t>
      </w:r>
      <w:r w:rsidRPr="007D4094">
        <w:t>)</w:t>
      </w:r>
    </w:p>
    <w:p w14:paraId="607C9449" w14:textId="284985C0" w:rsidR="000509AE" w:rsidRPr="007D4094" w:rsidRDefault="00511AF9" w:rsidP="000509AE">
      <w:pPr>
        <w:pStyle w:val="SingleTxtG"/>
      </w:pPr>
      <w:r>
        <w:t>3</w:t>
      </w:r>
      <w:r w:rsidR="0032630C">
        <w:t>7</w:t>
      </w:r>
      <w:r w:rsidR="000509AE" w:rsidRPr="007D4094">
        <w:t>.</w:t>
      </w:r>
      <w:r w:rsidR="000509AE" w:rsidRPr="007D4094">
        <w:tab/>
        <w:t xml:space="preserve">The Joint Meeting </w:t>
      </w:r>
      <w:r w:rsidR="000509AE">
        <w:t xml:space="preserve">considered the options </w:t>
      </w:r>
      <w:r w:rsidR="000509AE" w:rsidRPr="007D4094">
        <w:t xml:space="preserve">in ECE/TRANS/WP.15/AC.1/2021/22 </w:t>
      </w:r>
      <w:r w:rsidR="000509AE">
        <w:t xml:space="preserve">and </w:t>
      </w:r>
      <w:r w:rsidR="000509AE" w:rsidRPr="007D4094">
        <w:t xml:space="preserve">adopted the amendments </w:t>
      </w:r>
      <w:r w:rsidR="000509AE">
        <w:t xml:space="preserve">to RID/ADR/ADN 5.4.2 and ADR/ADN 8.1.2.1 as proposed in informal document INF.40 </w:t>
      </w:r>
      <w:r w:rsidR="000509AE" w:rsidRPr="007D4094">
        <w:t xml:space="preserve">(see annex </w:t>
      </w:r>
      <w:r w:rsidR="00316565">
        <w:t>II</w:t>
      </w:r>
      <w:r w:rsidR="000509AE" w:rsidRPr="007D4094">
        <w:t>).</w:t>
      </w:r>
    </w:p>
    <w:p w14:paraId="03A90B59" w14:textId="5D2E89D6" w:rsidR="00352A7F" w:rsidRPr="007D4094" w:rsidRDefault="00352A7F" w:rsidP="00352A7F">
      <w:pPr>
        <w:pStyle w:val="H23G"/>
      </w:pPr>
      <w:r>
        <w:tab/>
      </w:r>
      <w:r w:rsidR="00957FB1">
        <w:t>9.</w:t>
      </w:r>
      <w:r w:rsidR="00957FB1">
        <w:tab/>
      </w:r>
      <w:r>
        <w:t>Terms of reference for the informal working group on "e-learning"</w:t>
      </w:r>
    </w:p>
    <w:p w14:paraId="07250C09" w14:textId="77777777" w:rsidR="00352A7F" w:rsidRDefault="00352A7F" w:rsidP="00352A7F">
      <w:pPr>
        <w:pStyle w:val="SingleTxtG"/>
        <w:tabs>
          <w:tab w:val="left" w:pos="3119"/>
        </w:tabs>
        <w:jc w:val="left"/>
      </w:pPr>
      <w:r w:rsidRPr="007D4094">
        <w:rPr>
          <w:i/>
          <w:iCs/>
        </w:rPr>
        <w:t>Informal document:</w:t>
      </w:r>
      <w:r w:rsidRPr="007D4094">
        <w:tab/>
        <w:t>INF.</w:t>
      </w:r>
      <w:r>
        <w:t>19</w:t>
      </w:r>
      <w:r w:rsidRPr="007D4094">
        <w:t xml:space="preserve"> (</w:t>
      </w:r>
      <w:r>
        <w:t>IRU</w:t>
      </w:r>
      <w:r w:rsidRPr="007D4094">
        <w:t>)</w:t>
      </w:r>
    </w:p>
    <w:p w14:paraId="334B5950" w14:textId="48C9D96B" w:rsidR="00352A7F" w:rsidRPr="007D4094" w:rsidRDefault="00511AF9" w:rsidP="00352A7F">
      <w:pPr>
        <w:pStyle w:val="SingleTxtG"/>
      </w:pPr>
      <w:r>
        <w:t>3</w:t>
      </w:r>
      <w:r w:rsidR="0032630C">
        <w:t>8</w:t>
      </w:r>
      <w:r w:rsidR="00352A7F" w:rsidRPr="007D4094">
        <w:t>.</w:t>
      </w:r>
      <w:r w:rsidR="00352A7F" w:rsidRPr="007D4094">
        <w:tab/>
      </w:r>
      <w:r w:rsidR="00352A7F">
        <w:t xml:space="preserve">The </w:t>
      </w:r>
      <w:r w:rsidR="00352A7F" w:rsidRPr="007D4094">
        <w:t xml:space="preserve">Joint Meeting </w:t>
      </w:r>
      <w:r w:rsidR="00352A7F">
        <w:t>agreed on the importance to consider the possibility of e-learning under the circumstances of the pandemic measures and to develop appropriate guidelines</w:t>
      </w:r>
      <w:r w:rsidR="00352A7F" w:rsidRPr="007D4094">
        <w:t>.</w:t>
      </w:r>
      <w:r w:rsidR="00352A7F">
        <w:t xml:space="preserve"> On the proposed terms of reference, t</w:t>
      </w:r>
      <w:r w:rsidR="00352A7F" w:rsidRPr="007D4094">
        <w:t xml:space="preserve">he </w:t>
      </w:r>
      <w:r w:rsidR="00352A7F">
        <w:t xml:space="preserve">representative of Germany preferred to be more concise and recalled in that respect the outcome of the discussion of the 2019 </w:t>
      </w:r>
      <w:r w:rsidR="00822E29">
        <w:t>s</w:t>
      </w:r>
      <w:r w:rsidR="00352A7F">
        <w:t>pring session (see report ECE/TRANS/WP.15/AC.1/154, para. 33). Interested delegates were invited to notify their interest in participating in the informal working group to</w:t>
      </w:r>
      <w:r w:rsidR="009F4833">
        <w:t xml:space="preserve"> the</w:t>
      </w:r>
      <w:r w:rsidR="00352A7F">
        <w:t xml:space="preserve"> representative of IRU (</w:t>
      </w:r>
      <w:hyperlink r:id="rId13" w:history="1">
        <w:r w:rsidR="00352A7F" w:rsidRPr="00AD0936">
          <w:rPr>
            <w:rStyle w:val="Lienhypertexte"/>
          </w:rPr>
          <w:t>aldo.celasco@iru.org</w:t>
        </w:r>
      </w:hyperlink>
      <w:r w:rsidR="00352A7F">
        <w:t>), who volunteered to organize the kick-off meeting of the informal working group to further develop the draft terms of reference presented in informal document INF.19 and to revert them back to the next session of the Joint Meeting for final adoption.</w:t>
      </w:r>
    </w:p>
    <w:p w14:paraId="6CAE13B3" w14:textId="051E6034" w:rsidR="00352A7F" w:rsidRPr="007D4094" w:rsidRDefault="00352A7F" w:rsidP="00352A7F">
      <w:pPr>
        <w:pStyle w:val="H23G"/>
      </w:pPr>
      <w:r w:rsidRPr="007D4094">
        <w:tab/>
      </w:r>
      <w:r w:rsidR="00777C52">
        <w:t>10.</w:t>
      </w:r>
      <w:r w:rsidRPr="007D4094">
        <w:tab/>
      </w:r>
      <w:r>
        <w:t xml:space="preserve">Classification of UN 1010, mixtures of </w:t>
      </w:r>
      <w:proofErr w:type="spellStart"/>
      <w:r>
        <w:t>butadienes</w:t>
      </w:r>
      <w:proofErr w:type="spellEnd"/>
      <w:r>
        <w:t xml:space="preserve"> and hydrocarbons</w:t>
      </w:r>
    </w:p>
    <w:p w14:paraId="6D36985C" w14:textId="77777777" w:rsidR="00352A7F" w:rsidRDefault="00352A7F" w:rsidP="00352A7F">
      <w:pPr>
        <w:pStyle w:val="SingleTxtG"/>
        <w:tabs>
          <w:tab w:val="left" w:pos="3119"/>
        </w:tabs>
        <w:jc w:val="left"/>
      </w:pPr>
      <w:r w:rsidRPr="007D4094">
        <w:rPr>
          <w:i/>
          <w:iCs/>
        </w:rPr>
        <w:t>Informal document:</w:t>
      </w:r>
      <w:r w:rsidRPr="007D4094">
        <w:tab/>
        <w:t>INF.</w:t>
      </w:r>
      <w:r>
        <w:t>36</w:t>
      </w:r>
      <w:r w:rsidRPr="007D4094">
        <w:t xml:space="preserve"> (</w:t>
      </w:r>
      <w:r>
        <w:t>Cefic</w:t>
      </w:r>
      <w:r w:rsidRPr="007D4094">
        <w:t>)</w:t>
      </w:r>
    </w:p>
    <w:p w14:paraId="627FF5A2" w14:textId="0D6C92AB" w:rsidR="00352A7F" w:rsidRPr="007D4094" w:rsidRDefault="0032630C" w:rsidP="00352A7F">
      <w:pPr>
        <w:pStyle w:val="SingleTxtG"/>
      </w:pPr>
      <w:r>
        <w:t>39</w:t>
      </w:r>
      <w:r w:rsidR="00352A7F" w:rsidRPr="007D4094">
        <w:t>.</w:t>
      </w:r>
      <w:r w:rsidR="00352A7F" w:rsidRPr="007D4094">
        <w:tab/>
      </w:r>
      <w:r w:rsidR="00352A7F">
        <w:t xml:space="preserve">On the options proposed by Cefic, the </w:t>
      </w:r>
      <w:r w:rsidR="00352A7F" w:rsidRPr="007D4094">
        <w:t xml:space="preserve">Joint Meeting </w:t>
      </w:r>
      <w:r w:rsidR="00BD0F3B">
        <w:t xml:space="preserve">at this moment </w:t>
      </w:r>
      <w:r w:rsidR="00352A7F">
        <w:t xml:space="preserve">could not support the option to </w:t>
      </w:r>
      <w:proofErr w:type="gramStart"/>
      <w:r w:rsidR="00352A7F">
        <w:t>revert back</w:t>
      </w:r>
      <w:proofErr w:type="gramEnd"/>
      <w:r w:rsidR="00352A7F">
        <w:t xml:space="preserve"> to the previous entry for UN 1010</w:t>
      </w:r>
      <w:r w:rsidR="00CA075B">
        <w:t>.</w:t>
      </w:r>
      <w:r w:rsidR="00352A7F">
        <w:t xml:space="preserve"> </w:t>
      </w:r>
      <w:r w:rsidR="00CA075B">
        <w:t xml:space="preserve">It was </w:t>
      </w:r>
      <w:r w:rsidR="00352A7F">
        <w:t xml:space="preserve">recommended </w:t>
      </w:r>
      <w:r w:rsidR="00CA075B">
        <w:t xml:space="preserve">that </w:t>
      </w:r>
      <w:r w:rsidR="00352A7F">
        <w:t xml:space="preserve">Cefic </w:t>
      </w:r>
      <w:r w:rsidR="00715653">
        <w:t xml:space="preserve">assist in </w:t>
      </w:r>
      <w:r w:rsidR="00352A7F">
        <w:t>prepar</w:t>
      </w:r>
      <w:r w:rsidR="00715653">
        <w:t>ing</w:t>
      </w:r>
      <w:r w:rsidR="00352A7F">
        <w:t xml:space="preserve"> a multilateral agreement for RID/ADR/ADN, if possible, for consideration by the Working Party on the Transport of Dangerous Goods (WP.15) and </w:t>
      </w:r>
      <w:r w:rsidR="00C40873">
        <w:t xml:space="preserve">the Joint Meeting </w:t>
      </w:r>
      <w:r w:rsidR="00B36632">
        <w:t xml:space="preserve">at their forthcoming sessions. It was also recommended </w:t>
      </w:r>
      <w:r w:rsidR="00FE38B9">
        <w:t xml:space="preserve">that </w:t>
      </w:r>
      <w:r w:rsidR="00320E8F">
        <w:t xml:space="preserve">the representative of </w:t>
      </w:r>
      <w:r w:rsidR="00FE38B9">
        <w:t>Cefic</w:t>
      </w:r>
      <w:r w:rsidR="00197E5E">
        <w:t xml:space="preserve"> submit a new proposal to</w:t>
      </w:r>
      <w:r w:rsidR="00352A7F">
        <w:t xml:space="preserve"> the Sub-Committee on the Transport of Dangerous Goods </w:t>
      </w:r>
      <w:r w:rsidR="00197E5E">
        <w:t>in</w:t>
      </w:r>
      <w:r w:rsidR="00352A7F">
        <w:t xml:space="preserve"> June.</w:t>
      </w:r>
    </w:p>
    <w:p w14:paraId="7AFE0A00" w14:textId="713A1E02" w:rsidR="005E3A80" w:rsidRPr="007D4094" w:rsidRDefault="005E3A80" w:rsidP="005E3A80">
      <w:pPr>
        <w:pStyle w:val="HChG"/>
      </w:pPr>
      <w:r>
        <w:tab/>
        <w:t>VIII</w:t>
      </w:r>
      <w:r w:rsidRPr="007D4094">
        <w:t>.</w:t>
      </w:r>
      <w:r w:rsidRPr="007D4094">
        <w:tab/>
      </w:r>
      <w:r>
        <w:t>Reports of informal working groups</w:t>
      </w:r>
      <w:r w:rsidRPr="007D4094">
        <w:t xml:space="preserve"> (agenda item </w:t>
      </w:r>
      <w:r>
        <w:t>6</w:t>
      </w:r>
      <w:r w:rsidRPr="007D4094">
        <w:t>)</w:t>
      </w:r>
    </w:p>
    <w:p w14:paraId="7ED2A259" w14:textId="77777777" w:rsidR="005E3A80" w:rsidRPr="007D4094" w:rsidRDefault="005E3A80" w:rsidP="005E3A80">
      <w:pPr>
        <w:pStyle w:val="H1G"/>
      </w:pPr>
      <w:r w:rsidRPr="007D4094">
        <w:tab/>
      </w:r>
      <w:r w:rsidRPr="007D4094">
        <w:tab/>
      </w:r>
      <w:r>
        <w:t>Information on the quantity transported in the transport document</w:t>
      </w:r>
    </w:p>
    <w:p w14:paraId="71AB3660" w14:textId="77777777" w:rsidR="005E3A80" w:rsidRPr="007D4094" w:rsidRDefault="005E3A80" w:rsidP="005E3A80">
      <w:pPr>
        <w:pStyle w:val="SingleTxtG"/>
        <w:tabs>
          <w:tab w:val="left" w:pos="3119"/>
        </w:tabs>
      </w:pPr>
      <w:r w:rsidRPr="007D4094">
        <w:rPr>
          <w:i/>
          <w:iCs/>
        </w:rPr>
        <w:t>Document</w:t>
      </w:r>
      <w:r w:rsidRPr="007D4094">
        <w:t>:</w:t>
      </w:r>
      <w:r w:rsidRPr="007D4094">
        <w:tab/>
        <w:t>ECE/TRANS/WP.15/AC.1/2021/</w:t>
      </w:r>
      <w:r>
        <w:t>18</w:t>
      </w:r>
      <w:r w:rsidRPr="007D4094">
        <w:t xml:space="preserve"> (</w:t>
      </w:r>
      <w:r>
        <w:t>FEAD</w:t>
      </w:r>
      <w:r w:rsidRPr="007D4094">
        <w:t>)</w:t>
      </w:r>
    </w:p>
    <w:p w14:paraId="5051FF6E" w14:textId="77777777" w:rsidR="005E3A80" w:rsidRDefault="005E3A80" w:rsidP="005E3A80">
      <w:pPr>
        <w:pStyle w:val="SingleTxtG"/>
        <w:tabs>
          <w:tab w:val="left" w:pos="3119"/>
        </w:tabs>
        <w:jc w:val="left"/>
      </w:pPr>
      <w:r w:rsidRPr="007D4094">
        <w:rPr>
          <w:i/>
          <w:iCs/>
        </w:rPr>
        <w:t>Informal document</w:t>
      </w:r>
      <w:r>
        <w:rPr>
          <w:i/>
          <w:iCs/>
        </w:rPr>
        <w:t>s</w:t>
      </w:r>
      <w:r w:rsidRPr="007D4094">
        <w:rPr>
          <w:i/>
          <w:iCs/>
        </w:rPr>
        <w:t>:</w:t>
      </w:r>
      <w:r w:rsidRPr="007D4094">
        <w:tab/>
        <w:t>INF.</w:t>
      </w:r>
      <w:r>
        <w:t>26</w:t>
      </w:r>
      <w:r w:rsidRPr="007D4094">
        <w:t xml:space="preserve"> (</w:t>
      </w:r>
      <w:r>
        <w:t>Spain)</w:t>
      </w:r>
      <w:r>
        <w:br/>
      </w:r>
      <w:r>
        <w:tab/>
        <w:t>INF.27 and 42 (FEAD)</w:t>
      </w:r>
    </w:p>
    <w:p w14:paraId="74C0F0DB" w14:textId="4A2DD3F3" w:rsidR="005E3A80" w:rsidRDefault="00511AF9" w:rsidP="005E3A80">
      <w:pPr>
        <w:pStyle w:val="SingleTxtG"/>
      </w:pPr>
      <w:r>
        <w:t>4</w:t>
      </w:r>
      <w:r w:rsidR="0032630C">
        <w:t>0</w:t>
      </w:r>
      <w:r w:rsidR="005E3A80" w:rsidRPr="007D4094">
        <w:t>.</w:t>
      </w:r>
      <w:r w:rsidR="005E3A80" w:rsidRPr="007D4094">
        <w:tab/>
      </w:r>
      <w:r w:rsidR="005E3A80">
        <w:t>On both options suggested by FEAD, t</w:t>
      </w:r>
      <w:r w:rsidR="005E3A80" w:rsidRPr="007D4094">
        <w:t xml:space="preserve">he Joint Meeting </w:t>
      </w:r>
      <w:r w:rsidR="005E3A80">
        <w:t xml:space="preserve">preferred to go forward with option B and adopted the amendments proposed in informal document INF.42 with an additional modification in square brackets to be further discussed at the next session (see annex </w:t>
      </w:r>
      <w:r w:rsidR="009C61C7">
        <w:t>II</w:t>
      </w:r>
      <w:r w:rsidR="005E3A80">
        <w:t>).</w:t>
      </w:r>
    </w:p>
    <w:p w14:paraId="0E2F1265" w14:textId="20B43B0E" w:rsidR="006C04E4" w:rsidRDefault="006C04E4" w:rsidP="006C04E4">
      <w:pPr>
        <w:pStyle w:val="HChG"/>
      </w:pPr>
      <w:r>
        <w:lastRenderedPageBreak/>
        <w:tab/>
        <w:t>IX.</w:t>
      </w:r>
      <w:r>
        <w:tab/>
        <w:t>Accident and risk management (agenda item 7)</w:t>
      </w:r>
    </w:p>
    <w:p w14:paraId="3EE16962" w14:textId="4C85C76C" w:rsidR="006C04E4" w:rsidRDefault="006C04E4" w:rsidP="006C04E4">
      <w:pPr>
        <w:pStyle w:val="SingleTxtG"/>
      </w:pPr>
      <w:r>
        <w:t>4</w:t>
      </w:r>
      <w:r w:rsidR="0032630C">
        <w:t>1</w:t>
      </w:r>
      <w:r>
        <w:t>.</w:t>
      </w:r>
      <w:r>
        <w:tab/>
      </w:r>
      <w:r>
        <w:rPr>
          <w:rStyle w:val="normaltextrun"/>
          <w:color w:val="000000"/>
          <w:shd w:val="clear" w:color="auto" w:fill="FFFFFF"/>
        </w:rPr>
        <w:t>As no document had been submitted under this agenda, no discussion took place on this subject</w:t>
      </w:r>
      <w:r>
        <w:t>.</w:t>
      </w:r>
    </w:p>
    <w:p w14:paraId="3A59310B" w14:textId="2D6D1CA5" w:rsidR="006D5659" w:rsidRDefault="006D5659" w:rsidP="006D5659">
      <w:pPr>
        <w:pStyle w:val="HChG"/>
      </w:pPr>
      <w:r>
        <w:tab/>
        <w:t>X.</w:t>
      </w:r>
      <w:r>
        <w:tab/>
        <w:t>Future work (agenda item 8)</w:t>
      </w:r>
    </w:p>
    <w:p w14:paraId="0ABB566E" w14:textId="172AFFF7" w:rsidR="006D5659" w:rsidRDefault="006D5659" w:rsidP="006D5659">
      <w:pPr>
        <w:pStyle w:val="SingleTxtG"/>
      </w:pPr>
      <w:r>
        <w:t>4</w:t>
      </w:r>
      <w:r w:rsidR="0032630C">
        <w:t>2</w:t>
      </w:r>
      <w:r>
        <w:t>.</w:t>
      </w:r>
      <w:r>
        <w:tab/>
        <w:t>The Joint Meeting noted that the forthcoming session of the Ad hoc Working Group on the Harmonization of RID/ADR/ADN with the United Nations Recommendations on the Transport of Dangerous Goods would be held remotely from 21 to 23 April 2021 and that the agenda would be published soon.</w:t>
      </w:r>
    </w:p>
    <w:p w14:paraId="4FEF6EDC" w14:textId="0C761EE3" w:rsidR="006D5659" w:rsidRDefault="006D5659" w:rsidP="006D5659">
      <w:pPr>
        <w:pStyle w:val="SingleTxtG"/>
      </w:pPr>
      <w:r>
        <w:t>4</w:t>
      </w:r>
      <w:r w:rsidR="0032630C">
        <w:t>3</w:t>
      </w:r>
      <w:r>
        <w:t>.</w:t>
      </w:r>
      <w:r>
        <w:tab/>
        <w:t xml:space="preserve">The Joint Meeting was informed that the London informal working group would meet again virtually on 8 and 9 June 2021 to resume discussion on remaining open issues. Interested delegates were invited to send </w:t>
      </w:r>
      <w:r w:rsidR="00724BC3">
        <w:t xml:space="preserve">before </w:t>
      </w:r>
      <w:r w:rsidR="00030CB0">
        <w:t>17 May</w:t>
      </w:r>
      <w:r>
        <w:t xml:space="preserve"> their written comments to the </w:t>
      </w:r>
      <w:r w:rsidR="00030CB0">
        <w:t xml:space="preserve">Chair </w:t>
      </w:r>
      <w:r>
        <w:t>of the group (</w:t>
      </w:r>
      <w:hyperlink r:id="rId14" w:history="1">
        <w:r>
          <w:rPr>
            <w:rStyle w:val="Lienhypertexte"/>
          </w:rPr>
          <w:t>steve.gillingham@dft.gov.uk</w:t>
        </w:r>
      </w:hyperlink>
      <w:r>
        <w:rPr>
          <w:rStyle w:val="Lienhypertexte"/>
        </w:rPr>
        <w:t>)</w:t>
      </w:r>
      <w:r>
        <w:t xml:space="preserve"> to collate and distribute them to </w:t>
      </w:r>
      <w:r w:rsidR="00030CB0">
        <w:t xml:space="preserve">the </w:t>
      </w:r>
      <w:r>
        <w:t xml:space="preserve">members of </w:t>
      </w:r>
      <w:r w:rsidR="00AD2A57">
        <w:t xml:space="preserve">the </w:t>
      </w:r>
      <w:r>
        <w:t>group ahead of the meeting.</w:t>
      </w:r>
    </w:p>
    <w:p w14:paraId="2F7CD0E7" w14:textId="4AB54706" w:rsidR="006D5659" w:rsidRDefault="006D5659" w:rsidP="006D5659">
      <w:pPr>
        <w:pStyle w:val="SingleTxtG"/>
      </w:pPr>
      <w:r>
        <w:t>4</w:t>
      </w:r>
      <w:r w:rsidR="0032630C">
        <w:t>4</w:t>
      </w:r>
      <w:r>
        <w:t>.</w:t>
      </w:r>
      <w:r>
        <w:tab/>
        <w:t>The Joint Meeting also noted that its autumn session would be held in Geneva from 21 September to 1 October 2021 and that the deadline for submission of official documents was 28 June 2021.</w:t>
      </w:r>
    </w:p>
    <w:p w14:paraId="28E4EFDB" w14:textId="77777777" w:rsidR="005E3A80" w:rsidRPr="007D4094" w:rsidRDefault="005E3A80" w:rsidP="005E3A80">
      <w:pPr>
        <w:pStyle w:val="HChG"/>
      </w:pPr>
      <w:r w:rsidRPr="007D4094">
        <w:tab/>
      </w:r>
      <w:r>
        <w:t>XI</w:t>
      </w:r>
      <w:r w:rsidRPr="007D4094">
        <w:t>.</w:t>
      </w:r>
      <w:r w:rsidRPr="007D4094">
        <w:tab/>
      </w:r>
      <w:r>
        <w:t>Any other business</w:t>
      </w:r>
      <w:r w:rsidRPr="007D4094">
        <w:t xml:space="preserve"> (agenda item </w:t>
      </w:r>
      <w:r>
        <w:t>9</w:t>
      </w:r>
      <w:r w:rsidRPr="007D4094">
        <w:t>)</w:t>
      </w:r>
    </w:p>
    <w:p w14:paraId="71D2666B" w14:textId="77777777" w:rsidR="005E3A80" w:rsidRPr="007D4094" w:rsidRDefault="005E3A80" w:rsidP="005E3A80">
      <w:pPr>
        <w:pStyle w:val="H1G"/>
      </w:pPr>
      <w:r w:rsidRPr="007D4094">
        <w:tab/>
      </w:r>
      <w:r>
        <w:t>A</w:t>
      </w:r>
      <w:r w:rsidRPr="007D4094">
        <w:t>.</w:t>
      </w:r>
      <w:r w:rsidRPr="007D4094">
        <w:tab/>
      </w:r>
      <w:r>
        <w:t>Request for consultative status by the European Recycling Industries' Confederation (EuRIC)</w:t>
      </w:r>
    </w:p>
    <w:p w14:paraId="2FB00A1D" w14:textId="77777777" w:rsidR="005E3A80" w:rsidRDefault="005E3A80" w:rsidP="005E3A80">
      <w:pPr>
        <w:pStyle w:val="SingleTxtG"/>
        <w:tabs>
          <w:tab w:val="left" w:pos="3119"/>
        </w:tabs>
        <w:jc w:val="left"/>
      </w:pPr>
      <w:r w:rsidRPr="007D4094">
        <w:rPr>
          <w:i/>
          <w:iCs/>
        </w:rPr>
        <w:t>Informal document:</w:t>
      </w:r>
      <w:r w:rsidRPr="007D4094">
        <w:tab/>
        <w:t>INF.</w:t>
      </w:r>
      <w:r>
        <w:t>3</w:t>
      </w:r>
      <w:r w:rsidRPr="007D4094">
        <w:t xml:space="preserve"> (</w:t>
      </w:r>
      <w:r>
        <w:t>EuRIC</w:t>
      </w:r>
      <w:r w:rsidRPr="007D4094">
        <w:t>)</w:t>
      </w:r>
      <w:r>
        <w:t xml:space="preserve"> of the Autumn 2020 Joint Meeting</w:t>
      </w:r>
    </w:p>
    <w:p w14:paraId="0F80BC1A" w14:textId="6E944446" w:rsidR="005E3A80" w:rsidRPr="007D4094" w:rsidRDefault="00511AF9" w:rsidP="005E3A80">
      <w:pPr>
        <w:pStyle w:val="SingleTxtG"/>
      </w:pPr>
      <w:r>
        <w:t>4</w:t>
      </w:r>
      <w:r w:rsidR="0032630C">
        <w:t>5</w:t>
      </w:r>
      <w:r w:rsidR="005E3A80" w:rsidRPr="007D4094">
        <w:t>.</w:t>
      </w:r>
      <w:r w:rsidR="005E3A80" w:rsidRPr="007D4094">
        <w:tab/>
        <w:t xml:space="preserve">The Joint Meeting </w:t>
      </w:r>
      <w:r w:rsidR="005E3A80">
        <w:t>considered the request for consultative status and agreed to invite the representative of EuRIC to participate in the next session. The secretariat was requested to prepare informal document INF.3 as an official document.</w:t>
      </w:r>
    </w:p>
    <w:p w14:paraId="58BCE272" w14:textId="77777777" w:rsidR="005E3A80" w:rsidRPr="007D4094" w:rsidRDefault="005E3A80" w:rsidP="005E3A80">
      <w:pPr>
        <w:pStyle w:val="H1G"/>
      </w:pPr>
      <w:r w:rsidRPr="007D4094">
        <w:tab/>
      </w:r>
      <w:r>
        <w:t>B</w:t>
      </w:r>
      <w:r w:rsidRPr="007D4094">
        <w:t>.</w:t>
      </w:r>
      <w:r w:rsidRPr="007D4094">
        <w:tab/>
      </w:r>
      <w:r>
        <w:t xml:space="preserve">Guidelines for the use of 5.4.0.2 in RID/ADR/ADN – Use of the data model in the context of the </w:t>
      </w:r>
      <w:proofErr w:type="spellStart"/>
      <w:r>
        <w:t>eFTI</w:t>
      </w:r>
      <w:proofErr w:type="spellEnd"/>
      <w:r>
        <w:t xml:space="preserve"> Regulation</w:t>
      </w:r>
    </w:p>
    <w:p w14:paraId="614827AC" w14:textId="77777777" w:rsidR="005E3A80" w:rsidRDefault="005E3A80" w:rsidP="005E3A80">
      <w:pPr>
        <w:pStyle w:val="SingleTxtG"/>
        <w:tabs>
          <w:tab w:val="left" w:pos="3119"/>
        </w:tabs>
        <w:jc w:val="left"/>
      </w:pPr>
      <w:r w:rsidRPr="007D4094">
        <w:rPr>
          <w:i/>
          <w:iCs/>
        </w:rPr>
        <w:t>Informal document:</w:t>
      </w:r>
      <w:r w:rsidRPr="007D4094">
        <w:tab/>
        <w:t>INF.</w:t>
      </w:r>
      <w:r>
        <w:t>6</w:t>
      </w:r>
      <w:r w:rsidRPr="007D4094">
        <w:t xml:space="preserve"> (</w:t>
      </w:r>
      <w:r>
        <w:t>France and Germany</w:t>
      </w:r>
      <w:r w:rsidRPr="007D4094">
        <w:t>)</w:t>
      </w:r>
    </w:p>
    <w:p w14:paraId="2826DFC8" w14:textId="7088EBAC" w:rsidR="005E3A80" w:rsidRDefault="00511AF9" w:rsidP="005E3A80">
      <w:pPr>
        <w:pStyle w:val="SingleTxtG"/>
      </w:pPr>
      <w:r>
        <w:t>4</w:t>
      </w:r>
      <w:r w:rsidR="0032630C">
        <w:t>6</w:t>
      </w:r>
      <w:r w:rsidR="005E3A80" w:rsidRPr="007D4094">
        <w:t>.</w:t>
      </w:r>
      <w:r w:rsidR="005E3A80" w:rsidRPr="007D4094">
        <w:tab/>
        <w:t xml:space="preserve">The </w:t>
      </w:r>
      <w:r w:rsidR="005E3A80">
        <w:t xml:space="preserve">representative of Germany informed the </w:t>
      </w:r>
      <w:r w:rsidR="005E3A80" w:rsidRPr="007D4094">
        <w:t xml:space="preserve">Joint Meeting </w:t>
      </w:r>
      <w:r w:rsidR="005E3A80">
        <w:t>on the current status of the working group on telematics for the transport of dangerous goods and the ongoing activities within the European Union on the implementation process of the Regulation (EU) 2020/1056 on electronic Freight Transport Information (</w:t>
      </w:r>
      <w:proofErr w:type="spellStart"/>
      <w:r w:rsidR="005E3A80">
        <w:t>eFTI</w:t>
      </w:r>
      <w:proofErr w:type="spellEnd"/>
      <w:r w:rsidR="005E3A80">
        <w:t xml:space="preserve">). It was noted that expert groups have been established </w:t>
      </w:r>
      <w:r w:rsidR="00E90077">
        <w:t>under the Digital Transport and Logistics Forum (DTLF)</w:t>
      </w:r>
      <w:r w:rsidR="003B78A6" w:rsidRPr="003B78A6">
        <w:t xml:space="preserve"> </w:t>
      </w:r>
      <w:r w:rsidR="003B78A6">
        <w:t xml:space="preserve">to ensure good coordination </w:t>
      </w:r>
      <w:r w:rsidR="005E3A80">
        <w:t>at technical and political levels. The UNECE secretariat confirmed to be already in contact with the UN/CEFACT secretariat to coordinate the subject.</w:t>
      </w:r>
    </w:p>
    <w:p w14:paraId="7663BD84" w14:textId="7DC65818" w:rsidR="005E3A80" w:rsidRDefault="00511AF9" w:rsidP="005E3A80">
      <w:pPr>
        <w:pStyle w:val="SingleTxtG"/>
      </w:pPr>
      <w:r>
        <w:t>4</w:t>
      </w:r>
      <w:r w:rsidR="0032630C">
        <w:t>7</w:t>
      </w:r>
      <w:r w:rsidR="005E3A80">
        <w:t>.</w:t>
      </w:r>
      <w:r w:rsidR="005E3A80">
        <w:tab/>
      </w:r>
      <w:r w:rsidR="005E3A80" w:rsidRPr="007D4094">
        <w:t xml:space="preserve">The Joint Meeting </w:t>
      </w:r>
      <w:r w:rsidR="005E3A80">
        <w:t>agreed on the need to adapt on a biannual basis the data model for the transport of dangerous goods and to use in this respect the existing structure of the Ad hoc Working Group on Harmonization. It was noted that the future data model would most probably consist of a first part containing more general data and a second part covering the data for the transport of dangerous</w:t>
      </w:r>
      <w:r w:rsidR="00013DB4">
        <w:t>. It was also noted that</w:t>
      </w:r>
      <w:r w:rsidR="00227F0E">
        <w:t xml:space="preserve"> the maintenance of </w:t>
      </w:r>
      <w:r w:rsidR="00AC4DFD">
        <w:t>that seco</w:t>
      </w:r>
      <w:r w:rsidR="00E23836">
        <w:t>nd part</w:t>
      </w:r>
      <w:r w:rsidR="005E3A80">
        <w:t xml:space="preserve"> </w:t>
      </w:r>
      <w:r w:rsidR="00594C91">
        <w:t xml:space="preserve">would be facilitated by referencing to the </w:t>
      </w:r>
      <w:r w:rsidR="005E3A80">
        <w:t>dangerous goods</w:t>
      </w:r>
      <w:r w:rsidR="00FA3B36">
        <w:t xml:space="preserve"> data model</w:t>
      </w:r>
      <w:r w:rsidR="005E3A80">
        <w:t xml:space="preserve">. The representative of the EU updated the Joint Meeting on the more recent coordination activities on the cooperation with Member States and relevant stakeholders. A list of members involved in this exercise is available at: </w:t>
      </w:r>
      <w:hyperlink r:id="rId15" w:history="1">
        <w:r w:rsidR="005E3A80" w:rsidRPr="00F7739F">
          <w:rPr>
            <w:rStyle w:val="Lienhypertexte"/>
          </w:rPr>
          <w:t>ec.europa.eu/transparency/regexpert/index.cfm?%20do=groupDetail.groupDetail&amp;groupID=3280</w:t>
        </w:r>
      </w:hyperlink>
      <w:r w:rsidR="005E3A80">
        <w:t>.</w:t>
      </w:r>
    </w:p>
    <w:p w14:paraId="5C4E42E6" w14:textId="48ECC94A" w:rsidR="000D11DD" w:rsidRDefault="000D11DD" w:rsidP="000D11DD">
      <w:pPr>
        <w:pStyle w:val="HChG"/>
        <w:spacing w:before="320"/>
      </w:pPr>
      <w:r>
        <w:lastRenderedPageBreak/>
        <w:tab/>
        <w:t>XII.</w:t>
      </w:r>
      <w:r>
        <w:tab/>
        <w:t>Adoption of the report (agenda item 10)</w:t>
      </w:r>
    </w:p>
    <w:p w14:paraId="41695403" w14:textId="77777777" w:rsidR="000D11DD" w:rsidRDefault="000D11DD" w:rsidP="000D11DD">
      <w:pPr>
        <w:pStyle w:val="SingleTxtG"/>
        <w:spacing w:after="0"/>
      </w:pPr>
      <w:r>
        <w:t>48.</w:t>
      </w:r>
      <w:r>
        <w:tab/>
        <w:t xml:space="preserve">The Joint Meeting adopted the report on its spring 2021 session and its annexes </w:t>
      </w:r>
      <w:proofErr w:type="gramStart"/>
      <w:r>
        <w:t>on the basis of</w:t>
      </w:r>
      <w:proofErr w:type="gramEnd"/>
      <w:r>
        <w:t xml:space="preserve"> a draft prepared by the secretariat.</w:t>
      </w:r>
    </w:p>
    <w:p w14:paraId="1EBE1CEF" w14:textId="665A5E27" w:rsidR="00DF7CF1" w:rsidRDefault="00E7381F" w:rsidP="00E7381F">
      <w:pPr>
        <w:spacing w:before="240"/>
        <w:jc w:val="center"/>
        <w:rPr>
          <w:u w:val="single"/>
        </w:rPr>
      </w:pPr>
      <w:r>
        <w:rPr>
          <w:u w:val="single"/>
        </w:rPr>
        <w:tab/>
      </w:r>
      <w:r>
        <w:rPr>
          <w:u w:val="single"/>
        </w:rPr>
        <w:tab/>
      </w:r>
      <w:r>
        <w:rPr>
          <w:u w:val="single"/>
        </w:rPr>
        <w:tab/>
      </w:r>
    </w:p>
    <w:p w14:paraId="510021AF" w14:textId="77777777" w:rsidR="002968AD" w:rsidRDefault="002968AD">
      <w:pPr>
        <w:suppressAutoHyphens w:val="0"/>
        <w:spacing w:line="240" w:lineRule="auto"/>
        <w:rPr>
          <w:u w:val="single"/>
        </w:rPr>
      </w:pPr>
      <w:r>
        <w:rPr>
          <w:u w:val="single"/>
        </w:rPr>
        <w:br w:type="page"/>
      </w:r>
    </w:p>
    <w:p w14:paraId="0D191510" w14:textId="77777777" w:rsidR="002968AD" w:rsidRPr="00217B04" w:rsidRDefault="002968AD" w:rsidP="002968AD">
      <w:pPr>
        <w:pStyle w:val="HChG"/>
      </w:pPr>
      <w:r w:rsidRPr="00217B04">
        <w:lastRenderedPageBreak/>
        <w:tab/>
      </w:r>
      <w:r w:rsidRPr="00217B04">
        <w:tab/>
        <w:t>Annex I</w:t>
      </w:r>
    </w:p>
    <w:p w14:paraId="1649BC2A" w14:textId="77777777" w:rsidR="002968AD" w:rsidRPr="00217B04" w:rsidRDefault="002968AD" w:rsidP="002968AD">
      <w:pPr>
        <w:pStyle w:val="HChG"/>
      </w:pPr>
      <w:r w:rsidRPr="00217B04">
        <w:tab/>
      </w:r>
      <w:r w:rsidRPr="00217B04">
        <w:tab/>
        <w:t>Report of the Working Group on Tanks</w:t>
      </w:r>
    </w:p>
    <w:p w14:paraId="25C45753" w14:textId="454D8A42" w:rsidR="002968AD" w:rsidRPr="00217B04" w:rsidRDefault="002968AD" w:rsidP="002968AD">
      <w:pPr>
        <w:ind w:left="567" w:firstLine="567"/>
      </w:pPr>
      <w:bookmarkStart w:id="1" w:name="_Hlk53066336"/>
      <w:r w:rsidRPr="00217B04">
        <w:t>(see ECE/TRANS/WP.15/AC.1/1</w:t>
      </w:r>
      <w:r>
        <w:t>60</w:t>
      </w:r>
      <w:r w:rsidRPr="00217B04">
        <w:t>/Add.1)</w:t>
      </w:r>
      <w:bookmarkEnd w:id="1"/>
    </w:p>
    <w:p w14:paraId="33DAE20C" w14:textId="50B52959" w:rsidR="00DF7CF1" w:rsidRDefault="00DF7CF1">
      <w:pPr>
        <w:suppressAutoHyphens w:val="0"/>
        <w:spacing w:line="240" w:lineRule="auto"/>
        <w:rPr>
          <w:u w:val="single"/>
        </w:rPr>
      </w:pPr>
      <w:r>
        <w:rPr>
          <w:u w:val="single"/>
        </w:rPr>
        <w:br w:type="page"/>
      </w:r>
    </w:p>
    <w:p w14:paraId="745E7278" w14:textId="1D46A65E" w:rsidR="002B6593" w:rsidRPr="007149C6" w:rsidRDefault="00DF7CF1" w:rsidP="00F41226">
      <w:pPr>
        <w:pStyle w:val="HChG"/>
        <w:tabs>
          <w:tab w:val="left" w:pos="5670"/>
        </w:tabs>
        <w:rPr>
          <w:b w:val="0"/>
        </w:rPr>
      </w:pPr>
      <w:r w:rsidRPr="007149C6">
        <w:lastRenderedPageBreak/>
        <w:t>Annex II</w:t>
      </w:r>
      <w:r w:rsidR="00F41226">
        <w:tab/>
      </w:r>
      <w:r w:rsidR="00F41226">
        <w:tab/>
      </w:r>
      <w:r w:rsidR="00F41226" w:rsidRPr="00F41226">
        <w:rPr>
          <w:rStyle w:val="normaltextrun"/>
          <w:b w:val="0"/>
          <w:bCs/>
          <w:color w:val="000000"/>
          <w:sz w:val="20"/>
          <w:bdr w:val="none" w:sz="0" w:space="0" w:color="auto" w:frame="1"/>
        </w:rPr>
        <w:t>[Original: English and French]</w:t>
      </w:r>
    </w:p>
    <w:p w14:paraId="51E601C0" w14:textId="692F04BA" w:rsidR="00DF7CF1" w:rsidRPr="005004C2" w:rsidRDefault="00DF7CF1" w:rsidP="007149C6">
      <w:pPr>
        <w:pStyle w:val="HChG"/>
      </w:pPr>
      <w:r>
        <w:tab/>
      </w:r>
      <w:r>
        <w:tab/>
      </w:r>
      <w:r w:rsidRPr="005004C2">
        <w:t>Draft amendments to RID, ADR and ADN for entry into force on 1 January 2023</w:t>
      </w:r>
    </w:p>
    <w:p w14:paraId="4C7A15C6" w14:textId="77777777" w:rsidR="000B3F66" w:rsidRPr="00FF1AED" w:rsidRDefault="000B3F66" w:rsidP="000B3F66">
      <w:pPr>
        <w:pStyle w:val="H23G"/>
        <w:kinsoku w:val="0"/>
        <w:overflowPunct w:val="0"/>
        <w:autoSpaceDE w:val="0"/>
        <w:autoSpaceDN w:val="0"/>
        <w:adjustRightInd w:val="0"/>
        <w:snapToGrid w:val="0"/>
        <w:rPr>
          <w:lang w:val="en-US"/>
        </w:rPr>
      </w:pPr>
      <w:r>
        <w:rPr>
          <w:lang w:val="en-US"/>
        </w:rPr>
        <w:tab/>
      </w:r>
      <w:r>
        <w:rPr>
          <w:lang w:val="en-US"/>
        </w:rPr>
        <w:tab/>
      </w:r>
      <w:r w:rsidRPr="00FF1AED">
        <w:rPr>
          <w:lang w:val="en-US"/>
        </w:rPr>
        <w:t>Table of Contents</w:t>
      </w:r>
    </w:p>
    <w:p w14:paraId="02A23AEE" w14:textId="7BB8ABA4" w:rsidR="000B3F66" w:rsidRPr="00FF1AED" w:rsidRDefault="000B3F66" w:rsidP="000B3F66">
      <w:pPr>
        <w:pStyle w:val="SingleTxtG"/>
        <w:kinsoku w:val="0"/>
        <w:overflowPunct w:val="0"/>
        <w:autoSpaceDE w:val="0"/>
        <w:autoSpaceDN w:val="0"/>
        <w:adjustRightInd w:val="0"/>
        <w:snapToGrid w:val="0"/>
        <w:spacing w:before="120" w:line="240" w:lineRule="auto"/>
        <w:ind w:right="1133"/>
        <w:rPr>
          <w:lang w:val="en-US"/>
        </w:rPr>
      </w:pPr>
      <w:r w:rsidRPr="00734AC5">
        <w:rPr>
          <w:bCs/>
          <w:lang w:val="en-US"/>
        </w:rPr>
        <w:t>5.5.2</w:t>
      </w:r>
      <w:r w:rsidRPr="00734AC5">
        <w:rPr>
          <w:bCs/>
          <w:lang w:val="en-US"/>
        </w:rPr>
        <w:tab/>
      </w:r>
      <w:r w:rsidRPr="00734AC5">
        <w:rPr>
          <w:bCs/>
          <w:lang w:val="en-US"/>
        </w:rPr>
        <w:tab/>
      </w:r>
      <w:r w:rsidRPr="00FF1AED">
        <w:rPr>
          <w:lang w:val="en-US"/>
        </w:rPr>
        <w:t>[</w:t>
      </w:r>
      <w:r w:rsidR="00EE661C">
        <w:t>Amendment to the German version only</w:t>
      </w:r>
      <w:r w:rsidRPr="00FF1AED">
        <w:rPr>
          <w:lang w:val="en-US"/>
        </w:rPr>
        <w:t>.]</w:t>
      </w:r>
    </w:p>
    <w:p w14:paraId="7FDE0B32" w14:textId="77777777" w:rsidR="00DF7CF1" w:rsidRPr="005004C2" w:rsidRDefault="00DF7CF1" w:rsidP="00DF7CF1">
      <w:pPr>
        <w:pStyle w:val="H23G"/>
        <w:kinsoku w:val="0"/>
        <w:overflowPunct w:val="0"/>
        <w:autoSpaceDE w:val="0"/>
        <w:autoSpaceDN w:val="0"/>
        <w:adjustRightInd w:val="0"/>
        <w:snapToGrid w:val="0"/>
        <w:ind w:right="707"/>
        <w:rPr>
          <w:b w:val="0"/>
        </w:rPr>
      </w:pPr>
      <w:r>
        <w:tab/>
      </w:r>
      <w:r>
        <w:tab/>
      </w:r>
      <w:r w:rsidRPr="005004C2">
        <w:t>Chapter 1.1</w:t>
      </w:r>
    </w:p>
    <w:p w14:paraId="7225F528" w14:textId="77777777" w:rsidR="00DF7CF1" w:rsidRDefault="00DF7CF1" w:rsidP="00DF7CF1">
      <w:pPr>
        <w:snapToGrid w:val="0"/>
        <w:spacing w:before="120" w:after="120"/>
      </w:pPr>
      <w:r>
        <w:tab/>
      </w:r>
      <w:r>
        <w:tab/>
        <w:t>(ADR only:)</w:t>
      </w:r>
    </w:p>
    <w:p w14:paraId="353AF9F7" w14:textId="78AE175F" w:rsidR="00DF7CF1" w:rsidRPr="007149C6" w:rsidRDefault="00DF7CF1" w:rsidP="00DF7CF1">
      <w:pPr>
        <w:snapToGrid w:val="0"/>
        <w:spacing w:before="120" w:after="120"/>
        <w:rPr>
          <w:bCs/>
        </w:rPr>
      </w:pPr>
      <w:r>
        <w:rPr>
          <w:b/>
        </w:rPr>
        <w:tab/>
      </w:r>
      <w:r>
        <w:rPr>
          <w:b/>
        </w:rPr>
        <w:tab/>
      </w:r>
      <w:r w:rsidRPr="007149C6">
        <w:rPr>
          <w:bCs/>
        </w:rPr>
        <w:t>1.1.3.6.2</w:t>
      </w:r>
      <w:r w:rsidRPr="007149C6">
        <w:rPr>
          <w:bCs/>
        </w:rPr>
        <w:tab/>
        <w:t xml:space="preserve">In the first indent, after </w:t>
      </w:r>
      <w:r w:rsidR="002B1E7E" w:rsidRPr="007149C6">
        <w:rPr>
          <w:bCs/>
        </w:rPr>
        <w:t>“</w:t>
      </w:r>
      <w:r w:rsidRPr="007149C6">
        <w:rPr>
          <w:bCs/>
        </w:rPr>
        <w:t>0500,</w:t>
      </w:r>
      <w:r w:rsidR="004E09A2" w:rsidRPr="007149C6">
        <w:rPr>
          <w:bCs/>
        </w:rPr>
        <w:t>”</w:t>
      </w:r>
      <w:r w:rsidRPr="007149C6">
        <w:rPr>
          <w:bCs/>
        </w:rPr>
        <w:t xml:space="preserve"> add: </w:t>
      </w:r>
      <w:r w:rsidR="002B1E7E" w:rsidRPr="007149C6">
        <w:rPr>
          <w:bCs/>
        </w:rPr>
        <w:t>“</w:t>
      </w:r>
      <w:r w:rsidRPr="007149C6">
        <w:rPr>
          <w:bCs/>
        </w:rPr>
        <w:t>0511,</w:t>
      </w:r>
      <w:r w:rsidR="004E09A2" w:rsidRPr="007149C6">
        <w:rPr>
          <w:bCs/>
        </w:rPr>
        <w:t>”</w:t>
      </w:r>
      <w:r w:rsidRPr="007149C6">
        <w:rPr>
          <w:bCs/>
        </w:rPr>
        <w:t>.</w:t>
      </w:r>
    </w:p>
    <w:p w14:paraId="32944B14" w14:textId="7046D1B9" w:rsidR="00DF7CF1" w:rsidRPr="007149C6" w:rsidRDefault="00DF7CF1" w:rsidP="00DF7CF1">
      <w:pPr>
        <w:snapToGrid w:val="0"/>
        <w:spacing w:before="120" w:after="120"/>
        <w:rPr>
          <w:bCs/>
          <w:i/>
          <w:iCs/>
        </w:rPr>
      </w:pPr>
      <w:r w:rsidRPr="007149C6">
        <w:rPr>
          <w:bCs/>
        </w:rPr>
        <w:tab/>
      </w:r>
      <w:r w:rsidRPr="007149C6">
        <w:rPr>
          <w:bCs/>
        </w:rPr>
        <w:tab/>
      </w:r>
      <w:r w:rsidR="005537E5" w:rsidRPr="007149C6">
        <w:rPr>
          <w:bCs/>
          <w:i/>
          <w:iCs/>
        </w:rPr>
        <w:t>(</w:t>
      </w:r>
      <w:r w:rsidRPr="007149C6">
        <w:rPr>
          <w:bCs/>
          <w:i/>
          <w:iCs/>
        </w:rPr>
        <w:t>Reference document: ECE/TRANS/WP.15/AC.1/2021/4</w:t>
      </w:r>
      <w:r w:rsidR="004E09A2">
        <w:rPr>
          <w:bCs/>
          <w:i/>
          <w:iCs/>
        </w:rPr>
        <w:t>)</w:t>
      </w:r>
    </w:p>
    <w:p w14:paraId="7E1109A4" w14:textId="483BCAFA" w:rsidR="00DF7CF1" w:rsidRPr="007149C6" w:rsidRDefault="00DF7CF1" w:rsidP="00DF7CF1">
      <w:pPr>
        <w:snapToGrid w:val="0"/>
        <w:spacing w:before="120" w:after="120"/>
        <w:rPr>
          <w:bCs/>
        </w:rPr>
      </w:pPr>
      <w:r w:rsidRPr="007149C6">
        <w:rPr>
          <w:bCs/>
        </w:rPr>
        <w:tab/>
      </w:r>
      <w:r w:rsidRPr="007149C6">
        <w:rPr>
          <w:bCs/>
        </w:rPr>
        <w:tab/>
        <w:t>1.1.4</w:t>
      </w:r>
      <w:r w:rsidRPr="007149C6">
        <w:rPr>
          <w:bCs/>
        </w:rPr>
        <w:tab/>
      </w:r>
      <w:r w:rsidRPr="007149C6">
        <w:rPr>
          <w:bCs/>
        </w:rPr>
        <w:tab/>
      </w:r>
      <w:r w:rsidR="00397BB2" w:rsidRPr="007149C6">
        <w:rPr>
          <w:bCs/>
        </w:rPr>
        <w:t xml:space="preserve">Amend 1.1.4.6 </w:t>
      </w:r>
      <w:r w:rsidR="003635A0">
        <w:rPr>
          <w:bCs/>
        </w:rPr>
        <w:t xml:space="preserve">of ADR </w:t>
      </w:r>
      <w:r w:rsidR="00652EC3" w:rsidRPr="007149C6">
        <w:rPr>
          <w:bCs/>
        </w:rPr>
        <w:t>and i</w:t>
      </w:r>
      <w:r w:rsidRPr="007149C6">
        <w:rPr>
          <w:bCs/>
        </w:rPr>
        <w:t>nsert the following new 1.1.4.7</w:t>
      </w:r>
      <w:r w:rsidR="003635A0">
        <w:rPr>
          <w:bCs/>
        </w:rPr>
        <w:t xml:space="preserve"> in RID/ADR/ADN</w:t>
      </w:r>
      <w:r w:rsidRPr="007149C6">
        <w:rPr>
          <w:bCs/>
        </w:rPr>
        <w:t>:</w:t>
      </w:r>
    </w:p>
    <w:p w14:paraId="58F7BA93" w14:textId="1AD18967" w:rsidR="000B3F66" w:rsidRPr="007149C6" w:rsidRDefault="002B1E7E" w:rsidP="00DF7CF1">
      <w:pPr>
        <w:snapToGrid w:val="0"/>
        <w:spacing w:before="120" w:after="120"/>
        <w:ind w:left="2268" w:right="1134" w:hanging="1134"/>
        <w:rPr>
          <w:bCs/>
        </w:rPr>
      </w:pPr>
      <w:r w:rsidRPr="007149C6">
        <w:rPr>
          <w:bCs/>
        </w:rPr>
        <w:t>“</w:t>
      </w:r>
      <w:r w:rsidR="000B3F66" w:rsidRPr="007149C6">
        <w:rPr>
          <w:bCs/>
        </w:rPr>
        <w:t>(ADR only:)</w:t>
      </w:r>
    </w:p>
    <w:p w14:paraId="55B3E450" w14:textId="6347541E" w:rsidR="000B3F66" w:rsidRPr="007149C6" w:rsidRDefault="00784A77" w:rsidP="00DF7CF1">
      <w:pPr>
        <w:snapToGrid w:val="0"/>
        <w:spacing w:before="120" w:after="120"/>
        <w:ind w:left="2268" w:right="1134" w:hanging="1134"/>
        <w:rPr>
          <w:bCs/>
        </w:rPr>
      </w:pPr>
      <w:r>
        <w:rPr>
          <w:bCs/>
        </w:rPr>
        <w:t>“</w:t>
      </w:r>
      <w:r w:rsidR="000B3F66" w:rsidRPr="007149C6">
        <w:rPr>
          <w:bCs/>
        </w:rPr>
        <w:t>1.1.4.6</w:t>
      </w:r>
      <w:r w:rsidR="000B3F66" w:rsidRPr="007149C6">
        <w:rPr>
          <w:bCs/>
        </w:rPr>
        <w:tab/>
      </w:r>
      <w:r w:rsidR="000B3F66" w:rsidRPr="00D105BE">
        <w:rPr>
          <w:bCs/>
          <w:i/>
          <w:iCs/>
        </w:rPr>
        <w:t>(Reserved)</w:t>
      </w:r>
      <w:r>
        <w:rPr>
          <w:bCs/>
          <w:i/>
          <w:iCs/>
        </w:rPr>
        <w:t>”</w:t>
      </w:r>
    </w:p>
    <w:p w14:paraId="27F98D49" w14:textId="77777777" w:rsidR="00514456" w:rsidRDefault="00514456" w:rsidP="00514456">
      <w:pPr>
        <w:snapToGrid w:val="0"/>
        <w:spacing w:before="120" w:after="120"/>
        <w:ind w:left="2268" w:right="1134" w:hanging="1134"/>
        <w:rPr>
          <w:bCs/>
        </w:rPr>
      </w:pPr>
      <w:r>
        <w:rPr>
          <w:bCs/>
        </w:rPr>
        <w:t>(RID/ADR/ADN:)</w:t>
      </w:r>
    </w:p>
    <w:p w14:paraId="6EABCE70" w14:textId="794F2E57" w:rsidR="00DF7CF1" w:rsidRPr="00327E71" w:rsidRDefault="00784A77" w:rsidP="00DF7CF1">
      <w:pPr>
        <w:snapToGrid w:val="0"/>
        <w:spacing w:before="120" w:after="120"/>
        <w:ind w:left="2268" w:right="1134" w:hanging="1134"/>
        <w:rPr>
          <w:b/>
          <w:i/>
          <w:iCs/>
        </w:rPr>
      </w:pPr>
      <w:r>
        <w:rPr>
          <w:bCs/>
        </w:rPr>
        <w:t>“</w:t>
      </w:r>
      <w:r w:rsidR="00DF7CF1" w:rsidRPr="00327E71">
        <w:rPr>
          <w:b/>
        </w:rPr>
        <w:t>1.1.4.7</w:t>
      </w:r>
      <w:r w:rsidR="00DF7CF1" w:rsidRPr="00327E71">
        <w:rPr>
          <w:b/>
        </w:rPr>
        <w:tab/>
      </w:r>
      <w:r w:rsidR="00DF7CF1" w:rsidRPr="00327E71">
        <w:rPr>
          <w:b/>
          <w:i/>
          <w:iCs/>
        </w:rPr>
        <w:t xml:space="preserve">Refillable pressure receptacles authorized </w:t>
      </w:r>
      <w:bookmarkStart w:id="2" w:name="_Hlk525131534"/>
      <w:r w:rsidR="00DF7CF1" w:rsidRPr="00327E71">
        <w:rPr>
          <w:b/>
          <w:i/>
          <w:iCs/>
        </w:rPr>
        <w:t>by the United States of America Department of Transportation</w:t>
      </w:r>
    </w:p>
    <w:p w14:paraId="501B9440" w14:textId="77777777" w:rsidR="00DF7CF1" w:rsidRPr="00327E71" w:rsidRDefault="00DF7CF1" w:rsidP="00DF7CF1">
      <w:pPr>
        <w:tabs>
          <w:tab w:val="left" w:pos="1701"/>
        </w:tabs>
        <w:suppressAutoHyphens w:val="0"/>
        <w:kinsoku w:val="0"/>
        <w:overflowPunct w:val="0"/>
        <w:autoSpaceDE w:val="0"/>
        <w:autoSpaceDN w:val="0"/>
        <w:adjustRightInd w:val="0"/>
        <w:snapToGrid w:val="0"/>
        <w:spacing w:after="160" w:line="256" w:lineRule="auto"/>
        <w:ind w:left="1134" w:right="1134"/>
        <w:jc w:val="both"/>
        <w:rPr>
          <w:bCs/>
          <w:i/>
          <w:iCs/>
        </w:rPr>
      </w:pPr>
      <w:r w:rsidRPr="007149C6">
        <w:rPr>
          <w:bCs/>
        </w:rPr>
        <w:t>1.1.4.7.1</w:t>
      </w:r>
      <w:r w:rsidRPr="007149C6">
        <w:rPr>
          <w:bCs/>
        </w:rPr>
        <w:tab/>
      </w:r>
      <w:r w:rsidRPr="00327E71">
        <w:rPr>
          <w:bCs/>
          <w:i/>
          <w:iCs/>
        </w:rPr>
        <w:t>Import of gases</w:t>
      </w:r>
    </w:p>
    <w:p w14:paraId="4D1334F0" w14:textId="77777777" w:rsidR="00DF7CF1" w:rsidRPr="007149C6" w:rsidRDefault="00DF7CF1" w:rsidP="00DF7CF1">
      <w:pPr>
        <w:snapToGrid w:val="0"/>
        <w:spacing w:before="120" w:after="120" w:line="240" w:lineRule="auto"/>
        <w:ind w:left="2268" w:right="1134"/>
        <w:jc w:val="both"/>
        <w:rPr>
          <w:bCs/>
        </w:rPr>
      </w:pPr>
      <w:r w:rsidRPr="007149C6">
        <w:rPr>
          <w:bCs/>
        </w:rPr>
        <w:t xml:space="preserve">Refillable pressure receptacles authorised by the United States of America Department of Transportation and constructed and tested in accordance with standards listed in Part 178, Specifications for Packagings of Title 49, </w:t>
      </w:r>
      <w:r w:rsidRPr="007149C6">
        <w:rPr>
          <w:bCs/>
          <w:i/>
        </w:rPr>
        <w:t>Transportation</w:t>
      </w:r>
      <w:r w:rsidRPr="007149C6">
        <w:rPr>
          <w:bCs/>
        </w:rPr>
        <w:t xml:space="preserve">, of the Code of Federal Regulations </w:t>
      </w:r>
      <w:bookmarkEnd w:id="2"/>
      <w:r w:rsidRPr="007149C6">
        <w:rPr>
          <w:bCs/>
        </w:rPr>
        <w:t xml:space="preserve">accepted for carriage in a transport chain in accordance with 1.1.4.2 may be carried from the location of the temporary storage at the end point of the transport chain to the end user. </w:t>
      </w:r>
    </w:p>
    <w:p w14:paraId="74E2C548" w14:textId="77777777" w:rsidR="00DF7CF1" w:rsidRPr="007149C6" w:rsidRDefault="00DF7CF1" w:rsidP="00DF7CF1">
      <w:pPr>
        <w:snapToGrid w:val="0"/>
        <w:spacing w:before="120" w:after="120" w:line="240" w:lineRule="auto"/>
        <w:ind w:left="2268" w:right="1134"/>
        <w:jc w:val="both"/>
        <w:rPr>
          <w:bCs/>
        </w:rPr>
      </w:pPr>
      <w:bookmarkStart w:id="3" w:name="_Hlk525132507"/>
      <w:r w:rsidRPr="007149C6">
        <w:rPr>
          <w:bCs/>
        </w:rPr>
        <w:t>The consignor for the RID/ADR carriage shall include the following entry in the transport document:</w:t>
      </w:r>
    </w:p>
    <w:p w14:paraId="3AB76327" w14:textId="77777777" w:rsidR="00DF7CF1" w:rsidRPr="007149C6" w:rsidRDefault="00DF7CF1" w:rsidP="00DF7CF1">
      <w:pPr>
        <w:snapToGrid w:val="0"/>
        <w:spacing w:before="120" w:after="120" w:line="240" w:lineRule="auto"/>
        <w:ind w:left="2268" w:right="1134"/>
        <w:jc w:val="both"/>
        <w:rPr>
          <w:bCs/>
        </w:rPr>
      </w:pPr>
      <w:r w:rsidRPr="007149C6">
        <w:rPr>
          <w:bCs/>
        </w:rPr>
        <w:t>“</w:t>
      </w:r>
      <w:r w:rsidRPr="007149C6">
        <w:rPr>
          <w:bCs/>
          <w:caps/>
        </w:rPr>
        <w:t>Carriage in accordance with</w:t>
      </w:r>
      <w:r w:rsidRPr="007149C6">
        <w:rPr>
          <w:bCs/>
        </w:rPr>
        <w:t xml:space="preserve"> 1.1.4.7.1”.</w:t>
      </w:r>
    </w:p>
    <w:bookmarkEnd w:id="3"/>
    <w:p w14:paraId="28639CB8" w14:textId="77777777" w:rsidR="00DF7CF1" w:rsidRPr="00574C01" w:rsidRDefault="00DF7CF1" w:rsidP="00DF7CF1">
      <w:pPr>
        <w:tabs>
          <w:tab w:val="left" w:pos="1701"/>
        </w:tabs>
        <w:suppressAutoHyphens w:val="0"/>
        <w:kinsoku w:val="0"/>
        <w:overflowPunct w:val="0"/>
        <w:autoSpaceDE w:val="0"/>
        <w:autoSpaceDN w:val="0"/>
        <w:adjustRightInd w:val="0"/>
        <w:snapToGrid w:val="0"/>
        <w:spacing w:after="160" w:line="256" w:lineRule="auto"/>
        <w:ind w:left="1134" w:right="1134"/>
        <w:jc w:val="both"/>
        <w:rPr>
          <w:bCs/>
          <w:i/>
          <w:iCs/>
        </w:rPr>
      </w:pPr>
      <w:r w:rsidRPr="007149C6">
        <w:rPr>
          <w:bCs/>
        </w:rPr>
        <w:t>1.1.4.7.2</w:t>
      </w:r>
      <w:r w:rsidRPr="007149C6">
        <w:rPr>
          <w:bCs/>
        </w:rPr>
        <w:tab/>
      </w:r>
      <w:r w:rsidRPr="00327E71">
        <w:rPr>
          <w:bCs/>
          <w:i/>
          <w:iCs/>
        </w:rPr>
        <w:t>Export of gases an</w:t>
      </w:r>
      <w:r w:rsidRPr="00574C01">
        <w:rPr>
          <w:bCs/>
          <w:i/>
          <w:iCs/>
        </w:rPr>
        <w:t>d empty uncleaned pressure receptacles</w:t>
      </w:r>
    </w:p>
    <w:p w14:paraId="1080189C" w14:textId="77777777" w:rsidR="00DF7CF1" w:rsidRPr="007149C6" w:rsidRDefault="00DF7CF1" w:rsidP="00DF7CF1">
      <w:pPr>
        <w:snapToGrid w:val="0"/>
        <w:spacing w:before="120" w:after="120" w:line="240" w:lineRule="auto"/>
        <w:ind w:left="2268" w:right="1134"/>
        <w:jc w:val="both"/>
        <w:rPr>
          <w:bCs/>
        </w:rPr>
      </w:pPr>
      <w:r w:rsidRPr="007149C6">
        <w:rPr>
          <w:bCs/>
        </w:rPr>
        <w:t xml:space="preserve">Refillable pressure receptacles authorised by the United States of America Department of Transportation and constructed in accordance with standards listed in Part 178, Specifications for Packagings of Title 49, </w:t>
      </w:r>
      <w:r w:rsidRPr="007149C6">
        <w:rPr>
          <w:bCs/>
          <w:i/>
        </w:rPr>
        <w:t>Transportation</w:t>
      </w:r>
      <w:r w:rsidRPr="007149C6">
        <w:rPr>
          <w:bCs/>
        </w:rPr>
        <w:t>, of the Code of Federal Regulations may be filled and carried only for the purpose of exporting to countries which are not RID Contracting States/Contracting Parties of ADR provided the following provisions are met:</w:t>
      </w:r>
    </w:p>
    <w:p w14:paraId="1D3CE361" w14:textId="77777777" w:rsidR="00DF7CF1" w:rsidRPr="007149C6" w:rsidRDefault="00DF7CF1" w:rsidP="00DF7CF1">
      <w:pPr>
        <w:snapToGrid w:val="0"/>
        <w:spacing w:before="120" w:after="120" w:line="240" w:lineRule="auto"/>
        <w:ind w:left="2835" w:right="1134" w:hanging="567"/>
        <w:jc w:val="both"/>
        <w:rPr>
          <w:bCs/>
        </w:rPr>
      </w:pPr>
      <w:r w:rsidRPr="007149C6">
        <w:rPr>
          <w:bCs/>
        </w:rPr>
        <w:t>(a)</w:t>
      </w:r>
      <w:r w:rsidRPr="007149C6">
        <w:rPr>
          <w:bCs/>
        </w:rPr>
        <w:tab/>
        <w:t>The filling of the pressure receptacle is in accordance with the relevant requirements of the Code of Federal Regulations of the United States of America.</w:t>
      </w:r>
    </w:p>
    <w:p w14:paraId="43EBB763" w14:textId="77777777" w:rsidR="00DF7CF1" w:rsidRPr="007149C6" w:rsidRDefault="00DF7CF1" w:rsidP="00DF7CF1">
      <w:pPr>
        <w:snapToGrid w:val="0"/>
        <w:spacing w:before="120" w:after="120" w:line="240" w:lineRule="auto"/>
        <w:ind w:left="2835" w:right="1134" w:hanging="567"/>
        <w:jc w:val="both"/>
        <w:rPr>
          <w:bCs/>
        </w:rPr>
      </w:pPr>
      <w:r w:rsidRPr="007149C6">
        <w:rPr>
          <w:bCs/>
        </w:rPr>
        <w:t>(b)</w:t>
      </w:r>
      <w:r w:rsidRPr="007149C6">
        <w:rPr>
          <w:bCs/>
        </w:rPr>
        <w:tab/>
        <w:t>The pressure receptacles shall be marked and labelled in accordance with Chapter 5.2 of RID/ADR.</w:t>
      </w:r>
    </w:p>
    <w:p w14:paraId="44E71ED1" w14:textId="77777777" w:rsidR="00DF7CF1" w:rsidRPr="007149C6" w:rsidRDefault="00DF7CF1" w:rsidP="00DF7CF1">
      <w:pPr>
        <w:snapToGrid w:val="0"/>
        <w:spacing w:before="120" w:after="120" w:line="240" w:lineRule="auto"/>
        <w:ind w:left="2835" w:right="1134" w:hanging="567"/>
        <w:jc w:val="both"/>
        <w:rPr>
          <w:bCs/>
          <w:lang w:val="en-US"/>
        </w:rPr>
      </w:pPr>
      <w:r w:rsidRPr="007149C6">
        <w:rPr>
          <w:bCs/>
          <w:lang w:val="en-US"/>
        </w:rPr>
        <w:t>(c)</w:t>
      </w:r>
      <w:r w:rsidRPr="007149C6">
        <w:rPr>
          <w:bCs/>
          <w:lang w:val="en-US"/>
        </w:rPr>
        <w:tab/>
        <w:t>The provisions of 4.1.6.12 and 4.1.6.13 shall apply to pressure receptacles. Pressure receptacles shall not be filled after they become due for periodic inspection but may be carried after the expiry of the time-limit for purposes of performing inspection, including the intermediate carriage operations.</w:t>
      </w:r>
    </w:p>
    <w:p w14:paraId="71960732" w14:textId="77777777" w:rsidR="00DF7CF1" w:rsidRPr="007149C6" w:rsidRDefault="00DF7CF1" w:rsidP="00DF7CF1">
      <w:pPr>
        <w:snapToGrid w:val="0"/>
        <w:spacing w:before="120" w:after="120" w:line="240" w:lineRule="auto"/>
        <w:ind w:left="2835" w:right="1134" w:hanging="567"/>
        <w:jc w:val="both"/>
        <w:rPr>
          <w:bCs/>
        </w:rPr>
      </w:pPr>
      <w:r w:rsidRPr="007149C6">
        <w:rPr>
          <w:bCs/>
        </w:rPr>
        <w:t>(d)</w:t>
      </w:r>
      <w:r w:rsidRPr="007149C6">
        <w:rPr>
          <w:bCs/>
        </w:rPr>
        <w:tab/>
        <w:t>The consignor for the RID/ADR carriage shall include the following entry in the transport document:</w:t>
      </w:r>
    </w:p>
    <w:p w14:paraId="239F101D" w14:textId="15DF5681" w:rsidR="00DF7CF1" w:rsidRPr="007149C6" w:rsidRDefault="00DF7CF1" w:rsidP="00DF7CF1">
      <w:pPr>
        <w:snapToGrid w:val="0"/>
        <w:spacing w:before="120" w:after="120" w:line="240" w:lineRule="auto"/>
        <w:ind w:left="2835" w:right="1134" w:hanging="567"/>
        <w:rPr>
          <w:bCs/>
        </w:rPr>
      </w:pPr>
      <w:r w:rsidRPr="007149C6">
        <w:rPr>
          <w:bCs/>
        </w:rPr>
        <w:tab/>
        <w:t>“</w:t>
      </w:r>
      <w:r w:rsidRPr="007149C6">
        <w:rPr>
          <w:bCs/>
          <w:caps/>
        </w:rPr>
        <w:t>Carriage in accordance with</w:t>
      </w:r>
      <w:r w:rsidRPr="007149C6">
        <w:rPr>
          <w:bCs/>
        </w:rPr>
        <w:t xml:space="preserve"> 1.1.4.7.2</w:t>
      </w:r>
      <w:proofErr w:type="gramStart"/>
      <w:r w:rsidRPr="007149C6">
        <w:rPr>
          <w:bCs/>
        </w:rPr>
        <w:t>”</w:t>
      </w:r>
      <w:r w:rsidR="00DD3158" w:rsidRPr="00DD3158">
        <w:rPr>
          <w:bCs/>
        </w:rPr>
        <w:t xml:space="preserve"> </w:t>
      </w:r>
      <w:r w:rsidR="00DD3158" w:rsidRPr="007149C6">
        <w:rPr>
          <w:bCs/>
        </w:rPr>
        <w:t>”</w:t>
      </w:r>
      <w:proofErr w:type="gramEnd"/>
    </w:p>
    <w:p w14:paraId="2839E142" w14:textId="728D0849" w:rsidR="00DF7CF1" w:rsidRPr="007149C6" w:rsidRDefault="00DF7CF1" w:rsidP="007149C6">
      <w:pPr>
        <w:snapToGrid w:val="0"/>
        <w:spacing w:before="120" w:after="120"/>
        <w:ind w:left="1134" w:right="1134"/>
        <w:rPr>
          <w:bCs/>
          <w:i/>
          <w:iCs/>
        </w:rPr>
      </w:pPr>
      <w:r w:rsidRPr="007149C6">
        <w:rPr>
          <w:bCs/>
        </w:rPr>
        <w:lastRenderedPageBreak/>
        <w:tab/>
      </w:r>
      <w:r w:rsidR="00CF43AA" w:rsidRPr="007149C6">
        <w:rPr>
          <w:bCs/>
          <w:i/>
          <w:iCs/>
        </w:rPr>
        <w:t>(</w:t>
      </w:r>
      <w:r w:rsidRPr="007149C6">
        <w:rPr>
          <w:bCs/>
          <w:i/>
          <w:iCs/>
        </w:rPr>
        <w:t>Reference documents: ECE/TRANS/WP.15/AC.1/2021/9 and informal document INF.24, as amended</w:t>
      </w:r>
      <w:r w:rsidR="00CF43AA" w:rsidRPr="007149C6">
        <w:rPr>
          <w:bCs/>
          <w:i/>
          <w:iCs/>
        </w:rPr>
        <w:t>)</w:t>
      </w:r>
    </w:p>
    <w:p w14:paraId="04608550" w14:textId="08743F14" w:rsidR="00DF7CF1" w:rsidRPr="007149C6" w:rsidRDefault="00DF7CF1" w:rsidP="007149C6">
      <w:pPr>
        <w:snapToGrid w:val="0"/>
        <w:spacing w:before="120" w:after="120"/>
        <w:ind w:left="1134"/>
        <w:rPr>
          <w:bCs/>
        </w:rPr>
      </w:pPr>
      <w:r w:rsidRPr="007149C6">
        <w:rPr>
          <w:bCs/>
        </w:rPr>
        <w:t>1.1.5</w:t>
      </w:r>
      <w:r w:rsidRPr="007149C6">
        <w:rPr>
          <w:bCs/>
        </w:rPr>
        <w:tab/>
      </w:r>
      <w:r w:rsidRPr="007149C6">
        <w:rPr>
          <w:bCs/>
        </w:rPr>
        <w:tab/>
        <w:t>Add the following Note:</w:t>
      </w:r>
    </w:p>
    <w:p w14:paraId="05E70331" w14:textId="1DB48D58" w:rsidR="00DF7CF1" w:rsidRPr="006C1D5B" w:rsidRDefault="0087097E" w:rsidP="000C5AD8">
      <w:pPr>
        <w:snapToGrid w:val="0"/>
        <w:spacing w:before="120" w:after="120" w:line="240" w:lineRule="auto"/>
        <w:ind w:left="1134" w:right="1134"/>
        <w:rPr>
          <w:bCs/>
          <w:i/>
          <w:iCs/>
        </w:rPr>
      </w:pPr>
      <w:r w:rsidRPr="0087097E">
        <w:rPr>
          <w:bCs/>
          <w:i/>
          <w:iCs/>
        </w:rPr>
        <w:t>“</w:t>
      </w:r>
      <w:r w:rsidR="00DF7CF1" w:rsidRPr="00574C01">
        <w:rPr>
          <w:b/>
          <w:i/>
          <w:iCs/>
        </w:rPr>
        <w:t>N</w:t>
      </w:r>
      <w:r w:rsidR="006C1D5B" w:rsidRPr="00574C01">
        <w:rPr>
          <w:b/>
          <w:i/>
          <w:iCs/>
        </w:rPr>
        <w:t>OTE</w:t>
      </w:r>
      <w:r w:rsidR="00DF7CF1" w:rsidRPr="00574C01">
        <w:rPr>
          <w:b/>
          <w:i/>
          <w:iCs/>
        </w:rPr>
        <w:t>:</w:t>
      </w:r>
      <w:r w:rsidR="00DF7CF1" w:rsidRPr="006C1D5B">
        <w:rPr>
          <w:bCs/>
          <w:i/>
          <w:iCs/>
        </w:rPr>
        <w:tab/>
        <w:t>A standard provides details on how to meet the provisions of RID/ADR/ADN and may include requirements in addition to those set out in RID/ADR/ADN.</w:t>
      </w:r>
      <w:r w:rsidR="00DD3158" w:rsidRPr="00DD3158">
        <w:rPr>
          <w:bCs/>
          <w:i/>
          <w:iCs/>
        </w:rPr>
        <w:t>”</w:t>
      </w:r>
    </w:p>
    <w:p w14:paraId="0A7219F7" w14:textId="4FF5618F" w:rsidR="00DF7CF1" w:rsidRPr="007149C6" w:rsidRDefault="00A97B0A" w:rsidP="00DF7CF1">
      <w:pPr>
        <w:ind w:left="1134"/>
        <w:rPr>
          <w:bCs/>
          <w:i/>
          <w:iCs/>
        </w:rPr>
      </w:pPr>
      <w:r w:rsidRPr="007149C6">
        <w:rPr>
          <w:bCs/>
          <w:i/>
          <w:iCs/>
        </w:rPr>
        <w:t>(</w:t>
      </w:r>
      <w:r w:rsidR="00DF7CF1" w:rsidRPr="007149C6">
        <w:rPr>
          <w:bCs/>
          <w:i/>
          <w:iCs/>
        </w:rPr>
        <w:t>Reference document: informal document INF.3</w:t>
      </w:r>
      <w:r w:rsidRPr="007149C6">
        <w:rPr>
          <w:bCs/>
          <w:i/>
          <w:iCs/>
        </w:rPr>
        <w:t>)</w:t>
      </w:r>
    </w:p>
    <w:p w14:paraId="00E35548" w14:textId="77777777" w:rsidR="0085226A" w:rsidRDefault="000B3F66" w:rsidP="000B3F66">
      <w:pPr>
        <w:pStyle w:val="SingleTxtG"/>
        <w:kinsoku w:val="0"/>
        <w:overflowPunct w:val="0"/>
        <w:autoSpaceDE w:val="0"/>
        <w:autoSpaceDN w:val="0"/>
        <w:adjustRightInd w:val="0"/>
        <w:snapToGrid w:val="0"/>
        <w:spacing w:before="120" w:line="240" w:lineRule="auto"/>
        <w:ind w:right="1133"/>
        <w:rPr>
          <w:bCs/>
        </w:rPr>
      </w:pPr>
      <w:r w:rsidRPr="0085226A">
        <w:rPr>
          <w:b/>
        </w:rPr>
        <w:t>Chapter 1.2</w:t>
      </w:r>
    </w:p>
    <w:p w14:paraId="708403F1" w14:textId="72DD75BB" w:rsidR="000B3F66" w:rsidRPr="007149C6" w:rsidRDefault="000614FE" w:rsidP="000B3F66">
      <w:pPr>
        <w:pStyle w:val="SingleTxtG"/>
        <w:kinsoku w:val="0"/>
        <w:overflowPunct w:val="0"/>
        <w:autoSpaceDE w:val="0"/>
        <w:autoSpaceDN w:val="0"/>
        <w:adjustRightInd w:val="0"/>
        <w:snapToGrid w:val="0"/>
        <w:spacing w:before="120" w:line="240" w:lineRule="auto"/>
        <w:ind w:right="1133"/>
        <w:rPr>
          <w:bCs/>
        </w:rPr>
      </w:pPr>
      <w:r>
        <w:rPr>
          <w:bCs/>
        </w:rPr>
        <w:t>The following amendment replace those in</w:t>
      </w:r>
      <w:r w:rsidR="000B3F66" w:rsidRPr="007149C6">
        <w:rPr>
          <w:bCs/>
        </w:rPr>
        <w:t xml:space="preserve"> ECE/TRANS/WP.15/AC.1/158 – OTIF/RID/RC/2021-A, Annex II</w:t>
      </w:r>
      <w:r>
        <w:rPr>
          <w:bCs/>
        </w:rPr>
        <w:t>.</w:t>
      </w:r>
    </w:p>
    <w:p w14:paraId="518E5D76" w14:textId="37F875E1" w:rsidR="000B3F66" w:rsidRPr="007149C6" w:rsidRDefault="000B3F66" w:rsidP="0085226A">
      <w:pPr>
        <w:pStyle w:val="SingleTxtG"/>
        <w:tabs>
          <w:tab w:val="left" w:pos="2268"/>
        </w:tabs>
        <w:kinsoku w:val="0"/>
        <w:overflowPunct w:val="0"/>
        <w:autoSpaceDE w:val="0"/>
        <w:autoSpaceDN w:val="0"/>
        <w:adjustRightInd w:val="0"/>
        <w:snapToGrid w:val="0"/>
        <w:spacing w:before="120" w:line="240" w:lineRule="auto"/>
        <w:ind w:right="1133"/>
        <w:rPr>
          <w:bCs/>
        </w:rPr>
      </w:pPr>
      <w:r w:rsidRPr="007149C6">
        <w:rPr>
          <w:bCs/>
        </w:rPr>
        <w:t>1.2</w:t>
      </w:r>
      <w:r w:rsidRPr="00B320B8">
        <w:rPr>
          <w:bCs/>
        </w:rPr>
        <w:tab/>
      </w:r>
      <w:r w:rsidRPr="007149C6">
        <w:rPr>
          <w:bCs/>
        </w:rPr>
        <w:t>Amend the title to read:</w:t>
      </w:r>
    </w:p>
    <w:p w14:paraId="5DA46590" w14:textId="287352CD" w:rsidR="000B3F66" w:rsidRPr="007149C6" w:rsidRDefault="000B3F66" w:rsidP="0085226A">
      <w:pPr>
        <w:snapToGrid w:val="0"/>
        <w:spacing w:before="120" w:after="120" w:line="240" w:lineRule="auto"/>
        <w:ind w:left="2268"/>
        <w:rPr>
          <w:bCs/>
        </w:rPr>
      </w:pPr>
      <w:r w:rsidRPr="007149C6">
        <w:rPr>
          <w:bCs/>
        </w:rPr>
        <w:t>“</w:t>
      </w:r>
      <w:r w:rsidR="00DA12EB" w:rsidRPr="007149C6">
        <w:rPr>
          <w:bCs/>
        </w:rPr>
        <w:t>DEFINITIONS, UNITS OF MEASUREMENT AND ABBREVIATIONS</w:t>
      </w:r>
      <w:r w:rsidRPr="007149C6">
        <w:rPr>
          <w:bCs/>
        </w:rPr>
        <w:t>”</w:t>
      </w:r>
      <w:r w:rsidR="007C3B82">
        <w:rPr>
          <w:bCs/>
        </w:rPr>
        <w:t>.</w:t>
      </w:r>
    </w:p>
    <w:p w14:paraId="06D91C29" w14:textId="5ACF7B21" w:rsidR="000B3F66" w:rsidRPr="007149C6" w:rsidRDefault="000B3F66" w:rsidP="0085226A">
      <w:pPr>
        <w:tabs>
          <w:tab w:val="left" w:pos="2268"/>
        </w:tabs>
        <w:snapToGrid w:val="0"/>
        <w:spacing w:before="120" w:after="120" w:line="240" w:lineRule="auto"/>
        <w:ind w:left="1134" w:right="1134"/>
        <w:jc w:val="both"/>
        <w:rPr>
          <w:bCs/>
          <w:i/>
          <w:iCs/>
        </w:rPr>
      </w:pPr>
      <w:r w:rsidRPr="007149C6">
        <w:rPr>
          <w:bCs/>
          <w:i/>
          <w:iCs/>
        </w:rPr>
        <w:t>(Reference document</w:t>
      </w:r>
      <w:r w:rsidR="001D4B88">
        <w:rPr>
          <w:bCs/>
          <w:i/>
          <w:iCs/>
        </w:rPr>
        <w:t>s</w:t>
      </w:r>
      <w:r w:rsidRPr="007149C6">
        <w:rPr>
          <w:bCs/>
          <w:i/>
          <w:iCs/>
        </w:rPr>
        <w:t>: ECE/TRANS/WP.15/AC.1/2020/13</w:t>
      </w:r>
      <w:r w:rsidR="00FB4BE0" w:rsidRPr="007149C6">
        <w:rPr>
          <w:bCs/>
          <w:i/>
          <w:iCs/>
        </w:rPr>
        <w:t>, as amended by informal document INF.39</w:t>
      </w:r>
      <w:r w:rsidRPr="007149C6">
        <w:rPr>
          <w:bCs/>
          <w:i/>
          <w:iCs/>
        </w:rPr>
        <w:t>)</w:t>
      </w:r>
    </w:p>
    <w:p w14:paraId="5219F203" w14:textId="77777777" w:rsidR="000B3F66" w:rsidRPr="007149C6" w:rsidRDefault="000B3F66" w:rsidP="0085226A">
      <w:pPr>
        <w:pStyle w:val="SingleTxtG"/>
        <w:tabs>
          <w:tab w:val="left" w:pos="2268"/>
        </w:tabs>
        <w:kinsoku w:val="0"/>
        <w:overflowPunct w:val="0"/>
        <w:autoSpaceDE w:val="0"/>
        <w:autoSpaceDN w:val="0"/>
        <w:adjustRightInd w:val="0"/>
        <w:snapToGrid w:val="0"/>
        <w:spacing w:before="120" w:line="240" w:lineRule="auto"/>
        <w:ind w:right="1133"/>
        <w:rPr>
          <w:bCs/>
        </w:rPr>
      </w:pPr>
      <w:r w:rsidRPr="007149C6">
        <w:rPr>
          <w:bCs/>
        </w:rPr>
        <w:t>1.2.1</w:t>
      </w:r>
      <w:r w:rsidRPr="007149C6">
        <w:rPr>
          <w:bCs/>
        </w:rPr>
        <w:tab/>
        <w:t>Delete the following definitions:</w:t>
      </w:r>
    </w:p>
    <w:p w14:paraId="486641DE" w14:textId="13AC8624" w:rsidR="000B3F66" w:rsidRPr="007149C6" w:rsidRDefault="000B3F66" w:rsidP="0085226A">
      <w:pPr>
        <w:tabs>
          <w:tab w:val="left" w:pos="2268"/>
        </w:tabs>
        <w:snapToGrid w:val="0"/>
        <w:spacing w:before="120" w:after="120" w:line="240" w:lineRule="auto"/>
        <w:ind w:left="2268" w:right="1134"/>
        <w:jc w:val="both"/>
        <w:rPr>
          <w:bCs/>
        </w:rPr>
      </w:pPr>
      <w:r w:rsidRPr="007149C6">
        <w:rPr>
          <w:bCs/>
        </w:rPr>
        <w:t>“ADN”, (RID:) “ADR”, “ASTM”, “CGA”, “CIM”, “CMR”, “CSC”, “CTU”, (RID:) “ECM”, “EN (standard)”, “IAEA”, “IBC”, “ICAO”, “IMDG”, “IMO”, “ISO (standard)”, “MEGC”, (ADR:) “MEMU”, (RID:) “OTIF”, (ADR:) “RID”, “SADT”, “SAPT”, (RID:) “SMGS”, (RID:) “SMGS Annex 2”, “UIC”, “UNECE”.</w:t>
      </w:r>
    </w:p>
    <w:p w14:paraId="15F9C741" w14:textId="64B391C1" w:rsidR="000B3F66" w:rsidRPr="007149C6" w:rsidRDefault="000B3F66" w:rsidP="0085226A">
      <w:pPr>
        <w:tabs>
          <w:tab w:val="left" w:pos="2268"/>
        </w:tabs>
        <w:snapToGrid w:val="0"/>
        <w:spacing w:before="120" w:after="120" w:line="240" w:lineRule="auto"/>
        <w:ind w:left="1134" w:right="1134"/>
        <w:jc w:val="both"/>
        <w:rPr>
          <w:bCs/>
          <w:i/>
          <w:iCs/>
        </w:rPr>
      </w:pPr>
      <w:r w:rsidRPr="007149C6">
        <w:rPr>
          <w:bCs/>
          <w:i/>
          <w:iCs/>
        </w:rPr>
        <w:t>(Reference document</w:t>
      </w:r>
      <w:r w:rsidR="001D4B88">
        <w:rPr>
          <w:bCs/>
          <w:i/>
          <w:iCs/>
        </w:rPr>
        <w:t>s</w:t>
      </w:r>
      <w:r w:rsidRPr="007149C6">
        <w:rPr>
          <w:bCs/>
          <w:i/>
          <w:iCs/>
        </w:rPr>
        <w:t>: ECE/TRANS/WP.15/AC.1/2020/13, as amended by informal document INF.39)</w:t>
      </w:r>
    </w:p>
    <w:p w14:paraId="2A5DC7C8" w14:textId="77777777" w:rsidR="000B3F66" w:rsidRPr="007149C6" w:rsidRDefault="000B3F66" w:rsidP="00087E75">
      <w:pPr>
        <w:snapToGrid w:val="0"/>
        <w:spacing w:before="120" w:after="120" w:line="240" w:lineRule="auto"/>
        <w:ind w:left="1134" w:right="1134"/>
        <w:rPr>
          <w:bCs/>
          <w:lang w:val="en-US"/>
        </w:rPr>
      </w:pPr>
      <w:r w:rsidRPr="007149C6">
        <w:rPr>
          <w:bCs/>
          <w:lang w:val="en-US"/>
        </w:rPr>
        <w:t>[The amendment to cargo transport unit in the German version does not apply to the English text.]</w:t>
      </w:r>
    </w:p>
    <w:p w14:paraId="6AC5FBDA" w14:textId="0FA46623" w:rsidR="000B3F66" w:rsidRPr="007149C6" w:rsidRDefault="000B3F66" w:rsidP="00087E75">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Compressed Natural Gas</w:t>
      </w:r>
      <w:r w:rsidR="007C3B82" w:rsidRPr="007149C6">
        <w:rPr>
          <w:bCs/>
        </w:rPr>
        <w:t>”</w:t>
      </w:r>
      <w:r w:rsidRPr="007149C6">
        <w:rPr>
          <w:bCs/>
          <w:iCs/>
        </w:rPr>
        <w:t>, delete:</w:t>
      </w:r>
    </w:p>
    <w:p w14:paraId="485BBCE0" w14:textId="4CCF6726"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(CNG)</w:t>
      </w:r>
      <w:r w:rsidR="007C3B82" w:rsidRPr="007149C6">
        <w:rPr>
          <w:bCs/>
        </w:rPr>
        <w:t>”</w:t>
      </w:r>
      <w:r w:rsidR="000B3F66" w:rsidRPr="007149C6">
        <w:rPr>
          <w:bCs/>
          <w:iCs/>
        </w:rPr>
        <w:t>.</w:t>
      </w:r>
    </w:p>
    <w:p w14:paraId="0269BFC3" w14:textId="203446EE" w:rsidR="000B3F66" w:rsidRPr="007149C6" w:rsidRDefault="000B3F66" w:rsidP="00011285">
      <w:pPr>
        <w:snapToGrid w:val="0"/>
        <w:spacing w:before="120" w:after="120" w:line="240" w:lineRule="auto"/>
        <w:ind w:left="1134" w:right="1134"/>
        <w:rPr>
          <w:bCs/>
          <w:iCs/>
        </w:rPr>
      </w:pPr>
      <w:r w:rsidRPr="007149C6">
        <w:rPr>
          <w:bCs/>
          <w:iCs/>
        </w:rPr>
        <w:t xml:space="preserve">In the definition of </w:t>
      </w:r>
      <w:r w:rsidR="00FB0D9D" w:rsidRPr="007149C6">
        <w:rPr>
          <w:bCs/>
        </w:rPr>
        <w:t>“</w:t>
      </w:r>
      <w:r w:rsidRPr="007149C6">
        <w:rPr>
          <w:bCs/>
          <w:iCs/>
        </w:rPr>
        <w:t>Criticality safety index</w:t>
      </w:r>
      <w:r w:rsidR="00FB0D9D" w:rsidRPr="007149C6">
        <w:rPr>
          <w:bCs/>
        </w:rPr>
        <w:t>”</w:t>
      </w:r>
      <w:r w:rsidRPr="007149C6">
        <w:rPr>
          <w:bCs/>
          <w:iCs/>
        </w:rPr>
        <w:t>, delete:</w:t>
      </w:r>
    </w:p>
    <w:p w14:paraId="2DEE3BE9" w14:textId="79D04C55"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(CSI)</w:t>
      </w:r>
      <w:r w:rsidR="007C3B82" w:rsidRPr="007149C6">
        <w:rPr>
          <w:bCs/>
        </w:rPr>
        <w:t>”</w:t>
      </w:r>
      <w:r w:rsidR="000B3F66" w:rsidRPr="007149C6">
        <w:rPr>
          <w:bCs/>
          <w:iCs/>
        </w:rPr>
        <w:t>.</w:t>
      </w:r>
    </w:p>
    <w:p w14:paraId="277D2999" w14:textId="77777777" w:rsidR="000B3F66" w:rsidRPr="007149C6" w:rsidRDefault="000B3F66" w:rsidP="0085226A">
      <w:pPr>
        <w:tabs>
          <w:tab w:val="left" w:pos="2268"/>
        </w:tabs>
        <w:snapToGrid w:val="0"/>
        <w:spacing w:before="120" w:after="120" w:line="240" w:lineRule="auto"/>
        <w:ind w:left="2268" w:right="1134"/>
        <w:rPr>
          <w:bCs/>
          <w:iCs/>
        </w:rPr>
      </w:pPr>
      <w:r w:rsidRPr="007149C6">
        <w:rPr>
          <w:bCs/>
          <w:iCs/>
        </w:rPr>
        <w:t>(RID:)</w:t>
      </w:r>
    </w:p>
    <w:p w14:paraId="07B195CC" w14:textId="02F23344" w:rsidR="000B3F66" w:rsidRPr="007149C6" w:rsidRDefault="000B3F66" w:rsidP="00011285">
      <w:pPr>
        <w:snapToGrid w:val="0"/>
        <w:spacing w:before="120" w:after="120" w:line="240" w:lineRule="auto"/>
        <w:ind w:left="1134" w:right="1134"/>
        <w:rPr>
          <w:bCs/>
          <w:iCs/>
        </w:rPr>
      </w:pPr>
      <w:r w:rsidRPr="007149C6">
        <w:rPr>
          <w:bCs/>
          <w:iCs/>
        </w:rPr>
        <w:t xml:space="preserve">In the definition of </w:t>
      </w:r>
      <w:r w:rsidR="007C3B82" w:rsidRPr="007149C6">
        <w:rPr>
          <w:bCs/>
        </w:rPr>
        <w:t>“</w:t>
      </w:r>
      <w:r w:rsidRPr="007149C6">
        <w:rPr>
          <w:bCs/>
          <w:iCs/>
        </w:rPr>
        <w:t>Entity in charge of maintenance</w:t>
      </w:r>
      <w:r w:rsidR="007C3B82" w:rsidRPr="007149C6">
        <w:rPr>
          <w:bCs/>
        </w:rPr>
        <w:t>”</w:t>
      </w:r>
      <w:r w:rsidRPr="007149C6">
        <w:rPr>
          <w:bCs/>
          <w:iCs/>
        </w:rPr>
        <w:t>, delete:</w:t>
      </w:r>
    </w:p>
    <w:p w14:paraId="42CC63F6" w14:textId="5B43C943"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(ECM)</w:t>
      </w:r>
      <w:r w:rsidR="007C3B82" w:rsidRPr="007C3B82">
        <w:rPr>
          <w:bCs/>
          <w:iCs/>
        </w:rPr>
        <w:t>”</w:t>
      </w:r>
      <w:r w:rsidR="000B3F66" w:rsidRPr="007149C6">
        <w:rPr>
          <w:bCs/>
          <w:iCs/>
        </w:rPr>
        <w:t>.</w:t>
      </w:r>
    </w:p>
    <w:p w14:paraId="3623BEB1" w14:textId="10B54BCA" w:rsidR="000B3F66" w:rsidRPr="007149C6" w:rsidRDefault="000B3F66" w:rsidP="0085226A">
      <w:pPr>
        <w:tabs>
          <w:tab w:val="left" w:pos="2268"/>
        </w:tabs>
        <w:snapToGrid w:val="0"/>
        <w:spacing w:before="120" w:after="120"/>
        <w:ind w:left="2268" w:hanging="1135"/>
        <w:rPr>
          <w:bCs/>
          <w:iCs/>
        </w:rPr>
      </w:pPr>
      <w:r w:rsidRPr="007149C6">
        <w:rPr>
          <w:bCs/>
          <w:iCs/>
        </w:rPr>
        <w:t xml:space="preserve">Amend the </w:t>
      </w:r>
      <w:r w:rsidRPr="007149C6">
        <w:rPr>
          <w:bCs/>
          <w:iCs/>
        </w:rPr>
        <w:t xml:space="preserve">definition of </w:t>
      </w:r>
      <w:r w:rsidR="005F7725" w:rsidRPr="007149C6">
        <w:rPr>
          <w:bCs/>
        </w:rPr>
        <w:t>“</w:t>
      </w:r>
      <w:r w:rsidRPr="007149C6">
        <w:rPr>
          <w:bCs/>
          <w:iCs/>
        </w:rPr>
        <w:t>GHS</w:t>
      </w:r>
      <w:r w:rsidR="008843C6" w:rsidRPr="007149C6">
        <w:rPr>
          <w:bCs/>
        </w:rPr>
        <w:t>”</w:t>
      </w:r>
      <w:r w:rsidRPr="007149C6">
        <w:rPr>
          <w:bCs/>
          <w:iCs/>
        </w:rPr>
        <w:t xml:space="preserve"> to read:</w:t>
      </w:r>
    </w:p>
    <w:p w14:paraId="14575C7A" w14:textId="10DF9F75" w:rsidR="000B3F66" w:rsidRPr="007149C6" w:rsidRDefault="005F7725" w:rsidP="0085226A">
      <w:pPr>
        <w:tabs>
          <w:tab w:val="left" w:pos="2268"/>
        </w:tabs>
        <w:snapToGrid w:val="0"/>
        <w:spacing w:before="120" w:after="120"/>
        <w:ind w:left="2268" w:right="1134"/>
        <w:jc w:val="both"/>
        <w:rPr>
          <w:bCs/>
          <w:iCs/>
          <w:lang w:val="en-US"/>
        </w:rPr>
      </w:pPr>
      <w:r w:rsidRPr="005F7725">
        <w:rPr>
          <w:bCs/>
          <w:i/>
          <w:iCs/>
          <w:lang w:val="en-US"/>
        </w:rPr>
        <w:t>“</w:t>
      </w:r>
      <w:r w:rsidR="000B3F66" w:rsidRPr="007149C6">
        <w:rPr>
          <w:bCs/>
          <w:i/>
          <w:iCs/>
          <w:lang w:val="en-US"/>
        </w:rPr>
        <w:t>Globally Harmonized System of Classification and Labelling of Chemicals</w:t>
      </w:r>
      <w:r w:rsidR="007C3B82" w:rsidRPr="007C3B82">
        <w:rPr>
          <w:bCs/>
          <w:i/>
          <w:iCs/>
          <w:lang w:val="en-US"/>
        </w:rPr>
        <w:t>”</w:t>
      </w:r>
      <w:r w:rsidR="000B3F66" w:rsidRPr="007149C6">
        <w:rPr>
          <w:bCs/>
          <w:iCs/>
          <w:lang w:val="en-US"/>
        </w:rPr>
        <w:t xml:space="preserve"> means </w:t>
      </w:r>
      <w:r w:rsidR="00EF0525">
        <w:rPr>
          <w:bCs/>
          <w:iCs/>
          <w:lang w:val="en-US"/>
        </w:rPr>
        <w:t>t</w:t>
      </w:r>
      <w:r w:rsidR="000B3F66" w:rsidRPr="007149C6">
        <w:rPr>
          <w:bCs/>
          <w:iCs/>
          <w:lang w:val="en-US"/>
        </w:rPr>
        <w:t xml:space="preserve">he ninth revised edition of </w:t>
      </w:r>
      <w:r w:rsidR="007126B7">
        <w:rPr>
          <w:bCs/>
          <w:iCs/>
          <w:lang w:val="en-US"/>
        </w:rPr>
        <w:t xml:space="preserve">United Nations publication bearing this title </w:t>
      </w:r>
      <w:r w:rsidR="000B3F66" w:rsidRPr="007149C6">
        <w:rPr>
          <w:bCs/>
          <w:iCs/>
          <w:lang w:val="en-US"/>
        </w:rPr>
        <w:t>(ST/SG/AC.10/30/Rev.9</w:t>
      </w:r>
      <w:proofErr w:type="gramStart"/>
      <w:r w:rsidR="000B3F66" w:rsidRPr="007149C6">
        <w:rPr>
          <w:bCs/>
          <w:iCs/>
          <w:lang w:val="en-US"/>
        </w:rPr>
        <w:t>);</w:t>
      </w:r>
      <w:proofErr w:type="gramEnd"/>
    </w:p>
    <w:p w14:paraId="7683756E" w14:textId="395C21D9"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Liquefied Natural Gas</w:t>
      </w:r>
      <w:r w:rsidR="008843C6" w:rsidRPr="007149C6">
        <w:rPr>
          <w:bCs/>
        </w:rPr>
        <w:t>”</w:t>
      </w:r>
      <w:r w:rsidRPr="007149C6">
        <w:rPr>
          <w:bCs/>
          <w:iCs/>
        </w:rPr>
        <w:t>, delete:</w:t>
      </w:r>
    </w:p>
    <w:p w14:paraId="2C3CF73F" w14:textId="580BA05B" w:rsidR="000B3F66" w:rsidRPr="007149C6" w:rsidRDefault="005F7725" w:rsidP="0085226A">
      <w:pPr>
        <w:tabs>
          <w:tab w:val="left" w:pos="2268"/>
        </w:tabs>
        <w:snapToGrid w:val="0"/>
        <w:spacing w:before="120" w:after="120" w:line="240" w:lineRule="auto"/>
        <w:ind w:left="2268" w:right="1134"/>
        <w:rPr>
          <w:bCs/>
          <w:iCs/>
        </w:rPr>
      </w:pPr>
      <w:r w:rsidRPr="005F7725">
        <w:rPr>
          <w:bCs/>
          <w:iCs/>
        </w:rPr>
        <w:t>“</w:t>
      </w:r>
      <w:r w:rsidR="000B3F66" w:rsidRPr="007149C6">
        <w:rPr>
          <w:bCs/>
          <w:iCs/>
        </w:rPr>
        <w:t>(LNG)</w:t>
      </w:r>
      <w:r w:rsidR="008843C6" w:rsidRPr="007149C6">
        <w:rPr>
          <w:bCs/>
        </w:rPr>
        <w:t>”</w:t>
      </w:r>
      <w:r w:rsidR="000B3F66" w:rsidRPr="007149C6">
        <w:rPr>
          <w:bCs/>
          <w:iCs/>
        </w:rPr>
        <w:t>.</w:t>
      </w:r>
    </w:p>
    <w:p w14:paraId="39E5F026" w14:textId="52D89F61"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BB7A5C" w:rsidRPr="007149C6">
        <w:rPr>
          <w:bCs/>
        </w:rPr>
        <w:t>“</w:t>
      </w:r>
      <w:r w:rsidRPr="007149C6">
        <w:rPr>
          <w:bCs/>
          <w:iCs/>
        </w:rPr>
        <w:t>Liquefied Petroleum Gas</w:t>
      </w:r>
      <w:r w:rsidR="00BB7A5C" w:rsidRPr="007149C6">
        <w:rPr>
          <w:bCs/>
        </w:rPr>
        <w:t>”</w:t>
      </w:r>
      <w:r w:rsidRPr="007149C6">
        <w:rPr>
          <w:bCs/>
          <w:iCs/>
        </w:rPr>
        <w:t>, delete:</w:t>
      </w:r>
    </w:p>
    <w:p w14:paraId="453AA77D" w14:textId="3382C767"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(LPG)</w:t>
      </w:r>
      <w:r w:rsidR="008843C6" w:rsidRPr="007149C6">
        <w:rPr>
          <w:bCs/>
        </w:rPr>
        <w:t>”</w:t>
      </w:r>
      <w:r w:rsidR="000B3F66" w:rsidRPr="007149C6">
        <w:rPr>
          <w:bCs/>
          <w:iCs/>
        </w:rPr>
        <w:t>.</w:t>
      </w:r>
    </w:p>
    <w:p w14:paraId="76383D66" w14:textId="5B20DEE0"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BB7A5C" w:rsidRPr="007149C6">
        <w:rPr>
          <w:bCs/>
        </w:rPr>
        <w:t>“</w:t>
      </w:r>
      <w:r w:rsidRPr="007149C6">
        <w:rPr>
          <w:bCs/>
          <w:iCs/>
        </w:rPr>
        <w:t>Multiple-element gas container</w:t>
      </w:r>
      <w:r w:rsidR="00BB7A5C" w:rsidRPr="007149C6">
        <w:rPr>
          <w:bCs/>
        </w:rPr>
        <w:t>”</w:t>
      </w:r>
      <w:r w:rsidRPr="007149C6">
        <w:rPr>
          <w:bCs/>
          <w:iCs/>
        </w:rPr>
        <w:t>, delete:</w:t>
      </w:r>
    </w:p>
    <w:p w14:paraId="66986DD6" w14:textId="1CC81203"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MEGC)</w:t>
      </w:r>
      <w:r w:rsidR="008843C6" w:rsidRPr="007149C6">
        <w:rPr>
          <w:bCs/>
        </w:rPr>
        <w:t>”</w:t>
      </w:r>
      <w:r w:rsidR="000B3F66" w:rsidRPr="007149C6">
        <w:rPr>
          <w:bCs/>
          <w:iCs/>
        </w:rPr>
        <w:t>.</w:t>
      </w:r>
    </w:p>
    <w:p w14:paraId="00BA8748" w14:textId="77777777" w:rsidR="000B3F66" w:rsidRPr="007149C6" w:rsidRDefault="000B3F66" w:rsidP="0085226A">
      <w:pPr>
        <w:tabs>
          <w:tab w:val="left" w:pos="2268"/>
        </w:tabs>
        <w:snapToGrid w:val="0"/>
        <w:spacing w:before="120" w:after="120" w:line="240" w:lineRule="auto"/>
        <w:ind w:left="2268" w:right="1134"/>
        <w:rPr>
          <w:bCs/>
          <w:iCs/>
        </w:rPr>
      </w:pPr>
      <w:r w:rsidRPr="007149C6">
        <w:rPr>
          <w:bCs/>
          <w:iCs/>
        </w:rPr>
        <w:t>(ADR:)</w:t>
      </w:r>
    </w:p>
    <w:p w14:paraId="0EE49526" w14:textId="2168BFC5"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Mobile explosives manufacturing unit</w:t>
      </w:r>
      <w:r w:rsidR="008843C6" w:rsidRPr="007149C6">
        <w:rPr>
          <w:bCs/>
        </w:rPr>
        <w:t>”</w:t>
      </w:r>
      <w:r w:rsidRPr="007149C6">
        <w:rPr>
          <w:bCs/>
          <w:iCs/>
        </w:rPr>
        <w:t>, delete:</w:t>
      </w:r>
    </w:p>
    <w:p w14:paraId="723A8AED" w14:textId="6C530869"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(MEMU)</w:t>
      </w:r>
      <w:r w:rsidR="008843C6" w:rsidRPr="007149C6">
        <w:rPr>
          <w:bCs/>
        </w:rPr>
        <w:t>”</w:t>
      </w:r>
      <w:r w:rsidR="000B3F66" w:rsidRPr="007149C6">
        <w:rPr>
          <w:bCs/>
          <w:iCs/>
        </w:rPr>
        <w:t>.</w:t>
      </w:r>
    </w:p>
    <w:p w14:paraId="4AF08D50" w14:textId="5DEE4250"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5F7725" w:rsidRPr="007149C6">
        <w:rPr>
          <w:bCs/>
        </w:rPr>
        <w:t>“</w:t>
      </w:r>
      <w:r w:rsidRPr="007149C6">
        <w:rPr>
          <w:bCs/>
          <w:iCs/>
        </w:rPr>
        <w:t>Net explosive mass</w:t>
      </w:r>
      <w:r w:rsidR="009D707D" w:rsidRPr="007149C6">
        <w:rPr>
          <w:bCs/>
        </w:rPr>
        <w:t>”</w:t>
      </w:r>
      <w:r w:rsidRPr="007149C6">
        <w:rPr>
          <w:bCs/>
          <w:iCs/>
        </w:rPr>
        <w:t>, delete:</w:t>
      </w:r>
    </w:p>
    <w:p w14:paraId="096A04D1" w14:textId="2E7CAC3E" w:rsidR="000B3F66" w:rsidRPr="007149C6" w:rsidRDefault="005F7725" w:rsidP="0085226A">
      <w:pPr>
        <w:tabs>
          <w:tab w:val="left" w:pos="2268"/>
        </w:tabs>
        <w:snapToGrid w:val="0"/>
        <w:spacing w:before="120" w:after="120" w:line="240" w:lineRule="auto"/>
        <w:ind w:left="2268" w:right="1134"/>
        <w:rPr>
          <w:bCs/>
          <w:iCs/>
        </w:rPr>
      </w:pPr>
      <w:r w:rsidRPr="007149C6">
        <w:rPr>
          <w:bCs/>
        </w:rPr>
        <w:t>“</w:t>
      </w:r>
      <w:r w:rsidR="000B3F66" w:rsidRPr="007149C6">
        <w:rPr>
          <w:bCs/>
          <w:iCs/>
        </w:rPr>
        <w:t>(NEM)</w:t>
      </w:r>
      <w:r w:rsidR="008843C6" w:rsidRPr="007149C6">
        <w:rPr>
          <w:bCs/>
        </w:rPr>
        <w:t>”</w:t>
      </w:r>
      <w:r w:rsidR="000B3F66" w:rsidRPr="007149C6">
        <w:rPr>
          <w:bCs/>
          <w:iCs/>
        </w:rPr>
        <w:t>.</w:t>
      </w:r>
    </w:p>
    <w:p w14:paraId="434775BB" w14:textId="18269AF0" w:rsidR="000B3F66" w:rsidRPr="007149C6" w:rsidRDefault="000B3F66" w:rsidP="00DC3AE0">
      <w:pPr>
        <w:snapToGrid w:val="0"/>
        <w:spacing w:before="120" w:after="120" w:line="240" w:lineRule="auto"/>
        <w:ind w:left="1134" w:right="1134"/>
        <w:rPr>
          <w:bCs/>
          <w:iCs/>
        </w:rPr>
      </w:pPr>
      <w:r w:rsidRPr="007149C6">
        <w:rPr>
          <w:bCs/>
          <w:iCs/>
        </w:rPr>
        <w:lastRenderedPageBreak/>
        <w:t xml:space="preserve">In the definition of </w:t>
      </w:r>
      <w:r w:rsidR="005F7725" w:rsidRPr="007149C6">
        <w:rPr>
          <w:bCs/>
        </w:rPr>
        <w:t>“</w:t>
      </w:r>
      <w:r w:rsidRPr="007149C6">
        <w:rPr>
          <w:bCs/>
          <w:iCs/>
        </w:rPr>
        <w:t>Self-accelerating decomposition temperature</w:t>
      </w:r>
      <w:r w:rsidR="008843C6" w:rsidRPr="007149C6">
        <w:rPr>
          <w:bCs/>
        </w:rPr>
        <w:t>”</w:t>
      </w:r>
      <w:r w:rsidRPr="007149C6">
        <w:rPr>
          <w:bCs/>
          <w:iCs/>
        </w:rPr>
        <w:t>, delete:</w:t>
      </w:r>
    </w:p>
    <w:p w14:paraId="277C5C6E" w14:textId="5A2ECDC2" w:rsidR="000B3F66" w:rsidRPr="007149C6" w:rsidRDefault="00327A10" w:rsidP="0085226A">
      <w:pPr>
        <w:tabs>
          <w:tab w:val="left" w:pos="2268"/>
        </w:tabs>
        <w:snapToGrid w:val="0"/>
        <w:spacing w:before="120" w:after="120" w:line="240" w:lineRule="auto"/>
        <w:ind w:left="2268" w:right="1134"/>
        <w:rPr>
          <w:bCs/>
          <w:iCs/>
        </w:rPr>
      </w:pPr>
      <w:r w:rsidRPr="007149C6">
        <w:rPr>
          <w:bCs/>
        </w:rPr>
        <w:t>“</w:t>
      </w:r>
      <w:r w:rsidR="000B3F66" w:rsidRPr="007149C6">
        <w:rPr>
          <w:bCs/>
          <w:iCs/>
        </w:rPr>
        <w:t>(SADT)</w:t>
      </w:r>
      <w:r w:rsidR="008843C6" w:rsidRPr="007149C6">
        <w:rPr>
          <w:bCs/>
        </w:rPr>
        <w:t>”</w:t>
      </w:r>
      <w:r w:rsidR="000B3F66" w:rsidRPr="007149C6">
        <w:rPr>
          <w:bCs/>
          <w:iCs/>
        </w:rPr>
        <w:t>.</w:t>
      </w:r>
    </w:p>
    <w:p w14:paraId="68F2A51A" w14:textId="319FEFE1"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3E7E4A" w:rsidRPr="007149C6">
        <w:rPr>
          <w:bCs/>
        </w:rPr>
        <w:t>“</w:t>
      </w:r>
      <w:r w:rsidRPr="007149C6">
        <w:rPr>
          <w:bCs/>
          <w:iCs/>
        </w:rPr>
        <w:t>Self-accelerating polymerization temperature</w:t>
      </w:r>
      <w:r w:rsidR="009F797F" w:rsidRPr="007149C6">
        <w:rPr>
          <w:bCs/>
        </w:rPr>
        <w:t>”</w:t>
      </w:r>
      <w:r w:rsidRPr="007149C6">
        <w:rPr>
          <w:bCs/>
          <w:iCs/>
        </w:rPr>
        <w:t>, delete:</w:t>
      </w:r>
    </w:p>
    <w:p w14:paraId="3FB4B8AD" w14:textId="453D5A35" w:rsidR="000B3F66" w:rsidRPr="007149C6" w:rsidRDefault="00327A10" w:rsidP="0085226A">
      <w:pPr>
        <w:tabs>
          <w:tab w:val="left" w:pos="2268"/>
        </w:tabs>
        <w:snapToGrid w:val="0"/>
        <w:spacing w:before="120" w:after="120" w:line="240" w:lineRule="auto"/>
        <w:ind w:left="2268" w:right="1134"/>
        <w:rPr>
          <w:bCs/>
          <w:iCs/>
        </w:rPr>
      </w:pPr>
      <w:r w:rsidRPr="007149C6">
        <w:rPr>
          <w:bCs/>
        </w:rPr>
        <w:t>“</w:t>
      </w:r>
      <w:r w:rsidR="000B3F66" w:rsidRPr="007149C6">
        <w:rPr>
          <w:bCs/>
          <w:iCs/>
        </w:rPr>
        <w:t>(SAPT)</w:t>
      </w:r>
      <w:r w:rsidR="008843C6" w:rsidRPr="007149C6">
        <w:rPr>
          <w:bCs/>
        </w:rPr>
        <w:t>”</w:t>
      </w:r>
      <w:r w:rsidR="000B3F66" w:rsidRPr="007149C6">
        <w:rPr>
          <w:bCs/>
          <w:iCs/>
        </w:rPr>
        <w:t>.</w:t>
      </w:r>
    </w:p>
    <w:p w14:paraId="131DA3B6" w14:textId="5093C6EA" w:rsidR="000B3F66" w:rsidRPr="007149C6" w:rsidRDefault="000B3F66" w:rsidP="00DC3AE0">
      <w:pPr>
        <w:snapToGrid w:val="0"/>
        <w:spacing w:before="120" w:after="120" w:line="240" w:lineRule="auto"/>
        <w:ind w:left="1134" w:right="1134"/>
        <w:rPr>
          <w:bCs/>
          <w:iCs/>
        </w:rPr>
      </w:pPr>
      <w:r w:rsidRPr="007149C6">
        <w:rPr>
          <w:bCs/>
          <w:iCs/>
        </w:rPr>
        <w:t xml:space="preserve">In the definition of </w:t>
      </w:r>
      <w:r w:rsidR="00327A10" w:rsidRPr="007149C6">
        <w:rPr>
          <w:bCs/>
        </w:rPr>
        <w:t>“</w:t>
      </w:r>
      <w:r w:rsidRPr="007149C6">
        <w:rPr>
          <w:bCs/>
          <w:iCs/>
        </w:rPr>
        <w:t>Transport index</w:t>
      </w:r>
      <w:r w:rsidR="009F797F" w:rsidRPr="007149C6">
        <w:rPr>
          <w:bCs/>
        </w:rPr>
        <w:t>”</w:t>
      </w:r>
      <w:r w:rsidRPr="007149C6">
        <w:rPr>
          <w:bCs/>
          <w:iCs/>
        </w:rPr>
        <w:t>, delete:</w:t>
      </w:r>
    </w:p>
    <w:p w14:paraId="731E2EF1" w14:textId="439BE457" w:rsidR="000B3F66" w:rsidRPr="007149C6" w:rsidRDefault="00327A10" w:rsidP="0085226A">
      <w:pPr>
        <w:tabs>
          <w:tab w:val="left" w:pos="2268"/>
        </w:tabs>
        <w:snapToGrid w:val="0"/>
        <w:spacing w:before="120" w:after="120" w:line="240" w:lineRule="auto"/>
        <w:ind w:left="2268" w:right="1134"/>
        <w:rPr>
          <w:bCs/>
          <w:iCs/>
        </w:rPr>
      </w:pPr>
      <w:r w:rsidRPr="007149C6">
        <w:rPr>
          <w:bCs/>
        </w:rPr>
        <w:t>“</w:t>
      </w:r>
      <w:r w:rsidR="000B3F66" w:rsidRPr="007149C6">
        <w:rPr>
          <w:bCs/>
          <w:iCs/>
        </w:rPr>
        <w:t>TI</w:t>
      </w:r>
      <w:r w:rsidR="009F797F" w:rsidRPr="007149C6">
        <w:rPr>
          <w:bCs/>
        </w:rPr>
        <w:t>”</w:t>
      </w:r>
      <w:r w:rsidR="000B3F66" w:rsidRPr="007149C6">
        <w:rPr>
          <w:bCs/>
          <w:iCs/>
        </w:rPr>
        <w:t>.</w:t>
      </w:r>
    </w:p>
    <w:p w14:paraId="67FBCBBC" w14:textId="77777777" w:rsidR="000B3F66" w:rsidRPr="007149C6" w:rsidRDefault="000B3F66" w:rsidP="00DC3AE0">
      <w:pPr>
        <w:snapToGrid w:val="0"/>
        <w:spacing w:before="120" w:after="120" w:line="240" w:lineRule="auto"/>
        <w:ind w:left="1134" w:right="1134"/>
        <w:rPr>
          <w:bCs/>
          <w:i/>
          <w:iCs/>
        </w:rPr>
      </w:pPr>
      <w:r w:rsidRPr="007149C6">
        <w:rPr>
          <w:bCs/>
          <w:i/>
          <w:iCs/>
        </w:rPr>
        <w:t>(</w:t>
      </w:r>
      <w:r w:rsidRPr="00DC3AE0">
        <w:rPr>
          <w:bCs/>
          <w:iCs/>
        </w:rPr>
        <w:t>Reference</w:t>
      </w:r>
      <w:r w:rsidRPr="007149C6">
        <w:rPr>
          <w:bCs/>
          <w:i/>
          <w:iCs/>
        </w:rPr>
        <w:t xml:space="preserve"> documents: ECE/TRANS/WP.15/AC.1/2020/13 and informal document INF.39, as amended)</w:t>
      </w:r>
    </w:p>
    <w:p w14:paraId="41C3D2A0" w14:textId="77777777" w:rsidR="000B3F66" w:rsidRPr="007149C6" w:rsidRDefault="000B3F66" w:rsidP="00DC3AE0">
      <w:pPr>
        <w:snapToGrid w:val="0"/>
        <w:spacing w:before="120" w:after="120" w:line="240" w:lineRule="auto"/>
        <w:ind w:left="1134" w:right="1134"/>
        <w:rPr>
          <w:bCs/>
        </w:rPr>
      </w:pPr>
      <w:r w:rsidRPr="007149C6">
        <w:rPr>
          <w:bCs/>
        </w:rPr>
        <w:t xml:space="preserve">Add a </w:t>
      </w:r>
      <w:r w:rsidRPr="00DC3AE0">
        <w:rPr>
          <w:bCs/>
          <w:iCs/>
        </w:rPr>
        <w:t>new</w:t>
      </w:r>
      <w:r w:rsidRPr="007149C6">
        <w:rPr>
          <w:bCs/>
        </w:rPr>
        <w:t xml:space="preserve"> section 1.2.3 to read as follows:</w:t>
      </w:r>
    </w:p>
    <w:p w14:paraId="10740A1C" w14:textId="4BCD0532" w:rsidR="000B3F66" w:rsidRPr="007149C6" w:rsidRDefault="000B3F66" w:rsidP="0085226A">
      <w:pPr>
        <w:pStyle w:val="SingleTxtG"/>
        <w:tabs>
          <w:tab w:val="left" w:pos="2268"/>
        </w:tabs>
        <w:kinsoku w:val="0"/>
        <w:overflowPunct w:val="0"/>
        <w:autoSpaceDE w:val="0"/>
        <w:autoSpaceDN w:val="0"/>
        <w:adjustRightInd w:val="0"/>
        <w:snapToGrid w:val="0"/>
        <w:spacing w:before="120" w:line="240" w:lineRule="auto"/>
        <w:ind w:right="1133"/>
        <w:rPr>
          <w:bCs/>
        </w:rPr>
      </w:pPr>
      <w:bookmarkStart w:id="4" w:name="_Hlk68180519"/>
      <w:r w:rsidRPr="007149C6">
        <w:rPr>
          <w:bCs/>
        </w:rPr>
        <w:t>“</w:t>
      </w:r>
      <w:bookmarkEnd w:id="4"/>
      <w:r w:rsidRPr="007149C6">
        <w:rPr>
          <w:bCs/>
        </w:rPr>
        <w:t>1.2.3</w:t>
      </w:r>
      <w:r w:rsidRPr="007149C6">
        <w:rPr>
          <w:bCs/>
        </w:rPr>
        <w:tab/>
        <w:t>List of abbreviations</w:t>
      </w:r>
    </w:p>
    <w:p w14:paraId="4EB4A0AC" w14:textId="77777777" w:rsidR="000B3F66" w:rsidRPr="007149C6" w:rsidRDefault="000B3F66" w:rsidP="00DC3AE0">
      <w:pPr>
        <w:snapToGrid w:val="0"/>
        <w:spacing w:before="120" w:after="120" w:line="240" w:lineRule="auto"/>
        <w:ind w:left="1134" w:right="1134"/>
        <w:rPr>
          <w:bCs/>
        </w:rPr>
      </w:pPr>
      <w:r w:rsidRPr="007149C6">
        <w:rPr>
          <w:bCs/>
        </w:rPr>
        <w:t>In RID/</w:t>
      </w:r>
      <w:r w:rsidRPr="00DC3AE0">
        <w:rPr>
          <w:bCs/>
          <w:iCs/>
        </w:rPr>
        <w:t>ADR</w:t>
      </w:r>
      <w:r w:rsidRPr="007149C6">
        <w:rPr>
          <w:bCs/>
        </w:rPr>
        <w:t>/ADN, abbreviations, acronyms and abbreviated designations of regulatory texts are used, with the following meaning:</w:t>
      </w:r>
    </w:p>
    <w:p w14:paraId="0284D1C9" w14:textId="77777777" w:rsidR="000B3F66" w:rsidRPr="002B68E7" w:rsidRDefault="000B3F66" w:rsidP="00DC3AE0">
      <w:pPr>
        <w:tabs>
          <w:tab w:val="left" w:pos="2268"/>
        </w:tabs>
        <w:snapToGrid w:val="0"/>
        <w:spacing w:before="120" w:after="120"/>
        <w:ind w:left="2268"/>
        <w:rPr>
          <w:b/>
        </w:rPr>
      </w:pPr>
      <w:r w:rsidRPr="002B68E7">
        <w:rPr>
          <w:b/>
        </w:rPr>
        <w:t>A</w:t>
      </w:r>
    </w:p>
    <w:p w14:paraId="3C70C3B1" w14:textId="77777777" w:rsidR="000B3F66" w:rsidRPr="002B68E7" w:rsidRDefault="000B3F66" w:rsidP="00DC3AE0">
      <w:pPr>
        <w:tabs>
          <w:tab w:val="left" w:pos="2268"/>
        </w:tabs>
        <w:snapToGrid w:val="0"/>
        <w:spacing w:before="120" w:after="120"/>
        <w:ind w:left="2268" w:right="1134"/>
      </w:pPr>
      <w:r w:rsidRPr="002B68E7">
        <w:rPr>
          <w:i/>
        </w:rPr>
        <w:t>“ADN”</w:t>
      </w:r>
      <w:r w:rsidRPr="002B68E7">
        <w:t xml:space="preserve"> means the European Agreement concerning the International Carriage of Dangerous Goods by Inland </w:t>
      </w:r>
      <w:proofErr w:type="gramStart"/>
      <w:r w:rsidRPr="002B68E7">
        <w:t>Waterways;</w:t>
      </w:r>
      <w:proofErr w:type="gramEnd"/>
    </w:p>
    <w:p w14:paraId="4D103591" w14:textId="77777777" w:rsidR="000B3F66" w:rsidRPr="002B68E7" w:rsidRDefault="000B3F66" w:rsidP="00DC3AE0">
      <w:pPr>
        <w:tabs>
          <w:tab w:val="left" w:pos="2268"/>
        </w:tabs>
        <w:snapToGrid w:val="0"/>
        <w:spacing w:before="120" w:after="120"/>
        <w:ind w:left="2268" w:right="1134"/>
      </w:pPr>
      <w:r w:rsidRPr="002B68E7">
        <w:t>(RID:)</w:t>
      </w:r>
    </w:p>
    <w:p w14:paraId="01E3EB79" w14:textId="77777777" w:rsidR="000B3F66" w:rsidRPr="002B68E7" w:rsidRDefault="000B3F66" w:rsidP="00DC3AE0">
      <w:pPr>
        <w:tabs>
          <w:tab w:val="left" w:pos="2268"/>
        </w:tabs>
        <w:snapToGrid w:val="0"/>
        <w:spacing w:before="120" w:after="120"/>
        <w:ind w:left="2268" w:right="1134"/>
      </w:pPr>
      <w:r w:rsidRPr="002B68E7">
        <w:rPr>
          <w:i/>
        </w:rPr>
        <w:t>“ADR”</w:t>
      </w:r>
      <w:r w:rsidRPr="002B68E7">
        <w:t xml:space="preserve"> means the Agreement concerning the International Carriage of Dangerous Goods by Road, including all special agreements signed by those states involved in the transport </w:t>
      </w:r>
      <w:proofErr w:type="gramStart"/>
      <w:r w:rsidRPr="002B68E7">
        <w:t>operation;</w:t>
      </w:r>
      <w:proofErr w:type="gramEnd"/>
    </w:p>
    <w:p w14:paraId="1FCD34BC" w14:textId="77777777" w:rsidR="000B3F66" w:rsidRDefault="000B3F66" w:rsidP="00DC3AE0">
      <w:pPr>
        <w:tabs>
          <w:tab w:val="left" w:pos="2268"/>
        </w:tabs>
        <w:snapToGrid w:val="0"/>
        <w:spacing w:before="120" w:after="120"/>
        <w:ind w:left="2268" w:right="1134"/>
      </w:pPr>
      <w:r w:rsidRPr="002B68E7">
        <w:rPr>
          <w:i/>
        </w:rPr>
        <w:t>“ASTM”</w:t>
      </w:r>
      <w:r w:rsidRPr="002B68E7">
        <w:t xml:space="preserve"> means the American Society for Testing and Materials (ASTM International, 100 Barr </w:t>
      </w:r>
      <w:proofErr w:type="spellStart"/>
      <w:r w:rsidRPr="002B68E7">
        <w:t>Harbor</w:t>
      </w:r>
      <w:proofErr w:type="spellEnd"/>
      <w:r w:rsidRPr="002B68E7">
        <w:t xml:space="preserve"> Drive, PO Box C700, West Conshohocken, PA, 19428-2959, United States of America</w:t>
      </w:r>
      <w:r w:rsidRPr="007C1EBD">
        <w:t xml:space="preserve">), </w:t>
      </w:r>
      <w:hyperlink r:id="rId16" w:history="1">
        <w:r w:rsidRPr="007C1EBD">
          <w:rPr>
            <w:rStyle w:val="Lienhypertexte"/>
            <w:color w:val="auto"/>
          </w:rPr>
          <w:t>www.astm.org</w:t>
        </w:r>
      </w:hyperlink>
      <w:r w:rsidRPr="002B68E7">
        <w:t>;</w:t>
      </w:r>
    </w:p>
    <w:p w14:paraId="1E6CD77C" w14:textId="77777777" w:rsidR="000B3F66" w:rsidRPr="002B68E7" w:rsidRDefault="000B3F66" w:rsidP="00DC3AE0">
      <w:pPr>
        <w:tabs>
          <w:tab w:val="left" w:pos="2268"/>
        </w:tabs>
        <w:snapToGrid w:val="0"/>
        <w:spacing w:before="120" w:after="120"/>
        <w:ind w:left="2268" w:right="1134"/>
        <w:rPr>
          <w:b/>
        </w:rPr>
      </w:pPr>
      <w:r w:rsidRPr="002B68E7">
        <w:rPr>
          <w:b/>
        </w:rPr>
        <w:t>C</w:t>
      </w:r>
    </w:p>
    <w:p w14:paraId="50936997" w14:textId="77777777" w:rsidR="000B3F66" w:rsidRPr="002B68E7" w:rsidRDefault="000B3F66" w:rsidP="00DC3AE0">
      <w:pPr>
        <w:tabs>
          <w:tab w:val="left" w:pos="2268"/>
        </w:tabs>
        <w:snapToGrid w:val="0"/>
        <w:spacing w:before="120" w:after="120"/>
        <w:ind w:left="2268" w:right="1134"/>
      </w:pPr>
      <w:r w:rsidRPr="002B68E7">
        <w:rPr>
          <w:i/>
        </w:rPr>
        <w:t>“CGA”</w:t>
      </w:r>
      <w:r w:rsidRPr="002B68E7">
        <w:t xml:space="preserve"> means the Compressed Gas Association, 14501 George Carter Way, Suite 103, Chantilly, VA 20151, United States of America, </w:t>
      </w:r>
      <w:proofErr w:type="gramStart"/>
      <w:r w:rsidRPr="002B68E7">
        <w:t>www.cganet.com;</w:t>
      </w:r>
      <w:proofErr w:type="gramEnd"/>
    </w:p>
    <w:p w14:paraId="4246B2E0" w14:textId="77777777" w:rsidR="000B3F66" w:rsidRPr="002B68E7" w:rsidRDefault="000B3F66" w:rsidP="00DC3AE0">
      <w:pPr>
        <w:tabs>
          <w:tab w:val="left" w:pos="2268"/>
        </w:tabs>
        <w:snapToGrid w:val="0"/>
        <w:spacing w:before="120" w:after="120"/>
        <w:ind w:left="2268" w:right="1134"/>
      </w:pPr>
      <w:r w:rsidRPr="002B68E7">
        <w:rPr>
          <w:i/>
        </w:rPr>
        <w:t>“CIM”</w:t>
      </w:r>
      <w:r w:rsidRPr="002B68E7">
        <w:t xml:space="preserve"> means the Uniform Rules Concerning the Contract of International Carriage of Goods by Rail (Appendix B to the Convention concerning International Carriage by Rail (COTIF)), as </w:t>
      </w:r>
      <w:proofErr w:type="gramStart"/>
      <w:r w:rsidRPr="002B68E7">
        <w:t>amended;</w:t>
      </w:r>
      <w:proofErr w:type="gramEnd"/>
    </w:p>
    <w:p w14:paraId="2D49203B" w14:textId="77777777" w:rsidR="000B3F66" w:rsidRPr="002B68E7" w:rsidRDefault="000B3F66" w:rsidP="00DC3AE0">
      <w:pPr>
        <w:tabs>
          <w:tab w:val="left" w:pos="2268"/>
        </w:tabs>
        <w:snapToGrid w:val="0"/>
        <w:spacing w:before="120" w:after="120"/>
        <w:ind w:left="2268" w:right="1134"/>
      </w:pPr>
      <w:r w:rsidRPr="002B68E7">
        <w:rPr>
          <w:i/>
        </w:rPr>
        <w:t>“CMR”</w:t>
      </w:r>
      <w:r w:rsidRPr="002B68E7">
        <w:t xml:space="preserve"> means the Convention on the Contract for the International Carriage of Goods by Road (Geneva, 19 May 1956), as </w:t>
      </w:r>
      <w:proofErr w:type="gramStart"/>
      <w:r w:rsidRPr="002B68E7">
        <w:t>amended;</w:t>
      </w:r>
      <w:proofErr w:type="gramEnd"/>
    </w:p>
    <w:p w14:paraId="69663DA4" w14:textId="77777777" w:rsidR="000B3F66" w:rsidRPr="002B68E7" w:rsidRDefault="000B3F66" w:rsidP="00DC3AE0">
      <w:pPr>
        <w:tabs>
          <w:tab w:val="left" w:pos="2268"/>
        </w:tabs>
        <w:snapToGrid w:val="0"/>
        <w:spacing w:before="120" w:after="120"/>
        <w:ind w:left="2268" w:right="1134"/>
      </w:pPr>
      <w:r w:rsidRPr="002B68E7">
        <w:rPr>
          <w:i/>
        </w:rPr>
        <w:t xml:space="preserve">“CNG”, </w:t>
      </w:r>
      <w:r>
        <w:t>means compressed n</w:t>
      </w:r>
      <w:r w:rsidRPr="002B68E7">
        <w:t xml:space="preserve">atural </w:t>
      </w:r>
      <w:r>
        <w:t>g</w:t>
      </w:r>
      <w:r w:rsidRPr="002B68E7">
        <w:t xml:space="preserve">as </w:t>
      </w:r>
      <w:r>
        <w:t xml:space="preserve">(see </w:t>
      </w:r>
      <w:r w:rsidRPr="002B68E7">
        <w:t>1.2.1</w:t>
      </w:r>
      <w:proofErr w:type="gramStart"/>
      <w:r>
        <w:t>)</w:t>
      </w:r>
      <w:r w:rsidRPr="002B68E7">
        <w:t>;</w:t>
      </w:r>
      <w:proofErr w:type="gramEnd"/>
    </w:p>
    <w:p w14:paraId="12579DFD" w14:textId="77777777" w:rsidR="000B3F66" w:rsidRPr="002B68E7" w:rsidRDefault="000B3F66" w:rsidP="00DC3AE0">
      <w:pPr>
        <w:tabs>
          <w:tab w:val="left" w:pos="2268"/>
        </w:tabs>
        <w:snapToGrid w:val="0"/>
        <w:spacing w:before="120" w:after="120"/>
        <w:ind w:left="2268" w:right="1134"/>
      </w:pPr>
      <w:r w:rsidRPr="002B68E7">
        <w:rPr>
          <w:i/>
        </w:rPr>
        <w:t>“CSC”</w:t>
      </w:r>
      <w:r w:rsidRPr="002B68E7">
        <w:t xml:space="preserve"> means the International Convention for Safe Containers (Geneva, 1972) as amended and published by the International Maritime Organization (IMO), </w:t>
      </w:r>
      <w:proofErr w:type="gramStart"/>
      <w:r w:rsidRPr="002B68E7">
        <w:t>London;</w:t>
      </w:r>
      <w:proofErr w:type="gramEnd"/>
    </w:p>
    <w:p w14:paraId="4654AB7B" w14:textId="77777777" w:rsidR="000B3F66" w:rsidRPr="002B68E7" w:rsidRDefault="000B3F66" w:rsidP="00DC3AE0">
      <w:pPr>
        <w:tabs>
          <w:tab w:val="left" w:pos="2268"/>
        </w:tabs>
        <w:snapToGrid w:val="0"/>
        <w:spacing w:before="120" w:after="120"/>
        <w:ind w:left="2268" w:right="1134"/>
      </w:pPr>
      <w:r w:rsidRPr="002B68E7">
        <w:rPr>
          <w:i/>
        </w:rPr>
        <w:t>“CSI”</w:t>
      </w:r>
      <w:r>
        <w:rPr>
          <w:i/>
        </w:rPr>
        <w:t xml:space="preserve"> </w:t>
      </w:r>
      <w:r w:rsidRPr="00933EDD">
        <w:t>means</w:t>
      </w:r>
      <w:r w:rsidRPr="002B68E7">
        <w:t xml:space="preserve"> </w:t>
      </w:r>
      <w:r>
        <w:t>c</w:t>
      </w:r>
      <w:r w:rsidRPr="002B68E7">
        <w:t xml:space="preserve">riticality safety index </w:t>
      </w:r>
      <w:r>
        <w:t xml:space="preserve">(see </w:t>
      </w:r>
      <w:r w:rsidRPr="002B68E7">
        <w:t>1.2.1</w:t>
      </w:r>
      <w:proofErr w:type="gramStart"/>
      <w:r>
        <w:t>)</w:t>
      </w:r>
      <w:r w:rsidRPr="002B68E7">
        <w:t>;</w:t>
      </w:r>
      <w:proofErr w:type="gramEnd"/>
    </w:p>
    <w:p w14:paraId="39436CD8" w14:textId="77777777" w:rsidR="000B3F66" w:rsidRPr="002B68E7" w:rsidRDefault="000B3F66" w:rsidP="00DC3AE0">
      <w:pPr>
        <w:tabs>
          <w:tab w:val="left" w:pos="2268"/>
        </w:tabs>
        <w:snapToGrid w:val="0"/>
        <w:spacing w:before="120" w:after="120"/>
        <w:ind w:left="2268"/>
        <w:rPr>
          <w:b/>
        </w:rPr>
      </w:pPr>
      <w:r w:rsidRPr="002B68E7">
        <w:rPr>
          <w:b/>
        </w:rPr>
        <w:t>E</w:t>
      </w:r>
    </w:p>
    <w:p w14:paraId="6AB3682B" w14:textId="77777777" w:rsidR="000B3F66" w:rsidRPr="002B68E7" w:rsidRDefault="000B3F66" w:rsidP="00DC3AE0">
      <w:pPr>
        <w:tabs>
          <w:tab w:val="left" w:pos="2268"/>
        </w:tabs>
        <w:snapToGrid w:val="0"/>
        <w:spacing w:before="120" w:after="120"/>
        <w:ind w:left="2268" w:right="1134"/>
      </w:pPr>
      <w:r w:rsidRPr="002B68E7">
        <w:t>(RID:)</w:t>
      </w:r>
    </w:p>
    <w:p w14:paraId="7FB02151" w14:textId="77777777" w:rsidR="000B3F66" w:rsidRPr="002B68E7" w:rsidRDefault="000B3F66" w:rsidP="00DC3AE0">
      <w:pPr>
        <w:tabs>
          <w:tab w:val="left" w:pos="2268"/>
        </w:tabs>
        <w:snapToGrid w:val="0"/>
        <w:spacing w:before="120" w:after="120"/>
        <w:ind w:left="2268" w:right="1134"/>
      </w:pPr>
      <w:r w:rsidRPr="002B68E7">
        <w:rPr>
          <w:i/>
        </w:rPr>
        <w:t>“ECM”</w:t>
      </w:r>
      <w:r>
        <w:rPr>
          <w:i/>
        </w:rPr>
        <w:t xml:space="preserve"> </w:t>
      </w:r>
      <w:r w:rsidRPr="00933EDD">
        <w:t>means</w:t>
      </w:r>
      <w:r>
        <w:rPr>
          <w:i/>
        </w:rPr>
        <w:t xml:space="preserve"> </w:t>
      </w:r>
      <w:r>
        <w:t>e</w:t>
      </w:r>
      <w:r w:rsidRPr="002B68E7">
        <w:t xml:space="preserve">ntity in charge of maintenance </w:t>
      </w:r>
      <w:r>
        <w:t xml:space="preserve">(see </w:t>
      </w:r>
      <w:r w:rsidRPr="002B68E7">
        <w:t>1.2.1</w:t>
      </w:r>
      <w:proofErr w:type="gramStart"/>
      <w:r>
        <w:t>)</w:t>
      </w:r>
      <w:r w:rsidRPr="002B68E7">
        <w:t>;</w:t>
      </w:r>
      <w:proofErr w:type="gramEnd"/>
    </w:p>
    <w:p w14:paraId="22FB2F9E" w14:textId="30FA1CFC" w:rsidR="000B3F66" w:rsidRPr="008412C2" w:rsidRDefault="008B2764" w:rsidP="00DC3AE0">
      <w:pPr>
        <w:tabs>
          <w:tab w:val="left" w:pos="2268"/>
        </w:tabs>
        <w:snapToGrid w:val="0"/>
        <w:spacing w:before="120" w:after="120"/>
        <w:ind w:left="2268" w:right="1134"/>
        <w:rPr>
          <w:i/>
        </w:rPr>
      </w:pPr>
      <w:r w:rsidRPr="008B2764">
        <w:rPr>
          <w:bCs/>
          <w:i/>
          <w:iCs/>
        </w:rPr>
        <w:t>“</w:t>
      </w:r>
      <w:r w:rsidR="000B3F66" w:rsidRPr="00264CFB">
        <w:rPr>
          <w:i/>
          <w:lang w:val="fr-FR"/>
        </w:rPr>
        <w:t>EIGA</w:t>
      </w:r>
      <w:r w:rsidR="008412C2" w:rsidRPr="008412C2">
        <w:rPr>
          <w:i/>
          <w:lang w:val="fr-FR"/>
        </w:rPr>
        <w:t>”</w:t>
      </w:r>
      <w:r w:rsidR="000B3F66" w:rsidRPr="00264CFB">
        <w:rPr>
          <w:lang w:val="fr-FR"/>
        </w:rPr>
        <w:t xml:space="preserve"> </w:t>
      </w:r>
      <w:r w:rsidR="000B3F66" w:rsidRPr="008412C2">
        <w:t xml:space="preserve">means European Industrial Gas Association, 30 Avenue de </w:t>
      </w:r>
      <w:proofErr w:type="spellStart"/>
      <w:r w:rsidR="000B3F66" w:rsidRPr="008412C2">
        <w:t>l'Astronomie</w:t>
      </w:r>
      <w:proofErr w:type="spellEnd"/>
      <w:r w:rsidR="000B3F66" w:rsidRPr="008412C2">
        <w:t xml:space="preserve">, 1210 Brussels (Belgium), </w:t>
      </w:r>
      <w:proofErr w:type="gramStart"/>
      <w:r w:rsidR="000B3F66" w:rsidRPr="008412C2">
        <w:t>www.eiga.eu;</w:t>
      </w:r>
      <w:proofErr w:type="gramEnd"/>
    </w:p>
    <w:p w14:paraId="195E785F" w14:textId="77777777" w:rsidR="000B3F66" w:rsidRPr="008412C2" w:rsidRDefault="000B3F66" w:rsidP="00DC3AE0">
      <w:pPr>
        <w:tabs>
          <w:tab w:val="left" w:pos="2268"/>
        </w:tabs>
        <w:snapToGrid w:val="0"/>
        <w:spacing w:before="120" w:after="120"/>
        <w:ind w:left="2268" w:right="1134"/>
      </w:pPr>
      <w:r w:rsidRPr="008412C2">
        <w:rPr>
          <w:i/>
        </w:rPr>
        <w:t>“EN”</w:t>
      </w:r>
      <w:r w:rsidRPr="008412C2">
        <w:t xml:space="preserve"> (standard) means a European standard published by the European Committee for Standardization (CEN) (CEN, Avenue </w:t>
      </w:r>
      <w:proofErr w:type="spellStart"/>
      <w:r w:rsidRPr="008412C2">
        <w:t>Marnix</w:t>
      </w:r>
      <w:proofErr w:type="spellEnd"/>
      <w:r w:rsidRPr="008412C2">
        <w:t xml:space="preserve"> 17, B-1000 Brussels, Belgium), </w:t>
      </w:r>
      <w:hyperlink r:id="rId17" w:history="1">
        <w:r w:rsidRPr="008412C2">
          <w:rPr>
            <w:rStyle w:val="Lienhypertexte"/>
            <w:color w:val="auto"/>
          </w:rPr>
          <w:t>www.cen.eu</w:t>
        </w:r>
      </w:hyperlink>
      <w:r w:rsidRPr="008412C2">
        <w:t>;</w:t>
      </w:r>
    </w:p>
    <w:p w14:paraId="583CA249" w14:textId="77777777" w:rsidR="000B3F66" w:rsidRPr="002B68E7" w:rsidRDefault="000B3F66" w:rsidP="00DC3AE0">
      <w:pPr>
        <w:tabs>
          <w:tab w:val="left" w:pos="2268"/>
        </w:tabs>
        <w:snapToGrid w:val="0"/>
        <w:spacing w:before="120" w:after="120"/>
        <w:ind w:left="2268"/>
        <w:rPr>
          <w:b/>
        </w:rPr>
      </w:pPr>
      <w:r w:rsidRPr="002B68E7">
        <w:rPr>
          <w:b/>
        </w:rPr>
        <w:t>G</w:t>
      </w:r>
    </w:p>
    <w:p w14:paraId="292AB931" w14:textId="77777777" w:rsidR="000B3F66" w:rsidRDefault="000B3F66" w:rsidP="00DC3AE0">
      <w:pPr>
        <w:tabs>
          <w:tab w:val="left" w:pos="2268"/>
        </w:tabs>
        <w:snapToGrid w:val="0"/>
        <w:spacing w:before="120" w:after="120"/>
        <w:ind w:left="2268" w:right="1134"/>
      </w:pPr>
      <w:r w:rsidRPr="002B68E7">
        <w:rPr>
          <w:i/>
        </w:rPr>
        <w:t>“GHS”</w:t>
      </w:r>
      <w:r w:rsidRPr="002B68E7">
        <w:t xml:space="preserve"> means Globally Harmonized System of Classification and Labelling of Chemicals</w:t>
      </w:r>
      <w:r>
        <w:t xml:space="preserve"> (see 1.2.1</w:t>
      </w:r>
      <w:proofErr w:type="gramStart"/>
      <w:r>
        <w:t>)</w:t>
      </w:r>
      <w:r w:rsidRPr="002B68E7">
        <w:t>;</w:t>
      </w:r>
      <w:proofErr w:type="gramEnd"/>
    </w:p>
    <w:p w14:paraId="670F4B24" w14:textId="77777777" w:rsidR="000B3F66" w:rsidRPr="002B68E7" w:rsidRDefault="000B3F66" w:rsidP="00DC3AE0">
      <w:pPr>
        <w:tabs>
          <w:tab w:val="left" w:pos="2268"/>
        </w:tabs>
        <w:snapToGrid w:val="0"/>
        <w:spacing w:before="120" w:after="120"/>
        <w:ind w:left="2268" w:right="1134"/>
        <w:rPr>
          <w:b/>
        </w:rPr>
      </w:pPr>
      <w:r w:rsidRPr="002B68E7">
        <w:rPr>
          <w:b/>
        </w:rPr>
        <w:lastRenderedPageBreak/>
        <w:t>I</w:t>
      </w:r>
    </w:p>
    <w:p w14:paraId="50C282B6" w14:textId="77777777" w:rsidR="000B3F66" w:rsidRPr="002B68E7" w:rsidRDefault="000B3F66" w:rsidP="00DC3AE0">
      <w:pPr>
        <w:tabs>
          <w:tab w:val="left" w:pos="2268"/>
        </w:tabs>
        <w:snapToGrid w:val="0"/>
        <w:spacing w:before="120" w:after="120"/>
        <w:ind w:left="2268" w:right="1134"/>
      </w:pPr>
      <w:r w:rsidRPr="002B68E7">
        <w:rPr>
          <w:i/>
        </w:rPr>
        <w:t>“IAEA”</w:t>
      </w:r>
      <w:r w:rsidRPr="002B68E7">
        <w:t xml:space="preserve"> means the International Atomic Energy Agency</w:t>
      </w:r>
      <w:r>
        <w:t xml:space="preserve">, </w:t>
      </w:r>
      <w:r w:rsidRPr="002B68E7">
        <w:t xml:space="preserve">P.O. </w:t>
      </w:r>
      <w:r>
        <w:t>Box 100, 1400 Vienna, Austria</w:t>
      </w:r>
      <w:r w:rsidRPr="002B68E7">
        <w:t xml:space="preserve">, </w:t>
      </w:r>
      <w:proofErr w:type="gramStart"/>
      <w:r w:rsidRPr="002B68E7">
        <w:t>www.iaea.org;</w:t>
      </w:r>
      <w:proofErr w:type="gramEnd"/>
    </w:p>
    <w:p w14:paraId="511D69C4" w14:textId="77777777" w:rsidR="000B3F66" w:rsidRPr="002B68E7" w:rsidRDefault="000B3F66" w:rsidP="00DC3AE0">
      <w:pPr>
        <w:tabs>
          <w:tab w:val="left" w:pos="2268"/>
        </w:tabs>
        <w:snapToGrid w:val="0"/>
        <w:spacing w:before="120" w:after="120"/>
        <w:ind w:left="2268" w:right="1134" w:hanging="1418"/>
      </w:pPr>
      <w:r>
        <w:rPr>
          <w:i/>
        </w:rPr>
        <w:tab/>
      </w:r>
      <w:r w:rsidRPr="002B68E7">
        <w:rPr>
          <w:i/>
        </w:rPr>
        <w:t>“IBC”</w:t>
      </w:r>
      <w:r>
        <w:rPr>
          <w:i/>
        </w:rPr>
        <w:t xml:space="preserve"> </w:t>
      </w:r>
      <w:r w:rsidRPr="00264CFB">
        <w:t>means</w:t>
      </w:r>
      <w:r>
        <w:t xml:space="preserve"> i</w:t>
      </w:r>
      <w:r w:rsidRPr="002B68E7">
        <w:t xml:space="preserve">ntermediate bulk container </w:t>
      </w:r>
      <w:r>
        <w:t>(see</w:t>
      </w:r>
      <w:r w:rsidRPr="002B68E7">
        <w:t xml:space="preserve"> 1.2.1</w:t>
      </w:r>
      <w:proofErr w:type="gramStart"/>
      <w:r>
        <w:t>)</w:t>
      </w:r>
      <w:r w:rsidRPr="002B68E7">
        <w:t>;</w:t>
      </w:r>
      <w:proofErr w:type="gramEnd"/>
    </w:p>
    <w:p w14:paraId="706F6263" w14:textId="77777777" w:rsidR="000B3F66" w:rsidRPr="002B68E7" w:rsidRDefault="000B3F66" w:rsidP="00DC3AE0">
      <w:pPr>
        <w:tabs>
          <w:tab w:val="left" w:pos="2268"/>
        </w:tabs>
        <w:snapToGrid w:val="0"/>
        <w:spacing w:before="120" w:after="120"/>
        <w:ind w:left="2268" w:right="1134"/>
        <w:jc w:val="both"/>
      </w:pPr>
      <w:r w:rsidRPr="002B68E7">
        <w:rPr>
          <w:i/>
        </w:rPr>
        <w:t>“ICAO”</w:t>
      </w:r>
      <w:r w:rsidRPr="002B68E7">
        <w:t xml:space="preserve"> means the Internation</w:t>
      </w:r>
      <w:r>
        <w:t xml:space="preserve">al Civil Aviation Organization, </w:t>
      </w:r>
      <w:r w:rsidRPr="002B68E7">
        <w:t xml:space="preserve">999 University Street, Montreal, Quebec H3C 5H7, Canada, </w:t>
      </w:r>
      <w:proofErr w:type="gramStart"/>
      <w:r w:rsidRPr="002B68E7">
        <w:t>www.icao.org;</w:t>
      </w:r>
      <w:proofErr w:type="gramEnd"/>
    </w:p>
    <w:p w14:paraId="7C1E562A" w14:textId="77777777" w:rsidR="000B3F66" w:rsidRPr="002B68E7" w:rsidRDefault="000B3F66" w:rsidP="00DC3AE0">
      <w:pPr>
        <w:tabs>
          <w:tab w:val="left" w:pos="2268"/>
        </w:tabs>
        <w:snapToGrid w:val="0"/>
        <w:spacing w:before="120" w:after="120"/>
        <w:ind w:left="2268" w:right="1134" w:hanging="1418"/>
        <w:jc w:val="both"/>
      </w:pPr>
      <w:r>
        <w:rPr>
          <w:i/>
        </w:rPr>
        <w:tab/>
      </w:r>
      <w:r w:rsidRPr="002B68E7">
        <w:rPr>
          <w:i/>
        </w:rPr>
        <w:t>“IMDG”</w:t>
      </w:r>
      <w:r w:rsidRPr="00264CFB">
        <w:t xml:space="preserve"> means </w:t>
      </w:r>
      <w:r w:rsidRPr="002B68E7">
        <w:t xml:space="preserve">IMDG Code </w:t>
      </w:r>
      <w:r>
        <w:t xml:space="preserve">(see </w:t>
      </w:r>
      <w:r w:rsidRPr="002B68E7">
        <w:t>1.2.1</w:t>
      </w:r>
      <w:proofErr w:type="gramStart"/>
      <w:r>
        <w:t>)</w:t>
      </w:r>
      <w:r w:rsidRPr="002B68E7">
        <w:t>;</w:t>
      </w:r>
      <w:proofErr w:type="gramEnd"/>
    </w:p>
    <w:p w14:paraId="32DC802C" w14:textId="77777777" w:rsidR="000B3F66" w:rsidRPr="007C1EBD" w:rsidRDefault="000B3F66" w:rsidP="00DC3AE0">
      <w:pPr>
        <w:tabs>
          <w:tab w:val="left" w:pos="2268"/>
        </w:tabs>
        <w:snapToGrid w:val="0"/>
        <w:spacing w:before="120" w:after="120"/>
        <w:ind w:left="2268" w:right="1134"/>
        <w:jc w:val="both"/>
      </w:pPr>
      <w:r w:rsidRPr="002B68E7">
        <w:rPr>
          <w:i/>
        </w:rPr>
        <w:t>“IMO”</w:t>
      </w:r>
      <w:r w:rsidRPr="002B68E7">
        <w:t xml:space="preserve"> means the </w:t>
      </w:r>
      <w:r w:rsidRPr="007C1EBD">
        <w:t xml:space="preserve">International Maritime Organization, 4 Albert Embankment, London SE1 7SR, United Kingdom, </w:t>
      </w:r>
      <w:hyperlink r:id="rId18" w:history="1">
        <w:r w:rsidRPr="007C1EBD">
          <w:rPr>
            <w:rStyle w:val="Lienhypertexte"/>
            <w:color w:val="auto"/>
          </w:rPr>
          <w:t>www.imo.org</w:t>
        </w:r>
      </w:hyperlink>
      <w:r w:rsidRPr="007C1EBD">
        <w:t>;</w:t>
      </w:r>
    </w:p>
    <w:p w14:paraId="502DD5A6" w14:textId="77777777" w:rsidR="000B3F66" w:rsidRPr="007C1EBD" w:rsidRDefault="000B3F66" w:rsidP="00DC3AE0">
      <w:pPr>
        <w:tabs>
          <w:tab w:val="left" w:pos="2268"/>
        </w:tabs>
        <w:snapToGrid w:val="0"/>
        <w:spacing w:before="120" w:after="120"/>
        <w:ind w:left="2268" w:right="1134"/>
        <w:jc w:val="both"/>
      </w:pPr>
      <w:r w:rsidRPr="007C1EBD">
        <w:rPr>
          <w:i/>
        </w:rPr>
        <w:t>“ISO”</w:t>
      </w:r>
      <w:r w:rsidRPr="007C1EBD">
        <w:t xml:space="preserve"> (standard) means an international standard published by the International Organization for Standardization, 1, rue de </w:t>
      </w:r>
      <w:proofErr w:type="spellStart"/>
      <w:r w:rsidRPr="007C1EBD">
        <w:t>Varembé</w:t>
      </w:r>
      <w:proofErr w:type="spellEnd"/>
      <w:r w:rsidRPr="007C1EBD">
        <w:t xml:space="preserve">, 1204 Geneva 20, Switzerland, </w:t>
      </w:r>
      <w:hyperlink r:id="rId19" w:history="1">
        <w:r w:rsidRPr="007C1EBD">
          <w:rPr>
            <w:rStyle w:val="Lienhypertexte"/>
            <w:color w:val="auto"/>
          </w:rPr>
          <w:t>www.iso.org</w:t>
        </w:r>
      </w:hyperlink>
      <w:r w:rsidRPr="007C1EBD">
        <w:t>;</w:t>
      </w:r>
    </w:p>
    <w:p w14:paraId="096A2DF4" w14:textId="77777777" w:rsidR="000B3F66" w:rsidRPr="002B68E7" w:rsidRDefault="000B3F66" w:rsidP="00DC3AE0">
      <w:pPr>
        <w:tabs>
          <w:tab w:val="left" w:pos="2268"/>
        </w:tabs>
        <w:snapToGrid w:val="0"/>
        <w:spacing w:before="120" w:after="120"/>
        <w:ind w:left="2268" w:right="1134"/>
        <w:rPr>
          <w:b/>
        </w:rPr>
      </w:pPr>
      <w:r w:rsidRPr="002B68E7">
        <w:rPr>
          <w:b/>
        </w:rPr>
        <w:t>L</w:t>
      </w:r>
    </w:p>
    <w:p w14:paraId="4971ABA7" w14:textId="77777777" w:rsidR="000B3F66" w:rsidRDefault="000B3F66" w:rsidP="00DC3AE0">
      <w:pPr>
        <w:tabs>
          <w:tab w:val="left" w:pos="2268"/>
        </w:tabs>
        <w:snapToGrid w:val="0"/>
        <w:spacing w:before="120" w:after="120"/>
        <w:ind w:left="2268" w:right="1134"/>
      </w:pPr>
      <w:r w:rsidRPr="002B68E7">
        <w:rPr>
          <w:i/>
        </w:rPr>
        <w:t>“LNG”</w:t>
      </w:r>
      <w:r>
        <w:rPr>
          <w:i/>
        </w:rPr>
        <w:t xml:space="preserve"> </w:t>
      </w:r>
      <w:r w:rsidRPr="00264CFB">
        <w:t>means</w:t>
      </w:r>
      <w:r>
        <w:rPr>
          <w:i/>
        </w:rPr>
        <w:t xml:space="preserve"> </w:t>
      </w:r>
      <w:r w:rsidRPr="00264CFB">
        <w:t>l</w:t>
      </w:r>
      <w:r w:rsidRPr="002B68E7">
        <w:t xml:space="preserve">iquefied </w:t>
      </w:r>
      <w:r>
        <w:t>natural g</w:t>
      </w:r>
      <w:r w:rsidRPr="002B68E7">
        <w:t xml:space="preserve">as </w:t>
      </w:r>
      <w:r>
        <w:t xml:space="preserve">(see </w:t>
      </w:r>
      <w:r w:rsidRPr="002B68E7">
        <w:t>1.2.1</w:t>
      </w:r>
      <w:proofErr w:type="gramStart"/>
      <w:r>
        <w:t>)</w:t>
      </w:r>
      <w:r w:rsidRPr="002B68E7">
        <w:t>;</w:t>
      </w:r>
      <w:proofErr w:type="gramEnd"/>
    </w:p>
    <w:p w14:paraId="28D3007C" w14:textId="77777777" w:rsidR="000B3F66" w:rsidRDefault="000B3F66" w:rsidP="00DC3AE0">
      <w:pPr>
        <w:tabs>
          <w:tab w:val="left" w:pos="2268"/>
        </w:tabs>
        <w:snapToGrid w:val="0"/>
        <w:spacing w:before="120" w:after="120"/>
        <w:ind w:left="2268" w:right="1134"/>
      </w:pPr>
      <w:r w:rsidRPr="002B68E7">
        <w:rPr>
          <w:i/>
        </w:rPr>
        <w:t>“LPG”</w:t>
      </w:r>
      <w:r>
        <w:rPr>
          <w:i/>
        </w:rPr>
        <w:t xml:space="preserve"> </w:t>
      </w:r>
      <w:r w:rsidRPr="00264CFB">
        <w:t>means</w:t>
      </w:r>
      <w:r>
        <w:t xml:space="preserve"> </w:t>
      </w:r>
      <w:r w:rsidRPr="00264CFB">
        <w:t>l</w:t>
      </w:r>
      <w:r w:rsidRPr="002B68E7">
        <w:t xml:space="preserve">iquefied </w:t>
      </w:r>
      <w:r>
        <w:t>petroleum g</w:t>
      </w:r>
      <w:r w:rsidRPr="002B68E7">
        <w:t>as</w:t>
      </w:r>
      <w:r>
        <w:t xml:space="preserve"> (see</w:t>
      </w:r>
      <w:r w:rsidRPr="002B68E7">
        <w:t xml:space="preserve"> 1.2.1</w:t>
      </w:r>
      <w:proofErr w:type="gramStart"/>
      <w:r>
        <w:t>)</w:t>
      </w:r>
      <w:r w:rsidRPr="002B68E7">
        <w:t>;</w:t>
      </w:r>
      <w:proofErr w:type="gramEnd"/>
    </w:p>
    <w:p w14:paraId="41C64E38" w14:textId="79D705CD" w:rsidR="000B3F66" w:rsidRPr="00E45717" w:rsidRDefault="00327A10" w:rsidP="00DC3AE0">
      <w:pPr>
        <w:tabs>
          <w:tab w:val="left" w:pos="2268"/>
        </w:tabs>
        <w:snapToGrid w:val="0"/>
        <w:spacing w:before="120" w:after="120"/>
        <w:ind w:left="2268" w:right="1134"/>
        <w:rPr>
          <w:lang w:val="en-US"/>
        </w:rPr>
      </w:pPr>
      <w:r w:rsidRPr="00327A10">
        <w:rPr>
          <w:i/>
          <w:lang w:val="en-US"/>
        </w:rPr>
        <w:t>“</w:t>
      </w:r>
      <w:r w:rsidR="000B3F66" w:rsidRPr="00264CFB">
        <w:rPr>
          <w:i/>
          <w:lang w:val="en-US"/>
        </w:rPr>
        <w:t>LSA</w:t>
      </w:r>
      <w:r w:rsidR="002F4BD5" w:rsidRPr="002F4BD5">
        <w:rPr>
          <w:i/>
          <w:lang w:val="en-US"/>
        </w:rPr>
        <w:t>”</w:t>
      </w:r>
      <w:r w:rsidR="000B3F66" w:rsidRPr="00264CFB">
        <w:rPr>
          <w:lang w:val="en-US"/>
        </w:rPr>
        <w:t xml:space="preserve"> (material)</w:t>
      </w:r>
      <w:r w:rsidR="000B3F66" w:rsidRPr="00E45717">
        <w:rPr>
          <w:lang w:val="en-US"/>
        </w:rPr>
        <w:t xml:space="preserve"> means low specific activity material (see 2.2.7.1.3</w:t>
      </w:r>
      <w:proofErr w:type="gramStart"/>
      <w:r w:rsidR="000B3F66" w:rsidRPr="00E45717">
        <w:rPr>
          <w:lang w:val="en-US"/>
        </w:rPr>
        <w:t>)</w:t>
      </w:r>
      <w:r w:rsidR="000B3F66">
        <w:rPr>
          <w:lang w:val="en-US"/>
        </w:rPr>
        <w:t>;</w:t>
      </w:r>
      <w:proofErr w:type="gramEnd"/>
    </w:p>
    <w:p w14:paraId="6FB38485" w14:textId="77777777" w:rsidR="000B3F66" w:rsidRPr="002B68E7" w:rsidRDefault="000B3F66" w:rsidP="00DC3AE0">
      <w:pPr>
        <w:tabs>
          <w:tab w:val="left" w:pos="2268"/>
        </w:tabs>
        <w:snapToGrid w:val="0"/>
        <w:spacing w:before="120" w:after="120"/>
        <w:ind w:left="2268" w:right="1134"/>
        <w:rPr>
          <w:b/>
        </w:rPr>
      </w:pPr>
      <w:r w:rsidRPr="002B68E7">
        <w:rPr>
          <w:b/>
        </w:rPr>
        <w:t>M</w:t>
      </w:r>
    </w:p>
    <w:p w14:paraId="54EFDBC6" w14:textId="77777777" w:rsidR="000B3F66" w:rsidRPr="002B68E7" w:rsidRDefault="000B3F66" w:rsidP="00DC3AE0">
      <w:pPr>
        <w:tabs>
          <w:tab w:val="left" w:pos="2268"/>
        </w:tabs>
        <w:snapToGrid w:val="0"/>
        <w:spacing w:before="120" w:after="120"/>
        <w:ind w:left="2268" w:right="1134"/>
      </w:pPr>
      <w:r w:rsidRPr="002B68E7">
        <w:rPr>
          <w:i/>
        </w:rPr>
        <w:t>“MEGC”</w:t>
      </w:r>
      <w:r w:rsidRPr="00264CFB">
        <w:t xml:space="preserve"> means </w:t>
      </w:r>
      <w:r>
        <w:t>multiple-element gas container (see</w:t>
      </w:r>
      <w:r w:rsidRPr="002B68E7">
        <w:t xml:space="preserve"> 1.2.1</w:t>
      </w:r>
      <w:proofErr w:type="gramStart"/>
      <w:r>
        <w:t>)</w:t>
      </w:r>
      <w:r w:rsidRPr="002B68E7">
        <w:t>;</w:t>
      </w:r>
      <w:proofErr w:type="gramEnd"/>
    </w:p>
    <w:p w14:paraId="10CF25B5" w14:textId="77777777" w:rsidR="000B3F66" w:rsidRPr="002B68E7" w:rsidRDefault="000B3F66" w:rsidP="00DC3AE0">
      <w:pPr>
        <w:tabs>
          <w:tab w:val="left" w:pos="2268"/>
        </w:tabs>
        <w:snapToGrid w:val="0"/>
        <w:spacing w:before="120" w:after="120"/>
        <w:ind w:left="2268" w:right="1134"/>
        <w:rPr>
          <w:iCs/>
        </w:rPr>
      </w:pPr>
      <w:r w:rsidRPr="002B68E7">
        <w:rPr>
          <w:iCs/>
        </w:rPr>
        <w:t>(ADR:)</w:t>
      </w:r>
    </w:p>
    <w:p w14:paraId="75E63E02" w14:textId="77777777" w:rsidR="000B3F66" w:rsidRDefault="000B3F66" w:rsidP="00DC3AE0">
      <w:pPr>
        <w:tabs>
          <w:tab w:val="left" w:pos="2268"/>
        </w:tabs>
        <w:snapToGrid w:val="0"/>
        <w:spacing w:before="120" w:after="120"/>
        <w:ind w:left="2268" w:right="1134"/>
      </w:pPr>
      <w:r w:rsidRPr="002B68E7">
        <w:rPr>
          <w:i/>
        </w:rPr>
        <w:t>“MEMU”</w:t>
      </w:r>
      <w:r w:rsidRPr="005350FA">
        <w:t xml:space="preserve"> means </w:t>
      </w:r>
      <w:r>
        <w:t>m</w:t>
      </w:r>
      <w:r w:rsidRPr="002B68E7">
        <w:t xml:space="preserve">obile explosives manufacturing unit </w:t>
      </w:r>
      <w:r>
        <w:t>(see</w:t>
      </w:r>
      <w:r w:rsidRPr="002B68E7">
        <w:t xml:space="preserve"> 1.2.1</w:t>
      </w:r>
      <w:proofErr w:type="gramStart"/>
      <w:r>
        <w:t>)</w:t>
      </w:r>
      <w:r w:rsidRPr="002B68E7">
        <w:t>;</w:t>
      </w:r>
      <w:proofErr w:type="gramEnd"/>
    </w:p>
    <w:p w14:paraId="1CE5C7D8" w14:textId="77777777" w:rsidR="000B3F66" w:rsidRDefault="000B3F66" w:rsidP="00DC3AE0">
      <w:pPr>
        <w:tabs>
          <w:tab w:val="left" w:pos="2268"/>
        </w:tabs>
        <w:snapToGrid w:val="0"/>
        <w:spacing w:before="120" w:after="120"/>
        <w:ind w:left="2268" w:right="1134"/>
        <w:rPr>
          <w:b/>
        </w:rPr>
      </w:pPr>
      <w:r w:rsidRPr="002B68E7">
        <w:rPr>
          <w:b/>
        </w:rPr>
        <w:t>N</w:t>
      </w:r>
    </w:p>
    <w:p w14:paraId="36305959" w14:textId="77777777" w:rsidR="000B3F66" w:rsidRDefault="000B3F66" w:rsidP="00DC3AE0">
      <w:pPr>
        <w:tabs>
          <w:tab w:val="left" w:pos="2268"/>
        </w:tabs>
        <w:snapToGrid w:val="0"/>
        <w:spacing w:before="120" w:after="120"/>
        <w:ind w:left="2268" w:right="1134"/>
      </w:pPr>
      <w:r w:rsidRPr="002B68E7">
        <w:rPr>
          <w:i/>
        </w:rPr>
        <w:t>“N.O.S.”</w:t>
      </w:r>
      <w:r>
        <w:t xml:space="preserve"> means not otherwise specified entry (see</w:t>
      </w:r>
      <w:r w:rsidRPr="002B68E7">
        <w:t xml:space="preserve"> 1.2.1</w:t>
      </w:r>
      <w:proofErr w:type="gramStart"/>
      <w:r>
        <w:t>)</w:t>
      </w:r>
      <w:r w:rsidRPr="002B68E7">
        <w:t>;</w:t>
      </w:r>
      <w:proofErr w:type="gramEnd"/>
    </w:p>
    <w:p w14:paraId="77E087CA" w14:textId="77777777" w:rsidR="000B3F66" w:rsidRPr="002B68E7" w:rsidRDefault="000B3F66" w:rsidP="00DC3AE0">
      <w:pPr>
        <w:tabs>
          <w:tab w:val="left" w:pos="2268"/>
        </w:tabs>
        <w:snapToGrid w:val="0"/>
        <w:spacing w:before="120" w:after="120"/>
        <w:ind w:left="2268" w:right="1134"/>
        <w:rPr>
          <w:b/>
        </w:rPr>
      </w:pPr>
      <w:r w:rsidRPr="002B68E7">
        <w:rPr>
          <w:b/>
        </w:rPr>
        <w:t>O</w:t>
      </w:r>
    </w:p>
    <w:p w14:paraId="7BC65620" w14:textId="77777777" w:rsidR="000B3F66" w:rsidRPr="00481D1E" w:rsidRDefault="000B3F66" w:rsidP="00DC3AE0">
      <w:pPr>
        <w:tabs>
          <w:tab w:val="left" w:pos="2268"/>
        </w:tabs>
        <w:snapToGrid w:val="0"/>
        <w:spacing w:before="120" w:after="120"/>
        <w:ind w:left="2268" w:right="1134"/>
      </w:pPr>
      <w:r w:rsidRPr="00481D1E">
        <w:t>(RID:)</w:t>
      </w:r>
    </w:p>
    <w:p w14:paraId="02E312AC" w14:textId="77777777" w:rsidR="000B3F66" w:rsidRPr="007C1EBD" w:rsidRDefault="000B3F66" w:rsidP="00DC3AE0">
      <w:pPr>
        <w:tabs>
          <w:tab w:val="left" w:pos="2268"/>
        </w:tabs>
        <w:snapToGrid w:val="0"/>
        <w:spacing w:before="120" w:after="120"/>
        <w:ind w:left="2268" w:right="1134"/>
        <w:jc w:val="both"/>
      </w:pPr>
      <w:r w:rsidRPr="002B68E7">
        <w:rPr>
          <w:i/>
        </w:rPr>
        <w:t>“OTIF”</w:t>
      </w:r>
      <w:r w:rsidRPr="002B68E7">
        <w:t xml:space="preserve"> means the </w:t>
      </w:r>
      <w:r w:rsidRPr="007C1EBD">
        <w:t xml:space="preserve">Intergovernmental Organisation for International Carriage by Rail, </w:t>
      </w:r>
      <w:proofErr w:type="spellStart"/>
      <w:r w:rsidRPr="007C1EBD">
        <w:t>Gryphenhübeliweg</w:t>
      </w:r>
      <w:proofErr w:type="spellEnd"/>
      <w:r w:rsidRPr="007C1EBD">
        <w:t xml:space="preserve"> 30, 3006 Bern, Switzerland, </w:t>
      </w:r>
      <w:hyperlink r:id="rId20" w:history="1">
        <w:r w:rsidRPr="007C1EBD">
          <w:rPr>
            <w:rStyle w:val="Lienhypertexte"/>
            <w:color w:val="auto"/>
          </w:rPr>
          <w:t>www.otif.org</w:t>
        </w:r>
      </w:hyperlink>
      <w:r w:rsidRPr="007C1EBD">
        <w:t>;</w:t>
      </w:r>
    </w:p>
    <w:p w14:paraId="5C500C80" w14:textId="77777777" w:rsidR="000B3F66" w:rsidRPr="007C1EBD" w:rsidRDefault="000B3F66" w:rsidP="00DC3AE0">
      <w:pPr>
        <w:tabs>
          <w:tab w:val="left" w:pos="2268"/>
        </w:tabs>
        <w:snapToGrid w:val="0"/>
        <w:spacing w:before="120" w:after="120"/>
        <w:ind w:left="2268" w:right="1134" w:hanging="1418"/>
        <w:rPr>
          <w:b/>
        </w:rPr>
      </w:pPr>
      <w:r w:rsidRPr="007C1EBD">
        <w:rPr>
          <w:b/>
        </w:rPr>
        <w:tab/>
        <w:t>R</w:t>
      </w:r>
    </w:p>
    <w:p w14:paraId="05FC774D" w14:textId="77777777" w:rsidR="000B3F66" w:rsidRPr="007C1EBD" w:rsidRDefault="000B3F66" w:rsidP="00DC3AE0">
      <w:pPr>
        <w:tabs>
          <w:tab w:val="left" w:pos="2268"/>
        </w:tabs>
        <w:snapToGrid w:val="0"/>
        <w:spacing w:before="120" w:after="120"/>
        <w:ind w:left="2268" w:right="1134" w:hanging="1418"/>
      </w:pPr>
      <w:r w:rsidRPr="007C1EBD">
        <w:tab/>
        <w:t>(ADR:)</w:t>
      </w:r>
    </w:p>
    <w:p w14:paraId="41798590" w14:textId="77777777" w:rsidR="000B3F66" w:rsidRPr="007C1EBD" w:rsidRDefault="000B3F66" w:rsidP="00DC3AE0">
      <w:pPr>
        <w:tabs>
          <w:tab w:val="left" w:pos="2268"/>
        </w:tabs>
        <w:snapToGrid w:val="0"/>
        <w:spacing w:before="120" w:after="120"/>
        <w:ind w:left="2268" w:right="1134"/>
      </w:pPr>
      <w:r w:rsidRPr="007C1EBD">
        <w:rPr>
          <w:i/>
        </w:rPr>
        <w:t>“RID”</w:t>
      </w:r>
      <w:r w:rsidRPr="007C1EBD">
        <w:t xml:space="preserve"> means Regulations concerning the International Carriage of Dangerous Goods by Rail (Appendix C of COTIF (Convention concerning international carriage by rail)</w:t>
      </w:r>
      <w:proofErr w:type="gramStart"/>
      <w:r w:rsidRPr="007C1EBD">
        <w:t>);</w:t>
      </w:r>
      <w:proofErr w:type="gramEnd"/>
    </w:p>
    <w:p w14:paraId="6E05AED1" w14:textId="77777777" w:rsidR="000B3F66" w:rsidRPr="007C1EBD" w:rsidRDefault="000B3F66" w:rsidP="00DC3AE0">
      <w:pPr>
        <w:tabs>
          <w:tab w:val="left" w:pos="2268"/>
        </w:tabs>
        <w:snapToGrid w:val="0"/>
        <w:spacing w:before="120" w:after="120"/>
        <w:ind w:left="2268" w:right="1134" w:hanging="1418"/>
        <w:rPr>
          <w:b/>
        </w:rPr>
      </w:pPr>
      <w:r w:rsidRPr="007C1EBD">
        <w:rPr>
          <w:b/>
        </w:rPr>
        <w:tab/>
        <w:t>S</w:t>
      </w:r>
    </w:p>
    <w:p w14:paraId="6B106908" w14:textId="77777777" w:rsidR="000B3F66" w:rsidRPr="007C1EBD" w:rsidRDefault="000B3F66" w:rsidP="00DC3AE0">
      <w:pPr>
        <w:tabs>
          <w:tab w:val="left" w:pos="2268"/>
        </w:tabs>
        <w:snapToGrid w:val="0"/>
        <w:spacing w:before="120" w:after="120"/>
        <w:ind w:left="2268" w:right="1134"/>
      </w:pPr>
      <w:r w:rsidRPr="007C1EBD">
        <w:rPr>
          <w:i/>
        </w:rPr>
        <w:t>“SADT”</w:t>
      </w:r>
      <w:r w:rsidRPr="007C1EBD">
        <w:t xml:space="preserve"> means self-accelerating decomposition temperature (see 1.2.1</w:t>
      </w:r>
      <w:proofErr w:type="gramStart"/>
      <w:r w:rsidRPr="007C1EBD">
        <w:t>);</w:t>
      </w:r>
      <w:proofErr w:type="gramEnd"/>
    </w:p>
    <w:p w14:paraId="6F9A4154" w14:textId="77777777" w:rsidR="000B3F66" w:rsidRPr="007C1EBD" w:rsidRDefault="000B3F66" w:rsidP="00DC3AE0">
      <w:pPr>
        <w:tabs>
          <w:tab w:val="left" w:pos="2268"/>
        </w:tabs>
        <w:snapToGrid w:val="0"/>
        <w:spacing w:before="120" w:after="120"/>
        <w:ind w:left="2268" w:right="1134"/>
      </w:pPr>
      <w:r w:rsidRPr="007C1EBD">
        <w:rPr>
          <w:i/>
        </w:rPr>
        <w:t>“SAPT”</w:t>
      </w:r>
      <w:r w:rsidRPr="007C1EBD">
        <w:t xml:space="preserve"> means self-accelerating polymerization temperature (see 1.2.1</w:t>
      </w:r>
      <w:proofErr w:type="gramStart"/>
      <w:r w:rsidRPr="007C1EBD">
        <w:t>);</w:t>
      </w:r>
      <w:proofErr w:type="gramEnd"/>
    </w:p>
    <w:p w14:paraId="0BC9233D" w14:textId="312E29EB" w:rsidR="000B3F66" w:rsidRPr="007C1EBD" w:rsidRDefault="008B2764" w:rsidP="00DC3AE0">
      <w:pPr>
        <w:tabs>
          <w:tab w:val="left" w:pos="2268"/>
        </w:tabs>
        <w:snapToGrid w:val="0"/>
        <w:spacing w:before="120" w:after="120"/>
        <w:ind w:left="2268" w:right="1134"/>
        <w:rPr>
          <w:lang w:val="en-US"/>
        </w:rPr>
      </w:pPr>
      <w:r w:rsidRPr="008B2764">
        <w:rPr>
          <w:bCs/>
          <w:i/>
          <w:iCs/>
        </w:rPr>
        <w:t>“</w:t>
      </w:r>
      <w:r w:rsidR="000B3F66" w:rsidRPr="007C1EBD">
        <w:rPr>
          <w:i/>
          <w:lang w:val="en-US"/>
        </w:rPr>
        <w:t>SCO</w:t>
      </w:r>
      <w:r w:rsidR="005E2A97" w:rsidRPr="007C1EBD">
        <w:rPr>
          <w:i/>
        </w:rPr>
        <w:t>”</w:t>
      </w:r>
      <w:r w:rsidR="000B3F66" w:rsidRPr="007C1EBD">
        <w:rPr>
          <w:lang w:val="en-US"/>
        </w:rPr>
        <w:t xml:space="preserve"> means surface contaminated object (see 2.2.7.1.3</w:t>
      </w:r>
      <w:proofErr w:type="gramStart"/>
      <w:r w:rsidR="000B3F66" w:rsidRPr="007C1EBD">
        <w:rPr>
          <w:lang w:val="en-US"/>
        </w:rPr>
        <w:t>);</w:t>
      </w:r>
      <w:proofErr w:type="gramEnd"/>
    </w:p>
    <w:p w14:paraId="3E59880B" w14:textId="77777777" w:rsidR="000B3F66" w:rsidRPr="007C1EBD" w:rsidRDefault="000B3F66" w:rsidP="00DC3AE0">
      <w:pPr>
        <w:tabs>
          <w:tab w:val="left" w:pos="2268"/>
        </w:tabs>
        <w:snapToGrid w:val="0"/>
        <w:spacing w:before="120" w:after="120"/>
        <w:ind w:left="2268" w:right="1134" w:hanging="1418"/>
      </w:pPr>
      <w:r w:rsidRPr="007C1EBD">
        <w:tab/>
        <w:t>(RID:)</w:t>
      </w:r>
    </w:p>
    <w:p w14:paraId="0BC4E045" w14:textId="77777777" w:rsidR="000B3F66" w:rsidRPr="007C1EBD" w:rsidRDefault="000B3F66" w:rsidP="00DC3AE0">
      <w:pPr>
        <w:tabs>
          <w:tab w:val="left" w:pos="2268"/>
        </w:tabs>
        <w:snapToGrid w:val="0"/>
        <w:spacing w:before="120" w:after="120"/>
        <w:ind w:left="2268" w:right="1134"/>
      </w:pPr>
      <w:r w:rsidRPr="007C1EBD">
        <w:rPr>
          <w:i/>
        </w:rPr>
        <w:t>“SMGS”</w:t>
      </w:r>
      <w:r w:rsidRPr="007C1EBD">
        <w:t xml:space="preserve"> means the Agreement concerning International Goods Transport by Rail of the Organisation for Cooperation between Railways (OSJD) (OSJD</w:t>
      </w:r>
      <w:r w:rsidRPr="007C1EBD">
        <w:rPr>
          <w:bCs/>
        </w:rPr>
        <w:t xml:space="preserve">, ul. </w:t>
      </w:r>
      <w:proofErr w:type="spellStart"/>
      <w:r w:rsidRPr="007C1EBD">
        <w:rPr>
          <w:bCs/>
        </w:rPr>
        <w:t>Hoza</w:t>
      </w:r>
      <w:proofErr w:type="spellEnd"/>
      <w:r w:rsidRPr="007C1EBD">
        <w:rPr>
          <w:bCs/>
        </w:rPr>
        <w:t>, 63/67 00-681</w:t>
      </w:r>
      <w:r w:rsidRPr="007C1EBD">
        <w:t xml:space="preserve"> Warsaw, Poland), </w:t>
      </w:r>
      <w:hyperlink r:id="rId21" w:history="1">
        <w:r w:rsidRPr="007C1EBD">
          <w:rPr>
            <w:rStyle w:val="Lienhypertexte"/>
            <w:color w:val="auto"/>
          </w:rPr>
          <w:t>www.en.osjd.org</w:t>
        </w:r>
      </w:hyperlink>
      <w:r w:rsidRPr="007C1EBD">
        <w:t>;</w:t>
      </w:r>
    </w:p>
    <w:p w14:paraId="1ADC7B7B" w14:textId="77777777" w:rsidR="000B3F66" w:rsidRPr="007C1EBD" w:rsidRDefault="000B3F66" w:rsidP="00DC3AE0">
      <w:pPr>
        <w:tabs>
          <w:tab w:val="left" w:pos="2268"/>
        </w:tabs>
        <w:snapToGrid w:val="0"/>
        <w:spacing w:before="120" w:after="120"/>
        <w:ind w:left="2268" w:right="1134" w:hanging="1418"/>
      </w:pPr>
      <w:r w:rsidRPr="007C1EBD">
        <w:tab/>
        <w:t>(RID:)</w:t>
      </w:r>
    </w:p>
    <w:p w14:paraId="1779CAF1" w14:textId="77777777" w:rsidR="000B3F66" w:rsidRDefault="000B3F66" w:rsidP="00DC3AE0">
      <w:pPr>
        <w:tabs>
          <w:tab w:val="left" w:pos="2268"/>
        </w:tabs>
        <w:snapToGrid w:val="0"/>
        <w:spacing w:before="120" w:after="120"/>
        <w:ind w:left="2268" w:right="1134"/>
      </w:pPr>
      <w:r w:rsidRPr="002B68E7">
        <w:rPr>
          <w:i/>
        </w:rPr>
        <w:t>“SMGS Annex 2”</w:t>
      </w:r>
      <w:r w:rsidRPr="002B68E7">
        <w:t xml:space="preserve"> means provisions for the carriage of dangerous goods as Annex 2 to </w:t>
      </w:r>
      <w:proofErr w:type="gramStart"/>
      <w:r w:rsidRPr="002B68E7">
        <w:t>SMGS;</w:t>
      </w:r>
      <w:proofErr w:type="gramEnd"/>
    </w:p>
    <w:p w14:paraId="366B4E4D" w14:textId="77777777" w:rsidR="000B3F66" w:rsidRPr="005350FA" w:rsidRDefault="000B3F66" w:rsidP="00DC3AE0">
      <w:pPr>
        <w:tabs>
          <w:tab w:val="left" w:pos="2268"/>
        </w:tabs>
        <w:snapToGrid w:val="0"/>
        <w:spacing w:before="120" w:after="120"/>
        <w:ind w:left="2268" w:right="1134"/>
        <w:rPr>
          <w:b/>
        </w:rPr>
      </w:pPr>
      <w:r w:rsidRPr="005350FA">
        <w:rPr>
          <w:b/>
        </w:rPr>
        <w:t>T</w:t>
      </w:r>
    </w:p>
    <w:p w14:paraId="4DA7B624" w14:textId="5D1FC8F7" w:rsidR="000B3F66" w:rsidRPr="00E45717" w:rsidRDefault="008B2764" w:rsidP="00DC3AE0">
      <w:pPr>
        <w:tabs>
          <w:tab w:val="left" w:pos="2268"/>
        </w:tabs>
        <w:snapToGrid w:val="0"/>
        <w:spacing w:before="120" w:after="120"/>
        <w:ind w:left="2268" w:right="1134"/>
        <w:rPr>
          <w:lang w:val="en-US"/>
        </w:rPr>
      </w:pPr>
      <w:r w:rsidRPr="008B2764">
        <w:rPr>
          <w:i/>
          <w:lang w:val="en-US"/>
        </w:rPr>
        <w:lastRenderedPageBreak/>
        <w:t>“</w:t>
      </w:r>
      <w:r w:rsidR="000B3F66" w:rsidRPr="005350FA">
        <w:rPr>
          <w:i/>
          <w:lang w:val="en-US"/>
        </w:rPr>
        <w:t>TI</w:t>
      </w:r>
      <w:r w:rsidR="00B36552" w:rsidRPr="00B36552">
        <w:rPr>
          <w:i/>
          <w:lang w:val="en-US"/>
        </w:rPr>
        <w:t>”</w:t>
      </w:r>
      <w:r w:rsidR="000B3F66">
        <w:rPr>
          <w:lang w:val="en-US"/>
        </w:rPr>
        <w:t xml:space="preserve"> means t</w:t>
      </w:r>
      <w:r w:rsidR="000B3F66" w:rsidRPr="00E45717">
        <w:rPr>
          <w:lang w:val="en-US"/>
        </w:rPr>
        <w:t xml:space="preserve">ransport index </w:t>
      </w:r>
      <w:r w:rsidR="000B3F66">
        <w:rPr>
          <w:lang w:val="en-US"/>
        </w:rPr>
        <w:t>(see</w:t>
      </w:r>
      <w:r w:rsidR="000B3F66" w:rsidRPr="00E45717">
        <w:rPr>
          <w:lang w:val="en-US"/>
        </w:rPr>
        <w:t xml:space="preserve"> 1.2.1</w:t>
      </w:r>
      <w:proofErr w:type="gramStart"/>
      <w:r w:rsidR="000B3F66">
        <w:rPr>
          <w:lang w:val="en-US"/>
        </w:rPr>
        <w:t>)</w:t>
      </w:r>
      <w:r w:rsidR="00B36552">
        <w:rPr>
          <w:rFonts w:cs="Arial"/>
          <w:lang w:val="en-US"/>
        </w:rPr>
        <w:t>;</w:t>
      </w:r>
      <w:proofErr w:type="gramEnd"/>
    </w:p>
    <w:p w14:paraId="36035892" w14:textId="77777777" w:rsidR="000B3F66" w:rsidRPr="002B68E7" w:rsidRDefault="000B3F66" w:rsidP="00DC3AE0">
      <w:pPr>
        <w:tabs>
          <w:tab w:val="left" w:pos="2268"/>
        </w:tabs>
        <w:snapToGrid w:val="0"/>
        <w:spacing w:before="120" w:after="120"/>
        <w:ind w:left="2268" w:right="1134" w:hanging="1418"/>
        <w:rPr>
          <w:b/>
        </w:rPr>
      </w:pPr>
      <w:r>
        <w:rPr>
          <w:b/>
        </w:rPr>
        <w:tab/>
      </w:r>
      <w:r w:rsidRPr="002B68E7">
        <w:rPr>
          <w:b/>
        </w:rPr>
        <w:t>U</w:t>
      </w:r>
    </w:p>
    <w:p w14:paraId="3969BC8B" w14:textId="77777777" w:rsidR="000B3F66" w:rsidRPr="00BE5404" w:rsidRDefault="000B3F66" w:rsidP="00DC3AE0">
      <w:pPr>
        <w:tabs>
          <w:tab w:val="left" w:pos="2268"/>
        </w:tabs>
        <w:snapToGrid w:val="0"/>
        <w:spacing w:before="120" w:after="120"/>
        <w:ind w:left="2268" w:right="1134"/>
      </w:pPr>
      <w:r w:rsidRPr="002B68E7">
        <w:rPr>
          <w:i/>
        </w:rPr>
        <w:t>“UIC”</w:t>
      </w:r>
      <w:r w:rsidRPr="002B68E7">
        <w:t xml:space="preserve"> means the International Union of Railways, 16 rue Jean Rey, 75015 Paris, France</w:t>
      </w:r>
      <w:r w:rsidRPr="00BE5404">
        <w:t xml:space="preserve">, </w:t>
      </w:r>
      <w:hyperlink r:id="rId22" w:history="1">
        <w:r w:rsidRPr="00BE5404">
          <w:rPr>
            <w:rStyle w:val="Lienhypertexte"/>
            <w:color w:val="auto"/>
          </w:rPr>
          <w:t>www.uic.org</w:t>
        </w:r>
      </w:hyperlink>
      <w:r w:rsidRPr="00BE5404">
        <w:t>;</w:t>
      </w:r>
    </w:p>
    <w:p w14:paraId="287302BB" w14:textId="7E334EC8" w:rsidR="000B3F66" w:rsidRPr="00BE5404" w:rsidRDefault="000B3F66" w:rsidP="00DC3AE0">
      <w:pPr>
        <w:tabs>
          <w:tab w:val="left" w:pos="2268"/>
        </w:tabs>
        <w:snapToGrid w:val="0"/>
        <w:spacing w:before="120" w:after="120"/>
        <w:ind w:left="2268" w:right="1134"/>
        <w:jc w:val="both"/>
      </w:pPr>
      <w:r w:rsidRPr="00BE5404">
        <w:rPr>
          <w:i/>
        </w:rPr>
        <w:t>“UNECE”</w:t>
      </w:r>
      <w:r w:rsidRPr="00BE5404">
        <w:t xml:space="preserve"> means the United Nations Economic Commission for Europe, Palais des Nations, 8-14 avenue de la </w:t>
      </w:r>
      <w:proofErr w:type="spellStart"/>
      <w:r w:rsidRPr="00BE5404">
        <w:t>Paix</w:t>
      </w:r>
      <w:proofErr w:type="spellEnd"/>
      <w:r w:rsidRPr="00BE5404">
        <w:t xml:space="preserve">, 1211 Geneva 10, Switzerland, </w:t>
      </w:r>
      <w:hyperlink r:id="rId23" w:history="1">
        <w:r w:rsidRPr="00BE5404">
          <w:rPr>
            <w:rStyle w:val="Lienhypertexte"/>
            <w:color w:val="auto"/>
          </w:rPr>
          <w:t>www.unece.org</w:t>
        </w:r>
      </w:hyperlink>
      <w:r w:rsidR="008C59BE">
        <w:t>;</w:t>
      </w:r>
      <w:r w:rsidR="00935B1B" w:rsidRPr="00935B1B">
        <w:t xml:space="preserve"> ”</w:t>
      </w:r>
    </w:p>
    <w:p w14:paraId="5F3C786E" w14:textId="77777777" w:rsidR="000B3F66" w:rsidRPr="00BE5404" w:rsidRDefault="000B3F66" w:rsidP="00DC3AE0">
      <w:pPr>
        <w:tabs>
          <w:tab w:val="left" w:pos="2268"/>
        </w:tabs>
        <w:snapToGrid w:val="0"/>
        <w:spacing w:before="120" w:after="120"/>
        <w:ind w:left="1134" w:right="1134"/>
        <w:jc w:val="both"/>
        <w:rPr>
          <w:i/>
          <w:iCs/>
        </w:rPr>
      </w:pPr>
      <w:r w:rsidRPr="00BE5404">
        <w:rPr>
          <w:i/>
          <w:iCs/>
        </w:rPr>
        <w:t>(Reference documents: ECE/TRANS/WP.15/AC.1/2020/13 and informal document INF.39, as amended)</w:t>
      </w:r>
    </w:p>
    <w:p w14:paraId="1CAF3CB1" w14:textId="77777777" w:rsidR="009642E8" w:rsidRPr="005A671E" w:rsidRDefault="009642E8" w:rsidP="009642E8">
      <w:pPr>
        <w:pStyle w:val="H23G"/>
        <w:tabs>
          <w:tab w:val="clear" w:pos="851"/>
        </w:tabs>
        <w:kinsoku w:val="0"/>
        <w:overflowPunct w:val="0"/>
        <w:autoSpaceDE w:val="0"/>
        <w:autoSpaceDN w:val="0"/>
        <w:adjustRightInd w:val="0"/>
        <w:snapToGrid w:val="0"/>
        <w:ind w:firstLine="0"/>
        <w:rPr>
          <w:b w:val="0"/>
          <w:lang w:val="en-US"/>
        </w:rPr>
      </w:pPr>
      <w:r>
        <w:rPr>
          <w:lang w:val="en-US"/>
        </w:rPr>
        <w:tab/>
      </w:r>
      <w:r w:rsidRPr="005A671E">
        <w:rPr>
          <w:lang w:val="en-US"/>
        </w:rPr>
        <w:t>Chapter 1.6</w:t>
      </w:r>
    </w:p>
    <w:p w14:paraId="09B80A33" w14:textId="77777777" w:rsidR="009642E8" w:rsidRPr="007149C6" w:rsidRDefault="009642E8" w:rsidP="009642E8">
      <w:pPr>
        <w:pStyle w:val="H23G"/>
        <w:tabs>
          <w:tab w:val="clear" w:pos="851"/>
        </w:tabs>
        <w:kinsoku w:val="0"/>
        <w:overflowPunct w:val="0"/>
        <w:autoSpaceDE w:val="0"/>
        <w:autoSpaceDN w:val="0"/>
        <w:adjustRightInd w:val="0"/>
        <w:snapToGrid w:val="0"/>
        <w:ind w:firstLine="0"/>
        <w:rPr>
          <w:b w:val="0"/>
          <w:bCs/>
          <w:lang w:val="en-US"/>
        </w:rPr>
      </w:pPr>
      <w:r w:rsidRPr="007149C6">
        <w:rPr>
          <w:b w:val="0"/>
          <w:bCs/>
          <w:lang w:val="en-US"/>
        </w:rPr>
        <w:t>1.6.4</w:t>
      </w:r>
      <w:r w:rsidRPr="007149C6">
        <w:rPr>
          <w:b w:val="0"/>
          <w:bCs/>
          <w:lang w:val="en-US"/>
        </w:rPr>
        <w:tab/>
      </w:r>
      <w:r w:rsidRPr="007149C6">
        <w:rPr>
          <w:b w:val="0"/>
          <w:bCs/>
          <w:lang w:val="en-US"/>
        </w:rPr>
        <w:tab/>
        <w:t>Insert the following new transitional provision:</w:t>
      </w:r>
    </w:p>
    <w:p w14:paraId="746C0D55" w14:textId="283ABAF7" w:rsidR="009642E8" w:rsidRPr="005A671E" w:rsidRDefault="008B2764" w:rsidP="009642E8">
      <w:pPr>
        <w:ind w:left="2268" w:right="1134" w:hanging="1134"/>
        <w:jc w:val="both"/>
        <w:rPr>
          <w:lang w:val="en-US"/>
        </w:rPr>
      </w:pPr>
      <w:r w:rsidRPr="007149C6">
        <w:rPr>
          <w:bCs/>
        </w:rPr>
        <w:t>“</w:t>
      </w:r>
      <w:r w:rsidR="009642E8" w:rsidRPr="007149C6">
        <w:rPr>
          <w:bCs/>
          <w:lang w:val="en-US"/>
        </w:rPr>
        <w:t>1.6.4.56</w:t>
      </w:r>
      <w:r w:rsidR="009642E8" w:rsidRPr="007149C6">
        <w:rPr>
          <w:bCs/>
          <w:lang w:val="en-US"/>
        </w:rPr>
        <w:tab/>
      </w:r>
      <w:r w:rsidR="009642E8" w:rsidRPr="005A671E">
        <w:rPr>
          <w:lang w:val="en-US"/>
        </w:rPr>
        <w:t>Tank-containers constructed before 1 July 2023 in accordance with the requirements in force up to 31 December 2022</w:t>
      </w:r>
      <w:r w:rsidR="00E37526">
        <w:rPr>
          <w:lang w:val="en-US"/>
        </w:rPr>
        <w:t>,</w:t>
      </w:r>
      <w:r w:rsidR="009642E8" w:rsidRPr="005A671E">
        <w:rPr>
          <w:lang w:val="en-US"/>
        </w:rPr>
        <w:t xml:space="preserve"> but which do not conform to the requirements of 6.8.2.2.4 second paragraph applicable from 1 January 2023 may still be used.</w:t>
      </w:r>
      <w:r w:rsidR="00E37526" w:rsidRPr="007149C6">
        <w:rPr>
          <w:bCs/>
        </w:rPr>
        <w:t>”</w:t>
      </w:r>
    </w:p>
    <w:p w14:paraId="704868AB" w14:textId="6BFB6381" w:rsidR="009642E8" w:rsidRPr="007149C6" w:rsidRDefault="009B124D" w:rsidP="005A2C62">
      <w:pPr>
        <w:snapToGrid w:val="0"/>
        <w:spacing w:before="120" w:after="120" w:line="240" w:lineRule="auto"/>
        <w:ind w:left="1134" w:right="1134"/>
        <w:jc w:val="both"/>
        <w:rPr>
          <w:rFonts w:cs="Arial"/>
          <w:i/>
          <w:iCs/>
          <w:szCs w:val="22"/>
          <w:lang w:val="en-US"/>
        </w:rPr>
      </w:pPr>
      <w:r w:rsidRPr="007149C6">
        <w:rPr>
          <w:rFonts w:cs="Arial"/>
          <w:i/>
          <w:iCs/>
          <w:szCs w:val="22"/>
          <w:lang w:val="en-US"/>
        </w:rPr>
        <w:t>(</w:t>
      </w:r>
      <w:r w:rsidR="009642E8" w:rsidRPr="007149C6">
        <w:rPr>
          <w:rFonts w:cs="Arial"/>
          <w:i/>
          <w:iCs/>
          <w:szCs w:val="22"/>
          <w:lang w:val="en-US"/>
        </w:rPr>
        <w:t>Reference document</w:t>
      </w:r>
      <w:r w:rsidR="005A2C62">
        <w:rPr>
          <w:rFonts w:cs="Arial"/>
          <w:i/>
          <w:iCs/>
          <w:szCs w:val="22"/>
          <w:lang w:val="en-US"/>
        </w:rPr>
        <w:t>s</w:t>
      </w:r>
      <w:r w:rsidR="009642E8" w:rsidRPr="007149C6">
        <w:rPr>
          <w:rFonts w:cs="Arial"/>
          <w:i/>
          <w:iCs/>
          <w:szCs w:val="22"/>
          <w:lang w:val="en-US"/>
        </w:rPr>
        <w:t>: ECE/TRANS/WP.15/AC.1/2021/8, as amended by informal document INF.43</w:t>
      </w:r>
      <w:r w:rsidR="00134694" w:rsidRPr="007149C6">
        <w:rPr>
          <w:rFonts w:cs="Arial"/>
          <w:i/>
          <w:iCs/>
          <w:szCs w:val="22"/>
          <w:lang w:val="en-US"/>
        </w:rPr>
        <w:t>)</w:t>
      </w:r>
    </w:p>
    <w:p w14:paraId="7E527176" w14:textId="77777777" w:rsidR="00DF7CF1" w:rsidRPr="00163A3F" w:rsidRDefault="00DF7CF1" w:rsidP="00DF7CF1">
      <w:pPr>
        <w:pStyle w:val="H23G"/>
        <w:kinsoku w:val="0"/>
        <w:overflowPunct w:val="0"/>
        <w:autoSpaceDE w:val="0"/>
        <w:autoSpaceDN w:val="0"/>
        <w:adjustRightInd w:val="0"/>
        <w:snapToGrid w:val="0"/>
        <w:spacing w:before="120"/>
        <w:rPr>
          <w:b w:val="0"/>
        </w:rPr>
      </w:pPr>
      <w:r>
        <w:tab/>
      </w:r>
      <w:r>
        <w:tab/>
        <w:t>Chapter 1.10</w:t>
      </w:r>
    </w:p>
    <w:p w14:paraId="3BD7B8B3" w14:textId="3D23C1C7" w:rsidR="00DF7CF1" w:rsidRPr="00163A3F" w:rsidRDefault="00DF7CF1" w:rsidP="00DF7CF1">
      <w:pPr>
        <w:snapToGrid w:val="0"/>
        <w:spacing w:before="120" w:after="120"/>
      </w:pPr>
      <w:r>
        <w:rPr>
          <w:b/>
        </w:rPr>
        <w:tab/>
      </w:r>
      <w:r>
        <w:rPr>
          <w:b/>
        </w:rPr>
        <w:tab/>
      </w:r>
      <w:r w:rsidRPr="007149C6">
        <w:rPr>
          <w:bCs/>
        </w:rPr>
        <w:t>1.10.4</w:t>
      </w:r>
      <w:r w:rsidRPr="007149C6">
        <w:rPr>
          <w:bCs/>
        </w:rPr>
        <w:tab/>
      </w:r>
      <w:r>
        <w:tab/>
        <w:t xml:space="preserve">In the first sentence, after </w:t>
      </w:r>
      <w:r w:rsidR="00CC362E" w:rsidRPr="007149C6">
        <w:rPr>
          <w:bCs/>
        </w:rPr>
        <w:t>“</w:t>
      </w:r>
      <w:r w:rsidRPr="00163A3F">
        <w:t>0500,</w:t>
      </w:r>
      <w:r w:rsidR="00582C86" w:rsidRPr="007149C6">
        <w:rPr>
          <w:bCs/>
        </w:rPr>
        <w:t>”</w:t>
      </w:r>
      <w:r>
        <w:t xml:space="preserve"> add:</w:t>
      </w:r>
      <w:r w:rsidR="00CC362E" w:rsidRPr="00CC362E">
        <w:rPr>
          <w:bCs/>
        </w:rPr>
        <w:t xml:space="preserve"> </w:t>
      </w:r>
      <w:r w:rsidR="00CC362E" w:rsidRPr="007149C6">
        <w:rPr>
          <w:bCs/>
        </w:rPr>
        <w:t>“</w:t>
      </w:r>
      <w:r w:rsidRPr="00163A3F">
        <w:t>0511,</w:t>
      </w:r>
      <w:r w:rsidR="00582C86" w:rsidRPr="007149C6">
        <w:rPr>
          <w:bCs/>
        </w:rPr>
        <w:t>”</w:t>
      </w:r>
      <w:r w:rsidRPr="00163A3F">
        <w:t>.</w:t>
      </w:r>
    </w:p>
    <w:p w14:paraId="5DD5762E" w14:textId="7F292266" w:rsidR="00DF7CF1" w:rsidRPr="007149C6" w:rsidRDefault="00DF7CF1" w:rsidP="00DF7CF1">
      <w:pPr>
        <w:snapToGrid w:val="0"/>
        <w:spacing w:before="120" w:after="120"/>
        <w:rPr>
          <w:i/>
          <w:iCs/>
        </w:rPr>
      </w:pPr>
      <w:r>
        <w:tab/>
      </w:r>
      <w:r>
        <w:tab/>
      </w:r>
      <w:r w:rsidR="00B9673F" w:rsidRPr="007149C6">
        <w:rPr>
          <w:i/>
          <w:iCs/>
        </w:rPr>
        <w:t>(</w:t>
      </w:r>
      <w:r w:rsidRPr="007149C6">
        <w:rPr>
          <w:i/>
          <w:iCs/>
        </w:rPr>
        <w:t>Reference document: ECE/TRANS/WP.15/AC.1/2021/4</w:t>
      </w:r>
      <w:r w:rsidR="00B9673F" w:rsidRPr="007149C6">
        <w:rPr>
          <w:i/>
          <w:iCs/>
        </w:rPr>
        <w:t>)</w:t>
      </w:r>
    </w:p>
    <w:p w14:paraId="7493919E" w14:textId="77777777" w:rsidR="000B3F66" w:rsidRPr="00E45717" w:rsidRDefault="000B3F66" w:rsidP="000B3F66">
      <w:pPr>
        <w:snapToGrid w:val="0"/>
        <w:spacing w:before="120" w:after="120"/>
        <w:ind w:left="1134" w:right="1134"/>
        <w:rPr>
          <w:lang w:val="en-US"/>
        </w:rPr>
      </w:pPr>
      <w:r w:rsidRPr="00E45717">
        <w:rPr>
          <w:b/>
          <w:lang w:val="en-US"/>
        </w:rPr>
        <w:t>Chapter 2.2</w:t>
      </w:r>
    </w:p>
    <w:p w14:paraId="5C4658BA" w14:textId="2828F200" w:rsidR="000B3F66" w:rsidRPr="00E45717" w:rsidRDefault="000B3F66" w:rsidP="007149C6">
      <w:pPr>
        <w:pStyle w:val="SingleTxtG"/>
        <w:tabs>
          <w:tab w:val="left" w:pos="2268"/>
        </w:tabs>
        <w:kinsoku w:val="0"/>
        <w:overflowPunct w:val="0"/>
        <w:autoSpaceDE w:val="0"/>
        <w:autoSpaceDN w:val="0"/>
        <w:adjustRightInd w:val="0"/>
        <w:snapToGrid w:val="0"/>
        <w:spacing w:before="120"/>
        <w:rPr>
          <w:lang w:val="en-US"/>
        </w:rPr>
      </w:pPr>
      <w:r w:rsidRPr="007149C6">
        <w:rPr>
          <w:bCs/>
          <w:lang w:val="en-US"/>
        </w:rPr>
        <w:t>2.2.9.3</w:t>
      </w:r>
      <w:r w:rsidRPr="00E45717">
        <w:rPr>
          <w:lang w:val="en-US"/>
        </w:rPr>
        <w:tab/>
      </w:r>
      <w:r w:rsidRPr="00FF1AED">
        <w:rPr>
          <w:lang w:val="en-US"/>
        </w:rPr>
        <w:t>[The amendment</w:t>
      </w:r>
      <w:r>
        <w:rPr>
          <w:lang w:val="en-US"/>
        </w:rPr>
        <w:t xml:space="preserve"> to classification code M11, UN 3359</w:t>
      </w:r>
      <w:r w:rsidRPr="00FF1AED">
        <w:rPr>
          <w:lang w:val="en-US"/>
        </w:rPr>
        <w:t xml:space="preserve"> </w:t>
      </w:r>
      <w:r w:rsidR="0036043F">
        <w:rPr>
          <w:lang w:val="en-US"/>
        </w:rPr>
        <w:t>in</w:t>
      </w:r>
      <w:r w:rsidR="002C1C76">
        <w:rPr>
          <w:lang w:val="en-US"/>
        </w:rPr>
        <w:t xml:space="preserve"> the</w:t>
      </w:r>
      <w:r w:rsidRPr="00FF1AED">
        <w:rPr>
          <w:lang w:val="en-US"/>
        </w:rPr>
        <w:t xml:space="preserve"> German version</w:t>
      </w:r>
      <w:r w:rsidR="00C032F5">
        <w:rPr>
          <w:lang w:val="en-US"/>
        </w:rPr>
        <w:t xml:space="preserve"> </w:t>
      </w:r>
      <w:r w:rsidR="0036043F">
        <w:rPr>
          <w:lang w:val="en-US"/>
        </w:rPr>
        <w:t>does not apply to the English text</w:t>
      </w:r>
      <w:r w:rsidRPr="00FF1AED">
        <w:rPr>
          <w:lang w:val="en-US"/>
        </w:rPr>
        <w:t>.]</w:t>
      </w:r>
    </w:p>
    <w:p w14:paraId="109BACF1" w14:textId="0DBD594D" w:rsidR="00776010" w:rsidRPr="00E45717" w:rsidRDefault="00776010" w:rsidP="00776010">
      <w:pPr>
        <w:snapToGrid w:val="0"/>
        <w:spacing w:before="120" w:after="120"/>
        <w:ind w:left="1134" w:right="1134"/>
        <w:rPr>
          <w:lang w:val="en-US"/>
        </w:rPr>
      </w:pPr>
      <w:r w:rsidRPr="00E45717">
        <w:rPr>
          <w:b/>
          <w:lang w:val="en-US"/>
        </w:rPr>
        <w:t xml:space="preserve">Chapter </w:t>
      </w:r>
      <w:r>
        <w:rPr>
          <w:b/>
          <w:lang w:val="en-US"/>
        </w:rPr>
        <w:t>3</w:t>
      </w:r>
      <w:r w:rsidRPr="00E45717">
        <w:rPr>
          <w:b/>
          <w:lang w:val="en-US"/>
        </w:rPr>
        <w:t>.2</w:t>
      </w:r>
      <w:r w:rsidR="006E1503">
        <w:rPr>
          <w:b/>
          <w:lang w:val="en-US"/>
        </w:rPr>
        <w:t xml:space="preserve">, </w:t>
      </w:r>
      <w:r w:rsidR="00DD607F">
        <w:rPr>
          <w:b/>
          <w:lang w:val="en-US"/>
        </w:rPr>
        <w:t>Table A</w:t>
      </w:r>
    </w:p>
    <w:p w14:paraId="5B9D987A" w14:textId="77595214" w:rsidR="00DF7CF1" w:rsidRPr="005004C2" w:rsidRDefault="00DF7CF1" w:rsidP="00DF7CF1">
      <w:pPr>
        <w:snapToGrid w:val="0"/>
        <w:spacing w:before="120" w:after="120" w:line="240" w:lineRule="auto"/>
        <w:ind w:left="1134" w:right="1134"/>
      </w:pPr>
      <w:r w:rsidRPr="005004C2">
        <w:t xml:space="preserve">For all UN numbers to which special provision </w:t>
      </w:r>
      <w:r w:rsidR="008B2764" w:rsidRPr="007149C6">
        <w:rPr>
          <w:bCs/>
        </w:rPr>
        <w:t>“</w:t>
      </w:r>
      <w:r w:rsidRPr="005004C2">
        <w:t>386</w:t>
      </w:r>
      <w:r w:rsidR="003B7125" w:rsidRPr="007149C6">
        <w:rPr>
          <w:bCs/>
        </w:rPr>
        <w:t>”</w:t>
      </w:r>
      <w:r w:rsidRPr="005004C2">
        <w:t xml:space="preserve"> is assigned in column (6), insert in column (6):</w:t>
      </w:r>
    </w:p>
    <w:p w14:paraId="47EF79C7" w14:textId="22FC45CA" w:rsidR="00DF7CF1" w:rsidRPr="005004C2" w:rsidRDefault="008B2764" w:rsidP="00DF7CF1">
      <w:pPr>
        <w:snapToGrid w:val="0"/>
        <w:spacing w:before="120" w:after="120" w:line="240" w:lineRule="auto"/>
        <w:ind w:left="1134" w:right="1134"/>
      </w:pPr>
      <w:r w:rsidRPr="007149C6">
        <w:rPr>
          <w:bCs/>
        </w:rPr>
        <w:t>“</w:t>
      </w:r>
      <w:r w:rsidR="00DF7CF1" w:rsidRPr="00F41226">
        <w:t>676</w:t>
      </w:r>
      <w:r w:rsidR="00794878" w:rsidRPr="007149C6">
        <w:rPr>
          <w:bCs/>
        </w:rPr>
        <w:t>”</w:t>
      </w:r>
      <w:r w:rsidR="00DF7CF1" w:rsidRPr="005004C2">
        <w:t>.</w:t>
      </w:r>
    </w:p>
    <w:p w14:paraId="491FB1FE" w14:textId="3C8476AF" w:rsidR="00DF7CF1" w:rsidRPr="007149C6" w:rsidRDefault="003D3B35" w:rsidP="00DF7CF1">
      <w:pPr>
        <w:snapToGrid w:val="0"/>
        <w:spacing w:before="120" w:after="120" w:line="240" w:lineRule="auto"/>
        <w:ind w:left="1134" w:right="1134"/>
        <w:rPr>
          <w:i/>
          <w:iCs/>
        </w:rPr>
      </w:pPr>
      <w:r w:rsidRPr="007149C6">
        <w:rPr>
          <w:i/>
          <w:iCs/>
        </w:rPr>
        <w:t>(</w:t>
      </w:r>
      <w:r w:rsidR="00DF7CF1" w:rsidRPr="007149C6">
        <w:rPr>
          <w:i/>
          <w:iCs/>
        </w:rPr>
        <w:t>Reference document: ECE/TRANS/W.15/AC.1/2020/51/Rev.1, as amended</w:t>
      </w:r>
      <w:r w:rsidRPr="007149C6">
        <w:rPr>
          <w:i/>
          <w:iCs/>
        </w:rPr>
        <w:t>)</w:t>
      </w:r>
    </w:p>
    <w:p w14:paraId="5FFC29EC" w14:textId="77777777" w:rsidR="00DF7CF1" w:rsidRPr="005004C2" w:rsidRDefault="00DF7CF1" w:rsidP="00DF7CF1">
      <w:pPr>
        <w:snapToGrid w:val="0"/>
        <w:spacing w:before="120" w:after="120" w:line="240" w:lineRule="auto"/>
        <w:ind w:left="1134" w:right="1134"/>
      </w:pPr>
      <w:r w:rsidRPr="005004C2">
        <w:t>Amend the following entries:</w:t>
      </w:r>
    </w:p>
    <w:p w14:paraId="67E13BF7" w14:textId="77777777" w:rsidR="00DF7CF1" w:rsidRPr="005004C2" w:rsidRDefault="00DF7CF1" w:rsidP="00DF7CF1">
      <w:pPr>
        <w:ind w:left="1418"/>
      </w:pPr>
    </w:p>
    <w:tbl>
      <w:tblPr>
        <w:tblW w:w="8108"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3"/>
        <w:gridCol w:w="900"/>
        <w:gridCol w:w="6285"/>
      </w:tblGrid>
      <w:tr w:rsidR="00DF7CF1" w:rsidRPr="005004C2" w14:paraId="7EBC4751" w14:textId="77777777" w:rsidTr="00A138F8">
        <w:trPr>
          <w:cantSplit/>
          <w:tblHeader/>
        </w:trPr>
        <w:tc>
          <w:tcPr>
            <w:tcW w:w="923" w:type="dxa"/>
            <w:tcBorders>
              <w:top w:val="single" w:sz="4" w:space="0" w:color="auto"/>
              <w:left w:val="single" w:sz="4" w:space="0" w:color="auto"/>
              <w:bottom w:val="single" w:sz="4" w:space="0" w:color="auto"/>
              <w:right w:val="single" w:sz="4" w:space="0" w:color="auto"/>
            </w:tcBorders>
            <w:hideMark/>
          </w:tcPr>
          <w:p w14:paraId="46C66EE3" w14:textId="77777777" w:rsidR="00DF7CF1" w:rsidRPr="007149C6" w:rsidRDefault="00DF7CF1" w:rsidP="009642E8">
            <w:pPr>
              <w:tabs>
                <w:tab w:val="left" w:pos="1418"/>
              </w:tabs>
              <w:rPr>
                <w:rFonts w:eastAsia="Calibri" w:cs="Arial"/>
                <w:bCs/>
                <w:szCs w:val="22"/>
                <w:lang w:eastAsia="en-US"/>
              </w:rPr>
            </w:pPr>
            <w:r w:rsidRPr="007149C6">
              <w:rPr>
                <w:rFonts w:cs="Arial"/>
                <w:bCs/>
                <w:szCs w:val="22"/>
              </w:rPr>
              <w:t>UN No.</w:t>
            </w:r>
          </w:p>
        </w:tc>
        <w:tc>
          <w:tcPr>
            <w:tcW w:w="900" w:type="dxa"/>
            <w:tcBorders>
              <w:top w:val="single" w:sz="4" w:space="0" w:color="auto"/>
              <w:left w:val="single" w:sz="4" w:space="0" w:color="auto"/>
              <w:bottom w:val="single" w:sz="4" w:space="0" w:color="auto"/>
              <w:right w:val="single" w:sz="4" w:space="0" w:color="auto"/>
            </w:tcBorders>
            <w:hideMark/>
          </w:tcPr>
          <w:p w14:paraId="4598D37B" w14:textId="77777777" w:rsidR="00DF7CF1" w:rsidRPr="007149C6" w:rsidRDefault="00DF7CF1" w:rsidP="009642E8">
            <w:pPr>
              <w:tabs>
                <w:tab w:val="left" w:pos="1418"/>
              </w:tabs>
              <w:rPr>
                <w:rFonts w:eastAsia="Calibri" w:cs="Arial"/>
                <w:bCs/>
                <w:szCs w:val="22"/>
                <w:lang w:eastAsia="en-US"/>
              </w:rPr>
            </w:pPr>
            <w:r w:rsidRPr="007149C6">
              <w:rPr>
                <w:rFonts w:cs="Arial"/>
                <w:bCs/>
                <w:szCs w:val="22"/>
              </w:rPr>
              <w:t>Column</w:t>
            </w:r>
          </w:p>
        </w:tc>
        <w:tc>
          <w:tcPr>
            <w:tcW w:w="6285" w:type="dxa"/>
            <w:tcBorders>
              <w:top w:val="single" w:sz="4" w:space="0" w:color="auto"/>
              <w:left w:val="single" w:sz="4" w:space="0" w:color="auto"/>
              <w:bottom w:val="single" w:sz="4" w:space="0" w:color="auto"/>
              <w:right w:val="single" w:sz="4" w:space="0" w:color="auto"/>
            </w:tcBorders>
            <w:hideMark/>
          </w:tcPr>
          <w:p w14:paraId="12F5E76F" w14:textId="77777777" w:rsidR="00DF7CF1" w:rsidRPr="007149C6" w:rsidRDefault="00DF7CF1" w:rsidP="009642E8">
            <w:pPr>
              <w:tabs>
                <w:tab w:val="left" w:pos="1418"/>
              </w:tabs>
              <w:rPr>
                <w:rFonts w:eastAsia="Calibri" w:cs="Arial"/>
                <w:bCs/>
                <w:szCs w:val="22"/>
                <w:lang w:eastAsia="en-US"/>
              </w:rPr>
            </w:pPr>
            <w:r w:rsidRPr="007149C6">
              <w:rPr>
                <w:rFonts w:cs="Arial"/>
                <w:bCs/>
                <w:szCs w:val="22"/>
              </w:rPr>
              <w:t>Amendment</w:t>
            </w:r>
          </w:p>
        </w:tc>
      </w:tr>
      <w:tr w:rsidR="00DF7CF1" w:rsidRPr="005004C2" w14:paraId="620B1112" w14:textId="77777777" w:rsidTr="00A138F8">
        <w:trPr>
          <w:cantSplit/>
        </w:trPr>
        <w:tc>
          <w:tcPr>
            <w:tcW w:w="923" w:type="dxa"/>
            <w:tcBorders>
              <w:top w:val="single" w:sz="4" w:space="0" w:color="auto"/>
              <w:left w:val="single" w:sz="4" w:space="0" w:color="auto"/>
              <w:bottom w:val="single" w:sz="4" w:space="0" w:color="auto"/>
              <w:right w:val="single" w:sz="4" w:space="0" w:color="auto"/>
            </w:tcBorders>
            <w:hideMark/>
          </w:tcPr>
          <w:p w14:paraId="1808DEE5"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2426</w:t>
            </w:r>
          </w:p>
        </w:tc>
        <w:tc>
          <w:tcPr>
            <w:tcW w:w="900" w:type="dxa"/>
            <w:tcBorders>
              <w:top w:val="single" w:sz="4" w:space="0" w:color="auto"/>
              <w:left w:val="single" w:sz="4" w:space="0" w:color="auto"/>
              <w:bottom w:val="single" w:sz="4" w:space="0" w:color="auto"/>
              <w:right w:val="single" w:sz="4" w:space="0" w:color="auto"/>
            </w:tcBorders>
            <w:hideMark/>
          </w:tcPr>
          <w:p w14:paraId="275BC365"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(2)</w:t>
            </w:r>
          </w:p>
        </w:tc>
        <w:tc>
          <w:tcPr>
            <w:tcW w:w="6285" w:type="dxa"/>
            <w:tcBorders>
              <w:top w:val="single" w:sz="4" w:space="0" w:color="auto"/>
              <w:left w:val="single" w:sz="4" w:space="0" w:color="auto"/>
              <w:bottom w:val="single" w:sz="4" w:space="0" w:color="auto"/>
              <w:right w:val="single" w:sz="4" w:space="0" w:color="auto"/>
            </w:tcBorders>
            <w:hideMark/>
          </w:tcPr>
          <w:p w14:paraId="0663C91F"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Amend the name and description as follows:</w:t>
            </w:r>
          </w:p>
          <w:p w14:paraId="3D274C0E" w14:textId="744B9DE8" w:rsidR="00DF7CF1" w:rsidRPr="005004C2" w:rsidRDefault="008B2764" w:rsidP="009642E8">
            <w:pPr>
              <w:tabs>
                <w:tab w:val="left" w:pos="1418"/>
              </w:tabs>
            </w:pPr>
            <w:r w:rsidRPr="007149C6">
              <w:rPr>
                <w:bCs/>
              </w:rPr>
              <w:t>“</w:t>
            </w:r>
            <w:r w:rsidR="00DF7CF1" w:rsidRPr="005004C2">
              <w:t>AMMONIUM NITRATE, LIQUID (hot concentrated solution)</w:t>
            </w:r>
            <w:r w:rsidR="003B7125" w:rsidRPr="007149C6">
              <w:rPr>
                <w:bCs/>
              </w:rPr>
              <w:t>”</w:t>
            </w:r>
            <w:r w:rsidR="00DF7CF1" w:rsidRPr="005004C2">
              <w:t>.</w:t>
            </w:r>
          </w:p>
          <w:p w14:paraId="279D8BDB" w14:textId="2B1C5CFB" w:rsidR="00DF7CF1" w:rsidRPr="00C841E9" w:rsidRDefault="00C841E9" w:rsidP="009642E8">
            <w:pPr>
              <w:tabs>
                <w:tab w:val="left" w:pos="1418"/>
              </w:tabs>
              <w:rPr>
                <w:rFonts w:eastAsia="Calibri" w:cs="Arial"/>
                <w:i/>
                <w:iCs/>
                <w:szCs w:val="22"/>
                <w:lang w:eastAsia="en-US"/>
              </w:rPr>
            </w:pPr>
            <w:r w:rsidRPr="00C841E9">
              <w:rPr>
                <w:i/>
                <w:iCs/>
              </w:rPr>
              <w:t>(</w:t>
            </w:r>
            <w:r w:rsidR="00DF7CF1" w:rsidRPr="00C841E9">
              <w:rPr>
                <w:i/>
                <w:iCs/>
              </w:rPr>
              <w:t>Reference document: ECE/TRANS/WP.15/AC.1/2021/13</w:t>
            </w:r>
            <w:r w:rsidRPr="00C841E9">
              <w:rPr>
                <w:i/>
                <w:iCs/>
              </w:rPr>
              <w:t>)</w:t>
            </w:r>
          </w:p>
        </w:tc>
      </w:tr>
      <w:tr w:rsidR="0066245C" w:rsidRPr="005004C2" w14:paraId="7FAD95DE" w14:textId="77777777" w:rsidTr="00A138F8">
        <w:trPr>
          <w:cantSplit/>
        </w:trPr>
        <w:tc>
          <w:tcPr>
            <w:tcW w:w="923" w:type="dxa"/>
            <w:tcBorders>
              <w:top w:val="single" w:sz="4" w:space="0" w:color="auto"/>
              <w:left w:val="single" w:sz="4" w:space="0" w:color="auto"/>
              <w:bottom w:val="single" w:sz="4" w:space="0" w:color="auto"/>
              <w:right w:val="single" w:sz="4" w:space="0" w:color="auto"/>
            </w:tcBorders>
          </w:tcPr>
          <w:p w14:paraId="5B45E50C" w14:textId="65051E64" w:rsidR="0066245C" w:rsidRPr="005004C2" w:rsidRDefault="0066245C" w:rsidP="009642E8">
            <w:pPr>
              <w:tabs>
                <w:tab w:val="left" w:pos="1418"/>
              </w:tabs>
              <w:rPr>
                <w:rFonts w:eastAsia="Calibri" w:cs="Arial"/>
                <w:szCs w:val="22"/>
                <w:lang w:eastAsia="en-US"/>
              </w:rPr>
            </w:pPr>
            <w:r>
              <w:rPr>
                <w:rFonts w:eastAsia="Calibri" w:cs="Arial"/>
                <w:szCs w:val="22"/>
                <w:lang w:eastAsia="en-US"/>
              </w:rPr>
              <w:t>3359</w:t>
            </w:r>
          </w:p>
        </w:tc>
        <w:tc>
          <w:tcPr>
            <w:tcW w:w="900" w:type="dxa"/>
            <w:tcBorders>
              <w:top w:val="single" w:sz="4" w:space="0" w:color="auto"/>
              <w:left w:val="single" w:sz="4" w:space="0" w:color="auto"/>
              <w:bottom w:val="single" w:sz="4" w:space="0" w:color="auto"/>
              <w:right w:val="single" w:sz="4" w:space="0" w:color="auto"/>
            </w:tcBorders>
          </w:tcPr>
          <w:p w14:paraId="2370F612" w14:textId="2CD68184" w:rsidR="0066245C" w:rsidRPr="005004C2" w:rsidRDefault="0066245C" w:rsidP="009642E8">
            <w:pPr>
              <w:tabs>
                <w:tab w:val="left" w:pos="1418"/>
              </w:tabs>
              <w:rPr>
                <w:rFonts w:eastAsia="Calibri" w:cs="Arial"/>
                <w:szCs w:val="22"/>
                <w:lang w:eastAsia="en-US"/>
              </w:rPr>
            </w:pPr>
            <w:r>
              <w:rPr>
                <w:rFonts w:eastAsia="Calibri" w:cs="Arial"/>
                <w:szCs w:val="22"/>
                <w:lang w:eastAsia="en-US"/>
              </w:rPr>
              <w:t>(2)</w:t>
            </w:r>
          </w:p>
        </w:tc>
        <w:tc>
          <w:tcPr>
            <w:tcW w:w="6285" w:type="dxa"/>
            <w:tcBorders>
              <w:top w:val="single" w:sz="4" w:space="0" w:color="auto"/>
              <w:left w:val="single" w:sz="4" w:space="0" w:color="auto"/>
              <w:bottom w:val="single" w:sz="4" w:space="0" w:color="auto"/>
              <w:right w:val="single" w:sz="4" w:space="0" w:color="auto"/>
            </w:tcBorders>
          </w:tcPr>
          <w:p w14:paraId="3F9CDBEB" w14:textId="0349C2CF" w:rsidR="0066245C" w:rsidRPr="005004C2" w:rsidRDefault="0066245C" w:rsidP="009642E8">
            <w:pPr>
              <w:tabs>
                <w:tab w:val="left" w:pos="1418"/>
              </w:tabs>
              <w:rPr>
                <w:rFonts w:eastAsia="Calibri" w:cs="Arial"/>
                <w:szCs w:val="22"/>
                <w:lang w:eastAsia="en-US"/>
              </w:rPr>
            </w:pPr>
            <w:r w:rsidRPr="00FF1AED">
              <w:rPr>
                <w:lang w:val="en-US"/>
              </w:rPr>
              <w:t>[</w:t>
            </w:r>
            <w:r w:rsidR="00AE0F2C">
              <w:t>Amendment to the German version only</w:t>
            </w:r>
            <w:r w:rsidRPr="00FF1AED">
              <w:rPr>
                <w:lang w:val="en-US"/>
              </w:rPr>
              <w:t>.]</w:t>
            </w:r>
          </w:p>
        </w:tc>
      </w:tr>
    </w:tbl>
    <w:p w14:paraId="3188C0BD" w14:textId="05B8781F" w:rsidR="00DD607F" w:rsidRPr="0065157D" w:rsidRDefault="00DD607F" w:rsidP="0065157D">
      <w:pPr>
        <w:ind w:left="1418"/>
        <w:rPr>
          <w:bCs/>
          <w:lang w:val="en-US"/>
        </w:rPr>
      </w:pPr>
    </w:p>
    <w:p w14:paraId="3326BDE3" w14:textId="2F823EC2" w:rsidR="00DD607F" w:rsidRPr="00E45717" w:rsidRDefault="00DD607F" w:rsidP="00DD607F">
      <w:pPr>
        <w:snapToGrid w:val="0"/>
        <w:spacing w:before="120" w:after="120"/>
        <w:ind w:left="1134" w:right="1134"/>
        <w:rPr>
          <w:lang w:val="en-US"/>
        </w:rPr>
      </w:pPr>
      <w:r w:rsidRPr="00E45717">
        <w:rPr>
          <w:b/>
          <w:lang w:val="en-US"/>
        </w:rPr>
        <w:t xml:space="preserve">Chapter </w:t>
      </w:r>
      <w:r>
        <w:rPr>
          <w:b/>
          <w:lang w:val="en-US"/>
        </w:rPr>
        <w:t>3</w:t>
      </w:r>
      <w:r w:rsidRPr="00E45717">
        <w:rPr>
          <w:b/>
          <w:lang w:val="en-US"/>
        </w:rPr>
        <w:t>.2</w:t>
      </w:r>
      <w:r>
        <w:rPr>
          <w:b/>
          <w:lang w:val="en-US"/>
        </w:rPr>
        <w:t>, Table B</w:t>
      </w:r>
    </w:p>
    <w:p w14:paraId="58D4DB0E" w14:textId="77777777" w:rsidR="00DF7CF1" w:rsidRPr="005004C2" w:rsidRDefault="00DF7CF1" w:rsidP="0065157D">
      <w:pPr>
        <w:snapToGrid w:val="0"/>
        <w:spacing w:before="120" w:after="120" w:line="240" w:lineRule="auto"/>
        <w:ind w:left="1134" w:right="1134"/>
        <w:rPr>
          <w:rFonts w:eastAsia="Calibri" w:cs="Arial"/>
          <w:szCs w:val="22"/>
          <w:lang w:eastAsia="en-US"/>
        </w:rPr>
      </w:pPr>
      <w:r w:rsidRPr="005004C2">
        <w:rPr>
          <w:rFonts w:eastAsia="Calibri" w:cs="Arial"/>
          <w:szCs w:val="22"/>
          <w:lang w:eastAsia="en-US"/>
        </w:rPr>
        <w:t xml:space="preserve">Amend the </w:t>
      </w:r>
      <w:r w:rsidRPr="0065157D">
        <w:t>following</w:t>
      </w:r>
      <w:r w:rsidRPr="005004C2">
        <w:rPr>
          <w:rFonts w:eastAsia="Calibri" w:cs="Arial"/>
          <w:szCs w:val="22"/>
          <w:lang w:eastAsia="en-US"/>
        </w:rPr>
        <w:t xml:space="preserve"> entries:</w:t>
      </w:r>
    </w:p>
    <w:p w14:paraId="78E49B3F" w14:textId="77777777" w:rsidR="00DF7CF1" w:rsidRPr="005004C2" w:rsidRDefault="00DF7CF1" w:rsidP="00DF7CF1">
      <w:pPr>
        <w:tabs>
          <w:tab w:val="left" w:pos="1418"/>
        </w:tabs>
        <w:ind w:left="1418"/>
        <w:rPr>
          <w:rFonts w:eastAsia="Calibri" w:cs="Arial"/>
          <w:szCs w:val="22"/>
          <w:lang w:eastAsia="en-US"/>
        </w:rPr>
      </w:pPr>
    </w:p>
    <w:tbl>
      <w:tblPr>
        <w:tblW w:w="8078"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35"/>
        <w:gridCol w:w="850"/>
        <w:gridCol w:w="3793"/>
      </w:tblGrid>
      <w:tr w:rsidR="00DF7CF1" w:rsidRPr="005004C2" w14:paraId="6FA7F6C6" w14:textId="77777777" w:rsidTr="00A138F8">
        <w:trPr>
          <w:cantSplit/>
          <w:tblHeader/>
        </w:trPr>
        <w:tc>
          <w:tcPr>
            <w:tcW w:w="3435" w:type="dxa"/>
            <w:tcBorders>
              <w:top w:val="single" w:sz="4" w:space="0" w:color="auto"/>
              <w:left w:val="single" w:sz="4" w:space="0" w:color="auto"/>
              <w:bottom w:val="single" w:sz="4" w:space="0" w:color="auto"/>
              <w:right w:val="single" w:sz="4" w:space="0" w:color="auto"/>
            </w:tcBorders>
            <w:hideMark/>
          </w:tcPr>
          <w:p w14:paraId="7524C70E" w14:textId="77777777" w:rsidR="00DF7CF1" w:rsidRPr="007149C6" w:rsidRDefault="00DF7CF1" w:rsidP="009642E8">
            <w:pPr>
              <w:tabs>
                <w:tab w:val="left" w:pos="1418"/>
              </w:tabs>
              <w:rPr>
                <w:rFonts w:eastAsia="Calibri" w:cs="Arial"/>
                <w:bCs/>
                <w:szCs w:val="22"/>
                <w:lang w:eastAsia="en-US"/>
              </w:rPr>
            </w:pPr>
            <w:r w:rsidRPr="007149C6">
              <w:rPr>
                <w:bCs/>
                <w:szCs w:val="22"/>
              </w:rPr>
              <w:t>Name and description</w:t>
            </w:r>
          </w:p>
        </w:tc>
        <w:tc>
          <w:tcPr>
            <w:tcW w:w="850" w:type="dxa"/>
            <w:tcBorders>
              <w:top w:val="single" w:sz="4" w:space="0" w:color="auto"/>
              <w:left w:val="single" w:sz="4" w:space="0" w:color="auto"/>
              <w:bottom w:val="single" w:sz="4" w:space="0" w:color="auto"/>
              <w:right w:val="single" w:sz="4" w:space="0" w:color="auto"/>
            </w:tcBorders>
            <w:hideMark/>
          </w:tcPr>
          <w:p w14:paraId="1EF55801" w14:textId="77777777" w:rsidR="00DF7CF1" w:rsidRPr="007149C6" w:rsidRDefault="00DF7CF1" w:rsidP="009642E8">
            <w:pPr>
              <w:tabs>
                <w:tab w:val="left" w:pos="1418"/>
              </w:tabs>
              <w:rPr>
                <w:rFonts w:eastAsia="Calibri" w:cs="Arial"/>
                <w:bCs/>
                <w:szCs w:val="22"/>
                <w:lang w:eastAsia="en-US"/>
              </w:rPr>
            </w:pPr>
            <w:r w:rsidRPr="007149C6">
              <w:rPr>
                <w:bCs/>
                <w:szCs w:val="22"/>
              </w:rPr>
              <w:t>UN No.</w:t>
            </w:r>
          </w:p>
        </w:tc>
        <w:tc>
          <w:tcPr>
            <w:tcW w:w="3793" w:type="dxa"/>
            <w:tcBorders>
              <w:top w:val="single" w:sz="4" w:space="0" w:color="auto"/>
              <w:left w:val="single" w:sz="4" w:space="0" w:color="auto"/>
              <w:bottom w:val="single" w:sz="4" w:space="0" w:color="auto"/>
              <w:right w:val="single" w:sz="4" w:space="0" w:color="auto"/>
            </w:tcBorders>
            <w:hideMark/>
          </w:tcPr>
          <w:p w14:paraId="453DD1D7" w14:textId="77777777" w:rsidR="00DF7CF1" w:rsidRPr="007149C6" w:rsidRDefault="00DF7CF1" w:rsidP="009642E8">
            <w:pPr>
              <w:tabs>
                <w:tab w:val="left" w:pos="1418"/>
              </w:tabs>
              <w:rPr>
                <w:rFonts w:eastAsia="Calibri" w:cs="Arial"/>
                <w:bCs/>
                <w:szCs w:val="22"/>
                <w:lang w:eastAsia="en-US"/>
              </w:rPr>
            </w:pPr>
            <w:r w:rsidRPr="007149C6">
              <w:rPr>
                <w:bCs/>
                <w:szCs w:val="22"/>
              </w:rPr>
              <w:t>Amendment</w:t>
            </w:r>
          </w:p>
        </w:tc>
      </w:tr>
      <w:tr w:rsidR="00DF7CF1" w:rsidRPr="005004C2" w14:paraId="7CE49469" w14:textId="77777777" w:rsidTr="00A138F8">
        <w:trPr>
          <w:cantSplit/>
        </w:trPr>
        <w:tc>
          <w:tcPr>
            <w:tcW w:w="3435" w:type="dxa"/>
            <w:tcBorders>
              <w:top w:val="single" w:sz="4" w:space="0" w:color="auto"/>
              <w:left w:val="single" w:sz="4" w:space="0" w:color="auto"/>
              <w:bottom w:val="single" w:sz="4" w:space="0" w:color="auto"/>
              <w:right w:val="single" w:sz="4" w:space="0" w:color="auto"/>
            </w:tcBorders>
            <w:hideMark/>
          </w:tcPr>
          <w:p w14:paraId="19B309AF"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AMMONIUM NITRATE, LIQUID, hot concentrated solution, in a concentration of more than 80% but not more than 93%</w:t>
            </w:r>
          </w:p>
        </w:tc>
        <w:tc>
          <w:tcPr>
            <w:tcW w:w="850" w:type="dxa"/>
            <w:tcBorders>
              <w:top w:val="single" w:sz="4" w:space="0" w:color="auto"/>
              <w:left w:val="single" w:sz="4" w:space="0" w:color="auto"/>
              <w:bottom w:val="single" w:sz="4" w:space="0" w:color="auto"/>
              <w:right w:val="single" w:sz="4" w:space="0" w:color="auto"/>
            </w:tcBorders>
            <w:hideMark/>
          </w:tcPr>
          <w:p w14:paraId="04874CE1" w14:textId="77777777"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2426</w:t>
            </w:r>
          </w:p>
        </w:tc>
        <w:tc>
          <w:tcPr>
            <w:tcW w:w="3793" w:type="dxa"/>
            <w:tcBorders>
              <w:top w:val="single" w:sz="4" w:space="0" w:color="auto"/>
              <w:left w:val="single" w:sz="4" w:space="0" w:color="auto"/>
              <w:bottom w:val="single" w:sz="4" w:space="0" w:color="auto"/>
              <w:right w:val="single" w:sz="4" w:space="0" w:color="auto"/>
            </w:tcBorders>
            <w:hideMark/>
          </w:tcPr>
          <w:p w14:paraId="559D0018" w14:textId="549A253E" w:rsidR="00DF7CF1" w:rsidRPr="005004C2" w:rsidRDefault="00DF7CF1" w:rsidP="009642E8">
            <w:pPr>
              <w:tabs>
                <w:tab w:val="left" w:pos="1418"/>
              </w:tabs>
              <w:rPr>
                <w:rFonts w:eastAsia="Calibri" w:cs="Arial"/>
                <w:szCs w:val="22"/>
                <w:lang w:eastAsia="en-US"/>
              </w:rPr>
            </w:pPr>
            <w:r w:rsidRPr="005004C2">
              <w:rPr>
                <w:rFonts w:eastAsia="Calibri" w:cs="Arial"/>
                <w:szCs w:val="22"/>
                <w:lang w:eastAsia="en-US"/>
              </w:rPr>
              <w:t xml:space="preserve">Amend the name and description in column </w:t>
            </w:r>
            <w:r w:rsidR="008B2764" w:rsidRPr="007149C6">
              <w:rPr>
                <w:bCs/>
              </w:rPr>
              <w:t>“</w:t>
            </w:r>
            <w:r w:rsidRPr="005004C2">
              <w:t>Name and description</w:t>
            </w:r>
            <w:r w:rsidR="003B7125" w:rsidRPr="007149C6">
              <w:rPr>
                <w:bCs/>
              </w:rPr>
              <w:t>”</w:t>
            </w:r>
            <w:r w:rsidRPr="005004C2">
              <w:rPr>
                <w:rFonts w:eastAsia="Calibri" w:cs="Arial"/>
                <w:szCs w:val="22"/>
                <w:lang w:eastAsia="en-US"/>
              </w:rPr>
              <w:t xml:space="preserve"> to read as follows:</w:t>
            </w:r>
          </w:p>
          <w:p w14:paraId="031986F1" w14:textId="2211406D" w:rsidR="00DF7CF1" w:rsidRPr="005004C2" w:rsidRDefault="008B2764" w:rsidP="009642E8">
            <w:pPr>
              <w:tabs>
                <w:tab w:val="left" w:pos="1418"/>
              </w:tabs>
              <w:rPr>
                <w:rFonts w:eastAsia="Calibri" w:cs="Arial"/>
                <w:szCs w:val="22"/>
                <w:lang w:eastAsia="en-US"/>
              </w:rPr>
            </w:pPr>
            <w:r w:rsidRPr="007149C6">
              <w:rPr>
                <w:bCs/>
              </w:rPr>
              <w:t>“</w:t>
            </w:r>
            <w:r w:rsidR="00DF7CF1" w:rsidRPr="005004C2">
              <w:t>AMMONIUM NITRATE, LIQUID (hot concentrated solution)</w:t>
            </w:r>
            <w:r w:rsidR="003B7125" w:rsidRPr="007149C6">
              <w:rPr>
                <w:bCs/>
              </w:rPr>
              <w:t>”</w:t>
            </w:r>
            <w:r w:rsidR="00DF7CF1" w:rsidRPr="005004C2">
              <w:t>.</w:t>
            </w:r>
          </w:p>
          <w:p w14:paraId="055A8673" w14:textId="18DE4AE3" w:rsidR="00DF7CF1" w:rsidRPr="005004C2" w:rsidRDefault="00A138F8" w:rsidP="009642E8">
            <w:pPr>
              <w:tabs>
                <w:tab w:val="left" w:pos="1418"/>
              </w:tabs>
              <w:rPr>
                <w:rFonts w:eastAsia="Calibri" w:cs="Arial"/>
                <w:szCs w:val="22"/>
                <w:lang w:eastAsia="en-US"/>
              </w:rPr>
            </w:pPr>
            <w:r>
              <w:t>(</w:t>
            </w:r>
            <w:r w:rsidR="00DF7CF1" w:rsidRPr="00A138F8">
              <w:rPr>
                <w:i/>
                <w:iCs/>
              </w:rPr>
              <w:t>Reference document: ECE/TRANS/WP.15/AC4.1/2021/13</w:t>
            </w:r>
            <w:r>
              <w:rPr>
                <w:i/>
                <w:iCs/>
              </w:rPr>
              <w:t>)</w:t>
            </w:r>
          </w:p>
        </w:tc>
      </w:tr>
      <w:tr w:rsidR="0066245C" w:rsidRPr="005004C2" w14:paraId="145AFAE4" w14:textId="77777777" w:rsidTr="00A138F8">
        <w:trPr>
          <w:cantSplit/>
        </w:trPr>
        <w:tc>
          <w:tcPr>
            <w:tcW w:w="3435" w:type="dxa"/>
            <w:tcBorders>
              <w:top w:val="single" w:sz="4" w:space="0" w:color="auto"/>
              <w:left w:val="single" w:sz="4" w:space="0" w:color="auto"/>
              <w:bottom w:val="single" w:sz="4" w:space="0" w:color="auto"/>
              <w:right w:val="single" w:sz="4" w:space="0" w:color="auto"/>
            </w:tcBorders>
          </w:tcPr>
          <w:p w14:paraId="402AB494" w14:textId="4241D118" w:rsidR="0066245C" w:rsidRPr="005004C2" w:rsidRDefault="0066245C" w:rsidP="0066245C">
            <w:pPr>
              <w:tabs>
                <w:tab w:val="left" w:pos="1418"/>
              </w:tabs>
              <w:rPr>
                <w:rFonts w:eastAsia="Calibri" w:cs="Arial"/>
                <w:szCs w:val="22"/>
                <w:lang w:eastAsia="en-US"/>
              </w:rPr>
            </w:pPr>
            <w:r w:rsidRPr="0066245C">
              <w:rPr>
                <w:rFonts w:eastAsia="Calibri" w:cs="Arial"/>
                <w:szCs w:val="22"/>
                <w:lang w:eastAsia="en-US"/>
              </w:rPr>
              <w:lastRenderedPageBreak/>
              <w:t>FUMIGATED CARGO</w:t>
            </w:r>
            <w:r>
              <w:rPr>
                <w:rFonts w:eastAsia="Calibri" w:cs="Arial"/>
                <w:szCs w:val="22"/>
                <w:lang w:eastAsia="en-US"/>
              </w:rPr>
              <w:t xml:space="preserve"> </w:t>
            </w:r>
            <w:r w:rsidRPr="0066245C">
              <w:rPr>
                <w:rFonts w:eastAsia="Calibri" w:cs="Arial"/>
                <w:szCs w:val="22"/>
                <w:lang w:eastAsia="en-US"/>
              </w:rPr>
              <w:t>TRANSPORT UNIT</w:t>
            </w:r>
          </w:p>
        </w:tc>
        <w:tc>
          <w:tcPr>
            <w:tcW w:w="850" w:type="dxa"/>
            <w:tcBorders>
              <w:top w:val="single" w:sz="4" w:space="0" w:color="auto"/>
              <w:left w:val="single" w:sz="4" w:space="0" w:color="auto"/>
              <w:bottom w:val="single" w:sz="4" w:space="0" w:color="auto"/>
              <w:right w:val="single" w:sz="4" w:space="0" w:color="auto"/>
            </w:tcBorders>
          </w:tcPr>
          <w:p w14:paraId="415E6F80" w14:textId="2C0B47ED" w:rsidR="0066245C" w:rsidRPr="005004C2" w:rsidRDefault="0066245C" w:rsidP="009642E8">
            <w:pPr>
              <w:tabs>
                <w:tab w:val="left" w:pos="1418"/>
              </w:tabs>
              <w:rPr>
                <w:rFonts w:eastAsia="Calibri" w:cs="Arial"/>
                <w:szCs w:val="22"/>
                <w:lang w:eastAsia="en-US"/>
              </w:rPr>
            </w:pPr>
            <w:r>
              <w:rPr>
                <w:rFonts w:eastAsia="Calibri" w:cs="Arial"/>
                <w:szCs w:val="22"/>
                <w:lang w:eastAsia="en-US"/>
              </w:rPr>
              <w:t>3359</w:t>
            </w:r>
          </w:p>
        </w:tc>
        <w:tc>
          <w:tcPr>
            <w:tcW w:w="3793" w:type="dxa"/>
            <w:tcBorders>
              <w:top w:val="single" w:sz="4" w:space="0" w:color="auto"/>
              <w:left w:val="single" w:sz="4" w:space="0" w:color="auto"/>
              <w:bottom w:val="single" w:sz="4" w:space="0" w:color="auto"/>
              <w:right w:val="single" w:sz="4" w:space="0" w:color="auto"/>
            </w:tcBorders>
          </w:tcPr>
          <w:p w14:paraId="5EE86441" w14:textId="459FF9FE" w:rsidR="0066245C" w:rsidRPr="005004C2" w:rsidRDefault="0066245C" w:rsidP="009642E8">
            <w:pPr>
              <w:tabs>
                <w:tab w:val="left" w:pos="1418"/>
              </w:tabs>
              <w:rPr>
                <w:rFonts w:eastAsia="Calibri" w:cs="Arial"/>
                <w:szCs w:val="22"/>
                <w:lang w:eastAsia="en-US"/>
              </w:rPr>
            </w:pPr>
            <w:r w:rsidRPr="00FF1AED">
              <w:rPr>
                <w:lang w:val="en-US"/>
              </w:rPr>
              <w:t>[</w:t>
            </w:r>
            <w:r w:rsidR="00283474">
              <w:t>Amendment to the German version only</w:t>
            </w:r>
            <w:r w:rsidRPr="00FF1AED">
              <w:rPr>
                <w:lang w:val="en-US"/>
              </w:rPr>
              <w:t>.]</w:t>
            </w:r>
          </w:p>
        </w:tc>
      </w:tr>
    </w:tbl>
    <w:p w14:paraId="681E7E89" w14:textId="54E4BA32" w:rsidR="00DF7CF1" w:rsidRPr="002E64A6" w:rsidRDefault="005D732F" w:rsidP="00DF7CF1">
      <w:pPr>
        <w:pStyle w:val="H23G"/>
        <w:kinsoku w:val="0"/>
        <w:overflowPunct w:val="0"/>
        <w:autoSpaceDE w:val="0"/>
        <w:autoSpaceDN w:val="0"/>
        <w:adjustRightInd w:val="0"/>
        <w:snapToGrid w:val="0"/>
        <w:ind w:right="707"/>
      </w:pPr>
      <w:r w:rsidRPr="002E64A6">
        <w:tab/>
      </w:r>
      <w:r w:rsidRPr="002E64A6">
        <w:tab/>
      </w:r>
      <w:r w:rsidR="00DF7CF1" w:rsidRPr="002E64A6">
        <w:t>Chapter 3.3</w:t>
      </w:r>
    </w:p>
    <w:p w14:paraId="00E74164" w14:textId="1FCBFD40" w:rsidR="000B3F66" w:rsidRPr="007149C6" w:rsidRDefault="000B3F66" w:rsidP="0066245C">
      <w:pPr>
        <w:pStyle w:val="SingleTxtG"/>
        <w:kinsoku w:val="0"/>
        <w:overflowPunct w:val="0"/>
        <w:autoSpaceDE w:val="0"/>
        <w:autoSpaceDN w:val="0"/>
        <w:adjustRightInd w:val="0"/>
        <w:snapToGrid w:val="0"/>
        <w:spacing w:before="120"/>
        <w:rPr>
          <w:bCs/>
        </w:rPr>
      </w:pPr>
      <w:r w:rsidRPr="007149C6">
        <w:rPr>
          <w:bCs/>
        </w:rPr>
        <w:t>SP 302</w:t>
      </w:r>
      <w:r w:rsidRPr="007149C6">
        <w:rPr>
          <w:bCs/>
        </w:rPr>
        <w:tab/>
        <w:t>[</w:t>
      </w:r>
      <w:r w:rsidR="0024774D">
        <w:t>Amendment to the German version only</w:t>
      </w:r>
      <w:r w:rsidRPr="007149C6">
        <w:rPr>
          <w:bCs/>
        </w:rPr>
        <w:t>.]</w:t>
      </w:r>
    </w:p>
    <w:p w14:paraId="4EEC4EF3" w14:textId="18B922A9" w:rsidR="0066245C" w:rsidRPr="007149C6" w:rsidRDefault="0066245C" w:rsidP="0066245C">
      <w:pPr>
        <w:pStyle w:val="SingleTxtG"/>
        <w:kinsoku w:val="0"/>
        <w:overflowPunct w:val="0"/>
        <w:autoSpaceDE w:val="0"/>
        <w:autoSpaceDN w:val="0"/>
        <w:adjustRightInd w:val="0"/>
        <w:snapToGrid w:val="0"/>
        <w:spacing w:before="120"/>
        <w:rPr>
          <w:bCs/>
        </w:rPr>
      </w:pPr>
      <w:r w:rsidRPr="007149C6">
        <w:rPr>
          <w:bCs/>
        </w:rPr>
        <w:t>SP 327</w:t>
      </w:r>
      <w:r w:rsidRPr="007149C6">
        <w:rPr>
          <w:bCs/>
        </w:rPr>
        <w:tab/>
        <w:t xml:space="preserve">In the first sentence, replace </w:t>
      </w:r>
      <w:r w:rsidR="008B2764" w:rsidRPr="007149C6">
        <w:rPr>
          <w:bCs/>
        </w:rPr>
        <w:t>“</w:t>
      </w:r>
      <w:r w:rsidRPr="007149C6">
        <w:rPr>
          <w:bCs/>
        </w:rPr>
        <w:t>5.4.1.1.3</w:t>
      </w:r>
      <w:r w:rsidR="00657134" w:rsidRPr="007149C6">
        <w:rPr>
          <w:bCs/>
        </w:rPr>
        <w:t>”</w:t>
      </w:r>
      <w:r w:rsidRPr="007149C6">
        <w:rPr>
          <w:bCs/>
        </w:rPr>
        <w:t xml:space="preserve"> by:</w:t>
      </w:r>
    </w:p>
    <w:p w14:paraId="1A9A7AD6" w14:textId="3E59793A" w:rsidR="0066245C" w:rsidRPr="007149C6" w:rsidRDefault="008B2764" w:rsidP="007149C6">
      <w:pPr>
        <w:pStyle w:val="SingleTxtG"/>
        <w:kinsoku w:val="0"/>
        <w:overflowPunct w:val="0"/>
        <w:autoSpaceDE w:val="0"/>
        <w:autoSpaceDN w:val="0"/>
        <w:adjustRightInd w:val="0"/>
        <w:snapToGrid w:val="0"/>
        <w:spacing w:before="120"/>
        <w:ind w:left="2268"/>
        <w:rPr>
          <w:bCs/>
        </w:rPr>
      </w:pPr>
      <w:r w:rsidRPr="007149C6">
        <w:rPr>
          <w:bCs/>
        </w:rPr>
        <w:t>“</w:t>
      </w:r>
      <w:r w:rsidR="0066245C" w:rsidRPr="007149C6">
        <w:rPr>
          <w:bCs/>
        </w:rPr>
        <w:t>5.4.1.1.3.1</w:t>
      </w:r>
      <w:r w:rsidR="00657134" w:rsidRPr="007149C6">
        <w:rPr>
          <w:bCs/>
        </w:rPr>
        <w:t>”</w:t>
      </w:r>
      <w:r w:rsidR="0066245C" w:rsidRPr="007149C6">
        <w:rPr>
          <w:bCs/>
        </w:rPr>
        <w:t>.</w:t>
      </w:r>
    </w:p>
    <w:p w14:paraId="5FC9B56E" w14:textId="1E256259" w:rsidR="0066245C" w:rsidRPr="007149C6" w:rsidRDefault="00430B27" w:rsidP="00E91AF4">
      <w:pPr>
        <w:pStyle w:val="SingleTxtG"/>
        <w:kinsoku w:val="0"/>
        <w:overflowPunct w:val="0"/>
        <w:autoSpaceDE w:val="0"/>
        <w:autoSpaceDN w:val="0"/>
        <w:adjustRightInd w:val="0"/>
        <w:snapToGrid w:val="0"/>
        <w:spacing w:before="120"/>
        <w:rPr>
          <w:bCs/>
          <w:i/>
          <w:iCs/>
        </w:rPr>
      </w:pPr>
      <w:r w:rsidRPr="007149C6">
        <w:rPr>
          <w:bCs/>
          <w:i/>
          <w:iCs/>
        </w:rPr>
        <w:t>(</w:t>
      </w:r>
      <w:r w:rsidR="0066245C" w:rsidRPr="007149C6">
        <w:rPr>
          <w:bCs/>
          <w:i/>
          <w:iCs/>
        </w:rPr>
        <w:t>Reference documents: ECE/TRANS/WP.15/AC.1/2021/18 and informal document INF.42, consequential amendment</w:t>
      </w:r>
      <w:r w:rsidRPr="007149C6">
        <w:rPr>
          <w:bCs/>
          <w:i/>
          <w:iCs/>
        </w:rPr>
        <w:t>)</w:t>
      </w:r>
    </w:p>
    <w:p w14:paraId="389E95F6" w14:textId="77777777" w:rsidR="00DF7CF1" w:rsidRPr="007149C6" w:rsidRDefault="00DF7CF1" w:rsidP="00DF7CF1">
      <w:pPr>
        <w:snapToGrid w:val="0"/>
        <w:spacing w:before="120" w:after="120"/>
        <w:rPr>
          <w:bCs/>
        </w:rPr>
      </w:pPr>
      <w:r w:rsidRPr="007149C6">
        <w:rPr>
          <w:bCs/>
        </w:rPr>
        <w:tab/>
      </w:r>
      <w:r w:rsidRPr="007149C6">
        <w:rPr>
          <w:bCs/>
        </w:rPr>
        <w:tab/>
        <w:t>SP 363</w:t>
      </w:r>
      <w:r w:rsidRPr="007149C6">
        <w:rPr>
          <w:bCs/>
        </w:rPr>
        <w:tab/>
        <w:t>At the end of paragraph (j), insert the following Note:</w:t>
      </w:r>
    </w:p>
    <w:p w14:paraId="36EBD3DD" w14:textId="5F885B2B" w:rsidR="00DF7CF1" w:rsidRPr="007149C6" w:rsidRDefault="00DF7CF1" w:rsidP="006A1EBF">
      <w:pPr>
        <w:snapToGrid w:val="0"/>
        <w:spacing w:before="120" w:after="120"/>
        <w:ind w:left="1134" w:right="1134"/>
        <w:rPr>
          <w:bCs/>
          <w:i/>
          <w:iCs/>
        </w:rPr>
      </w:pPr>
      <w:r w:rsidRPr="002E64A6">
        <w:rPr>
          <w:bCs/>
        </w:rPr>
        <w:tab/>
      </w:r>
      <w:r w:rsidRPr="007149C6">
        <w:rPr>
          <w:bCs/>
          <w:i/>
          <w:iCs/>
        </w:rPr>
        <w:t>“</w:t>
      </w:r>
      <w:r w:rsidRPr="006A1EBF">
        <w:rPr>
          <w:b/>
          <w:i/>
          <w:iCs/>
        </w:rPr>
        <w:t>NOTE</w:t>
      </w:r>
      <w:r w:rsidRPr="007149C6">
        <w:rPr>
          <w:bCs/>
          <w:i/>
          <w:iCs/>
        </w:rPr>
        <w:t>:</w:t>
      </w:r>
      <w:r w:rsidRPr="007149C6">
        <w:rPr>
          <w:bCs/>
          <w:i/>
          <w:iCs/>
        </w:rPr>
        <w:tab/>
        <w:t>On engines and machinery with a capacity of more than 450 l but containing 60 l of liquid fuel or less, labelling and placarding compliant with the above requirements is permitted.”</w:t>
      </w:r>
    </w:p>
    <w:p w14:paraId="102B8DE5" w14:textId="1A0DF1FB" w:rsidR="00DF7CF1" w:rsidRPr="007149C6" w:rsidRDefault="00DF7CF1" w:rsidP="00DF7CF1">
      <w:pPr>
        <w:snapToGrid w:val="0"/>
        <w:spacing w:before="120" w:after="120"/>
        <w:ind w:right="1134"/>
        <w:rPr>
          <w:bCs/>
          <w:i/>
          <w:iCs/>
        </w:rPr>
      </w:pPr>
      <w:r w:rsidRPr="002E64A6">
        <w:rPr>
          <w:bCs/>
        </w:rPr>
        <w:tab/>
      </w:r>
      <w:r w:rsidRPr="002E64A6">
        <w:rPr>
          <w:bCs/>
        </w:rPr>
        <w:tab/>
      </w:r>
      <w:r w:rsidR="00430B27" w:rsidRPr="007149C6">
        <w:rPr>
          <w:bCs/>
          <w:i/>
          <w:iCs/>
        </w:rPr>
        <w:t>(</w:t>
      </w:r>
      <w:r w:rsidRPr="007149C6">
        <w:rPr>
          <w:bCs/>
          <w:i/>
          <w:iCs/>
        </w:rPr>
        <w:t>Reference document: informal document INF.34</w:t>
      </w:r>
      <w:r w:rsidR="00430B27" w:rsidRPr="007149C6">
        <w:rPr>
          <w:bCs/>
          <w:i/>
          <w:iCs/>
        </w:rPr>
        <w:t>)</w:t>
      </w:r>
    </w:p>
    <w:p w14:paraId="71EF3E0A" w14:textId="77777777" w:rsidR="00DF7CF1" w:rsidRPr="007149C6" w:rsidRDefault="00DF7CF1" w:rsidP="00DF7CF1">
      <w:pPr>
        <w:snapToGrid w:val="0"/>
        <w:spacing w:before="120" w:after="120"/>
        <w:ind w:right="1134"/>
        <w:rPr>
          <w:bCs/>
        </w:rPr>
      </w:pPr>
      <w:r w:rsidRPr="007149C6">
        <w:rPr>
          <w:bCs/>
        </w:rPr>
        <w:tab/>
      </w:r>
      <w:r w:rsidRPr="007149C6">
        <w:rPr>
          <w:bCs/>
        </w:rPr>
        <w:tab/>
        <w:t>SP 593</w:t>
      </w:r>
      <w:r w:rsidRPr="007149C6">
        <w:rPr>
          <w:bCs/>
        </w:rPr>
        <w:tab/>
        <w:t>Amend to read as follows:</w:t>
      </w:r>
    </w:p>
    <w:p w14:paraId="022BFA27" w14:textId="2408FA36" w:rsidR="00DF7CF1" w:rsidRPr="002E64A6" w:rsidRDefault="00DF7CF1" w:rsidP="00C73AA6">
      <w:pPr>
        <w:tabs>
          <w:tab w:val="left" w:pos="2268"/>
        </w:tabs>
        <w:snapToGrid w:val="0"/>
        <w:spacing w:before="120" w:after="120"/>
        <w:ind w:left="2268" w:right="1134" w:hanging="1134"/>
        <w:jc w:val="both"/>
        <w:rPr>
          <w:bCs/>
        </w:rPr>
      </w:pPr>
      <w:r w:rsidRPr="002E64A6">
        <w:rPr>
          <w:bCs/>
        </w:rPr>
        <w:t>“</w:t>
      </w:r>
      <w:r w:rsidRPr="007149C6">
        <w:rPr>
          <w:bCs/>
        </w:rPr>
        <w:t>593</w:t>
      </w:r>
      <w:r w:rsidRPr="002E64A6">
        <w:rPr>
          <w:bCs/>
        </w:rPr>
        <w:tab/>
        <w:t>This gas, when used for cooling goods not fulfilling the criteria of any class, e.g. medical or biological specimens, if contained in double wall receptacles which comply with the provisions of packing instruction P203, paragraph (6) for open cryogenic receptacles of 4.1.4.1 &lt;(ADN:) of ADR&gt;, is not subject to the requirements of RID/ADR/ADN except as specified in 5.5.3.”</w:t>
      </w:r>
    </w:p>
    <w:p w14:paraId="6C2848A9" w14:textId="7952F3E8" w:rsidR="00DF7CF1" w:rsidRPr="007149C6" w:rsidRDefault="00DF7CF1" w:rsidP="0066245C">
      <w:pPr>
        <w:snapToGrid w:val="0"/>
        <w:spacing w:before="120" w:after="120"/>
        <w:ind w:right="1134"/>
        <w:rPr>
          <w:bCs/>
          <w:i/>
          <w:iCs/>
        </w:rPr>
      </w:pPr>
      <w:r w:rsidRPr="007149C6">
        <w:rPr>
          <w:bCs/>
        </w:rPr>
        <w:tab/>
      </w:r>
      <w:r w:rsidRPr="007149C6">
        <w:rPr>
          <w:bCs/>
        </w:rPr>
        <w:tab/>
      </w:r>
      <w:r w:rsidR="00430B27" w:rsidRPr="007149C6">
        <w:rPr>
          <w:bCs/>
          <w:i/>
          <w:iCs/>
        </w:rPr>
        <w:t>(</w:t>
      </w:r>
      <w:r w:rsidRPr="007149C6">
        <w:rPr>
          <w:bCs/>
          <w:i/>
          <w:iCs/>
        </w:rPr>
        <w:t>Reference document: ECE/TRANS/WP.15/AC.1/2021/15, Option A</w:t>
      </w:r>
      <w:r w:rsidR="00430B27" w:rsidRPr="007149C6">
        <w:rPr>
          <w:bCs/>
          <w:i/>
          <w:iCs/>
        </w:rPr>
        <w:t>)</w:t>
      </w:r>
    </w:p>
    <w:p w14:paraId="74E94F2B" w14:textId="3B1B5BD2" w:rsidR="00DF7CF1" w:rsidRPr="007149C6" w:rsidRDefault="00DF7CF1" w:rsidP="007149C6">
      <w:pPr>
        <w:pStyle w:val="H23G"/>
        <w:kinsoku w:val="0"/>
        <w:overflowPunct w:val="0"/>
        <w:autoSpaceDE w:val="0"/>
        <w:autoSpaceDN w:val="0"/>
        <w:adjustRightInd w:val="0"/>
        <w:snapToGrid w:val="0"/>
        <w:ind w:left="2268" w:right="707"/>
        <w:rPr>
          <w:b w:val="0"/>
          <w:bCs/>
        </w:rPr>
      </w:pPr>
      <w:r w:rsidRPr="007149C6">
        <w:rPr>
          <w:b w:val="0"/>
          <w:bCs/>
        </w:rPr>
        <w:t>SP 644</w:t>
      </w:r>
      <w:r w:rsidRPr="007149C6">
        <w:rPr>
          <w:b w:val="0"/>
          <w:bCs/>
        </w:rPr>
        <w:tab/>
      </w:r>
      <w:r w:rsidR="00E503D6">
        <w:rPr>
          <w:b w:val="0"/>
          <w:bCs/>
        </w:rPr>
        <w:t>Insert the following new second indent:</w:t>
      </w:r>
    </w:p>
    <w:p w14:paraId="0F6ABE6B" w14:textId="392B070B" w:rsidR="00DF7CF1" w:rsidRPr="002E64A6" w:rsidRDefault="008B2764" w:rsidP="00DD76C4">
      <w:pPr>
        <w:ind w:left="1701" w:firstLine="567"/>
      </w:pPr>
      <w:r w:rsidRPr="007149C6">
        <w:rPr>
          <w:bCs/>
        </w:rPr>
        <w:t>“</w:t>
      </w:r>
      <w:r w:rsidR="00DF7CF1" w:rsidRPr="002E64A6">
        <w:t>–</w:t>
      </w:r>
      <w:r w:rsidR="00DF7CF1" w:rsidRPr="002E64A6">
        <w:tab/>
        <w:t xml:space="preserve">The solution does not contain more than 93% ammonium </w:t>
      </w:r>
      <w:proofErr w:type="gramStart"/>
      <w:r w:rsidR="00DF7CF1" w:rsidRPr="002E64A6">
        <w:t>nitrate;</w:t>
      </w:r>
      <w:proofErr w:type="gramEnd"/>
      <w:r w:rsidR="000B3673" w:rsidRPr="007149C6">
        <w:rPr>
          <w:bCs/>
        </w:rPr>
        <w:t>”</w:t>
      </w:r>
    </w:p>
    <w:p w14:paraId="0D17C319" w14:textId="14EC1A8F" w:rsidR="00DF7CF1" w:rsidRPr="007149C6" w:rsidRDefault="006E1AA6" w:rsidP="007149C6">
      <w:pPr>
        <w:snapToGrid w:val="0"/>
        <w:spacing w:before="120" w:after="120" w:line="240" w:lineRule="auto"/>
        <w:ind w:left="1134" w:right="1134"/>
        <w:rPr>
          <w:i/>
          <w:iCs/>
        </w:rPr>
      </w:pPr>
      <w:r w:rsidRPr="007149C6">
        <w:rPr>
          <w:i/>
          <w:iCs/>
        </w:rPr>
        <w:t>(</w:t>
      </w:r>
      <w:r w:rsidR="00DF7CF1" w:rsidRPr="007149C6">
        <w:rPr>
          <w:i/>
          <w:iCs/>
        </w:rPr>
        <w:t>Reference document: ECE/TRANS/WP.15/AC.1/2021/13, as amended</w:t>
      </w:r>
      <w:r w:rsidRPr="007149C6">
        <w:rPr>
          <w:i/>
          <w:iCs/>
        </w:rPr>
        <w:t>)</w:t>
      </w:r>
    </w:p>
    <w:p w14:paraId="5ADEAFE8" w14:textId="603E718F" w:rsidR="0066245C" w:rsidRPr="002E64A6" w:rsidRDefault="0066245C" w:rsidP="007149C6">
      <w:pPr>
        <w:snapToGrid w:val="0"/>
        <w:spacing w:before="120" w:after="120" w:line="240" w:lineRule="auto"/>
        <w:ind w:left="2552" w:right="1134" w:hanging="1418"/>
      </w:pPr>
      <w:r w:rsidRPr="007149C6">
        <w:rPr>
          <w:bCs/>
        </w:rPr>
        <w:t>SP 650</w:t>
      </w:r>
      <w:r w:rsidRPr="002E64A6">
        <w:tab/>
        <w:t xml:space="preserve">In paragraph (e), replace </w:t>
      </w:r>
      <w:r w:rsidR="008B2764" w:rsidRPr="007149C6">
        <w:rPr>
          <w:bCs/>
        </w:rPr>
        <w:t>“</w:t>
      </w:r>
      <w:r w:rsidRPr="002E64A6">
        <w:t>5.4.1.1.3</w:t>
      </w:r>
      <w:r w:rsidR="00666430" w:rsidRPr="007149C6">
        <w:rPr>
          <w:bCs/>
        </w:rPr>
        <w:t>”</w:t>
      </w:r>
      <w:r w:rsidRPr="002E64A6">
        <w:t xml:space="preserve"> by:</w:t>
      </w:r>
    </w:p>
    <w:p w14:paraId="136D8CF8" w14:textId="2BE483EF" w:rsidR="0066245C" w:rsidRPr="002E64A6" w:rsidRDefault="008B2764" w:rsidP="007149C6">
      <w:pPr>
        <w:snapToGrid w:val="0"/>
        <w:spacing w:before="120" w:after="120" w:line="240" w:lineRule="auto"/>
        <w:ind w:left="3970" w:right="1134" w:hanging="1418"/>
        <w:rPr>
          <w:u w:val="single"/>
        </w:rPr>
      </w:pPr>
      <w:r w:rsidRPr="007149C6">
        <w:rPr>
          <w:bCs/>
        </w:rPr>
        <w:t>“</w:t>
      </w:r>
      <w:r w:rsidR="0066245C" w:rsidRPr="007149C6">
        <w:t>5.4.1.1.3.1</w:t>
      </w:r>
      <w:r w:rsidR="000B3673" w:rsidRPr="007149C6">
        <w:rPr>
          <w:bCs/>
        </w:rPr>
        <w:t>”</w:t>
      </w:r>
      <w:r w:rsidR="0066245C" w:rsidRPr="007149C6">
        <w:t>.</w:t>
      </w:r>
    </w:p>
    <w:p w14:paraId="20CDAE22" w14:textId="28AE1D46" w:rsidR="0066245C" w:rsidRPr="007149C6" w:rsidRDefault="00B264CC" w:rsidP="007149C6">
      <w:pPr>
        <w:snapToGrid w:val="0"/>
        <w:spacing w:before="120" w:after="120" w:line="240" w:lineRule="auto"/>
        <w:ind w:left="1134" w:right="1134"/>
        <w:rPr>
          <w:i/>
          <w:iCs/>
        </w:rPr>
      </w:pPr>
      <w:r w:rsidRPr="007149C6">
        <w:rPr>
          <w:i/>
          <w:iCs/>
        </w:rPr>
        <w:t>(</w:t>
      </w:r>
      <w:r w:rsidR="0066245C" w:rsidRPr="007149C6">
        <w:rPr>
          <w:i/>
          <w:iCs/>
        </w:rPr>
        <w:t>Reference documents: ECE/TRANS/WP.15/AC.1/2021/18 and informal document INF.42, consequential amendment</w:t>
      </w:r>
      <w:r w:rsidRPr="007149C6">
        <w:rPr>
          <w:i/>
          <w:iCs/>
        </w:rPr>
        <w:t>)</w:t>
      </w:r>
    </w:p>
    <w:p w14:paraId="0CA57B74" w14:textId="798AF2DC" w:rsidR="0066245C" w:rsidRPr="002E64A6" w:rsidRDefault="0066245C" w:rsidP="0066245C">
      <w:pPr>
        <w:snapToGrid w:val="0"/>
        <w:spacing w:before="120" w:after="120" w:line="240" w:lineRule="auto"/>
        <w:ind w:left="2552" w:right="1134" w:hanging="1418"/>
      </w:pPr>
      <w:r w:rsidRPr="007149C6">
        <w:rPr>
          <w:bCs/>
        </w:rPr>
        <w:t>SP 654</w:t>
      </w:r>
      <w:r w:rsidRPr="002E64A6">
        <w:tab/>
      </w:r>
      <w:r w:rsidR="002118CB" w:rsidRPr="002E64A6">
        <w:t>In the first sentence</w:t>
      </w:r>
      <w:r w:rsidRPr="002E64A6">
        <w:t>, replace "5.4.1.1.3</w:t>
      </w:r>
      <w:r w:rsidR="00666430" w:rsidRPr="007149C6">
        <w:rPr>
          <w:bCs/>
        </w:rPr>
        <w:t>”</w:t>
      </w:r>
      <w:r w:rsidRPr="002E64A6">
        <w:t xml:space="preserve"> by:</w:t>
      </w:r>
    </w:p>
    <w:p w14:paraId="437DB914" w14:textId="4F844DFC" w:rsidR="0066245C" w:rsidRPr="002E64A6" w:rsidRDefault="008B2764" w:rsidP="0066245C">
      <w:pPr>
        <w:snapToGrid w:val="0"/>
        <w:spacing w:before="120" w:after="120" w:line="240" w:lineRule="auto"/>
        <w:ind w:left="3970" w:right="1134" w:hanging="1418"/>
        <w:rPr>
          <w:u w:val="single"/>
        </w:rPr>
      </w:pPr>
      <w:r w:rsidRPr="007149C6">
        <w:rPr>
          <w:bCs/>
        </w:rPr>
        <w:t>“</w:t>
      </w:r>
      <w:r w:rsidR="0066245C" w:rsidRPr="002E64A6">
        <w:t>5.4.1.1.3.1</w:t>
      </w:r>
      <w:r w:rsidR="000B3673" w:rsidRPr="007149C6">
        <w:rPr>
          <w:bCs/>
        </w:rPr>
        <w:t>”</w:t>
      </w:r>
      <w:r w:rsidR="0066245C" w:rsidRPr="002E64A6">
        <w:t>.</w:t>
      </w:r>
    </w:p>
    <w:p w14:paraId="493206FC" w14:textId="056EED36" w:rsidR="0066245C" w:rsidRPr="007149C6" w:rsidRDefault="00B264CC" w:rsidP="007149C6">
      <w:pPr>
        <w:snapToGrid w:val="0"/>
        <w:spacing w:before="120" w:after="120" w:line="240" w:lineRule="auto"/>
        <w:ind w:left="1134" w:right="1134"/>
        <w:rPr>
          <w:i/>
          <w:iCs/>
        </w:rPr>
      </w:pPr>
      <w:r w:rsidRPr="007149C6">
        <w:rPr>
          <w:i/>
          <w:iCs/>
        </w:rPr>
        <w:t>(</w:t>
      </w:r>
      <w:r w:rsidR="0066245C" w:rsidRPr="007149C6">
        <w:rPr>
          <w:i/>
          <w:iCs/>
        </w:rPr>
        <w:t>Reference documents: ECE/TRANS/WP.15/AC.1/2021/18 and informal document INF.42, consequential amendment</w:t>
      </w:r>
      <w:r w:rsidRPr="007149C6">
        <w:rPr>
          <w:i/>
          <w:iCs/>
        </w:rPr>
        <w:t>)</w:t>
      </w:r>
    </w:p>
    <w:p w14:paraId="63A460B5" w14:textId="77777777" w:rsidR="00DF7CF1" w:rsidRPr="002E64A6" w:rsidRDefault="00DF7CF1" w:rsidP="007149C6">
      <w:pPr>
        <w:snapToGrid w:val="0"/>
        <w:spacing w:before="120" w:after="120" w:line="240" w:lineRule="auto"/>
        <w:ind w:left="1134" w:right="1134"/>
      </w:pPr>
      <w:r w:rsidRPr="002E64A6">
        <w:t>Add the following new special provision:</w:t>
      </w:r>
    </w:p>
    <w:p w14:paraId="341EFCA9" w14:textId="7B91576A" w:rsidR="00DF7CF1" w:rsidRPr="002E64A6" w:rsidRDefault="008B2764" w:rsidP="007149C6">
      <w:pPr>
        <w:snapToGrid w:val="0"/>
        <w:spacing w:before="120" w:after="120" w:line="240" w:lineRule="auto"/>
        <w:ind w:left="2552" w:right="1134" w:hanging="1418"/>
        <w:jc w:val="both"/>
      </w:pPr>
      <w:r w:rsidRPr="007149C6">
        <w:rPr>
          <w:bCs/>
        </w:rPr>
        <w:t>“</w:t>
      </w:r>
      <w:r w:rsidR="00DF7CF1" w:rsidRPr="007149C6">
        <w:t>676</w:t>
      </w:r>
      <w:r w:rsidR="00DF7CF1" w:rsidRPr="002E64A6">
        <w:rPr>
          <w:b/>
        </w:rPr>
        <w:tab/>
      </w:r>
      <w:r w:rsidR="00DF7CF1" w:rsidRPr="002E64A6">
        <w:t xml:space="preserve">For </w:t>
      </w:r>
      <w:r w:rsidR="00DF7CF1" w:rsidRPr="002E64A6">
        <w:rPr>
          <w:bCs/>
        </w:rPr>
        <w:t>the carriage of packages containing polymerizing</w:t>
      </w:r>
      <w:r w:rsidR="00DF7CF1" w:rsidRPr="002E64A6">
        <w:t xml:space="preserve"> substances the provisions of special provision 386 &lt;(ADR:), in conjunction with 7.1.7.3, 7.1.7.4, 5.4.1.1.15 and 5.4.1.2.3.1,&gt; need not be applied, </w:t>
      </w:r>
      <w:r w:rsidR="00DF7CF1" w:rsidRPr="002E64A6">
        <w:rPr>
          <w:bCs/>
        </w:rPr>
        <w:t>when carried for disposal or recycling</w:t>
      </w:r>
      <w:r w:rsidR="00DF7CF1" w:rsidRPr="002E64A6">
        <w:t xml:space="preserve"> provided </w:t>
      </w:r>
      <w:r w:rsidR="00DF7CF1" w:rsidRPr="002E64A6">
        <w:rPr>
          <w:bCs/>
        </w:rPr>
        <w:t>the following conditions</w:t>
      </w:r>
      <w:r w:rsidR="00DF7CF1" w:rsidRPr="002E64A6">
        <w:t xml:space="preserve"> are </w:t>
      </w:r>
      <w:r w:rsidR="00DF7CF1" w:rsidRPr="002E64A6">
        <w:rPr>
          <w:bCs/>
        </w:rPr>
        <w:t>met</w:t>
      </w:r>
      <w:r w:rsidR="00DF7CF1" w:rsidRPr="002E64A6">
        <w:t>:</w:t>
      </w:r>
    </w:p>
    <w:p w14:paraId="23CFB15E" w14:textId="77777777" w:rsidR="00DF7CF1" w:rsidRPr="002E64A6" w:rsidRDefault="00DF7CF1" w:rsidP="007149C6">
      <w:pPr>
        <w:tabs>
          <w:tab w:val="left" w:pos="1843"/>
        </w:tabs>
        <w:snapToGrid w:val="0"/>
        <w:spacing w:before="120" w:after="120" w:line="240" w:lineRule="auto"/>
        <w:ind w:left="2977" w:right="1134" w:hanging="425"/>
        <w:jc w:val="both"/>
      </w:pPr>
      <w:r w:rsidRPr="002E64A6">
        <w:t>(a)</w:t>
      </w:r>
      <w:r w:rsidRPr="002E64A6">
        <w:tab/>
      </w:r>
      <w:r w:rsidRPr="002E64A6">
        <w:rPr>
          <w:bCs/>
        </w:rPr>
        <w:t>before</w:t>
      </w:r>
      <w:r w:rsidRPr="002E64A6">
        <w:t xml:space="preserve"> loading an examination has shown that there is no significant deviation between the outside temperature of the package and the ambient </w:t>
      </w:r>
      <w:proofErr w:type="gramStart"/>
      <w:r w:rsidRPr="002E64A6">
        <w:t>temperature;</w:t>
      </w:r>
      <w:proofErr w:type="gramEnd"/>
    </w:p>
    <w:p w14:paraId="71D4320C" w14:textId="77777777" w:rsidR="00DF7CF1" w:rsidRPr="002E64A6" w:rsidRDefault="00DF7CF1" w:rsidP="007149C6">
      <w:pPr>
        <w:tabs>
          <w:tab w:val="left" w:pos="1843"/>
        </w:tabs>
        <w:snapToGrid w:val="0"/>
        <w:spacing w:before="120" w:after="120" w:line="240" w:lineRule="auto"/>
        <w:ind w:left="2977" w:right="1134" w:hanging="425"/>
        <w:jc w:val="both"/>
      </w:pPr>
      <w:r w:rsidRPr="002E64A6">
        <w:t>(b)</w:t>
      </w:r>
      <w:r w:rsidRPr="002E64A6">
        <w:tab/>
        <w:t xml:space="preserve">the carriage is </w:t>
      </w:r>
      <w:proofErr w:type="gramStart"/>
      <w:r w:rsidRPr="002E64A6">
        <w:t>effected</w:t>
      </w:r>
      <w:proofErr w:type="gramEnd"/>
      <w:r w:rsidRPr="002E64A6">
        <w:t xml:space="preserve"> within a period of not more than 24 hours from that examination;</w:t>
      </w:r>
    </w:p>
    <w:p w14:paraId="7490DA76" w14:textId="77777777" w:rsidR="00DF7CF1" w:rsidRPr="002E64A6" w:rsidRDefault="00DF7CF1" w:rsidP="007149C6">
      <w:pPr>
        <w:tabs>
          <w:tab w:val="left" w:pos="1843"/>
        </w:tabs>
        <w:snapToGrid w:val="0"/>
        <w:spacing w:before="120" w:after="120" w:line="240" w:lineRule="auto"/>
        <w:ind w:left="2977" w:right="1134" w:hanging="425"/>
        <w:jc w:val="both"/>
      </w:pPr>
      <w:r w:rsidRPr="002E64A6">
        <w:t>(c)</w:t>
      </w:r>
      <w:r w:rsidRPr="002E64A6">
        <w:tab/>
        <w:t xml:space="preserve">the packages are protected from direct sunlight and from the impact of other sources of heat (e.g. additional loads that are being carried above ambient temperature) during </w:t>
      </w:r>
      <w:proofErr w:type="gramStart"/>
      <w:r w:rsidRPr="002E64A6">
        <w:t>carriage;</w:t>
      </w:r>
      <w:proofErr w:type="gramEnd"/>
    </w:p>
    <w:p w14:paraId="7419D47B" w14:textId="77777777" w:rsidR="00DF7CF1" w:rsidRPr="002E64A6" w:rsidRDefault="00DF7CF1" w:rsidP="007149C6">
      <w:pPr>
        <w:tabs>
          <w:tab w:val="left" w:pos="1843"/>
        </w:tabs>
        <w:snapToGrid w:val="0"/>
        <w:spacing w:before="120" w:after="120" w:line="240" w:lineRule="auto"/>
        <w:ind w:left="2977" w:right="1134" w:hanging="425"/>
        <w:jc w:val="both"/>
      </w:pPr>
      <w:r w:rsidRPr="002E64A6">
        <w:t>(d)</w:t>
      </w:r>
      <w:r w:rsidRPr="002E64A6">
        <w:tab/>
        <w:t>the ambient temperatures during the carriage are below 45 °</w:t>
      </w:r>
      <w:proofErr w:type="gramStart"/>
      <w:r w:rsidRPr="002E64A6">
        <w:t>C;</w:t>
      </w:r>
      <w:proofErr w:type="gramEnd"/>
    </w:p>
    <w:p w14:paraId="1DF95704" w14:textId="77777777" w:rsidR="00DF7CF1" w:rsidRPr="002E64A6" w:rsidRDefault="00DF7CF1" w:rsidP="007149C6">
      <w:pPr>
        <w:tabs>
          <w:tab w:val="left" w:pos="1843"/>
        </w:tabs>
        <w:snapToGrid w:val="0"/>
        <w:spacing w:before="120" w:after="120" w:line="240" w:lineRule="auto"/>
        <w:ind w:left="2977" w:right="1134" w:hanging="425"/>
        <w:jc w:val="both"/>
      </w:pPr>
      <w:r w:rsidRPr="002E64A6">
        <w:lastRenderedPageBreak/>
        <w:t>(e)</w:t>
      </w:r>
      <w:r w:rsidRPr="002E64A6">
        <w:tab/>
        <w:t xml:space="preserve">wagons/vehicles and containers are adequately </w:t>
      </w:r>
      <w:proofErr w:type="gramStart"/>
      <w:r w:rsidRPr="002E64A6">
        <w:t>ventilated;</w:t>
      </w:r>
      <w:proofErr w:type="gramEnd"/>
    </w:p>
    <w:p w14:paraId="018BF053" w14:textId="77777777" w:rsidR="00DF7CF1" w:rsidRPr="002E64A6" w:rsidRDefault="00DF7CF1" w:rsidP="007149C6">
      <w:pPr>
        <w:tabs>
          <w:tab w:val="left" w:pos="1843"/>
        </w:tabs>
        <w:snapToGrid w:val="0"/>
        <w:spacing w:before="120" w:after="120" w:line="240" w:lineRule="auto"/>
        <w:ind w:left="2977" w:right="1134" w:hanging="425"/>
        <w:jc w:val="both"/>
      </w:pPr>
      <w:r w:rsidRPr="002E64A6">
        <w:t>(f)</w:t>
      </w:r>
      <w:r w:rsidRPr="002E64A6">
        <w:tab/>
        <w:t>the substances are packed in packages with a maximum capacity of 1000 litres.</w:t>
      </w:r>
    </w:p>
    <w:p w14:paraId="708F58A5" w14:textId="543D6CE1" w:rsidR="00DF7CF1" w:rsidRPr="002E64A6" w:rsidRDefault="00DF7CF1" w:rsidP="007149C6">
      <w:pPr>
        <w:snapToGrid w:val="0"/>
        <w:spacing w:before="120" w:after="120" w:line="240" w:lineRule="auto"/>
        <w:ind w:left="2552" w:right="1134"/>
        <w:jc w:val="both"/>
        <w:rPr>
          <w:bCs/>
        </w:rPr>
      </w:pPr>
      <w:r w:rsidRPr="002E64A6">
        <w:rPr>
          <w:bCs/>
        </w:rPr>
        <w:t>In assessing the substances for carriage under the conditions of this special provision, additional measures to prevent dangerous polymerization may be considered, for example the addition of inhibitors.</w:t>
      </w:r>
      <w:r w:rsidR="000B3673" w:rsidRPr="007149C6">
        <w:rPr>
          <w:bCs/>
        </w:rPr>
        <w:t>”</w:t>
      </w:r>
    </w:p>
    <w:p w14:paraId="4648B07F" w14:textId="056F2BC6" w:rsidR="00DF7CF1" w:rsidRPr="007149C6" w:rsidRDefault="005D732F" w:rsidP="007149C6">
      <w:pPr>
        <w:snapToGrid w:val="0"/>
        <w:spacing w:before="120" w:after="120" w:line="240" w:lineRule="auto"/>
        <w:ind w:left="1134"/>
        <w:rPr>
          <w:i/>
          <w:iCs/>
        </w:rPr>
      </w:pPr>
      <w:r w:rsidRPr="007149C6">
        <w:rPr>
          <w:bCs/>
          <w:i/>
          <w:iCs/>
        </w:rPr>
        <w:t>(</w:t>
      </w:r>
      <w:r w:rsidR="00DF7CF1" w:rsidRPr="007149C6">
        <w:rPr>
          <w:bCs/>
          <w:i/>
          <w:iCs/>
        </w:rPr>
        <w:t>Reference document: ECE/TRANS/WP.15/AC.1/2020/51/Rev.1, as amended</w:t>
      </w:r>
      <w:r w:rsidRPr="007149C6">
        <w:rPr>
          <w:bCs/>
          <w:i/>
          <w:iCs/>
        </w:rPr>
        <w:t>)</w:t>
      </w:r>
    </w:p>
    <w:p w14:paraId="6DA7D592" w14:textId="000AAE2D" w:rsidR="00DF7CF1" w:rsidRPr="002E64A6" w:rsidRDefault="004248F1" w:rsidP="00DF7CF1">
      <w:pPr>
        <w:pStyle w:val="H23G"/>
        <w:kinsoku w:val="0"/>
        <w:overflowPunct w:val="0"/>
        <w:autoSpaceDE w:val="0"/>
        <w:autoSpaceDN w:val="0"/>
        <w:adjustRightInd w:val="0"/>
        <w:snapToGrid w:val="0"/>
        <w:ind w:right="707"/>
      </w:pPr>
      <w:r w:rsidRPr="002E64A6">
        <w:tab/>
      </w:r>
      <w:r w:rsidRPr="002E64A6">
        <w:tab/>
      </w:r>
      <w:r w:rsidR="00DF7CF1" w:rsidRPr="002E64A6">
        <w:t>Chapter 4.1</w:t>
      </w:r>
    </w:p>
    <w:p w14:paraId="5AB92F49" w14:textId="759D9787" w:rsidR="00DF7CF1" w:rsidRPr="007149C6" w:rsidRDefault="00DF7CF1" w:rsidP="007149C6">
      <w:pPr>
        <w:snapToGrid w:val="0"/>
        <w:spacing w:before="120" w:after="120" w:line="240" w:lineRule="auto"/>
        <w:ind w:left="567" w:firstLine="567"/>
        <w:rPr>
          <w:bCs/>
        </w:rPr>
      </w:pPr>
      <w:r w:rsidRPr="007149C6">
        <w:rPr>
          <w:bCs/>
        </w:rPr>
        <w:t>4.1.6.8</w:t>
      </w:r>
      <w:r w:rsidRPr="007149C6">
        <w:rPr>
          <w:bCs/>
        </w:rPr>
        <w:tab/>
      </w:r>
      <w:r w:rsidRPr="007149C6">
        <w:rPr>
          <w:bCs/>
        </w:rPr>
        <w:tab/>
        <w:t xml:space="preserve">In paragraph (b), in the first sentence, after </w:t>
      </w:r>
      <w:r w:rsidR="008B2764" w:rsidRPr="007149C6">
        <w:rPr>
          <w:bCs/>
        </w:rPr>
        <w:t>“</w:t>
      </w:r>
      <w:r w:rsidRPr="007149C6">
        <w:rPr>
          <w:bCs/>
        </w:rPr>
        <w:t>caps</w:t>
      </w:r>
      <w:r w:rsidR="000B3673" w:rsidRPr="007149C6">
        <w:rPr>
          <w:bCs/>
        </w:rPr>
        <w:t>”</w:t>
      </w:r>
      <w:r w:rsidRPr="007149C6">
        <w:rPr>
          <w:bCs/>
        </w:rPr>
        <w:t>, insert:</w:t>
      </w:r>
    </w:p>
    <w:p w14:paraId="0D57D711" w14:textId="5875E6B4" w:rsidR="00DF7CF1" w:rsidRPr="007149C6" w:rsidRDefault="000B3673" w:rsidP="00327111">
      <w:pPr>
        <w:snapToGrid w:val="0"/>
        <w:spacing w:before="120" w:after="120" w:line="240" w:lineRule="auto"/>
        <w:ind w:left="2268"/>
        <w:rPr>
          <w:bCs/>
        </w:rPr>
      </w:pPr>
      <w:r w:rsidRPr="007149C6">
        <w:rPr>
          <w:bCs/>
        </w:rPr>
        <w:t>“</w:t>
      </w:r>
      <w:r w:rsidR="00B27C11">
        <w:rPr>
          <w:bCs/>
        </w:rPr>
        <w:t>or guard</w:t>
      </w:r>
      <w:r w:rsidRPr="007149C6">
        <w:rPr>
          <w:bCs/>
        </w:rPr>
        <w:t>s”</w:t>
      </w:r>
      <w:r w:rsidR="00DF7CF1" w:rsidRPr="007149C6">
        <w:rPr>
          <w:bCs/>
        </w:rPr>
        <w:t>.</w:t>
      </w:r>
    </w:p>
    <w:p w14:paraId="72C7874A" w14:textId="01734557" w:rsidR="00DF7CF1" w:rsidRPr="007149C6" w:rsidRDefault="00DF7CF1" w:rsidP="007149C6">
      <w:pPr>
        <w:snapToGrid w:val="0"/>
        <w:spacing w:before="120" w:after="120" w:line="240" w:lineRule="auto"/>
        <w:ind w:left="2268"/>
        <w:rPr>
          <w:bCs/>
        </w:rPr>
      </w:pPr>
      <w:r w:rsidRPr="007149C6">
        <w:rPr>
          <w:bCs/>
        </w:rPr>
        <w:t>In par</w:t>
      </w:r>
      <w:r w:rsidR="002118CB" w:rsidRPr="007149C6">
        <w:rPr>
          <w:bCs/>
        </w:rPr>
        <w:t>a</w:t>
      </w:r>
      <w:r w:rsidRPr="007149C6">
        <w:rPr>
          <w:bCs/>
        </w:rPr>
        <w:t xml:space="preserve">graph (c), replace </w:t>
      </w:r>
      <w:r w:rsidR="008B2764" w:rsidRPr="007149C6">
        <w:rPr>
          <w:bCs/>
        </w:rPr>
        <w:t>“</w:t>
      </w:r>
      <w:r w:rsidRPr="007149C6">
        <w:rPr>
          <w:bCs/>
        </w:rPr>
        <w:t>guards</w:t>
      </w:r>
      <w:r w:rsidR="004B3941" w:rsidRPr="007149C6">
        <w:rPr>
          <w:bCs/>
        </w:rPr>
        <w:t>”</w:t>
      </w:r>
      <w:r w:rsidRPr="007149C6">
        <w:rPr>
          <w:bCs/>
        </w:rPr>
        <w:t xml:space="preserve"> by:</w:t>
      </w:r>
    </w:p>
    <w:p w14:paraId="6B9E1D70" w14:textId="7F53FD01" w:rsidR="00DF7CF1" w:rsidRPr="007149C6" w:rsidRDefault="008B2764" w:rsidP="007149C6">
      <w:pPr>
        <w:ind w:left="2268"/>
        <w:rPr>
          <w:bCs/>
        </w:rPr>
      </w:pPr>
      <w:r w:rsidRPr="007149C6">
        <w:rPr>
          <w:bCs/>
        </w:rPr>
        <w:t>“</w:t>
      </w:r>
      <w:r w:rsidR="00DF7CF1" w:rsidRPr="007149C6">
        <w:rPr>
          <w:bCs/>
        </w:rPr>
        <w:t>permanent protection attachments</w:t>
      </w:r>
      <w:r w:rsidR="004B3941" w:rsidRPr="007149C6">
        <w:rPr>
          <w:bCs/>
        </w:rPr>
        <w:t>”</w:t>
      </w:r>
      <w:r w:rsidR="00DF7CF1" w:rsidRPr="007149C6">
        <w:rPr>
          <w:bCs/>
        </w:rPr>
        <w:t>.</w:t>
      </w:r>
    </w:p>
    <w:p w14:paraId="2BDC3FC2" w14:textId="423EE4D5" w:rsidR="00DF7CF1" w:rsidRPr="007149C6" w:rsidRDefault="007C7433" w:rsidP="007149C6">
      <w:pPr>
        <w:snapToGrid w:val="0"/>
        <w:spacing w:before="120" w:after="120" w:line="240" w:lineRule="auto"/>
        <w:ind w:left="1134"/>
        <w:rPr>
          <w:bCs/>
          <w:i/>
          <w:iCs/>
        </w:rPr>
      </w:pPr>
      <w:r w:rsidRPr="002E64A6">
        <w:rPr>
          <w:bCs/>
          <w:i/>
          <w:iCs/>
        </w:rPr>
        <w:t>(</w:t>
      </w:r>
      <w:r w:rsidR="00DF7CF1" w:rsidRPr="007149C6">
        <w:rPr>
          <w:bCs/>
          <w:i/>
          <w:iCs/>
        </w:rPr>
        <w:t>Reference document: ECE/TRANS/WP.15/AC.1/2021/12</w:t>
      </w:r>
      <w:r w:rsidRPr="002E64A6">
        <w:rPr>
          <w:bCs/>
          <w:i/>
          <w:iCs/>
        </w:rPr>
        <w:t>)</w:t>
      </w:r>
    </w:p>
    <w:p w14:paraId="3B86C8DF" w14:textId="77777777" w:rsidR="00DF7CF1" w:rsidRPr="007149C6" w:rsidRDefault="00DF7CF1" w:rsidP="007149C6">
      <w:pPr>
        <w:snapToGrid w:val="0"/>
        <w:spacing w:before="120" w:after="120" w:line="240" w:lineRule="auto"/>
        <w:ind w:left="2268" w:right="1134" w:hanging="1134"/>
        <w:rPr>
          <w:bCs/>
        </w:rPr>
      </w:pPr>
      <w:r w:rsidRPr="007149C6">
        <w:rPr>
          <w:bCs/>
        </w:rPr>
        <w:t>4.1.6.15</w:t>
      </w:r>
      <w:r w:rsidRPr="007149C6">
        <w:rPr>
          <w:bCs/>
        </w:rPr>
        <w:tab/>
        <w:t>In the report ECE/TRANS/WP.15/AC.1/158 – OTIF/RID/RC/2021-A, amend Table 1 to read as follows:</w:t>
      </w:r>
    </w:p>
    <w:p w14:paraId="3CD4F338" w14:textId="66A8CB77" w:rsidR="00DF7CF1" w:rsidRPr="007149C6" w:rsidRDefault="008B2764" w:rsidP="007149C6">
      <w:pPr>
        <w:tabs>
          <w:tab w:val="left" w:pos="2977"/>
          <w:tab w:val="left" w:pos="4395"/>
        </w:tabs>
        <w:snapToGrid w:val="0"/>
        <w:spacing w:before="120" w:after="120" w:line="240" w:lineRule="auto"/>
        <w:ind w:left="2836" w:hanging="1702"/>
        <w:rPr>
          <w:bCs/>
        </w:rPr>
      </w:pPr>
      <w:r w:rsidRPr="007149C6">
        <w:rPr>
          <w:bCs/>
        </w:rPr>
        <w:t>“</w:t>
      </w:r>
      <w:r w:rsidR="00DF7CF1" w:rsidRPr="007149C6">
        <w:rPr>
          <w:bCs/>
        </w:rPr>
        <w:t>Table 1: Standards for UN and non-UN pressure receptacles</w:t>
      </w:r>
    </w:p>
    <w:tbl>
      <w:tblPr>
        <w:tblW w:w="8645"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9"/>
        <w:gridCol w:w="1767"/>
        <w:gridCol w:w="5669"/>
      </w:tblGrid>
      <w:tr w:rsidR="00DF7CF1" w:rsidRPr="002E64A6" w14:paraId="6C8B89DF" w14:textId="77777777" w:rsidTr="007149C6">
        <w:trPr>
          <w:cantSplit/>
          <w:tblHeader/>
        </w:trPr>
        <w:tc>
          <w:tcPr>
            <w:tcW w:w="1209" w:type="dxa"/>
          </w:tcPr>
          <w:p w14:paraId="61E69EBE" w14:textId="77777777" w:rsidR="00DF7CF1" w:rsidRPr="007149C6" w:rsidRDefault="00DF7CF1" w:rsidP="009642E8">
            <w:pPr>
              <w:ind w:right="55"/>
              <w:rPr>
                <w:bCs/>
              </w:rPr>
            </w:pPr>
            <w:r w:rsidRPr="007149C6">
              <w:rPr>
                <w:bCs/>
              </w:rPr>
              <w:t>Applicable</w:t>
            </w:r>
            <w:r w:rsidRPr="007149C6">
              <w:rPr>
                <w:bCs/>
              </w:rPr>
              <w:br/>
              <w:t>paragraphs</w:t>
            </w:r>
          </w:p>
        </w:tc>
        <w:tc>
          <w:tcPr>
            <w:tcW w:w="1767" w:type="dxa"/>
          </w:tcPr>
          <w:p w14:paraId="6764CD17" w14:textId="77777777" w:rsidR="00DF7CF1" w:rsidRPr="007149C6" w:rsidRDefault="00DF7CF1" w:rsidP="009642E8">
            <w:pPr>
              <w:ind w:right="55"/>
              <w:rPr>
                <w:bCs/>
              </w:rPr>
            </w:pPr>
            <w:r w:rsidRPr="007149C6">
              <w:rPr>
                <w:bCs/>
              </w:rPr>
              <w:t>Reference</w:t>
            </w:r>
          </w:p>
        </w:tc>
        <w:tc>
          <w:tcPr>
            <w:tcW w:w="5669" w:type="dxa"/>
          </w:tcPr>
          <w:p w14:paraId="211CE50B" w14:textId="77777777" w:rsidR="00DF7CF1" w:rsidRPr="007149C6" w:rsidRDefault="00DF7CF1" w:rsidP="009642E8">
            <w:pPr>
              <w:ind w:right="55"/>
              <w:rPr>
                <w:bCs/>
              </w:rPr>
            </w:pPr>
            <w:r w:rsidRPr="007149C6">
              <w:rPr>
                <w:bCs/>
              </w:rPr>
              <w:t>Title of document</w:t>
            </w:r>
          </w:p>
        </w:tc>
      </w:tr>
      <w:tr w:rsidR="00DF7CF1" w:rsidRPr="002E64A6" w14:paraId="6E1D234F" w14:textId="77777777" w:rsidTr="007149C6">
        <w:trPr>
          <w:cantSplit/>
        </w:trPr>
        <w:tc>
          <w:tcPr>
            <w:tcW w:w="1209" w:type="dxa"/>
            <w:vMerge w:val="restart"/>
          </w:tcPr>
          <w:p w14:paraId="403516AA" w14:textId="77777777" w:rsidR="00DF7CF1" w:rsidRPr="002E64A6" w:rsidRDefault="00DF7CF1" w:rsidP="009642E8">
            <w:pPr>
              <w:widowControl w:val="0"/>
              <w:tabs>
                <w:tab w:val="left" w:pos="1418"/>
                <w:tab w:val="left" w:pos="1843"/>
              </w:tabs>
            </w:pPr>
            <w:r w:rsidRPr="002E64A6">
              <w:t>4.1.6.2</w:t>
            </w:r>
          </w:p>
        </w:tc>
        <w:tc>
          <w:tcPr>
            <w:tcW w:w="1767" w:type="dxa"/>
          </w:tcPr>
          <w:p w14:paraId="4FB34BE7" w14:textId="77777777" w:rsidR="00DF7CF1" w:rsidRPr="002E64A6" w:rsidRDefault="00DF7CF1" w:rsidP="009642E8">
            <w:pPr>
              <w:widowControl w:val="0"/>
              <w:tabs>
                <w:tab w:val="left" w:pos="1418"/>
                <w:tab w:val="left" w:pos="1843"/>
              </w:tabs>
            </w:pPr>
            <w:r w:rsidRPr="002E64A6">
              <w:t>EN ISO 11114-1:2020</w:t>
            </w:r>
          </w:p>
        </w:tc>
        <w:tc>
          <w:tcPr>
            <w:tcW w:w="5669" w:type="dxa"/>
          </w:tcPr>
          <w:p w14:paraId="2C73B616" w14:textId="77777777" w:rsidR="00DF7CF1" w:rsidRPr="002E64A6" w:rsidRDefault="00DF7CF1" w:rsidP="009642E8">
            <w:r w:rsidRPr="002E64A6">
              <w:t>Gas cylinders – Compatibility of cylinder and valve materials with gas contents – Part 1: Metallic materials</w:t>
            </w:r>
          </w:p>
        </w:tc>
      </w:tr>
      <w:tr w:rsidR="00DF7CF1" w:rsidRPr="002E64A6" w14:paraId="6CF92451" w14:textId="77777777" w:rsidTr="007149C6">
        <w:trPr>
          <w:cantSplit/>
        </w:trPr>
        <w:tc>
          <w:tcPr>
            <w:tcW w:w="1209" w:type="dxa"/>
            <w:vMerge/>
          </w:tcPr>
          <w:p w14:paraId="6EE08C2D" w14:textId="77777777" w:rsidR="00DF7CF1" w:rsidRPr="002E64A6" w:rsidRDefault="00DF7CF1" w:rsidP="009642E8">
            <w:pPr>
              <w:widowControl w:val="0"/>
              <w:tabs>
                <w:tab w:val="left" w:pos="1418"/>
                <w:tab w:val="left" w:pos="1843"/>
              </w:tabs>
            </w:pPr>
          </w:p>
        </w:tc>
        <w:tc>
          <w:tcPr>
            <w:tcW w:w="1767" w:type="dxa"/>
          </w:tcPr>
          <w:p w14:paraId="376E8B91" w14:textId="77777777" w:rsidR="00DF7CF1" w:rsidRPr="002E64A6" w:rsidRDefault="00DF7CF1" w:rsidP="009642E8">
            <w:pPr>
              <w:widowControl w:val="0"/>
              <w:tabs>
                <w:tab w:val="left" w:pos="1418"/>
                <w:tab w:val="left" w:pos="1843"/>
              </w:tabs>
            </w:pPr>
            <w:r w:rsidRPr="002E64A6">
              <w:t>EN ISO 11114-2:2013</w:t>
            </w:r>
          </w:p>
        </w:tc>
        <w:tc>
          <w:tcPr>
            <w:tcW w:w="5669" w:type="dxa"/>
          </w:tcPr>
          <w:p w14:paraId="26ECFED6" w14:textId="77777777" w:rsidR="00DF7CF1" w:rsidRPr="002E64A6" w:rsidRDefault="00DF7CF1" w:rsidP="009642E8">
            <w:r w:rsidRPr="002E64A6">
              <w:t>Gas cylinders – Compatibility of cylinder and valve materials with gas contents – Part 2: Non-metallic materials</w:t>
            </w:r>
          </w:p>
        </w:tc>
      </w:tr>
      <w:tr w:rsidR="00DF7CF1" w:rsidRPr="002E64A6" w14:paraId="28EA3DEC" w14:textId="77777777" w:rsidTr="007149C6">
        <w:trPr>
          <w:cantSplit/>
        </w:trPr>
        <w:tc>
          <w:tcPr>
            <w:tcW w:w="1209" w:type="dxa"/>
          </w:tcPr>
          <w:p w14:paraId="2CF329B1" w14:textId="77777777" w:rsidR="00DF7CF1" w:rsidRPr="002E64A6" w:rsidRDefault="00DF7CF1" w:rsidP="009642E8">
            <w:pPr>
              <w:widowControl w:val="0"/>
              <w:tabs>
                <w:tab w:val="left" w:pos="1418"/>
                <w:tab w:val="left" w:pos="1843"/>
              </w:tabs>
            </w:pPr>
            <w:r w:rsidRPr="002E64A6">
              <w:t>4.1.6.4</w:t>
            </w:r>
          </w:p>
        </w:tc>
        <w:tc>
          <w:tcPr>
            <w:tcW w:w="1767" w:type="dxa"/>
          </w:tcPr>
          <w:p w14:paraId="0793454B" w14:textId="77777777" w:rsidR="00DF7CF1" w:rsidRPr="002E64A6" w:rsidRDefault="00DF7CF1" w:rsidP="009642E8">
            <w:pPr>
              <w:widowControl w:val="0"/>
              <w:tabs>
                <w:tab w:val="left" w:pos="1418"/>
                <w:tab w:val="left" w:pos="1843"/>
              </w:tabs>
              <w:rPr>
                <w:rFonts w:cs="Arial"/>
                <w:szCs w:val="22"/>
              </w:rPr>
            </w:pPr>
            <w:r w:rsidRPr="002E64A6">
              <w:t>ISO 11621:1997 or EN ISO 11621:2005</w:t>
            </w:r>
          </w:p>
        </w:tc>
        <w:tc>
          <w:tcPr>
            <w:tcW w:w="5669" w:type="dxa"/>
          </w:tcPr>
          <w:p w14:paraId="37D6077E" w14:textId="77777777" w:rsidR="00DF7CF1" w:rsidRPr="002E64A6" w:rsidRDefault="00DF7CF1" w:rsidP="009642E8">
            <w:pPr>
              <w:widowControl w:val="0"/>
              <w:tabs>
                <w:tab w:val="left" w:pos="1418"/>
                <w:tab w:val="left" w:pos="1843"/>
              </w:tabs>
            </w:pPr>
            <w:r w:rsidRPr="002E64A6">
              <w:t>Gas cylinders – Procedures for change of gas service</w:t>
            </w:r>
          </w:p>
        </w:tc>
      </w:tr>
      <w:tr w:rsidR="00DF7CF1" w:rsidRPr="002E64A6" w14:paraId="577A4F34" w14:textId="77777777" w:rsidTr="007149C6">
        <w:trPr>
          <w:cantSplit/>
        </w:trPr>
        <w:tc>
          <w:tcPr>
            <w:tcW w:w="1209" w:type="dxa"/>
            <w:vMerge w:val="restart"/>
          </w:tcPr>
          <w:p w14:paraId="3D5655B6" w14:textId="77777777" w:rsidR="00DF7CF1" w:rsidRPr="002E64A6" w:rsidRDefault="00DF7CF1" w:rsidP="009642E8">
            <w:pPr>
              <w:widowControl w:val="0"/>
              <w:tabs>
                <w:tab w:val="left" w:pos="1418"/>
                <w:tab w:val="left" w:pos="1843"/>
              </w:tabs>
            </w:pPr>
            <w:r w:rsidRPr="002E64A6">
              <w:t>4.1.6.8</w:t>
            </w:r>
          </w:p>
          <w:p w14:paraId="3422EBD4" w14:textId="77777777" w:rsidR="00DF7CF1" w:rsidRPr="002E64A6" w:rsidRDefault="00DF7CF1" w:rsidP="009642E8">
            <w:pPr>
              <w:ind w:right="55"/>
            </w:pPr>
            <w:r w:rsidRPr="002E64A6">
              <w:t>Valves with inherent protection</w:t>
            </w:r>
          </w:p>
        </w:tc>
        <w:tc>
          <w:tcPr>
            <w:tcW w:w="1767" w:type="dxa"/>
          </w:tcPr>
          <w:p w14:paraId="3ABDED25" w14:textId="77777777" w:rsidR="00DF7CF1" w:rsidRPr="002E64A6" w:rsidRDefault="00DF7CF1" w:rsidP="009642E8">
            <w:pPr>
              <w:ind w:right="55"/>
            </w:pPr>
            <w:r w:rsidRPr="002E64A6">
              <w:t>Clause 4.6.2 of EN ISO 10297:2006 or clause 5.5.2 of EN ISO 10297:2014 or clause 5.5.2 of EN ISO 10297:2014 + A1:2017</w:t>
            </w:r>
          </w:p>
        </w:tc>
        <w:tc>
          <w:tcPr>
            <w:tcW w:w="5669" w:type="dxa"/>
          </w:tcPr>
          <w:p w14:paraId="233F8912" w14:textId="77777777" w:rsidR="00DF7CF1" w:rsidRPr="002E64A6" w:rsidRDefault="00DF7CF1" w:rsidP="009642E8">
            <w:pPr>
              <w:ind w:right="55"/>
            </w:pPr>
            <w:r w:rsidRPr="002E64A6">
              <w:t>Gas cylinders – Cylinder valves – Specification and type testing</w:t>
            </w:r>
          </w:p>
        </w:tc>
      </w:tr>
      <w:tr w:rsidR="00DF7CF1" w:rsidRPr="002E64A6" w14:paraId="76566043" w14:textId="77777777" w:rsidTr="007149C6">
        <w:trPr>
          <w:cantSplit/>
        </w:trPr>
        <w:tc>
          <w:tcPr>
            <w:tcW w:w="1209" w:type="dxa"/>
            <w:vMerge/>
          </w:tcPr>
          <w:p w14:paraId="0A3D6BAA" w14:textId="77777777" w:rsidR="00DF7CF1" w:rsidRPr="002E64A6" w:rsidRDefault="00DF7CF1" w:rsidP="009642E8">
            <w:pPr>
              <w:widowControl w:val="0"/>
              <w:tabs>
                <w:tab w:val="left" w:pos="1418"/>
                <w:tab w:val="left" w:pos="1843"/>
              </w:tabs>
            </w:pPr>
          </w:p>
        </w:tc>
        <w:tc>
          <w:tcPr>
            <w:tcW w:w="1767" w:type="dxa"/>
          </w:tcPr>
          <w:p w14:paraId="71581034" w14:textId="77777777" w:rsidR="00DF7CF1" w:rsidRPr="002E64A6" w:rsidRDefault="00DF7CF1" w:rsidP="009642E8">
            <w:pPr>
              <w:ind w:right="55"/>
            </w:pPr>
            <w:r w:rsidRPr="002E64A6">
              <w:t>Clause 5.3.8 of EN 13152:2001 + A1:2003</w:t>
            </w:r>
          </w:p>
        </w:tc>
        <w:tc>
          <w:tcPr>
            <w:tcW w:w="5669" w:type="dxa"/>
          </w:tcPr>
          <w:p w14:paraId="5A72849D" w14:textId="77777777" w:rsidR="00DF7CF1" w:rsidRPr="002E64A6" w:rsidRDefault="00DF7CF1" w:rsidP="009642E8">
            <w:pPr>
              <w:ind w:right="55"/>
            </w:pPr>
            <w:r w:rsidRPr="002E64A6">
              <w:t>Testing and specifications of LPG cylinder valves – Self-closing</w:t>
            </w:r>
          </w:p>
        </w:tc>
      </w:tr>
      <w:tr w:rsidR="00DF7CF1" w:rsidRPr="002E64A6" w14:paraId="51026D71" w14:textId="77777777" w:rsidTr="007149C6">
        <w:trPr>
          <w:cantSplit/>
        </w:trPr>
        <w:tc>
          <w:tcPr>
            <w:tcW w:w="1209" w:type="dxa"/>
            <w:vMerge/>
          </w:tcPr>
          <w:p w14:paraId="6AB7D363" w14:textId="77777777" w:rsidR="00DF7CF1" w:rsidRPr="002E64A6" w:rsidRDefault="00DF7CF1" w:rsidP="009642E8">
            <w:pPr>
              <w:widowControl w:val="0"/>
              <w:tabs>
                <w:tab w:val="left" w:pos="1418"/>
                <w:tab w:val="left" w:pos="1843"/>
              </w:tabs>
            </w:pPr>
          </w:p>
        </w:tc>
        <w:tc>
          <w:tcPr>
            <w:tcW w:w="1767" w:type="dxa"/>
          </w:tcPr>
          <w:p w14:paraId="29357048" w14:textId="77777777" w:rsidR="00DF7CF1" w:rsidRPr="002E64A6" w:rsidRDefault="00DF7CF1" w:rsidP="009642E8">
            <w:pPr>
              <w:ind w:right="55"/>
            </w:pPr>
            <w:r w:rsidRPr="002E64A6">
              <w:t>Clause 5.3.7 of EN 13153:2001 + A1:2003</w:t>
            </w:r>
          </w:p>
        </w:tc>
        <w:tc>
          <w:tcPr>
            <w:tcW w:w="5669" w:type="dxa"/>
          </w:tcPr>
          <w:p w14:paraId="0221428B" w14:textId="77777777" w:rsidR="00DF7CF1" w:rsidRPr="002E64A6" w:rsidRDefault="00DF7CF1" w:rsidP="009642E8">
            <w:pPr>
              <w:ind w:right="55"/>
            </w:pPr>
            <w:r w:rsidRPr="002E64A6">
              <w:t>Specifications and testing of LPG cylinder valves – Manually operated</w:t>
            </w:r>
          </w:p>
        </w:tc>
      </w:tr>
      <w:tr w:rsidR="00DF7CF1" w:rsidRPr="002E64A6" w14:paraId="7F96134F" w14:textId="77777777" w:rsidTr="007149C6">
        <w:trPr>
          <w:cantSplit/>
        </w:trPr>
        <w:tc>
          <w:tcPr>
            <w:tcW w:w="1209" w:type="dxa"/>
            <w:vMerge/>
          </w:tcPr>
          <w:p w14:paraId="652D6291" w14:textId="77777777" w:rsidR="00DF7CF1" w:rsidRPr="002E64A6" w:rsidRDefault="00DF7CF1" w:rsidP="009642E8">
            <w:pPr>
              <w:widowControl w:val="0"/>
              <w:tabs>
                <w:tab w:val="left" w:pos="1418"/>
                <w:tab w:val="left" w:pos="1843"/>
              </w:tabs>
            </w:pPr>
          </w:p>
        </w:tc>
        <w:tc>
          <w:tcPr>
            <w:tcW w:w="1767" w:type="dxa"/>
          </w:tcPr>
          <w:p w14:paraId="192B2F57" w14:textId="77777777" w:rsidR="00DF7CF1" w:rsidRPr="002E64A6" w:rsidRDefault="00DF7CF1" w:rsidP="009642E8">
            <w:pPr>
              <w:ind w:right="55"/>
            </w:pPr>
            <w:r w:rsidRPr="002E64A6">
              <w:t>Clause 5.9 of EN ISO 14245:2010 or clause 5</w:t>
            </w:r>
            <w:r w:rsidRPr="002E64A6">
              <w:rPr>
                <w:bCs/>
              </w:rPr>
              <w:t>.</w:t>
            </w:r>
            <w:r w:rsidRPr="002E64A6">
              <w:t>9 of EN ISO 14245:2019</w:t>
            </w:r>
          </w:p>
        </w:tc>
        <w:tc>
          <w:tcPr>
            <w:tcW w:w="5669" w:type="dxa"/>
          </w:tcPr>
          <w:p w14:paraId="28C3EE34" w14:textId="77777777" w:rsidR="00DF7CF1" w:rsidRPr="002E64A6" w:rsidRDefault="00DF7CF1" w:rsidP="009642E8">
            <w:pPr>
              <w:ind w:right="55"/>
            </w:pPr>
            <w:r w:rsidRPr="002E64A6">
              <w:t>Gas cylinders – Specifications and testing of LPG cylinder valves – Self-closing</w:t>
            </w:r>
          </w:p>
        </w:tc>
      </w:tr>
      <w:tr w:rsidR="00DF7CF1" w:rsidRPr="002E64A6" w14:paraId="49947EBA" w14:textId="77777777" w:rsidTr="007149C6">
        <w:trPr>
          <w:cantSplit/>
        </w:trPr>
        <w:tc>
          <w:tcPr>
            <w:tcW w:w="1209" w:type="dxa"/>
            <w:vMerge/>
          </w:tcPr>
          <w:p w14:paraId="3B6FB669" w14:textId="77777777" w:rsidR="00DF7CF1" w:rsidRPr="002E64A6" w:rsidRDefault="00DF7CF1" w:rsidP="009642E8">
            <w:pPr>
              <w:widowControl w:val="0"/>
              <w:tabs>
                <w:tab w:val="left" w:pos="1418"/>
                <w:tab w:val="left" w:pos="1843"/>
              </w:tabs>
            </w:pPr>
          </w:p>
        </w:tc>
        <w:tc>
          <w:tcPr>
            <w:tcW w:w="1767" w:type="dxa"/>
          </w:tcPr>
          <w:p w14:paraId="47B5A599" w14:textId="77777777" w:rsidR="00DF7CF1" w:rsidRPr="002E64A6" w:rsidRDefault="00DF7CF1" w:rsidP="009642E8">
            <w:pPr>
              <w:ind w:right="55"/>
            </w:pPr>
            <w:r w:rsidRPr="002E64A6">
              <w:t>Clause 5.10 of EN ISO 15995:2010 or clause 5.10 of EN ISO 15995:2019</w:t>
            </w:r>
          </w:p>
        </w:tc>
        <w:tc>
          <w:tcPr>
            <w:tcW w:w="5669" w:type="dxa"/>
          </w:tcPr>
          <w:p w14:paraId="1E9EB50D" w14:textId="77777777" w:rsidR="00DF7CF1" w:rsidRPr="002E64A6" w:rsidRDefault="00DF7CF1" w:rsidP="009642E8">
            <w:pPr>
              <w:ind w:right="55"/>
            </w:pPr>
            <w:r w:rsidRPr="002E64A6">
              <w:t>Gas cylinders – Specifications and testing of LPG cylinder valves – Manually operated</w:t>
            </w:r>
          </w:p>
        </w:tc>
      </w:tr>
      <w:tr w:rsidR="00DF7CF1" w:rsidRPr="002E64A6" w14:paraId="512A3E59" w14:textId="77777777" w:rsidTr="007149C6">
        <w:trPr>
          <w:cantSplit/>
        </w:trPr>
        <w:tc>
          <w:tcPr>
            <w:tcW w:w="1209" w:type="dxa"/>
            <w:vMerge/>
            <w:tcBorders>
              <w:bottom w:val="nil"/>
            </w:tcBorders>
          </w:tcPr>
          <w:p w14:paraId="60CE7897" w14:textId="77777777" w:rsidR="00DF7CF1" w:rsidRPr="002E64A6" w:rsidRDefault="00DF7CF1" w:rsidP="009642E8">
            <w:pPr>
              <w:widowControl w:val="0"/>
              <w:tabs>
                <w:tab w:val="left" w:pos="1418"/>
                <w:tab w:val="left" w:pos="1843"/>
              </w:tabs>
            </w:pPr>
          </w:p>
        </w:tc>
        <w:tc>
          <w:tcPr>
            <w:tcW w:w="1767" w:type="dxa"/>
          </w:tcPr>
          <w:p w14:paraId="6BF51C95" w14:textId="77777777" w:rsidR="00DF7CF1" w:rsidRPr="002E64A6" w:rsidRDefault="00DF7CF1" w:rsidP="009642E8">
            <w:pPr>
              <w:ind w:right="55"/>
            </w:pPr>
            <w:r w:rsidRPr="002E64A6">
              <w:t>Clause 5.4.2 of EN ISO 17879:2017</w:t>
            </w:r>
          </w:p>
        </w:tc>
        <w:tc>
          <w:tcPr>
            <w:tcW w:w="5669" w:type="dxa"/>
          </w:tcPr>
          <w:p w14:paraId="35567744" w14:textId="77777777" w:rsidR="00DF7CF1" w:rsidRPr="002E64A6" w:rsidRDefault="00DF7CF1" w:rsidP="009642E8">
            <w:pPr>
              <w:ind w:right="55"/>
            </w:pPr>
            <w:r w:rsidRPr="002E64A6">
              <w:t xml:space="preserve">Gas cylinders – Self-closing cylinder valves </w:t>
            </w:r>
            <w:r w:rsidRPr="002E64A6">
              <w:rPr>
                <w:b/>
                <w:bCs/>
              </w:rPr>
              <w:t>–</w:t>
            </w:r>
            <w:r w:rsidRPr="002E64A6">
              <w:t xml:space="preserve"> Specification and type testing</w:t>
            </w:r>
          </w:p>
        </w:tc>
      </w:tr>
      <w:tr w:rsidR="00DF7CF1" w:rsidRPr="002E64A6" w14:paraId="68613EC1" w14:textId="77777777" w:rsidTr="007149C6">
        <w:trPr>
          <w:cantSplit/>
        </w:trPr>
        <w:tc>
          <w:tcPr>
            <w:tcW w:w="1209" w:type="dxa"/>
            <w:tcBorders>
              <w:top w:val="nil"/>
            </w:tcBorders>
          </w:tcPr>
          <w:p w14:paraId="5CA6C395" w14:textId="77777777" w:rsidR="00DF7CF1" w:rsidRPr="002E64A6" w:rsidRDefault="00DF7CF1" w:rsidP="009642E8">
            <w:pPr>
              <w:widowControl w:val="0"/>
              <w:tabs>
                <w:tab w:val="left" w:pos="1418"/>
                <w:tab w:val="left" w:pos="1843"/>
              </w:tabs>
            </w:pPr>
          </w:p>
        </w:tc>
        <w:tc>
          <w:tcPr>
            <w:tcW w:w="1767" w:type="dxa"/>
          </w:tcPr>
          <w:p w14:paraId="04AA1083" w14:textId="77777777" w:rsidR="00DF7CF1" w:rsidRPr="002E64A6" w:rsidRDefault="00DF7CF1" w:rsidP="009642E8">
            <w:pPr>
              <w:ind w:right="55"/>
              <w:rPr>
                <w:iCs/>
              </w:rPr>
            </w:pPr>
            <w:r w:rsidRPr="002E64A6">
              <w:rPr>
                <w:iCs/>
              </w:rPr>
              <w:t>Clause 7.4 of EN 12205:2001 or clause 9.2.5 of EN ISO 11118:2015 or clause 9.2.5 of EN ISO 11118:2015 + A1:2020</w:t>
            </w:r>
          </w:p>
        </w:tc>
        <w:tc>
          <w:tcPr>
            <w:tcW w:w="5669" w:type="dxa"/>
          </w:tcPr>
          <w:p w14:paraId="0B481BDA" w14:textId="77777777" w:rsidR="00DF7CF1" w:rsidRPr="002E64A6" w:rsidRDefault="00DF7CF1" w:rsidP="009642E8">
            <w:pPr>
              <w:ind w:right="55"/>
              <w:rPr>
                <w:iCs/>
              </w:rPr>
            </w:pPr>
            <w:r w:rsidRPr="002E64A6">
              <w:rPr>
                <w:iCs/>
              </w:rPr>
              <w:t>Gas cylinders – Non-refillable metallic gas cylinders – Specification and test methods</w:t>
            </w:r>
          </w:p>
        </w:tc>
      </w:tr>
      <w:tr w:rsidR="00DF7CF1" w:rsidRPr="002E64A6" w14:paraId="03CD7C20" w14:textId="77777777" w:rsidTr="007149C6">
        <w:trPr>
          <w:cantSplit/>
        </w:trPr>
        <w:tc>
          <w:tcPr>
            <w:tcW w:w="1209" w:type="dxa"/>
            <w:vMerge w:val="restart"/>
          </w:tcPr>
          <w:p w14:paraId="75B153AB" w14:textId="77777777" w:rsidR="00DF7CF1" w:rsidRPr="002E64A6" w:rsidRDefault="00DF7CF1" w:rsidP="009642E8">
            <w:pPr>
              <w:widowControl w:val="0"/>
              <w:tabs>
                <w:tab w:val="left" w:pos="1418"/>
                <w:tab w:val="left" w:pos="1843"/>
              </w:tabs>
            </w:pPr>
            <w:r w:rsidRPr="002E64A6">
              <w:t>4.1.6.8 (b)</w:t>
            </w:r>
          </w:p>
        </w:tc>
        <w:tc>
          <w:tcPr>
            <w:tcW w:w="1767" w:type="dxa"/>
          </w:tcPr>
          <w:p w14:paraId="2EE3B3FE" w14:textId="77777777" w:rsidR="00DF7CF1" w:rsidRPr="002E64A6" w:rsidRDefault="00DF7CF1" w:rsidP="009642E8">
            <w:pPr>
              <w:widowControl w:val="0"/>
              <w:tabs>
                <w:tab w:val="left" w:pos="1418"/>
                <w:tab w:val="left" w:pos="1843"/>
              </w:tabs>
            </w:pPr>
            <w:r w:rsidRPr="002E64A6">
              <w:t>ISO 11117:1998 or EN ISO 11117:2008 + Cor 1:2009 or EN ISO 11117:2019</w:t>
            </w:r>
          </w:p>
        </w:tc>
        <w:tc>
          <w:tcPr>
            <w:tcW w:w="5669" w:type="dxa"/>
          </w:tcPr>
          <w:p w14:paraId="707CEE43" w14:textId="77777777" w:rsidR="00DF7CF1" w:rsidRPr="002E64A6" w:rsidRDefault="00DF7CF1" w:rsidP="009642E8">
            <w:pPr>
              <w:pStyle w:val="Titre2"/>
            </w:pPr>
            <w:r w:rsidRPr="002E64A6">
              <w:t xml:space="preserve">Gas cylinders – Valve protection caps and guards – Design, </w:t>
            </w:r>
            <w:proofErr w:type="gramStart"/>
            <w:r w:rsidRPr="002E64A6">
              <w:t>construction</w:t>
            </w:r>
            <w:proofErr w:type="gramEnd"/>
            <w:r w:rsidRPr="002E64A6">
              <w:t xml:space="preserve"> and tests</w:t>
            </w:r>
          </w:p>
        </w:tc>
      </w:tr>
      <w:tr w:rsidR="00DF7CF1" w:rsidRPr="002E64A6" w14:paraId="41A64A26" w14:textId="77777777" w:rsidTr="007149C6">
        <w:trPr>
          <w:cantSplit/>
        </w:trPr>
        <w:tc>
          <w:tcPr>
            <w:tcW w:w="1209" w:type="dxa"/>
            <w:vMerge/>
          </w:tcPr>
          <w:p w14:paraId="7D1F8DCB" w14:textId="77777777" w:rsidR="00DF7CF1" w:rsidRPr="002E64A6" w:rsidRDefault="00DF7CF1" w:rsidP="009642E8">
            <w:pPr>
              <w:widowControl w:val="0"/>
              <w:tabs>
                <w:tab w:val="left" w:pos="1418"/>
                <w:tab w:val="left" w:pos="1843"/>
              </w:tabs>
            </w:pPr>
          </w:p>
        </w:tc>
        <w:tc>
          <w:tcPr>
            <w:tcW w:w="1767" w:type="dxa"/>
          </w:tcPr>
          <w:p w14:paraId="3E8FB176" w14:textId="77777777" w:rsidR="00DF7CF1" w:rsidRPr="002E64A6" w:rsidRDefault="00DF7CF1" w:rsidP="009642E8">
            <w:pPr>
              <w:widowControl w:val="0"/>
              <w:tabs>
                <w:tab w:val="left" w:pos="1418"/>
                <w:tab w:val="left" w:pos="1843"/>
              </w:tabs>
            </w:pPr>
            <w:r w:rsidRPr="002E64A6">
              <w:t>EN 962:1996 +</w:t>
            </w:r>
            <w:r w:rsidRPr="002E64A6">
              <w:br/>
              <w:t>A2:2000</w:t>
            </w:r>
          </w:p>
        </w:tc>
        <w:tc>
          <w:tcPr>
            <w:tcW w:w="5669" w:type="dxa"/>
          </w:tcPr>
          <w:p w14:paraId="2997DA81" w14:textId="77777777" w:rsidR="00DF7CF1" w:rsidRPr="002E64A6" w:rsidRDefault="00DF7CF1" w:rsidP="009642E8">
            <w:pPr>
              <w:ind w:right="55"/>
              <w:rPr>
                <w:iCs/>
              </w:rPr>
            </w:pPr>
            <w:r w:rsidRPr="002E64A6">
              <w:rPr>
                <w:iCs/>
              </w:rPr>
              <w:t xml:space="preserve">Transportable gas cylinders – Valve protection caps and valve guards for industrial and medical gas cylinders – Design, </w:t>
            </w:r>
            <w:proofErr w:type="gramStart"/>
            <w:r w:rsidRPr="002E64A6">
              <w:rPr>
                <w:iCs/>
              </w:rPr>
              <w:t>construction</w:t>
            </w:r>
            <w:proofErr w:type="gramEnd"/>
            <w:r w:rsidRPr="002E64A6">
              <w:rPr>
                <w:iCs/>
              </w:rPr>
              <w:t xml:space="preserve"> and tests</w:t>
            </w:r>
          </w:p>
        </w:tc>
      </w:tr>
      <w:tr w:rsidR="00DF7CF1" w:rsidRPr="002E64A6" w14:paraId="5D9B7215" w14:textId="77777777" w:rsidTr="007149C6">
        <w:trPr>
          <w:cantSplit/>
        </w:trPr>
        <w:tc>
          <w:tcPr>
            <w:tcW w:w="1209" w:type="dxa"/>
          </w:tcPr>
          <w:p w14:paraId="237771FE" w14:textId="77777777" w:rsidR="00DF7CF1" w:rsidRPr="002E64A6" w:rsidRDefault="00DF7CF1" w:rsidP="009642E8">
            <w:pPr>
              <w:widowControl w:val="0"/>
              <w:tabs>
                <w:tab w:val="left" w:pos="1418"/>
                <w:tab w:val="left" w:pos="1843"/>
              </w:tabs>
            </w:pPr>
            <w:r w:rsidRPr="002E64A6">
              <w:t>4.1.6.8 (c)</w:t>
            </w:r>
          </w:p>
        </w:tc>
        <w:tc>
          <w:tcPr>
            <w:tcW w:w="7436" w:type="dxa"/>
            <w:gridSpan w:val="2"/>
          </w:tcPr>
          <w:p w14:paraId="385CDD1D" w14:textId="77777777" w:rsidR="00DF7CF1" w:rsidRPr="002E64A6" w:rsidRDefault="00DF7CF1" w:rsidP="009642E8">
            <w:pPr>
              <w:tabs>
                <w:tab w:val="left" w:pos="1418"/>
              </w:tabs>
            </w:pPr>
            <w:r w:rsidRPr="002E64A6">
              <w:rPr>
                <w:iCs/>
              </w:rPr>
              <w:t>Requirements for shrouds and permanent protection attachments used as valve protection under 4.1.6.8 (c) are given in the relevant pressure receptacle shell design standards (see 6.2.2.3 for UN pressure receptacles and 6.2.4.1 for non-UN pressure receptacles).</w:t>
            </w:r>
          </w:p>
        </w:tc>
      </w:tr>
      <w:tr w:rsidR="00DF7CF1" w:rsidRPr="002E64A6" w14:paraId="00FF5652" w14:textId="77777777" w:rsidTr="007149C6">
        <w:trPr>
          <w:cantSplit/>
        </w:trPr>
        <w:tc>
          <w:tcPr>
            <w:tcW w:w="1209" w:type="dxa"/>
          </w:tcPr>
          <w:p w14:paraId="2F747396" w14:textId="77777777" w:rsidR="00DF7CF1" w:rsidRPr="002E64A6" w:rsidRDefault="00DF7CF1" w:rsidP="009642E8">
            <w:pPr>
              <w:widowControl w:val="0"/>
              <w:tabs>
                <w:tab w:val="left" w:pos="1418"/>
                <w:tab w:val="left" w:pos="1843"/>
              </w:tabs>
            </w:pPr>
            <w:r w:rsidRPr="002E64A6">
              <w:t>4.1.6.8 (b) and (c)</w:t>
            </w:r>
          </w:p>
        </w:tc>
        <w:tc>
          <w:tcPr>
            <w:tcW w:w="1767" w:type="dxa"/>
          </w:tcPr>
          <w:p w14:paraId="218300CF" w14:textId="77777777" w:rsidR="00DF7CF1" w:rsidRPr="002E64A6" w:rsidRDefault="00DF7CF1" w:rsidP="009642E8">
            <w:pPr>
              <w:tabs>
                <w:tab w:val="left" w:pos="1418"/>
                <w:tab w:val="left" w:pos="1800"/>
              </w:tabs>
            </w:pPr>
            <w:r w:rsidRPr="002E64A6">
              <w:t>ISO 16111:2008 or ISO 16111:2018</w:t>
            </w:r>
          </w:p>
        </w:tc>
        <w:tc>
          <w:tcPr>
            <w:tcW w:w="5669" w:type="dxa"/>
          </w:tcPr>
          <w:p w14:paraId="39C2CB55" w14:textId="77777777" w:rsidR="00DF7CF1" w:rsidRPr="002E64A6" w:rsidRDefault="00DF7CF1" w:rsidP="009642E8">
            <w:pPr>
              <w:tabs>
                <w:tab w:val="left" w:pos="1418"/>
                <w:tab w:val="left" w:pos="1800"/>
              </w:tabs>
            </w:pPr>
            <w:r w:rsidRPr="002E64A6">
              <w:t>Transportable gas storage devices – Hydrogen absorbed in reversible metal hydride</w:t>
            </w:r>
          </w:p>
        </w:tc>
      </w:tr>
    </w:tbl>
    <w:p w14:paraId="5E9F447B" w14:textId="7A0CD1CA" w:rsidR="00DF7CF1" w:rsidRPr="002E64A6" w:rsidRDefault="00666430" w:rsidP="007149C6">
      <w:pPr>
        <w:tabs>
          <w:tab w:val="left" w:pos="1418"/>
          <w:tab w:val="left" w:pos="2977"/>
          <w:tab w:val="left" w:pos="4395"/>
        </w:tabs>
        <w:snapToGrid w:val="0"/>
        <w:spacing w:before="120" w:after="120" w:line="240" w:lineRule="auto"/>
        <w:ind w:left="1418" w:right="1134"/>
        <w:jc w:val="right"/>
      </w:pPr>
      <w:r w:rsidRPr="007149C6">
        <w:rPr>
          <w:bCs/>
        </w:rPr>
        <w:t>”</w:t>
      </w:r>
    </w:p>
    <w:p w14:paraId="1F130179" w14:textId="5FE3C891" w:rsidR="00DF7CF1" w:rsidRPr="007149C6" w:rsidRDefault="00327111" w:rsidP="00C41DCA">
      <w:pPr>
        <w:tabs>
          <w:tab w:val="left" w:pos="2977"/>
          <w:tab w:val="left" w:pos="4395"/>
        </w:tabs>
        <w:snapToGrid w:val="0"/>
        <w:spacing w:before="120" w:after="120" w:line="240" w:lineRule="auto"/>
        <w:ind w:left="1134" w:right="1134"/>
        <w:jc w:val="both"/>
        <w:rPr>
          <w:i/>
          <w:iCs/>
        </w:rPr>
      </w:pPr>
      <w:r w:rsidRPr="007149C6">
        <w:rPr>
          <w:i/>
          <w:iCs/>
        </w:rPr>
        <w:t>(</w:t>
      </w:r>
      <w:r w:rsidR="00DF7CF1" w:rsidRPr="007149C6">
        <w:rPr>
          <w:i/>
          <w:iCs/>
        </w:rPr>
        <w:t>Reference document: ECE/TRANS/WP.15/AC.1/2021/12, as amended by informal document INF.30</w:t>
      </w:r>
      <w:r w:rsidRPr="007149C6">
        <w:rPr>
          <w:i/>
          <w:iCs/>
        </w:rPr>
        <w:t>)</w:t>
      </w:r>
    </w:p>
    <w:p w14:paraId="372C3548" w14:textId="0E5739D0" w:rsidR="00DF7CF1" w:rsidRPr="002E64A6" w:rsidRDefault="00531A75" w:rsidP="00DF7CF1">
      <w:pPr>
        <w:pStyle w:val="H23G"/>
        <w:kinsoku w:val="0"/>
        <w:overflowPunct w:val="0"/>
        <w:autoSpaceDE w:val="0"/>
        <w:autoSpaceDN w:val="0"/>
        <w:adjustRightInd w:val="0"/>
        <w:snapToGrid w:val="0"/>
        <w:spacing w:before="120" w:line="240" w:lineRule="auto"/>
        <w:ind w:right="707"/>
        <w:rPr>
          <w:rFonts w:cs="Arial"/>
          <w:szCs w:val="22"/>
        </w:rPr>
      </w:pPr>
      <w:r w:rsidRPr="002E64A6">
        <w:rPr>
          <w:rFonts w:cs="Arial"/>
          <w:szCs w:val="22"/>
        </w:rPr>
        <w:tab/>
      </w:r>
      <w:r w:rsidRPr="002E64A6">
        <w:rPr>
          <w:rFonts w:cs="Arial"/>
          <w:szCs w:val="22"/>
        </w:rPr>
        <w:tab/>
      </w:r>
      <w:r w:rsidR="00DF7CF1" w:rsidRPr="002E64A6">
        <w:rPr>
          <w:rFonts w:cs="Arial"/>
          <w:szCs w:val="22"/>
        </w:rPr>
        <w:t>Chapter 4.2</w:t>
      </w:r>
    </w:p>
    <w:p w14:paraId="3604D915" w14:textId="73E43275" w:rsidR="00DF7CF1" w:rsidRPr="007149C6" w:rsidRDefault="00DF7CF1" w:rsidP="007149C6">
      <w:pPr>
        <w:widowControl w:val="0"/>
        <w:snapToGrid w:val="0"/>
        <w:spacing w:before="120" w:after="120" w:line="240" w:lineRule="auto"/>
        <w:ind w:left="2268" w:right="1134" w:hanging="1134"/>
        <w:jc w:val="both"/>
        <w:rPr>
          <w:rFonts w:cs="Arial"/>
          <w:bCs/>
          <w:szCs w:val="22"/>
        </w:rPr>
      </w:pPr>
      <w:r w:rsidRPr="007149C6">
        <w:rPr>
          <w:rFonts w:cs="Arial"/>
          <w:bCs/>
          <w:szCs w:val="22"/>
        </w:rPr>
        <w:t>4.2.5.2.6</w:t>
      </w:r>
      <w:r w:rsidRPr="007149C6">
        <w:rPr>
          <w:rFonts w:cs="Arial"/>
          <w:bCs/>
          <w:szCs w:val="22"/>
        </w:rPr>
        <w:tab/>
        <w:t xml:space="preserve">[The amendment </w:t>
      </w:r>
      <w:r w:rsidR="002118CB" w:rsidRPr="007149C6">
        <w:rPr>
          <w:rFonts w:cs="Arial"/>
          <w:bCs/>
          <w:szCs w:val="22"/>
        </w:rPr>
        <w:t>to portable tank instruction T 50</w:t>
      </w:r>
      <w:r w:rsidR="00205A6E">
        <w:rPr>
          <w:rFonts w:cs="Arial"/>
          <w:bCs/>
          <w:szCs w:val="22"/>
        </w:rPr>
        <w:t xml:space="preserve"> in</w:t>
      </w:r>
      <w:r w:rsidRPr="007149C6">
        <w:rPr>
          <w:rFonts w:cs="Arial"/>
          <w:bCs/>
          <w:szCs w:val="22"/>
        </w:rPr>
        <w:t xml:space="preserve"> the </w:t>
      </w:r>
      <w:r w:rsidR="00E37DA5">
        <w:rPr>
          <w:rFonts w:cs="Arial"/>
          <w:bCs/>
          <w:szCs w:val="22"/>
        </w:rPr>
        <w:t xml:space="preserve">German version </w:t>
      </w:r>
      <w:r w:rsidR="00205A6E">
        <w:rPr>
          <w:rFonts w:cs="Arial"/>
          <w:bCs/>
          <w:szCs w:val="22"/>
        </w:rPr>
        <w:t>does not apply to the English text</w:t>
      </w:r>
      <w:r w:rsidRPr="007149C6">
        <w:rPr>
          <w:rFonts w:cs="Arial"/>
          <w:bCs/>
          <w:szCs w:val="22"/>
        </w:rPr>
        <w:t>.]</w:t>
      </w:r>
    </w:p>
    <w:p w14:paraId="7308D0DE" w14:textId="77777777" w:rsidR="00DF7CF1" w:rsidRPr="002E64A6" w:rsidRDefault="00DF7CF1" w:rsidP="007149C6">
      <w:pPr>
        <w:snapToGrid w:val="0"/>
        <w:spacing w:before="120" w:after="120" w:line="240" w:lineRule="auto"/>
        <w:ind w:left="567" w:firstLine="567"/>
      </w:pPr>
      <w:r w:rsidRPr="002E64A6">
        <w:rPr>
          <w:b/>
        </w:rPr>
        <w:t>Chapter 4.3</w:t>
      </w:r>
    </w:p>
    <w:p w14:paraId="3441D779" w14:textId="77777777" w:rsidR="00DF7CF1" w:rsidRPr="002E64A6" w:rsidRDefault="00DF7CF1" w:rsidP="007149C6">
      <w:pPr>
        <w:snapToGrid w:val="0"/>
        <w:spacing w:before="120" w:after="120" w:line="240" w:lineRule="auto"/>
        <w:ind w:left="2259" w:right="1134" w:hanging="1125"/>
      </w:pPr>
      <w:r w:rsidRPr="007149C6">
        <w:rPr>
          <w:bCs/>
        </w:rPr>
        <w:t>4.3.4.1.3</w:t>
      </w:r>
      <w:r w:rsidRPr="007149C6">
        <w:rPr>
          <w:bCs/>
        </w:rPr>
        <w:tab/>
        <w:t>In the Table</w:t>
      </w:r>
      <w:r w:rsidRPr="002E64A6">
        <w:t>, under class 5.1, amend the name and description for UN number 2426 to read as follows:</w:t>
      </w:r>
    </w:p>
    <w:p w14:paraId="5CF41C7D" w14:textId="67DE46B8" w:rsidR="00DF7CF1" w:rsidRPr="002E64A6" w:rsidRDefault="009D3EA9" w:rsidP="00707E4B">
      <w:pPr>
        <w:tabs>
          <w:tab w:val="left" w:pos="1418"/>
          <w:tab w:val="left" w:pos="2268"/>
        </w:tabs>
        <w:snapToGrid w:val="0"/>
        <w:spacing w:before="120" w:after="120" w:line="240" w:lineRule="auto"/>
        <w:ind w:left="1418"/>
        <w:rPr>
          <w:rFonts w:eastAsia="Calibri" w:cs="Arial"/>
          <w:szCs w:val="22"/>
          <w:lang w:eastAsia="en-US"/>
        </w:rPr>
      </w:pPr>
      <w:r w:rsidRPr="002E64A6">
        <w:rPr>
          <w:rFonts w:eastAsia="Calibri" w:cs="Arial"/>
          <w:szCs w:val="22"/>
          <w:lang w:eastAsia="en-US"/>
        </w:rPr>
        <w:tab/>
      </w:r>
      <w:r w:rsidR="008B2764" w:rsidRPr="007149C6">
        <w:rPr>
          <w:bCs/>
        </w:rPr>
        <w:t>“</w:t>
      </w:r>
      <w:r w:rsidR="00DF7CF1" w:rsidRPr="002E64A6">
        <w:t>AMMONIUM NITRATE, LIQUID (hot concentrated solution)</w:t>
      </w:r>
      <w:r w:rsidR="0024487A" w:rsidRPr="007149C6">
        <w:rPr>
          <w:bCs/>
        </w:rPr>
        <w:t>”</w:t>
      </w:r>
      <w:r w:rsidR="00DF7CF1" w:rsidRPr="002E64A6">
        <w:t>.</w:t>
      </w:r>
    </w:p>
    <w:p w14:paraId="1BF5D7F4" w14:textId="46FFD06A" w:rsidR="00DF7CF1" w:rsidRPr="0024487A" w:rsidRDefault="00531A75" w:rsidP="007149C6">
      <w:pPr>
        <w:tabs>
          <w:tab w:val="left" w:pos="2977"/>
          <w:tab w:val="left" w:pos="4395"/>
        </w:tabs>
        <w:snapToGrid w:val="0"/>
        <w:spacing w:before="120" w:after="120" w:line="240" w:lineRule="auto"/>
        <w:ind w:left="1134" w:right="1134"/>
        <w:rPr>
          <w:i/>
          <w:iCs/>
        </w:rPr>
      </w:pPr>
      <w:r w:rsidRPr="0024487A">
        <w:rPr>
          <w:i/>
          <w:iCs/>
        </w:rPr>
        <w:t>(</w:t>
      </w:r>
      <w:r w:rsidR="00DF7CF1" w:rsidRPr="0024487A">
        <w:rPr>
          <w:i/>
          <w:iCs/>
        </w:rPr>
        <w:t>Reference document: ECE/TRANS/WP.15/AC.1/2021/13, as amended</w:t>
      </w:r>
      <w:r w:rsidRPr="0024487A">
        <w:rPr>
          <w:i/>
          <w:iCs/>
        </w:rPr>
        <w:t>)</w:t>
      </w:r>
    </w:p>
    <w:p w14:paraId="18FA6912" w14:textId="77777777" w:rsidR="000B3F66" w:rsidRPr="002E64A6" w:rsidRDefault="000B3F66" w:rsidP="00531A75">
      <w:pPr>
        <w:pStyle w:val="SingleTxtG"/>
        <w:kinsoku w:val="0"/>
        <w:overflowPunct w:val="0"/>
        <w:autoSpaceDE w:val="0"/>
        <w:autoSpaceDN w:val="0"/>
        <w:adjustRightInd w:val="0"/>
        <w:snapToGrid w:val="0"/>
        <w:spacing w:before="120"/>
      </w:pPr>
      <w:r w:rsidRPr="002E64A6">
        <w:rPr>
          <w:b/>
        </w:rPr>
        <w:t>Chapter 5.4</w:t>
      </w:r>
    </w:p>
    <w:p w14:paraId="599D98F3" w14:textId="77777777" w:rsidR="000B3F66" w:rsidRPr="007149C6" w:rsidRDefault="000B3F66" w:rsidP="00531A75">
      <w:pPr>
        <w:pStyle w:val="SingleTxtG"/>
        <w:kinsoku w:val="0"/>
        <w:overflowPunct w:val="0"/>
        <w:autoSpaceDE w:val="0"/>
        <w:autoSpaceDN w:val="0"/>
        <w:adjustRightInd w:val="0"/>
        <w:snapToGrid w:val="0"/>
        <w:spacing w:before="120"/>
        <w:rPr>
          <w:bCs/>
        </w:rPr>
      </w:pPr>
      <w:r w:rsidRPr="007149C6">
        <w:rPr>
          <w:bCs/>
        </w:rPr>
        <w:t>5.4.1.1.3</w:t>
      </w:r>
      <w:r w:rsidRPr="007149C6">
        <w:rPr>
          <w:bCs/>
        </w:rPr>
        <w:tab/>
        <w:t>Becomes 5.4.1.1.3.1.</w:t>
      </w:r>
    </w:p>
    <w:p w14:paraId="0E019213" w14:textId="77777777" w:rsidR="000B3F66" w:rsidRPr="002E64A6" w:rsidRDefault="000B3F66" w:rsidP="00531A75">
      <w:pPr>
        <w:snapToGrid w:val="0"/>
        <w:spacing w:before="120" w:after="120"/>
        <w:ind w:left="1134" w:right="1134"/>
      </w:pPr>
      <w:r w:rsidRPr="002E64A6">
        <w:tab/>
        <w:t xml:space="preserve">Insert a new </w:t>
      </w:r>
      <w:r w:rsidRPr="007149C6">
        <w:t>5.4.1.1.3.2</w:t>
      </w:r>
      <w:r w:rsidRPr="002E64A6">
        <w:t xml:space="preserve"> to read as follows:</w:t>
      </w:r>
    </w:p>
    <w:p w14:paraId="6D4D96AD" w14:textId="4C614A1B" w:rsidR="000B3F66" w:rsidRPr="002E64A6" w:rsidRDefault="008B2764" w:rsidP="009C02FD">
      <w:pPr>
        <w:pStyle w:val="SingleTxtG"/>
        <w:kinsoku w:val="0"/>
        <w:overflowPunct w:val="0"/>
        <w:autoSpaceDE w:val="0"/>
        <w:autoSpaceDN w:val="0"/>
        <w:adjustRightInd w:val="0"/>
        <w:snapToGrid w:val="0"/>
        <w:spacing w:before="120"/>
        <w:ind w:left="2268" w:hanging="1134"/>
      </w:pPr>
      <w:r w:rsidRPr="007149C6">
        <w:rPr>
          <w:bCs/>
        </w:rPr>
        <w:t>“</w:t>
      </w:r>
      <w:r w:rsidR="000B3F66" w:rsidRPr="007149C6">
        <w:t>5.4.1.1.3.2</w:t>
      </w:r>
      <w:r w:rsidR="000B3F66" w:rsidRPr="007149C6">
        <w:tab/>
      </w:r>
      <w:r w:rsidR="000B3F66" w:rsidRPr="002E64A6">
        <w:t>If there is no possibility to measure the exact quantity of the waste at the place of loading, the quantity according to 5.4.1.1.1 (f) may be estimated for the following cases under the following conditions:</w:t>
      </w:r>
    </w:p>
    <w:p w14:paraId="549A5864" w14:textId="77777777" w:rsidR="000B3F66" w:rsidRPr="002E64A6" w:rsidRDefault="000B3F66" w:rsidP="009C02FD">
      <w:pPr>
        <w:snapToGrid w:val="0"/>
        <w:spacing w:before="120" w:after="120"/>
        <w:ind w:left="2835" w:right="1134" w:hanging="567"/>
        <w:jc w:val="both"/>
      </w:pPr>
      <w:r w:rsidRPr="002E64A6">
        <w:t>(a)</w:t>
      </w:r>
      <w:r w:rsidRPr="002E64A6">
        <w:tab/>
        <w:t xml:space="preserve">For packagings, a list of packagings including the type and the nominal volume will be added to the transport </w:t>
      </w:r>
      <w:proofErr w:type="gramStart"/>
      <w:r w:rsidRPr="002E64A6">
        <w:t>document;</w:t>
      </w:r>
      <w:proofErr w:type="gramEnd"/>
    </w:p>
    <w:p w14:paraId="403DE3BF" w14:textId="77777777" w:rsidR="000B3F66" w:rsidRPr="002E64A6" w:rsidRDefault="000B3F66" w:rsidP="009C02FD">
      <w:pPr>
        <w:snapToGrid w:val="0"/>
        <w:spacing w:before="120" w:after="120"/>
        <w:ind w:left="2835" w:right="1134" w:hanging="567"/>
        <w:jc w:val="both"/>
      </w:pPr>
      <w:r w:rsidRPr="002E64A6">
        <w:t>(b)</w:t>
      </w:r>
      <w:r w:rsidRPr="002E64A6">
        <w:tab/>
        <w:t>for containers, the estimation will be based on their nominal volume and other available information (e.g. type of waste, average density, degree of filling</w:t>
      </w:r>
      <w:proofErr w:type="gramStart"/>
      <w:r w:rsidRPr="002E64A6">
        <w:t>);</w:t>
      </w:r>
      <w:proofErr w:type="gramEnd"/>
    </w:p>
    <w:p w14:paraId="2156F40D" w14:textId="77777777" w:rsidR="000B3F66" w:rsidRPr="002E64A6" w:rsidRDefault="000B3F66" w:rsidP="009C02FD">
      <w:pPr>
        <w:snapToGrid w:val="0"/>
        <w:spacing w:before="120" w:after="120"/>
        <w:ind w:left="2835" w:right="1134" w:hanging="567"/>
        <w:jc w:val="both"/>
      </w:pPr>
      <w:r w:rsidRPr="002E64A6">
        <w:t>(c)</w:t>
      </w:r>
      <w:r w:rsidRPr="002E64A6">
        <w:tab/>
        <w:t>for vacuum operated waste tanks, the estimation shall be justified (e.g. by means of an estimation provided by the consigner or by wagon/vehicle equipment).</w:t>
      </w:r>
    </w:p>
    <w:p w14:paraId="1FDD4C26" w14:textId="77777777" w:rsidR="000B3F66" w:rsidRPr="002E64A6" w:rsidRDefault="000B3F66" w:rsidP="009C02FD">
      <w:pPr>
        <w:snapToGrid w:val="0"/>
        <w:spacing w:before="120" w:after="120"/>
        <w:ind w:left="2835" w:right="1134" w:hanging="567"/>
        <w:jc w:val="both"/>
      </w:pPr>
      <w:r w:rsidRPr="002E64A6">
        <w:t>Such estimation of the quantity is not allowed for:</w:t>
      </w:r>
    </w:p>
    <w:p w14:paraId="07BF14D7" w14:textId="77777777" w:rsidR="000B3F66" w:rsidRPr="002E64A6" w:rsidRDefault="000B3F66" w:rsidP="009C02FD">
      <w:pPr>
        <w:snapToGrid w:val="0"/>
        <w:spacing w:before="120" w:after="120"/>
        <w:ind w:left="2835" w:right="1134" w:hanging="567"/>
        <w:jc w:val="both"/>
      </w:pPr>
      <w:r w:rsidRPr="002E64A6">
        <w:t>–</w:t>
      </w:r>
      <w:r w:rsidRPr="002E64A6">
        <w:tab/>
        <w:t>Exemptions for which the exact quantity is essential (e.g. 1.1.3.6</w:t>
      </w:r>
      <w:proofErr w:type="gramStart"/>
      <w:r w:rsidRPr="002E64A6">
        <w:t>);</w:t>
      </w:r>
      <w:proofErr w:type="gramEnd"/>
    </w:p>
    <w:p w14:paraId="488F3713" w14:textId="77777777" w:rsidR="000B3F66" w:rsidRPr="002E64A6" w:rsidRDefault="000B3F66" w:rsidP="009C02FD">
      <w:pPr>
        <w:snapToGrid w:val="0"/>
        <w:spacing w:before="120" w:after="120"/>
        <w:ind w:left="2835" w:right="1134" w:hanging="567"/>
        <w:jc w:val="both"/>
      </w:pPr>
      <w:r w:rsidRPr="002E64A6">
        <w:lastRenderedPageBreak/>
        <w:t>–</w:t>
      </w:r>
      <w:r w:rsidRPr="002E64A6">
        <w:tab/>
        <w:t xml:space="preserve">Waste containing substances mentioned in 2.1.3.5.3 and/or substances of Class </w:t>
      </w:r>
      <w:proofErr w:type="gramStart"/>
      <w:r w:rsidRPr="002E64A6">
        <w:t>4.3;</w:t>
      </w:r>
      <w:proofErr w:type="gramEnd"/>
    </w:p>
    <w:p w14:paraId="3940ABDE" w14:textId="77777777" w:rsidR="000B3F66" w:rsidRPr="002E64A6" w:rsidRDefault="000B3F66" w:rsidP="009C02FD">
      <w:pPr>
        <w:snapToGrid w:val="0"/>
        <w:spacing w:before="120" w:after="120"/>
        <w:ind w:left="2835" w:right="1134" w:hanging="567"/>
        <w:jc w:val="both"/>
        <w:rPr>
          <w:bCs/>
        </w:rPr>
      </w:pPr>
      <w:r w:rsidRPr="002E64A6">
        <w:t>–</w:t>
      </w:r>
      <w:r w:rsidRPr="002E64A6">
        <w:tab/>
        <w:t>Tanks other</w:t>
      </w:r>
      <w:r w:rsidRPr="002E64A6">
        <w:rPr>
          <w:bCs/>
        </w:rPr>
        <w:t xml:space="preserve"> than vacuum operated waste tanks.</w:t>
      </w:r>
    </w:p>
    <w:p w14:paraId="010E46EF" w14:textId="77777777" w:rsidR="000B3F66" w:rsidRPr="002E64A6" w:rsidRDefault="000B3F66" w:rsidP="009C02FD">
      <w:pPr>
        <w:snapToGrid w:val="0"/>
        <w:spacing w:before="120" w:after="120"/>
        <w:ind w:left="2268" w:right="1134"/>
        <w:jc w:val="both"/>
        <w:rPr>
          <w:bCs/>
        </w:rPr>
      </w:pPr>
      <w:r w:rsidRPr="007149C6">
        <w:t>[</w:t>
      </w:r>
      <w:r w:rsidRPr="002E64A6">
        <w:rPr>
          <w:bCs/>
        </w:rPr>
        <w:t>A statement shall be included in the transport document, as follows:</w:t>
      </w:r>
    </w:p>
    <w:p w14:paraId="1BC3E5CA" w14:textId="6879F854" w:rsidR="000B3F66" w:rsidRPr="002E64A6" w:rsidRDefault="008B2764" w:rsidP="009C02FD">
      <w:pPr>
        <w:snapToGrid w:val="0"/>
        <w:spacing w:before="120" w:after="120"/>
        <w:ind w:left="2268" w:right="1134"/>
        <w:jc w:val="both"/>
      </w:pPr>
      <w:r w:rsidRPr="007149C6">
        <w:rPr>
          <w:bCs/>
        </w:rPr>
        <w:t>“</w:t>
      </w:r>
      <w:r w:rsidR="000B3F66" w:rsidRPr="002E64A6">
        <w:t>QUANTITY ESTIMATED IN ACCORDANCE WITH 5.4.1.1.3.2</w:t>
      </w:r>
      <w:r w:rsidR="00C41DCA" w:rsidRPr="007149C6">
        <w:rPr>
          <w:bCs/>
        </w:rPr>
        <w:t>”</w:t>
      </w:r>
      <w:r w:rsidR="000B3F66" w:rsidRPr="002E64A6">
        <w:t>.</w:t>
      </w:r>
      <w:r w:rsidR="000B3F66" w:rsidRPr="007149C6">
        <w:rPr>
          <w:bCs/>
        </w:rPr>
        <w:t>]</w:t>
      </w:r>
      <w:r w:rsidR="00C41DCA" w:rsidRPr="007149C6">
        <w:rPr>
          <w:bCs/>
        </w:rPr>
        <w:t>”</w:t>
      </w:r>
    </w:p>
    <w:p w14:paraId="45533B3E" w14:textId="05FEEB70" w:rsidR="000B3F66" w:rsidRPr="007149C6" w:rsidRDefault="00014880" w:rsidP="007149C6">
      <w:pPr>
        <w:tabs>
          <w:tab w:val="left" w:pos="1843"/>
        </w:tabs>
        <w:snapToGrid w:val="0"/>
        <w:spacing w:before="120" w:after="120"/>
        <w:ind w:left="1134" w:right="1134"/>
        <w:rPr>
          <w:i/>
          <w:iCs/>
        </w:rPr>
      </w:pPr>
      <w:r w:rsidRPr="007149C6">
        <w:rPr>
          <w:i/>
          <w:iCs/>
        </w:rPr>
        <w:t>(</w:t>
      </w:r>
      <w:r w:rsidR="000B3F66" w:rsidRPr="007149C6">
        <w:rPr>
          <w:i/>
          <w:iCs/>
        </w:rPr>
        <w:t>Reference documents: ECE/TRANS/WP.15/AC.1/2021/18 and informal document INF.42, as amended</w:t>
      </w:r>
      <w:r w:rsidRPr="007149C6">
        <w:rPr>
          <w:i/>
          <w:iCs/>
        </w:rPr>
        <w:t>)</w:t>
      </w:r>
    </w:p>
    <w:p w14:paraId="25149C18" w14:textId="5FC414A4" w:rsidR="000B3F66" w:rsidRPr="007149C6" w:rsidRDefault="000B3F66" w:rsidP="007149C6">
      <w:pPr>
        <w:snapToGrid w:val="0"/>
        <w:spacing w:before="120" w:after="120"/>
        <w:ind w:left="2268" w:right="1134" w:hanging="1134"/>
        <w:rPr>
          <w:bCs/>
        </w:rPr>
      </w:pPr>
      <w:r w:rsidRPr="007149C6">
        <w:rPr>
          <w:bCs/>
        </w:rPr>
        <w:t>5.4.2</w:t>
      </w:r>
      <w:r w:rsidRPr="007149C6">
        <w:rPr>
          <w:bCs/>
        </w:rPr>
        <w:tab/>
        <w:t xml:space="preserve">In the first sub-paragraph, replace </w:t>
      </w:r>
      <w:r w:rsidR="008B2764" w:rsidRPr="007149C6">
        <w:rPr>
          <w:bCs/>
        </w:rPr>
        <w:t>“</w:t>
      </w:r>
      <w:r w:rsidRPr="007149C6">
        <w:rPr>
          <w:bCs/>
        </w:rPr>
        <w:t>with the transport document</w:t>
      </w:r>
      <w:r w:rsidR="00697747" w:rsidRPr="007149C6">
        <w:rPr>
          <w:bCs/>
        </w:rPr>
        <w:t>”</w:t>
      </w:r>
      <w:r w:rsidRPr="007149C6">
        <w:rPr>
          <w:bCs/>
        </w:rPr>
        <w:t xml:space="preserve"> by:</w:t>
      </w:r>
    </w:p>
    <w:p w14:paraId="22B5095B" w14:textId="4466DA1C" w:rsidR="000B3F66" w:rsidRPr="007149C6" w:rsidRDefault="00A475C9" w:rsidP="00A475C9">
      <w:pPr>
        <w:snapToGrid w:val="0"/>
        <w:spacing w:before="120" w:after="120"/>
        <w:ind w:left="2268" w:right="1134" w:hanging="1134"/>
        <w:rPr>
          <w:bCs/>
        </w:rPr>
      </w:pPr>
      <w:r w:rsidRPr="002E64A6">
        <w:rPr>
          <w:bCs/>
        </w:rPr>
        <w:tab/>
      </w:r>
      <w:r w:rsidR="008B2764" w:rsidRPr="007149C6">
        <w:rPr>
          <w:bCs/>
        </w:rPr>
        <w:t>“</w:t>
      </w:r>
      <w:r w:rsidR="000B3F66" w:rsidRPr="007149C6">
        <w:rPr>
          <w:bCs/>
        </w:rPr>
        <w:t>to the maritime carrier by those responsible for packing the container</w:t>
      </w:r>
      <w:r w:rsidR="00697747" w:rsidRPr="007149C6">
        <w:rPr>
          <w:bCs/>
        </w:rPr>
        <w:t>”</w:t>
      </w:r>
      <w:r w:rsidR="000B3F66" w:rsidRPr="007149C6">
        <w:rPr>
          <w:bCs/>
        </w:rPr>
        <w:t>.</w:t>
      </w:r>
    </w:p>
    <w:p w14:paraId="1634AA39" w14:textId="35699DF6" w:rsidR="000B3F66" w:rsidRPr="007149C6" w:rsidRDefault="00A475C9" w:rsidP="007149C6">
      <w:pPr>
        <w:snapToGrid w:val="0"/>
        <w:spacing w:before="120" w:after="120"/>
        <w:ind w:left="2268" w:right="1134" w:hanging="1134"/>
        <w:rPr>
          <w:bCs/>
        </w:rPr>
      </w:pPr>
      <w:r w:rsidRPr="002E64A6">
        <w:rPr>
          <w:bCs/>
        </w:rPr>
        <w:tab/>
      </w:r>
      <w:r w:rsidR="000B3F66" w:rsidRPr="007149C6">
        <w:rPr>
          <w:bCs/>
        </w:rPr>
        <w:t xml:space="preserve">In the second sub-paragraph, in the first sentence, replace </w:t>
      </w:r>
      <w:r w:rsidR="008B2764" w:rsidRPr="007149C6">
        <w:rPr>
          <w:bCs/>
        </w:rPr>
        <w:t>“</w:t>
      </w:r>
      <w:r w:rsidR="000B3F66" w:rsidRPr="007149C6">
        <w:rPr>
          <w:bCs/>
        </w:rPr>
        <w:t>; if not, these documents shall be attached</w:t>
      </w:r>
      <w:r w:rsidR="00697747" w:rsidRPr="007149C6">
        <w:rPr>
          <w:bCs/>
        </w:rPr>
        <w:t>”</w:t>
      </w:r>
      <w:r w:rsidR="000B3F66" w:rsidRPr="007149C6">
        <w:rPr>
          <w:bCs/>
        </w:rPr>
        <w:t xml:space="preserve"> by:</w:t>
      </w:r>
    </w:p>
    <w:p w14:paraId="7D730F17" w14:textId="16C1E717" w:rsidR="000B3F66" w:rsidRPr="007149C6" w:rsidRDefault="00A475C9" w:rsidP="007149C6">
      <w:pPr>
        <w:snapToGrid w:val="0"/>
        <w:spacing w:before="120" w:after="120"/>
        <w:ind w:left="2268" w:right="1134" w:hanging="1134"/>
        <w:rPr>
          <w:bCs/>
        </w:rPr>
      </w:pPr>
      <w:r w:rsidRPr="002E64A6">
        <w:rPr>
          <w:bCs/>
        </w:rPr>
        <w:tab/>
      </w:r>
      <w:r w:rsidR="008B2764" w:rsidRPr="007149C6">
        <w:rPr>
          <w:bCs/>
        </w:rPr>
        <w:t>“</w:t>
      </w:r>
      <w:r w:rsidR="000B3F66" w:rsidRPr="007149C6">
        <w:rPr>
          <w:bCs/>
        </w:rPr>
        <w:t>(see for example 5.4.5)</w:t>
      </w:r>
      <w:r w:rsidR="00047C17" w:rsidRPr="007149C6">
        <w:rPr>
          <w:bCs/>
        </w:rPr>
        <w:t>”</w:t>
      </w:r>
      <w:r w:rsidR="000B3F66" w:rsidRPr="007149C6">
        <w:rPr>
          <w:bCs/>
        </w:rPr>
        <w:t>.</w:t>
      </w:r>
    </w:p>
    <w:p w14:paraId="4216E303" w14:textId="2BB67A5F" w:rsidR="000B3F66" w:rsidRPr="007149C6" w:rsidRDefault="00A475C9" w:rsidP="007149C6">
      <w:pPr>
        <w:snapToGrid w:val="0"/>
        <w:spacing w:before="120" w:after="120"/>
        <w:ind w:left="2268" w:right="1134" w:hanging="1134"/>
        <w:rPr>
          <w:bCs/>
        </w:rPr>
      </w:pPr>
      <w:r w:rsidRPr="002E64A6">
        <w:rPr>
          <w:bCs/>
        </w:rPr>
        <w:tab/>
      </w:r>
      <w:r w:rsidR="000B3F66" w:rsidRPr="007149C6">
        <w:rPr>
          <w:bCs/>
        </w:rPr>
        <w:t>Delete the Note after the second sub-paragraph.</w:t>
      </w:r>
    </w:p>
    <w:p w14:paraId="030FB519" w14:textId="359C1E2E" w:rsidR="000B3F66" w:rsidRPr="007149C6" w:rsidRDefault="00A475C9" w:rsidP="007149C6">
      <w:pPr>
        <w:snapToGrid w:val="0"/>
        <w:spacing w:before="120" w:after="120"/>
        <w:ind w:left="2268" w:right="1134" w:hanging="1134"/>
        <w:rPr>
          <w:bCs/>
        </w:rPr>
      </w:pPr>
      <w:r w:rsidRPr="002E64A6">
        <w:rPr>
          <w:bCs/>
        </w:rPr>
        <w:tab/>
      </w:r>
      <w:r w:rsidR="000B3F66" w:rsidRPr="007149C6">
        <w:rPr>
          <w:bCs/>
        </w:rPr>
        <w:t xml:space="preserve">In the third sub-paragraph, after </w:t>
      </w:r>
      <w:r w:rsidR="008B2764" w:rsidRPr="007149C6">
        <w:rPr>
          <w:bCs/>
        </w:rPr>
        <w:t>“</w:t>
      </w:r>
      <w:r w:rsidR="000B3F66" w:rsidRPr="007149C6">
        <w:rPr>
          <w:bCs/>
        </w:rPr>
        <w:t>may</w:t>
      </w:r>
      <w:r w:rsidR="00047C17" w:rsidRPr="007149C6">
        <w:rPr>
          <w:bCs/>
        </w:rPr>
        <w:t>”</w:t>
      </w:r>
      <w:r w:rsidR="000B3F66" w:rsidRPr="007149C6">
        <w:rPr>
          <w:bCs/>
        </w:rPr>
        <w:t>, insert:</w:t>
      </w:r>
    </w:p>
    <w:p w14:paraId="0CA32CBE" w14:textId="606D046F" w:rsidR="000B3F66" w:rsidRPr="007149C6" w:rsidRDefault="00A475C9" w:rsidP="007149C6">
      <w:pPr>
        <w:snapToGrid w:val="0"/>
        <w:spacing w:before="120" w:after="120"/>
        <w:ind w:left="2268" w:right="1134" w:hanging="1134"/>
        <w:rPr>
          <w:bCs/>
        </w:rPr>
      </w:pPr>
      <w:r w:rsidRPr="002E64A6">
        <w:rPr>
          <w:bCs/>
        </w:rPr>
        <w:tab/>
      </w:r>
      <w:r w:rsidR="008B2764" w:rsidRPr="007149C6">
        <w:rPr>
          <w:bCs/>
        </w:rPr>
        <w:t>“</w:t>
      </w:r>
      <w:r w:rsidR="000B3F66" w:rsidRPr="007149C6">
        <w:rPr>
          <w:bCs/>
        </w:rPr>
        <w:t>also</w:t>
      </w:r>
      <w:r w:rsidR="00047C17" w:rsidRPr="007149C6">
        <w:rPr>
          <w:bCs/>
        </w:rPr>
        <w:t>”</w:t>
      </w:r>
      <w:r w:rsidR="000B3F66" w:rsidRPr="007149C6">
        <w:rPr>
          <w:bCs/>
        </w:rPr>
        <w:t>.</w:t>
      </w:r>
    </w:p>
    <w:p w14:paraId="6AF83264" w14:textId="1069C7DE" w:rsidR="000B3F66" w:rsidRPr="007149C6" w:rsidRDefault="00A3365C" w:rsidP="007149C6">
      <w:pPr>
        <w:snapToGrid w:val="0"/>
        <w:spacing w:before="120" w:after="120"/>
        <w:ind w:left="1134" w:right="1134"/>
        <w:rPr>
          <w:bCs/>
          <w:i/>
          <w:iCs/>
        </w:rPr>
      </w:pPr>
      <w:r w:rsidRPr="007149C6">
        <w:rPr>
          <w:bCs/>
          <w:i/>
          <w:iCs/>
        </w:rPr>
        <w:t>(</w:t>
      </w:r>
      <w:r w:rsidR="000B3F66" w:rsidRPr="007149C6">
        <w:rPr>
          <w:bCs/>
          <w:i/>
          <w:iCs/>
        </w:rPr>
        <w:t>Reference document: ECE/TRANS/WP.15/AC.1/2021/22, as amended by informal document INF.40</w:t>
      </w:r>
      <w:r w:rsidRPr="007149C6">
        <w:rPr>
          <w:bCs/>
          <w:i/>
          <w:iCs/>
        </w:rPr>
        <w:t>)</w:t>
      </w:r>
    </w:p>
    <w:p w14:paraId="4EB20E18" w14:textId="77777777" w:rsidR="000B3F66" w:rsidRPr="002E64A6" w:rsidRDefault="000B3F66" w:rsidP="00707E4B">
      <w:pPr>
        <w:pStyle w:val="SingleTxtG"/>
        <w:kinsoku w:val="0"/>
        <w:overflowPunct w:val="0"/>
        <w:autoSpaceDE w:val="0"/>
        <w:autoSpaceDN w:val="0"/>
        <w:adjustRightInd w:val="0"/>
        <w:snapToGrid w:val="0"/>
        <w:spacing w:before="120"/>
        <w:ind w:right="1133"/>
        <w:rPr>
          <w:b/>
          <w:lang w:eastAsia="zh-CN"/>
        </w:rPr>
      </w:pPr>
      <w:r w:rsidRPr="002E64A6">
        <w:rPr>
          <w:b/>
          <w:lang w:eastAsia="zh-CN"/>
        </w:rPr>
        <w:t>Chapter 5.5</w:t>
      </w:r>
    </w:p>
    <w:p w14:paraId="1FD38F4E" w14:textId="00266F85"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w:t>
      </w:r>
      <w:r w:rsidRPr="007149C6">
        <w:rPr>
          <w:bCs/>
          <w:lang w:eastAsia="zh-CN"/>
        </w:rPr>
        <w:tab/>
        <w:t>[</w:t>
      </w:r>
      <w:r w:rsidR="006575D9">
        <w:t>Amendment to the German version only</w:t>
      </w:r>
      <w:r w:rsidRPr="007149C6">
        <w:rPr>
          <w:bCs/>
          <w:lang w:eastAsia="zh-CN"/>
        </w:rPr>
        <w:t>.]</w:t>
      </w:r>
    </w:p>
    <w:p w14:paraId="122D5BFC" w14:textId="38B1EB3C"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5.5.2.1.1</w:t>
      </w:r>
      <w:r w:rsidRPr="007149C6">
        <w:rPr>
          <w:bCs/>
          <w:lang w:eastAsia="zh-CN"/>
        </w:rPr>
        <w:tab/>
        <w:t>[</w:t>
      </w:r>
      <w:r w:rsidR="006575D9">
        <w:t>Amendment to the German version only</w:t>
      </w:r>
      <w:r w:rsidRPr="007149C6">
        <w:rPr>
          <w:bCs/>
          <w:lang w:eastAsia="zh-CN"/>
        </w:rPr>
        <w:t>.]</w:t>
      </w:r>
    </w:p>
    <w:p w14:paraId="712E924F" w14:textId="21996725"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5.5.2.1.2</w:t>
      </w:r>
      <w:r w:rsidRPr="007149C6">
        <w:rPr>
          <w:bCs/>
          <w:lang w:eastAsia="zh-CN"/>
        </w:rPr>
        <w:tab/>
        <w:t>[</w:t>
      </w:r>
      <w:r w:rsidR="006575D9">
        <w:t>Amendment to the German version only</w:t>
      </w:r>
      <w:r w:rsidRPr="007149C6">
        <w:rPr>
          <w:bCs/>
          <w:lang w:eastAsia="zh-CN"/>
        </w:rPr>
        <w:t>.]</w:t>
      </w:r>
    </w:p>
    <w:p w14:paraId="22AFD0A5" w14:textId="13559D28"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5.5.2.1.3</w:t>
      </w:r>
      <w:r w:rsidRPr="007149C6">
        <w:rPr>
          <w:bCs/>
          <w:lang w:eastAsia="zh-CN"/>
        </w:rPr>
        <w:tab/>
        <w:t>[</w:t>
      </w:r>
      <w:r w:rsidR="006575D9">
        <w:t>Amendment to the German version only</w:t>
      </w:r>
      <w:r w:rsidRPr="007149C6">
        <w:rPr>
          <w:bCs/>
          <w:lang w:eastAsia="zh-CN"/>
        </w:rPr>
        <w:t>.]</w:t>
      </w:r>
    </w:p>
    <w:p w14:paraId="4DE40BCE" w14:textId="18A21176" w:rsidR="000B3F66" w:rsidRPr="007149C6" w:rsidRDefault="002118CB"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w:t>
      </w:r>
      <w:r w:rsidR="000B3F66" w:rsidRPr="007149C6">
        <w:rPr>
          <w:bCs/>
          <w:lang w:eastAsia="zh-CN"/>
        </w:rPr>
        <w:t>.5.2.2</w:t>
      </w:r>
      <w:r w:rsidR="000B3F66" w:rsidRPr="007149C6">
        <w:rPr>
          <w:bCs/>
          <w:lang w:eastAsia="zh-CN"/>
        </w:rPr>
        <w:tab/>
        <w:t>[</w:t>
      </w:r>
      <w:r w:rsidR="006575D9">
        <w:t>Amendment to the German version only</w:t>
      </w:r>
      <w:r w:rsidR="000B3F66" w:rsidRPr="007149C6">
        <w:rPr>
          <w:bCs/>
          <w:lang w:eastAsia="zh-CN"/>
        </w:rPr>
        <w:t>.]</w:t>
      </w:r>
    </w:p>
    <w:p w14:paraId="40A5AAB6" w14:textId="3605CEE2"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5.5.2.3.1</w:t>
      </w:r>
      <w:r w:rsidRPr="007149C6">
        <w:rPr>
          <w:bCs/>
          <w:lang w:eastAsia="zh-CN"/>
        </w:rPr>
        <w:tab/>
        <w:t>[</w:t>
      </w:r>
      <w:r w:rsidR="006575D9">
        <w:t>Amendment to the German version only</w:t>
      </w:r>
      <w:r w:rsidRPr="007149C6">
        <w:rPr>
          <w:bCs/>
          <w:lang w:eastAsia="zh-CN"/>
        </w:rPr>
        <w:t>.]</w:t>
      </w:r>
    </w:p>
    <w:p w14:paraId="2E92EFE5" w14:textId="665B28DD"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5.5.2.3.3</w:t>
      </w:r>
      <w:r w:rsidRPr="007149C6">
        <w:rPr>
          <w:bCs/>
          <w:lang w:eastAsia="zh-CN"/>
        </w:rPr>
        <w:tab/>
        <w:t>[</w:t>
      </w:r>
      <w:r w:rsidR="006575D9">
        <w:t>Amendment to the German version only</w:t>
      </w:r>
      <w:r w:rsidRPr="007149C6">
        <w:rPr>
          <w:bCs/>
          <w:lang w:eastAsia="zh-CN"/>
        </w:rPr>
        <w:t>.]</w:t>
      </w:r>
    </w:p>
    <w:p w14:paraId="5609ED9F" w14:textId="24B31D7B"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5.5.2.3.4</w:t>
      </w:r>
      <w:r w:rsidRPr="007149C6">
        <w:rPr>
          <w:bCs/>
          <w:lang w:eastAsia="zh-CN"/>
        </w:rPr>
        <w:tab/>
        <w:t>[</w:t>
      </w:r>
      <w:r w:rsidR="006575D9">
        <w:t>Amendment to the German version only</w:t>
      </w:r>
      <w:r w:rsidRPr="007149C6">
        <w:rPr>
          <w:bCs/>
          <w:lang w:eastAsia="zh-CN"/>
        </w:rPr>
        <w:t>.]</w:t>
      </w:r>
    </w:p>
    <w:p w14:paraId="55EDC6E6" w14:textId="3B66576C"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5.5.2.3.5</w:t>
      </w:r>
      <w:r w:rsidRPr="007149C6">
        <w:rPr>
          <w:bCs/>
          <w:lang w:eastAsia="zh-CN"/>
        </w:rPr>
        <w:tab/>
        <w:t>[</w:t>
      </w:r>
      <w:r w:rsidR="006575D9">
        <w:t>Amendment to the German version only</w:t>
      </w:r>
      <w:r w:rsidRPr="007149C6">
        <w:rPr>
          <w:bCs/>
          <w:lang w:eastAsia="zh-CN"/>
        </w:rPr>
        <w:t>.]</w:t>
      </w:r>
    </w:p>
    <w:p w14:paraId="1DF4531A" w14:textId="68C5D001"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5.5.2.4.1</w:t>
      </w:r>
      <w:r w:rsidRPr="007149C6">
        <w:rPr>
          <w:bCs/>
          <w:lang w:eastAsia="zh-CN"/>
        </w:rPr>
        <w:tab/>
        <w:t>[</w:t>
      </w:r>
      <w:r w:rsidR="006575D9">
        <w:t>Amendment to the German version only</w:t>
      </w:r>
      <w:r w:rsidRPr="007149C6">
        <w:rPr>
          <w:bCs/>
          <w:lang w:eastAsia="zh-CN"/>
        </w:rPr>
        <w:t>.]</w:t>
      </w:r>
    </w:p>
    <w:p w14:paraId="4124D55A" w14:textId="247D1131" w:rsidR="000B3F66" w:rsidRPr="007149C6" w:rsidRDefault="000B3F66" w:rsidP="007149C6">
      <w:pPr>
        <w:pStyle w:val="SingleTxtG"/>
        <w:tabs>
          <w:tab w:val="left" w:pos="2268"/>
        </w:tabs>
        <w:kinsoku w:val="0"/>
        <w:overflowPunct w:val="0"/>
        <w:autoSpaceDE w:val="0"/>
        <w:autoSpaceDN w:val="0"/>
        <w:adjustRightInd w:val="0"/>
        <w:snapToGrid w:val="0"/>
        <w:spacing w:before="120"/>
        <w:ind w:right="1133"/>
        <w:rPr>
          <w:bCs/>
          <w:lang w:eastAsia="zh-CN"/>
        </w:rPr>
      </w:pPr>
      <w:r w:rsidRPr="007149C6">
        <w:rPr>
          <w:bCs/>
          <w:lang w:eastAsia="zh-CN"/>
        </w:rPr>
        <w:t>5.5.2.4.4</w:t>
      </w:r>
      <w:r w:rsidRPr="007149C6">
        <w:rPr>
          <w:bCs/>
          <w:lang w:eastAsia="zh-CN"/>
        </w:rPr>
        <w:tab/>
        <w:t>[</w:t>
      </w:r>
      <w:r w:rsidR="006575D9">
        <w:t>Amendment to the German version only</w:t>
      </w:r>
      <w:r w:rsidRPr="007149C6">
        <w:rPr>
          <w:bCs/>
          <w:lang w:eastAsia="zh-CN"/>
        </w:rPr>
        <w:t>.]</w:t>
      </w:r>
    </w:p>
    <w:p w14:paraId="416A7EBD" w14:textId="77777777" w:rsidR="00DF7CF1" w:rsidRPr="002E64A6" w:rsidRDefault="00DF7CF1" w:rsidP="007149C6">
      <w:pPr>
        <w:widowControl w:val="0"/>
        <w:snapToGrid w:val="0"/>
        <w:spacing w:before="120" w:after="120" w:line="240" w:lineRule="auto"/>
        <w:ind w:left="1134"/>
        <w:rPr>
          <w:rFonts w:cs="Arial"/>
          <w:b/>
          <w:szCs w:val="22"/>
        </w:rPr>
      </w:pPr>
      <w:r w:rsidRPr="002E64A6">
        <w:rPr>
          <w:rFonts w:cs="Arial"/>
          <w:b/>
          <w:szCs w:val="22"/>
        </w:rPr>
        <w:t>Chapter 6.2</w:t>
      </w:r>
    </w:p>
    <w:p w14:paraId="158DC876" w14:textId="249D8BAB" w:rsidR="009642E8" w:rsidRPr="002E64A6" w:rsidRDefault="009642E8" w:rsidP="007149C6">
      <w:pPr>
        <w:pStyle w:val="H23G"/>
        <w:kinsoku w:val="0"/>
        <w:overflowPunct w:val="0"/>
        <w:autoSpaceDE w:val="0"/>
        <w:autoSpaceDN w:val="0"/>
        <w:adjustRightInd w:val="0"/>
        <w:snapToGrid w:val="0"/>
        <w:spacing w:before="120"/>
        <w:ind w:firstLine="0"/>
      </w:pPr>
      <w:r w:rsidRPr="002E64A6">
        <w:rPr>
          <w:b w:val="0"/>
          <w:bCs/>
        </w:rPr>
        <w:t>6.2.3.1.5</w:t>
      </w:r>
      <w:r w:rsidRPr="007149C6">
        <w:rPr>
          <w:b w:val="0"/>
          <w:bCs/>
        </w:rPr>
        <w:tab/>
      </w:r>
      <w:r w:rsidRPr="007149C6">
        <w:rPr>
          <w:b w:val="0"/>
        </w:rPr>
        <w:t>Amend to read as follows:</w:t>
      </w:r>
    </w:p>
    <w:p w14:paraId="7B501EDF" w14:textId="49B3002C" w:rsidR="009642E8" w:rsidRPr="002E64A6" w:rsidRDefault="009642E8" w:rsidP="007149C6">
      <w:pPr>
        <w:tabs>
          <w:tab w:val="left" w:pos="2268"/>
        </w:tabs>
        <w:snapToGrid w:val="0"/>
        <w:spacing w:before="120" w:after="120"/>
        <w:ind w:left="2268" w:right="1134" w:hanging="1134"/>
      </w:pPr>
      <w:r w:rsidRPr="002E64A6">
        <w:t>“6.2.3.1.5</w:t>
      </w:r>
      <w:r w:rsidRPr="002E64A6">
        <w:tab/>
        <w:t>Acetylene cylinders shall not be fitted with fusible plugs or any other pressure relief devices.”</w:t>
      </w:r>
    </w:p>
    <w:p w14:paraId="6D1B2C27" w14:textId="44D5C043" w:rsidR="00842154" w:rsidRPr="002E64A6" w:rsidRDefault="0039286E" w:rsidP="00EE3319">
      <w:pPr>
        <w:tabs>
          <w:tab w:val="left" w:pos="2268"/>
          <w:tab w:val="left" w:pos="2552"/>
        </w:tabs>
        <w:snapToGrid w:val="0"/>
        <w:spacing w:before="120" w:after="120" w:line="240" w:lineRule="auto"/>
        <w:ind w:left="1134" w:right="1134"/>
        <w:rPr>
          <w:i/>
          <w:iCs/>
        </w:rPr>
      </w:pPr>
      <w:r w:rsidRPr="002E64A6">
        <w:rPr>
          <w:i/>
          <w:iCs/>
        </w:rPr>
        <w:t>(</w:t>
      </w:r>
      <w:r w:rsidR="009642E8" w:rsidRPr="002E64A6">
        <w:rPr>
          <w:i/>
          <w:iCs/>
        </w:rPr>
        <w:t>Reference document: ECE/TRANS/WP.15/AC.1/2021/20, as amended by informal document INF</w:t>
      </w:r>
      <w:r w:rsidR="004556F1" w:rsidRPr="002E64A6">
        <w:rPr>
          <w:i/>
          <w:iCs/>
        </w:rPr>
        <w:t>.</w:t>
      </w:r>
      <w:r w:rsidR="00171780" w:rsidRPr="002E64A6">
        <w:rPr>
          <w:i/>
          <w:iCs/>
        </w:rPr>
        <w:t>8</w:t>
      </w:r>
      <w:r w:rsidR="00842154" w:rsidRPr="002E64A6">
        <w:rPr>
          <w:i/>
          <w:iCs/>
        </w:rPr>
        <w:t>)</w:t>
      </w:r>
    </w:p>
    <w:p w14:paraId="10673840" w14:textId="312DFB44" w:rsidR="00EE3319" w:rsidRPr="002E64A6" w:rsidRDefault="00173E11" w:rsidP="00A475C9">
      <w:pPr>
        <w:tabs>
          <w:tab w:val="left" w:pos="2268"/>
          <w:tab w:val="left" w:pos="2552"/>
        </w:tabs>
        <w:snapToGrid w:val="0"/>
        <w:spacing w:before="120" w:after="120" w:line="240" w:lineRule="auto"/>
        <w:ind w:left="1134" w:right="1134"/>
        <w:jc w:val="both"/>
        <w:rPr>
          <w:rFonts w:cs="Arial"/>
          <w:szCs w:val="22"/>
        </w:rPr>
      </w:pPr>
      <w:r w:rsidRPr="002E64A6">
        <w:rPr>
          <w:rFonts w:cs="Arial"/>
          <w:szCs w:val="22"/>
        </w:rPr>
        <w:t>6.2.4.1</w:t>
      </w:r>
      <w:r w:rsidRPr="002E64A6">
        <w:rPr>
          <w:rFonts w:cs="Arial"/>
          <w:szCs w:val="22"/>
        </w:rPr>
        <w:tab/>
        <w:t xml:space="preserve">Amend the Table, under </w:t>
      </w:r>
      <w:r w:rsidR="00235079" w:rsidRPr="007149C6">
        <w:rPr>
          <w:bCs/>
        </w:rPr>
        <w:t>“</w:t>
      </w:r>
      <w:r w:rsidRPr="002E64A6">
        <w:rPr>
          <w:rFonts w:cs="Arial"/>
          <w:szCs w:val="22"/>
        </w:rPr>
        <w:t>for design and construction</w:t>
      </w:r>
      <w:r w:rsidR="00235079" w:rsidRPr="007149C6">
        <w:rPr>
          <w:bCs/>
        </w:rPr>
        <w:t>”</w:t>
      </w:r>
      <w:r w:rsidRPr="002E64A6">
        <w:rPr>
          <w:rFonts w:cs="Arial"/>
          <w:szCs w:val="22"/>
        </w:rPr>
        <w:t xml:space="preserve"> </w:t>
      </w:r>
      <w:r w:rsidR="00EE3319" w:rsidRPr="002E64A6">
        <w:rPr>
          <w:rFonts w:cs="Arial"/>
          <w:szCs w:val="22"/>
        </w:rPr>
        <w:t>as follows:</w:t>
      </w:r>
    </w:p>
    <w:p w14:paraId="62E5AB57" w14:textId="53122726" w:rsidR="00EE3319" w:rsidRPr="002E64A6" w:rsidRDefault="00EE3319" w:rsidP="007149C6">
      <w:pPr>
        <w:widowControl w:val="0"/>
        <w:tabs>
          <w:tab w:val="left" w:pos="2268"/>
        </w:tabs>
        <w:snapToGrid w:val="0"/>
        <w:spacing w:before="120" w:after="120" w:line="240" w:lineRule="auto"/>
        <w:ind w:left="2268" w:right="1134" w:hanging="1134"/>
        <w:jc w:val="both"/>
        <w:rPr>
          <w:rFonts w:cs="Arial"/>
          <w:szCs w:val="22"/>
        </w:rPr>
      </w:pPr>
      <w:r w:rsidRPr="002E64A6">
        <w:rPr>
          <w:rFonts w:cs="Arial"/>
          <w:szCs w:val="22"/>
        </w:rPr>
        <w:tab/>
        <w:t xml:space="preserve">For </w:t>
      </w:r>
      <w:r w:rsidR="008B2764" w:rsidRPr="007149C6">
        <w:rPr>
          <w:bCs/>
        </w:rPr>
        <w:t>“</w:t>
      </w:r>
      <w:r w:rsidRPr="002E64A6">
        <w:t>EN ISO 7866:2012 + AC:2014</w:t>
      </w:r>
      <w:r w:rsidR="00047C17" w:rsidRPr="007149C6">
        <w:rPr>
          <w:bCs/>
        </w:rPr>
        <w:t>”</w:t>
      </w:r>
      <w:r w:rsidRPr="002E64A6">
        <w:rPr>
          <w:rFonts w:cs="Arial"/>
          <w:szCs w:val="22"/>
        </w:rPr>
        <w:t xml:space="preserve">, in column (4), replace </w:t>
      </w:r>
      <w:r w:rsidR="00235079" w:rsidRPr="007149C6">
        <w:rPr>
          <w:bCs/>
        </w:rPr>
        <w:t>“</w:t>
      </w:r>
      <w:r w:rsidRPr="002E64A6">
        <w:t>Until further notice</w:t>
      </w:r>
      <w:r w:rsidR="00047C17" w:rsidRPr="007149C6">
        <w:rPr>
          <w:bCs/>
        </w:rPr>
        <w:t>”</w:t>
      </w:r>
      <w:r w:rsidRPr="002E64A6">
        <w:t xml:space="preserve"> </w:t>
      </w:r>
      <w:r w:rsidRPr="002E64A6">
        <w:rPr>
          <w:rFonts w:cs="Arial"/>
          <w:szCs w:val="22"/>
        </w:rPr>
        <w:t>by:</w:t>
      </w:r>
    </w:p>
    <w:p w14:paraId="1FEB1C5F" w14:textId="389CEC47" w:rsidR="00EE3319" w:rsidRPr="002E64A6" w:rsidRDefault="00EE3319" w:rsidP="007149C6">
      <w:pPr>
        <w:widowControl w:val="0"/>
        <w:tabs>
          <w:tab w:val="left" w:pos="2268"/>
          <w:tab w:val="left" w:pos="2552"/>
        </w:tabs>
        <w:snapToGrid w:val="0"/>
        <w:spacing w:before="120" w:after="120" w:line="240" w:lineRule="auto"/>
        <w:ind w:left="1134" w:right="1134"/>
        <w:jc w:val="both"/>
        <w:rPr>
          <w:rFonts w:cs="Arial"/>
          <w:szCs w:val="22"/>
        </w:rPr>
      </w:pPr>
      <w:r w:rsidRPr="002E64A6">
        <w:rPr>
          <w:rFonts w:cs="Arial"/>
          <w:szCs w:val="22"/>
        </w:rPr>
        <w:tab/>
      </w:r>
      <w:r w:rsidR="008B2764" w:rsidRPr="007149C6">
        <w:rPr>
          <w:bCs/>
        </w:rPr>
        <w:t>“</w:t>
      </w:r>
      <w:r w:rsidRPr="002E64A6">
        <w:rPr>
          <w:rFonts w:cs="Arial"/>
          <w:szCs w:val="22"/>
        </w:rPr>
        <w:t>Between 1 January 2015 and 31 December 2024</w:t>
      </w:r>
      <w:r w:rsidR="00047C17" w:rsidRPr="007149C6">
        <w:rPr>
          <w:bCs/>
        </w:rPr>
        <w:t>”</w:t>
      </w:r>
      <w:r w:rsidRPr="002E64A6">
        <w:rPr>
          <w:rFonts w:cs="Arial"/>
          <w:szCs w:val="22"/>
        </w:rPr>
        <w:t>.</w:t>
      </w:r>
    </w:p>
    <w:p w14:paraId="19AC3458" w14:textId="6E761B39" w:rsidR="00EE3319" w:rsidRPr="002E64A6" w:rsidRDefault="00A475C9" w:rsidP="007149C6">
      <w:pPr>
        <w:widowControl w:val="0"/>
        <w:tabs>
          <w:tab w:val="left" w:pos="2268"/>
        </w:tabs>
        <w:snapToGrid w:val="0"/>
        <w:spacing w:before="120" w:after="120" w:line="240" w:lineRule="auto"/>
        <w:ind w:left="2268" w:right="1134" w:hanging="1134"/>
        <w:jc w:val="both"/>
        <w:rPr>
          <w:rFonts w:cs="Arial"/>
          <w:szCs w:val="22"/>
        </w:rPr>
      </w:pPr>
      <w:r w:rsidRPr="002E64A6">
        <w:rPr>
          <w:rFonts w:cs="Arial"/>
          <w:szCs w:val="22"/>
        </w:rPr>
        <w:tab/>
      </w:r>
      <w:r w:rsidR="00EE3319" w:rsidRPr="002E64A6">
        <w:rPr>
          <w:rFonts w:cs="Arial"/>
          <w:szCs w:val="22"/>
        </w:rPr>
        <w:t xml:space="preserve">After the row for </w:t>
      </w:r>
      <w:r w:rsidR="008B2764" w:rsidRPr="007149C6">
        <w:rPr>
          <w:bCs/>
        </w:rPr>
        <w:t>“</w:t>
      </w:r>
      <w:r w:rsidR="00EE3319" w:rsidRPr="002E64A6">
        <w:t>EN ISO 7866:2012 + AC:2014</w:t>
      </w:r>
      <w:r w:rsidR="00047C17" w:rsidRPr="007149C6">
        <w:rPr>
          <w:bCs/>
        </w:rPr>
        <w:t>”</w:t>
      </w:r>
      <w:r w:rsidR="00EE3319" w:rsidRPr="002E64A6">
        <w:rPr>
          <w:rFonts w:cs="Arial"/>
          <w:szCs w:val="22"/>
        </w:rPr>
        <w:t>, insert the following new row:</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DF7CF1" w:rsidRPr="002E64A6" w14:paraId="5A2638BA" w14:textId="77777777" w:rsidTr="009642E8">
        <w:tc>
          <w:tcPr>
            <w:tcW w:w="1708" w:type="dxa"/>
          </w:tcPr>
          <w:p w14:paraId="334C533A" w14:textId="77777777" w:rsidR="00DF7CF1" w:rsidRPr="002E64A6" w:rsidRDefault="00DF7CF1" w:rsidP="009642E8">
            <w:pPr>
              <w:widowControl w:val="0"/>
              <w:jc w:val="center"/>
              <w:rPr>
                <w:rFonts w:cs="Arial"/>
                <w:sz w:val="18"/>
                <w:szCs w:val="18"/>
              </w:rPr>
            </w:pPr>
            <w:r w:rsidRPr="002E64A6">
              <w:rPr>
                <w:rFonts w:cs="Arial"/>
                <w:sz w:val="18"/>
                <w:szCs w:val="18"/>
              </w:rPr>
              <w:t>(1)</w:t>
            </w:r>
          </w:p>
        </w:tc>
        <w:tc>
          <w:tcPr>
            <w:tcW w:w="3402" w:type="dxa"/>
          </w:tcPr>
          <w:p w14:paraId="1221B44F" w14:textId="77777777" w:rsidR="00DF7CF1" w:rsidRPr="002E64A6" w:rsidRDefault="00DF7CF1" w:rsidP="009642E8">
            <w:pPr>
              <w:widowControl w:val="0"/>
              <w:jc w:val="center"/>
              <w:rPr>
                <w:rFonts w:cs="Arial"/>
                <w:sz w:val="18"/>
                <w:szCs w:val="18"/>
              </w:rPr>
            </w:pPr>
            <w:r w:rsidRPr="002E64A6">
              <w:rPr>
                <w:rFonts w:cs="Arial"/>
                <w:sz w:val="18"/>
                <w:szCs w:val="18"/>
              </w:rPr>
              <w:t>(2)</w:t>
            </w:r>
          </w:p>
        </w:tc>
        <w:tc>
          <w:tcPr>
            <w:tcW w:w="1012" w:type="dxa"/>
          </w:tcPr>
          <w:p w14:paraId="320F052E" w14:textId="77777777" w:rsidR="00DF7CF1" w:rsidRPr="002E64A6" w:rsidRDefault="00DF7CF1" w:rsidP="009642E8">
            <w:pPr>
              <w:widowControl w:val="0"/>
              <w:jc w:val="center"/>
              <w:rPr>
                <w:rFonts w:cs="Arial"/>
                <w:sz w:val="18"/>
                <w:szCs w:val="18"/>
              </w:rPr>
            </w:pPr>
            <w:r w:rsidRPr="002E64A6">
              <w:rPr>
                <w:rFonts w:cs="Arial"/>
                <w:sz w:val="18"/>
                <w:szCs w:val="18"/>
              </w:rPr>
              <w:t>(3)</w:t>
            </w:r>
          </w:p>
        </w:tc>
        <w:tc>
          <w:tcPr>
            <w:tcW w:w="956" w:type="dxa"/>
          </w:tcPr>
          <w:p w14:paraId="05467E52" w14:textId="77777777" w:rsidR="00DF7CF1" w:rsidRPr="002E64A6" w:rsidRDefault="00DF7CF1" w:rsidP="009642E8">
            <w:pPr>
              <w:widowControl w:val="0"/>
              <w:jc w:val="center"/>
              <w:rPr>
                <w:rFonts w:cs="Arial"/>
                <w:sz w:val="18"/>
                <w:szCs w:val="18"/>
              </w:rPr>
            </w:pPr>
            <w:r w:rsidRPr="002E64A6">
              <w:rPr>
                <w:rFonts w:cs="Arial"/>
                <w:sz w:val="18"/>
                <w:szCs w:val="18"/>
              </w:rPr>
              <w:t>(4)</w:t>
            </w:r>
          </w:p>
        </w:tc>
        <w:tc>
          <w:tcPr>
            <w:tcW w:w="664" w:type="dxa"/>
          </w:tcPr>
          <w:p w14:paraId="7C68C3A3" w14:textId="77777777" w:rsidR="00DF7CF1" w:rsidRPr="002E64A6" w:rsidRDefault="00DF7CF1" w:rsidP="009642E8">
            <w:pPr>
              <w:widowControl w:val="0"/>
              <w:jc w:val="center"/>
              <w:rPr>
                <w:rFonts w:cs="Arial"/>
                <w:sz w:val="18"/>
                <w:szCs w:val="18"/>
              </w:rPr>
            </w:pPr>
            <w:r w:rsidRPr="002E64A6">
              <w:rPr>
                <w:rFonts w:cs="Arial"/>
                <w:sz w:val="18"/>
                <w:szCs w:val="18"/>
              </w:rPr>
              <w:t>(5)</w:t>
            </w:r>
          </w:p>
        </w:tc>
      </w:tr>
      <w:tr w:rsidR="00DF7CF1" w:rsidRPr="002E64A6" w14:paraId="287ED182" w14:textId="77777777" w:rsidTr="009642E8">
        <w:tc>
          <w:tcPr>
            <w:tcW w:w="1708" w:type="dxa"/>
            <w:vAlign w:val="center"/>
          </w:tcPr>
          <w:p w14:paraId="075B22CC" w14:textId="77777777" w:rsidR="00DF7CF1" w:rsidRPr="002E64A6" w:rsidRDefault="00DF7CF1" w:rsidP="009642E8">
            <w:pPr>
              <w:widowControl w:val="0"/>
              <w:rPr>
                <w:rFonts w:cs="Arial"/>
                <w:sz w:val="18"/>
                <w:szCs w:val="18"/>
              </w:rPr>
            </w:pPr>
            <w:r w:rsidRPr="002E64A6">
              <w:rPr>
                <w:sz w:val="18"/>
                <w:szCs w:val="18"/>
              </w:rPr>
              <w:t xml:space="preserve">EN ISO 7866:2012 </w:t>
            </w:r>
            <w:r w:rsidRPr="002E64A6">
              <w:rPr>
                <w:sz w:val="18"/>
                <w:szCs w:val="18"/>
              </w:rPr>
              <w:lastRenderedPageBreak/>
              <w:t>+ A1:2020</w:t>
            </w:r>
          </w:p>
        </w:tc>
        <w:tc>
          <w:tcPr>
            <w:tcW w:w="3402" w:type="dxa"/>
            <w:vAlign w:val="center"/>
          </w:tcPr>
          <w:p w14:paraId="4E529CD0" w14:textId="77777777" w:rsidR="00DF7CF1" w:rsidRPr="002E64A6" w:rsidRDefault="00DF7CF1" w:rsidP="009642E8">
            <w:pPr>
              <w:widowControl w:val="0"/>
              <w:rPr>
                <w:rFonts w:cs="Arial"/>
                <w:sz w:val="18"/>
                <w:szCs w:val="18"/>
              </w:rPr>
            </w:pPr>
            <w:r w:rsidRPr="002E64A6">
              <w:rPr>
                <w:rFonts w:cs="Arial"/>
                <w:bCs/>
                <w:iCs/>
                <w:sz w:val="18"/>
                <w:szCs w:val="18"/>
              </w:rPr>
              <w:lastRenderedPageBreak/>
              <w:t xml:space="preserve">Gas cylinders – Refillable seamless </w:t>
            </w:r>
            <w:r w:rsidRPr="002E64A6">
              <w:rPr>
                <w:rFonts w:cs="Arial"/>
                <w:bCs/>
                <w:iCs/>
                <w:sz w:val="18"/>
                <w:szCs w:val="18"/>
              </w:rPr>
              <w:lastRenderedPageBreak/>
              <w:t xml:space="preserve">aluminium alloy gas cylinders – Design, </w:t>
            </w:r>
            <w:proofErr w:type="gramStart"/>
            <w:r w:rsidRPr="002E64A6">
              <w:rPr>
                <w:rFonts w:cs="Arial"/>
                <w:bCs/>
                <w:iCs/>
                <w:sz w:val="18"/>
                <w:szCs w:val="18"/>
              </w:rPr>
              <w:t>construction</w:t>
            </w:r>
            <w:proofErr w:type="gramEnd"/>
            <w:r w:rsidRPr="002E64A6">
              <w:rPr>
                <w:rFonts w:cs="Arial"/>
                <w:bCs/>
                <w:iCs/>
                <w:sz w:val="18"/>
                <w:szCs w:val="18"/>
              </w:rPr>
              <w:t xml:space="preserve"> and testing</w:t>
            </w:r>
          </w:p>
        </w:tc>
        <w:tc>
          <w:tcPr>
            <w:tcW w:w="1012" w:type="dxa"/>
            <w:vAlign w:val="center"/>
          </w:tcPr>
          <w:p w14:paraId="5256B3F3" w14:textId="77777777" w:rsidR="00DF7CF1" w:rsidRPr="002E64A6" w:rsidRDefault="00DF7CF1" w:rsidP="009642E8">
            <w:pPr>
              <w:widowControl w:val="0"/>
              <w:rPr>
                <w:rFonts w:cs="Arial"/>
                <w:sz w:val="18"/>
                <w:szCs w:val="18"/>
              </w:rPr>
            </w:pPr>
            <w:r w:rsidRPr="002E64A6">
              <w:rPr>
                <w:rFonts w:cs="Arial"/>
                <w:sz w:val="18"/>
                <w:szCs w:val="18"/>
              </w:rPr>
              <w:lastRenderedPageBreak/>
              <w:t xml:space="preserve">6.2.3.1 </w:t>
            </w:r>
            <w:r w:rsidRPr="002E64A6">
              <w:rPr>
                <w:rFonts w:cs="Arial"/>
                <w:sz w:val="18"/>
                <w:szCs w:val="18"/>
              </w:rPr>
              <w:lastRenderedPageBreak/>
              <w:t>and 6.2.3.4</w:t>
            </w:r>
          </w:p>
        </w:tc>
        <w:tc>
          <w:tcPr>
            <w:tcW w:w="956" w:type="dxa"/>
            <w:vAlign w:val="center"/>
          </w:tcPr>
          <w:p w14:paraId="634249B1" w14:textId="77777777" w:rsidR="00DF7CF1" w:rsidRPr="002E64A6" w:rsidRDefault="00DF7CF1" w:rsidP="009642E8">
            <w:pPr>
              <w:widowControl w:val="0"/>
              <w:jc w:val="center"/>
              <w:rPr>
                <w:rFonts w:cs="Arial"/>
                <w:sz w:val="18"/>
                <w:szCs w:val="18"/>
              </w:rPr>
            </w:pPr>
            <w:r w:rsidRPr="002E64A6">
              <w:rPr>
                <w:rFonts w:cs="Arial"/>
                <w:bCs/>
                <w:sz w:val="18"/>
                <w:szCs w:val="18"/>
              </w:rPr>
              <w:lastRenderedPageBreak/>
              <w:t xml:space="preserve">Until </w:t>
            </w:r>
            <w:r w:rsidRPr="002E64A6">
              <w:rPr>
                <w:rFonts w:cs="Arial"/>
                <w:bCs/>
                <w:sz w:val="18"/>
                <w:szCs w:val="18"/>
              </w:rPr>
              <w:lastRenderedPageBreak/>
              <w:t>further notice</w:t>
            </w:r>
          </w:p>
        </w:tc>
        <w:tc>
          <w:tcPr>
            <w:tcW w:w="664" w:type="dxa"/>
            <w:vAlign w:val="center"/>
          </w:tcPr>
          <w:p w14:paraId="0111F208" w14:textId="77777777" w:rsidR="00DF7CF1" w:rsidRPr="002E64A6" w:rsidRDefault="00DF7CF1" w:rsidP="009642E8">
            <w:pPr>
              <w:widowControl w:val="0"/>
              <w:rPr>
                <w:rFonts w:cs="Arial"/>
                <w:sz w:val="18"/>
                <w:szCs w:val="18"/>
              </w:rPr>
            </w:pPr>
          </w:p>
        </w:tc>
      </w:tr>
    </w:tbl>
    <w:p w14:paraId="24382F56" w14:textId="31D66342" w:rsidR="00DF7CF1" w:rsidRPr="002E64A6" w:rsidRDefault="00047C17" w:rsidP="00E076B9">
      <w:pPr>
        <w:widowControl w:val="0"/>
        <w:snapToGrid w:val="0"/>
        <w:spacing w:before="120" w:after="120" w:line="240" w:lineRule="auto"/>
        <w:ind w:left="1800" w:right="1134" w:hanging="382"/>
        <w:jc w:val="right"/>
        <w:rPr>
          <w:rFonts w:cs="Arial"/>
          <w:szCs w:val="22"/>
        </w:rPr>
      </w:pPr>
      <w:r w:rsidRPr="007149C6">
        <w:rPr>
          <w:bCs/>
        </w:rPr>
        <w:t>”</w:t>
      </w:r>
    </w:p>
    <w:p w14:paraId="1A7CC3AF" w14:textId="55E0D6DA" w:rsidR="00DF7CF1" w:rsidRPr="002E64A6" w:rsidRDefault="00DF7CF1" w:rsidP="00DF7CF1">
      <w:pPr>
        <w:widowControl w:val="0"/>
        <w:snapToGrid w:val="0"/>
        <w:spacing w:before="120" w:after="120" w:line="240" w:lineRule="auto"/>
        <w:ind w:left="1800" w:hanging="382"/>
        <w:rPr>
          <w:rFonts w:cs="Arial"/>
          <w:szCs w:val="22"/>
        </w:rPr>
      </w:pPr>
      <w:r w:rsidRPr="002E64A6">
        <w:rPr>
          <w:rFonts w:cs="Arial"/>
          <w:b/>
          <w:szCs w:val="22"/>
        </w:rPr>
        <w:t>[</w:t>
      </w:r>
      <w:r w:rsidRPr="002E64A6">
        <w:rPr>
          <w:rFonts w:cs="Arial"/>
          <w:szCs w:val="22"/>
        </w:rPr>
        <w:t>–</w:t>
      </w:r>
      <w:r w:rsidRPr="002E64A6">
        <w:rPr>
          <w:rFonts w:cs="Arial"/>
          <w:szCs w:val="22"/>
        </w:rPr>
        <w:tab/>
        <w:t xml:space="preserve">For </w:t>
      </w:r>
      <w:r w:rsidR="00972BC2" w:rsidRPr="007149C6">
        <w:rPr>
          <w:bCs/>
        </w:rPr>
        <w:t>“</w:t>
      </w:r>
      <w:r w:rsidRPr="002E64A6">
        <w:rPr>
          <w:rFonts w:cs="Arial"/>
          <w:szCs w:val="22"/>
        </w:rPr>
        <w:t>EN 12245:2002</w:t>
      </w:r>
      <w:r w:rsidR="00B961C6" w:rsidRPr="007149C6">
        <w:rPr>
          <w:bCs/>
        </w:rPr>
        <w:t>”</w:t>
      </w:r>
      <w:r w:rsidRPr="002E64A6">
        <w:rPr>
          <w:rFonts w:cs="Arial"/>
          <w:szCs w:val="22"/>
        </w:rPr>
        <w:t>, in column (2), insert the following Note:</w:t>
      </w:r>
    </w:p>
    <w:p w14:paraId="3F6BCCB4" w14:textId="153DC22F" w:rsidR="00DF7CF1" w:rsidRPr="002E64A6" w:rsidRDefault="00972BC2" w:rsidP="00DF7CF1">
      <w:pPr>
        <w:widowControl w:val="0"/>
        <w:snapToGrid w:val="0"/>
        <w:spacing w:before="120" w:after="120" w:line="240" w:lineRule="auto"/>
        <w:ind w:left="2182" w:hanging="382"/>
        <w:rPr>
          <w:rFonts w:cs="Arial"/>
          <w:bCs/>
          <w:szCs w:val="22"/>
        </w:rPr>
      </w:pPr>
      <w:r w:rsidRPr="00972BC2">
        <w:rPr>
          <w:rFonts w:cs="Arial"/>
          <w:i/>
          <w:iCs/>
          <w:szCs w:val="22"/>
        </w:rPr>
        <w:t>“</w:t>
      </w:r>
      <w:r w:rsidR="00DF7CF1" w:rsidRPr="00F169FC">
        <w:rPr>
          <w:rFonts w:cs="Arial"/>
          <w:b/>
          <w:bCs/>
          <w:i/>
          <w:iCs/>
          <w:szCs w:val="22"/>
        </w:rPr>
        <w:t>NOTE:</w:t>
      </w:r>
      <w:r w:rsidR="00DF7CF1" w:rsidRPr="00F169FC">
        <w:rPr>
          <w:rFonts w:cs="Arial"/>
          <w:bCs/>
          <w:i/>
          <w:iCs/>
          <w:szCs w:val="22"/>
        </w:rPr>
        <w:tab/>
        <w:t>This standard shall not be used for gases classified as LPG.</w:t>
      </w:r>
      <w:r w:rsidR="007860A1" w:rsidRPr="007860A1">
        <w:rPr>
          <w:rFonts w:cs="Arial"/>
          <w:bCs/>
          <w:i/>
          <w:iCs/>
          <w:szCs w:val="22"/>
        </w:rPr>
        <w:t>”</w:t>
      </w:r>
      <w:r w:rsidR="00DF7CF1" w:rsidRPr="002E64A6">
        <w:rPr>
          <w:rFonts w:cs="Arial"/>
          <w:b/>
          <w:bCs/>
          <w:szCs w:val="22"/>
        </w:rPr>
        <w:t>]</w:t>
      </w:r>
    </w:p>
    <w:p w14:paraId="2598F976" w14:textId="5EC8C778" w:rsidR="00DF7CF1" w:rsidRPr="002E64A6" w:rsidRDefault="00DF7CF1" w:rsidP="00DF7CF1">
      <w:pPr>
        <w:widowControl w:val="0"/>
        <w:snapToGrid w:val="0"/>
        <w:spacing w:before="120" w:after="120" w:line="240" w:lineRule="auto"/>
        <w:ind w:left="1819" w:hanging="382"/>
        <w:rPr>
          <w:rFonts w:cs="Arial"/>
          <w:bCs/>
          <w:szCs w:val="22"/>
        </w:rPr>
      </w:pPr>
      <w:r w:rsidRPr="002E64A6">
        <w:rPr>
          <w:rFonts w:cs="Arial"/>
          <w:b/>
          <w:bCs/>
          <w:szCs w:val="22"/>
        </w:rPr>
        <w:t>[</w:t>
      </w:r>
      <w:r w:rsidRPr="002E64A6">
        <w:rPr>
          <w:rFonts w:cs="Arial"/>
          <w:bCs/>
          <w:szCs w:val="22"/>
        </w:rPr>
        <w:t>–</w:t>
      </w:r>
      <w:r w:rsidRPr="002E64A6">
        <w:rPr>
          <w:rFonts w:cs="Arial"/>
          <w:bCs/>
          <w:szCs w:val="22"/>
        </w:rPr>
        <w:tab/>
      </w:r>
      <w:r w:rsidRPr="002E64A6">
        <w:rPr>
          <w:rFonts w:cs="Arial"/>
          <w:szCs w:val="22"/>
        </w:rPr>
        <w:t xml:space="preserve">For </w:t>
      </w:r>
      <w:r w:rsidR="00972BC2" w:rsidRPr="007149C6">
        <w:rPr>
          <w:bCs/>
        </w:rPr>
        <w:t>“</w:t>
      </w:r>
      <w:r w:rsidRPr="002E64A6">
        <w:rPr>
          <w:rFonts w:cs="Arial"/>
          <w:szCs w:val="22"/>
        </w:rPr>
        <w:t>EN 12245:2002</w:t>
      </w:r>
      <w:r w:rsidR="007860A1" w:rsidRPr="007149C6">
        <w:rPr>
          <w:bCs/>
        </w:rPr>
        <w:t>”</w:t>
      </w:r>
      <w:r w:rsidRPr="002E64A6">
        <w:rPr>
          <w:rFonts w:cs="Arial"/>
          <w:szCs w:val="22"/>
        </w:rPr>
        <w:t>, in</w:t>
      </w:r>
      <w:r w:rsidRPr="002E64A6">
        <w:rPr>
          <w:rFonts w:cs="Arial"/>
          <w:bCs/>
          <w:szCs w:val="22"/>
        </w:rPr>
        <w:t xml:space="preserve"> column (5), insert the following text:</w:t>
      </w:r>
    </w:p>
    <w:p w14:paraId="78A6DA69" w14:textId="02D0300E" w:rsidR="00DF7CF1" w:rsidRPr="002E64A6" w:rsidRDefault="00972BC2" w:rsidP="00DF7CF1">
      <w:pPr>
        <w:widowControl w:val="0"/>
        <w:snapToGrid w:val="0"/>
        <w:spacing w:before="120" w:after="120" w:line="240" w:lineRule="auto"/>
        <w:ind w:left="2201" w:hanging="382"/>
        <w:rPr>
          <w:rFonts w:cs="Arial"/>
          <w:szCs w:val="22"/>
        </w:rPr>
      </w:pPr>
      <w:r w:rsidRPr="007149C6">
        <w:rPr>
          <w:bCs/>
        </w:rPr>
        <w:t>“</w:t>
      </w:r>
      <w:r w:rsidR="00DF7CF1" w:rsidRPr="002E64A6">
        <w:rPr>
          <w:rFonts w:cs="Arial"/>
          <w:bCs/>
          <w:szCs w:val="22"/>
        </w:rPr>
        <w:t>31 December 2023, for cylinders for LPG</w:t>
      </w:r>
      <w:r w:rsidR="007860A1" w:rsidRPr="007149C6">
        <w:rPr>
          <w:bCs/>
        </w:rPr>
        <w:t>”</w:t>
      </w:r>
      <w:r w:rsidR="00DF7CF1" w:rsidRPr="002E64A6">
        <w:rPr>
          <w:rFonts w:cs="Arial"/>
          <w:bCs/>
          <w:szCs w:val="22"/>
        </w:rPr>
        <w:t>.</w:t>
      </w:r>
      <w:r w:rsidR="00DF7CF1" w:rsidRPr="002E64A6">
        <w:rPr>
          <w:rFonts w:cs="Arial"/>
          <w:b/>
          <w:bCs/>
          <w:szCs w:val="22"/>
        </w:rPr>
        <w:t>]</w:t>
      </w:r>
    </w:p>
    <w:p w14:paraId="3415F757" w14:textId="46F54547" w:rsidR="00DF7CF1" w:rsidRPr="002E64A6" w:rsidRDefault="00DF7CF1" w:rsidP="00DF7CF1">
      <w:pPr>
        <w:widowControl w:val="0"/>
        <w:snapToGrid w:val="0"/>
        <w:spacing w:before="120" w:after="120" w:line="240" w:lineRule="auto"/>
        <w:ind w:left="1800" w:right="1134" w:hanging="382"/>
        <w:rPr>
          <w:rFonts w:cs="Arial"/>
          <w:bCs/>
          <w:szCs w:val="22"/>
        </w:rPr>
      </w:pPr>
      <w:r w:rsidRPr="002E64A6">
        <w:rPr>
          <w:rFonts w:cs="Arial"/>
          <w:b/>
          <w:szCs w:val="22"/>
        </w:rPr>
        <w:t>[</w:t>
      </w:r>
      <w:r w:rsidRPr="002E64A6">
        <w:rPr>
          <w:rFonts w:cs="Arial"/>
          <w:szCs w:val="22"/>
        </w:rPr>
        <w:t>–</w:t>
      </w:r>
      <w:r w:rsidRPr="002E64A6">
        <w:rPr>
          <w:rFonts w:cs="Arial"/>
          <w:szCs w:val="22"/>
        </w:rPr>
        <w:tab/>
      </w:r>
      <w:r w:rsidRPr="002E64A6">
        <w:rPr>
          <w:rFonts w:cs="Arial"/>
          <w:bCs/>
          <w:szCs w:val="22"/>
        </w:rPr>
        <w:t xml:space="preserve">For </w:t>
      </w:r>
      <w:r w:rsidR="00A765DD" w:rsidRPr="007149C6">
        <w:rPr>
          <w:bCs/>
        </w:rPr>
        <w:t>“</w:t>
      </w:r>
      <w:r w:rsidRPr="002E64A6">
        <w:rPr>
          <w:rFonts w:cs="Arial"/>
          <w:bCs/>
          <w:szCs w:val="22"/>
        </w:rPr>
        <w:t>EN 12245:2009 + A1:2011</w:t>
      </w:r>
      <w:r w:rsidR="007860A1" w:rsidRPr="007149C6">
        <w:rPr>
          <w:bCs/>
        </w:rPr>
        <w:t>”</w:t>
      </w:r>
      <w:r w:rsidRPr="002E64A6">
        <w:rPr>
          <w:rFonts w:cs="Arial"/>
          <w:bCs/>
          <w:szCs w:val="22"/>
        </w:rPr>
        <w:t xml:space="preserve">, in column (2), number the existing </w:t>
      </w:r>
      <w:r w:rsidRPr="002E64A6">
        <w:rPr>
          <w:rFonts w:cs="Arial"/>
          <w:szCs w:val="22"/>
        </w:rPr>
        <w:t>Note</w:t>
      </w:r>
      <w:r w:rsidRPr="002E64A6">
        <w:rPr>
          <w:rFonts w:cs="Arial"/>
          <w:bCs/>
          <w:szCs w:val="22"/>
        </w:rPr>
        <w:t xml:space="preserve"> to be </w:t>
      </w:r>
      <w:r w:rsidR="00A765DD" w:rsidRPr="007149C6">
        <w:rPr>
          <w:bCs/>
        </w:rPr>
        <w:t>“</w:t>
      </w:r>
      <w:r w:rsidRPr="002E64A6">
        <w:rPr>
          <w:rFonts w:cs="Arial"/>
          <w:bCs/>
          <w:szCs w:val="22"/>
        </w:rPr>
        <w:t>NOTE 1</w:t>
      </w:r>
      <w:r w:rsidR="00235079" w:rsidRPr="007149C6">
        <w:rPr>
          <w:bCs/>
        </w:rPr>
        <w:t>”</w:t>
      </w:r>
      <w:r w:rsidRPr="002E64A6">
        <w:rPr>
          <w:rFonts w:cs="Arial"/>
          <w:bCs/>
          <w:szCs w:val="22"/>
        </w:rPr>
        <w:t xml:space="preserve"> and insert a new Note as follows:</w:t>
      </w:r>
    </w:p>
    <w:p w14:paraId="49BE8E8F" w14:textId="2F72B59C" w:rsidR="00DF7CF1" w:rsidRPr="002E64A6" w:rsidRDefault="00A765DD" w:rsidP="00DF7CF1">
      <w:pPr>
        <w:widowControl w:val="0"/>
        <w:snapToGrid w:val="0"/>
        <w:spacing w:before="120" w:after="120" w:line="240" w:lineRule="auto"/>
        <w:ind w:left="2836" w:hanging="1036"/>
        <w:rPr>
          <w:rFonts w:cs="Arial"/>
          <w:bCs/>
          <w:szCs w:val="22"/>
        </w:rPr>
      </w:pPr>
      <w:r w:rsidRPr="007149C6">
        <w:rPr>
          <w:bCs/>
        </w:rPr>
        <w:t>“</w:t>
      </w:r>
      <w:r w:rsidR="00DF7CF1" w:rsidRPr="00F169FC">
        <w:rPr>
          <w:rFonts w:cs="Arial"/>
          <w:b/>
          <w:bCs/>
          <w:i/>
          <w:iCs/>
          <w:szCs w:val="22"/>
        </w:rPr>
        <w:t>NOTE 2:</w:t>
      </w:r>
      <w:r w:rsidR="00DF7CF1" w:rsidRPr="00F169FC">
        <w:rPr>
          <w:rFonts w:cs="Arial"/>
          <w:bCs/>
          <w:i/>
          <w:iCs/>
          <w:szCs w:val="22"/>
        </w:rPr>
        <w:tab/>
        <w:t>This standard shall not be used for gases classified as LPG.</w:t>
      </w:r>
      <w:r w:rsidR="00235079" w:rsidRPr="007149C6">
        <w:rPr>
          <w:bCs/>
        </w:rPr>
        <w:t>”</w:t>
      </w:r>
      <w:r w:rsidR="00DF7CF1" w:rsidRPr="002E64A6">
        <w:rPr>
          <w:rFonts w:cs="Arial"/>
          <w:b/>
          <w:bCs/>
          <w:szCs w:val="22"/>
        </w:rPr>
        <w:t>]</w:t>
      </w:r>
    </w:p>
    <w:p w14:paraId="2E6FE881" w14:textId="70C2E189" w:rsidR="00DF7CF1" w:rsidRPr="002E64A6" w:rsidRDefault="00DF7CF1" w:rsidP="00DF7CF1">
      <w:pPr>
        <w:widowControl w:val="0"/>
        <w:snapToGrid w:val="0"/>
        <w:spacing w:before="120" w:after="120" w:line="240" w:lineRule="auto"/>
        <w:ind w:left="1800" w:hanging="382"/>
        <w:rPr>
          <w:rFonts w:cs="Arial"/>
          <w:bCs/>
          <w:szCs w:val="22"/>
        </w:rPr>
      </w:pPr>
      <w:r w:rsidRPr="002E64A6">
        <w:rPr>
          <w:rFonts w:cs="Arial"/>
          <w:b/>
          <w:bCs/>
          <w:szCs w:val="22"/>
        </w:rPr>
        <w:t>[</w:t>
      </w:r>
      <w:r w:rsidRPr="002E64A6">
        <w:rPr>
          <w:rFonts w:cs="Arial"/>
          <w:bCs/>
          <w:szCs w:val="22"/>
        </w:rPr>
        <w:t>–</w:t>
      </w:r>
      <w:r w:rsidRPr="002E64A6">
        <w:rPr>
          <w:rFonts w:cs="Arial"/>
          <w:b/>
          <w:bCs/>
          <w:szCs w:val="22"/>
        </w:rPr>
        <w:tab/>
      </w:r>
      <w:r w:rsidRPr="002E64A6">
        <w:rPr>
          <w:rFonts w:cs="Arial"/>
          <w:bCs/>
          <w:szCs w:val="22"/>
        </w:rPr>
        <w:t xml:space="preserve">For </w:t>
      </w:r>
      <w:r w:rsidR="00A765DD" w:rsidRPr="007149C6">
        <w:rPr>
          <w:bCs/>
        </w:rPr>
        <w:t>“</w:t>
      </w:r>
      <w:r w:rsidRPr="002E64A6">
        <w:rPr>
          <w:rFonts w:cs="Arial"/>
          <w:bCs/>
          <w:szCs w:val="22"/>
        </w:rPr>
        <w:t>EN 12245:2009 + A1:2011</w:t>
      </w:r>
      <w:r w:rsidR="00B961C6" w:rsidRPr="007149C6">
        <w:rPr>
          <w:bCs/>
        </w:rPr>
        <w:t>”</w:t>
      </w:r>
      <w:r w:rsidRPr="002E64A6">
        <w:rPr>
          <w:rFonts w:cs="Arial"/>
          <w:bCs/>
          <w:szCs w:val="22"/>
        </w:rPr>
        <w:t>, in column (5), insert:</w:t>
      </w:r>
    </w:p>
    <w:p w14:paraId="16376D90" w14:textId="35BB3689" w:rsidR="00DF7CF1" w:rsidRPr="002E64A6" w:rsidRDefault="00A765DD" w:rsidP="00DF7CF1">
      <w:pPr>
        <w:widowControl w:val="0"/>
        <w:snapToGrid w:val="0"/>
        <w:spacing w:before="120" w:after="120" w:line="240" w:lineRule="auto"/>
        <w:ind w:left="2182" w:hanging="382"/>
        <w:rPr>
          <w:rFonts w:cs="Arial"/>
          <w:bCs/>
          <w:szCs w:val="22"/>
        </w:rPr>
      </w:pPr>
      <w:r w:rsidRPr="007149C6">
        <w:rPr>
          <w:bCs/>
        </w:rPr>
        <w:t>“</w:t>
      </w:r>
      <w:r w:rsidR="00DF7CF1" w:rsidRPr="002E64A6">
        <w:rPr>
          <w:rFonts w:cs="Arial"/>
          <w:bCs/>
          <w:szCs w:val="22"/>
        </w:rPr>
        <w:t>31 December 2023, for cylinders for LPG</w:t>
      </w:r>
      <w:r w:rsidR="00041B13" w:rsidRPr="007149C6">
        <w:rPr>
          <w:bCs/>
        </w:rPr>
        <w:t>”</w:t>
      </w:r>
      <w:r w:rsidR="00DF7CF1" w:rsidRPr="002E64A6">
        <w:rPr>
          <w:rFonts w:cs="Arial"/>
          <w:bCs/>
          <w:szCs w:val="22"/>
        </w:rPr>
        <w:t>.</w:t>
      </w:r>
      <w:r w:rsidR="00DF7CF1" w:rsidRPr="002E64A6">
        <w:rPr>
          <w:rFonts w:cs="Arial"/>
          <w:b/>
          <w:bCs/>
          <w:szCs w:val="22"/>
        </w:rPr>
        <w:t>]</w:t>
      </w:r>
    </w:p>
    <w:p w14:paraId="6772F8D7" w14:textId="370E822E" w:rsidR="00DF7CF1" w:rsidRPr="002E64A6" w:rsidRDefault="00DF7CF1" w:rsidP="00DF7CF1">
      <w:pPr>
        <w:widowControl w:val="0"/>
        <w:snapToGrid w:val="0"/>
        <w:spacing w:before="120" w:after="120" w:line="240" w:lineRule="auto"/>
        <w:ind w:left="1819"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ISO 11118:2015</w:t>
      </w:r>
      <w:r w:rsidR="00135EEB" w:rsidRPr="007149C6">
        <w:rPr>
          <w:bCs/>
        </w:rPr>
        <w:t>”</w:t>
      </w:r>
      <w:r w:rsidRPr="002E64A6">
        <w:rPr>
          <w:rFonts w:cs="Arial"/>
          <w:bCs/>
          <w:szCs w:val="22"/>
        </w:rPr>
        <w:t xml:space="preserve">, in column (4), replace </w:t>
      </w:r>
      <w:r w:rsidR="00135EEB" w:rsidRPr="007149C6">
        <w:rPr>
          <w:bCs/>
        </w:rPr>
        <w:t>“</w:t>
      </w:r>
      <w:r w:rsidRPr="002E64A6">
        <w:rPr>
          <w:rFonts w:cs="Arial"/>
          <w:bCs/>
          <w:szCs w:val="22"/>
        </w:rPr>
        <w:t>Until further notice</w:t>
      </w:r>
      <w:r w:rsidR="00041B13" w:rsidRPr="007149C6">
        <w:rPr>
          <w:bCs/>
        </w:rPr>
        <w:t>”</w:t>
      </w:r>
      <w:r w:rsidRPr="002E64A6">
        <w:rPr>
          <w:rFonts w:cs="Arial"/>
          <w:bCs/>
          <w:szCs w:val="22"/>
        </w:rPr>
        <w:t xml:space="preserve"> by:</w:t>
      </w:r>
    </w:p>
    <w:p w14:paraId="40C12D8B" w14:textId="00C42923" w:rsidR="00DF7CF1" w:rsidRPr="002E64A6" w:rsidRDefault="00A765DD" w:rsidP="00DF7CF1">
      <w:pPr>
        <w:widowControl w:val="0"/>
        <w:snapToGrid w:val="0"/>
        <w:spacing w:before="120" w:after="120" w:line="240" w:lineRule="auto"/>
        <w:ind w:left="2201" w:hanging="382"/>
        <w:rPr>
          <w:rFonts w:cs="Arial"/>
          <w:bCs/>
          <w:szCs w:val="22"/>
        </w:rPr>
      </w:pPr>
      <w:r w:rsidRPr="007149C6">
        <w:rPr>
          <w:bCs/>
        </w:rPr>
        <w:t>“</w:t>
      </w:r>
      <w:r w:rsidR="00DF7CF1" w:rsidRPr="002E64A6">
        <w:rPr>
          <w:rFonts w:cs="Arial"/>
          <w:bCs/>
          <w:szCs w:val="22"/>
        </w:rPr>
        <w:t>Between 1 January 2017 and 31 December 2024</w:t>
      </w:r>
      <w:r w:rsidR="00041B13" w:rsidRPr="007149C6">
        <w:rPr>
          <w:bCs/>
        </w:rPr>
        <w:t>”</w:t>
      </w:r>
      <w:r w:rsidR="00DF7CF1" w:rsidRPr="002E64A6">
        <w:rPr>
          <w:rFonts w:cs="Arial"/>
          <w:bCs/>
          <w:szCs w:val="22"/>
        </w:rPr>
        <w:t>.</w:t>
      </w:r>
    </w:p>
    <w:p w14:paraId="4DFCF461" w14:textId="03E7C68F" w:rsidR="00DF7CF1" w:rsidRPr="002E64A6" w:rsidRDefault="00DF7CF1" w:rsidP="00DF7CF1">
      <w:pPr>
        <w:widowControl w:val="0"/>
        <w:tabs>
          <w:tab w:val="left" w:pos="1418"/>
        </w:tabs>
        <w:snapToGrid w:val="0"/>
        <w:spacing w:before="120" w:after="120" w:line="240" w:lineRule="auto"/>
        <w:ind w:left="1843" w:hanging="425"/>
        <w:rPr>
          <w:rFonts w:cs="Arial"/>
          <w:szCs w:val="22"/>
        </w:rPr>
      </w:pPr>
      <w:r w:rsidRPr="002E64A6">
        <w:rPr>
          <w:rFonts w:cs="Arial"/>
          <w:bCs/>
          <w:szCs w:val="22"/>
        </w:rPr>
        <w:t>–</w:t>
      </w:r>
      <w:r w:rsidRPr="002E64A6">
        <w:rPr>
          <w:rFonts w:cs="Arial"/>
          <w:bCs/>
          <w:szCs w:val="22"/>
        </w:rPr>
        <w:tab/>
      </w:r>
      <w:r w:rsidRPr="002E64A6">
        <w:rPr>
          <w:rFonts w:cs="Arial"/>
          <w:szCs w:val="22"/>
        </w:rPr>
        <w:t xml:space="preserve">After the row for </w:t>
      </w:r>
      <w:r w:rsidR="00A765DD" w:rsidRPr="007149C6">
        <w:rPr>
          <w:bCs/>
        </w:rPr>
        <w:t>“</w:t>
      </w:r>
      <w:r w:rsidRPr="002E64A6">
        <w:rPr>
          <w:rFonts w:cs="Arial"/>
          <w:bCs/>
          <w:szCs w:val="22"/>
        </w:rPr>
        <w:t>EN ISO 11118:2015</w:t>
      </w:r>
      <w:r w:rsidR="00135EEB" w:rsidRPr="007149C6">
        <w:rPr>
          <w:bCs/>
        </w:rPr>
        <w:t>”</w:t>
      </w:r>
      <w:r w:rsidRPr="002E64A6">
        <w:rPr>
          <w:rFonts w:cs="Arial"/>
          <w:szCs w:val="22"/>
        </w:rPr>
        <w:t>, insert the following new row:</w:t>
      </w:r>
    </w:p>
    <w:p w14:paraId="7C3800A1" w14:textId="3FCD06FD" w:rsidR="00DF7CF1" w:rsidRPr="002E64A6" w:rsidRDefault="00A765DD" w:rsidP="00DF7CF1">
      <w:pPr>
        <w:widowControl w:val="0"/>
        <w:snapToGrid w:val="0"/>
        <w:spacing w:before="120" w:after="120" w:line="240" w:lineRule="auto"/>
        <w:ind w:left="1800" w:hanging="382"/>
        <w:rPr>
          <w:rFonts w:cs="Arial"/>
          <w:szCs w:val="22"/>
        </w:rPr>
      </w:pPr>
      <w:r w:rsidRPr="007149C6">
        <w:rPr>
          <w:bCs/>
        </w:rPr>
        <w:t>“</w:t>
      </w:r>
    </w:p>
    <w:tbl>
      <w:tblPr>
        <w:tblW w:w="7742" w:type="dxa"/>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8"/>
        <w:gridCol w:w="3402"/>
        <w:gridCol w:w="1012"/>
        <w:gridCol w:w="956"/>
        <w:gridCol w:w="664"/>
      </w:tblGrid>
      <w:tr w:rsidR="00DF7CF1" w:rsidRPr="002E64A6" w14:paraId="17776BEB" w14:textId="77777777" w:rsidTr="009642E8">
        <w:tc>
          <w:tcPr>
            <w:tcW w:w="1708" w:type="dxa"/>
          </w:tcPr>
          <w:p w14:paraId="0B7D2710" w14:textId="77777777" w:rsidR="00DF7CF1" w:rsidRPr="002E64A6" w:rsidRDefault="00DF7CF1" w:rsidP="009642E8">
            <w:pPr>
              <w:widowControl w:val="0"/>
              <w:jc w:val="center"/>
              <w:rPr>
                <w:rFonts w:cs="Arial"/>
                <w:sz w:val="18"/>
                <w:szCs w:val="18"/>
              </w:rPr>
            </w:pPr>
            <w:r w:rsidRPr="002E64A6">
              <w:rPr>
                <w:rFonts w:cs="Arial"/>
                <w:sz w:val="18"/>
                <w:szCs w:val="18"/>
              </w:rPr>
              <w:t>(1)</w:t>
            </w:r>
          </w:p>
        </w:tc>
        <w:tc>
          <w:tcPr>
            <w:tcW w:w="3402" w:type="dxa"/>
          </w:tcPr>
          <w:p w14:paraId="5B504CFB" w14:textId="77777777" w:rsidR="00DF7CF1" w:rsidRPr="002E64A6" w:rsidRDefault="00DF7CF1" w:rsidP="009642E8">
            <w:pPr>
              <w:widowControl w:val="0"/>
              <w:jc w:val="center"/>
              <w:rPr>
                <w:rFonts w:cs="Arial"/>
                <w:sz w:val="18"/>
                <w:szCs w:val="18"/>
              </w:rPr>
            </w:pPr>
            <w:r w:rsidRPr="002E64A6">
              <w:rPr>
                <w:rFonts w:cs="Arial"/>
                <w:sz w:val="18"/>
                <w:szCs w:val="18"/>
              </w:rPr>
              <w:t>(2)</w:t>
            </w:r>
          </w:p>
        </w:tc>
        <w:tc>
          <w:tcPr>
            <w:tcW w:w="1012" w:type="dxa"/>
          </w:tcPr>
          <w:p w14:paraId="32A60D8E" w14:textId="77777777" w:rsidR="00DF7CF1" w:rsidRPr="002E64A6" w:rsidRDefault="00DF7CF1" w:rsidP="009642E8">
            <w:pPr>
              <w:widowControl w:val="0"/>
              <w:jc w:val="center"/>
              <w:rPr>
                <w:rFonts w:cs="Arial"/>
                <w:sz w:val="18"/>
                <w:szCs w:val="18"/>
              </w:rPr>
            </w:pPr>
            <w:r w:rsidRPr="002E64A6">
              <w:rPr>
                <w:rFonts w:cs="Arial"/>
                <w:sz w:val="18"/>
                <w:szCs w:val="18"/>
              </w:rPr>
              <w:t>(3)</w:t>
            </w:r>
          </w:p>
        </w:tc>
        <w:tc>
          <w:tcPr>
            <w:tcW w:w="956" w:type="dxa"/>
          </w:tcPr>
          <w:p w14:paraId="2762C84B" w14:textId="77777777" w:rsidR="00DF7CF1" w:rsidRPr="002E64A6" w:rsidRDefault="00DF7CF1" w:rsidP="009642E8">
            <w:pPr>
              <w:widowControl w:val="0"/>
              <w:jc w:val="center"/>
              <w:rPr>
                <w:rFonts w:cs="Arial"/>
                <w:sz w:val="18"/>
                <w:szCs w:val="18"/>
              </w:rPr>
            </w:pPr>
            <w:r w:rsidRPr="002E64A6">
              <w:rPr>
                <w:rFonts w:cs="Arial"/>
                <w:sz w:val="18"/>
                <w:szCs w:val="18"/>
              </w:rPr>
              <w:t>(4)</w:t>
            </w:r>
          </w:p>
        </w:tc>
        <w:tc>
          <w:tcPr>
            <w:tcW w:w="664" w:type="dxa"/>
          </w:tcPr>
          <w:p w14:paraId="13AAB892" w14:textId="77777777" w:rsidR="00DF7CF1" w:rsidRPr="002E64A6" w:rsidRDefault="00DF7CF1" w:rsidP="009642E8">
            <w:pPr>
              <w:widowControl w:val="0"/>
              <w:jc w:val="center"/>
              <w:rPr>
                <w:rFonts w:cs="Arial"/>
                <w:sz w:val="18"/>
                <w:szCs w:val="18"/>
              </w:rPr>
            </w:pPr>
            <w:r w:rsidRPr="002E64A6">
              <w:rPr>
                <w:rFonts w:cs="Arial"/>
                <w:sz w:val="18"/>
                <w:szCs w:val="18"/>
              </w:rPr>
              <w:t>(5)</w:t>
            </w:r>
          </w:p>
        </w:tc>
      </w:tr>
      <w:tr w:rsidR="00DF7CF1" w:rsidRPr="002E64A6" w14:paraId="3695DFE7" w14:textId="77777777" w:rsidTr="009642E8">
        <w:tc>
          <w:tcPr>
            <w:tcW w:w="1708" w:type="dxa"/>
            <w:vAlign w:val="center"/>
          </w:tcPr>
          <w:p w14:paraId="5B73D6A9" w14:textId="77777777" w:rsidR="00DF7CF1" w:rsidRPr="002E64A6" w:rsidRDefault="00DF7CF1" w:rsidP="009642E8">
            <w:pPr>
              <w:widowControl w:val="0"/>
              <w:rPr>
                <w:rFonts w:cs="Arial"/>
                <w:sz w:val="18"/>
                <w:szCs w:val="18"/>
              </w:rPr>
            </w:pPr>
            <w:r w:rsidRPr="002E64A6">
              <w:rPr>
                <w:bCs/>
                <w:sz w:val="18"/>
                <w:szCs w:val="18"/>
              </w:rPr>
              <w:t>EN ISO 11118:2015 + A1:2020</w:t>
            </w:r>
          </w:p>
        </w:tc>
        <w:tc>
          <w:tcPr>
            <w:tcW w:w="3402" w:type="dxa"/>
            <w:vAlign w:val="center"/>
          </w:tcPr>
          <w:p w14:paraId="05FEE565" w14:textId="77777777" w:rsidR="00DF7CF1" w:rsidRPr="002E64A6" w:rsidRDefault="00DF7CF1" w:rsidP="009642E8">
            <w:pPr>
              <w:widowControl w:val="0"/>
              <w:rPr>
                <w:rFonts w:cs="Arial"/>
                <w:sz w:val="18"/>
                <w:szCs w:val="18"/>
              </w:rPr>
            </w:pPr>
            <w:r w:rsidRPr="002E64A6">
              <w:rPr>
                <w:rFonts w:cs="Arial"/>
                <w:bCs/>
                <w:iCs/>
                <w:sz w:val="18"/>
                <w:szCs w:val="18"/>
              </w:rPr>
              <w:t>Gas cylinders – Non-refillable metallic gas cylinders – Specification and test methods</w:t>
            </w:r>
          </w:p>
        </w:tc>
        <w:tc>
          <w:tcPr>
            <w:tcW w:w="1012" w:type="dxa"/>
            <w:vAlign w:val="center"/>
          </w:tcPr>
          <w:p w14:paraId="1EB2F88F" w14:textId="77777777" w:rsidR="00DF7CF1" w:rsidRPr="002E64A6" w:rsidRDefault="00DF7CF1" w:rsidP="009642E8">
            <w:pPr>
              <w:widowControl w:val="0"/>
              <w:rPr>
                <w:rFonts w:cs="Arial"/>
                <w:sz w:val="18"/>
                <w:szCs w:val="18"/>
              </w:rPr>
            </w:pPr>
            <w:r w:rsidRPr="002E64A6">
              <w:rPr>
                <w:rFonts w:cs="Arial"/>
                <w:sz w:val="18"/>
                <w:szCs w:val="18"/>
              </w:rPr>
              <w:t>6.2.3.1, 6.2.3.3 and 6.2.3.4</w:t>
            </w:r>
          </w:p>
        </w:tc>
        <w:tc>
          <w:tcPr>
            <w:tcW w:w="956" w:type="dxa"/>
            <w:vAlign w:val="center"/>
          </w:tcPr>
          <w:p w14:paraId="52F64783" w14:textId="77777777" w:rsidR="00DF7CF1" w:rsidRPr="002E64A6" w:rsidRDefault="00DF7CF1" w:rsidP="009642E8">
            <w:pPr>
              <w:widowControl w:val="0"/>
              <w:jc w:val="center"/>
              <w:rPr>
                <w:rFonts w:cs="Arial"/>
                <w:sz w:val="18"/>
                <w:szCs w:val="18"/>
              </w:rPr>
            </w:pPr>
            <w:r w:rsidRPr="002E64A6">
              <w:rPr>
                <w:rFonts w:cs="Arial"/>
                <w:bCs/>
                <w:sz w:val="18"/>
                <w:szCs w:val="18"/>
              </w:rPr>
              <w:t>Until further notice</w:t>
            </w:r>
          </w:p>
        </w:tc>
        <w:tc>
          <w:tcPr>
            <w:tcW w:w="664" w:type="dxa"/>
            <w:vAlign w:val="center"/>
          </w:tcPr>
          <w:p w14:paraId="4D2243F5" w14:textId="77777777" w:rsidR="00DF7CF1" w:rsidRPr="002E64A6" w:rsidRDefault="00DF7CF1" w:rsidP="009642E8">
            <w:pPr>
              <w:widowControl w:val="0"/>
              <w:rPr>
                <w:rFonts w:cs="Arial"/>
                <w:sz w:val="18"/>
                <w:szCs w:val="18"/>
              </w:rPr>
            </w:pPr>
          </w:p>
        </w:tc>
      </w:tr>
    </w:tbl>
    <w:p w14:paraId="2EBB68DA" w14:textId="03CC0118" w:rsidR="00DF7CF1" w:rsidRPr="002E64A6" w:rsidRDefault="00135EEB" w:rsidP="0042794A">
      <w:pPr>
        <w:widowControl w:val="0"/>
        <w:snapToGrid w:val="0"/>
        <w:spacing w:before="120" w:after="120" w:line="240" w:lineRule="auto"/>
        <w:ind w:left="1800" w:right="1134" w:hanging="382"/>
        <w:jc w:val="right"/>
        <w:rPr>
          <w:rFonts w:cs="Arial"/>
          <w:szCs w:val="22"/>
        </w:rPr>
      </w:pPr>
      <w:r w:rsidRPr="007149C6">
        <w:rPr>
          <w:bCs/>
        </w:rPr>
        <w:t>”</w:t>
      </w:r>
    </w:p>
    <w:p w14:paraId="66B2350E" w14:textId="4EC6158A" w:rsidR="00DF7CF1" w:rsidRPr="002E64A6" w:rsidRDefault="00DF7CF1" w:rsidP="00DF7CF1">
      <w:pPr>
        <w:widowControl w:val="0"/>
        <w:snapToGrid w:val="0"/>
        <w:spacing w:before="120" w:after="120" w:line="240" w:lineRule="auto"/>
        <w:ind w:left="1819"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14427:2004 + A1:2005</w:t>
      </w:r>
      <w:r w:rsidR="00135EEB" w:rsidRPr="007149C6">
        <w:rPr>
          <w:bCs/>
        </w:rPr>
        <w:t>”</w:t>
      </w:r>
      <w:r w:rsidRPr="002E64A6">
        <w:rPr>
          <w:rFonts w:cs="Arial"/>
          <w:bCs/>
          <w:szCs w:val="22"/>
        </w:rPr>
        <w:t>, in column (5), insert the following text:</w:t>
      </w:r>
    </w:p>
    <w:p w14:paraId="5DAA4D53" w14:textId="3D827FBA" w:rsidR="00DF7CF1" w:rsidRPr="002E64A6" w:rsidRDefault="00A765DD" w:rsidP="00DF7CF1">
      <w:pPr>
        <w:widowControl w:val="0"/>
        <w:snapToGrid w:val="0"/>
        <w:spacing w:before="120" w:after="120" w:line="240" w:lineRule="auto"/>
        <w:ind w:left="1819" w:right="1134"/>
        <w:rPr>
          <w:rFonts w:cs="Arial"/>
          <w:bCs/>
          <w:szCs w:val="22"/>
        </w:rPr>
      </w:pPr>
      <w:r w:rsidRPr="007149C6">
        <w:rPr>
          <w:bCs/>
        </w:rPr>
        <w:t>“</w:t>
      </w:r>
      <w:r w:rsidR="00DF7CF1" w:rsidRPr="002E64A6">
        <w:rPr>
          <w:rFonts w:cs="Arial"/>
          <w:bCs/>
          <w:szCs w:val="22"/>
        </w:rPr>
        <w:t>31 December 2023, for cylinders without a liner, manufactured from two parts joined together”.</w:t>
      </w:r>
    </w:p>
    <w:p w14:paraId="696550ED" w14:textId="5E8B56F8" w:rsidR="00DF7CF1" w:rsidRPr="002E64A6" w:rsidRDefault="00DF7CF1" w:rsidP="00DF7CF1">
      <w:pPr>
        <w:widowControl w:val="0"/>
        <w:snapToGrid w:val="0"/>
        <w:spacing w:before="120" w:after="120" w:line="240" w:lineRule="auto"/>
        <w:ind w:left="1819" w:right="1134"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14427:2014</w:t>
      </w:r>
      <w:r w:rsidR="00135EEB" w:rsidRPr="007149C6">
        <w:rPr>
          <w:bCs/>
        </w:rPr>
        <w:t>”</w:t>
      </w:r>
      <w:r w:rsidRPr="002E64A6">
        <w:rPr>
          <w:rFonts w:cs="Arial"/>
          <w:bCs/>
          <w:szCs w:val="22"/>
        </w:rPr>
        <w:t>, in column (2), add a new Note as follows:</w:t>
      </w:r>
    </w:p>
    <w:p w14:paraId="6EDE83E3" w14:textId="77777777" w:rsidR="00DF7CF1" w:rsidRPr="002E64A6" w:rsidRDefault="00DF7CF1" w:rsidP="00F169FC">
      <w:pPr>
        <w:widowControl w:val="0"/>
        <w:snapToGrid w:val="0"/>
        <w:spacing w:before="120" w:after="120" w:line="240" w:lineRule="auto"/>
        <w:ind w:left="2836" w:right="1134" w:hanging="1017"/>
        <w:jc w:val="both"/>
        <w:rPr>
          <w:rFonts w:cs="Arial"/>
          <w:bCs/>
          <w:szCs w:val="22"/>
        </w:rPr>
      </w:pPr>
      <w:r w:rsidRPr="002E64A6">
        <w:rPr>
          <w:rFonts w:cs="Arial"/>
          <w:bCs/>
          <w:szCs w:val="22"/>
        </w:rPr>
        <w:t>“</w:t>
      </w:r>
      <w:r w:rsidRPr="00F169FC">
        <w:rPr>
          <w:rFonts w:cs="Arial"/>
          <w:b/>
          <w:bCs/>
          <w:i/>
          <w:iCs/>
          <w:szCs w:val="22"/>
        </w:rPr>
        <w:t>NOTE:</w:t>
      </w:r>
      <w:r w:rsidRPr="00F169FC">
        <w:rPr>
          <w:rFonts w:cs="Arial"/>
          <w:bCs/>
          <w:i/>
          <w:iCs/>
          <w:szCs w:val="22"/>
        </w:rPr>
        <w:tab/>
        <w:t>This standard shall not be used for cylinders without a liner, manufactured from two parts joined together</w:t>
      </w:r>
      <w:r w:rsidRPr="002E64A6">
        <w:rPr>
          <w:rFonts w:cs="Arial"/>
          <w:bCs/>
          <w:szCs w:val="22"/>
        </w:rPr>
        <w:t>.”</w:t>
      </w:r>
    </w:p>
    <w:p w14:paraId="69769BF7" w14:textId="4F3D5B4C" w:rsidR="00DF7CF1" w:rsidRPr="002E64A6" w:rsidRDefault="00DF7CF1" w:rsidP="00DF7CF1">
      <w:pPr>
        <w:widowControl w:val="0"/>
        <w:snapToGrid w:val="0"/>
        <w:spacing w:before="120" w:after="120" w:line="240" w:lineRule="auto"/>
        <w:ind w:left="1819" w:right="1134" w:hanging="382"/>
        <w:rPr>
          <w:rFonts w:cs="Arial"/>
          <w:bCs/>
          <w:szCs w:val="22"/>
        </w:rPr>
      </w:pPr>
      <w:r w:rsidRPr="002E64A6">
        <w:rPr>
          <w:rFonts w:cs="Arial"/>
          <w:bCs/>
          <w:szCs w:val="22"/>
        </w:rPr>
        <w:t>–</w:t>
      </w:r>
      <w:r w:rsidRPr="002E64A6">
        <w:rPr>
          <w:rFonts w:cs="Arial"/>
          <w:bCs/>
          <w:szCs w:val="22"/>
        </w:rPr>
        <w:tab/>
        <w:t xml:space="preserve">For </w:t>
      </w:r>
      <w:r w:rsidR="00A765DD" w:rsidRPr="007149C6">
        <w:rPr>
          <w:bCs/>
        </w:rPr>
        <w:t>“</w:t>
      </w:r>
      <w:r w:rsidRPr="002E64A6">
        <w:rPr>
          <w:rFonts w:cs="Arial"/>
          <w:bCs/>
          <w:szCs w:val="22"/>
        </w:rPr>
        <w:t>EN 14427:2014</w:t>
      </w:r>
      <w:r w:rsidR="00135EEB" w:rsidRPr="007149C6">
        <w:rPr>
          <w:bCs/>
        </w:rPr>
        <w:t>”</w:t>
      </w:r>
      <w:r w:rsidRPr="002E64A6">
        <w:rPr>
          <w:rFonts w:cs="Arial"/>
          <w:bCs/>
          <w:szCs w:val="22"/>
        </w:rPr>
        <w:t>, in column (5), insert the following text:</w:t>
      </w:r>
    </w:p>
    <w:p w14:paraId="064A405B" w14:textId="54A67863" w:rsidR="00DF7CF1" w:rsidRPr="002E64A6" w:rsidRDefault="00A765DD" w:rsidP="00DF7CF1">
      <w:pPr>
        <w:widowControl w:val="0"/>
        <w:snapToGrid w:val="0"/>
        <w:spacing w:before="120" w:after="120" w:line="240" w:lineRule="auto"/>
        <w:ind w:left="1819" w:right="1134"/>
        <w:rPr>
          <w:rFonts w:cs="Arial"/>
          <w:bCs/>
          <w:szCs w:val="22"/>
        </w:rPr>
      </w:pPr>
      <w:r w:rsidRPr="007149C6">
        <w:rPr>
          <w:bCs/>
        </w:rPr>
        <w:t>“</w:t>
      </w:r>
      <w:r w:rsidR="00DF7CF1" w:rsidRPr="002E64A6">
        <w:rPr>
          <w:rFonts w:cs="Arial"/>
          <w:bCs/>
          <w:szCs w:val="22"/>
        </w:rPr>
        <w:t>31 December 2023, for cylinders without a liner, manufactured from two parts joined together</w:t>
      </w:r>
      <w:r w:rsidR="00135EEB" w:rsidRPr="007149C6">
        <w:rPr>
          <w:bCs/>
        </w:rPr>
        <w:t>”</w:t>
      </w:r>
      <w:r w:rsidR="00DF7CF1" w:rsidRPr="002E64A6">
        <w:rPr>
          <w:rFonts w:cs="Arial"/>
          <w:bCs/>
          <w:szCs w:val="22"/>
        </w:rPr>
        <w:t>.</w:t>
      </w:r>
    </w:p>
    <w:p w14:paraId="69938C91" w14:textId="03E849AF" w:rsidR="00DF7CF1" w:rsidRPr="002E64A6" w:rsidRDefault="004234FE" w:rsidP="004234FE">
      <w:pPr>
        <w:widowControl w:val="0"/>
        <w:snapToGrid w:val="0"/>
        <w:spacing w:before="120" w:after="120" w:line="240" w:lineRule="auto"/>
        <w:ind w:left="1134" w:right="1134"/>
        <w:rPr>
          <w:rFonts w:cs="Arial"/>
          <w:bCs/>
          <w:i/>
          <w:iCs/>
          <w:szCs w:val="22"/>
        </w:rPr>
      </w:pPr>
      <w:r w:rsidRPr="002E64A6">
        <w:rPr>
          <w:rFonts w:cs="Arial"/>
          <w:bCs/>
          <w:i/>
          <w:iCs/>
          <w:szCs w:val="22"/>
        </w:rPr>
        <w:t>(</w:t>
      </w:r>
      <w:r w:rsidR="00DF7CF1" w:rsidRPr="002E64A6">
        <w:rPr>
          <w:rFonts w:cs="Arial"/>
          <w:bCs/>
          <w:i/>
          <w:iCs/>
          <w:szCs w:val="22"/>
        </w:rPr>
        <w:t>Reference document: informal document INF.5/Rev.1</w:t>
      </w:r>
      <w:r w:rsidRPr="002E64A6">
        <w:rPr>
          <w:rFonts w:cs="Arial"/>
          <w:bCs/>
          <w:i/>
          <w:iCs/>
          <w:szCs w:val="22"/>
        </w:rPr>
        <w:t>)</w:t>
      </w:r>
    </w:p>
    <w:p w14:paraId="5C8488A4" w14:textId="5B983EF2" w:rsidR="00DF7CF1" w:rsidRPr="002E64A6" w:rsidRDefault="00DF7CF1" w:rsidP="00305866">
      <w:pPr>
        <w:snapToGrid w:val="0"/>
        <w:spacing w:before="120" w:after="120" w:line="240" w:lineRule="auto"/>
        <w:ind w:left="1134" w:right="1134"/>
        <w:jc w:val="both"/>
        <w:rPr>
          <w:bCs/>
          <w:lang w:eastAsia="de-CH"/>
        </w:rPr>
      </w:pPr>
      <w:r w:rsidRPr="002E64A6">
        <w:rPr>
          <w:bCs/>
          <w:lang w:eastAsia="de-CH"/>
        </w:rPr>
        <w:t>6.2.5.4.2</w:t>
      </w:r>
      <w:r w:rsidRPr="002E64A6">
        <w:rPr>
          <w:bCs/>
          <w:lang w:eastAsia="de-CH"/>
        </w:rPr>
        <w:tab/>
        <w:t xml:space="preserve">Amend in ECE/TRANS/WP.15/AC.1/158 – OTIF/RID/RC/2020-A </w:t>
      </w:r>
      <w:r w:rsidR="00B17724" w:rsidRPr="002E64A6">
        <w:rPr>
          <w:bCs/>
          <w:lang w:eastAsia="de-CH"/>
        </w:rPr>
        <w:t xml:space="preserve">the amendment </w:t>
      </w:r>
      <w:r w:rsidRPr="002E64A6">
        <w:rPr>
          <w:bCs/>
          <w:lang w:eastAsia="de-CH"/>
        </w:rPr>
        <w:t>to read as follows:</w:t>
      </w:r>
    </w:p>
    <w:p w14:paraId="637ADFFB" w14:textId="057027B2" w:rsidR="00DF7CF1" w:rsidRPr="002E64A6" w:rsidRDefault="00B17724" w:rsidP="00305866">
      <w:pPr>
        <w:snapToGrid w:val="0"/>
        <w:spacing w:before="120" w:after="120" w:line="240" w:lineRule="auto"/>
        <w:ind w:left="1134" w:right="1134"/>
        <w:jc w:val="both"/>
        <w:rPr>
          <w:bCs/>
          <w:lang w:eastAsia="de-CH"/>
        </w:rPr>
      </w:pPr>
      <w:r w:rsidRPr="002E64A6">
        <w:rPr>
          <w:bCs/>
          <w:lang w:eastAsia="de-CH"/>
        </w:rPr>
        <w:t>6.2.5.4.2</w:t>
      </w:r>
      <w:r>
        <w:rPr>
          <w:bCs/>
          <w:lang w:eastAsia="de-CH"/>
        </w:rPr>
        <w:tab/>
      </w:r>
      <w:r w:rsidR="00DF7CF1" w:rsidRPr="002E64A6">
        <w:rPr>
          <w:bCs/>
          <w:lang w:eastAsia="de-CH"/>
        </w:rPr>
        <w:t xml:space="preserve">At the end of the sentence, replace </w:t>
      </w:r>
      <w:r w:rsidR="002F61D0" w:rsidRPr="007149C6">
        <w:rPr>
          <w:bCs/>
        </w:rPr>
        <w:t>“</w:t>
      </w:r>
      <w:r w:rsidR="00DF7CF1" w:rsidRPr="002E64A6">
        <w:rPr>
          <w:bCs/>
          <w:lang w:eastAsia="de-CH"/>
        </w:rPr>
        <w:t xml:space="preserve">(see also </w:t>
      </w:r>
      <w:r w:rsidR="002118CB" w:rsidRPr="002E64A6">
        <w:rPr>
          <w:bCs/>
          <w:lang w:eastAsia="de-CH"/>
        </w:rPr>
        <w:t xml:space="preserve">EN </w:t>
      </w:r>
      <w:r w:rsidR="00DF7CF1" w:rsidRPr="002E64A6">
        <w:rPr>
          <w:bCs/>
          <w:lang w:eastAsia="de-CH"/>
        </w:rPr>
        <w:t>1975:1999 + A1:2003)</w:t>
      </w:r>
      <w:r w:rsidR="0099764E" w:rsidRPr="007149C6">
        <w:rPr>
          <w:bCs/>
        </w:rPr>
        <w:t>”</w:t>
      </w:r>
      <w:r w:rsidR="00DF7CF1" w:rsidRPr="002E64A6">
        <w:rPr>
          <w:bCs/>
          <w:lang w:eastAsia="de-CH"/>
        </w:rPr>
        <w:t xml:space="preserve"> by:</w:t>
      </w:r>
    </w:p>
    <w:p w14:paraId="7BEF894E" w14:textId="22954E61" w:rsidR="00DF7CF1" w:rsidRPr="002E64A6" w:rsidRDefault="00305866" w:rsidP="00305866">
      <w:pPr>
        <w:tabs>
          <w:tab w:val="left" w:pos="2268"/>
        </w:tabs>
        <w:snapToGrid w:val="0"/>
        <w:spacing w:before="120" w:after="120" w:line="240" w:lineRule="auto"/>
        <w:ind w:left="1134" w:right="1134"/>
        <w:jc w:val="both"/>
        <w:rPr>
          <w:bCs/>
          <w:lang w:eastAsia="de-CH"/>
        </w:rPr>
      </w:pPr>
      <w:r w:rsidRPr="002E64A6">
        <w:rPr>
          <w:bCs/>
          <w:lang w:eastAsia="de-CH"/>
        </w:rPr>
        <w:tab/>
      </w:r>
      <w:r w:rsidR="002F61D0" w:rsidRPr="007149C6">
        <w:rPr>
          <w:bCs/>
        </w:rPr>
        <w:t>“</w:t>
      </w:r>
      <w:r w:rsidR="00DF7CF1" w:rsidRPr="002E64A6">
        <w:rPr>
          <w:bCs/>
          <w:lang w:eastAsia="de-CH"/>
        </w:rPr>
        <w:t>(see also EN ISO 7866:2012 + A1:2020)</w:t>
      </w:r>
      <w:r w:rsidR="0099764E" w:rsidRPr="007149C6">
        <w:rPr>
          <w:bCs/>
        </w:rPr>
        <w:t>”</w:t>
      </w:r>
      <w:r w:rsidR="00DF7CF1" w:rsidRPr="002E64A6">
        <w:rPr>
          <w:bCs/>
          <w:lang w:eastAsia="de-CH"/>
        </w:rPr>
        <w:t>.</w:t>
      </w:r>
    </w:p>
    <w:p w14:paraId="2F736F78" w14:textId="6441D2C8" w:rsidR="00DF7CF1" w:rsidRPr="002E64A6" w:rsidRDefault="0042794A" w:rsidP="00305866">
      <w:pPr>
        <w:widowControl w:val="0"/>
        <w:snapToGrid w:val="0"/>
        <w:spacing w:before="120" w:after="120" w:line="240" w:lineRule="auto"/>
        <w:ind w:left="1134" w:right="1134"/>
        <w:rPr>
          <w:rFonts w:cs="Arial"/>
          <w:bCs/>
          <w:i/>
          <w:iCs/>
          <w:szCs w:val="22"/>
        </w:rPr>
      </w:pPr>
      <w:r w:rsidRPr="002E64A6">
        <w:rPr>
          <w:rFonts w:cs="Arial"/>
          <w:bCs/>
          <w:i/>
          <w:iCs/>
          <w:szCs w:val="22"/>
        </w:rPr>
        <w:t>(</w:t>
      </w:r>
      <w:r w:rsidR="00DF7CF1" w:rsidRPr="002E64A6">
        <w:rPr>
          <w:rFonts w:cs="Arial"/>
          <w:bCs/>
          <w:i/>
          <w:iCs/>
          <w:szCs w:val="22"/>
        </w:rPr>
        <w:t>Reference document: informal document INF.5/Rev.1</w:t>
      </w:r>
      <w:r w:rsidRPr="002E64A6">
        <w:rPr>
          <w:rFonts w:cs="Arial"/>
          <w:bCs/>
          <w:i/>
          <w:iCs/>
          <w:szCs w:val="22"/>
        </w:rPr>
        <w:t>)</w:t>
      </w:r>
    </w:p>
    <w:p w14:paraId="219BAF73" w14:textId="77777777" w:rsidR="009642E8" w:rsidRPr="002E64A6" w:rsidRDefault="009642E8" w:rsidP="009642E8">
      <w:pPr>
        <w:pStyle w:val="H23G"/>
        <w:tabs>
          <w:tab w:val="clear" w:pos="851"/>
        </w:tabs>
        <w:kinsoku w:val="0"/>
        <w:overflowPunct w:val="0"/>
        <w:autoSpaceDE w:val="0"/>
        <w:autoSpaceDN w:val="0"/>
        <w:adjustRightInd w:val="0"/>
        <w:snapToGrid w:val="0"/>
        <w:ind w:firstLine="0"/>
        <w:rPr>
          <w:b w:val="0"/>
          <w:lang w:eastAsia="de-CH"/>
        </w:rPr>
      </w:pPr>
      <w:r w:rsidRPr="002E64A6">
        <w:rPr>
          <w:lang w:eastAsia="de-CH"/>
        </w:rPr>
        <w:t>Chapter 6.8</w:t>
      </w:r>
    </w:p>
    <w:p w14:paraId="6B321E49" w14:textId="363CE53E" w:rsidR="00020FE5" w:rsidRDefault="00020FE5" w:rsidP="00020FE5">
      <w:pPr>
        <w:pStyle w:val="SingleTxtG"/>
        <w:rPr>
          <w:lang w:eastAsia="de-CH"/>
        </w:rPr>
      </w:pPr>
      <w:r>
        <w:rPr>
          <w:lang w:eastAsia="de-CH"/>
        </w:rPr>
        <w:t>(ADR only:)</w:t>
      </w:r>
    </w:p>
    <w:p w14:paraId="6CA68313" w14:textId="5BC68D93" w:rsidR="009642E8" w:rsidRPr="002E64A6" w:rsidRDefault="009642E8" w:rsidP="00D05261">
      <w:pPr>
        <w:ind w:left="1134" w:right="1134"/>
        <w:jc w:val="both"/>
        <w:rPr>
          <w:lang w:eastAsia="de-CH"/>
        </w:rPr>
      </w:pPr>
      <w:r w:rsidRPr="002E64A6">
        <w:rPr>
          <w:bCs/>
          <w:lang w:eastAsia="de-CH"/>
        </w:rPr>
        <w:t>6.8.2.1.23</w:t>
      </w:r>
      <w:r w:rsidRPr="002E64A6">
        <w:rPr>
          <w:bCs/>
          <w:lang w:eastAsia="de-CH"/>
        </w:rPr>
        <w:tab/>
      </w:r>
      <w:r w:rsidRPr="002E64A6">
        <w:t>Move the last sentence of the first sub-paragraph to the end of the second sub-paragraph, replacing the colon at the end of the second sub-paragraph with a full stop.</w:t>
      </w:r>
    </w:p>
    <w:p w14:paraId="4AFF67DD" w14:textId="77777777" w:rsidR="009642E8" w:rsidRPr="002E64A6" w:rsidRDefault="009642E8" w:rsidP="009642E8">
      <w:pPr>
        <w:snapToGrid w:val="0"/>
        <w:spacing w:before="120" w:after="120" w:line="240" w:lineRule="auto"/>
        <w:ind w:left="2268" w:right="1134" w:hanging="1134"/>
        <w:jc w:val="both"/>
      </w:pPr>
      <w:r w:rsidRPr="002E64A6">
        <w:tab/>
        <w:t>Insert the following new sub-paragraph immediately before the final sub-paragraph:</w:t>
      </w:r>
    </w:p>
    <w:p w14:paraId="43405BC8" w14:textId="595C47BF" w:rsidR="009642E8" w:rsidRPr="002E64A6" w:rsidRDefault="00AC1CFC" w:rsidP="00AC1CFC">
      <w:pPr>
        <w:tabs>
          <w:tab w:val="left" w:pos="2977"/>
          <w:tab w:val="left" w:pos="4395"/>
        </w:tabs>
        <w:snapToGrid w:val="0"/>
        <w:spacing w:before="120" w:after="120" w:line="240" w:lineRule="auto"/>
        <w:ind w:left="2268" w:right="1134" w:hanging="1134"/>
        <w:jc w:val="both"/>
        <w:rPr>
          <w:iCs/>
        </w:rPr>
      </w:pPr>
      <w:r w:rsidRPr="002E64A6">
        <w:rPr>
          <w:iCs/>
        </w:rPr>
        <w:lastRenderedPageBreak/>
        <w:tab/>
      </w:r>
      <w:r w:rsidR="009642E8" w:rsidRPr="002E64A6">
        <w:rPr>
          <w:iCs/>
        </w:rPr>
        <w:t>“Welds made during repairs or alterations shall be assessed as above and in accordance with the non-destructive tests specified in the relevant standard(s) referenced in 6.8.2.6.2.”</w:t>
      </w:r>
    </w:p>
    <w:p w14:paraId="170DE0F9" w14:textId="77777777" w:rsidR="009642E8" w:rsidRPr="002E64A6" w:rsidRDefault="009642E8" w:rsidP="009642E8">
      <w:pPr>
        <w:snapToGrid w:val="0"/>
        <w:spacing w:before="120" w:after="120" w:line="240" w:lineRule="auto"/>
        <w:ind w:left="1134" w:right="1134"/>
        <w:jc w:val="both"/>
        <w:rPr>
          <w:i/>
          <w:iCs/>
        </w:rPr>
      </w:pPr>
      <w:r w:rsidRPr="002E64A6">
        <w:rPr>
          <w:i/>
          <w:iCs/>
        </w:rPr>
        <w:t>(Reference document: informal document INF.11, as amended by informal document INF.43)</w:t>
      </w:r>
    </w:p>
    <w:p w14:paraId="0A7C77B8" w14:textId="41600860" w:rsidR="009642E8" w:rsidRPr="002E64A6" w:rsidRDefault="009642E8" w:rsidP="009642E8">
      <w:pPr>
        <w:snapToGrid w:val="0"/>
        <w:spacing w:before="120" w:after="120" w:line="240" w:lineRule="auto"/>
        <w:ind w:left="2268" w:right="1134" w:hanging="1134"/>
        <w:jc w:val="both"/>
      </w:pPr>
      <w:r w:rsidRPr="002E64A6">
        <w:t>6.8.2.2.2</w:t>
      </w:r>
      <w:r w:rsidRPr="002E64A6">
        <w:tab/>
        <w:t xml:space="preserve">At the end of the </w:t>
      </w:r>
      <w:r w:rsidR="002F61D0">
        <w:t>seventh</w:t>
      </w:r>
      <w:r w:rsidRPr="002E64A6">
        <w:t xml:space="preserve"> sub-paragraph ("The position and/or direction of closure of shut-off devices shall be clearly apparent."), insert a reference to the following footnote:</w:t>
      </w:r>
    </w:p>
    <w:p w14:paraId="6409775A" w14:textId="18DED0D3" w:rsidR="009642E8" w:rsidRPr="002E64A6" w:rsidRDefault="006773CE" w:rsidP="007059B3">
      <w:pPr>
        <w:tabs>
          <w:tab w:val="left" w:pos="1701"/>
          <w:tab w:val="left" w:pos="2977"/>
          <w:tab w:val="left" w:pos="4395"/>
        </w:tabs>
        <w:snapToGrid w:val="0"/>
        <w:spacing w:before="120" w:after="120" w:line="240" w:lineRule="auto"/>
        <w:ind w:left="1134" w:right="1134"/>
        <w:jc w:val="both"/>
        <w:rPr>
          <w:i/>
          <w:iCs/>
        </w:rPr>
      </w:pPr>
      <w:proofErr w:type="gramStart"/>
      <w:r w:rsidRPr="002E64A6">
        <w:rPr>
          <w:iCs/>
        </w:rPr>
        <w:t xml:space="preserve">“ </w:t>
      </w:r>
      <w:r w:rsidR="009642E8" w:rsidRPr="002E64A6">
        <w:rPr>
          <w:i/>
          <w:iCs/>
          <w:vertAlign w:val="superscript"/>
        </w:rPr>
        <w:t>9</w:t>
      </w:r>
      <w:proofErr w:type="gramEnd"/>
      <w:r w:rsidR="007059B3">
        <w:rPr>
          <w:i/>
          <w:iCs/>
          <w:vertAlign w:val="superscript"/>
        </w:rPr>
        <w:tab/>
      </w:r>
      <w:r w:rsidR="009642E8" w:rsidRPr="002E64A6">
        <w:rPr>
          <w:i/>
          <w:iCs/>
        </w:rPr>
        <w:t>The mode of operation of dry break couplings is self-closing. Consequently, an open/closed indicator is not necessary. This type of closure shall only be used as a second or third closure.</w:t>
      </w:r>
      <w:r w:rsidRPr="002E64A6">
        <w:rPr>
          <w:iCs/>
        </w:rPr>
        <w:t>”</w:t>
      </w:r>
    </w:p>
    <w:p w14:paraId="5A34A9A9" w14:textId="77777777" w:rsidR="009642E8" w:rsidRPr="002E64A6" w:rsidRDefault="009642E8" w:rsidP="009642E8">
      <w:pPr>
        <w:snapToGrid w:val="0"/>
        <w:spacing w:before="120" w:after="120" w:line="240" w:lineRule="auto"/>
        <w:ind w:left="1134" w:right="1134"/>
        <w:jc w:val="both"/>
        <w:rPr>
          <w:i/>
        </w:rPr>
      </w:pPr>
      <w:r w:rsidRPr="002E64A6">
        <w:rPr>
          <w:i/>
        </w:rPr>
        <w:t>(Reference document: informal document INF.14, as amended by informal document INF.43)</w:t>
      </w:r>
    </w:p>
    <w:p w14:paraId="315D9CCD" w14:textId="77777777" w:rsidR="009642E8" w:rsidRPr="002E64A6" w:rsidRDefault="009642E8" w:rsidP="009642E8">
      <w:pPr>
        <w:snapToGrid w:val="0"/>
        <w:spacing w:before="120" w:after="120" w:line="240" w:lineRule="auto"/>
        <w:ind w:left="2268" w:hanging="1134"/>
        <w:rPr>
          <w:rFonts w:cs="Arial"/>
          <w:szCs w:val="22"/>
        </w:rPr>
      </w:pPr>
      <w:r w:rsidRPr="002E64A6">
        <w:rPr>
          <w:rFonts w:cs="Arial"/>
          <w:szCs w:val="22"/>
        </w:rPr>
        <w:t>6.8.2.2.4</w:t>
      </w:r>
      <w:r w:rsidRPr="002E64A6">
        <w:rPr>
          <w:rFonts w:cs="Arial"/>
          <w:szCs w:val="22"/>
        </w:rPr>
        <w:tab/>
        <w:t>After the first sentence, insert in the right-hand column:</w:t>
      </w:r>
    </w:p>
    <w:tbl>
      <w:tblPr>
        <w:tblW w:w="8246" w:type="dxa"/>
        <w:tblInd w:w="993" w:type="dxa"/>
        <w:tblLayout w:type="fixed"/>
        <w:tblCellMar>
          <w:left w:w="71" w:type="dxa"/>
          <w:right w:w="71" w:type="dxa"/>
        </w:tblCellMar>
        <w:tblLook w:val="0000" w:firstRow="0" w:lastRow="0" w:firstColumn="0" w:lastColumn="0" w:noHBand="0" w:noVBand="0"/>
      </w:tblPr>
      <w:tblGrid>
        <w:gridCol w:w="3685"/>
        <w:gridCol w:w="4561"/>
      </w:tblGrid>
      <w:tr w:rsidR="006773CE" w:rsidRPr="002E64A6" w14:paraId="3FAB3474" w14:textId="77777777" w:rsidTr="006773CE">
        <w:trPr>
          <w:cantSplit/>
        </w:trPr>
        <w:tc>
          <w:tcPr>
            <w:tcW w:w="3685" w:type="dxa"/>
            <w:tcBorders>
              <w:right w:val="single" w:sz="4" w:space="0" w:color="auto"/>
            </w:tcBorders>
          </w:tcPr>
          <w:p w14:paraId="30CEFC91" w14:textId="77777777" w:rsidR="006773CE" w:rsidRPr="002E64A6" w:rsidRDefault="006773CE" w:rsidP="009642E8"/>
        </w:tc>
        <w:tc>
          <w:tcPr>
            <w:tcW w:w="4561" w:type="dxa"/>
            <w:tcBorders>
              <w:left w:val="single" w:sz="4" w:space="0" w:color="auto"/>
            </w:tcBorders>
          </w:tcPr>
          <w:p w14:paraId="0FBC2384" w14:textId="114C7282" w:rsidR="006773CE" w:rsidRPr="002E64A6" w:rsidRDefault="006773CE" w:rsidP="006773CE">
            <w:pPr>
              <w:tabs>
                <w:tab w:val="left" w:pos="1418"/>
                <w:tab w:val="left" w:pos="2977"/>
                <w:tab w:val="left" w:pos="4395"/>
              </w:tabs>
              <w:ind w:right="519"/>
              <w:jc w:val="both"/>
            </w:pPr>
            <w:r w:rsidRPr="002E64A6">
              <w:rPr>
                <w:rFonts w:cs="Arial"/>
                <w:b/>
                <w:szCs w:val="22"/>
              </w:rPr>
              <w:t>[</w:t>
            </w:r>
            <w:r w:rsidRPr="002E64A6">
              <w:rPr>
                <w:iCs/>
              </w:rPr>
              <w:t>“</w:t>
            </w:r>
            <w:r w:rsidRPr="002E64A6">
              <w:rPr>
                <w:rFonts w:cs="Arial"/>
                <w:szCs w:val="22"/>
              </w:rPr>
              <w:t xml:space="preserve">These openings for tank-containers with </w:t>
            </w:r>
            <w:r w:rsidRPr="002E64A6">
              <w:rPr>
                <w:rFonts w:cs="Arial"/>
                <w:b/>
                <w:szCs w:val="22"/>
              </w:rPr>
              <w:t>[</w:t>
            </w:r>
            <w:r w:rsidRPr="002E64A6">
              <w:rPr>
                <w:rFonts w:cs="Arial"/>
                <w:szCs w:val="22"/>
              </w:rPr>
              <w:t>a capacity of more than 40</w:t>
            </w:r>
            <w:r w:rsidR="003F56A5">
              <w:rPr>
                <w:rFonts w:cs="Arial"/>
                <w:szCs w:val="22"/>
              </w:rPr>
              <w:t> </w:t>
            </w:r>
            <w:r w:rsidRPr="002E64A6">
              <w:rPr>
                <w:rFonts w:cs="Arial"/>
                <w:szCs w:val="22"/>
              </w:rPr>
              <w:t>000 litres / a gross weight of more than 36</w:t>
            </w:r>
            <w:r w:rsidR="003F56A5">
              <w:rPr>
                <w:rFonts w:cs="Arial"/>
                <w:szCs w:val="22"/>
              </w:rPr>
              <w:t> </w:t>
            </w:r>
            <w:r w:rsidRPr="002E64A6">
              <w:rPr>
                <w:rFonts w:cs="Arial"/>
                <w:szCs w:val="22"/>
              </w:rPr>
              <w:t>000 kg</w:t>
            </w:r>
            <w:r w:rsidRPr="002E64A6">
              <w:rPr>
                <w:rFonts w:cs="Arial"/>
                <w:b/>
                <w:szCs w:val="22"/>
              </w:rPr>
              <w:t>]</w:t>
            </w:r>
            <w:r w:rsidRPr="002E64A6">
              <w:rPr>
                <w:rFonts w:cs="Arial"/>
                <w:szCs w:val="22"/>
              </w:rPr>
              <w:t xml:space="preserve"> intended for the carriage of </w:t>
            </w:r>
            <w:r w:rsidRPr="002E64A6">
              <w:rPr>
                <w:rFonts w:cs="Arial"/>
                <w:b/>
                <w:szCs w:val="22"/>
              </w:rPr>
              <w:t>[</w:t>
            </w:r>
            <w:r w:rsidRPr="002E64A6">
              <w:rPr>
                <w:rFonts w:cs="Arial"/>
                <w:szCs w:val="22"/>
              </w:rPr>
              <w:t>liquids</w:t>
            </w:r>
            <w:r w:rsidRPr="002E64A6">
              <w:rPr>
                <w:rFonts w:cs="Arial"/>
                <w:b/>
                <w:szCs w:val="22"/>
              </w:rPr>
              <w:t>]</w:t>
            </w:r>
            <w:r w:rsidRPr="002E64A6">
              <w:rPr>
                <w:rFonts w:cs="Arial"/>
                <w:szCs w:val="22"/>
              </w:rPr>
              <w:t xml:space="preserve"> / </w:t>
            </w:r>
            <w:r w:rsidRPr="002E64A6">
              <w:rPr>
                <w:rFonts w:cs="Arial"/>
                <w:b/>
                <w:szCs w:val="22"/>
              </w:rPr>
              <w:t>[</w:t>
            </w:r>
            <w:r w:rsidRPr="002E64A6">
              <w:rPr>
                <w:rFonts w:cs="Arial"/>
                <w:szCs w:val="22"/>
              </w:rPr>
              <w:t>substances in the liquid state</w:t>
            </w:r>
            <w:r w:rsidRPr="002E64A6">
              <w:rPr>
                <w:rFonts w:cs="Arial"/>
                <w:b/>
                <w:szCs w:val="22"/>
              </w:rPr>
              <w:t>]</w:t>
            </w:r>
            <w:r w:rsidRPr="002E64A6">
              <w:rPr>
                <w:rFonts w:cs="Arial"/>
                <w:szCs w:val="22"/>
              </w:rPr>
              <w:t xml:space="preserve"> which are not divided by partitions or surge plates into sections of not more than 7</w:t>
            </w:r>
            <w:r w:rsidR="003F56A5">
              <w:rPr>
                <w:rFonts w:cs="Arial"/>
                <w:szCs w:val="22"/>
              </w:rPr>
              <w:t> </w:t>
            </w:r>
            <w:r w:rsidRPr="002E64A6">
              <w:rPr>
                <w:rFonts w:cs="Arial"/>
                <w:szCs w:val="22"/>
              </w:rPr>
              <w:t>500 litres capacity shall be provided with closures designed for a test pressure of at least 0.4 MPa (4 bar). Hinged dome covers for these tank-containers with a test pressure of more than 0.6 MPa (6 bar) shall not be permitted.</w:t>
            </w:r>
            <w:r w:rsidRPr="002E64A6">
              <w:rPr>
                <w:iCs/>
              </w:rPr>
              <w:t>”</w:t>
            </w:r>
            <w:r w:rsidRPr="002E64A6">
              <w:rPr>
                <w:rFonts w:cs="Arial"/>
                <w:b/>
                <w:szCs w:val="22"/>
              </w:rPr>
              <w:t>]</w:t>
            </w:r>
          </w:p>
        </w:tc>
      </w:tr>
    </w:tbl>
    <w:p w14:paraId="26081425" w14:textId="77777777" w:rsidR="009642E8" w:rsidRPr="002E64A6" w:rsidRDefault="009642E8" w:rsidP="009642E8">
      <w:pPr>
        <w:snapToGrid w:val="0"/>
        <w:spacing w:before="120" w:after="120" w:line="240" w:lineRule="auto"/>
        <w:ind w:left="1134" w:right="1134"/>
        <w:rPr>
          <w:rFonts w:cs="Arial"/>
          <w:i/>
          <w:szCs w:val="22"/>
        </w:rPr>
      </w:pPr>
      <w:r w:rsidRPr="002E64A6">
        <w:rPr>
          <w:rFonts w:cs="Arial"/>
          <w:i/>
          <w:szCs w:val="22"/>
        </w:rPr>
        <w:t>(Reference document: ECE/TRANS/WP.15/AC.1/2021/8, as amended by informal document INF.43)</w:t>
      </w:r>
    </w:p>
    <w:p w14:paraId="1EF9864B" w14:textId="3106F0A8" w:rsidR="009642E8" w:rsidRPr="002E64A6" w:rsidRDefault="009642E8" w:rsidP="006773CE">
      <w:pPr>
        <w:snapToGrid w:val="0"/>
        <w:spacing w:before="120" w:after="120" w:line="240" w:lineRule="auto"/>
        <w:ind w:left="2268" w:right="1134" w:hanging="1134"/>
        <w:rPr>
          <w:rFonts w:cs="Arial"/>
          <w:bCs/>
          <w:szCs w:val="22"/>
        </w:rPr>
      </w:pPr>
      <w:r w:rsidRPr="002E64A6">
        <w:rPr>
          <w:rFonts w:cs="Arial"/>
          <w:bCs/>
          <w:szCs w:val="22"/>
        </w:rPr>
        <w:t>6.8.2.4.3</w:t>
      </w:r>
      <w:r w:rsidRPr="002E64A6">
        <w:rPr>
          <w:rFonts w:cs="Arial"/>
          <w:bCs/>
          <w:szCs w:val="22"/>
        </w:rPr>
        <w:tab/>
        <w:t xml:space="preserve">In the first sub-paragraph, in the first sentence, replace </w:t>
      </w:r>
      <w:r w:rsidR="002F61D0" w:rsidRPr="007149C6">
        <w:rPr>
          <w:bCs/>
        </w:rPr>
        <w:t>“</w:t>
      </w:r>
      <w:r w:rsidRPr="002E64A6">
        <w:rPr>
          <w:rFonts w:cs="Arial"/>
          <w:bCs/>
          <w:szCs w:val="22"/>
        </w:rPr>
        <w:t>at least every</w:t>
      </w:r>
      <w:r w:rsidR="003C3B5E" w:rsidRPr="007149C6">
        <w:rPr>
          <w:bCs/>
        </w:rPr>
        <w:t>”</w:t>
      </w:r>
      <w:r w:rsidRPr="002E64A6">
        <w:rPr>
          <w:rFonts w:cs="Arial"/>
          <w:bCs/>
          <w:szCs w:val="22"/>
        </w:rPr>
        <w:t xml:space="preserve"> by:</w:t>
      </w:r>
    </w:p>
    <w:p w14:paraId="65A19D39" w14:textId="6C045F90"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no later than</w:t>
      </w:r>
      <w:r w:rsidR="00EB4D5D" w:rsidRPr="007149C6">
        <w:rPr>
          <w:bCs/>
        </w:rPr>
        <w:t>”</w:t>
      </w:r>
      <w:r w:rsidR="009642E8" w:rsidRPr="002E64A6">
        <w:rPr>
          <w:rFonts w:cs="Arial"/>
          <w:bCs/>
          <w:szCs w:val="22"/>
        </w:rPr>
        <w:t>.</w:t>
      </w:r>
    </w:p>
    <w:p w14:paraId="04197378" w14:textId="7AF5CD18" w:rsidR="009642E8" w:rsidRPr="002E64A6" w:rsidRDefault="009642E8" w:rsidP="006773CE">
      <w:pPr>
        <w:snapToGrid w:val="0"/>
        <w:spacing w:before="120" w:after="120" w:line="240" w:lineRule="auto"/>
        <w:ind w:left="2268" w:right="1134"/>
        <w:rPr>
          <w:rFonts w:cs="Arial"/>
          <w:bCs/>
          <w:szCs w:val="22"/>
        </w:rPr>
      </w:pPr>
      <w:r w:rsidRPr="002E64A6">
        <w:rPr>
          <w:rFonts w:cs="Arial"/>
          <w:bCs/>
          <w:szCs w:val="22"/>
        </w:rPr>
        <w:t xml:space="preserve">In the third sub-paragraph, replace </w:t>
      </w:r>
      <w:r w:rsidR="002F61D0" w:rsidRPr="007149C6">
        <w:rPr>
          <w:bCs/>
        </w:rPr>
        <w:t>“</w:t>
      </w:r>
      <w:r w:rsidRPr="002E64A6">
        <w:rPr>
          <w:rFonts w:cs="Arial"/>
          <w:bCs/>
          <w:szCs w:val="22"/>
        </w:rPr>
        <w:t>the due date</w:t>
      </w:r>
      <w:r w:rsidR="00EB4D5D" w:rsidRPr="007149C6">
        <w:rPr>
          <w:bCs/>
        </w:rPr>
        <w:t>”</w:t>
      </w:r>
      <w:r w:rsidRPr="002E64A6">
        <w:rPr>
          <w:rFonts w:cs="Arial"/>
          <w:bCs/>
          <w:szCs w:val="22"/>
        </w:rPr>
        <w:t xml:space="preserve"> by:</w:t>
      </w:r>
    </w:p>
    <w:p w14:paraId="5F6F7B50" w14:textId="643DD38D"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the specified date</w:t>
      </w:r>
      <w:r w:rsidR="00EB4D5D" w:rsidRPr="007149C6">
        <w:rPr>
          <w:bCs/>
        </w:rPr>
        <w:t>”</w:t>
      </w:r>
      <w:r w:rsidR="009642E8" w:rsidRPr="002E64A6">
        <w:rPr>
          <w:rFonts w:cs="Arial"/>
          <w:bCs/>
          <w:szCs w:val="22"/>
        </w:rPr>
        <w:t>.</w:t>
      </w:r>
    </w:p>
    <w:p w14:paraId="52DA9928" w14:textId="513A7700" w:rsidR="009642E8" w:rsidRPr="002E64A6" w:rsidRDefault="009642E8" w:rsidP="006773CE">
      <w:pPr>
        <w:snapToGrid w:val="0"/>
        <w:spacing w:before="120" w:after="120" w:line="240" w:lineRule="auto"/>
        <w:ind w:left="2268" w:right="1134"/>
        <w:rPr>
          <w:rFonts w:cs="Arial"/>
          <w:bCs/>
          <w:szCs w:val="22"/>
        </w:rPr>
      </w:pPr>
      <w:r w:rsidRPr="002E64A6">
        <w:rPr>
          <w:rFonts w:cs="Arial"/>
          <w:bCs/>
          <w:szCs w:val="22"/>
        </w:rPr>
        <w:t xml:space="preserve">In the third sub-paragraph, replace </w:t>
      </w:r>
      <w:r w:rsidR="002F61D0" w:rsidRPr="007149C6">
        <w:rPr>
          <w:bCs/>
        </w:rPr>
        <w:t>“</w:t>
      </w:r>
      <w:r w:rsidRPr="002E64A6">
        <w:rPr>
          <w:rFonts w:cs="Arial"/>
          <w:bCs/>
          <w:szCs w:val="22"/>
        </w:rPr>
        <w:t>at the latest every</w:t>
      </w:r>
      <w:r w:rsidR="00EB4D5D" w:rsidRPr="007149C6">
        <w:rPr>
          <w:bCs/>
        </w:rPr>
        <w:t>”</w:t>
      </w:r>
      <w:r w:rsidRPr="002E64A6">
        <w:rPr>
          <w:rFonts w:cs="Arial"/>
          <w:bCs/>
          <w:szCs w:val="22"/>
        </w:rPr>
        <w:t xml:space="preserve"> by:</w:t>
      </w:r>
    </w:p>
    <w:p w14:paraId="27327F5B" w14:textId="3698BA32"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no later than</w:t>
      </w:r>
      <w:r w:rsidR="001C33AC" w:rsidRPr="007149C6">
        <w:rPr>
          <w:bCs/>
        </w:rPr>
        <w:t>”</w:t>
      </w:r>
      <w:r w:rsidR="009642E8" w:rsidRPr="002E64A6">
        <w:rPr>
          <w:rFonts w:cs="Arial"/>
          <w:bCs/>
          <w:szCs w:val="22"/>
        </w:rPr>
        <w:t>.</w:t>
      </w:r>
    </w:p>
    <w:p w14:paraId="574C8825" w14:textId="56C53D09" w:rsidR="009642E8" w:rsidRPr="002E64A6" w:rsidRDefault="009642E8" w:rsidP="006773CE">
      <w:pPr>
        <w:snapToGrid w:val="0"/>
        <w:spacing w:before="120" w:after="120" w:line="240" w:lineRule="auto"/>
        <w:ind w:left="2268" w:right="1134"/>
        <w:rPr>
          <w:rFonts w:cs="Arial"/>
          <w:bCs/>
          <w:szCs w:val="22"/>
        </w:rPr>
      </w:pPr>
      <w:r w:rsidRPr="002E64A6">
        <w:rPr>
          <w:rFonts w:cs="Arial"/>
          <w:bCs/>
          <w:szCs w:val="22"/>
        </w:rPr>
        <w:t xml:space="preserve">In the third sub-paragraph, replace </w:t>
      </w:r>
      <w:r w:rsidR="002F61D0" w:rsidRPr="007149C6">
        <w:rPr>
          <w:bCs/>
        </w:rPr>
        <w:t>“</w:t>
      </w:r>
      <w:r w:rsidRPr="002E64A6">
        <w:rPr>
          <w:rFonts w:cs="Arial"/>
          <w:bCs/>
          <w:szCs w:val="22"/>
        </w:rPr>
        <w:t>after this date</w:t>
      </w:r>
      <w:r w:rsidR="00EB4D5D" w:rsidRPr="007149C6">
        <w:rPr>
          <w:bCs/>
        </w:rPr>
        <w:t>”</w:t>
      </w:r>
      <w:r w:rsidRPr="002E64A6">
        <w:rPr>
          <w:rFonts w:cs="Arial"/>
          <w:bCs/>
          <w:szCs w:val="22"/>
        </w:rPr>
        <w:t xml:space="preserve"> by:</w:t>
      </w:r>
    </w:p>
    <w:p w14:paraId="2E0FD539" w14:textId="1918A682" w:rsidR="009642E8" w:rsidRPr="002E64A6" w:rsidRDefault="002F61D0" w:rsidP="006773CE">
      <w:pPr>
        <w:snapToGrid w:val="0"/>
        <w:spacing w:before="120" w:after="120" w:line="240" w:lineRule="auto"/>
        <w:ind w:left="2268" w:right="1134"/>
        <w:rPr>
          <w:rFonts w:cs="Arial"/>
          <w:bCs/>
          <w:szCs w:val="22"/>
        </w:rPr>
      </w:pPr>
      <w:r w:rsidRPr="007149C6">
        <w:rPr>
          <w:bCs/>
        </w:rPr>
        <w:t>“</w:t>
      </w:r>
      <w:r w:rsidR="009642E8" w:rsidRPr="002E64A6">
        <w:rPr>
          <w:rFonts w:cs="Arial"/>
          <w:bCs/>
          <w:szCs w:val="22"/>
        </w:rPr>
        <w:t>after this earlier date</w:t>
      </w:r>
      <w:r w:rsidR="00EB4D5D" w:rsidRPr="007149C6">
        <w:rPr>
          <w:bCs/>
        </w:rPr>
        <w:t>”</w:t>
      </w:r>
      <w:r w:rsidR="009642E8" w:rsidRPr="002E64A6">
        <w:rPr>
          <w:rFonts w:cs="Arial"/>
          <w:bCs/>
          <w:szCs w:val="22"/>
        </w:rPr>
        <w:t>.</w:t>
      </w:r>
    </w:p>
    <w:p w14:paraId="3073C71F" w14:textId="7F08F9AD" w:rsidR="009642E8" w:rsidRPr="002E64A6" w:rsidRDefault="006773CE" w:rsidP="006773CE">
      <w:pPr>
        <w:snapToGrid w:val="0"/>
        <w:spacing w:before="120" w:after="120" w:line="240" w:lineRule="auto"/>
        <w:ind w:left="1134" w:right="1134"/>
        <w:jc w:val="both"/>
        <w:rPr>
          <w:rFonts w:cs="Arial"/>
          <w:i/>
          <w:szCs w:val="22"/>
        </w:rPr>
      </w:pPr>
      <w:r w:rsidRPr="002E64A6">
        <w:rPr>
          <w:rFonts w:cs="Arial"/>
          <w:i/>
          <w:szCs w:val="22"/>
        </w:rPr>
        <w:t>(</w:t>
      </w:r>
      <w:r w:rsidR="009642E8" w:rsidRPr="002E64A6">
        <w:rPr>
          <w:rFonts w:cs="Arial"/>
          <w:i/>
          <w:szCs w:val="22"/>
        </w:rPr>
        <w:t>Reference document: ECE/TRANS/WP.15/AC.1/2021/19, as amended by informal document INF.43</w:t>
      </w:r>
      <w:r w:rsidRPr="002E64A6">
        <w:rPr>
          <w:rFonts w:cs="Arial"/>
          <w:i/>
          <w:szCs w:val="22"/>
        </w:rPr>
        <w:t>)</w:t>
      </w:r>
    </w:p>
    <w:p w14:paraId="64AABAD0" w14:textId="5BB0F419" w:rsidR="009642E8" w:rsidRPr="002E64A6" w:rsidRDefault="009642E8" w:rsidP="006773CE">
      <w:pPr>
        <w:ind w:left="2268" w:right="1134" w:hanging="1134"/>
        <w:rPr>
          <w:bCs/>
          <w:lang w:eastAsia="de-CH"/>
        </w:rPr>
      </w:pPr>
      <w:r w:rsidRPr="002E64A6">
        <w:rPr>
          <w:bCs/>
          <w:lang w:eastAsia="de-CH"/>
        </w:rPr>
        <w:t>[6.8.2.6.2</w:t>
      </w:r>
      <w:r w:rsidRPr="002E64A6">
        <w:rPr>
          <w:bCs/>
          <w:lang w:eastAsia="de-CH"/>
        </w:rPr>
        <w:tab/>
        <w:t xml:space="preserve">In the Table, for </w:t>
      </w:r>
      <w:r w:rsidR="001C33AC" w:rsidRPr="007149C6">
        <w:rPr>
          <w:bCs/>
        </w:rPr>
        <w:t>“</w:t>
      </w:r>
      <w:r w:rsidRPr="002E64A6">
        <w:rPr>
          <w:bCs/>
          <w:lang w:eastAsia="de-CH"/>
        </w:rPr>
        <w:t>EN 12972:2018</w:t>
      </w:r>
      <w:r w:rsidR="00EB4D5D" w:rsidRPr="007149C6">
        <w:rPr>
          <w:bCs/>
        </w:rPr>
        <w:t>”</w:t>
      </w:r>
      <w:r w:rsidRPr="002E64A6">
        <w:rPr>
          <w:bCs/>
          <w:lang w:eastAsia="de-CH"/>
        </w:rPr>
        <w:t>, replace the entry in column (3) to read:</w:t>
      </w:r>
    </w:p>
    <w:p w14:paraId="04CDB381" w14:textId="663D733C" w:rsidR="009642E8" w:rsidRPr="002E64A6" w:rsidRDefault="002F61D0" w:rsidP="006773CE">
      <w:pPr>
        <w:snapToGrid w:val="0"/>
        <w:spacing w:before="120" w:after="120" w:line="240" w:lineRule="auto"/>
        <w:ind w:left="2268" w:right="1134"/>
        <w:rPr>
          <w:bCs/>
          <w:lang w:eastAsia="de-CH"/>
        </w:rPr>
      </w:pPr>
      <w:r w:rsidRPr="007149C6">
        <w:rPr>
          <w:bCs/>
        </w:rPr>
        <w:t>“</w:t>
      </w:r>
      <w:r w:rsidR="009642E8" w:rsidRPr="002E64A6">
        <w:rPr>
          <w:bCs/>
          <w:lang w:eastAsia="de-CH"/>
        </w:rPr>
        <w:t>6.8.2.1.23</w:t>
      </w:r>
    </w:p>
    <w:p w14:paraId="626C0B97" w14:textId="77777777" w:rsidR="009642E8" w:rsidRPr="002E64A6" w:rsidRDefault="009642E8" w:rsidP="006773CE">
      <w:pPr>
        <w:snapToGrid w:val="0"/>
        <w:spacing w:before="120" w:after="120" w:line="240" w:lineRule="auto"/>
        <w:ind w:left="2268" w:right="1134"/>
        <w:rPr>
          <w:bCs/>
          <w:lang w:eastAsia="de-CH"/>
        </w:rPr>
      </w:pPr>
      <w:r w:rsidRPr="002E64A6">
        <w:rPr>
          <w:bCs/>
          <w:lang w:eastAsia="de-CH"/>
        </w:rPr>
        <w:t>6.8.2.4</w:t>
      </w:r>
    </w:p>
    <w:p w14:paraId="660594BE" w14:textId="6F6C3D33" w:rsidR="009642E8" w:rsidRPr="002E64A6" w:rsidRDefault="009642E8" w:rsidP="006773CE">
      <w:pPr>
        <w:snapToGrid w:val="0"/>
        <w:spacing w:before="120" w:after="120" w:line="240" w:lineRule="auto"/>
        <w:ind w:left="2268" w:right="1134"/>
        <w:rPr>
          <w:bCs/>
          <w:lang w:eastAsia="de-CH"/>
        </w:rPr>
      </w:pPr>
      <w:r w:rsidRPr="002E64A6">
        <w:rPr>
          <w:bCs/>
          <w:lang w:eastAsia="de-CH"/>
        </w:rPr>
        <w:t>6.8.3.4</w:t>
      </w:r>
      <w:r w:rsidR="00EB4D5D" w:rsidRPr="007149C6">
        <w:rPr>
          <w:bCs/>
        </w:rPr>
        <w:t>”</w:t>
      </w:r>
      <w:r w:rsidRPr="002E64A6">
        <w:rPr>
          <w:bCs/>
          <w:lang w:eastAsia="de-CH"/>
        </w:rPr>
        <w:t>.]</w:t>
      </w:r>
    </w:p>
    <w:p w14:paraId="7F2824A5" w14:textId="77777777" w:rsidR="009642E8" w:rsidRPr="002E64A6" w:rsidRDefault="009642E8" w:rsidP="006773CE">
      <w:pPr>
        <w:snapToGrid w:val="0"/>
        <w:spacing w:before="120" w:after="120" w:line="240" w:lineRule="auto"/>
        <w:ind w:left="1134" w:right="1134"/>
        <w:jc w:val="both"/>
        <w:rPr>
          <w:rFonts w:cs="Arial"/>
          <w:bCs/>
          <w:i/>
          <w:szCs w:val="22"/>
        </w:rPr>
      </w:pPr>
      <w:r w:rsidRPr="002E64A6">
        <w:rPr>
          <w:rFonts w:cs="Arial"/>
          <w:bCs/>
          <w:i/>
          <w:szCs w:val="22"/>
        </w:rPr>
        <w:t>(Reference document: informal document INF.11, as amended by informal document INF.43)</w:t>
      </w:r>
    </w:p>
    <w:p w14:paraId="4212D629" w14:textId="77777777" w:rsidR="009642E8" w:rsidRPr="002E64A6" w:rsidRDefault="009642E8" w:rsidP="006773CE">
      <w:pPr>
        <w:ind w:left="2268" w:right="1134" w:hanging="1134"/>
        <w:jc w:val="both"/>
        <w:rPr>
          <w:rFonts w:cs="Arial"/>
          <w:bCs/>
          <w:szCs w:val="22"/>
        </w:rPr>
      </w:pPr>
      <w:r w:rsidRPr="002E64A6">
        <w:rPr>
          <w:rFonts w:cs="Arial"/>
          <w:bCs/>
          <w:szCs w:val="22"/>
        </w:rPr>
        <w:t>6.8.3.4.6</w:t>
      </w:r>
      <w:r w:rsidRPr="002E64A6">
        <w:rPr>
          <w:rFonts w:cs="Arial"/>
          <w:bCs/>
          <w:szCs w:val="22"/>
        </w:rPr>
        <w:tab/>
        <w:t>Amend the text in the report ECE/TRANS/WP.15/AC.1/</w:t>
      </w:r>
      <w:r w:rsidRPr="002E64A6">
        <w:rPr>
          <w:bCs/>
        </w:rPr>
        <w:t>158</w:t>
      </w:r>
      <w:r w:rsidRPr="002E64A6">
        <w:rPr>
          <w:rFonts w:cs="Arial"/>
          <w:bCs/>
          <w:szCs w:val="22"/>
        </w:rPr>
        <w:t xml:space="preserve"> – OTIF/RID/RC/2020-A to read as follows:</w:t>
      </w:r>
    </w:p>
    <w:p w14:paraId="05E23C04" w14:textId="1E56F9B9" w:rsidR="007853E9" w:rsidRDefault="007853E9" w:rsidP="007853E9">
      <w:pPr>
        <w:tabs>
          <w:tab w:val="left" w:pos="1418"/>
          <w:tab w:val="left" w:pos="2268"/>
        </w:tabs>
        <w:snapToGrid w:val="0"/>
        <w:spacing w:before="120" w:after="120" w:line="240" w:lineRule="auto"/>
        <w:ind w:left="1134" w:right="1134"/>
        <w:rPr>
          <w:rFonts w:cs="Arial"/>
          <w:bCs/>
          <w:szCs w:val="22"/>
        </w:rPr>
      </w:pPr>
      <w:r>
        <w:rPr>
          <w:rFonts w:cs="Arial"/>
          <w:bCs/>
          <w:szCs w:val="22"/>
        </w:rPr>
        <w:t>“6.8.3.4.6</w:t>
      </w:r>
      <w:r>
        <w:rPr>
          <w:rFonts w:cs="Arial"/>
          <w:bCs/>
          <w:szCs w:val="22"/>
        </w:rPr>
        <w:tab/>
        <w:t>Amend to read as follows:</w:t>
      </w:r>
    </w:p>
    <w:p w14:paraId="67AEC56C" w14:textId="3CD6575C" w:rsidR="009642E8" w:rsidRPr="002E64A6" w:rsidRDefault="009642E8" w:rsidP="006773CE">
      <w:pPr>
        <w:tabs>
          <w:tab w:val="left" w:pos="1418"/>
          <w:tab w:val="left" w:pos="2977"/>
          <w:tab w:val="left" w:pos="4395"/>
        </w:tabs>
        <w:snapToGrid w:val="0"/>
        <w:spacing w:before="120" w:after="120" w:line="240" w:lineRule="auto"/>
        <w:ind w:left="1134" w:right="1134"/>
        <w:rPr>
          <w:rFonts w:cs="Arial"/>
          <w:bCs/>
          <w:szCs w:val="22"/>
        </w:rPr>
      </w:pPr>
      <w:r w:rsidRPr="002E64A6">
        <w:rPr>
          <w:rFonts w:cs="Arial"/>
          <w:bCs/>
          <w:szCs w:val="22"/>
        </w:rPr>
        <w:t>(RID:)</w:t>
      </w:r>
    </w:p>
    <w:p w14:paraId="36D8BAF8" w14:textId="77777777" w:rsidR="009642E8" w:rsidRPr="002E64A6" w:rsidRDefault="009642E8" w:rsidP="006773CE">
      <w:pPr>
        <w:ind w:left="2268" w:right="1134" w:hanging="1134"/>
        <w:rPr>
          <w:rFonts w:cs="Arial"/>
          <w:bCs/>
          <w:szCs w:val="22"/>
        </w:rPr>
      </w:pPr>
      <w:r w:rsidRPr="002E64A6">
        <w:rPr>
          <w:rFonts w:cs="Arial"/>
          <w:bCs/>
          <w:szCs w:val="22"/>
        </w:rPr>
        <w:t>“6.8.3.4.6</w:t>
      </w:r>
      <w:r w:rsidRPr="002E64A6">
        <w:rPr>
          <w:rFonts w:cs="Arial"/>
          <w:bCs/>
          <w:szCs w:val="22"/>
        </w:rPr>
        <w:tab/>
        <w:t>For tanks intended for the carriage of refrigerated liquefied gases:</w:t>
      </w:r>
    </w:p>
    <w:p w14:paraId="3D9222CB" w14:textId="14F53D91" w:rsidR="009642E8" w:rsidRPr="002E64A6" w:rsidRDefault="005F778F" w:rsidP="005F778F">
      <w:pPr>
        <w:tabs>
          <w:tab w:val="left" w:pos="2835"/>
        </w:tabs>
        <w:snapToGrid w:val="0"/>
        <w:spacing w:before="120" w:after="120" w:line="240" w:lineRule="auto"/>
        <w:ind w:left="2268" w:right="1134" w:hanging="1134"/>
        <w:jc w:val="both"/>
        <w:rPr>
          <w:rFonts w:cs="Arial"/>
          <w:szCs w:val="22"/>
        </w:rPr>
      </w:pPr>
      <w:r w:rsidRPr="002E64A6">
        <w:rPr>
          <w:rFonts w:cs="Arial"/>
          <w:szCs w:val="22"/>
        </w:rPr>
        <w:lastRenderedPageBreak/>
        <w:tab/>
      </w:r>
      <w:r w:rsidR="009642E8" w:rsidRPr="002E64A6">
        <w:rPr>
          <w:rFonts w:cs="Arial"/>
          <w:szCs w:val="22"/>
        </w:rPr>
        <w:t>(a)</w:t>
      </w:r>
      <w:r w:rsidR="009642E8" w:rsidRPr="002E64A6">
        <w:rPr>
          <w:rFonts w:cs="Arial"/>
          <w:szCs w:val="22"/>
        </w:rPr>
        <w:tab/>
        <w:t>By derogation from the requirements of 6.8.2.4.2, the periodic inspections shall be performed no later than eight years after the initial inspection and thereafter no later than every 12 years.</w:t>
      </w:r>
    </w:p>
    <w:p w14:paraId="2A4D9EFD" w14:textId="1F4791FC" w:rsidR="009642E8" w:rsidRPr="002E64A6" w:rsidRDefault="005F778F" w:rsidP="005F778F">
      <w:pPr>
        <w:tabs>
          <w:tab w:val="left" w:pos="2835"/>
        </w:tabs>
        <w:snapToGrid w:val="0"/>
        <w:spacing w:before="120" w:after="120" w:line="240" w:lineRule="auto"/>
        <w:ind w:left="2268" w:right="1134" w:hanging="1134"/>
        <w:jc w:val="both"/>
        <w:rPr>
          <w:rFonts w:cs="Arial"/>
          <w:szCs w:val="22"/>
        </w:rPr>
      </w:pPr>
      <w:r w:rsidRPr="002E64A6">
        <w:rPr>
          <w:rFonts w:cs="Arial"/>
          <w:szCs w:val="22"/>
        </w:rPr>
        <w:tab/>
      </w:r>
      <w:r w:rsidR="009642E8" w:rsidRPr="002E64A6">
        <w:rPr>
          <w:rFonts w:cs="Arial"/>
          <w:szCs w:val="22"/>
        </w:rPr>
        <w:t>(b)</w:t>
      </w:r>
      <w:r w:rsidR="009642E8" w:rsidRPr="002E64A6">
        <w:rPr>
          <w:rFonts w:cs="Arial"/>
          <w:szCs w:val="22"/>
        </w:rPr>
        <w:tab/>
        <w:t>By derogation from the requirements of 6.8.2.4.3, the intermediate inspections shall be performed no later than six years after each periodic inspection.”</w:t>
      </w:r>
    </w:p>
    <w:p w14:paraId="7ED91032" w14:textId="77777777" w:rsidR="009642E8" w:rsidRPr="002E64A6" w:rsidRDefault="009642E8" w:rsidP="005F778F">
      <w:pPr>
        <w:tabs>
          <w:tab w:val="left" w:pos="1418"/>
          <w:tab w:val="left" w:pos="2835"/>
          <w:tab w:val="left" w:pos="2977"/>
          <w:tab w:val="left" w:pos="4395"/>
        </w:tabs>
        <w:snapToGrid w:val="0"/>
        <w:spacing w:before="120" w:after="120" w:line="240" w:lineRule="auto"/>
        <w:ind w:left="2268" w:right="1134" w:hanging="1134"/>
        <w:rPr>
          <w:rFonts w:cs="Arial"/>
          <w:szCs w:val="22"/>
        </w:rPr>
      </w:pPr>
      <w:r w:rsidRPr="002E64A6">
        <w:rPr>
          <w:rFonts w:cs="Arial"/>
          <w:szCs w:val="22"/>
        </w:rPr>
        <w:t>(ADR:)</w:t>
      </w:r>
    </w:p>
    <w:p w14:paraId="684F4885" w14:textId="77777777" w:rsidR="009642E8" w:rsidRPr="002E64A6" w:rsidRDefault="009642E8" w:rsidP="005F778F">
      <w:pPr>
        <w:tabs>
          <w:tab w:val="left" w:pos="2835"/>
        </w:tabs>
        <w:ind w:left="2268" w:right="1134" w:hanging="1134"/>
        <w:rPr>
          <w:rFonts w:cs="Arial"/>
          <w:szCs w:val="22"/>
        </w:rPr>
      </w:pPr>
      <w:r w:rsidRPr="002E64A6">
        <w:rPr>
          <w:rFonts w:cs="Arial"/>
          <w:szCs w:val="22"/>
        </w:rPr>
        <w:t>“6.8.3.4.6</w:t>
      </w:r>
      <w:r w:rsidRPr="002E64A6">
        <w:rPr>
          <w:rFonts w:cs="Arial"/>
          <w:szCs w:val="22"/>
        </w:rPr>
        <w:tab/>
        <w:t>For tanks intended for the carriage of refrigerated liquefied gases:</w:t>
      </w:r>
    </w:p>
    <w:p w14:paraId="449E07FC" w14:textId="17B82DC4" w:rsidR="009642E8" w:rsidRPr="002E64A6" w:rsidRDefault="005F778F" w:rsidP="005F778F">
      <w:pPr>
        <w:tabs>
          <w:tab w:val="left" w:pos="2835"/>
        </w:tabs>
        <w:snapToGrid w:val="0"/>
        <w:spacing w:before="120" w:after="120" w:line="240" w:lineRule="auto"/>
        <w:ind w:left="2268" w:right="1134" w:hanging="1134"/>
        <w:rPr>
          <w:rFonts w:cs="Arial"/>
          <w:szCs w:val="22"/>
        </w:rPr>
      </w:pPr>
      <w:r w:rsidRPr="002E64A6">
        <w:rPr>
          <w:rFonts w:cs="Arial"/>
          <w:szCs w:val="22"/>
        </w:rPr>
        <w:tab/>
      </w:r>
      <w:r w:rsidR="009642E8" w:rsidRPr="002E64A6">
        <w:rPr>
          <w:rFonts w:cs="Arial"/>
          <w:szCs w:val="22"/>
        </w:rPr>
        <w:t>(a)</w:t>
      </w:r>
      <w:r w:rsidR="009642E8" w:rsidRPr="002E64A6">
        <w:rPr>
          <w:rFonts w:cs="Arial"/>
          <w:szCs w:val="22"/>
        </w:rPr>
        <w:tab/>
        <w:t>By derogation from the requirements of 6.8.2.4.2, the periodic inspections shall be performed no later than</w:t>
      </w:r>
    </w:p>
    <w:tbl>
      <w:tblPr>
        <w:tblW w:w="6662" w:type="dxa"/>
        <w:tblInd w:w="1843" w:type="dxa"/>
        <w:tblLook w:val="01E0" w:firstRow="1" w:lastRow="1" w:firstColumn="1" w:lastColumn="1" w:noHBand="0" w:noVBand="0"/>
      </w:tblPr>
      <w:tblGrid>
        <w:gridCol w:w="3260"/>
        <w:gridCol w:w="3402"/>
      </w:tblGrid>
      <w:tr w:rsidR="009642E8" w:rsidRPr="002E64A6" w14:paraId="7AA5CCEF" w14:textId="77777777" w:rsidTr="005F778F">
        <w:tc>
          <w:tcPr>
            <w:tcW w:w="3260" w:type="dxa"/>
            <w:tcBorders>
              <w:right w:val="single" w:sz="4" w:space="0" w:color="auto"/>
            </w:tcBorders>
          </w:tcPr>
          <w:p w14:paraId="7DA51713" w14:textId="77777777" w:rsidR="009642E8" w:rsidRPr="002E64A6" w:rsidRDefault="009642E8" w:rsidP="009642E8">
            <w:pPr>
              <w:tabs>
                <w:tab w:val="left" w:pos="315"/>
                <w:tab w:val="left" w:pos="2977"/>
                <w:tab w:val="left" w:pos="4395"/>
              </w:tabs>
              <w:rPr>
                <w:rFonts w:cs="Arial"/>
                <w:szCs w:val="22"/>
              </w:rPr>
            </w:pPr>
            <w:r w:rsidRPr="002E64A6">
              <w:rPr>
                <w:rFonts w:cs="Arial"/>
                <w:iCs/>
                <w:szCs w:val="22"/>
              </w:rPr>
              <w:tab/>
            </w:r>
            <w:r w:rsidRPr="002E64A6">
              <w:rPr>
                <w:rFonts w:cs="Arial"/>
                <w:szCs w:val="22"/>
              </w:rPr>
              <w:t>six years</w:t>
            </w:r>
          </w:p>
        </w:tc>
        <w:tc>
          <w:tcPr>
            <w:tcW w:w="3402" w:type="dxa"/>
            <w:tcBorders>
              <w:left w:val="single" w:sz="4" w:space="0" w:color="auto"/>
            </w:tcBorders>
          </w:tcPr>
          <w:p w14:paraId="41732D83" w14:textId="77777777" w:rsidR="009642E8" w:rsidRPr="002E64A6" w:rsidRDefault="009642E8" w:rsidP="009642E8">
            <w:pPr>
              <w:tabs>
                <w:tab w:val="left" w:pos="1416"/>
                <w:tab w:val="left" w:pos="2977"/>
                <w:tab w:val="left" w:pos="4395"/>
              </w:tabs>
              <w:rPr>
                <w:rFonts w:cs="Arial"/>
                <w:szCs w:val="22"/>
              </w:rPr>
            </w:pPr>
            <w:r w:rsidRPr="002E64A6">
              <w:rPr>
                <w:rFonts w:cs="Arial"/>
                <w:szCs w:val="22"/>
              </w:rPr>
              <w:t>eight years</w:t>
            </w:r>
          </w:p>
        </w:tc>
      </w:tr>
    </w:tbl>
    <w:p w14:paraId="45B3DE91" w14:textId="356686E6" w:rsidR="009642E8" w:rsidRPr="002E64A6" w:rsidRDefault="005F778F" w:rsidP="005F778F">
      <w:pPr>
        <w:tabs>
          <w:tab w:val="left" w:pos="2835"/>
        </w:tabs>
        <w:snapToGrid w:val="0"/>
        <w:spacing w:before="120" w:after="120" w:line="240" w:lineRule="auto"/>
        <w:ind w:left="2268" w:right="1134" w:hanging="1134"/>
        <w:rPr>
          <w:rFonts w:cs="Arial"/>
          <w:szCs w:val="22"/>
        </w:rPr>
      </w:pPr>
      <w:r w:rsidRPr="002E64A6">
        <w:rPr>
          <w:rFonts w:cs="Arial"/>
          <w:szCs w:val="22"/>
        </w:rPr>
        <w:tab/>
      </w:r>
      <w:r w:rsidR="009642E8" w:rsidRPr="002E64A6">
        <w:rPr>
          <w:rFonts w:cs="Arial"/>
          <w:szCs w:val="22"/>
        </w:rPr>
        <w:t>after the initial inspection and thereafter no later than every 12 years.</w:t>
      </w:r>
    </w:p>
    <w:p w14:paraId="206E3054" w14:textId="2EFD000E" w:rsidR="009642E8" w:rsidRPr="002E64A6" w:rsidRDefault="005F778F" w:rsidP="005F778F">
      <w:pPr>
        <w:tabs>
          <w:tab w:val="left" w:pos="2835"/>
        </w:tabs>
        <w:snapToGrid w:val="0"/>
        <w:spacing w:before="120" w:after="120" w:line="240" w:lineRule="auto"/>
        <w:ind w:left="2268" w:right="1134" w:hanging="1134"/>
        <w:rPr>
          <w:rFonts w:cs="Arial"/>
          <w:szCs w:val="22"/>
        </w:rPr>
      </w:pPr>
      <w:r w:rsidRPr="002E64A6">
        <w:rPr>
          <w:rFonts w:cs="Arial"/>
          <w:szCs w:val="22"/>
        </w:rPr>
        <w:tab/>
      </w:r>
      <w:r w:rsidR="009642E8" w:rsidRPr="002E64A6">
        <w:rPr>
          <w:rFonts w:cs="Arial"/>
          <w:szCs w:val="22"/>
        </w:rPr>
        <w:t>(b)</w:t>
      </w:r>
      <w:r w:rsidR="009642E8" w:rsidRPr="002E64A6">
        <w:rPr>
          <w:rFonts w:cs="Arial"/>
          <w:szCs w:val="22"/>
        </w:rPr>
        <w:tab/>
        <w:t>By derogation from the requirements of 6.8.2.4.3, the intermediate inspections shall be performed no later than six years after each periodic inspection</w:t>
      </w:r>
      <w:r w:rsidR="009642E8" w:rsidRPr="002E64A6">
        <w:rPr>
          <w:rFonts w:cs="Arial"/>
          <w:szCs w:val="22"/>
        </w:rPr>
        <w:t>.”</w:t>
      </w:r>
      <w:r w:rsidR="0018355C">
        <w:rPr>
          <w:rFonts w:cs="Arial"/>
          <w:szCs w:val="22"/>
        </w:rPr>
        <w:t>.”</w:t>
      </w:r>
    </w:p>
    <w:p w14:paraId="3E40BD37" w14:textId="227E6F8E" w:rsidR="009642E8" w:rsidRPr="002E64A6" w:rsidRDefault="009642E8" w:rsidP="009642E8">
      <w:pPr>
        <w:snapToGrid w:val="0"/>
        <w:spacing w:before="120" w:after="120" w:line="240" w:lineRule="auto"/>
        <w:ind w:left="1134" w:right="1134"/>
        <w:jc w:val="both"/>
        <w:rPr>
          <w:rFonts w:cs="Arial"/>
          <w:i/>
          <w:iCs/>
          <w:szCs w:val="22"/>
        </w:rPr>
      </w:pPr>
      <w:r w:rsidRPr="002E64A6">
        <w:rPr>
          <w:rFonts w:cs="Arial"/>
          <w:i/>
          <w:iCs/>
          <w:szCs w:val="22"/>
        </w:rPr>
        <w:t>(Reference documents: informal document INF.64</w:t>
      </w:r>
      <w:r w:rsidR="00B20499">
        <w:rPr>
          <w:rFonts w:cs="Arial"/>
          <w:i/>
          <w:iCs/>
          <w:szCs w:val="22"/>
        </w:rPr>
        <w:t xml:space="preserve"> of the autumn 2020 Joint Meeting</w:t>
      </w:r>
      <w:r w:rsidRPr="002E64A6">
        <w:rPr>
          <w:rFonts w:cs="Arial"/>
          <w:i/>
          <w:iCs/>
          <w:szCs w:val="22"/>
        </w:rPr>
        <w:t>, ECE/TRANS/WP.15/AC.1/2020/1 and ECE/TRANS/WP.15/AC.1/2020/7, ECE/TRANS/WP.15/AC.1/2021/19, as amended by informal document INF.43)</w:t>
      </w:r>
    </w:p>
    <w:p w14:paraId="404CE49A" w14:textId="77777777" w:rsidR="009642E8" w:rsidRPr="002E64A6" w:rsidRDefault="009642E8" w:rsidP="009642E8">
      <w:pPr>
        <w:snapToGrid w:val="0"/>
        <w:spacing w:before="120" w:after="120" w:line="240" w:lineRule="auto"/>
        <w:ind w:left="2268" w:right="1134" w:hanging="1134"/>
        <w:rPr>
          <w:szCs w:val="22"/>
        </w:rPr>
      </w:pPr>
      <w:r w:rsidRPr="002E64A6">
        <w:rPr>
          <w:szCs w:val="22"/>
        </w:rPr>
        <w:t>6.8.4 (d)</w:t>
      </w:r>
    </w:p>
    <w:p w14:paraId="60EAC647" w14:textId="4884762A"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3</w:t>
      </w:r>
      <w:r w:rsidRPr="002E64A6">
        <w:rPr>
          <w:rFonts w:cs="Arial"/>
          <w:szCs w:val="22"/>
        </w:rPr>
        <w:tab/>
      </w:r>
      <w:r w:rsidRPr="002E64A6">
        <w:rPr>
          <w:rFonts w:cs="Arial"/>
          <w:szCs w:val="22"/>
        </w:rPr>
        <w:tab/>
        <w:t>In the first sentence &lt;</w:t>
      </w:r>
      <w:r w:rsidR="005F778F" w:rsidRPr="002E64A6">
        <w:rPr>
          <w:rFonts w:cs="Arial"/>
          <w:szCs w:val="22"/>
        </w:rPr>
        <w:t xml:space="preserve"> </w:t>
      </w:r>
      <w:r w:rsidRPr="002E64A6">
        <w:rPr>
          <w:rFonts w:cs="Arial"/>
          <w:szCs w:val="22"/>
        </w:rPr>
        <w:t xml:space="preserve">(RID:) of the right-hand column&gt;, replace </w:t>
      </w:r>
      <w:r w:rsidR="00AE7339" w:rsidRPr="007149C6">
        <w:rPr>
          <w:bCs/>
        </w:rPr>
        <w:t>“</w:t>
      </w:r>
      <w:r w:rsidRPr="002E64A6">
        <w:rPr>
          <w:rFonts w:cs="Arial"/>
          <w:szCs w:val="22"/>
        </w:rPr>
        <w:t>shall take place at least</w:t>
      </w:r>
      <w:r w:rsidR="004F3D63" w:rsidRPr="007149C6">
        <w:rPr>
          <w:bCs/>
        </w:rPr>
        <w:t>”</w:t>
      </w:r>
      <w:r w:rsidRPr="002E64A6">
        <w:rPr>
          <w:rFonts w:cs="Arial"/>
          <w:szCs w:val="22"/>
        </w:rPr>
        <w:t xml:space="preserve"> by:</w:t>
      </w:r>
    </w:p>
    <w:p w14:paraId="29C585EF" w14:textId="19B07FA5" w:rsidR="009642E8" w:rsidRPr="002E64A6" w:rsidRDefault="00AE7339"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4F3D63" w:rsidRPr="007149C6">
        <w:rPr>
          <w:bCs/>
        </w:rPr>
        <w:t>”</w:t>
      </w:r>
      <w:r w:rsidR="009642E8" w:rsidRPr="002E64A6">
        <w:rPr>
          <w:rFonts w:cs="Arial"/>
          <w:szCs w:val="22"/>
        </w:rPr>
        <w:t>.</w:t>
      </w:r>
    </w:p>
    <w:p w14:paraId="19AFEA22" w14:textId="352DDA0B" w:rsidR="009642E8" w:rsidRPr="002E64A6" w:rsidRDefault="009642E8" w:rsidP="009642E8">
      <w:pPr>
        <w:snapToGrid w:val="0"/>
        <w:spacing w:before="120" w:after="120" w:line="240" w:lineRule="auto"/>
        <w:ind w:left="2268" w:right="1134"/>
        <w:rPr>
          <w:rFonts w:cs="Arial"/>
          <w:szCs w:val="22"/>
        </w:rPr>
      </w:pPr>
      <w:r w:rsidRPr="002E64A6">
        <w:rPr>
          <w:rFonts w:cs="Arial"/>
          <w:szCs w:val="22"/>
        </w:rPr>
        <w:t>In the second sentence &lt;</w:t>
      </w:r>
      <w:r w:rsidR="005F778F" w:rsidRPr="002E64A6">
        <w:rPr>
          <w:rFonts w:cs="Arial"/>
          <w:szCs w:val="22"/>
        </w:rPr>
        <w:t xml:space="preserve"> </w:t>
      </w:r>
      <w:r w:rsidRPr="002E64A6">
        <w:rPr>
          <w:rFonts w:cs="Arial"/>
          <w:szCs w:val="22"/>
        </w:rPr>
        <w:t xml:space="preserve">(RID:) of the right-hand column&gt;, replace </w:t>
      </w:r>
      <w:r w:rsidR="003B0B31" w:rsidRPr="007149C6">
        <w:rPr>
          <w:bCs/>
        </w:rPr>
        <w:t>“</w:t>
      </w:r>
      <w:r w:rsidRPr="002E64A6">
        <w:rPr>
          <w:rFonts w:cs="Arial"/>
          <w:szCs w:val="22"/>
        </w:rPr>
        <w:t>shall be carried out at least</w:t>
      </w:r>
      <w:r w:rsidR="004F3D63" w:rsidRPr="007149C6">
        <w:rPr>
          <w:bCs/>
        </w:rPr>
        <w:t>”</w:t>
      </w:r>
      <w:r w:rsidRPr="002E64A6">
        <w:rPr>
          <w:rFonts w:cs="Arial"/>
          <w:szCs w:val="22"/>
        </w:rPr>
        <w:t xml:space="preserve"> by:</w:t>
      </w:r>
    </w:p>
    <w:p w14:paraId="0CB5D8B2" w14:textId="170ABE5B" w:rsidR="009642E8" w:rsidRPr="002E64A6" w:rsidRDefault="00AE7339"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4F3D63" w:rsidRPr="007149C6">
        <w:rPr>
          <w:bCs/>
        </w:rPr>
        <w:t>”</w:t>
      </w:r>
      <w:r w:rsidR="009642E8" w:rsidRPr="002E64A6">
        <w:rPr>
          <w:rFonts w:cs="Arial"/>
          <w:szCs w:val="22"/>
        </w:rPr>
        <w:t>.</w:t>
      </w:r>
    </w:p>
    <w:p w14:paraId="3746DCF0"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3496A679" w14:textId="77777777" w:rsidR="009642E8" w:rsidRPr="002E64A6" w:rsidRDefault="009642E8" w:rsidP="009642E8">
      <w:pPr>
        <w:tabs>
          <w:tab w:val="left" w:pos="1418"/>
          <w:tab w:val="left" w:pos="2977"/>
          <w:tab w:val="left" w:pos="4395"/>
        </w:tabs>
        <w:snapToGrid w:val="0"/>
        <w:spacing w:before="120" w:after="120" w:line="240" w:lineRule="auto"/>
        <w:ind w:left="1134"/>
        <w:rPr>
          <w:rFonts w:cs="Arial"/>
          <w:szCs w:val="22"/>
        </w:rPr>
      </w:pPr>
      <w:r w:rsidRPr="002E64A6">
        <w:rPr>
          <w:rFonts w:cs="Arial"/>
          <w:szCs w:val="22"/>
        </w:rPr>
        <w:t>(RID only:)</w:t>
      </w:r>
    </w:p>
    <w:p w14:paraId="127D4E25" w14:textId="57B0A688" w:rsidR="009642E8" w:rsidRPr="002E64A6" w:rsidRDefault="009642E8" w:rsidP="009642E8">
      <w:pPr>
        <w:snapToGrid w:val="0"/>
        <w:spacing w:before="120" w:after="120" w:line="240" w:lineRule="auto"/>
        <w:ind w:left="2268" w:hanging="1134"/>
        <w:rPr>
          <w:rFonts w:cs="Arial"/>
          <w:szCs w:val="22"/>
        </w:rPr>
      </w:pPr>
      <w:r w:rsidRPr="002E64A6">
        <w:rPr>
          <w:rFonts w:cs="Arial"/>
          <w:szCs w:val="22"/>
        </w:rPr>
        <w:t>TT 4</w:t>
      </w:r>
      <w:r w:rsidRPr="002E64A6">
        <w:rPr>
          <w:rFonts w:cs="Arial"/>
          <w:szCs w:val="22"/>
        </w:rPr>
        <w:tab/>
      </w:r>
      <w:r w:rsidRPr="002E64A6">
        <w:rPr>
          <w:rFonts w:cs="Arial"/>
          <w:szCs w:val="22"/>
        </w:rPr>
        <w:tab/>
        <w:t xml:space="preserve">Before </w:t>
      </w:r>
      <w:r w:rsidR="00AE7339" w:rsidRPr="007149C6">
        <w:rPr>
          <w:bCs/>
        </w:rPr>
        <w:t>“</w:t>
      </w:r>
      <w:r w:rsidRPr="002E64A6">
        <w:rPr>
          <w:rFonts w:cs="Arial"/>
          <w:szCs w:val="22"/>
        </w:rPr>
        <w:t>every</w:t>
      </w:r>
      <w:r w:rsidR="004F3D63" w:rsidRPr="007149C6">
        <w:rPr>
          <w:bCs/>
        </w:rPr>
        <w:t>”</w:t>
      </w:r>
      <w:r w:rsidRPr="002E64A6">
        <w:rPr>
          <w:rFonts w:cs="Arial"/>
          <w:szCs w:val="22"/>
        </w:rPr>
        <w:t>, insert:</w:t>
      </w:r>
    </w:p>
    <w:p w14:paraId="6C2BA147" w14:textId="2DA83B08" w:rsidR="009642E8" w:rsidRPr="002E64A6" w:rsidRDefault="00AE7339"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no later than</w:t>
      </w:r>
      <w:r w:rsidR="004F3D63" w:rsidRPr="007149C6">
        <w:rPr>
          <w:bCs/>
        </w:rPr>
        <w:t>”</w:t>
      </w:r>
      <w:r w:rsidR="009642E8" w:rsidRPr="002E64A6">
        <w:rPr>
          <w:rFonts w:cs="Arial"/>
          <w:szCs w:val="22"/>
        </w:rPr>
        <w:t>.</w:t>
      </w:r>
    </w:p>
    <w:p w14:paraId="60D717B4"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36B5386C" w14:textId="4CB5B9D0"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5</w:t>
      </w:r>
      <w:r w:rsidRPr="002E64A6">
        <w:rPr>
          <w:rFonts w:cs="Arial"/>
          <w:szCs w:val="22"/>
        </w:rPr>
        <w:tab/>
      </w:r>
      <w:r w:rsidRPr="002E64A6">
        <w:rPr>
          <w:rFonts w:cs="Arial"/>
          <w:szCs w:val="22"/>
        </w:rPr>
        <w:tab/>
        <w:t xml:space="preserve">Replace </w:t>
      </w:r>
      <w:r w:rsidR="00664865" w:rsidRPr="007149C6">
        <w:rPr>
          <w:bCs/>
        </w:rPr>
        <w:t>“</w:t>
      </w:r>
      <w:r w:rsidRPr="002E64A6">
        <w:rPr>
          <w:rFonts w:cs="Arial"/>
          <w:szCs w:val="22"/>
        </w:rPr>
        <w:t xml:space="preserve">shall </w:t>
      </w:r>
      <w:r w:rsidR="00FE17CE">
        <w:rPr>
          <w:rFonts w:cs="Arial"/>
          <w:szCs w:val="22"/>
        </w:rPr>
        <w:t>take place</w:t>
      </w:r>
      <w:r w:rsidRPr="002E64A6">
        <w:rPr>
          <w:rFonts w:cs="Arial"/>
          <w:szCs w:val="22"/>
        </w:rPr>
        <w:t xml:space="preserve"> at least</w:t>
      </w:r>
      <w:r w:rsidR="004F3D63" w:rsidRPr="007149C6">
        <w:rPr>
          <w:bCs/>
        </w:rPr>
        <w:t>”</w:t>
      </w:r>
      <w:r w:rsidRPr="002E64A6">
        <w:rPr>
          <w:rFonts w:cs="Arial"/>
          <w:szCs w:val="22"/>
        </w:rPr>
        <w:t xml:space="preserve"> by:</w:t>
      </w:r>
    </w:p>
    <w:p w14:paraId="61424D84" w14:textId="194231F0" w:rsidR="009642E8" w:rsidRPr="002E64A6" w:rsidRDefault="00664865"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4F3D63" w:rsidRPr="007149C6">
        <w:rPr>
          <w:bCs/>
        </w:rPr>
        <w:t>”</w:t>
      </w:r>
      <w:r w:rsidR="009642E8" w:rsidRPr="002E64A6">
        <w:rPr>
          <w:rFonts w:cs="Arial"/>
          <w:szCs w:val="22"/>
        </w:rPr>
        <w:t>.</w:t>
      </w:r>
    </w:p>
    <w:p w14:paraId="47A4A954"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1300D655" w14:textId="00941233"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6</w:t>
      </w:r>
      <w:r w:rsidRPr="002E64A6">
        <w:rPr>
          <w:rFonts w:cs="Arial"/>
          <w:szCs w:val="22"/>
        </w:rPr>
        <w:tab/>
      </w:r>
      <w:r w:rsidRPr="002E64A6">
        <w:rPr>
          <w:rFonts w:cs="Arial"/>
          <w:szCs w:val="22"/>
        </w:rPr>
        <w:tab/>
        <w:t xml:space="preserve">In the left-hand column, replace </w:t>
      </w:r>
      <w:r w:rsidR="00664865" w:rsidRPr="007149C6">
        <w:rPr>
          <w:bCs/>
        </w:rPr>
        <w:t>“</w:t>
      </w:r>
      <w:r w:rsidRPr="002E64A6">
        <w:rPr>
          <w:rFonts w:cs="Arial"/>
          <w:szCs w:val="22"/>
        </w:rPr>
        <w:t>shall be carried out at least</w:t>
      </w:r>
      <w:r w:rsidR="00E163B4" w:rsidRPr="007149C6">
        <w:rPr>
          <w:bCs/>
        </w:rPr>
        <w:t>”</w:t>
      </w:r>
      <w:r w:rsidRPr="002E64A6">
        <w:rPr>
          <w:rFonts w:cs="Arial"/>
          <w:szCs w:val="22"/>
        </w:rPr>
        <w:t xml:space="preserve"> by:</w:t>
      </w:r>
    </w:p>
    <w:p w14:paraId="222B340D" w14:textId="5A8FADA6" w:rsidR="009642E8" w:rsidRPr="002E64A6" w:rsidRDefault="00664865"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E163B4" w:rsidRPr="007149C6">
        <w:rPr>
          <w:bCs/>
        </w:rPr>
        <w:t>”</w:t>
      </w:r>
      <w:r w:rsidR="009642E8" w:rsidRPr="002E64A6">
        <w:rPr>
          <w:rFonts w:cs="Arial"/>
          <w:szCs w:val="22"/>
        </w:rPr>
        <w:t>.</w:t>
      </w:r>
    </w:p>
    <w:p w14:paraId="6E78A0E6"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24C19104" w14:textId="1BC6BF45" w:rsidR="009642E8" w:rsidRPr="002E64A6" w:rsidRDefault="009642E8" w:rsidP="009642E8">
      <w:pPr>
        <w:snapToGrid w:val="0"/>
        <w:spacing w:before="120" w:after="120" w:line="240" w:lineRule="auto"/>
        <w:ind w:left="2268" w:right="1134" w:hanging="1134"/>
        <w:rPr>
          <w:rFonts w:cs="Arial"/>
          <w:szCs w:val="22"/>
        </w:rPr>
      </w:pPr>
      <w:r w:rsidRPr="002E64A6">
        <w:rPr>
          <w:rFonts w:cs="Arial"/>
          <w:szCs w:val="22"/>
        </w:rPr>
        <w:t>TT 10</w:t>
      </w:r>
      <w:r w:rsidRPr="002E64A6">
        <w:rPr>
          <w:rFonts w:cs="Arial"/>
          <w:szCs w:val="22"/>
        </w:rPr>
        <w:tab/>
      </w:r>
      <w:r w:rsidRPr="002E64A6">
        <w:rPr>
          <w:rFonts w:cs="Arial"/>
          <w:szCs w:val="22"/>
        </w:rPr>
        <w:tab/>
        <w:t xml:space="preserve">Replace </w:t>
      </w:r>
      <w:r w:rsidR="00664865" w:rsidRPr="007149C6">
        <w:rPr>
          <w:bCs/>
        </w:rPr>
        <w:t>“</w:t>
      </w:r>
      <w:r w:rsidRPr="002E64A6">
        <w:rPr>
          <w:rFonts w:cs="Arial"/>
          <w:szCs w:val="22"/>
        </w:rPr>
        <w:t>shall take place at least</w:t>
      </w:r>
      <w:r w:rsidR="00E163B4" w:rsidRPr="007149C6">
        <w:rPr>
          <w:bCs/>
        </w:rPr>
        <w:t>”</w:t>
      </w:r>
      <w:r w:rsidRPr="002E64A6">
        <w:rPr>
          <w:rFonts w:cs="Arial"/>
          <w:szCs w:val="22"/>
        </w:rPr>
        <w:t xml:space="preserve"> by:</w:t>
      </w:r>
    </w:p>
    <w:p w14:paraId="30E50ADD" w14:textId="2E14280E" w:rsidR="009642E8" w:rsidRPr="002E64A6" w:rsidRDefault="00664865" w:rsidP="009642E8">
      <w:pPr>
        <w:snapToGrid w:val="0"/>
        <w:spacing w:before="120" w:after="120" w:line="240" w:lineRule="auto"/>
        <w:ind w:left="2268" w:right="1134"/>
        <w:rPr>
          <w:rFonts w:cs="Arial"/>
          <w:szCs w:val="22"/>
        </w:rPr>
      </w:pPr>
      <w:r w:rsidRPr="007149C6">
        <w:rPr>
          <w:bCs/>
        </w:rPr>
        <w:t>“</w:t>
      </w:r>
      <w:r w:rsidR="009642E8" w:rsidRPr="002E64A6">
        <w:rPr>
          <w:rFonts w:cs="Arial"/>
          <w:szCs w:val="22"/>
        </w:rPr>
        <w:t>shall be performed no later than</w:t>
      </w:r>
      <w:r w:rsidR="00E163B4" w:rsidRPr="007149C6">
        <w:rPr>
          <w:bCs/>
        </w:rPr>
        <w:t>”</w:t>
      </w:r>
      <w:r w:rsidR="009642E8" w:rsidRPr="002E64A6">
        <w:rPr>
          <w:rFonts w:cs="Arial"/>
          <w:szCs w:val="22"/>
        </w:rPr>
        <w:t>.</w:t>
      </w:r>
    </w:p>
    <w:p w14:paraId="5DDE93E7" w14:textId="77777777" w:rsidR="009642E8" w:rsidRPr="002E64A6" w:rsidRDefault="009642E8" w:rsidP="00CB70A9">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54F6F6D2" w14:textId="59DAA0B8" w:rsidR="00DF7CF1" w:rsidRPr="002E64A6" w:rsidRDefault="00DF7CF1" w:rsidP="005F778F">
      <w:pPr>
        <w:snapToGrid w:val="0"/>
        <w:spacing w:before="120" w:after="120" w:line="240" w:lineRule="auto"/>
        <w:ind w:left="1134"/>
      </w:pPr>
      <w:r w:rsidRPr="002E64A6">
        <w:t>(ADR only:)</w:t>
      </w:r>
    </w:p>
    <w:p w14:paraId="23B8FF0F" w14:textId="77777777" w:rsidR="00024463" w:rsidRDefault="00DF7CF1" w:rsidP="00772545">
      <w:pPr>
        <w:tabs>
          <w:tab w:val="left" w:pos="2268"/>
        </w:tabs>
        <w:snapToGrid w:val="0"/>
        <w:spacing w:before="120" w:after="120" w:line="240" w:lineRule="auto"/>
        <w:ind w:left="1134" w:right="1134"/>
        <w:rPr>
          <w:lang w:eastAsia="de-CH"/>
        </w:rPr>
      </w:pPr>
      <w:r w:rsidRPr="002E64A6">
        <w:rPr>
          <w:lang w:eastAsia="de-CH"/>
        </w:rPr>
        <w:t>TT 11</w:t>
      </w:r>
      <w:r w:rsidRPr="002E64A6">
        <w:rPr>
          <w:lang w:eastAsia="de-CH"/>
        </w:rPr>
        <w:tab/>
      </w:r>
      <w:r w:rsidR="00024463">
        <w:rPr>
          <w:lang w:eastAsia="de-CH"/>
        </w:rPr>
        <w:t>In the list of standards after the second sentence:</w:t>
      </w:r>
    </w:p>
    <w:p w14:paraId="25DC059F" w14:textId="41E28985" w:rsidR="00DF7CF1" w:rsidRPr="002E64A6" w:rsidRDefault="00024463" w:rsidP="00772545">
      <w:pPr>
        <w:tabs>
          <w:tab w:val="left" w:pos="2268"/>
        </w:tabs>
        <w:snapToGrid w:val="0"/>
        <w:spacing w:before="120" w:after="120" w:line="240" w:lineRule="auto"/>
        <w:ind w:left="1134" w:right="1134"/>
        <w:rPr>
          <w:lang w:eastAsia="de-CH"/>
        </w:rPr>
      </w:pPr>
      <w:r>
        <w:rPr>
          <w:lang w:eastAsia="de-CH"/>
        </w:rPr>
        <w:lastRenderedPageBreak/>
        <w:tab/>
        <w:t>R</w:t>
      </w:r>
      <w:r w:rsidRPr="002E64A6">
        <w:rPr>
          <w:lang w:eastAsia="de-CH"/>
        </w:rPr>
        <w:t>eplace</w:t>
      </w:r>
      <w:r w:rsidR="00DF7CF1" w:rsidRPr="002E64A6">
        <w:rPr>
          <w:lang w:eastAsia="de-CH"/>
        </w:rPr>
        <w:t xml:space="preserve"> </w:t>
      </w:r>
      <w:r w:rsidR="00664865" w:rsidRPr="007149C6">
        <w:rPr>
          <w:bCs/>
        </w:rPr>
        <w:t>“</w:t>
      </w:r>
      <w:r w:rsidR="00DF7CF1" w:rsidRPr="002E64A6">
        <w:rPr>
          <w:lang w:eastAsia="de-CH"/>
        </w:rPr>
        <w:t>EN ISO 17640:2010</w:t>
      </w:r>
      <w:r w:rsidR="00D80EF7" w:rsidRPr="007149C6">
        <w:rPr>
          <w:bCs/>
        </w:rPr>
        <w:t>”</w:t>
      </w:r>
      <w:r w:rsidR="00DF7CF1" w:rsidRPr="002E64A6">
        <w:rPr>
          <w:lang w:eastAsia="de-CH"/>
        </w:rPr>
        <w:t xml:space="preserve"> by:</w:t>
      </w:r>
    </w:p>
    <w:p w14:paraId="04D074DD" w14:textId="6482D2EC"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664865" w:rsidRPr="007149C6">
        <w:rPr>
          <w:bCs/>
        </w:rPr>
        <w:t>“</w:t>
      </w:r>
      <w:r w:rsidR="00DF7CF1" w:rsidRPr="002E64A6">
        <w:rPr>
          <w:lang w:eastAsia="de-CH"/>
        </w:rPr>
        <w:t>EN ISO 17640:2018</w:t>
      </w:r>
      <w:r w:rsidR="00D80EF7" w:rsidRPr="007149C6">
        <w:rPr>
          <w:bCs/>
        </w:rPr>
        <w:t>”</w:t>
      </w:r>
      <w:r w:rsidR="00DF7CF1" w:rsidRPr="002E64A6">
        <w:rPr>
          <w:lang w:eastAsia="de-CH"/>
        </w:rPr>
        <w:t>.</w:t>
      </w:r>
    </w:p>
    <w:p w14:paraId="4C1FFC6E" w14:textId="28ED3EB0"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 ISO 17638:2009</w:t>
      </w:r>
      <w:r w:rsidR="00D80EF7" w:rsidRPr="007149C6">
        <w:rPr>
          <w:bCs/>
        </w:rPr>
        <w:t>”</w:t>
      </w:r>
      <w:r w:rsidR="00DF7CF1" w:rsidRPr="002E64A6">
        <w:rPr>
          <w:lang w:eastAsia="de-CH"/>
        </w:rPr>
        <w:t xml:space="preserve"> by:</w:t>
      </w:r>
    </w:p>
    <w:p w14:paraId="0223E001" w14:textId="4BECDD1D"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664865" w:rsidRPr="007149C6">
        <w:rPr>
          <w:bCs/>
        </w:rPr>
        <w:t>“</w:t>
      </w:r>
      <w:r w:rsidR="00DF7CF1" w:rsidRPr="002E64A6">
        <w:rPr>
          <w:lang w:eastAsia="de-CH"/>
        </w:rPr>
        <w:t>EN ISO 17638:2016</w:t>
      </w:r>
      <w:r w:rsidR="00D80EF7" w:rsidRPr="007149C6">
        <w:rPr>
          <w:bCs/>
        </w:rPr>
        <w:t>”</w:t>
      </w:r>
      <w:r w:rsidR="00DF7CF1" w:rsidRPr="002E64A6">
        <w:rPr>
          <w:lang w:eastAsia="de-CH"/>
        </w:rPr>
        <w:t>.</w:t>
      </w:r>
    </w:p>
    <w:p w14:paraId="35554A40" w14:textId="518AF967" w:rsidR="00DF7CF1" w:rsidRPr="002E64A6" w:rsidRDefault="00772545" w:rsidP="00772545">
      <w:pPr>
        <w:tabs>
          <w:tab w:val="left" w:pos="2268"/>
        </w:tabs>
        <w:snapToGrid w:val="0"/>
        <w:spacing w:before="120" w:after="120" w:line="240" w:lineRule="auto"/>
        <w:ind w:left="2268" w:right="1134" w:hanging="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 ISO 23278:2009 – Magnetic particle testing of welds. Acceptance levels</w:t>
      </w:r>
      <w:r w:rsidR="00D80EF7" w:rsidRPr="007149C6">
        <w:rPr>
          <w:bCs/>
        </w:rPr>
        <w:t>”</w:t>
      </w:r>
      <w:r w:rsidR="00DF7CF1" w:rsidRPr="002E64A6">
        <w:rPr>
          <w:lang w:eastAsia="de-CH"/>
        </w:rPr>
        <w:t xml:space="preserve"> by:</w:t>
      </w:r>
    </w:p>
    <w:p w14:paraId="240E4276" w14:textId="21F38873" w:rsidR="00DF7CF1" w:rsidRPr="002E64A6" w:rsidRDefault="00772545" w:rsidP="00772545">
      <w:pPr>
        <w:tabs>
          <w:tab w:val="left" w:pos="2268"/>
        </w:tabs>
        <w:snapToGrid w:val="0"/>
        <w:spacing w:before="120" w:after="120" w:line="240" w:lineRule="auto"/>
        <w:ind w:left="2268" w:right="1134" w:hanging="1134"/>
        <w:rPr>
          <w:lang w:eastAsia="de-CH"/>
        </w:rPr>
      </w:pPr>
      <w:r w:rsidRPr="002E64A6">
        <w:rPr>
          <w:lang w:eastAsia="de-CH"/>
        </w:rPr>
        <w:tab/>
      </w:r>
      <w:r w:rsidR="00664865" w:rsidRPr="007149C6">
        <w:rPr>
          <w:bCs/>
        </w:rPr>
        <w:t>“</w:t>
      </w:r>
      <w:r w:rsidR="00DF7CF1" w:rsidRPr="002E64A6">
        <w:rPr>
          <w:lang w:eastAsia="de-CH"/>
        </w:rPr>
        <w:t>EN </w:t>
      </w:r>
      <w:r w:rsidR="00DF7CF1" w:rsidRPr="002E64A6">
        <w:rPr>
          <w:lang w:eastAsia="de-CH"/>
        </w:rPr>
        <w:t>ISO 23278:2015 – Non-destructive testing of welds – Magnetic particle testing. Acceptance levels</w:t>
      </w:r>
      <w:r w:rsidR="00D80EF7" w:rsidRPr="007149C6">
        <w:rPr>
          <w:bCs/>
        </w:rPr>
        <w:t>”</w:t>
      </w:r>
      <w:r w:rsidR="00DF7CF1" w:rsidRPr="002E64A6">
        <w:rPr>
          <w:lang w:eastAsia="de-CH"/>
        </w:rPr>
        <w:t>.</w:t>
      </w:r>
    </w:p>
    <w:p w14:paraId="52185EBD" w14:textId="453C053A"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w:t>
      </w:r>
      <w:r w:rsidR="00DF7CF1" w:rsidRPr="002E64A6">
        <w:rPr>
          <w:lang w:eastAsia="en-US"/>
        </w:rPr>
        <w:t> </w:t>
      </w:r>
      <w:r w:rsidR="00DF7CF1" w:rsidRPr="002E64A6">
        <w:rPr>
          <w:lang w:eastAsia="de-CH"/>
        </w:rPr>
        <w:t>1711:2000</w:t>
      </w:r>
      <w:r w:rsidR="00D80EF7" w:rsidRPr="007149C6">
        <w:rPr>
          <w:bCs/>
        </w:rPr>
        <w:t>”</w:t>
      </w:r>
      <w:r w:rsidR="00DF7CF1" w:rsidRPr="002E64A6">
        <w:rPr>
          <w:lang w:eastAsia="de-CH"/>
        </w:rPr>
        <w:t xml:space="preserve"> by:</w:t>
      </w:r>
    </w:p>
    <w:p w14:paraId="0BF76981" w14:textId="08DD2783"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664865" w:rsidRPr="007149C6">
        <w:rPr>
          <w:bCs/>
        </w:rPr>
        <w:t>“</w:t>
      </w:r>
      <w:r w:rsidR="00DF7CF1" w:rsidRPr="002E64A6">
        <w:rPr>
          <w:lang w:eastAsia="de-CH"/>
        </w:rPr>
        <w:t>EN ISO 17643:2015</w:t>
      </w:r>
      <w:r w:rsidR="00D80EF7" w:rsidRPr="007149C6">
        <w:rPr>
          <w:bCs/>
        </w:rPr>
        <w:t>”</w:t>
      </w:r>
      <w:r w:rsidR="00DF7CF1" w:rsidRPr="002E64A6">
        <w:rPr>
          <w:lang w:eastAsia="de-CH"/>
        </w:rPr>
        <w:t>.</w:t>
      </w:r>
    </w:p>
    <w:p w14:paraId="2D974278" w14:textId="07116DE2"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F7CF1" w:rsidRPr="002E64A6">
        <w:rPr>
          <w:lang w:eastAsia="de-CH"/>
        </w:rPr>
        <w:t xml:space="preserve">Replace </w:t>
      </w:r>
      <w:r w:rsidR="00664865" w:rsidRPr="007149C6">
        <w:rPr>
          <w:bCs/>
        </w:rPr>
        <w:t>“</w:t>
      </w:r>
      <w:r w:rsidR="00DF7CF1" w:rsidRPr="002E64A6">
        <w:rPr>
          <w:lang w:eastAsia="de-CH"/>
        </w:rPr>
        <w:t>EN 14127:2011</w:t>
      </w:r>
      <w:r w:rsidR="00D80EF7" w:rsidRPr="007149C6">
        <w:rPr>
          <w:bCs/>
        </w:rPr>
        <w:t>”</w:t>
      </w:r>
      <w:r w:rsidR="00DF7CF1" w:rsidRPr="002E64A6">
        <w:rPr>
          <w:lang w:eastAsia="de-CH"/>
        </w:rPr>
        <w:t xml:space="preserve"> by:</w:t>
      </w:r>
    </w:p>
    <w:p w14:paraId="1EDDCFCF" w14:textId="4E862E1B" w:rsidR="00DF7CF1" w:rsidRPr="002E64A6" w:rsidRDefault="00772545" w:rsidP="00772545">
      <w:pPr>
        <w:tabs>
          <w:tab w:val="left" w:pos="2268"/>
        </w:tabs>
        <w:snapToGrid w:val="0"/>
        <w:spacing w:before="120" w:after="120" w:line="240" w:lineRule="auto"/>
        <w:ind w:left="1134" w:right="1134"/>
        <w:rPr>
          <w:lang w:eastAsia="de-CH"/>
        </w:rPr>
      </w:pPr>
      <w:r w:rsidRPr="002E64A6">
        <w:rPr>
          <w:lang w:eastAsia="de-CH"/>
        </w:rPr>
        <w:tab/>
      </w:r>
      <w:r w:rsidR="00DB378D" w:rsidRPr="007149C6">
        <w:rPr>
          <w:bCs/>
        </w:rPr>
        <w:t>“</w:t>
      </w:r>
      <w:r w:rsidR="00DF7CF1" w:rsidRPr="002E64A6">
        <w:rPr>
          <w:lang w:eastAsia="de-CH"/>
        </w:rPr>
        <w:t>EN ISO 16809:2019</w:t>
      </w:r>
      <w:r w:rsidR="00D80EF7" w:rsidRPr="007149C6">
        <w:rPr>
          <w:bCs/>
        </w:rPr>
        <w:t>”</w:t>
      </w:r>
      <w:r w:rsidR="00DF7CF1" w:rsidRPr="002E64A6">
        <w:rPr>
          <w:lang w:eastAsia="de-CH"/>
        </w:rPr>
        <w:t>.</w:t>
      </w:r>
    </w:p>
    <w:p w14:paraId="3895AAA2" w14:textId="77777777" w:rsidR="00B70925" w:rsidRPr="002E64A6" w:rsidRDefault="00DB1097" w:rsidP="00B70925">
      <w:pPr>
        <w:tabs>
          <w:tab w:val="left" w:pos="2268"/>
        </w:tabs>
        <w:snapToGrid w:val="0"/>
        <w:spacing w:before="120" w:after="120" w:line="240" w:lineRule="auto"/>
        <w:ind w:left="2268" w:right="1134" w:hanging="1134"/>
        <w:rPr>
          <w:lang w:eastAsia="de-CH"/>
        </w:rPr>
      </w:pPr>
      <w:r w:rsidRPr="00376717">
        <w:rPr>
          <w:lang w:eastAsia="de-CH"/>
        </w:rPr>
        <w:tab/>
      </w:r>
      <w:r w:rsidRPr="00376717">
        <w:rPr>
          <w:lang w:eastAsia="de-CH"/>
        </w:rPr>
        <w:tab/>
      </w:r>
      <w:r w:rsidR="00756AFB" w:rsidRPr="00376717">
        <w:rPr>
          <w:lang w:eastAsia="de-CH"/>
        </w:rPr>
        <w:t xml:space="preserve">In the paragraph after the table, replace </w:t>
      </w:r>
      <w:r w:rsidR="00B70925" w:rsidRPr="002E64A6">
        <w:rPr>
          <w:lang w:eastAsia="de-CH"/>
        </w:rPr>
        <w:t>EN ISO 23278:2009 – Magnetic particle testing of welds. Acceptance levels</w:t>
      </w:r>
      <w:r w:rsidR="00B70925" w:rsidRPr="007149C6">
        <w:rPr>
          <w:bCs/>
        </w:rPr>
        <w:t>”</w:t>
      </w:r>
      <w:r w:rsidR="00B70925" w:rsidRPr="002E64A6">
        <w:rPr>
          <w:lang w:eastAsia="de-CH"/>
        </w:rPr>
        <w:t xml:space="preserve"> by:</w:t>
      </w:r>
    </w:p>
    <w:p w14:paraId="4C63084C" w14:textId="74D6F30E" w:rsidR="00756AFB" w:rsidRPr="00B70925" w:rsidRDefault="00B70925" w:rsidP="00B70925">
      <w:pPr>
        <w:tabs>
          <w:tab w:val="left" w:pos="2268"/>
        </w:tabs>
        <w:snapToGrid w:val="0"/>
        <w:spacing w:before="120" w:after="120" w:line="240" w:lineRule="auto"/>
        <w:ind w:left="2268" w:right="1134" w:hanging="1134"/>
        <w:rPr>
          <w:lang w:eastAsia="de-CH"/>
        </w:rPr>
      </w:pPr>
      <w:r w:rsidRPr="002E64A6">
        <w:rPr>
          <w:lang w:eastAsia="de-CH"/>
        </w:rPr>
        <w:tab/>
      </w:r>
      <w:r w:rsidRPr="007149C6">
        <w:rPr>
          <w:bCs/>
        </w:rPr>
        <w:t>“</w:t>
      </w:r>
      <w:r w:rsidRPr="002E64A6">
        <w:rPr>
          <w:lang w:eastAsia="de-CH"/>
        </w:rPr>
        <w:t>EN ISO 23278:2015 – Non-destructive testing of welds – Magnetic particle testing. Acceptance levels</w:t>
      </w:r>
      <w:r w:rsidRPr="007149C6">
        <w:rPr>
          <w:bCs/>
        </w:rPr>
        <w:t>”</w:t>
      </w:r>
      <w:r w:rsidRPr="002E64A6">
        <w:rPr>
          <w:lang w:eastAsia="de-CH"/>
        </w:rPr>
        <w:t>.</w:t>
      </w:r>
    </w:p>
    <w:p w14:paraId="3E7A065A" w14:textId="66D67568" w:rsidR="00DF7CF1" w:rsidRPr="002E64A6" w:rsidRDefault="00E72A5F" w:rsidP="00E72A5F">
      <w:pPr>
        <w:snapToGrid w:val="0"/>
        <w:spacing w:before="120" w:after="120" w:line="240" w:lineRule="auto"/>
        <w:ind w:left="1134" w:right="1134"/>
        <w:jc w:val="both"/>
        <w:rPr>
          <w:rFonts w:cs="Arial"/>
          <w:i/>
          <w:iCs/>
          <w:szCs w:val="22"/>
        </w:rPr>
      </w:pPr>
      <w:r w:rsidRPr="002E64A6">
        <w:rPr>
          <w:rFonts w:cs="Arial"/>
          <w:i/>
          <w:iCs/>
          <w:szCs w:val="22"/>
        </w:rPr>
        <w:t>(</w:t>
      </w:r>
      <w:r w:rsidR="00DF7CF1" w:rsidRPr="002E64A6">
        <w:rPr>
          <w:rFonts w:cs="Arial"/>
          <w:i/>
          <w:iCs/>
          <w:szCs w:val="22"/>
        </w:rPr>
        <w:t>Reference document: informal document INF.5/Rev.1</w:t>
      </w:r>
      <w:r w:rsidRPr="002E64A6">
        <w:rPr>
          <w:rFonts w:cs="Arial"/>
          <w:i/>
          <w:iCs/>
          <w:szCs w:val="22"/>
        </w:rPr>
        <w:t>)</w:t>
      </w:r>
    </w:p>
    <w:p w14:paraId="1C811296" w14:textId="77777777" w:rsidR="009642E8" w:rsidRPr="002E64A6" w:rsidRDefault="009642E8" w:rsidP="009642E8">
      <w:pPr>
        <w:snapToGrid w:val="0"/>
        <w:spacing w:before="120" w:after="120"/>
        <w:ind w:left="2268" w:hanging="1134"/>
        <w:rPr>
          <w:b/>
          <w:szCs w:val="22"/>
        </w:rPr>
      </w:pPr>
      <w:r w:rsidRPr="002E64A6">
        <w:rPr>
          <w:b/>
          <w:szCs w:val="22"/>
        </w:rPr>
        <w:t>Chapter 6.10</w:t>
      </w:r>
    </w:p>
    <w:p w14:paraId="1EB2D4D1" w14:textId="77777777" w:rsidR="009642E8" w:rsidRPr="002E64A6" w:rsidRDefault="009642E8" w:rsidP="009642E8">
      <w:pPr>
        <w:tabs>
          <w:tab w:val="left" w:pos="1418"/>
          <w:tab w:val="left" w:pos="2977"/>
          <w:tab w:val="left" w:pos="4395"/>
        </w:tabs>
        <w:snapToGrid w:val="0"/>
        <w:spacing w:before="120" w:after="120" w:line="240" w:lineRule="auto"/>
        <w:ind w:left="1134"/>
        <w:rPr>
          <w:szCs w:val="22"/>
        </w:rPr>
      </w:pPr>
      <w:r w:rsidRPr="002E64A6">
        <w:rPr>
          <w:szCs w:val="22"/>
        </w:rPr>
        <w:t>(ADR:)</w:t>
      </w:r>
    </w:p>
    <w:p w14:paraId="4D9B24FA" w14:textId="75637BD9" w:rsidR="009642E8" w:rsidRPr="002E64A6" w:rsidRDefault="009642E8" w:rsidP="009642E8">
      <w:pPr>
        <w:snapToGrid w:val="0"/>
        <w:spacing w:before="120" w:after="120"/>
        <w:ind w:left="2268" w:hanging="1134"/>
        <w:rPr>
          <w:bCs/>
          <w:szCs w:val="22"/>
        </w:rPr>
      </w:pPr>
      <w:r w:rsidRPr="002E64A6">
        <w:rPr>
          <w:bCs/>
          <w:szCs w:val="22"/>
        </w:rPr>
        <w:t>6.10.4</w:t>
      </w:r>
      <w:r w:rsidRPr="002E64A6">
        <w:rPr>
          <w:bCs/>
          <w:szCs w:val="22"/>
        </w:rPr>
        <w:tab/>
      </w:r>
      <w:r w:rsidRPr="002E64A6">
        <w:rPr>
          <w:bCs/>
          <w:szCs w:val="22"/>
        </w:rPr>
        <w:tab/>
        <w:t xml:space="preserve">Before </w:t>
      </w:r>
      <w:r w:rsidR="00DB378D" w:rsidRPr="007149C6">
        <w:rPr>
          <w:bCs/>
        </w:rPr>
        <w:t>“</w:t>
      </w:r>
      <w:r w:rsidRPr="002E64A6">
        <w:rPr>
          <w:bCs/>
          <w:szCs w:val="22"/>
        </w:rPr>
        <w:t>every three years</w:t>
      </w:r>
      <w:r w:rsidR="00B4792B" w:rsidRPr="007149C6">
        <w:rPr>
          <w:bCs/>
        </w:rPr>
        <w:t>”</w:t>
      </w:r>
      <w:r w:rsidRPr="002E64A6">
        <w:rPr>
          <w:bCs/>
          <w:szCs w:val="22"/>
        </w:rPr>
        <w:t>, insert:</w:t>
      </w:r>
    </w:p>
    <w:p w14:paraId="53E6567F" w14:textId="5C9908D8" w:rsidR="009642E8" w:rsidRPr="002E64A6" w:rsidRDefault="00DB378D" w:rsidP="009642E8">
      <w:pPr>
        <w:snapToGrid w:val="0"/>
        <w:spacing w:before="120" w:after="120" w:line="240" w:lineRule="auto"/>
        <w:ind w:left="2268"/>
        <w:rPr>
          <w:bCs/>
          <w:szCs w:val="22"/>
        </w:rPr>
      </w:pPr>
      <w:r w:rsidRPr="007149C6">
        <w:rPr>
          <w:bCs/>
        </w:rPr>
        <w:t>“</w:t>
      </w:r>
      <w:r w:rsidR="009642E8" w:rsidRPr="002E64A6">
        <w:rPr>
          <w:bCs/>
          <w:szCs w:val="22"/>
        </w:rPr>
        <w:t>no later than</w:t>
      </w:r>
      <w:r w:rsidR="00B4792B" w:rsidRPr="007149C6">
        <w:rPr>
          <w:bCs/>
        </w:rPr>
        <w:t>”</w:t>
      </w:r>
      <w:r w:rsidR="009642E8" w:rsidRPr="002E64A6">
        <w:rPr>
          <w:bCs/>
          <w:szCs w:val="22"/>
        </w:rPr>
        <w:t>.</w:t>
      </w:r>
    </w:p>
    <w:p w14:paraId="46913182" w14:textId="77777777" w:rsidR="009642E8" w:rsidRPr="002E64A6" w:rsidRDefault="009642E8" w:rsidP="009642E8">
      <w:pPr>
        <w:tabs>
          <w:tab w:val="left" w:pos="1418"/>
          <w:tab w:val="left" w:pos="2977"/>
          <w:tab w:val="left" w:pos="4395"/>
        </w:tabs>
        <w:snapToGrid w:val="0"/>
        <w:spacing w:before="120" w:after="120" w:line="240" w:lineRule="auto"/>
        <w:ind w:left="1134"/>
        <w:rPr>
          <w:bCs/>
          <w:szCs w:val="22"/>
        </w:rPr>
      </w:pPr>
      <w:r w:rsidRPr="002E64A6">
        <w:rPr>
          <w:bCs/>
          <w:szCs w:val="22"/>
        </w:rPr>
        <w:t>(RID/ADR:)</w:t>
      </w:r>
    </w:p>
    <w:p w14:paraId="4B252D3B" w14:textId="64ACA730" w:rsidR="009642E8" w:rsidRPr="002E64A6" w:rsidRDefault="009642E8" w:rsidP="009642E8">
      <w:pPr>
        <w:snapToGrid w:val="0"/>
        <w:spacing w:before="120" w:after="120"/>
        <w:ind w:left="2268" w:hanging="1134"/>
        <w:rPr>
          <w:bCs/>
          <w:szCs w:val="22"/>
        </w:rPr>
      </w:pPr>
      <w:r w:rsidRPr="002E64A6">
        <w:rPr>
          <w:bCs/>
          <w:szCs w:val="22"/>
        </w:rPr>
        <w:t>6.10.4</w:t>
      </w:r>
      <w:r w:rsidRPr="002E64A6">
        <w:rPr>
          <w:bCs/>
          <w:szCs w:val="22"/>
        </w:rPr>
        <w:tab/>
      </w:r>
      <w:r w:rsidRPr="002E64A6">
        <w:rPr>
          <w:bCs/>
          <w:szCs w:val="22"/>
        </w:rPr>
        <w:tab/>
        <w:t xml:space="preserve">Before </w:t>
      </w:r>
      <w:r w:rsidR="00DB378D" w:rsidRPr="007149C6">
        <w:rPr>
          <w:bCs/>
        </w:rPr>
        <w:t>“</w:t>
      </w:r>
      <w:r w:rsidRPr="002E64A6">
        <w:rPr>
          <w:bCs/>
          <w:szCs w:val="22"/>
        </w:rPr>
        <w:t>every two and a half years</w:t>
      </w:r>
      <w:r w:rsidR="00B4792B" w:rsidRPr="007149C6">
        <w:rPr>
          <w:bCs/>
        </w:rPr>
        <w:t>”</w:t>
      </w:r>
      <w:r w:rsidRPr="002E64A6">
        <w:rPr>
          <w:bCs/>
          <w:szCs w:val="22"/>
        </w:rPr>
        <w:t xml:space="preserve">, </w:t>
      </w:r>
      <w:r w:rsidR="00312620" w:rsidRPr="002E64A6">
        <w:rPr>
          <w:bCs/>
          <w:szCs w:val="22"/>
        </w:rPr>
        <w:t xml:space="preserve">replace </w:t>
      </w:r>
      <w:r w:rsidR="002B1E7E" w:rsidRPr="007149C6">
        <w:rPr>
          <w:bCs/>
        </w:rPr>
        <w:t>“</w:t>
      </w:r>
      <w:r w:rsidR="00312620" w:rsidRPr="002E64A6">
        <w:rPr>
          <w:bCs/>
          <w:szCs w:val="22"/>
        </w:rPr>
        <w:t>at least</w:t>
      </w:r>
      <w:r w:rsidR="00B4792B" w:rsidRPr="007149C6">
        <w:rPr>
          <w:bCs/>
        </w:rPr>
        <w:t>”</w:t>
      </w:r>
      <w:r w:rsidR="00312620" w:rsidRPr="002E64A6">
        <w:rPr>
          <w:bCs/>
          <w:szCs w:val="22"/>
        </w:rPr>
        <w:t xml:space="preserve"> by</w:t>
      </w:r>
      <w:r w:rsidRPr="002E64A6">
        <w:rPr>
          <w:bCs/>
          <w:szCs w:val="22"/>
        </w:rPr>
        <w:t>:</w:t>
      </w:r>
    </w:p>
    <w:p w14:paraId="6C450493" w14:textId="064C47E5" w:rsidR="009642E8" w:rsidRPr="002E64A6" w:rsidRDefault="00DB378D" w:rsidP="009642E8">
      <w:pPr>
        <w:snapToGrid w:val="0"/>
        <w:spacing w:before="120" w:after="120" w:line="240" w:lineRule="auto"/>
        <w:ind w:left="2268"/>
        <w:rPr>
          <w:bCs/>
          <w:szCs w:val="22"/>
        </w:rPr>
      </w:pPr>
      <w:r w:rsidRPr="007149C6">
        <w:rPr>
          <w:bCs/>
        </w:rPr>
        <w:t>“</w:t>
      </w:r>
      <w:r w:rsidR="009642E8" w:rsidRPr="002E64A6">
        <w:rPr>
          <w:bCs/>
          <w:szCs w:val="22"/>
        </w:rPr>
        <w:t>no later than</w:t>
      </w:r>
      <w:r w:rsidR="00B4792B" w:rsidRPr="007149C6">
        <w:rPr>
          <w:bCs/>
        </w:rPr>
        <w:t>”</w:t>
      </w:r>
      <w:r w:rsidR="009642E8" w:rsidRPr="002E64A6">
        <w:rPr>
          <w:bCs/>
          <w:szCs w:val="22"/>
        </w:rPr>
        <w:t>.</w:t>
      </w:r>
    </w:p>
    <w:p w14:paraId="2ECD7AEF" w14:textId="77777777" w:rsidR="009642E8" w:rsidRPr="002E64A6" w:rsidRDefault="009642E8" w:rsidP="009642E8">
      <w:pPr>
        <w:snapToGrid w:val="0"/>
        <w:spacing w:before="120" w:after="120" w:line="240" w:lineRule="auto"/>
        <w:ind w:left="1134" w:right="1134"/>
        <w:rPr>
          <w:rFonts w:cs="Arial"/>
          <w:bCs/>
          <w:i/>
          <w:iCs/>
          <w:szCs w:val="22"/>
        </w:rPr>
      </w:pPr>
      <w:r w:rsidRPr="002E64A6">
        <w:rPr>
          <w:rFonts w:cs="Arial"/>
          <w:bCs/>
          <w:i/>
          <w:iCs/>
          <w:szCs w:val="22"/>
        </w:rPr>
        <w:t>(Reference document: ECE/TRANS/WP.15/AC.1/2021/19, as amended by informal document INF.43)</w:t>
      </w:r>
    </w:p>
    <w:p w14:paraId="1BF1DC4C" w14:textId="77777777" w:rsidR="009642E8" w:rsidRPr="002E64A6" w:rsidRDefault="009642E8" w:rsidP="009642E8">
      <w:pPr>
        <w:tabs>
          <w:tab w:val="left" w:pos="1418"/>
          <w:tab w:val="left" w:pos="2977"/>
          <w:tab w:val="left" w:pos="4395"/>
        </w:tabs>
        <w:snapToGrid w:val="0"/>
        <w:spacing w:before="120" w:after="120" w:line="240" w:lineRule="auto"/>
        <w:ind w:left="1134"/>
        <w:rPr>
          <w:bCs/>
          <w:szCs w:val="22"/>
        </w:rPr>
      </w:pPr>
      <w:r w:rsidRPr="002E64A6">
        <w:rPr>
          <w:bCs/>
          <w:szCs w:val="22"/>
        </w:rPr>
        <w:t>(ADR only:)</w:t>
      </w:r>
    </w:p>
    <w:p w14:paraId="289D0F4D" w14:textId="77777777" w:rsidR="009642E8" w:rsidRPr="002E64A6" w:rsidRDefault="009642E8" w:rsidP="009642E8">
      <w:pPr>
        <w:snapToGrid w:val="0"/>
        <w:spacing w:before="120" w:after="120"/>
        <w:ind w:left="2268" w:hanging="1134"/>
        <w:rPr>
          <w:szCs w:val="22"/>
        </w:rPr>
      </w:pPr>
      <w:r w:rsidRPr="002E64A6">
        <w:rPr>
          <w:b/>
          <w:szCs w:val="22"/>
        </w:rPr>
        <w:t>Chapter 6.12</w:t>
      </w:r>
    </w:p>
    <w:p w14:paraId="2C60BF96" w14:textId="2E31FA3C" w:rsidR="009642E8" w:rsidRPr="002E64A6" w:rsidRDefault="009642E8" w:rsidP="009642E8">
      <w:pPr>
        <w:snapToGrid w:val="0"/>
        <w:spacing w:before="120" w:after="120"/>
        <w:ind w:left="2268" w:hanging="1134"/>
        <w:rPr>
          <w:bCs/>
          <w:szCs w:val="22"/>
        </w:rPr>
      </w:pPr>
      <w:r w:rsidRPr="002E64A6">
        <w:rPr>
          <w:bCs/>
          <w:szCs w:val="22"/>
        </w:rPr>
        <w:t>6.12.3.2.6</w:t>
      </w:r>
      <w:r w:rsidRPr="002E64A6">
        <w:rPr>
          <w:bCs/>
          <w:szCs w:val="22"/>
        </w:rPr>
        <w:tab/>
        <w:t xml:space="preserve">Replace </w:t>
      </w:r>
      <w:r w:rsidR="00DB378D" w:rsidRPr="007149C6">
        <w:rPr>
          <w:bCs/>
        </w:rPr>
        <w:t>“</w:t>
      </w:r>
      <w:r w:rsidRPr="002E64A6">
        <w:rPr>
          <w:bCs/>
          <w:szCs w:val="22"/>
        </w:rPr>
        <w:t>at least</w:t>
      </w:r>
      <w:r w:rsidR="00B4792B" w:rsidRPr="007149C6">
        <w:rPr>
          <w:bCs/>
        </w:rPr>
        <w:t>”</w:t>
      </w:r>
      <w:r w:rsidRPr="002E64A6">
        <w:rPr>
          <w:bCs/>
          <w:szCs w:val="22"/>
        </w:rPr>
        <w:t xml:space="preserve"> by:</w:t>
      </w:r>
    </w:p>
    <w:p w14:paraId="16A2A354" w14:textId="2C49505B" w:rsidR="009642E8" w:rsidRPr="002E64A6" w:rsidRDefault="00DB378D" w:rsidP="009642E8">
      <w:pPr>
        <w:snapToGrid w:val="0"/>
        <w:spacing w:before="120" w:after="120" w:line="240" w:lineRule="auto"/>
        <w:ind w:left="2268"/>
        <w:rPr>
          <w:bCs/>
          <w:szCs w:val="22"/>
        </w:rPr>
      </w:pPr>
      <w:r w:rsidRPr="007149C6">
        <w:rPr>
          <w:bCs/>
        </w:rPr>
        <w:t>“</w:t>
      </w:r>
      <w:r w:rsidR="009642E8" w:rsidRPr="002E64A6">
        <w:rPr>
          <w:bCs/>
          <w:szCs w:val="22"/>
        </w:rPr>
        <w:t>no later than</w:t>
      </w:r>
      <w:r w:rsidR="00B4792B" w:rsidRPr="007149C6">
        <w:rPr>
          <w:bCs/>
        </w:rPr>
        <w:t>”</w:t>
      </w:r>
      <w:r w:rsidR="009642E8" w:rsidRPr="002E64A6">
        <w:rPr>
          <w:bCs/>
          <w:szCs w:val="22"/>
        </w:rPr>
        <w:t>.</w:t>
      </w:r>
    </w:p>
    <w:p w14:paraId="78608C14" w14:textId="77777777" w:rsidR="009642E8" w:rsidRPr="002E64A6" w:rsidRDefault="009642E8" w:rsidP="00D82808">
      <w:pPr>
        <w:snapToGrid w:val="0"/>
        <w:spacing w:before="120" w:after="120" w:line="240" w:lineRule="auto"/>
        <w:ind w:left="1134" w:right="1134"/>
        <w:jc w:val="both"/>
        <w:rPr>
          <w:rFonts w:cs="Arial"/>
          <w:i/>
          <w:iCs/>
          <w:szCs w:val="22"/>
        </w:rPr>
      </w:pPr>
      <w:r w:rsidRPr="002E64A6">
        <w:rPr>
          <w:rFonts w:cs="Arial"/>
          <w:i/>
          <w:iCs/>
          <w:szCs w:val="22"/>
        </w:rPr>
        <w:t>(Reference document: ECE/TRANS/WP.15/AC.1/2021/19, as amended by informal document INF.43)</w:t>
      </w:r>
    </w:p>
    <w:p w14:paraId="305A2C1B" w14:textId="77777777" w:rsidR="000B3F66" w:rsidRPr="002E64A6" w:rsidRDefault="000B3F66" w:rsidP="00C127E8">
      <w:pPr>
        <w:snapToGrid w:val="0"/>
        <w:spacing w:before="120" w:after="120"/>
        <w:ind w:left="2268" w:hanging="1134"/>
        <w:rPr>
          <w:b/>
          <w:lang w:eastAsia="zh-CN"/>
        </w:rPr>
      </w:pPr>
      <w:r w:rsidRPr="002E64A6">
        <w:rPr>
          <w:b/>
          <w:lang w:eastAsia="zh-CN"/>
        </w:rPr>
        <w:t>Chapter 7.4</w:t>
      </w:r>
    </w:p>
    <w:p w14:paraId="0E5AC40E" w14:textId="173F8F6D" w:rsidR="000B3F66" w:rsidRPr="002E64A6" w:rsidRDefault="00025BE4" w:rsidP="009E3D63">
      <w:pPr>
        <w:snapToGrid w:val="0"/>
        <w:spacing w:before="120" w:after="120"/>
        <w:ind w:left="2268" w:hanging="1134"/>
        <w:rPr>
          <w:bCs/>
          <w:lang w:eastAsia="zh-CN"/>
        </w:rPr>
      </w:pPr>
      <w:r>
        <w:rPr>
          <w:bCs/>
          <w:lang w:eastAsia="zh-CN"/>
        </w:rPr>
        <w:t xml:space="preserve">(RID:) </w:t>
      </w:r>
      <w:r w:rsidR="004C6E00">
        <w:rPr>
          <w:bCs/>
          <w:lang w:eastAsia="zh-CN"/>
        </w:rPr>
        <w:t>7.4</w:t>
      </w:r>
      <w:r>
        <w:rPr>
          <w:bCs/>
          <w:lang w:eastAsia="zh-CN"/>
        </w:rPr>
        <w:t xml:space="preserve"> </w:t>
      </w:r>
      <w:r w:rsidR="004C6E00">
        <w:rPr>
          <w:bCs/>
          <w:lang w:eastAsia="zh-CN"/>
        </w:rPr>
        <w:t>/</w:t>
      </w:r>
      <w:r>
        <w:rPr>
          <w:bCs/>
          <w:lang w:eastAsia="zh-CN"/>
        </w:rPr>
        <w:t xml:space="preserve"> (ADR:) </w:t>
      </w:r>
      <w:r w:rsidR="000B3F66" w:rsidRPr="002E64A6">
        <w:rPr>
          <w:bCs/>
          <w:lang w:eastAsia="zh-CN"/>
        </w:rPr>
        <w:t>7.4.1</w:t>
      </w:r>
      <w:r w:rsidR="000B3F66" w:rsidRPr="002E64A6">
        <w:rPr>
          <w:bCs/>
          <w:lang w:eastAsia="zh-CN"/>
        </w:rPr>
        <w:tab/>
        <w:t>Amend the first sentence to read as follows:</w:t>
      </w:r>
    </w:p>
    <w:p w14:paraId="4B20020F" w14:textId="28F32E64" w:rsidR="000B3F66" w:rsidRPr="002E64A6" w:rsidRDefault="000B3F66" w:rsidP="009E3D63">
      <w:pPr>
        <w:snapToGrid w:val="0"/>
        <w:spacing w:before="120" w:after="120"/>
        <w:ind w:left="2268" w:right="1134"/>
        <w:jc w:val="both"/>
        <w:rPr>
          <w:bCs/>
        </w:rPr>
      </w:pPr>
      <w:r w:rsidRPr="002E64A6">
        <w:rPr>
          <w:bCs/>
        </w:rPr>
        <w:t xml:space="preserve">“Dangerous goods </w:t>
      </w:r>
      <w:r w:rsidRPr="002E64A6">
        <w:rPr>
          <w:bCs/>
        </w:rPr>
        <w:t xml:space="preserve">may only be carried in tanks when a </w:t>
      </w:r>
      <w:r w:rsidR="00312620" w:rsidRPr="00C2165E">
        <w:rPr>
          <w:bCs/>
        </w:rPr>
        <w:t>portable</w:t>
      </w:r>
      <w:r w:rsidR="00312620" w:rsidRPr="002E64A6">
        <w:rPr>
          <w:bCs/>
        </w:rPr>
        <w:t xml:space="preserve"> </w:t>
      </w:r>
      <w:r w:rsidRPr="002E64A6">
        <w:rPr>
          <w:bCs/>
        </w:rPr>
        <w:t>tank instruction is shown in column (10) or when a tank code is shown in column (12) of Table A of Chapter 3.2, or when a competent authority has issued an authorisation in accordance with the conditions specified in 6.7.1.3.”</w:t>
      </w:r>
    </w:p>
    <w:p w14:paraId="25FBE366" w14:textId="2F9BD299" w:rsidR="000B3F66" w:rsidRPr="009E3D63" w:rsidRDefault="009E3D63" w:rsidP="009E3D63">
      <w:pPr>
        <w:snapToGrid w:val="0"/>
        <w:spacing w:before="120" w:after="120" w:line="240" w:lineRule="auto"/>
        <w:ind w:left="1134" w:right="1134"/>
        <w:jc w:val="both"/>
        <w:rPr>
          <w:rFonts w:cs="Arial"/>
          <w:i/>
          <w:iCs/>
          <w:szCs w:val="22"/>
        </w:rPr>
      </w:pPr>
      <w:r>
        <w:rPr>
          <w:rFonts w:cs="Arial"/>
          <w:i/>
          <w:iCs/>
          <w:szCs w:val="22"/>
        </w:rPr>
        <w:t>(</w:t>
      </w:r>
      <w:r w:rsidR="000B3F66" w:rsidRPr="009E3D63">
        <w:rPr>
          <w:rFonts w:cs="Arial"/>
          <w:i/>
          <w:iCs/>
          <w:szCs w:val="22"/>
        </w:rPr>
        <w:t>Reference document: informal document INF.4</w:t>
      </w:r>
      <w:r>
        <w:rPr>
          <w:rFonts w:cs="Arial"/>
          <w:i/>
          <w:iCs/>
          <w:szCs w:val="22"/>
        </w:rPr>
        <w:t>)</w:t>
      </w:r>
    </w:p>
    <w:p w14:paraId="4B4F93C0" w14:textId="77777777" w:rsidR="000B3F66" w:rsidRPr="009E3D63" w:rsidRDefault="000B3F66" w:rsidP="009E3D63">
      <w:pPr>
        <w:snapToGrid w:val="0"/>
        <w:spacing w:before="120" w:after="120"/>
        <w:ind w:left="2268" w:hanging="1134"/>
        <w:rPr>
          <w:b/>
          <w:lang w:eastAsia="zh-CN"/>
        </w:rPr>
      </w:pPr>
      <w:r w:rsidRPr="009E3D63">
        <w:rPr>
          <w:b/>
          <w:lang w:eastAsia="zh-CN"/>
        </w:rPr>
        <w:t>Chapter 8.1</w:t>
      </w:r>
    </w:p>
    <w:p w14:paraId="46E40278" w14:textId="77777777" w:rsidR="000B3F66" w:rsidRPr="002E64A6" w:rsidRDefault="000B3F66" w:rsidP="000148E6">
      <w:pPr>
        <w:tabs>
          <w:tab w:val="left" w:pos="1418"/>
          <w:tab w:val="left" w:pos="2977"/>
          <w:tab w:val="left" w:pos="4395"/>
        </w:tabs>
        <w:snapToGrid w:val="0"/>
        <w:spacing w:before="120" w:after="120" w:line="240" w:lineRule="auto"/>
        <w:ind w:left="1134"/>
        <w:rPr>
          <w:bCs/>
        </w:rPr>
      </w:pPr>
      <w:r w:rsidRPr="002E64A6">
        <w:rPr>
          <w:bCs/>
        </w:rPr>
        <w:t>(ADR only:)</w:t>
      </w:r>
    </w:p>
    <w:p w14:paraId="343F87A4" w14:textId="77777777" w:rsidR="000B3F66" w:rsidRPr="002E64A6" w:rsidRDefault="000B3F66" w:rsidP="000148E6">
      <w:pPr>
        <w:snapToGrid w:val="0"/>
        <w:spacing w:before="120" w:after="120"/>
        <w:ind w:left="2268" w:hanging="1134"/>
        <w:rPr>
          <w:bCs/>
        </w:rPr>
      </w:pPr>
      <w:r w:rsidRPr="002E64A6">
        <w:rPr>
          <w:bCs/>
        </w:rPr>
        <w:t>8.1.2.1</w:t>
      </w:r>
      <w:r w:rsidRPr="002E64A6">
        <w:rPr>
          <w:bCs/>
        </w:rPr>
        <w:tab/>
        <w:t>In paragraph (a), delete:</w:t>
      </w:r>
    </w:p>
    <w:p w14:paraId="04437473" w14:textId="2C28C457" w:rsidR="000B3F66" w:rsidRPr="002E64A6" w:rsidRDefault="002B1E7E" w:rsidP="000148E6">
      <w:pPr>
        <w:snapToGrid w:val="0"/>
        <w:spacing w:before="120" w:after="120"/>
        <w:ind w:left="2268" w:right="1134"/>
        <w:jc w:val="both"/>
        <w:rPr>
          <w:bCs/>
        </w:rPr>
      </w:pPr>
      <w:r w:rsidRPr="007149C6">
        <w:rPr>
          <w:bCs/>
        </w:rPr>
        <w:t>“</w:t>
      </w:r>
      <w:r w:rsidR="000B3F66" w:rsidRPr="002E64A6">
        <w:rPr>
          <w:bCs/>
        </w:rPr>
        <w:t>and, when appropriate, the container/vehicle packing certificate prescribed in 5.4.2</w:t>
      </w:r>
      <w:r w:rsidR="00B4792B" w:rsidRPr="007149C6">
        <w:rPr>
          <w:bCs/>
        </w:rPr>
        <w:t>”</w:t>
      </w:r>
      <w:r w:rsidR="000B3F66" w:rsidRPr="002E64A6">
        <w:rPr>
          <w:bCs/>
        </w:rPr>
        <w:t>.</w:t>
      </w:r>
    </w:p>
    <w:p w14:paraId="2AD71966" w14:textId="5494D413" w:rsidR="000B3F66" w:rsidRPr="002E64A6" w:rsidRDefault="00E72A5F" w:rsidP="00E72A5F">
      <w:pPr>
        <w:snapToGrid w:val="0"/>
        <w:spacing w:before="120" w:after="120" w:line="240" w:lineRule="auto"/>
        <w:ind w:left="1134" w:right="1134"/>
        <w:jc w:val="both"/>
        <w:rPr>
          <w:rFonts w:cs="Arial"/>
          <w:bCs/>
          <w:i/>
          <w:iCs/>
          <w:szCs w:val="22"/>
        </w:rPr>
      </w:pPr>
      <w:r w:rsidRPr="002E64A6">
        <w:rPr>
          <w:rFonts w:cs="Arial"/>
          <w:bCs/>
          <w:i/>
          <w:iCs/>
          <w:szCs w:val="22"/>
        </w:rPr>
        <w:lastRenderedPageBreak/>
        <w:t>(</w:t>
      </w:r>
      <w:r w:rsidR="000B3F66" w:rsidRPr="002E64A6">
        <w:rPr>
          <w:rFonts w:cs="Arial"/>
          <w:bCs/>
          <w:i/>
          <w:iCs/>
          <w:szCs w:val="22"/>
        </w:rPr>
        <w:t>Reference document: ECE/TRANS/WP.15/AC.1/2021/22, as amended by informal document INF.40</w:t>
      </w:r>
      <w:r w:rsidRPr="002E64A6">
        <w:rPr>
          <w:rFonts w:cs="Arial"/>
          <w:bCs/>
          <w:i/>
          <w:iCs/>
          <w:szCs w:val="22"/>
        </w:rPr>
        <w:t>)</w:t>
      </w:r>
    </w:p>
    <w:p w14:paraId="18F62BAF" w14:textId="77777777" w:rsidR="000B3F66" w:rsidRPr="002E64A6" w:rsidRDefault="000B3F66" w:rsidP="000148E6">
      <w:pPr>
        <w:tabs>
          <w:tab w:val="left" w:pos="1418"/>
          <w:tab w:val="left" w:pos="2977"/>
          <w:tab w:val="left" w:pos="4395"/>
        </w:tabs>
        <w:snapToGrid w:val="0"/>
        <w:spacing w:before="120" w:after="120" w:line="240" w:lineRule="auto"/>
        <w:ind w:left="1134"/>
        <w:rPr>
          <w:bCs/>
        </w:rPr>
      </w:pPr>
      <w:r w:rsidRPr="002E64A6">
        <w:rPr>
          <w:bCs/>
        </w:rPr>
        <w:t>(ADN only:)</w:t>
      </w:r>
    </w:p>
    <w:p w14:paraId="36F692F2" w14:textId="5BF098C8" w:rsidR="000B3F66" w:rsidRPr="002E64A6" w:rsidRDefault="000B3F66" w:rsidP="000148E6">
      <w:pPr>
        <w:snapToGrid w:val="0"/>
        <w:spacing w:before="120" w:after="120"/>
        <w:ind w:left="2268" w:hanging="1134"/>
        <w:rPr>
          <w:bCs/>
        </w:rPr>
      </w:pPr>
      <w:r w:rsidRPr="002E64A6">
        <w:rPr>
          <w:bCs/>
        </w:rPr>
        <w:t>8.1.2.1</w:t>
      </w:r>
      <w:r w:rsidRPr="002E64A6">
        <w:rPr>
          <w:bCs/>
        </w:rPr>
        <w:tab/>
      </w:r>
      <w:r w:rsidR="00497A6C" w:rsidRPr="002E64A6">
        <w:rPr>
          <w:bCs/>
        </w:rPr>
        <w:tab/>
      </w:r>
      <w:r w:rsidRPr="002E64A6">
        <w:rPr>
          <w:bCs/>
        </w:rPr>
        <w:t>In paragraph (b), delete:</w:t>
      </w:r>
    </w:p>
    <w:p w14:paraId="2C70147F" w14:textId="57BFE9C6" w:rsidR="000B3F66" w:rsidRPr="002E64A6" w:rsidRDefault="002B1E7E" w:rsidP="000148E6">
      <w:pPr>
        <w:pStyle w:val="SingleTxtG"/>
        <w:kinsoku w:val="0"/>
        <w:overflowPunct w:val="0"/>
        <w:autoSpaceDE w:val="0"/>
        <w:autoSpaceDN w:val="0"/>
        <w:adjustRightInd w:val="0"/>
        <w:snapToGrid w:val="0"/>
        <w:spacing w:before="120"/>
        <w:ind w:left="2268" w:right="1133"/>
        <w:rPr>
          <w:bCs/>
        </w:rPr>
      </w:pPr>
      <w:r w:rsidRPr="007149C6">
        <w:rPr>
          <w:bCs/>
        </w:rPr>
        <w:t>“</w:t>
      </w:r>
      <w:r w:rsidR="000B3F66" w:rsidRPr="002E64A6">
        <w:rPr>
          <w:bCs/>
        </w:rPr>
        <w:t>and, when appropriate, the container/vehicle packing certificate prescribed in 5.4.2</w:t>
      </w:r>
      <w:r w:rsidR="00B4792B" w:rsidRPr="007149C6">
        <w:rPr>
          <w:bCs/>
        </w:rPr>
        <w:t>”</w:t>
      </w:r>
      <w:r w:rsidR="000B3F66" w:rsidRPr="002E64A6">
        <w:rPr>
          <w:bCs/>
        </w:rPr>
        <w:t>.</w:t>
      </w:r>
    </w:p>
    <w:p w14:paraId="62CF2A05" w14:textId="1E1D9B22" w:rsidR="000B3F66" w:rsidRPr="002E64A6" w:rsidRDefault="00D82808" w:rsidP="00D82808">
      <w:pPr>
        <w:snapToGrid w:val="0"/>
        <w:spacing w:before="120" w:after="120" w:line="240" w:lineRule="auto"/>
        <w:ind w:left="1134" w:right="1134"/>
        <w:jc w:val="both"/>
        <w:rPr>
          <w:rFonts w:cs="Arial"/>
          <w:bCs/>
          <w:i/>
          <w:iCs/>
          <w:szCs w:val="22"/>
        </w:rPr>
      </w:pPr>
      <w:r w:rsidRPr="002E64A6">
        <w:rPr>
          <w:rFonts w:cs="Arial"/>
          <w:bCs/>
          <w:i/>
          <w:iCs/>
          <w:szCs w:val="22"/>
        </w:rPr>
        <w:t>(</w:t>
      </w:r>
      <w:r w:rsidR="000B3F66" w:rsidRPr="002E64A6">
        <w:rPr>
          <w:rFonts w:cs="Arial"/>
          <w:bCs/>
          <w:i/>
          <w:iCs/>
          <w:szCs w:val="22"/>
        </w:rPr>
        <w:t>Reference document: ECE/TRANS/WP.15/AC.1/2021/22, as amended by informal document INF.40</w:t>
      </w:r>
      <w:r w:rsidRPr="002E64A6">
        <w:rPr>
          <w:rFonts w:cs="Arial"/>
          <w:bCs/>
          <w:i/>
          <w:iCs/>
          <w:szCs w:val="22"/>
        </w:rPr>
        <w:t>)</w:t>
      </w:r>
    </w:p>
    <w:p w14:paraId="07FBBA90" w14:textId="77777777" w:rsidR="00E71A4A" w:rsidRPr="000148E6" w:rsidRDefault="00E71A4A" w:rsidP="00E71A4A">
      <w:pPr>
        <w:suppressAutoHyphens w:val="0"/>
        <w:spacing w:line="240" w:lineRule="auto"/>
        <w:rPr>
          <w:u w:val="single"/>
        </w:rPr>
      </w:pPr>
      <w:r>
        <w:rPr>
          <w:u w:val="single"/>
        </w:rPr>
        <w:br w:type="page"/>
      </w:r>
    </w:p>
    <w:p w14:paraId="5F30C8B4" w14:textId="28EBE623" w:rsidR="00E71A4A" w:rsidRPr="0047362A" w:rsidRDefault="00E71A4A" w:rsidP="00C85816">
      <w:pPr>
        <w:pStyle w:val="HChG"/>
        <w:tabs>
          <w:tab w:val="left" w:pos="6804"/>
        </w:tabs>
        <w:rPr>
          <w:b w:val="0"/>
        </w:rPr>
      </w:pPr>
      <w:r w:rsidRPr="0047362A">
        <w:lastRenderedPageBreak/>
        <w:t>Annex I</w:t>
      </w:r>
      <w:r>
        <w:t>I</w:t>
      </w:r>
      <w:r w:rsidRPr="0047362A">
        <w:t>I</w:t>
      </w:r>
      <w:r w:rsidR="00391181">
        <w:tab/>
      </w:r>
      <w:r w:rsidR="00391181" w:rsidRPr="00F41226">
        <w:rPr>
          <w:rStyle w:val="normaltextrun"/>
          <w:b w:val="0"/>
          <w:bCs/>
          <w:color w:val="000000"/>
          <w:sz w:val="20"/>
          <w:bdr w:val="none" w:sz="0" w:space="0" w:color="auto" w:frame="1"/>
        </w:rPr>
        <w:t xml:space="preserve">[English </w:t>
      </w:r>
      <w:r w:rsidR="00391181">
        <w:rPr>
          <w:rStyle w:val="normaltextrun"/>
          <w:b w:val="0"/>
          <w:bCs/>
          <w:color w:val="000000"/>
          <w:sz w:val="20"/>
          <w:bdr w:val="none" w:sz="0" w:space="0" w:color="auto" w:frame="1"/>
        </w:rPr>
        <w:t>only</w:t>
      </w:r>
      <w:r w:rsidR="00391181" w:rsidRPr="00F41226">
        <w:rPr>
          <w:rStyle w:val="normaltextrun"/>
          <w:b w:val="0"/>
          <w:bCs/>
          <w:color w:val="000000"/>
          <w:sz w:val="20"/>
          <w:bdr w:val="none" w:sz="0" w:space="0" w:color="auto" w:frame="1"/>
        </w:rPr>
        <w:t>]</w:t>
      </w:r>
    </w:p>
    <w:p w14:paraId="6D90898A" w14:textId="746E0891" w:rsidR="00E71A4A" w:rsidRPr="005004C2" w:rsidRDefault="00E71A4A" w:rsidP="00E71A4A">
      <w:pPr>
        <w:pStyle w:val="HChG"/>
      </w:pPr>
      <w:r>
        <w:tab/>
      </w:r>
      <w:r>
        <w:tab/>
        <w:t xml:space="preserve">Terms of reference </w:t>
      </w:r>
      <w:r w:rsidR="009E669A">
        <w:t>of the informal working group on</w:t>
      </w:r>
      <w:r w:rsidR="00D00C92" w:rsidRPr="00D00C92">
        <w:t xml:space="preserve"> the carriage of molten aluminium</w:t>
      </w:r>
    </w:p>
    <w:p w14:paraId="38BA3BA1" w14:textId="45B865CC" w:rsidR="00DF7CF1" w:rsidRDefault="00DF7CF1" w:rsidP="000B3F66">
      <w:pPr>
        <w:spacing w:before="240"/>
        <w:jc w:val="both"/>
        <w:rPr>
          <w:u w:val="single"/>
          <w:lang w:val="fr-FR"/>
        </w:rPr>
      </w:pPr>
    </w:p>
    <w:p w14:paraId="129F3F19" w14:textId="55396FD6" w:rsidR="00BC7BB9" w:rsidRDefault="00BC7BB9" w:rsidP="00BC7BB9">
      <w:pPr>
        <w:pStyle w:val="SingleTxtG"/>
      </w:pPr>
      <w:r>
        <w:t xml:space="preserve">Based on the proposal in </w:t>
      </w:r>
      <w:r w:rsidR="009E669A">
        <w:t xml:space="preserve">official </w:t>
      </w:r>
      <w:r>
        <w:t xml:space="preserve">document </w:t>
      </w:r>
      <w:r w:rsidR="009E669A">
        <w:t>ECE/TRANS/WP.15/AC.1/</w:t>
      </w:r>
      <w:r>
        <w:t>2021/1 and the discussion of the Joint Meeting</w:t>
      </w:r>
      <w:r w:rsidR="00CE40E5">
        <w:t xml:space="preserve"> at its spring 2021 session</w:t>
      </w:r>
      <w:r>
        <w:t xml:space="preserve">, an informal working group </w:t>
      </w:r>
      <w:r w:rsidR="00204E72">
        <w:t>was</w:t>
      </w:r>
      <w:r>
        <w:t xml:space="preserve"> established with the following terms of reference:</w:t>
      </w:r>
    </w:p>
    <w:p w14:paraId="02444CA6" w14:textId="221F9D04" w:rsidR="00BC7BB9" w:rsidRDefault="00BC7BB9" w:rsidP="00BC7BB9">
      <w:pPr>
        <w:pStyle w:val="SingleTxtG"/>
        <w:numPr>
          <w:ilvl w:val="0"/>
          <w:numId w:val="22"/>
        </w:numPr>
      </w:pPr>
      <w:r>
        <w:t xml:space="preserve">Develop appropriate RID/ADR provisions for the safe transport of molten aluminium of UN number 3257, </w:t>
      </w:r>
      <w:proofErr w:type="gramStart"/>
      <w:r>
        <w:t xml:space="preserve">in particular </w:t>
      </w:r>
      <w:r w:rsidR="00204E72">
        <w:t>on</w:t>
      </w:r>
      <w:proofErr w:type="gramEnd"/>
      <w:r>
        <w:t>:</w:t>
      </w:r>
    </w:p>
    <w:p w14:paraId="113D2704" w14:textId="38D4B02E" w:rsidR="00BC7BB9" w:rsidRDefault="00BC7BB9" w:rsidP="00BC7BB9">
      <w:pPr>
        <w:pStyle w:val="SingleTxtG"/>
        <w:numPr>
          <w:ilvl w:val="0"/>
          <w:numId w:val="21"/>
        </w:numPr>
      </w:pPr>
      <w:r>
        <w:t xml:space="preserve">The design, construction, </w:t>
      </w:r>
      <w:r w:rsidRPr="00226FD9">
        <w:t>approval and inspection</w:t>
      </w:r>
      <w:r>
        <w:t xml:space="preserve"> of vats, taking into account experience with accidents with molten aluminium and likely effects of heating cycles and the temperature on the </w:t>
      </w:r>
      <w:proofErr w:type="gramStart"/>
      <w:r>
        <w:t>material;</w:t>
      </w:r>
      <w:proofErr w:type="gramEnd"/>
    </w:p>
    <w:p w14:paraId="720E8C75" w14:textId="77777777" w:rsidR="00BC7BB9" w:rsidRDefault="00BC7BB9" w:rsidP="00BC7BB9">
      <w:pPr>
        <w:pStyle w:val="SingleTxtG"/>
        <w:numPr>
          <w:ilvl w:val="0"/>
          <w:numId w:val="21"/>
        </w:numPr>
      </w:pPr>
      <w:r>
        <w:t xml:space="preserve">The approval and inspection of </w:t>
      </w:r>
      <w:proofErr w:type="gramStart"/>
      <w:r>
        <w:t>vats;</w:t>
      </w:r>
      <w:proofErr w:type="gramEnd"/>
    </w:p>
    <w:p w14:paraId="332F6AB4" w14:textId="77777777" w:rsidR="00BC7BB9" w:rsidRDefault="00BC7BB9" w:rsidP="00BC7BB9">
      <w:pPr>
        <w:pStyle w:val="SingleTxtG"/>
        <w:numPr>
          <w:ilvl w:val="0"/>
          <w:numId w:val="21"/>
        </w:numPr>
      </w:pPr>
      <w:r>
        <w:t xml:space="preserve">The marking of vats and documentation </w:t>
      </w:r>
      <w:proofErr w:type="gramStart"/>
      <w:r>
        <w:t>requirements;</w:t>
      </w:r>
      <w:proofErr w:type="gramEnd"/>
    </w:p>
    <w:p w14:paraId="3D1D3B28" w14:textId="77777777" w:rsidR="00BC7BB9" w:rsidRDefault="00BC7BB9" w:rsidP="00BC7BB9">
      <w:pPr>
        <w:pStyle w:val="SingleTxtG"/>
        <w:numPr>
          <w:ilvl w:val="0"/>
          <w:numId w:val="21"/>
        </w:numPr>
      </w:pPr>
      <w:r>
        <w:t xml:space="preserve">Fire and explosion </w:t>
      </w:r>
      <w:proofErr w:type="gramStart"/>
      <w:r>
        <w:t>protection;</w:t>
      </w:r>
      <w:proofErr w:type="gramEnd"/>
    </w:p>
    <w:p w14:paraId="2573371D" w14:textId="527797FF" w:rsidR="00BC7BB9" w:rsidRDefault="00BC7BB9" w:rsidP="00BC7BB9">
      <w:pPr>
        <w:pStyle w:val="SingleTxtG"/>
        <w:numPr>
          <w:ilvl w:val="0"/>
          <w:numId w:val="21"/>
        </w:numPr>
      </w:pPr>
      <w:r>
        <w:t>The vehicles/wagons for the carriage of vats (e.g. stability, attachment of vats</w:t>
      </w:r>
      <w:proofErr w:type="gramStart"/>
      <w:r>
        <w:t>);</w:t>
      </w:r>
      <w:proofErr w:type="gramEnd"/>
    </w:p>
    <w:p w14:paraId="5016153F" w14:textId="1889EEF6" w:rsidR="00BC7BB9" w:rsidRDefault="00BC7BB9" w:rsidP="00BC7BB9">
      <w:pPr>
        <w:pStyle w:val="SingleTxtG"/>
        <w:numPr>
          <w:ilvl w:val="0"/>
          <w:numId w:val="21"/>
        </w:numPr>
      </w:pPr>
      <w:r>
        <w:t xml:space="preserve">Training requirements, like training of the driver for the vehicles (e.g. driving physics, </w:t>
      </w:r>
      <w:r w:rsidR="00F91F7B">
        <w:t>specific</w:t>
      </w:r>
      <w:r>
        <w:t xml:space="preserve"> handling behaviour).</w:t>
      </w:r>
    </w:p>
    <w:p w14:paraId="7A39F730" w14:textId="0FE53DD7" w:rsidR="00BC7BB9" w:rsidRDefault="00BC7BB9" w:rsidP="00BC7BB9">
      <w:pPr>
        <w:pStyle w:val="SingleTxtG"/>
        <w:numPr>
          <w:ilvl w:val="0"/>
          <w:numId w:val="22"/>
        </w:numPr>
      </w:pPr>
      <w:r>
        <w:t xml:space="preserve">Review the impact on existing national provisions </w:t>
      </w:r>
      <w:proofErr w:type="gramStart"/>
      <w:r>
        <w:t xml:space="preserve">in particular </w:t>
      </w:r>
      <w:r w:rsidR="00F91F7B">
        <w:t>on</w:t>
      </w:r>
      <w:proofErr w:type="gramEnd"/>
      <w:r>
        <w:t xml:space="preserve"> the assignment o</w:t>
      </w:r>
      <w:r w:rsidR="00F91F7B">
        <w:t>f</w:t>
      </w:r>
      <w:r>
        <w:t xml:space="preserve"> VC</w:t>
      </w:r>
      <w:r w:rsidR="00F91F7B">
        <w:t> </w:t>
      </w:r>
      <w:r>
        <w:t>3.</w:t>
      </w:r>
    </w:p>
    <w:p w14:paraId="1CCCDC75" w14:textId="6E3892FA" w:rsidR="00BC7BB9" w:rsidRDefault="00BC7BB9" w:rsidP="00BC7BB9">
      <w:pPr>
        <w:pStyle w:val="SingleTxtG"/>
        <w:numPr>
          <w:ilvl w:val="0"/>
          <w:numId w:val="22"/>
        </w:numPr>
      </w:pPr>
      <w:r>
        <w:t>Analyse the need for transitional periods.</w:t>
      </w:r>
    </w:p>
    <w:p w14:paraId="0B6B7749" w14:textId="0EA52806" w:rsidR="005E59DE" w:rsidRDefault="005E59DE" w:rsidP="00BC7BB9">
      <w:pPr>
        <w:pStyle w:val="SingleTxtG"/>
        <w:numPr>
          <w:ilvl w:val="0"/>
          <w:numId w:val="22"/>
        </w:numPr>
      </w:pPr>
      <w:r>
        <w:t xml:space="preserve">Analyse the possible impact of modifications of the vats </w:t>
      </w:r>
      <w:r w:rsidR="00DC251C">
        <w:t>at</w:t>
      </w:r>
      <w:r>
        <w:t xml:space="preserve"> reception facilities.</w:t>
      </w:r>
    </w:p>
    <w:p w14:paraId="1F9756E2" w14:textId="77777777" w:rsidR="004616B2" w:rsidRPr="00D82808" w:rsidRDefault="004616B2" w:rsidP="004616B2">
      <w:pPr>
        <w:snapToGrid w:val="0"/>
        <w:spacing w:before="120" w:after="120" w:line="240" w:lineRule="auto"/>
        <w:ind w:left="1134" w:right="1134"/>
        <w:jc w:val="both"/>
        <w:rPr>
          <w:rFonts w:cs="Arial"/>
          <w:i/>
          <w:iCs/>
          <w:szCs w:val="22"/>
        </w:rPr>
      </w:pPr>
      <w:r>
        <w:rPr>
          <w:rFonts w:cs="Arial"/>
          <w:i/>
          <w:iCs/>
          <w:szCs w:val="22"/>
        </w:rPr>
        <w:t>(</w:t>
      </w:r>
      <w:r w:rsidRPr="00D82808">
        <w:rPr>
          <w:rFonts w:cs="Arial"/>
          <w:i/>
          <w:iCs/>
          <w:szCs w:val="22"/>
        </w:rPr>
        <w:t>Reference document: informal document INF.41</w:t>
      </w:r>
      <w:r>
        <w:rPr>
          <w:rFonts w:cs="Arial"/>
          <w:i/>
          <w:iCs/>
          <w:szCs w:val="22"/>
        </w:rPr>
        <w:t>)</w:t>
      </w:r>
    </w:p>
    <w:p w14:paraId="4D3B9010" w14:textId="6436BA5E" w:rsidR="00BC7BB9" w:rsidRDefault="00BC7BB9" w:rsidP="007149C6">
      <w:pPr>
        <w:spacing w:before="240"/>
        <w:jc w:val="center"/>
        <w:rPr>
          <w:u w:val="single"/>
          <w:lang w:val="fr-FR"/>
        </w:rPr>
      </w:pPr>
      <w:r>
        <w:t>_________________________</w:t>
      </w:r>
    </w:p>
    <w:sectPr w:rsidR="00BC7BB9" w:rsidSect="00882F4E">
      <w:headerReference w:type="even" r:id="rId24"/>
      <w:headerReference w:type="default" r:id="rId25"/>
      <w:footerReference w:type="even" r:id="rId26"/>
      <w:footerReference w:type="default" r:id="rId27"/>
      <w:footnotePr>
        <w:numFmt w:val="chicago"/>
      </w:footnotePr>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6F4A4E" w14:textId="77777777" w:rsidR="009F4FF0" w:rsidRDefault="009F4FF0"/>
  </w:endnote>
  <w:endnote w:type="continuationSeparator" w:id="0">
    <w:p w14:paraId="67BBDDAA" w14:textId="77777777" w:rsidR="009F4FF0" w:rsidRDefault="009F4FF0"/>
  </w:endnote>
  <w:endnote w:type="continuationNotice" w:id="1">
    <w:p w14:paraId="306A46FD" w14:textId="77777777" w:rsidR="009F4FF0" w:rsidRDefault="009F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1D6DFA" w14:textId="72116455" w:rsidR="009642E8" w:rsidRPr="00882F4E" w:rsidRDefault="009642E8" w:rsidP="00882F4E">
    <w:pPr>
      <w:pStyle w:val="Pieddepage"/>
      <w:tabs>
        <w:tab w:val="right" w:pos="9638"/>
      </w:tabs>
      <w:rPr>
        <w:sz w:val="18"/>
      </w:rPr>
    </w:pPr>
    <w:r w:rsidRPr="00882F4E">
      <w:rPr>
        <w:b/>
        <w:sz w:val="18"/>
      </w:rPr>
      <w:fldChar w:fldCharType="begin"/>
    </w:r>
    <w:r w:rsidRPr="00882F4E">
      <w:rPr>
        <w:b/>
        <w:sz w:val="18"/>
      </w:rPr>
      <w:instrText xml:space="preserve"> PAGE  \* MERGEFORMAT </w:instrText>
    </w:r>
    <w:r w:rsidRPr="00882F4E">
      <w:rPr>
        <w:b/>
        <w:sz w:val="18"/>
      </w:rPr>
      <w:fldChar w:fldCharType="separate"/>
    </w:r>
    <w:r w:rsidR="00312620">
      <w:rPr>
        <w:b/>
        <w:noProof/>
        <w:sz w:val="18"/>
      </w:rPr>
      <w:t>24</w:t>
    </w:r>
    <w:r w:rsidRPr="00882F4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347E7" w14:textId="459A5F7B" w:rsidR="009642E8" w:rsidRPr="00882F4E" w:rsidRDefault="009642E8" w:rsidP="00882F4E">
    <w:pPr>
      <w:pStyle w:val="Pieddepage"/>
      <w:tabs>
        <w:tab w:val="right" w:pos="9638"/>
      </w:tabs>
      <w:rPr>
        <w:b/>
        <w:sz w:val="18"/>
      </w:rPr>
    </w:pPr>
    <w:r>
      <w:tab/>
    </w:r>
    <w:r w:rsidRPr="00882F4E">
      <w:rPr>
        <w:b/>
        <w:sz w:val="18"/>
      </w:rPr>
      <w:fldChar w:fldCharType="begin"/>
    </w:r>
    <w:r w:rsidRPr="00882F4E">
      <w:rPr>
        <w:b/>
        <w:sz w:val="18"/>
      </w:rPr>
      <w:instrText xml:space="preserve"> PAGE  \* MERGEFORMAT </w:instrText>
    </w:r>
    <w:r w:rsidRPr="00882F4E">
      <w:rPr>
        <w:b/>
        <w:sz w:val="18"/>
      </w:rPr>
      <w:fldChar w:fldCharType="separate"/>
    </w:r>
    <w:r w:rsidR="00312620">
      <w:rPr>
        <w:b/>
        <w:noProof/>
        <w:sz w:val="18"/>
      </w:rPr>
      <w:t>25</w:t>
    </w:r>
    <w:r w:rsidRPr="00882F4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7A45B" w14:textId="77777777" w:rsidR="009F4FF0" w:rsidRPr="000B175B" w:rsidRDefault="009F4FF0" w:rsidP="000B175B">
      <w:pPr>
        <w:tabs>
          <w:tab w:val="right" w:pos="2155"/>
        </w:tabs>
        <w:spacing w:after="80"/>
        <w:ind w:left="680"/>
        <w:rPr>
          <w:u w:val="single"/>
        </w:rPr>
      </w:pPr>
      <w:r>
        <w:rPr>
          <w:u w:val="single"/>
        </w:rPr>
        <w:tab/>
      </w:r>
    </w:p>
  </w:footnote>
  <w:footnote w:type="continuationSeparator" w:id="0">
    <w:p w14:paraId="492D1E9B" w14:textId="77777777" w:rsidR="009F4FF0" w:rsidRPr="00FC68B7" w:rsidRDefault="009F4FF0" w:rsidP="00FC68B7">
      <w:pPr>
        <w:tabs>
          <w:tab w:val="left" w:pos="2155"/>
        </w:tabs>
        <w:spacing w:after="80"/>
        <w:ind w:left="680"/>
        <w:rPr>
          <w:u w:val="single"/>
        </w:rPr>
      </w:pPr>
      <w:r>
        <w:rPr>
          <w:u w:val="single"/>
        </w:rPr>
        <w:tab/>
      </w:r>
    </w:p>
  </w:footnote>
  <w:footnote w:type="continuationNotice" w:id="1">
    <w:p w14:paraId="7861EDD8" w14:textId="77777777" w:rsidR="009F4FF0" w:rsidRDefault="009F4FF0"/>
  </w:footnote>
  <w:footnote w:id="2">
    <w:p w14:paraId="58DD5884" w14:textId="19A7617A" w:rsidR="000329EE" w:rsidRPr="000329EE" w:rsidRDefault="000329EE">
      <w:pPr>
        <w:pStyle w:val="Notedebasdepage"/>
        <w:rPr>
          <w:b/>
          <w:bCs/>
          <w:sz w:val="20"/>
          <w:lang w:val="fr-CH"/>
        </w:rPr>
      </w:pPr>
      <w:r>
        <w:rPr>
          <w:b/>
          <w:bCs/>
          <w:sz w:val="20"/>
        </w:rPr>
        <w:tab/>
      </w:r>
      <w:r w:rsidRPr="000329EE">
        <w:rPr>
          <w:rStyle w:val="Appelnotedebasdep"/>
          <w:b/>
          <w:bCs/>
          <w:sz w:val="20"/>
        </w:rPr>
        <w:footnoteRef/>
      </w:r>
      <w:r>
        <w:rPr>
          <w:b/>
          <w:bCs/>
          <w:sz w:val="20"/>
        </w:rPr>
        <w:tab/>
      </w:r>
      <w:r w:rsidRPr="005D5932">
        <w:rPr>
          <w:szCs w:val="18"/>
        </w:rPr>
        <w:t xml:space="preserve">Circulated by the Intergovernmental Organization for International Carriage by Rail (OTIF) under the symbol </w:t>
      </w:r>
      <w:r w:rsidRPr="00386B02">
        <w:rPr>
          <w:szCs w:val="18"/>
        </w:rPr>
        <w:t>OTIF/RID/RC/20</w:t>
      </w:r>
      <w:r w:rsidRPr="0049594B">
        <w:rPr>
          <w:szCs w:val="18"/>
          <w:lang w:val="en-US"/>
        </w:rPr>
        <w:t>2</w:t>
      </w:r>
      <w:r>
        <w:rPr>
          <w:szCs w:val="18"/>
          <w:lang w:val="en-US"/>
        </w:rPr>
        <w:t>1</w:t>
      </w:r>
      <w:r w:rsidRPr="00386B02">
        <w:rPr>
          <w:szCs w:val="18"/>
        </w:rPr>
        <w:t>-</w:t>
      </w:r>
      <w:r w:rsidRPr="007149C6">
        <w:rPr>
          <w:szCs w:val="18"/>
          <w:lang w:val="en-US"/>
        </w:rPr>
        <w:t>A</w:t>
      </w:r>
      <w:r w:rsidRPr="00386B02">
        <w:rPr>
          <w:szCs w:val="18"/>
        </w:rPr>
        <w:t>.</w:t>
      </w:r>
      <w:r w:rsidRPr="005D5932">
        <w:rPr>
          <w:szCs w:val="18"/>
        </w:rPr>
        <w:t xml:space="preserve"> Unless otherwise indicated, the other documents referred to in this report under the symbol ECE/TRANS/WP.15/AC.1/ followed by the year and a serial number were circulated by OTIF under the symbol OTIF/RID/RC/ followed by the year and the same serial number.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6EE29C" w14:textId="7911CA56" w:rsidR="009642E8" w:rsidRPr="00882F4E" w:rsidRDefault="009F4FF0">
    <w:pPr>
      <w:pStyle w:val="En-tte"/>
    </w:pPr>
    <w:fldSimple w:instr=" TITLE  \* MERGEFORMAT ">
      <w:r w:rsidR="00734AC5">
        <w:t>ECE/TRANS/WP.15/AC.1/160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D5DA9" w14:textId="30C729F4" w:rsidR="009642E8" w:rsidRPr="00882F4E" w:rsidRDefault="009F4FF0" w:rsidP="00882F4E">
    <w:pPr>
      <w:pStyle w:val="En-tte"/>
      <w:jc w:val="right"/>
    </w:pPr>
    <w:fldSimple w:instr=" TITLE  \* MERGEFORMAT ">
      <w:r w:rsidR="00734AC5">
        <w:t>ECE/TRANS/WP.15/AC.1/160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AA63809"/>
    <w:multiLevelType w:val="hybridMultilevel"/>
    <w:tmpl w:val="E7820E22"/>
    <w:lvl w:ilvl="0" w:tplc="0407000F">
      <w:start w:val="1"/>
      <w:numFmt w:val="decimal"/>
      <w:lvlText w:val="%1."/>
      <w:lvlJc w:val="left"/>
      <w:pPr>
        <w:ind w:left="1494" w:hanging="360"/>
      </w:p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1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9E0DF1"/>
    <w:multiLevelType w:val="hybridMultilevel"/>
    <w:tmpl w:val="F00C870C"/>
    <w:lvl w:ilvl="0" w:tplc="04070017">
      <w:start w:val="1"/>
      <w:numFmt w:val="lowerLetter"/>
      <w:lvlText w:val="%1)"/>
      <w:lvlJc w:val="left"/>
      <w:pPr>
        <w:ind w:left="1854" w:hanging="360"/>
      </w:p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20"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8"/>
  </w:num>
  <w:num w:numId="18">
    <w:abstractNumId w:val="20"/>
  </w:num>
  <w:num w:numId="19">
    <w:abstractNumId w:val="11"/>
  </w:num>
  <w:num w:numId="20">
    <w:abstractNumId w:val="11"/>
  </w:num>
  <w:num w:numId="21">
    <w:abstractNumId w:val="19"/>
  </w:num>
  <w:num w:numId="22">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GB" w:vendorID="64" w:dllVersion="5" w:nlCheck="1" w:checkStyle="1"/>
  <w:activeWritingStyle w:appName="MSWord" w:lang="en-GB" w:vendorID="64" w:dllVersion="6" w:nlCheck="1" w:checkStyle="0"/>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de-DE" w:vendorID="64" w:dllVersion="0" w:nlCheck="1" w:checkStyle="0"/>
  <w:activeWritingStyle w:appName="MSWord" w:lang="fr-CH" w:vendorID="64" w:dllVersion="0" w:nlCheck="1" w:checkStyle="0"/>
  <w:activeWritingStyle w:appName="MSWord" w:lang="fr-FR" w:vendorID="64" w:dllVersion="6" w:nlCheck="1" w:checkStyle="0"/>
  <w:activeWritingStyle w:appName="MSWord" w:lang="en-US" w:vendorID="64" w:dllVersion="6" w:nlCheck="1" w:checkStyle="0"/>
  <w:activeWritingStyle w:appName="MSWord" w:lang="fr-CH" w:vendorID="64" w:dllVersion="6" w:nlCheck="1" w:checkStyle="0"/>
  <w:activeWritingStyle w:appName="MSWord" w:lang="de-DE" w:vendorID="64" w:dllVersion="6" w:nlCheck="1" w:checkStyle="0"/>
  <w:activeWritingStyle w:appName="MSWord" w:lang="nl-NL" w:vendorID="64" w:dllVersion="6" w:nlCheck="1" w:checkStyle="0"/>
  <w:activeWritingStyle w:appName="MSWord" w:lang="nl-NL"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F4E"/>
    <w:rsid w:val="00002A7D"/>
    <w:rsid w:val="000038A8"/>
    <w:rsid w:val="00003C21"/>
    <w:rsid w:val="0000577F"/>
    <w:rsid w:val="00006790"/>
    <w:rsid w:val="00011285"/>
    <w:rsid w:val="00011C94"/>
    <w:rsid w:val="000137A5"/>
    <w:rsid w:val="00013DB4"/>
    <w:rsid w:val="00014880"/>
    <w:rsid w:val="000148E6"/>
    <w:rsid w:val="00017C46"/>
    <w:rsid w:val="00020FE5"/>
    <w:rsid w:val="0002386C"/>
    <w:rsid w:val="00024463"/>
    <w:rsid w:val="00024DE2"/>
    <w:rsid w:val="00025BE4"/>
    <w:rsid w:val="00027624"/>
    <w:rsid w:val="00030CB0"/>
    <w:rsid w:val="000329EE"/>
    <w:rsid w:val="00035A7C"/>
    <w:rsid w:val="00037456"/>
    <w:rsid w:val="00041081"/>
    <w:rsid w:val="00041B13"/>
    <w:rsid w:val="00047C17"/>
    <w:rsid w:val="000509AE"/>
    <w:rsid w:val="00050F6B"/>
    <w:rsid w:val="00054792"/>
    <w:rsid w:val="0005568E"/>
    <w:rsid w:val="000614FE"/>
    <w:rsid w:val="0006189B"/>
    <w:rsid w:val="00061B17"/>
    <w:rsid w:val="00066AB4"/>
    <w:rsid w:val="00066CAD"/>
    <w:rsid w:val="000678CD"/>
    <w:rsid w:val="00067BC3"/>
    <w:rsid w:val="0007010C"/>
    <w:rsid w:val="00072C8C"/>
    <w:rsid w:val="00080610"/>
    <w:rsid w:val="00081CE0"/>
    <w:rsid w:val="00084D30"/>
    <w:rsid w:val="00086E09"/>
    <w:rsid w:val="00087C99"/>
    <w:rsid w:val="00087E75"/>
    <w:rsid w:val="00090320"/>
    <w:rsid w:val="00090390"/>
    <w:rsid w:val="000931C0"/>
    <w:rsid w:val="0009732C"/>
    <w:rsid w:val="000A01F9"/>
    <w:rsid w:val="000A1F82"/>
    <w:rsid w:val="000A2E09"/>
    <w:rsid w:val="000A4B2D"/>
    <w:rsid w:val="000B175B"/>
    <w:rsid w:val="000B3673"/>
    <w:rsid w:val="000B3A0F"/>
    <w:rsid w:val="000B3F66"/>
    <w:rsid w:val="000B3F6C"/>
    <w:rsid w:val="000C0217"/>
    <w:rsid w:val="000C3EE0"/>
    <w:rsid w:val="000C5AD8"/>
    <w:rsid w:val="000D11DD"/>
    <w:rsid w:val="000D5B53"/>
    <w:rsid w:val="000E0415"/>
    <w:rsid w:val="000E0688"/>
    <w:rsid w:val="000E25B4"/>
    <w:rsid w:val="000F7715"/>
    <w:rsid w:val="000F7EB7"/>
    <w:rsid w:val="00103E7F"/>
    <w:rsid w:val="001111FB"/>
    <w:rsid w:val="0011286E"/>
    <w:rsid w:val="00125D2A"/>
    <w:rsid w:val="00126910"/>
    <w:rsid w:val="001308DF"/>
    <w:rsid w:val="00133875"/>
    <w:rsid w:val="00134694"/>
    <w:rsid w:val="00135EEB"/>
    <w:rsid w:val="001368E5"/>
    <w:rsid w:val="00137382"/>
    <w:rsid w:val="001422ED"/>
    <w:rsid w:val="00142E4C"/>
    <w:rsid w:val="001529E2"/>
    <w:rsid w:val="00155BE6"/>
    <w:rsid w:val="00156B99"/>
    <w:rsid w:val="00162695"/>
    <w:rsid w:val="00166124"/>
    <w:rsid w:val="00171780"/>
    <w:rsid w:val="00173E11"/>
    <w:rsid w:val="00175942"/>
    <w:rsid w:val="00177E4C"/>
    <w:rsid w:val="0018355C"/>
    <w:rsid w:val="001840B4"/>
    <w:rsid w:val="001842CE"/>
    <w:rsid w:val="00184DDA"/>
    <w:rsid w:val="00186864"/>
    <w:rsid w:val="001900CD"/>
    <w:rsid w:val="00196AC7"/>
    <w:rsid w:val="001976B6"/>
    <w:rsid w:val="001979A0"/>
    <w:rsid w:val="00197E5E"/>
    <w:rsid w:val="001A0452"/>
    <w:rsid w:val="001A2B7F"/>
    <w:rsid w:val="001B0D8F"/>
    <w:rsid w:val="001B2A3F"/>
    <w:rsid w:val="001B2CF0"/>
    <w:rsid w:val="001B4B04"/>
    <w:rsid w:val="001B5875"/>
    <w:rsid w:val="001B6102"/>
    <w:rsid w:val="001B7EA5"/>
    <w:rsid w:val="001C0AE0"/>
    <w:rsid w:val="001C33AC"/>
    <w:rsid w:val="001C4B9C"/>
    <w:rsid w:val="001C6663"/>
    <w:rsid w:val="001C7895"/>
    <w:rsid w:val="001D10BA"/>
    <w:rsid w:val="001D26DF"/>
    <w:rsid w:val="001D3297"/>
    <w:rsid w:val="001D4B88"/>
    <w:rsid w:val="001E28AB"/>
    <w:rsid w:val="001F1599"/>
    <w:rsid w:val="001F19C4"/>
    <w:rsid w:val="001F6205"/>
    <w:rsid w:val="00200F10"/>
    <w:rsid w:val="002043F0"/>
    <w:rsid w:val="00204E72"/>
    <w:rsid w:val="00205A6E"/>
    <w:rsid w:val="00206928"/>
    <w:rsid w:val="002118CB"/>
    <w:rsid w:val="00211E0B"/>
    <w:rsid w:val="00217123"/>
    <w:rsid w:val="00217DCE"/>
    <w:rsid w:val="002224B1"/>
    <w:rsid w:val="00222C2D"/>
    <w:rsid w:val="00223177"/>
    <w:rsid w:val="0022444F"/>
    <w:rsid w:val="002258F4"/>
    <w:rsid w:val="00227F0E"/>
    <w:rsid w:val="00230F0A"/>
    <w:rsid w:val="00232575"/>
    <w:rsid w:val="00235079"/>
    <w:rsid w:val="00244861"/>
    <w:rsid w:val="0024487A"/>
    <w:rsid w:val="00244A9B"/>
    <w:rsid w:val="00246221"/>
    <w:rsid w:val="00247258"/>
    <w:rsid w:val="0024774D"/>
    <w:rsid w:val="002515DA"/>
    <w:rsid w:val="00255047"/>
    <w:rsid w:val="002571D1"/>
    <w:rsid w:val="00257CAC"/>
    <w:rsid w:val="00261FAF"/>
    <w:rsid w:val="00264441"/>
    <w:rsid w:val="00267A52"/>
    <w:rsid w:val="0027237A"/>
    <w:rsid w:val="00280063"/>
    <w:rsid w:val="00283474"/>
    <w:rsid w:val="002968AD"/>
    <w:rsid w:val="00296E88"/>
    <w:rsid w:val="0029726A"/>
    <w:rsid w:val="002974E9"/>
    <w:rsid w:val="002A1D14"/>
    <w:rsid w:val="002A2C4B"/>
    <w:rsid w:val="002A7F94"/>
    <w:rsid w:val="002B035E"/>
    <w:rsid w:val="002B109A"/>
    <w:rsid w:val="002B1E7E"/>
    <w:rsid w:val="002B4004"/>
    <w:rsid w:val="002B487C"/>
    <w:rsid w:val="002B6593"/>
    <w:rsid w:val="002C1C76"/>
    <w:rsid w:val="002C6AEF"/>
    <w:rsid w:val="002C6D45"/>
    <w:rsid w:val="002D1317"/>
    <w:rsid w:val="002D6E53"/>
    <w:rsid w:val="002E4CAB"/>
    <w:rsid w:val="002E64A6"/>
    <w:rsid w:val="002F046D"/>
    <w:rsid w:val="002F082C"/>
    <w:rsid w:val="002F3023"/>
    <w:rsid w:val="002F36F7"/>
    <w:rsid w:val="002F4BD5"/>
    <w:rsid w:val="002F58B4"/>
    <w:rsid w:val="002F61D0"/>
    <w:rsid w:val="002F70EA"/>
    <w:rsid w:val="00301764"/>
    <w:rsid w:val="00305372"/>
    <w:rsid w:val="00305866"/>
    <w:rsid w:val="00312620"/>
    <w:rsid w:val="00314A92"/>
    <w:rsid w:val="00315537"/>
    <w:rsid w:val="00316565"/>
    <w:rsid w:val="003170A3"/>
    <w:rsid w:val="00320E8F"/>
    <w:rsid w:val="00321409"/>
    <w:rsid w:val="003229D8"/>
    <w:rsid w:val="00324E07"/>
    <w:rsid w:val="0032630C"/>
    <w:rsid w:val="00327111"/>
    <w:rsid w:val="00327A10"/>
    <w:rsid w:val="00327E71"/>
    <w:rsid w:val="0033665E"/>
    <w:rsid w:val="00336C97"/>
    <w:rsid w:val="00337F88"/>
    <w:rsid w:val="00342432"/>
    <w:rsid w:val="0034656B"/>
    <w:rsid w:val="0035116E"/>
    <w:rsid w:val="0035223F"/>
    <w:rsid w:val="00352A7F"/>
    <w:rsid w:val="00352BCF"/>
    <w:rsid w:val="00352D4B"/>
    <w:rsid w:val="0035404D"/>
    <w:rsid w:val="003548FE"/>
    <w:rsid w:val="0035638C"/>
    <w:rsid w:val="003563F8"/>
    <w:rsid w:val="00356AA6"/>
    <w:rsid w:val="00357F0C"/>
    <w:rsid w:val="0036043F"/>
    <w:rsid w:val="00361226"/>
    <w:rsid w:val="003635A0"/>
    <w:rsid w:val="0037325D"/>
    <w:rsid w:val="00376717"/>
    <w:rsid w:val="00381526"/>
    <w:rsid w:val="00390531"/>
    <w:rsid w:val="00391181"/>
    <w:rsid w:val="0039286E"/>
    <w:rsid w:val="00395B23"/>
    <w:rsid w:val="00397BB2"/>
    <w:rsid w:val="003A0D05"/>
    <w:rsid w:val="003A3D0B"/>
    <w:rsid w:val="003A46BB"/>
    <w:rsid w:val="003A4EC7"/>
    <w:rsid w:val="003A7295"/>
    <w:rsid w:val="003A7425"/>
    <w:rsid w:val="003B0B31"/>
    <w:rsid w:val="003B165B"/>
    <w:rsid w:val="003B1F60"/>
    <w:rsid w:val="003B25E7"/>
    <w:rsid w:val="003B7125"/>
    <w:rsid w:val="003B78A6"/>
    <w:rsid w:val="003C2CC4"/>
    <w:rsid w:val="003C3B5E"/>
    <w:rsid w:val="003D3B35"/>
    <w:rsid w:val="003D4B23"/>
    <w:rsid w:val="003E01AB"/>
    <w:rsid w:val="003E2433"/>
    <w:rsid w:val="003E278A"/>
    <w:rsid w:val="003E545E"/>
    <w:rsid w:val="003E636F"/>
    <w:rsid w:val="003E7E4A"/>
    <w:rsid w:val="003F0671"/>
    <w:rsid w:val="003F410A"/>
    <w:rsid w:val="003F56A5"/>
    <w:rsid w:val="003F66CC"/>
    <w:rsid w:val="004009D9"/>
    <w:rsid w:val="00401A69"/>
    <w:rsid w:val="00402925"/>
    <w:rsid w:val="00413520"/>
    <w:rsid w:val="0041749E"/>
    <w:rsid w:val="00417BCA"/>
    <w:rsid w:val="004234FE"/>
    <w:rsid w:val="00423C11"/>
    <w:rsid w:val="00424321"/>
    <w:rsid w:val="004248F1"/>
    <w:rsid w:val="004252B0"/>
    <w:rsid w:val="0042794A"/>
    <w:rsid w:val="00430B27"/>
    <w:rsid w:val="0043151D"/>
    <w:rsid w:val="00431745"/>
    <w:rsid w:val="004325CB"/>
    <w:rsid w:val="00434247"/>
    <w:rsid w:val="00440A07"/>
    <w:rsid w:val="004427AA"/>
    <w:rsid w:val="0044579E"/>
    <w:rsid w:val="004461F5"/>
    <w:rsid w:val="004502B3"/>
    <w:rsid w:val="00450999"/>
    <w:rsid w:val="00452980"/>
    <w:rsid w:val="00452EDD"/>
    <w:rsid w:val="004556F1"/>
    <w:rsid w:val="004616B2"/>
    <w:rsid w:val="00462880"/>
    <w:rsid w:val="004710EE"/>
    <w:rsid w:val="00475922"/>
    <w:rsid w:val="00476F24"/>
    <w:rsid w:val="00482E54"/>
    <w:rsid w:val="004858BC"/>
    <w:rsid w:val="00485B8E"/>
    <w:rsid w:val="00485CEA"/>
    <w:rsid w:val="0048749A"/>
    <w:rsid w:val="00487C70"/>
    <w:rsid w:val="00497A6C"/>
    <w:rsid w:val="004A29B8"/>
    <w:rsid w:val="004B283A"/>
    <w:rsid w:val="004B30B1"/>
    <w:rsid w:val="004B3396"/>
    <w:rsid w:val="004B3941"/>
    <w:rsid w:val="004B5D6C"/>
    <w:rsid w:val="004C43B2"/>
    <w:rsid w:val="004C55B0"/>
    <w:rsid w:val="004C6E00"/>
    <w:rsid w:val="004D2E54"/>
    <w:rsid w:val="004D3174"/>
    <w:rsid w:val="004E09A2"/>
    <w:rsid w:val="004E2DAA"/>
    <w:rsid w:val="004E3FC5"/>
    <w:rsid w:val="004F3D63"/>
    <w:rsid w:val="004F6BA0"/>
    <w:rsid w:val="004F785A"/>
    <w:rsid w:val="005026EE"/>
    <w:rsid w:val="00503BEA"/>
    <w:rsid w:val="0050567F"/>
    <w:rsid w:val="00505802"/>
    <w:rsid w:val="005060C1"/>
    <w:rsid w:val="005067B4"/>
    <w:rsid w:val="00511AF9"/>
    <w:rsid w:val="005139E1"/>
    <w:rsid w:val="00514456"/>
    <w:rsid w:val="005228DF"/>
    <w:rsid w:val="00524C71"/>
    <w:rsid w:val="00527D39"/>
    <w:rsid w:val="005310F0"/>
    <w:rsid w:val="00531A75"/>
    <w:rsid w:val="00533616"/>
    <w:rsid w:val="00535ABA"/>
    <w:rsid w:val="0053768B"/>
    <w:rsid w:val="00541E5D"/>
    <w:rsid w:val="005420F2"/>
    <w:rsid w:val="0054285C"/>
    <w:rsid w:val="00542DAE"/>
    <w:rsid w:val="005448C3"/>
    <w:rsid w:val="005537E5"/>
    <w:rsid w:val="00553FB1"/>
    <w:rsid w:val="00560024"/>
    <w:rsid w:val="00561DF2"/>
    <w:rsid w:val="00574C01"/>
    <w:rsid w:val="00574EC4"/>
    <w:rsid w:val="005816DB"/>
    <w:rsid w:val="005821F2"/>
    <w:rsid w:val="00582C86"/>
    <w:rsid w:val="00584173"/>
    <w:rsid w:val="0059277C"/>
    <w:rsid w:val="00594C91"/>
    <w:rsid w:val="00595520"/>
    <w:rsid w:val="00597262"/>
    <w:rsid w:val="00597B64"/>
    <w:rsid w:val="00597E5D"/>
    <w:rsid w:val="005A0362"/>
    <w:rsid w:val="005A2C62"/>
    <w:rsid w:val="005A44B9"/>
    <w:rsid w:val="005B1BA0"/>
    <w:rsid w:val="005B3DB3"/>
    <w:rsid w:val="005B545F"/>
    <w:rsid w:val="005C7C39"/>
    <w:rsid w:val="005D1399"/>
    <w:rsid w:val="005D15CA"/>
    <w:rsid w:val="005D732F"/>
    <w:rsid w:val="005D7969"/>
    <w:rsid w:val="005E27BC"/>
    <w:rsid w:val="005E2A97"/>
    <w:rsid w:val="005E3A80"/>
    <w:rsid w:val="005E58F5"/>
    <w:rsid w:val="005E59DE"/>
    <w:rsid w:val="005F0830"/>
    <w:rsid w:val="005F08DF"/>
    <w:rsid w:val="005F149E"/>
    <w:rsid w:val="005F1F53"/>
    <w:rsid w:val="005F3066"/>
    <w:rsid w:val="005F3E61"/>
    <w:rsid w:val="005F5DAA"/>
    <w:rsid w:val="005F7725"/>
    <w:rsid w:val="005F778F"/>
    <w:rsid w:val="00604DDD"/>
    <w:rsid w:val="0060779A"/>
    <w:rsid w:val="00610506"/>
    <w:rsid w:val="006115CC"/>
    <w:rsid w:val="00611FC4"/>
    <w:rsid w:val="006176FB"/>
    <w:rsid w:val="00623C4D"/>
    <w:rsid w:val="00630FCB"/>
    <w:rsid w:val="00636967"/>
    <w:rsid w:val="00640B26"/>
    <w:rsid w:val="0065157D"/>
    <w:rsid w:val="00652EC3"/>
    <w:rsid w:val="00657134"/>
    <w:rsid w:val="006575D9"/>
    <w:rsid w:val="0065766B"/>
    <w:rsid w:val="0066245C"/>
    <w:rsid w:val="00664865"/>
    <w:rsid w:val="00665ECA"/>
    <w:rsid w:val="00666430"/>
    <w:rsid w:val="00666AD8"/>
    <w:rsid w:val="00670552"/>
    <w:rsid w:val="006709B7"/>
    <w:rsid w:val="006770B2"/>
    <w:rsid w:val="006773CE"/>
    <w:rsid w:val="00680C3B"/>
    <w:rsid w:val="00683579"/>
    <w:rsid w:val="00686A48"/>
    <w:rsid w:val="006908F3"/>
    <w:rsid w:val="006940E1"/>
    <w:rsid w:val="006951F1"/>
    <w:rsid w:val="00697747"/>
    <w:rsid w:val="006A1C43"/>
    <w:rsid w:val="006A1EBF"/>
    <w:rsid w:val="006A3502"/>
    <w:rsid w:val="006A3854"/>
    <w:rsid w:val="006A3C72"/>
    <w:rsid w:val="006A7392"/>
    <w:rsid w:val="006B03A1"/>
    <w:rsid w:val="006B0C24"/>
    <w:rsid w:val="006B67D9"/>
    <w:rsid w:val="006C04E4"/>
    <w:rsid w:val="006C1D5B"/>
    <w:rsid w:val="006C5535"/>
    <w:rsid w:val="006C7FE6"/>
    <w:rsid w:val="006D0589"/>
    <w:rsid w:val="006D5659"/>
    <w:rsid w:val="006D7213"/>
    <w:rsid w:val="006E1503"/>
    <w:rsid w:val="006E1AA6"/>
    <w:rsid w:val="006E5529"/>
    <w:rsid w:val="006E564B"/>
    <w:rsid w:val="006E7154"/>
    <w:rsid w:val="006F082D"/>
    <w:rsid w:val="007003CD"/>
    <w:rsid w:val="007059B3"/>
    <w:rsid w:val="0070701E"/>
    <w:rsid w:val="00707E4B"/>
    <w:rsid w:val="007103E5"/>
    <w:rsid w:val="00711320"/>
    <w:rsid w:val="007126B7"/>
    <w:rsid w:val="007149C6"/>
    <w:rsid w:val="00715653"/>
    <w:rsid w:val="0072130E"/>
    <w:rsid w:val="00721BC4"/>
    <w:rsid w:val="00722E4C"/>
    <w:rsid w:val="00724BC3"/>
    <w:rsid w:val="0072632A"/>
    <w:rsid w:val="00730438"/>
    <w:rsid w:val="00730F36"/>
    <w:rsid w:val="00734AC5"/>
    <w:rsid w:val="007358E8"/>
    <w:rsid w:val="00736ECE"/>
    <w:rsid w:val="0074533B"/>
    <w:rsid w:val="00754252"/>
    <w:rsid w:val="00756AFB"/>
    <w:rsid w:val="007608C2"/>
    <w:rsid w:val="007612FE"/>
    <w:rsid w:val="007643BC"/>
    <w:rsid w:val="007722D7"/>
    <w:rsid w:val="00772545"/>
    <w:rsid w:val="0077258C"/>
    <w:rsid w:val="00776010"/>
    <w:rsid w:val="00777C52"/>
    <w:rsid w:val="00780C68"/>
    <w:rsid w:val="00784A77"/>
    <w:rsid w:val="00784BAB"/>
    <w:rsid w:val="007853E9"/>
    <w:rsid w:val="007860A1"/>
    <w:rsid w:val="00792D9D"/>
    <w:rsid w:val="00794878"/>
    <w:rsid w:val="007959FE"/>
    <w:rsid w:val="007960D1"/>
    <w:rsid w:val="007A0CF1"/>
    <w:rsid w:val="007A478E"/>
    <w:rsid w:val="007A7194"/>
    <w:rsid w:val="007A7668"/>
    <w:rsid w:val="007B0FE3"/>
    <w:rsid w:val="007B41C3"/>
    <w:rsid w:val="007B6BA5"/>
    <w:rsid w:val="007C0AC3"/>
    <w:rsid w:val="007C1EBD"/>
    <w:rsid w:val="007C3390"/>
    <w:rsid w:val="007C3B82"/>
    <w:rsid w:val="007C42D8"/>
    <w:rsid w:val="007C49FA"/>
    <w:rsid w:val="007C4F4B"/>
    <w:rsid w:val="007C6824"/>
    <w:rsid w:val="007C7433"/>
    <w:rsid w:val="007D1D56"/>
    <w:rsid w:val="007D7362"/>
    <w:rsid w:val="007E4E90"/>
    <w:rsid w:val="007E5E8A"/>
    <w:rsid w:val="007F5CE2"/>
    <w:rsid w:val="007F6611"/>
    <w:rsid w:val="00800522"/>
    <w:rsid w:val="008049ED"/>
    <w:rsid w:val="00810BAC"/>
    <w:rsid w:val="00813B0D"/>
    <w:rsid w:val="008175E9"/>
    <w:rsid w:val="008211DD"/>
    <w:rsid w:val="00822E29"/>
    <w:rsid w:val="008242D7"/>
    <w:rsid w:val="0082577B"/>
    <w:rsid w:val="008272DD"/>
    <w:rsid w:val="008308C7"/>
    <w:rsid w:val="00836048"/>
    <w:rsid w:val="00836098"/>
    <w:rsid w:val="00836976"/>
    <w:rsid w:val="008412C2"/>
    <w:rsid w:val="00842154"/>
    <w:rsid w:val="008431DB"/>
    <w:rsid w:val="0084394D"/>
    <w:rsid w:val="00850144"/>
    <w:rsid w:val="0085226A"/>
    <w:rsid w:val="00862EDC"/>
    <w:rsid w:val="00866893"/>
    <w:rsid w:val="00866F02"/>
    <w:rsid w:val="00867D18"/>
    <w:rsid w:val="0087097E"/>
    <w:rsid w:val="00871D89"/>
    <w:rsid w:val="00871F9A"/>
    <w:rsid w:val="00871FD5"/>
    <w:rsid w:val="0088172E"/>
    <w:rsid w:val="00881EFA"/>
    <w:rsid w:val="00882F4E"/>
    <w:rsid w:val="008843C6"/>
    <w:rsid w:val="008879CB"/>
    <w:rsid w:val="00887A71"/>
    <w:rsid w:val="00890F67"/>
    <w:rsid w:val="008979B1"/>
    <w:rsid w:val="00897B27"/>
    <w:rsid w:val="008A2902"/>
    <w:rsid w:val="008A567A"/>
    <w:rsid w:val="008A5FA4"/>
    <w:rsid w:val="008A6B25"/>
    <w:rsid w:val="008A6C4F"/>
    <w:rsid w:val="008A77AE"/>
    <w:rsid w:val="008A7E59"/>
    <w:rsid w:val="008B01F9"/>
    <w:rsid w:val="008B0314"/>
    <w:rsid w:val="008B2764"/>
    <w:rsid w:val="008B389E"/>
    <w:rsid w:val="008B70F7"/>
    <w:rsid w:val="008C3C01"/>
    <w:rsid w:val="008C59BE"/>
    <w:rsid w:val="008D02E3"/>
    <w:rsid w:val="008D045E"/>
    <w:rsid w:val="008D0FE4"/>
    <w:rsid w:val="008D3F25"/>
    <w:rsid w:val="008D4D82"/>
    <w:rsid w:val="008D73AF"/>
    <w:rsid w:val="008E075E"/>
    <w:rsid w:val="008E0E46"/>
    <w:rsid w:val="008E0FEA"/>
    <w:rsid w:val="008E257B"/>
    <w:rsid w:val="008E7116"/>
    <w:rsid w:val="008E74CC"/>
    <w:rsid w:val="008F143B"/>
    <w:rsid w:val="008F1E27"/>
    <w:rsid w:val="008F3882"/>
    <w:rsid w:val="008F3B88"/>
    <w:rsid w:val="008F4B7C"/>
    <w:rsid w:val="008F4C35"/>
    <w:rsid w:val="008F773A"/>
    <w:rsid w:val="00906B9E"/>
    <w:rsid w:val="00915676"/>
    <w:rsid w:val="009158C0"/>
    <w:rsid w:val="00915FD6"/>
    <w:rsid w:val="009173B0"/>
    <w:rsid w:val="0092346D"/>
    <w:rsid w:val="00923D82"/>
    <w:rsid w:val="00926E47"/>
    <w:rsid w:val="0093093F"/>
    <w:rsid w:val="00935B1B"/>
    <w:rsid w:val="009376D3"/>
    <w:rsid w:val="00937C61"/>
    <w:rsid w:val="00944540"/>
    <w:rsid w:val="00947162"/>
    <w:rsid w:val="00950684"/>
    <w:rsid w:val="00957FB1"/>
    <w:rsid w:val="009609D4"/>
    <w:rsid w:val="009610D0"/>
    <w:rsid w:val="00962236"/>
    <w:rsid w:val="0096375C"/>
    <w:rsid w:val="00964118"/>
    <w:rsid w:val="009642E8"/>
    <w:rsid w:val="0096453F"/>
    <w:rsid w:val="009662E6"/>
    <w:rsid w:val="0097095E"/>
    <w:rsid w:val="00972BC2"/>
    <w:rsid w:val="009822E3"/>
    <w:rsid w:val="0098592B"/>
    <w:rsid w:val="00985FC4"/>
    <w:rsid w:val="00990766"/>
    <w:rsid w:val="00991261"/>
    <w:rsid w:val="009942F2"/>
    <w:rsid w:val="00994A5D"/>
    <w:rsid w:val="009964C4"/>
    <w:rsid w:val="0099764E"/>
    <w:rsid w:val="009A115F"/>
    <w:rsid w:val="009A26FB"/>
    <w:rsid w:val="009A7B81"/>
    <w:rsid w:val="009A7E08"/>
    <w:rsid w:val="009B01D5"/>
    <w:rsid w:val="009B124D"/>
    <w:rsid w:val="009B75D2"/>
    <w:rsid w:val="009C02FD"/>
    <w:rsid w:val="009C2450"/>
    <w:rsid w:val="009C2D03"/>
    <w:rsid w:val="009C5868"/>
    <w:rsid w:val="009C61C7"/>
    <w:rsid w:val="009D01C0"/>
    <w:rsid w:val="009D3EA9"/>
    <w:rsid w:val="009D6A08"/>
    <w:rsid w:val="009D6E69"/>
    <w:rsid w:val="009D707D"/>
    <w:rsid w:val="009D79E9"/>
    <w:rsid w:val="009E0A16"/>
    <w:rsid w:val="009E3D63"/>
    <w:rsid w:val="009E669A"/>
    <w:rsid w:val="009E6CB7"/>
    <w:rsid w:val="009E7970"/>
    <w:rsid w:val="009F2EAC"/>
    <w:rsid w:val="009F33B0"/>
    <w:rsid w:val="009F4833"/>
    <w:rsid w:val="009F4FF0"/>
    <w:rsid w:val="009F57E3"/>
    <w:rsid w:val="009F797F"/>
    <w:rsid w:val="00A06866"/>
    <w:rsid w:val="00A10F4F"/>
    <w:rsid w:val="00A11067"/>
    <w:rsid w:val="00A138F8"/>
    <w:rsid w:val="00A147B7"/>
    <w:rsid w:val="00A1526B"/>
    <w:rsid w:val="00A16F43"/>
    <w:rsid w:val="00A1704A"/>
    <w:rsid w:val="00A2032E"/>
    <w:rsid w:val="00A2049D"/>
    <w:rsid w:val="00A2104E"/>
    <w:rsid w:val="00A210FA"/>
    <w:rsid w:val="00A32CD0"/>
    <w:rsid w:val="00A3356C"/>
    <w:rsid w:val="00A3365C"/>
    <w:rsid w:val="00A34C24"/>
    <w:rsid w:val="00A425EB"/>
    <w:rsid w:val="00A475C9"/>
    <w:rsid w:val="00A539CD"/>
    <w:rsid w:val="00A54C99"/>
    <w:rsid w:val="00A60004"/>
    <w:rsid w:val="00A65A2D"/>
    <w:rsid w:val="00A71D64"/>
    <w:rsid w:val="00A72A19"/>
    <w:rsid w:val="00A72F22"/>
    <w:rsid w:val="00A733BC"/>
    <w:rsid w:val="00A748A6"/>
    <w:rsid w:val="00A765DD"/>
    <w:rsid w:val="00A76A69"/>
    <w:rsid w:val="00A82F83"/>
    <w:rsid w:val="00A83402"/>
    <w:rsid w:val="00A879A4"/>
    <w:rsid w:val="00A91ACE"/>
    <w:rsid w:val="00A93C38"/>
    <w:rsid w:val="00A96453"/>
    <w:rsid w:val="00A97B0A"/>
    <w:rsid w:val="00AA0FF8"/>
    <w:rsid w:val="00AA57EE"/>
    <w:rsid w:val="00AB05F4"/>
    <w:rsid w:val="00AB269A"/>
    <w:rsid w:val="00AC0F2C"/>
    <w:rsid w:val="00AC1CFC"/>
    <w:rsid w:val="00AC2F3D"/>
    <w:rsid w:val="00AC2F54"/>
    <w:rsid w:val="00AC4DFD"/>
    <w:rsid w:val="00AC502A"/>
    <w:rsid w:val="00AD2A57"/>
    <w:rsid w:val="00AD2CCA"/>
    <w:rsid w:val="00AD533D"/>
    <w:rsid w:val="00AE0F2C"/>
    <w:rsid w:val="00AE37B7"/>
    <w:rsid w:val="00AE3C47"/>
    <w:rsid w:val="00AE7339"/>
    <w:rsid w:val="00AF17F5"/>
    <w:rsid w:val="00AF58C1"/>
    <w:rsid w:val="00AF7771"/>
    <w:rsid w:val="00B00A65"/>
    <w:rsid w:val="00B04A3F"/>
    <w:rsid w:val="00B06506"/>
    <w:rsid w:val="00B06643"/>
    <w:rsid w:val="00B06935"/>
    <w:rsid w:val="00B1133D"/>
    <w:rsid w:val="00B15055"/>
    <w:rsid w:val="00B17724"/>
    <w:rsid w:val="00B20499"/>
    <w:rsid w:val="00B20551"/>
    <w:rsid w:val="00B22260"/>
    <w:rsid w:val="00B264CC"/>
    <w:rsid w:val="00B27C11"/>
    <w:rsid w:val="00B30179"/>
    <w:rsid w:val="00B320B8"/>
    <w:rsid w:val="00B336EA"/>
    <w:rsid w:val="00B33FC7"/>
    <w:rsid w:val="00B34F40"/>
    <w:rsid w:val="00B36552"/>
    <w:rsid w:val="00B36632"/>
    <w:rsid w:val="00B37B15"/>
    <w:rsid w:val="00B42E46"/>
    <w:rsid w:val="00B45C02"/>
    <w:rsid w:val="00B4792B"/>
    <w:rsid w:val="00B5074A"/>
    <w:rsid w:val="00B60521"/>
    <w:rsid w:val="00B62285"/>
    <w:rsid w:val="00B62E43"/>
    <w:rsid w:val="00B63166"/>
    <w:rsid w:val="00B70235"/>
    <w:rsid w:val="00B70925"/>
    <w:rsid w:val="00B70B63"/>
    <w:rsid w:val="00B72A1E"/>
    <w:rsid w:val="00B73CE2"/>
    <w:rsid w:val="00B76B6D"/>
    <w:rsid w:val="00B77264"/>
    <w:rsid w:val="00B81E12"/>
    <w:rsid w:val="00B82818"/>
    <w:rsid w:val="00B854F5"/>
    <w:rsid w:val="00B85BDF"/>
    <w:rsid w:val="00B9145F"/>
    <w:rsid w:val="00B94CF7"/>
    <w:rsid w:val="00B95B47"/>
    <w:rsid w:val="00B961C6"/>
    <w:rsid w:val="00B9673F"/>
    <w:rsid w:val="00BA339B"/>
    <w:rsid w:val="00BA7B1D"/>
    <w:rsid w:val="00BB23CC"/>
    <w:rsid w:val="00BB7A5C"/>
    <w:rsid w:val="00BC064E"/>
    <w:rsid w:val="00BC134E"/>
    <w:rsid w:val="00BC1785"/>
    <w:rsid w:val="00BC1E7E"/>
    <w:rsid w:val="00BC6725"/>
    <w:rsid w:val="00BC74E9"/>
    <w:rsid w:val="00BC7BB9"/>
    <w:rsid w:val="00BD0F3B"/>
    <w:rsid w:val="00BE36A9"/>
    <w:rsid w:val="00BE5404"/>
    <w:rsid w:val="00BE618E"/>
    <w:rsid w:val="00BE7BEC"/>
    <w:rsid w:val="00BE7EA5"/>
    <w:rsid w:val="00BF0A5A"/>
    <w:rsid w:val="00BF0E63"/>
    <w:rsid w:val="00BF12A3"/>
    <w:rsid w:val="00BF16D7"/>
    <w:rsid w:val="00BF16FB"/>
    <w:rsid w:val="00BF1ABA"/>
    <w:rsid w:val="00BF2373"/>
    <w:rsid w:val="00C0072E"/>
    <w:rsid w:val="00C009FB"/>
    <w:rsid w:val="00C0294F"/>
    <w:rsid w:val="00C032F5"/>
    <w:rsid w:val="00C03D73"/>
    <w:rsid w:val="00C044E2"/>
    <w:rsid w:val="00C048CB"/>
    <w:rsid w:val="00C05C2F"/>
    <w:rsid w:val="00C066F3"/>
    <w:rsid w:val="00C127E8"/>
    <w:rsid w:val="00C156D4"/>
    <w:rsid w:val="00C17051"/>
    <w:rsid w:val="00C2165E"/>
    <w:rsid w:val="00C25D22"/>
    <w:rsid w:val="00C3161E"/>
    <w:rsid w:val="00C3442B"/>
    <w:rsid w:val="00C40873"/>
    <w:rsid w:val="00C408B7"/>
    <w:rsid w:val="00C411EB"/>
    <w:rsid w:val="00C41DCA"/>
    <w:rsid w:val="00C463DD"/>
    <w:rsid w:val="00C474A6"/>
    <w:rsid w:val="00C51BB5"/>
    <w:rsid w:val="00C624EA"/>
    <w:rsid w:val="00C634FC"/>
    <w:rsid w:val="00C63988"/>
    <w:rsid w:val="00C70ADE"/>
    <w:rsid w:val="00C72BF2"/>
    <w:rsid w:val="00C73AA6"/>
    <w:rsid w:val="00C745C3"/>
    <w:rsid w:val="00C771C8"/>
    <w:rsid w:val="00C841E9"/>
    <w:rsid w:val="00C85816"/>
    <w:rsid w:val="00C8635C"/>
    <w:rsid w:val="00C87CA7"/>
    <w:rsid w:val="00C92EA5"/>
    <w:rsid w:val="00C978F5"/>
    <w:rsid w:val="00CA06AE"/>
    <w:rsid w:val="00CA075B"/>
    <w:rsid w:val="00CA24A4"/>
    <w:rsid w:val="00CB11DE"/>
    <w:rsid w:val="00CB348D"/>
    <w:rsid w:val="00CB34BA"/>
    <w:rsid w:val="00CB516C"/>
    <w:rsid w:val="00CB70A9"/>
    <w:rsid w:val="00CC362E"/>
    <w:rsid w:val="00CC3B80"/>
    <w:rsid w:val="00CC7683"/>
    <w:rsid w:val="00CD46F5"/>
    <w:rsid w:val="00CE0E9B"/>
    <w:rsid w:val="00CE2490"/>
    <w:rsid w:val="00CE36C6"/>
    <w:rsid w:val="00CE40E5"/>
    <w:rsid w:val="00CE4A8F"/>
    <w:rsid w:val="00CE6ACE"/>
    <w:rsid w:val="00CE78F6"/>
    <w:rsid w:val="00CF071D"/>
    <w:rsid w:val="00CF1B65"/>
    <w:rsid w:val="00CF43AA"/>
    <w:rsid w:val="00D00C92"/>
    <w:rsid w:val="00D0123D"/>
    <w:rsid w:val="00D05261"/>
    <w:rsid w:val="00D07131"/>
    <w:rsid w:val="00D105BE"/>
    <w:rsid w:val="00D15B04"/>
    <w:rsid w:val="00D2031B"/>
    <w:rsid w:val="00D244A8"/>
    <w:rsid w:val="00D255BC"/>
    <w:rsid w:val="00D25FE2"/>
    <w:rsid w:val="00D303C4"/>
    <w:rsid w:val="00D330E5"/>
    <w:rsid w:val="00D368BE"/>
    <w:rsid w:val="00D37DA9"/>
    <w:rsid w:val="00D406A7"/>
    <w:rsid w:val="00D40765"/>
    <w:rsid w:val="00D4275B"/>
    <w:rsid w:val="00D43203"/>
    <w:rsid w:val="00D43252"/>
    <w:rsid w:val="00D44D86"/>
    <w:rsid w:val="00D47116"/>
    <w:rsid w:val="00D4753F"/>
    <w:rsid w:val="00D50B7D"/>
    <w:rsid w:val="00D5141F"/>
    <w:rsid w:val="00D52012"/>
    <w:rsid w:val="00D55521"/>
    <w:rsid w:val="00D66D9F"/>
    <w:rsid w:val="00D67545"/>
    <w:rsid w:val="00D704E5"/>
    <w:rsid w:val="00D7188B"/>
    <w:rsid w:val="00D72727"/>
    <w:rsid w:val="00D75331"/>
    <w:rsid w:val="00D774D1"/>
    <w:rsid w:val="00D80EF7"/>
    <w:rsid w:val="00D82808"/>
    <w:rsid w:val="00D831A9"/>
    <w:rsid w:val="00D9550F"/>
    <w:rsid w:val="00D95D1D"/>
    <w:rsid w:val="00D978C6"/>
    <w:rsid w:val="00DA0956"/>
    <w:rsid w:val="00DA12EB"/>
    <w:rsid w:val="00DA357F"/>
    <w:rsid w:val="00DA3E12"/>
    <w:rsid w:val="00DA6854"/>
    <w:rsid w:val="00DB010A"/>
    <w:rsid w:val="00DB1085"/>
    <w:rsid w:val="00DB1097"/>
    <w:rsid w:val="00DB378D"/>
    <w:rsid w:val="00DC18AD"/>
    <w:rsid w:val="00DC251C"/>
    <w:rsid w:val="00DC3AE0"/>
    <w:rsid w:val="00DC42DF"/>
    <w:rsid w:val="00DC70C1"/>
    <w:rsid w:val="00DD3158"/>
    <w:rsid w:val="00DD4D3C"/>
    <w:rsid w:val="00DD5EC2"/>
    <w:rsid w:val="00DD607F"/>
    <w:rsid w:val="00DD76C4"/>
    <w:rsid w:val="00DF39F0"/>
    <w:rsid w:val="00DF71BB"/>
    <w:rsid w:val="00DF7CAE"/>
    <w:rsid w:val="00DF7CF1"/>
    <w:rsid w:val="00E076B9"/>
    <w:rsid w:val="00E07D63"/>
    <w:rsid w:val="00E163B4"/>
    <w:rsid w:val="00E22F38"/>
    <w:rsid w:val="00E237EC"/>
    <w:rsid w:val="00E23836"/>
    <w:rsid w:val="00E257ED"/>
    <w:rsid w:val="00E25E82"/>
    <w:rsid w:val="00E26822"/>
    <w:rsid w:val="00E3391F"/>
    <w:rsid w:val="00E37526"/>
    <w:rsid w:val="00E37DA5"/>
    <w:rsid w:val="00E40C02"/>
    <w:rsid w:val="00E423C0"/>
    <w:rsid w:val="00E4248E"/>
    <w:rsid w:val="00E42E10"/>
    <w:rsid w:val="00E438E6"/>
    <w:rsid w:val="00E503D6"/>
    <w:rsid w:val="00E561F6"/>
    <w:rsid w:val="00E6414C"/>
    <w:rsid w:val="00E64845"/>
    <w:rsid w:val="00E71A4A"/>
    <w:rsid w:val="00E7260F"/>
    <w:rsid w:val="00E72A5F"/>
    <w:rsid w:val="00E7381F"/>
    <w:rsid w:val="00E83DBF"/>
    <w:rsid w:val="00E83EC4"/>
    <w:rsid w:val="00E8702D"/>
    <w:rsid w:val="00E90077"/>
    <w:rsid w:val="00E905F4"/>
    <w:rsid w:val="00E916A9"/>
    <w:rsid w:val="00E916DE"/>
    <w:rsid w:val="00E91AF4"/>
    <w:rsid w:val="00E925AD"/>
    <w:rsid w:val="00E96630"/>
    <w:rsid w:val="00E9687C"/>
    <w:rsid w:val="00EA04F6"/>
    <w:rsid w:val="00EB4D5D"/>
    <w:rsid w:val="00EC3008"/>
    <w:rsid w:val="00EC7F48"/>
    <w:rsid w:val="00ED18DC"/>
    <w:rsid w:val="00ED6066"/>
    <w:rsid w:val="00ED6201"/>
    <w:rsid w:val="00ED7A2A"/>
    <w:rsid w:val="00EE3319"/>
    <w:rsid w:val="00EE364E"/>
    <w:rsid w:val="00EE447E"/>
    <w:rsid w:val="00EE661C"/>
    <w:rsid w:val="00EE6D4B"/>
    <w:rsid w:val="00EF0525"/>
    <w:rsid w:val="00EF1D7F"/>
    <w:rsid w:val="00EF3559"/>
    <w:rsid w:val="00F0137E"/>
    <w:rsid w:val="00F169FC"/>
    <w:rsid w:val="00F17316"/>
    <w:rsid w:val="00F21786"/>
    <w:rsid w:val="00F23027"/>
    <w:rsid w:val="00F26FD3"/>
    <w:rsid w:val="00F304E1"/>
    <w:rsid w:val="00F321CD"/>
    <w:rsid w:val="00F33855"/>
    <w:rsid w:val="00F34955"/>
    <w:rsid w:val="00F3742B"/>
    <w:rsid w:val="00F41226"/>
    <w:rsid w:val="00F41FDB"/>
    <w:rsid w:val="00F431C7"/>
    <w:rsid w:val="00F50596"/>
    <w:rsid w:val="00F51F14"/>
    <w:rsid w:val="00F56D63"/>
    <w:rsid w:val="00F57D15"/>
    <w:rsid w:val="00F609A9"/>
    <w:rsid w:val="00F644A6"/>
    <w:rsid w:val="00F80C99"/>
    <w:rsid w:val="00F8567D"/>
    <w:rsid w:val="00F867EC"/>
    <w:rsid w:val="00F86AE0"/>
    <w:rsid w:val="00F91B2B"/>
    <w:rsid w:val="00F91F7B"/>
    <w:rsid w:val="00FA3B36"/>
    <w:rsid w:val="00FB0762"/>
    <w:rsid w:val="00FB0D9D"/>
    <w:rsid w:val="00FB4BE0"/>
    <w:rsid w:val="00FC03CD"/>
    <w:rsid w:val="00FC0646"/>
    <w:rsid w:val="00FC1260"/>
    <w:rsid w:val="00FC6755"/>
    <w:rsid w:val="00FC68B7"/>
    <w:rsid w:val="00FD1D52"/>
    <w:rsid w:val="00FD77B2"/>
    <w:rsid w:val="00FE17CE"/>
    <w:rsid w:val="00FE2D5E"/>
    <w:rsid w:val="00FE38B9"/>
    <w:rsid w:val="00FE5229"/>
    <w:rsid w:val="00FE6985"/>
    <w:rsid w:val="00FF08DB"/>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F6F614"/>
  <w15:docId w15:val="{55868CDC-81A9-4157-B472-2E4F38159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010"/>
    <w:pPr>
      <w:suppressAutoHyphens/>
      <w:spacing w:line="240" w:lineRule="atLeast"/>
    </w:pPr>
    <w:rPr>
      <w:lang w:val="en-GB"/>
    </w:rPr>
  </w:style>
  <w:style w:type="paragraph" w:styleId="Titre1">
    <w:name w:val="heading 1"/>
    <w:aliases w:val="Table_G"/>
    <w:basedOn w:val="SingleTxtG"/>
    <w:next w:val="SingleTxtG"/>
    <w:qFormat/>
    <w:rsid w:val="00E925AD"/>
    <w:pPr>
      <w:spacing w:after="0" w:line="240" w:lineRule="auto"/>
      <w:ind w:right="0"/>
      <w:jc w:val="left"/>
      <w:outlineLvl w:val="0"/>
    </w:pPr>
  </w:style>
  <w:style w:type="paragraph" w:styleId="Titre2">
    <w:name w:val="heading 2"/>
    <w:basedOn w:val="Normal"/>
    <w:next w:val="Normal"/>
    <w:semiHidden/>
    <w:qFormat/>
    <w:rsid w:val="00E925AD"/>
    <w:pPr>
      <w:spacing w:line="240" w:lineRule="auto"/>
      <w:outlineLvl w:val="1"/>
    </w:pPr>
  </w:style>
  <w:style w:type="paragraph" w:styleId="Titre3">
    <w:name w:val="heading 3"/>
    <w:basedOn w:val="Normal"/>
    <w:next w:val="Normal"/>
    <w:semiHidden/>
    <w:qFormat/>
    <w:rsid w:val="00E925AD"/>
    <w:pPr>
      <w:spacing w:line="240" w:lineRule="auto"/>
      <w:outlineLvl w:val="2"/>
    </w:pPr>
  </w:style>
  <w:style w:type="paragraph" w:styleId="Titre4">
    <w:name w:val="heading 4"/>
    <w:basedOn w:val="Normal"/>
    <w:next w:val="Normal"/>
    <w:semiHidden/>
    <w:qFormat/>
    <w:rsid w:val="00E925AD"/>
    <w:pPr>
      <w:spacing w:line="240" w:lineRule="auto"/>
      <w:outlineLvl w:val="3"/>
    </w:pPr>
  </w:style>
  <w:style w:type="paragraph" w:styleId="Titre5">
    <w:name w:val="heading 5"/>
    <w:basedOn w:val="Normal"/>
    <w:next w:val="Normal"/>
    <w:semiHidden/>
    <w:qFormat/>
    <w:rsid w:val="00E925AD"/>
    <w:pPr>
      <w:spacing w:line="240" w:lineRule="auto"/>
      <w:outlineLvl w:val="4"/>
    </w:pPr>
  </w:style>
  <w:style w:type="paragraph" w:styleId="Titre6">
    <w:name w:val="heading 6"/>
    <w:basedOn w:val="Normal"/>
    <w:next w:val="Normal"/>
    <w:semiHidden/>
    <w:qFormat/>
    <w:rsid w:val="00E925AD"/>
    <w:pPr>
      <w:spacing w:line="240" w:lineRule="auto"/>
      <w:outlineLvl w:val="5"/>
    </w:pPr>
  </w:style>
  <w:style w:type="paragraph" w:styleId="Titre7">
    <w:name w:val="heading 7"/>
    <w:basedOn w:val="Normal"/>
    <w:next w:val="Normal"/>
    <w:semiHidden/>
    <w:qFormat/>
    <w:rsid w:val="00E925AD"/>
    <w:pPr>
      <w:spacing w:line="240" w:lineRule="auto"/>
      <w:outlineLvl w:val="6"/>
    </w:pPr>
  </w:style>
  <w:style w:type="paragraph" w:styleId="Titre8">
    <w:name w:val="heading 8"/>
    <w:basedOn w:val="Normal"/>
    <w:next w:val="Normal"/>
    <w:semiHidden/>
    <w:qFormat/>
    <w:rsid w:val="00E925AD"/>
    <w:pPr>
      <w:spacing w:line="240" w:lineRule="auto"/>
      <w:outlineLvl w:val="7"/>
    </w:pPr>
  </w:style>
  <w:style w:type="paragraph" w:styleId="Titre9">
    <w:name w:val="heading 9"/>
    <w:basedOn w:val="Normal"/>
    <w:next w:val="Normal"/>
    <w:semiHidden/>
    <w:qFormat/>
    <w:rsid w:val="00E925AD"/>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Numrodepage">
    <w:name w:val="page number"/>
    <w:aliases w:val="7_G"/>
    <w:basedOn w:val="Policepardfau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Appeldenotedefin">
    <w:name w:val="endnote reference"/>
    <w:aliases w:val="1_G"/>
    <w:basedOn w:val="Appelnotedebasdep"/>
    <w:qFormat/>
    <w:rsid w:val="00E925AD"/>
    <w:rPr>
      <w:rFonts w:ascii="Times New Roman" w:hAnsi="Times New Roman"/>
      <w:sz w:val="18"/>
      <w:vertAlign w:val="superscript"/>
    </w:rPr>
  </w:style>
  <w:style w:type="character" w:styleId="Appelnotedebasdep">
    <w:name w:val="footnote reference"/>
    <w:aliases w:val="4_G,Footnote Reference/,4_GR"/>
    <w:basedOn w:val="Policepardfaut"/>
    <w:qFormat/>
    <w:rsid w:val="00E925AD"/>
    <w:rPr>
      <w:rFonts w:ascii="Times New Roman" w:hAnsi="Times New Roman"/>
      <w:sz w:val="18"/>
      <w:vertAlign w:val="superscript"/>
    </w:rPr>
  </w:style>
  <w:style w:type="paragraph" w:styleId="Notedebasdepage">
    <w:name w:val="footnote text"/>
    <w:aliases w:val="5_G,5_GR"/>
    <w:basedOn w:val="Normal"/>
    <w:link w:val="NotedebasdepageC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Notedefin">
    <w:name w:val="endnote text"/>
    <w:aliases w:val="2_G"/>
    <w:basedOn w:val="Notedebasdepage"/>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Lienhypertexte">
    <w:name w:val="Hyperlink"/>
    <w:basedOn w:val="Policepardfaut"/>
    <w:rsid w:val="008A77AE"/>
    <w:rPr>
      <w:color w:val="0000FF"/>
      <w:u w:val="none"/>
    </w:rPr>
  </w:style>
  <w:style w:type="paragraph" w:styleId="Pieddepage">
    <w:name w:val="footer"/>
    <w:aliases w:val="3_G"/>
    <w:basedOn w:val="Normal"/>
    <w:qFormat/>
    <w:rsid w:val="00E925AD"/>
    <w:pPr>
      <w:spacing w:line="240" w:lineRule="auto"/>
    </w:pPr>
    <w:rPr>
      <w:sz w:val="16"/>
    </w:rPr>
  </w:style>
  <w:style w:type="paragraph" w:styleId="En-tte">
    <w:name w:val="header"/>
    <w:aliases w:val="6_G"/>
    <w:basedOn w:val="Normal"/>
    <w:qFormat/>
    <w:rsid w:val="00E925AD"/>
    <w:pPr>
      <w:pBdr>
        <w:bottom w:val="single" w:sz="4" w:space="4" w:color="auto"/>
      </w:pBdr>
      <w:spacing w:line="240" w:lineRule="auto"/>
    </w:pPr>
    <w:rPr>
      <w:b/>
      <w:sz w:val="18"/>
    </w:rPr>
  </w:style>
  <w:style w:type="table" w:styleId="Grilledutableau">
    <w:name w:val="Table Grid"/>
    <w:basedOn w:val="Tableau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basedOn w:val="Policepardfaut"/>
    <w:rsid w:val="008A77AE"/>
    <w:rPr>
      <w:color w:val="0000FF"/>
      <w:u w:val="none"/>
    </w:rPr>
  </w:style>
  <w:style w:type="paragraph" w:styleId="Textedebulles">
    <w:name w:val="Balloon Text"/>
    <w:basedOn w:val="Normal"/>
    <w:link w:val="TextedebullesCar"/>
    <w:semiHidden/>
    <w:rsid w:val="0065766B"/>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80C68"/>
    <w:rPr>
      <w:rFonts w:ascii="Tahoma" w:hAnsi="Tahoma" w:cs="Tahoma"/>
      <w:sz w:val="16"/>
      <w:szCs w:val="16"/>
      <w:lang w:val="en-GB" w:eastAsia="en-US"/>
    </w:rPr>
  </w:style>
  <w:style w:type="character" w:customStyle="1" w:styleId="SingleTxtGChar">
    <w:name w:val="_ Single Txt_G Char"/>
    <w:link w:val="SingleTxtG"/>
    <w:qFormat/>
    <w:locked/>
    <w:rsid w:val="00264441"/>
    <w:rPr>
      <w:lang w:val="en-GB" w:eastAsia="en-US"/>
    </w:rPr>
  </w:style>
  <w:style w:type="paragraph" w:customStyle="1" w:styleId="ParNoG">
    <w:name w:val="_ParNo_G"/>
    <w:basedOn w:val="SingleTxtG"/>
    <w:qFormat/>
    <w:rsid w:val="007A478E"/>
    <w:pPr>
      <w:numPr>
        <w:numId w:val="20"/>
      </w:numPr>
      <w:suppressAutoHyphens w:val="0"/>
    </w:pPr>
  </w:style>
  <w:style w:type="character" w:customStyle="1" w:styleId="NotedebasdepageCar">
    <w:name w:val="Note de bas de page Car"/>
    <w:aliases w:val="5_G Car,5_GR Car"/>
    <w:basedOn w:val="Policepardfaut"/>
    <w:link w:val="Notedebasdepage"/>
    <w:rsid w:val="00730438"/>
    <w:rPr>
      <w:sz w:val="18"/>
      <w:lang w:val="en-GB"/>
    </w:rPr>
  </w:style>
  <w:style w:type="character" w:customStyle="1" w:styleId="H1GChar">
    <w:name w:val="_ H_1_G Char"/>
    <w:link w:val="H1G"/>
    <w:rsid w:val="00730438"/>
    <w:rPr>
      <w:b/>
      <w:sz w:val="24"/>
      <w:lang w:val="en-GB"/>
    </w:rPr>
  </w:style>
  <w:style w:type="character" w:customStyle="1" w:styleId="HChGChar">
    <w:name w:val="_ H _Ch_G Char"/>
    <w:link w:val="HChG"/>
    <w:qFormat/>
    <w:rsid w:val="00730438"/>
    <w:rPr>
      <w:b/>
      <w:sz w:val="28"/>
      <w:lang w:val="en-GB"/>
    </w:rPr>
  </w:style>
  <w:style w:type="paragraph" w:customStyle="1" w:styleId="-Abschnitt">
    <w:name w:val="- Abschnitt"/>
    <w:basedOn w:val="Normal"/>
    <w:rsid w:val="001840B4"/>
    <w:pPr>
      <w:tabs>
        <w:tab w:val="left" w:pos="425"/>
        <w:tab w:val="left" w:pos="851"/>
        <w:tab w:val="left" w:pos="1276"/>
      </w:tabs>
      <w:suppressAutoHyphens w:val="0"/>
      <w:spacing w:line="240" w:lineRule="auto"/>
      <w:ind w:left="357" w:hanging="357"/>
      <w:jc w:val="both"/>
    </w:pPr>
    <w:rPr>
      <w:rFonts w:ascii="Arial" w:hAnsi="Arial"/>
      <w:sz w:val="22"/>
      <w:lang w:val="fr-FR" w:eastAsia="de-DE"/>
    </w:rPr>
  </w:style>
  <w:style w:type="paragraph" w:customStyle="1" w:styleId="Level1">
    <w:name w:val="Level 1"/>
    <w:basedOn w:val="Normal"/>
    <w:rsid w:val="001840B4"/>
    <w:pPr>
      <w:widowControl w:val="0"/>
      <w:suppressAutoHyphens w:val="0"/>
      <w:spacing w:line="240" w:lineRule="auto"/>
      <w:outlineLvl w:val="0"/>
    </w:pPr>
    <w:rPr>
      <w:snapToGrid w:val="0"/>
      <w:sz w:val="24"/>
      <w:lang w:val="en-US" w:eastAsia="en-US"/>
    </w:rPr>
  </w:style>
  <w:style w:type="character" w:customStyle="1" w:styleId="SingleTxtGCar">
    <w:name w:val="_ Single Txt_G Car"/>
    <w:locked/>
    <w:rsid w:val="00DD4D3C"/>
    <w:rPr>
      <w:lang w:val="en-GB" w:eastAsia="en-US"/>
    </w:rPr>
  </w:style>
  <w:style w:type="character" w:styleId="Marquedecommentaire">
    <w:name w:val="annotation reference"/>
    <w:basedOn w:val="Policepardfaut"/>
    <w:semiHidden/>
    <w:unhideWhenUsed/>
    <w:rsid w:val="00B9145F"/>
    <w:rPr>
      <w:sz w:val="16"/>
      <w:szCs w:val="16"/>
    </w:rPr>
  </w:style>
  <w:style w:type="paragraph" w:styleId="Commentaire">
    <w:name w:val="annotation text"/>
    <w:basedOn w:val="Normal"/>
    <w:link w:val="CommentaireCar"/>
    <w:semiHidden/>
    <w:unhideWhenUsed/>
    <w:rsid w:val="00B9145F"/>
    <w:pPr>
      <w:spacing w:line="240" w:lineRule="auto"/>
    </w:pPr>
  </w:style>
  <w:style w:type="character" w:customStyle="1" w:styleId="CommentaireCar">
    <w:name w:val="Commentaire Car"/>
    <w:basedOn w:val="Policepardfaut"/>
    <w:link w:val="Commentaire"/>
    <w:semiHidden/>
    <w:rsid w:val="00B9145F"/>
    <w:rPr>
      <w:lang w:val="en-GB"/>
    </w:rPr>
  </w:style>
  <w:style w:type="paragraph" w:styleId="Objetducommentaire">
    <w:name w:val="annotation subject"/>
    <w:basedOn w:val="Commentaire"/>
    <w:next w:val="Commentaire"/>
    <w:link w:val="ObjetducommentaireCar"/>
    <w:semiHidden/>
    <w:unhideWhenUsed/>
    <w:rsid w:val="00B9145F"/>
    <w:rPr>
      <w:b/>
      <w:bCs/>
    </w:rPr>
  </w:style>
  <w:style w:type="character" w:customStyle="1" w:styleId="ObjetducommentaireCar">
    <w:name w:val="Objet du commentaire Car"/>
    <w:basedOn w:val="CommentaireCar"/>
    <w:link w:val="Objetducommentaire"/>
    <w:semiHidden/>
    <w:rsid w:val="00B9145F"/>
    <w:rPr>
      <w:b/>
      <w:bCs/>
      <w:lang w:val="en-GB"/>
    </w:rPr>
  </w:style>
  <w:style w:type="paragraph" w:styleId="Rvision">
    <w:name w:val="Revision"/>
    <w:hidden/>
    <w:uiPriority w:val="99"/>
    <w:semiHidden/>
    <w:rsid w:val="00B9145F"/>
    <w:rPr>
      <w:lang w:val="en-GB"/>
    </w:rPr>
  </w:style>
  <w:style w:type="character" w:customStyle="1" w:styleId="H23GChar">
    <w:name w:val="_ H_2/3_G Char"/>
    <w:link w:val="H23G"/>
    <w:locked/>
    <w:rsid w:val="00F8567D"/>
    <w:rPr>
      <w:b/>
      <w:lang w:val="en-GB"/>
    </w:rPr>
  </w:style>
  <w:style w:type="character" w:customStyle="1" w:styleId="normaltextrun">
    <w:name w:val="normaltextrun"/>
    <w:basedOn w:val="Policepardfaut"/>
    <w:rsid w:val="006C04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617228">
      <w:bodyDiv w:val="1"/>
      <w:marLeft w:val="0"/>
      <w:marRight w:val="0"/>
      <w:marTop w:val="0"/>
      <w:marBottom w:val="0"/>
      <w:divBdr>
        <w:top w:val="none" w:sz="0" w:space="0" w:color="auto"/>
        <w:left w:val="none" w:sz="0" w:space="0" w:color="auto"/>
        <w:bottom w:val="none" w:sz="0" w:space="0" w:color="auto"/>
        <w:right w:val="none" w:sz="0" w:space="0" w:color="auto"/>
      </w:divBdr>
    </w:div>
    <w:div w:id="112333177">
      <w:bodyDiv w:val="1"/>
      <w:marLeft w:val="0"/>
      <w:marRight w:val="0"/>
      <w:marTop w:val="0"/>
      <w:marBottom w:val="0"/>
      <w:divBdr>
        <w:top w:val="none" w:sz="0" w:space="0" w:color="auto"/>
        <w:left w:val="none" w:sz="0" w:space="0" w:color="auto"/>
        <w:bottom w:val="none" w:sz="0" w:space="0" w:color="auto"/>
        <w:right w:val="none" w:sz="0" w:space="0" w:color="auto"/>
      </w:divBdr>
    </w:div>
    <w:div w:id="1187981363">
      <w:bodyDiv w:val="1"/>
      <w:marLeft w:val="0"/>
      <w:marRight w:val="0"/>
      <w:marTop w:val="0"/>
      <w:marBottom w:val="0"/>
      <w:divBdr>
        <w:top w:val="none" w:sz="0" w:space="0" w:color="auto"/>
        <w:left w:val="none" w:sz="0" w:space="0" w:color="auto"/>
        <w:bottom w:val="none" w:sz="0" w:space="0" w:color="auto"/>
        <w:right w:val="none" w:sz="0" w:space="0" w:color="auto"/>
      </w:divBdr>
    </w:div>
    <w:div w:id="1196189998">
      <w:bodyDiv w:val="1"/>
      <w:marLeft w:val="0"/>
      <w:marRight w:val="0"/>
      <w:marTop w:val="0"/>
      <w:marBottom w:val="0"/>
      <w:divBdr>
        <w:top w:val="none" w:sz="0" w:space="0" w:color="auto"/>
        <w:left w:val="none" w:sz="0" w:space="0" w:color="auto"/>
        <w:bottom w:val="none" w:sz="0" w:space="0" w:color="auto"/>
        <w:right w:val="none" w:sz="0" w:space="0" w:color="auto"/>
      </w:divBdr>
    </w:div>
    <w:div w:id="1234972345">
      <w:bodyDiv w:val="1"/>
      <w:marLeft w:val="0"/>
      <w:marRight w:val="0"/>
      <w:marTop w:val="0"/>
      <w:marBottom w:val="0"/>
      <w:divBdr>
        <w:top w:val="none" w:sz="0" w:space="0" w:color="auto"/>
        <w:left w:val="none" w:sz="0" w:space="0" w:color="auto"/>
        <w:bottom w:val="none" w:sz="0" w:space="0" w:color="auto"/>
        <w:right w:val="none" w:sz="0" w:space="0" w:color="auto"/>
      </w:divBdr>
    </w:div>
    <w:div w:id="1239175722">
      <w:bodyDiv w:val="1"/>
      <w:marLeft w:val="0"/>
      <w:marRight w:val="0"/>
      <w:marTop w:val="0"/>
      <w:marBottom w:val="0"/>
      <w:divBdr>
        <w:top w:val="none" w:sz="0" w:space="0" w:color="auto"/>
        <w:left w:val="none" w:sz="0" w:space="0" w:color="auto"/>
        <w:bottom w:val="none" w:sz="0" w:space="0" w:color="auto"/>
        <w:right w:val="none" w:sz="0" w:space="0" w:color="auto"/>
      </w:divBdr>
    </w:div>
    <w:div w:id="2132820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do.celasco@iru.org" TargetMode="External"/><Relationship Id="rId18" Type="http://schemas.openxmlformats.org/officeDocument/2006/relationships/hyperlink" Target="http://www.imo.org"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en.osjd.org" TargetMode="External"/><Relationship Id="rId7" Type="http://schemas.openxmlformats.org/officeDocument/2006/relationships/settings" Target="settings.xml"/><Relationship Id="rId12" Type="http://schemas.openxmlformats.org/officeDocument/2006/relationships/hyperlink" Target="http://www.federalregister.gov/documents/2020/11/25/2020-23712/hazardous-materials-adoption-of-miscellaneous-petitions-to-reduce-regulatory-burdens" TargetMode="External"/><Relationship Id="rId17" Type="http://schemas.openxmlformats.org/officeDocument/2006/relationships/hyperlink" Target="http://www.cen.e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astm.org" TargetMode="External"/><Relationship Id="rId20" Type="http://schemas.openxmlformats.org/officeDocument/2006/relationships/hyperlink" Target="http://www.otif.or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ec.europa.eu/transparency/regexpert/index.cfm?%20do=groupDetail.groupDetail&amp;groupID=3280" TargetMode="External"/><Relationship Id="rId23" Type="http://schemas.openxmlformats.org/officeDocument/2006/relationships/hyperlink" Target="http://www.unece.org"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iso.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eve.gillingham@dft.gov.uk" TargetMode="External"/><Relationship Id="rId22" Type="http://schemas.openxmlformats.org/officeDocument/2006/relationships/hyperlink" Target="http://www.uic.org" TargetMode="External"/><Relationship Id="rId27"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TRANS\TRANS_WP1_24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ée un document." ma:contentTypeScope="" ma:versionID="c47e8123bf780293941123d949cbcd2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5d9995e35306cea5b3d28138245d81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5C241-620A-401E-BAAE-9BE8ED1039F9}"/>
</file>

<file path=customXml/itemProps2.xml><?xml version="1.0" encoding="utf-8"?>
<ds:datastoreItem xmlns:ds="http://schemas.openxmlformats.org/officeDocument/2006/customXml" ds:itemID="{AD0B1CB1-C0DE-4276-9D9C-F747A5FE81CA}">
  <ds:schemaRefs>
    <ds:schemaRef ds:uri="http://schemas.openxmlformats.org/officeDocument/2006/bibliography"/>
  </ds:schemaRefs>
</ds:datastoreItem>
</file>

<file path=customXml/itemProps3.xml><?xml version="1.0" encoding="utf-8"?>
<ds:datastoreItem xmlns:ds="http://schemas.openxmlformats.org/officeDocument/2006/customXml" ds:itemID="{EB7A99DA-3467-4FE1-8BEB-9EBE39C5AF7D}">
  <ds:schemaRefs>
    <ds:schemaRef ds:uri="http://purl.org/dc/dcmitype/"/>
    <ds:schemaRef ds:uri="http://purl.org/dc/elements/1.1/"/>
    <ds:schemaRef ds:uri="http://schemas.microsoft.com/office/2006/documentManagement/types"/>
    <ds:schemaRef ds:uri="4b4a1c0d-4a69-4996-a84a-fc699b9f49de"/>
    <ds:schemaRef ds:uri="acccb6d4-dbe5-46d2-b4d3-5733603d8cc6"/>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7E012DD-48CC-4F6E-8BB8-CC6BAF382E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TRANS_WP1_24_E.dotm</Template>
  <TotalTime>220</TotalTime>
  <Pages>27</Pages>
  <Words>8421</Words>
  <Characters>48005</Characters>
  <Application>Microsoft Office Word</Application>
  <DocSecurity>0</DocSecurity>
  <Lines>400</Lines>
  <Paragraphs>112</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ECE/TRANS/WP.15/AC.1/160</vt:lpstr>
      <vt:lpstr/>
      <vt:lpstr>United Nations</vt:lpstr>
    </vt:vector>
  </TitlesOfParts>
  <Company>CSD</Company>
  <LinksUpToDate>false</LinksUpToDate>
  <CharactersWithSpaces>56314</CharactersWithSpaces>
  <SharedDoc>false</SharedDoc>
  <HLinks>
    <vt:vector size="72" baseType="variant">
      <vt:variant>
        <vt:i4>5636097</vt:i4>
      </vt:variant>
      <vt:variant>
        <vt:i4>33</vt:i4>
      </vt:variant>
      <vt:variant>
        <vt:i4>0</vt:i4>
      </vt:variant>
      <vt:variant>
        <vt:i4>5</vt:i4>
      </vt:variant>
      <vt:variant>
        <vt:lpwstr>http://www.unece.org/</vt:lpwstr>
      </vt:variant>
      <vt:variant>
        <vt:lpwstr/>
      </vt:variant>
      <vt:variant>
        <vt:i4>3473509</vt:i4>
      </vt:variant>
      <vt:variant>
        <vt:i4>30</vt:i4>
      </vt:variant>
      <vt:variant>
        <vt:i4>0</vt:i4>
      </vt:variant>
      <vt:variant>
        <vt:i4>5</vt:i4>
      </vt:variant>
      <vt:variant>
        <vt:lpwstr>http://www.uic.org/</vt:lpwstr>
      </vt:variant>
      <vt:variant>
        <vt:lpwstr/>
      </vt:variant>
      <vt:variant>
        <vt:i4>8323175</vt:i4>
      </vt:variant>
      <vt:variant>
        <vt:i4>27</vt:i4>
      </vt:variant>
      <vt:variant>
        <vt:i4>0</vt:i4>
      </vt:variant>
      <vt:variant>
        <vt:i4>5</vt:i4>
      </vt:variant>
      <vt:variant>
        <vt:lpwstr>http://www.en.osjd.org/</vt:lpwstr>
      </vt:variant>
      <vt:variant>
        <vt:lpwstr/>
      </vt:variant>
      <vt:variant>
        <vt:i4>6160458</vt:i4>
      </vt:variant>
      <vt:variant>
        <vt:i4>24</vt:i4>
      </vt:variant>
      <vt:variant>
        <vt:i4>0</vt:i4>
      </vt:variant>
      <vt:variant>
        <vt:i4>5</vt:i4>
      </vt:variant>
      <vt:variant>
        <vt:lpwstr>http://www.otif.org/</vt:lpwstr>
      </vt:variant>
      <vt:variant>
        <vt:lpwstr/>
      </vt:variant>
      <vt:variant>
        <vt:i4>2424959</vt:i4>
      </vt:variant>
      <vt:variant>
        <vt:i4>21</vt:i4>
      </vt:variant>
      <vt:variant>
        <vt:i4>0</vt:i4>
      </vt:variant>
      <vt:variant>
        <vt:i4>5</vt:i4>
      </vt:variant>
      <vt:variant>
        <vt:lpwstr>http://www.iso.org/</vt:lpwstr>
      </vt:variant>
      <vt:variant>
        <vt:lpwstr/>
      </vt:variant>
      <vt:variant>
        <vt:i4>2424929</vt:i4>
      </vt:variant>
      <vt:variant>
        <vt:i4>18</vt:i4>
      </vt:variant>
      <vt:variant>
        <vt:i4>0</vt:i4>
      </vt:variant>
      <vt:variant>
        <vt:i4>5</vt:i4>
      </vt:variant>
      <vt:variant>
        <vt:lpwstr>http://www.imo.org/</vt:lpwstr>
      </vt:variant>
      <vt:variant>
        <vt:lpwstr/>
      </vt:variant>
      <vt:variant>
        <vt:i4>7077998</vt:i4>
      </vt:variant>
      <vt:variant>
        <vt:i4>15</vt:i4>
      </vt:variant>
      <vt:variant>
        <vt:i4>0</vt:i4>
      </vt:variant>
      <vt:variant>
        <vt:i4>5</vt:i4>
      </vt:variant>
      <vt:variant>
        <vt:lpwstr>http://www.cen.eu/</vt:lpwstr>
      </vt:variant>
      <vt:variant>
        <vt:lpwstr/>
      </vt:variant>
      <vt:variant>
        <vt:i4>5046342</vt:i4>
      </vt:variant>
      <vt:variant>
        <vt:i4>12</vt:i4>
      </vt:variant>
      <vt:variant>
        <vt:i4>0</vt:i4>
      </vt:variant>
      <vt:variant>
        <vt:i4>5</vt:i4>
      </vt:variant>
      <vt:variant>
        <vt:lpwstr>http://www.astm.org/</vt:lpwstr>
      </vt:variant>
      <vt:variant>
        <vt:lpwstr/>
      </vt:variant>
      <vt:variant>
        <vt:i4>196697</vt:i4>
      </vt:variant>
      <vt:variant>
        <vt:i4>9</vt:i4>
      </vt:variant>
      <vt:variant>
        <vt:i4>0</vt:i4>
      </vt:variant>
      <vt:variant>
        <vt:i4>5</vt:i4>
      </vt:variant>
      <vt:variant>
        <vt:lpwstr>https://ec.europa.eu/transparency/regexpert/index.cfm?%20do=groupDetail.groupDetail&amp;groupID=3280</vt:lpwstr>
      </vt:variant>
      <vt:variant>
        <vt:lpwstr/>
      </vt:variant>
      <vt:variant>
        <vt:i4>5701756</vt:i4>
      </vt:variant>
      <vt:variant>
        <vt:i4>6</vt:i4>
      </vt:variant>
      <vt:variant>
        <vt:i4>0</vt:i4>
      </vt:variant>
      <vt:variant>
        <vt:i4>5</vt:i4>
      </vt:variant>
      <vt:variant>
        <vt:lpwstr>mailto:steve.gillingham@dft.gov.uk</vt:lpwstr>
      </vt:variant>
      <vt:variant>
        <vt:lpwstr/>
      </vt:variant>
      <vt:variant>
        <vt:i4>4194345</vt:i4>
      </vt:variant>
      <vt:variant>
        <vt:i4>3</vt:i4>
      </vt:variant>
      <vt:variant>
        <vt:i4>0</vt:i4>
      </vt:variant>
      <vt:variant>
        <vt:i4>5</vt:i4>
      </vt:variant>
      <vt:variant>
        <vt:lpwstr>mailto:aldo.celasco@iru.org</vt:lpwstr>
      </vt:variant>
      <vt:variant>
        <vt:lpwstr/>
      </vt:variant>
      <vt:variant>
        <vt:i4>3932203</vt:i4>
      </vt:variant>
      <vt:variant>
        <vt:i4>0</vt:i4>
      </vt:variant>
      <vt:variant>
        <vt:i4>0</vt:i4>
      </vt:variant>
      <vt:variant>
        <vt:i4>5</vt:i4>
      </vt:variant>
      <vt:variant>
        <vt:lpwstr>http://www.federalregister.gov/documents/2020/11/25/2020-23712/hazardous-materials-adoption-of-miscellaneous-petitions-to-reduce-regulatory-burdens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ECE/TRANS/WP.15/AC.1/160</dc:title>
  <dc:subject/>
  <dc:creator>Christine Barrio-Champeau</dc:creator>
  <cp:keywords/>
  <cp:lastModifiedBy>Romain Hubert</cp:lastModifiedBy>
  <cp:revision>227</cp:revision>
  <cp:lastPrinted>2021-03-31T02:06:00Z</cp:lastPrinted>
  <dcterms:created xsi:type="dcterms:W3CDTF">2021-04-01T01:51:00Z</dcterms:created>
  <dcterms:modified xsi:type="dcterms:W3CDTF">2021-04-19T21:40:00Z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