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732FE5" w14:paraId="58D34B4A" w14:textId="77777777" w:rsidTr="00B20551">
        <w:trPr>
          <w:cantSplit/>
          <w:trHeight w:hRule="exact" w:val="851"/>
        </w:trPr>
        <w:tc>
          <w:tcPr>
            <w:tcW w:w="1276" w:type="dxa"/>
            <w:tcBorders>
              <w:bottom w:val="single" w:sz="4" w:space="0" w:color="auto"/>
            </w:tcBorders>
            <w:vAlign w:val="bottom"/>
          </w:tcPr>
          <w:p w14:paraId="4B5C3751" w14:textId="77777777" w:rsidR="009E6CB7" w:rsidRPr="00732FE5" w:rsidRDefault="009E6CB7" w:rsidP="00B20551">
            <w:pPr>
              <w:spacing w:after="80"/>
            </w:pPr>
          </w:p>
        </w:tc>
        <w:tc>
          <w:tcPr>
            <w:tcW w:w="2268" w:type="dxa"/>
            <w:tcBorders>
              <w:bottom w:val="single" w:sz="4" w:space="0" w:color="auto"/>
            </w:tcBorders>
            <w:vAlign w:val="bottom"/>
          </w:tcPr>
          <w:p w14:paraId="2BC30C1F" w14:textId="77777777" w:rsidR="009E6CB7" w:rsidRPr="00732FE5" w:rsidRDefault="009E6CB7" w:rsidP="00B20551">
            <w:pPr>
              <w:spacing w:after="80" w:line="300" w:lineRule="exact"/>
              <w:rPr>
                <w:b/>
                <w:sz w:val="24"/>
                <w:szCs w:val="24"/>
              </w:rPr>
            </w:pPr>
            <w:r w:rsidRPr="00732FE5">
              <w:rPr>
                <w:sz w:val="28"/>
                <w:szCs w:val="28"/>
              </w:rPr>
              <w:t>United Nations</w:t>
            </w:r>
          </w:p>
        </w:tc>
        <w:tc>
          <w:tcPr>
            <w:tcW w:w="6095" w:type="dxa"/>
            <w:gridSpan w:val="2"/>
            <w:tcBorders>
              <w:bottom w:val="single" w:sz="4" w:space="0" w:color="auto"/>
            </w:tcBorders>
            <w:vAlign w:val="bottom"/>
          </w:tcPr>
          <w:p w14:paraId="74B4D81A" w14:textId="775187B2" w:rsidR="009E6CB7" w:rsidRPr="00732FE5" w:rsidRDefault="002E480D" w:rsidP="002E480D">
            <w:pPr>
              <w:jc w:val="right"/>
            </w:pPr>
            <w:r w:rsidRPr="00732FE5">
              <w:rPr>
                <w:sz w:val="40"/>
              </w:rPr>
              <w:t>ECE</w:t>
            </w:r>
            <w:r w:rsidRPr="00732FE5">
              <w:t>/TRANS/WP.15/AC.1/1</w:t>
            </w:r>
            <w:r w:rsidR="00C35008">
              <w:t>60</w:t>
            </w:r>
            <w:r w:rsidRPr="00732FE5">
              <w:t>/Add.1</w:t>
            </w:r>
          </w:p>
        </w:tc>
      </w:tr>
      <w:tr w:rsidR="009E6CB7" w:rsidRPr="00732FE5" w14:paraId="6658F80A" w14:textId="77777777" w:rsidTr="00B20551">
        <w:trPr>
          <w:cantSplit/>
          <w:trHeight w:hRule="exact" w:val="2835"/>
        </w:trPr>
        <w:tc>
          <w:tcPr>
            <w:tcW w:w="1276" w:type="dxa"/>
            <w:tcBorders>
              <w:top w:val="single" w:sz="4" w:space="0" w:color="auto"/>
              <w:bottom w:val="single" w:sz="12" w:space="0" w:color="auto"/>
            </w:tcBorders>
          </w:tcPr>
          <w:p w14:paraId="3CFC3AD0" w14:textId="77777777" w:rsidR="009E6CB7" w:rsidRPr="00732FE5" w:rsidRDefault="00686A48" w:rsidP="00B20551">
            <w:pPr>
              <w:spacing w:before="120"/>
            </w:pPr>
            <w:r w:rsidRPr="00056C1C">
              <w:rPr>
                <w:noProof/>
                <w:lang w:val="de-DE" w:eastAsia="de-DE"/>
              </w:rPr>
              <w:drawing>
                <wp:inline distT="0" distB="0" distL="0" distR="0" wp14:anchorId="283B0A0E" wp14:editId="7BFD87B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3690ABD" w14:textId="77777777" w:rsidR="009E6CB7" w:rsidRPr="00732FE5" w:rsidRDefault="009E6CB7" w:rsidP="00B20551">
            <w:pPr>
              <w:spacing w:before="120" w:line="420" w:lineRule="exact"/>
              <w:rPr>
                <w:sz w:val="40"/>
                <w:szCs w:val="40"/>
              </w:rPr>
            </w:pPr>
            <w:r w:rsidRPr="00732FE5">
              <w:rPr>
                <w:b/>
                <w:sz w:val="40"/>
                <w:szCs w:val="40"/>
              </w:rPr>
              <w:t>Economic and Social Council</w:t>
            </w:r>
          </w:p>
        </w:tc>
        <w:tc>
          <w:tcPr>
            <w:tcW w:w="2835" w:type="dxa"/>
            <w:tcBorders>
              <w:top w:val="single" w:sz="4" w:space="0" w:color="auto"/>
              <w:bottom w:val="single" w:sz="12" w:space="0" w:color="auto"/>
            </w:tcBorders>
          </w:tcPr>
          <w:p w14:paraId="5FCDD1F2" w14:textId="77777777" w:rsidR="009E6CB7" w:rsidRPr="00732FE5" w:rsidRDefault="002E480D" w:rsidP="002E480D">
            <w:pPr>
              <w:spacing w:before="240" w:line="240" w:lineRule="exact"/>
            </w:pPr>
            <w:r w:rsidRPr="00732FE5">
              <w:t>Distr.: General</w:t>
            </w:r>
          </w:p>
          <w:p w14:paraId="75FC1038" w14:textId="248283A9" w:rsidR="002E480D" w:rsidRPr="00732FE5" w:rsidRDefault="00551DA1" w:rsidP="002E480D">
            <w:pPr>
              <w:spacing w:line="240" w:lineRule="exact"/>
            </w:pPr>
            <w:r>
              <w:t>20</w:t>
            </w:r>
            <w:r w:rsidR="002E480D" w:rsidRPr="00732FE5">
              <w:t xml:space="preserve"> </w:t>
            </w:r>
            <w:r w:rsidR="00C35008">
              <w:t>April</w:t>
            </w:r>
            <w:r w:rsidR="002E480D" w:rsidRPr="00732FE5">
              <w:t xml:space="preserve"> 202</w:t>
            </w:r>
            <w:r w:rsidR="00C35008">
              <w:t>1</w:t>
            </w:r>
          </w:p>
          <w:p w14:paraId="62073658" w14:textId="77777777" w:rsidR="002E480D" w:rsidRPr="00732FE5" w:rsidRDefault="002E480D" w:rsidP="002E480D">
            <w:pPr>
              <w:spacing w:line="240" w:lineRule="exact"/>
            </w:pPr>
          </w:p>
          <w:p w14:paraId="49BCAD81" w14:textId="77777777" w:rsidR="002E480D" w:rsidRPr="00732FE5" w:rsidRDefault="002E480D" w:rsidP="002E480D">
            <w:pPr>
              <w:spacing w:line="240" w:lineRule="exact"/>
            </w:pPr>
            <w:r w:rsidRPr="00732FE5">
              <w:t>Original: English</w:t>
            </w:r>
          </w:p>
        </w:tc>
      </w:tr>
    </w:tbl>
    <w:p w14:paraId="29295060" w14:textId="77777777" w:rsidR="00FC4ACF" w:rsidRPr="00732FE5" w:rsidRDefault="00FC4ACF" w:rsidP="00FC4ACF">
      <w:pPr>
        <w:spacing w:before="120"/>
        <w:rPr>
          <w:b/>
          <w:sz w:val="28"/>
          <w:szCs w:val="28"/>
        </w:rPr>
      </w:pPr>
      <w:r w:rsidRPr="00732FE5">
        <w:rPr>
          <w:b/>
          <w:sz w:val="28"/>
          <w:szCs w:val="28"/>
        </w:rPr>
        <w:t>Economic Commission for Europe</w:t>
      </w:r>
    </w:p>
    <w:p w14:paraId="30FD472C" w14:textId="77777777" w:rsidR="00FC4ACF" w:rsidRPr="00732FE5" w:rsidRDefault="00FC4ACF" w:rsidP="00FC4ACF">
      <w:pPr>
        <w:spacing w:before="120"/>
        <w:outlineLvl w:val="0"/>
        <w:rPr>
          <w:sz w:val="28"/>
          <w:szCs w:val="28"/>
        </w:rPr>
      </w:pPr>
      <w:r w:rsidRPr="00732FE5">
        <w:rPr>
          <w:sz w:val="28"/>
          <w:szCs w:val="28"/>
        </w:rPr>
        <w:t>Inland Transport Committee</w:t>
      </w:r>
    </w:p>
    <w:p w14:paraId="7FA023B8" w14:textId="77777777" w:rsidR="00FC4ACF" w:rsidRPr="00732FE5" w:rsidRDefault="00FC4ACF" w:rsidP="00FC4ACF">
      <w:pPr>
        <w:spacing w:before="120"/>
        <w:outlineLvl w:val="0"/>
        <w:rPr>
          <w:b/>
          <w:sz w:val="24"/>
          <w:szCs w:val="24"/>
        </w:rPr>
      </w:pPr>
      <w:r w:rsidRPr="00732FE5">
        <w:rPr>
          <w:b/>
          <w:sz w:val="24"/>
          <w:szCs w:val="24"/>
        </w:rPr>
        <w:t>Working Party on the Transport of Dangerous Goods</w:t>
      </w:r>
    </w:p>
    <w:p w14:paraId="3D8747A6" w14:textId="77777777" w:rsidR="00FC4ACF" w:rsidRPr="00732FE5" w:rsidRDefault="00FC4ACF" w:rsidP="00FC4ACF">
      <w:pPr>
        <w:spacing w:before="120"/>
        <w:rPr>
          <w:b/>
        </w:rPr>
      </w:pPr>
      <w:r w:rsidRPr="00732FE5">
        <w:rPr>
          <w:b/>
        </w:rPr>
        <w:t>Joint Meeting of the RID Committee of Experts and the</w:t>
      </w:r>
      <w:r w:rsidRPr="00732FE5">
        <w:rPr>
          <w:b/>
        </w:rPr>
        <w:br/>
        <w:t>Working Party on the Transport of Dangerous Goods</w:t>
      </w:r>
    </w:p>
    <w:p w14:paraId="09D48440" w14:textId="4BFE1853" w:rsidR="00FC4ACF" w:rsidRPr="0079541D" w:rsidRDefault="00FC4ACF" w:rsidP="00FC4ACF">
      <w:pPr>
        <w:pStyle w:val="HChG"/>
      </w:pPr>
      <w:r w:rsidRPr="00732FE5">
        <w:tab/>
      </w:r>
      <w:r w:rsidRPr="00732FE5">
        <w:tab/>
      </w:r>
      <w:r w:rsidRPr="0079541D">
        <w:t xml:space="preserve">Report of the Joint Meeting of the RID Committee of Experts and the Working Party on the Transport of Dangerous Goods on its </w:t>
      </w:r>
      <w:r w:rsidR="00C35008">
        <w:t>spring</w:t>
      </w:r>
      <w:r w:rsidRPr="0079541D">
        <w:t xml:space="preserve"> 202</w:t>
      </w:r>
      <w:r w:rsidR="00C35008">
        <w:t>1</w:t>
      </w:r>
      <w:r w:rsidRPr="0079541D">
        <w:t xml:space="preserve"> session</w:t>
      </w:r>
      <w:r w:rsidRPr="0079541D">
        <w:rPr>
          <w:rStyle w:val="Appelnotedebasdep"/>
          <w:sz w:val="20"/>
          <w:vertAlign w:val="baseline"/>
        </w:rPr>
        <w:footnoteReference w:customMarkFollows="1" w:id="2"/>
        <w:t>*</w:t>
      </w:r>
    </w:p>
    <w:p w14:paraId="38E22FAA" w14:textId="08620055" w:rsidR="00FC4ACF" w:rsidRPr="0079541D" w:rsidRDefault="00FC4ACF" w:rsidP="00FC4ACF">
      <w:pPr>
        <w:pStyle w:val="H56G"/>
      </w:pPr>
      <w:r w:rsidRPr="0079541D">
        <w:tab/>
      </w:r>
      <w:r w:rsidRPr="0079541D">
        <w:tab/>
        <w:t xml:space="preserve">held in Bern, </w:t>
      </w:r>
      <w:r w:rsidR="00726571">
        <w:t xml:space="preserve">on </w:t>
      </w:r>
      <w:r w:rsidRPr="0079541D">
        <w:t>1</w:t>
      </w:r>
      <w:r w:rsidR="00B56D4F">
        <w:t>4</w:t>
      </w:r>
      <w:r w:rsidRPr="0079541D">
        <w:t>–1</w:t>
      </w:r>
      <w:r w:rsidR="00B56D4F">
        <w:t>9</w:t>
      </w:r>
      <w:r w:rsidRPr="0079541D">
        <w:t xml:space="preserve"> </w:t>
      </w:r>
      <w:r w:rsidR="00B56D4F">
        <w:t>March</w:t>
      </w:r>
      <w:r w:rsidRPr="0079541D">
        <w:t xml:space="preserve"> 202</w:t>
      </w:r>
      <w:r w:rsidR="00C35008">
        <w:t>1</w:t>
      </w:r>
    </w:p>
    <w:p w14:paraId="584B713C" w14:textId="77777777" w:rsidR="00FC4ACF" w:rsidRPr="0079541D" w:rsidRDefault="00FC4ACF" w:rsidP="00FC4ACF">
      <w:pPr>
        <w:pStyle w:val="H23G"/>
      </w:pPr>
      <w:r w:rsidRPr="0079541D">
        <w:tab/>
      </w:r>
      <w:r w:rsidRPr="0079541D">
        <w:tab/>
        <w:t>Addendum</w:t>
      </w:r>
      <w:r w:rsidRPr="0079541D">
        <w:rPr>
          <w:rStyle w:val="Appelnotedebasdep"/>
          <w:sz w:val="20"/>
          <w:vertAlign w:val="baseline"/>
        </w:rPr>
        <w:footnoteReference w:customMarkFollows="1" w:id="3"/>
        <w:t>**</w:t>
      </w:r>
    </w:p>
    <w:p w14:paraId="6143FAE3" w14:textId="77777777" w:rsidR="00FC4ACF" w:rsidRPr="0079541D" w:rsidRDefault="00FC4ACF" w:rsidP="00FC4ACF">
      <w:pPr>
        <w:pStyle w:val="H1G"/>
      </w:pPr>
      <w:r w:rsidRPr="0079541D">
        <w:tab/>
      </w:r>
      <w:r w:rsidRPr="0079541D">
        <w:tab/>
        <w:t>Annex I</w:t>
      </w:r>
    </w:p>
    <w:p w14:paraId="07FCCC7B" w14:textId="77777777" w:rsidR="00FC4ACF" w:rsidRPr="0079541D" w:rsidRDefault="00FC4ACF" w:rsidP="00FC4ACF">
      <w:pPr>
        <w:pStyle w:val="H1G"/>
      </w:pPr>
      <w:r w:rsidRPr="0079541D">
        <w:tab/>
      </w:r>
      <w:r w:rsidRPr="0079541D">
        <w:tab/>
        <w:t>Report of the Working Group on Tanks</w:t>
      </w:r>
    </w:p>
    <w:p w14:paraId="0A7165CC" w14:textId="77777777" w:rsidR="00E06790" w:rsidRPr="00B655C3" w:rsidRDefault="00E06790" w:rsidP="00E06790">
      <w:pPr>
        <w:pStyle w:val="SingleTxtG"/>
      </w:pPr>
      <w:r w:rsidRPr="00B655C3">
        <w:tab/>
        <w:t>1.</w:t>
      </w:r>
      <w:r w:rsidRPr="00B655C3">
        <w:tab/>
        <w:t>The Working Group on Tanks met from 15 to 17 March 2021 on a virtual basis on the mandate from the RID/ADR/ADN Joint Meeting, under the chairmanship of Mr. Arne Bale (United Kingdom), with Mr. Kees de Putter (Netherlands) as secretary. The relevant documents were submitted to the plenary session and transferred to the Working Group for consideration.</w:t>
      </w:r>
    </w:p>
    <w:p w14:paraId="3B5AEB0C" w14:textId="77777777" w:rsidR="00E06790" w:rsidRPr="00B655C3" w:rsidRDefault="00E06790" w:rsidP="00E06790">
      <w:pPr>
        <w:pStyle w:val="SingleTxtG"/>
        <w:ind w:right="973"/>
      </w:pPr>
      <w:r w:rsidRPr="00B655C3">
        <w:t>2.</w:t>
      </w:r>
      <w:r w:rsidRPr="00B655C3">
        <w:tab/>
        <w:t>For the Working Group on Tanks, 43 experts registered for participation from 15 countries and 8 non-governmental organizations. They dealt with the following official and informal documents:</w:t>
      </w:r>
    </w:p>
    <w:p w14:paraId="29F7FE15" w14:textId="77777777" w:rsidR="00E06790" w:rsidRPr="00B655C3" w:rsidRDefault="00E06790" w:rsidP="00F51A5A">
      <w:pPr>
        <w:pStyle w:val="SingleTxtG"/>
        <w:tabs>
          <w:tab w:val="left" w:pos="2977"/>
          <w:tab w:val="left" w:pos="5812"/>
        </w:tabs>
        <w:spacing w:after="0"/>
        <w:ind w:left="2977" w:hanging="1843"/>
        <w:jc w:val="left"/>
      </w:pPr>
      <w:r w:rsidRPr="00B655C3">
        <w:rPr>
          <w:i/>
        </w:rPr>
        <w:t>Documents</w:t>
      </w:r>
      <w:r w:rsidRPr="00B655C3">
        <w:t>:</w:t>
      </w:r>
      <w:r w:rsidRPr="00B655C3">
        <w:tab/>
        <w:t>ECE/TRANS/WP.15/AC.1/2021/3 (UIP)</w:t>
      </w:r>
    </w:p>
    <w:p w14:paraId="29DB337D" w14:textId="77777777" w:rsidR="00E06790" w:rsidRPr="00B655C3" w:rsidRDefault="00E06790" w:rsidP="00F51A5A">
      <w:pPr>
        <w:pStyle w:val="SingleTxtG"/>
        <w:tabs>
          <w:tab w:val="left" w:pos="2977"/>
        </w:tabs>
        <w:spacing w:after="0"/>
        <w:ind w:left="2977" w:hanging="1843"/>
        <w:jc w:val="left"/>
      </w:pPr>
      <w:r w:rsidRPr="00B655C3">
        <w:tab/>
        <w:t>ECE/TRANS/WP.15/AC.1/2021/5 (France)</w:t>
      </w:r>
    </w:p>
    <w:p w14:paraId="5952FD4D" w14:textId="77777777" w:rsidR="00E06790" w:rsidRPr="00B655C3" w:rsidRDefault="00E06790" w:rsidP="00F51A5A">
      <w:pPr>
        <w:pStyle w:val="SingleTxtG"/>
        <w:tabs>
          <w:tab w:val="left" w:pos="2977"/>
        </w:tabs>
        <w:spacing w:after="0"/>
        <w:ind w:left="2977" w:hanging="1843"/>
        <w:jc w:val="left"/>
      </w:pPr>
      <w:r w:rsidRPr="00B655C3">
        <w:tab/>
        <w:t>ECE/TRANS/WP.15/AC.1/2021/6 (Germany)</w:t>
      </w:r>
    </w:p>
    <w:p w14:paraId="5FCC6A55" w14:textId="64495649" w:rsidR="00E06790" w:rsidRPr="00B655C3" w:rsidRDefault="00F51A5A" w:rsidP="00F51A5A">
      <w:pPr>
        <w:pStyle w:val="SingleTxtG"/>
        <w:tabs>
          <w:tab w:val="left" w:pos="2977"/>
        </w:tabs>
        <w:spacing w:after="0"/>
        <w:ind w:left="2977" w:hanging="1843"/>
        <w:jc w:val="left"/>
      </w:pPr>
      <w:r>
        <w:tab/>
      </w:r>
      <w:r w:rsidR="00E06790" w:rsidRPr="00B655C3">
        <w:t>ECE/TRANS/WP.15/AC.1/2021/8 (Belgium)</w:t>
      </w:r>
    </w:p>
    <w:p w14:paraId="40182648" w14:textId="6C800EA6" w:rsidR="00E06790" w:rsidRPr="00B655C3" w:rsidRDefault="00F51A5A" w:rsidP="00F51A5A">
      <w:pPr>
        <w:pStyle w:val="SingleTxtG"/>
        <w:tabs>
          <w:tab w:val="left" w:pos="2977"/>
        </w:tabs>
        <w:spacing w:after="0"/>
        <w:ind w:left="2977" w:hanging="1843"/>
        <w:jc w:val="left"/>
      </w:pPr>
      <w:r>
        <w:tab/>
      </w:r>
      <w:r w:rsidR="00E06790" w:rsidRPr="00B655C3">
        <w:t>ECE/TRANS/WP.15/AC.1/2021/10 (Poland)</w:t>
      </w:r>
    </w:p>
    <w:p w14:paraId="7981651B" w14:textId="07BEF83C" w:rsidR="00E06790" w:rsidRPr="00B655C3" w:rsidRDefault="00F51A5A" w:rsidP="00F51A5A">
      <w:pPr>
        <w:pStyle w:val="SingleTxtG"/>
        <w:tabs>
          <w:tab w:val="left" w:pos="2977"/>
        </w:tabs>
        <w:spacing w:after="0"/>
        <w:ind w:left="2977" w:hanging="1843"/>
        <w:jc w:val="left"/>
      </w:pPr>
      <w:r>
        <w:tab/>
      </w:r>
      <w:r w:rsidR="00E06790" w:rsidRPr="00B655C3">
        <w:t>ECE/TRANS/WP.15/AC.1/2021/11 (Netherlands)</w:t>
      </w:r>
    </w:p>
    <w:p w14:paraId="7410AB8D" w14:textId="4445C813" w:rsidR="00E06790" w:rsidRPr="00B655C3" w:rsidRDefault="00F51A5A" w:rsidP="00F51A5A">
      <w:pPr>
        <w:pStyle w:val="SingleTxtG"/>
        <w:tabs>
          <w:tab w:val="left" w:pos="2977"/>
        </w:tabs>
        <w:spacing w:after="0"/>
        <w:ind w:left="2977" w:hanging="1843"/>
        <w:jc w:val="left"/>
      </w:pPr>
      <w:r>
        <w:tab/>
      </w:r>
      <w:r w:rsidR="00E06790" w:rsidRPr="00B655C3">
        <w:t>ECE/TRANS/WP.15/AC.1/2021/19 (United Kingdom)</w:t>
      </w:r>
    </w:p>
    <w:p w14:paraId="3E922C0B" w14:textId="07AEC069" w:rsidR="00E06790" w:rsidRPr="00B655C3" w:rsidRDefault="00F51A5A" w:rsidP="00F51A5A">
      <w:pPr>
        <w:pStyle w:val="SingleTxtG"/>
        <w:tabs>
          <w:tab w:val="left" w:pos="2977"/>
        </w:tabs>
        <w:spacing w:after="0"/>
        <w:ind w:left="2977" w:hanging="1843"/>
        <w:jc w:val="left"/>
      </w:pPr>
      <w:r>
        <w:tab/>
      </w:r>
      <w:r w:rsidR="00E06790" w:rsidRPr="00B655C3">
        <w:t xml:space="preserve">ECE/TRANS/WP.15/AC.1/2021/21 (OTIF </w:t>
      </w:r>
      <w:r w:rsidR="005D38E4">
        <w:t>s</w:t>
      </w:r>
      <w:r w:rsidR="00E06790" w:rsidRPr="00B655C3">
        <w:t>ecretariat)</w:t>
      </w:r>
    </w:p>
    <w:p w14:paraId="08B08A86" w14:textId="77FC8473" w:rsidR="00E06790" w:rsidRPr="00B655C3" w:rsidRDefault="00E06790" w:rsidP="00AC0FEA">
      <w:pPr>
        <w:pStyle w:val="SingleTxtG"/>
        <w:tabs>
          <w:tab w:val="left" w:pos="2977"/>
          <w:tab w:val="left" w:pos="5812"/>
        </w:tabs>
        <w:spacing w:after="0"/>
        <w:ind w:left="2977" w:hanging="1843"/>
        <w:jc w:val="left"/>
      </w:pPr>
      <w:r w:rsidRPr="008C2086">
        <w:rPr>
          <w:i/>
          <w:iCs/>
        </w:rPr>
        <w:lastRenderedPageBreak/>
        <w:t>Informal documents</w:t>
      </w:r>
      <w:r w:rsidRPr="00B655C3">
        <w:t>:</w:t>
      </w:r>
      <w:r w:rsidR="008C2086">
        <w:tab/>
      </w:r>
      <w:r w:rsidRPr="00B655C3">
        <w:t>INF.9 (ITCO)</w:t>
      </w:r>
    </w:p>
    <w:p w14:paraId="77BEF910" w14:textId="1B0BA496" w:rsidR="00E06790" w:rsidRPr="00B655C3" w:rsidRDefault="00F51A5A" w:rsidP="00F51A5A">
      <w:pPr>
        <w:pStyle w:val="SingleTxtG"/>
        <w:tabs>
          <w:tab w:val="left" w:pos="2977"/>
        </w:tabs>
        <w:spacing w:after="0"/>
        <w:ind w:left="2977" w:hanging="1843"/>
        <w:jc w:val="left"/>
      </w:pPr>
      <w:r>
        <w:tab/>
      </w:r>
      <w:r w:rsidR="00E06790" w:rsidRPr="00B655C3">
        <w:t>INF.18 (Secretariat)</w:t>
      </w:r>
    </w:p>
    <w:p w14:paraId="7465D877" w14:textId="28B5D6BA" w:rsidR="00E06790" w:rsidRPr="00B655C3" w:rsidRDefault="00F51A5A" w:rsidP="00F51A5A">
      <w:pPr>
        <w:pStyle w:val="SingleTxtG"/>
        <w:tabs>
          <w:tab w:val="left" w:pos="2977"/>
        </w:tabs>
        <w:spacing w:after="0"/>
        <w:ind w:left="2977" w:hanging="1843"/>
        <w:jc w:val="left"/>
      </w:pPr>
      <w:r>
        <w:tab/>
      </w:r>
      <w:r w:rsidR="00E06790" w:rsidRPr="00B655C3">
        <w:t>INF.11 (United Kingdom)</w:t>
      </w:r>
    </w:p>
    <w:p w14:paraId="022E3E9A" w14:textId="62FB54F1" w:rsidR="00E06790" w:rsidRPr="00B655C3" w:rsidRDefault="00F51A5A" w:rsidP="00F51A5A">
      <w:pPr>
        <w:pStyle w:val="SingleTxtG"/>
        <w:tabs>
          <w:tab w:val="left" w:pos="2977"/>
        </w:tabs>
        <w:spacing w:after="0"/>
        <w:ind w:left="2977" w:hanging="1843"/>
        <w:jc w:val="left"/>
      </w:pPr>
      <w:r>
        <w:tab/>
      </w:r>
      <w:r w:rsidR="00E06790" w:rsidRPr="00B655C3">
        <w:t>INF.21 (EIGA)</w:t>
      </w:r>
    </w:p>
    <w:p w14:paraId="432446AD" w14:textId="24CB7B61" w:rsidR="00E06790" w:rsidRPr="00B655C3" w:rsidRDefault="00F51A5A" w:rsidP="00F51A5A">
      <w:pPr>
        <w:pStyle w:val="SingleTxtG"/>
        <w:tabs>
          <w:tab w:val="left" w:pos="2977"/>
        </w:tabs>
        <w:spacing w:after="0"/>
        <w:ind w:left="2977" w:hanging="1843"/>
        <w:jc w:val="left"/>
      </w:pPr>
      <w:r>
        <w:tab/>
      </w:r>
      <w:r w:rsidR="00E06790" w:rsidRPr="00B655C3">
        <w:t>INF.12 (Netherlands)</w:t>
      </w:r>
    </w:p>
    <w:p w14:paraId="61B8458C" w14:textId="2D490CAF" w:rsidR="00E06790" w:rsidRPr="00B655C3" w:rsidRDefault="00F51A5A" w:rsidP="00F51A5A">
      <w:pPr>
        <w:pStyle w:val="SingleTxtG"/>
        <w:tabs>
          <w:tab w:val="left" w:pos="2977"/>
        </w:tabs>
        <w:spacing w:after="0"/>
        <w:ind w:left="2977" w:hanging="1843"/>
        <w:jc w:val="left"/>
      </w:pPr>
      <w:r>
        <w:tab/>
      </w:r>
      <w:r w:rsidR="00E06790" w:rsidRPr="00B655C3">
        <w:t>INF.13 (CEN)</w:t>
      </w:r>
    </w:p>
    <w:p w14:paraId="7550EF83" w14:textId="25A14215" w:rsidR="00E06790" w:rsidRPr="00B655C3" w:rsidRDefault="00F51A5A" w:rsidP="00F51A5A">
      <w:pPr>
        <w:pStyle w:val="SingleTxtG"/>
        <w:tabs>
          <w:tab w:val="left" w:pos="2977"/>
        </w:tabs>
        <w:spacing w:after="0"/>
        <w:ind w:left="2977" w:hanging="1843"/>
        <w:jc w:val="left"/>
      </w:pPr>
      <w:r>
        <w:tab/>
      </w:r>
      <w:r w:rsidR="00E06790" w:rsidRPr="00B655C3">
        <w:t>INF.23 (Germany and UIP)</w:t>
      </w:r>
    </w:p>
    <w:p w14:paraId="3D0164C2" w14:textId="33AABA73" w:rsidR="00E06790" w:rsidRPr="00B655C3" w:rsidRDefault="00F51A5A" w:rsidP="00F51A5A">
      <w:pPr>
        <w:pStyle w:val="SingleTxtG"/>
        <w:tabs>
          <w:tab w:val="left" w:pos="2977"/>
        </w:tabs>
        <w:spacing w:after="0"/>
        <w:ind w:left="2977" w:hanging="1843"/>
        <w:jc w:val="left"/>
      </w:pPr>
      <w:r>
        <w:tab/>
      </w:r>
      <w:r w:rsidR="00E06790" w:rsidRPr="00B655C3">
        <w:t>INF.31 (United Kingdom)</w:t>
      </w:r>
    </w:p>
    <w:p w14:paraId="79833D2A" w14:textId="37BFA764" w:rsidR="00E06790" w:rsidRPr="00B655C3" w:rsidRDefault="00F51A5A" w:rsidP="00F51A5A">
      <w:pPr>
        <w:pStyle w:val="SingleTxtG"/>
        <w:tabs>
          <w:tab w:val="left" w:pos="2977"/>
        </w:tabs>
        <w:spacing w:after="0"/>
        <w:ind w:left="2977" w:hanging="1843"/>
        <w:jc w:val="left"/>
      </w:pPr>
      <w:r>
        <w:tab/>
      </w:r>
      <w:r w:rsidR="00E06790" w:rsidRPr="00B655C3">
        <w:t>INF.14 (Netherlands and UIP)</w:t>
      </w:r>
    </w:p>
    <w:p w14:paraId="3ACE7A88" w14:textId="4E858A75" w:rsidR="00E06790" w:rsidRPr="00B655C3" w:rsidRDefault="00F51A5A" w:rsidP="00F51A5A">
      <w:pPr>
        <w:pStyle w:val="SingleTxtG"/>
        <w:tabs>
          <w:tab w:val="left" w:pos="2977"/>
        </w:tabs>
        <w:spacing w:after="0"/>
        <w:ind w:left="2977" w:hanging="1843"/>
        <w:jc w:val="left"/>
      </w:pPr>
      <w:r>
        <w:tab/>
      </w:r>
      <w:r w:rsidR="00E06790" w:rsidRPr="00B655C3">
        <w:t>INF.35 (France)</w:t>
      </w:r>
    </w:p>
    <w:p w14:paraId="1E3F7A11" w14:textId="741D9041" w:rsidR="00E06790" w:rsidRPr="00B655C3" w:rsidRDefault="00F51A5A" w:rsidP="00F51A5A">
      <w:pPr>
        <w:pStyle w:val="SingleTxtG"/>
        <w:tabs>
          <w:tab w:val="left" w:pos="2977"/>
        </w:tabs>
        <w:spacing w:after="0"/>
        <w:ind w:left="2977" w:hanging="1843"/>
        <w:jc w:val="left"/>
      </w:pPr>
      <w:r>
        <w:tab/>
      </w:r>
      <w:r w:rsidR="00E06790" w:rsidRPr="00B655C3">
        <w:t>INF.15 (United Kingdom)</w:t>
      </w:r>
    </w:p>
    <w:p w14:paraId="043A9CAC" w14:textId="2D340114" w:rsidR="00E06790" w:rsidRPr="00B655C3" w:rsidRDefault="00F51A5A" w:rsidP="00F51A5A">
      <w:pPr>
        <w:pStyle w:val="SingleTxtG"/>
        <w:tabs>
          <w:tab w:val="left" w:pos="2977"/>
        </w:tabs>
        <w:spacing w:after="0"/>
        <w:ind w:left="2977" w:hanging="1843"/>
        <w:jc w:val="left"/>
      </w:pPr>
      <w:r>
        <w:tab/>
      </w:r>
      <w:r w:rsidR="00E06790" w:rsidRPr="00B655C3">
        <w:t>INF.37 (UIC)</w:t>
      </w:r>
    </w:p>
    <w:p w14:paraId="57991254" w14:textId="3F1A32A9" w:rsidR="00E06790" w:rsidRPr="00B655C3" w:rsidRDefault="00F51A5A" w:rsidP="00F51A5A">
      <w:pPr>
        <w:pStyle w:val="SingleTxtG"/>
        <w:tabs>
          <w:tab w:val="left" w:pos="2977"/>
        </w:tabs>
        <w:spacing w:after="0"/>
        <w:ind w:left="2977" w:hanging="1843"/>
        <w:jc w:val="left"/>
      </w:pPr>
      <w:r>
        <w:tab/>
      </w:r>
      <w:r w:rsidR="00E06790" w:rsidRPr="00B655C3">
        <w:t>INF.16 (Poland)</w:t>
      </w:r>
    </w:p>
    <w:p w14:paraId="266101ED" w14:textId="6D718CA6" w:rsidR="00E06790" w:rsidRPr="00D418D5" w:rsidRDefault="00C20800" w:rsidP="00D418D5">
      <w:pPr>
        <w:pStyle w:val="HChG"/>
      </w:pPr>
      <w:r w:rsidRPr="00D418D5">
        <w:t>I.</w:t>
      </w:r>
      <w:r w:rsidRPr="00D418D5">
        <w:tab/>
      </w:r>
      <w:r w:rsidRPr="00D418D5">
        <w:tab/>
      </w:r>
      <w:r w:rsidR="00E06790" w:rsidRPr="00D418D5">
        <w:t>Section 1: Outcome of discussions requiring endorsement by the Joint Meeting</w:t>
      </w:r>
    </w:p>
    <w:p w14:paraId="729399AA" w14:textId="3219A4F7" w:rsidR="00E06790" w:rsidRPr="00B655C3" w:rsidRDefault="00E06790" w:rsidP="006A60CA">
      <w:pPr>
        <w:snapToGrid w:val="0"/>
        <w:spacing w:before="120" w:after="120"/>
        <w:ind w:right="1134"/>
        <w:rPr>
          <w:b/>
          <w:bCs/>
          <w:sz w:val="22"/>
          <w:szCs w:val="22"/>
        </w:rPr>
      </w:pPr>
      <w:r w:rsidRPr="00B655C3">
        <w:rPr>
          <w:b/>
          <w:bCs/>
          <w:sz w:val="22"/>
          <w:szCs w:val="22"/>
        </w:rPr>
        <w:t>Item 1:</w:t>
      </w:r>
      <w:r w:rsidR="0059056B">
        <w:rPr>
          <w:b/>
          <w:bCs/>
          <w:sz w:val="22"/>
          <w:szCs w:val="22"/>
        </w:rPr>
        <w:tab/>
      </w:r>
      <w:r w:rsidRPr="00B655C3">
        <w:rPr>
          <w:b/>
          <w:bCs/>
          <w:sz w:val="22"/>
          <w:szCs w:val="22"/>
        </w:rPr>
        <w:t>Extra-large tank-containers: Manholes and dome covers</w:t>
      </w:r>
    </w:p>
    <w:p w14:paraId="43C5DC02" w14:textId="1F95EEC2" w:rsidR="00E06790" w:rsidRPr="00B945B3" w:rsidRDefault="00E06790" w:rsidP="00E06790">
      <w:pPr>
        <w:keepLines/>
        <w:tabs>
          <w:tab w:val="left" w:pos="2977"/>
        </w:tabs>
        <w:ind w:left="1134"/>
        <w:rPr>
          <w:bCs/>
        </w:rPr>
      </w:pPr>
      <w:r w:rsidRPr="00B945B3">
        <w:rPr>
          <w:bCs/>
          <w:i/>
        </w:rPr>
        <w:t>Documents:</w:t>
      </w:r>
      <w:r w:rsidRPr="00B945B3">
        <w:rPr>
          <w:bCs/>
        </w:rPr>
        <w:tab/>
        <w:t>ECE/TRANS/WP.15/AC.1/2021/8 (Belgium)</w:t>
      </w:r>
    </w:p>
    <w:p w14:paraId="18960801" w14:textId="41E944AE" w:rsidR="00E06790" w:rsidRPr="00B945B3" w:rsidRDefault="00E06790" w:rsidP="006C719B">
      <w:pPr>
        <w:keepLines/>
        <w:tabs>
          <w:tab w:val="left" w:pos="2977"/>
        </w:tabs>
        <w:spacing w:after="120"/>
        <w:ind w:left="2977"/>
        <w:rPr>
          <w:bCs/>
        </w:rPr>
      </w:pPr>
      <w:r w:rsidRPr="00B945B3">
        <w:rPr>
          <w:bCs/>
        </w:rPr>
        <w:t xml:space="preserve">ECE/TRANS/WP.15/AC.1/2021/21 (OTIF </w:t>
      </w:r>
      <w:r w:rsidR="00545418">
        <w:rPr>
          <w:bCs/>
        </w:rPr>
        <w:t>s</w:t>
      </w:r>
      <w:r w:rsidRPr="00B945B3">
        <w:rPr>
          <w:bCs/>
        </w:rPr>
        <w:t>ecretariat)</w:t>
      </w:r>
    </w:p>
    <w:p w14:paraId="61C4DB23" w14:textId="77777777" w:rsidR="00E06790" w:rsidRPr="00B945B3" w:rsidRDefault="00E06790" w:rsidP="006C719B">
      <w:pPr>
        <w:keepLines/>
        <w:tabs>
          <w:tab w:val="left" w:pos="2977"/>
        </w:tabs>
        <w:spacing w:after="120"/>
        <w:ind w:left="1134"/>
        <w:rPr>
          <w:bCs/>
        </w:rPr>
      </w:pPr>
      <w:r w:rsidRPr="00B945B3">
        <w:rPr>
          <w:bCs/>
          <w:i/>
        </w:rPr>
        <w:t>Informal document:</w:t>
      </w:r>
      <w:r w:rsidRPr="00B945B3">
        <w:rPr>
          <w:bCs/>
          <w:i/>
        </w:rPr>
        <w:tab/>
      </w:r>
      <w:r w:rsidRPr="00B945B3">
        <w:rPr>
          <w:bCs/>
        </w:rPr>
        <w:t>INF.23 (Germany and UIP)</w:t>
      </w:r>
    </w:p>
    <w:p w14:paraId="205B2F0D" w14:textId="44FCA329" w:rsidR="00E06790" w:rsidRPr="00B655C3" w:rsidRDefault="00E06790" w:rsidP="003250A9">
      <w:pPr>
        <w:pStyle w:val="SingleTxtG"/>
      </w:pPr>
      <w:r w:rsidRPr="00B655C3">
        <w:t>3.</w:t>
      </w:r>
      <w:r w:rsidRPr="00B655C3">
        <w:tab/>
        <w:t xml:space="preserve">There was </w:t>
      </w:r>
      <w:proofErr w:type="gramStart"/>
      <w:r w:rsidRPr="00B655C3">
        <w:t>general consensus</w:t>
      </w:r>
      <w:proofErr w:type="gramEnd"/>
      <w:r w:rsidRPr="00B655C3">
        <w:t xml:space="preserve"> among the experts for the use of manhole covers designed for a test pressure of not less than 4 bar. </w:t>
      </w:r>
      <w:r w:rsidR="000A332D">
        <w:t>T</w:t>
      </w:r>
      <w:r w:rsidRPr="00B655C3">
        <w:t>hese would only be used on tanks for the carriage of liquids and possibly solids in the molten state. Tanks for powdery or granular substances and gases would not be affected due to the lack of surge and higher calculation pressures of tanks and manhole covers. It was decided to keep the proposed text in square brackets pending the development of specific criteria for these tank-containers. It was decided to include the new provisions in RID and ADR to enable their future use in road transport.</w:t>
      </w:r>
    </w:p>
    <w:p w14:paraId="6877D2A0" w14:textId="3429A302" w:rsidR="00E06790" w:rsidRPr="00B655C3" w:rsidRDefault="00E06790" w:rsidP="003250A9">
      <w:pPr>
        <w:pStyle w:val="SingleTxtG"/>
      </w:pPr>
      <w:r w:rsidRPr="00B655C3">
        <w:t>4.</w:t>
      </w:r>
      <w:r w:rsidRPr="00B655C3">
        <w:tab/>
        <w:t xml:space="preserve">The development of a specific definition for “extra-large tank-container” was supported, as several additional requirements may apply. However, it proved impossible to develop a definition during the session, as the criteria for distinguishing these </w:t>
      </w:r>
      <w:proofErr w:type="gramStart"/>
      <w:r w:rsidRPr="00B655C3">
        <w:t>particular containers</w:t>
      </w:r>
      <w:proofErr w:type="gramEnd"/>
      <w:r w:rsidRPr="00B655C3">
        <w:t xml:space="preserve"> were not yet clear. It was felt that not only </w:t>
      </w:r>
      <w:r w:rsidR="001E6A05" w:rsidRPr="00B655C3">
        <w:t>capacity,</w:t>
      </w:r>
      <w:r w:rsidRPr="00B655C3">
        <w:t xml:space="preserve"> but also maximum gross weight and external dimensions may be criteria.</w:t>
      </w:r>
    </w:p>
    <w:p w14:paraId="1C553820" w14:textId="6A93873A" w:rsidR="00E06790" w:rsidRPr="00B655C3" w:rsidRDefault="00E06790" w:rsidP="003250A9">
      <w:pPr>
        <w:pStyle w:val="SingleTxtG"/>
      </w:pPr>
      <w:r w:rsidRPr="00B655C3">
        <w:t>5.</w:t>
      </w:r>
      <w:r w:rsidRPr="00B655C3">
        <w:tab/>
      </w:r>
      <w:r w:rsidR="00925373">
        <w:t>On informal document</w:t>
      </w:r>
      <w:r w:rsidRPr="00B655C3">
        <w:t xml:space="preserve"> INF.23, no conclusions could be reached on the issue of specific accelerations that would apply to these tank-containers during shunting above the standard 2g for RID and ADR. As this was a typical rail issue, it was felt that this should be further discussed in the RID Committee of Experts’ standing working group.</w:t>
      </w:r>
    </w:p>
    <w:p w14:paraId="7BA08571" w14:textId="0690D24A" w:rsidR="00E06790" w:rsidRPr="00B655C3" w:rsidRDefault="00E06790" w:rsidP="003250A9">
      <w:pPr>
        <w:pStyle w:val="SingleTxtG"/>
      </w:pPr>
      <w:r w:rsidRPr="00B655C3">
        <w:t>6.</w:t>
      </w:r>
      <w:r w:rsidRPr="00B655C3">
        <w:tab/>
        <w:t>Although all known extra-large tank-containers complied with the new provision, it was decided to include a new transitional measure in case any other extra-large tank-containers existed. It was decided to keep the transitional measure in square brackets, together with the proposed new text for 6.8.2.2.4, for further consideration.</w:t>
      </w:r>
    </w:p>
    <w:p w14:paraId="3190730E" w14:textId="7B2AE152" w:rsidR="00E06790" w:rsidRPr="0064317F" w:rsidRDefault="0064317F" w:rsidP="0064317F">
      <w:pPr>
        <w:pStyle w:val="H23G"/>
      </w:pPr>
      <w:r>
        <w:tab/>
      </w:r>
      <w:r>
        <w:tab/>
      </w:r>
      <w:r w:rsidR="00E06790" w:rsidRPr="0064317F">
        <w:t>Proposal 1: in 6.8.2.2.4 RID</w:t>
      </w:r>
      <w:r w:rsidR="008D0317">
        <w:t>/</w:t>
      </w:r>
      <w:r w:rsidR="00E06790" w:rsidRPr="0064317F">
        <w:t xml:space="preserve">ADR include new wording on the right-hand side after the first sentence (new text </w:t>
      </w:r>
      <w:r w:rsidR="00771C8A">
        <w:t>underlined</w:t>
      </w:r>
      <w:r w:rsidR="00E06790" w:rsidRPr="0064317F">
        <w:t>):</w:t>
      </w:r>
    </w:p>
    <w:tbl>
      <w:tblPr>
        <w:tblStyle w:val="Grilledutableau"/>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95"/>
      </w:tblGrid>
      <w:tr w:rsidR="00E06790" w:rsidRPr="00B655C3" w14:paraId="00264DDE" w14:textId="77777777" w:rsidTr="005716A4">
        <w:tc>
          <w:tcPr>
            <w:tcW w:w="2835" w:type="dxa"/>
            <w:tcBorders>
              <w:right w:val="single" w:sz="4" w:space="0" w:color="auto"/>
            </w:tcBorders>
          </w:tcPr>
          <w:p w14:paraId="02D036CD" w14:textId="77777777" w:rsidR="00E06790" w:rsidRPr="00B655C3" w:rsidRDefault="00E06790" w:rsidP="001E54BE">
            <w:pPr>
              <w:rPr>
                <w:i/>
                <w:iCs/>
                <w:color w:val="222222"/>
                <w:shd w:val="clear" w:color="auto" w:fill="FFFFFF"/>
              </w:rPr>
            </w:pPr>
          </w:p>
        </w:tc>
        <w:tc>
          <w:tcPr>
            <w:tcW w:w="4395" w:type="dxa"/>
            <w:tcBorders>
              <w:left w:val="single" w:sz="4" w:space="0" w:color="auto"/>
            </w:tcBorders>
          </w:tcPr>
          <w:p w14:paraId="2311E260" w14:textId="6FE27124" w:rsidR="00E06790" w:rsidRPr="006039AC" w:rsidRDefault="00E06790" w:rsidP="00DB558C">
            <w:pPr>
              <w:spacing w:after="120"/>
              <w:ind w:left="244"/>
              <w:rPr>
                <w:color w:val="222222"/>
                <w:u w:val="single"/>
                <w:shd w:val="clear" w:color="auto" w:fill="FFFFFF"/>
              </w:rPr>
            </w:pPr>
            <w:r w:rsidRPr="006039AC">
              <w:rPr>
                <w:color w:val="222222"/>
                <w:u w:val="single"/>
                <w:shd w:val="clear" w:color="auto" w:fill="FFFFFF"/>
              </w:rPr>
              <w:t xml:space="preserve">["These openings for tank containers with a capacity of [more than 40,000 litres/36,000 kg gross weight] intended for the carriage of [liquids] [substances in the liquid state] which are not divided by partitions or surge plates into sections of not more than 7,500 litres capacity shall be provided with closures designed for a test pressure of at least 0.4 MPa (4 bar). Hinged dome covers for </w:t>
            </w:r>
            <w:r w:rsidRPr="006039AC">
              <w:rPr>
                <w:color w:val="222222"/>
                <w:u w:val="single"/>
                <w:shd w:val="clear" w:color="auto" w:fill="FFFFFF"/>
              </w:rPr>
              <w:lastRenderedPageBreak/>
              <w:t>these tank-containers with a test pressure of more than 0.6 MPa (6 bar) shall not be permitted."]</w:t>
            </w:r>
          </w:p>
        </w:tc>
      </w:tr>
    </w:tbl>
    <w:p w14:paraId="5885EF70" w14:textId="778C4983" w:rsidR="00E06790" w:rsidRPr="0064317F" w:rsidRDefault="00897860" w:rsidP="0064317F">
      <w:pPr>
        <w:pStyle w:val="H23G"/>
      </w:pPr>
      <w:r>
        <w:lastRenderedPageBreak/>
        <w:tab/>
      </w:r>
      <w:r>
        <w:tab/>
      </w:r>
      <w:r w:rsidR="00E06790" w:rsidRPr="0064317F">
        <w:t>Proposal 2: introduce a new transitional measure to read:</w:t>
      </w:r>
    </w:p>
    <w:p w14:paraId="0FB33ED0" w14:textId="6353D0BF" w:rsidR="00E06790" w:rsidRPr="00F465CE" w:rsidRDefault="00BC562E" w:rsidP="00FA34CC">
      <w:pPr>
        <w:ind w:left="2268" w:right="1134" w:hanging="1134"/>
        <w:jc w:val="both"/>
        <w:rPr>
          <w:color w:val="222222"/>
          <w:shd w:val="clear" w:color="auto" w:fill="FFFFFF"/>
        </w:rPr>
      </w:pPr>
      <w:bookmarkStart w:id="0" w:name="_Hlk67849418"/>
      <w:r w:rsidRPr="009A0C06">
        <w:t>“</w:t>
      </w:r>
      <w:bookmarkEnd w:id="0"/>
      <w:r w:rsidR="00E06790" w:rsidRPr="00F465CE">
        <w:rPr>
          <w:color w:val="222222"/>
          <w:shd w:val="clear" w:color="auto" w:fill="FFFFFF"/>
        </w:rPr>
        <w:t>[1.6.4.xx</w:t>
      </w:r>
      <w:r w:rsidR="00E06790" w:rsidRPr="00F465CE">
        <w:rPr>
          <w:color w:val="222222"/>
          <w:shd w:val="clear" w:color="auto" w:fill="FFFFFF"/>
        </w:rPr>
        <w:tab/>
        <w:t>Tank-containers constructed before 1 July 2023 in accordance with the requirements in force up to 31 December 2022, but which do not conform to the requirements of 6.8.2.2.4 second paragraph applicable from 1 January 2023, may still be used.]</w:t>
      </w:r>
      <w:r w:rsidR="00021018" w:rsidRPr="00056C1C">
        <w:t>”</w:t>
      </w:r>
    </w:p>
    <w:p w14:paraId="0CC8CD11" w14:textId="2677D509" w:rsidR="00E06790" w:rsidRPr="00B655C3" w:rsidRDefault="00E06790" w:rsidP="006A60CA">
      <w:pPr>
        <w:snapToGrid w:val="0"/>
        <w:spacing w:before="120" w:after="120"/>
        <w:ind w:right="1134"/>
        <w:rPr>
          <w:b/>
          <w:bCs/>
          <w:sz w:val="22"/>
          <w:szCs w:val="22"/>
        </w:rPr>
      </w:pPr>
      <w:r w:rsidRPr="00B655C3">
        <w:rPr>
          <w:b/>
          <w:bCs/>
          <w:sz w:val="22"/>
          <w:szCs w:val="22"/>
        </w:rPr>
        <w:t>Item 2</w:t>
      </w:r>
      <w:bookmarkStart w:id="1" w:name="_Hlk50936435"/>
      <w:r w:rsidRPr="00B655C3">
        <w:rPr>
          <w:b/>
          <w:bCs/>
          <w:sz w:val="22"/>
          <w:szCs w:val="22"/>
        </w:rPr>
        <w:t>:</w:t>
      </w:r>
      <w:bookmarkEnd w:id="1"/>
      <w:r w:rsidR="00974BBF">
        <w:rPr>
          <w:b/>
          <w:bCs/>
          <w:sz w:val="22"/>
          <w:szCs w:val="22"/>
        </w:rPr>
        <w:tab/>
      </w:r>
      <w:r w:rsidRPr="00B655C3">
        <w:rPr>
          <w:b/>
          <w:bCs/>
          <w:sz w:val="22"/>
          <w:szCs w:val="22"/>
        </w:rPr>
        <w:t>Clarifying inspection expiry dates in Chapters 6.8, 6.10 and 6.12</w:t>
      </w:r>
    </w:p>
    <w:p w14:paraId="71F42ED7" w14:textId="567AC988" w:rsidR="00E06790" w:rsidRPr="004F2822" w:rsidRDefault="00E06790" w:rsidP="004F2822">
      <w:pPr>
        <w:keepLines/>
        <w:tabs>
          <w:tab w:val="left" w:pos="2977"/>
        </w:tabs>
        <w:spacing w:after="120"/>
        <w:ind w:left="2977" w:hanging="1843"/>
        <w:rPr>
          <w:bCs/>
        </w:rPr>
      </w:pPr>
      <w:r w:rsidRPr="004F2822">
        <w:rPr>
          <w:bCs/>
          <w:i/>
        </w:rPr>
        <w:t>Document:</w:t>
      </w:r>
      <w:r w:rsidRPr="004F2822">
        <w:rPr>
          <w:bCs/>
        </w:rPr>
        <w:tab/>
        <w:t>ECE/TRANS/WP.15/AC.1/2021/19 (United Kingdom)</w:t>
      </w:r>
    </w:p>
    <w:p w14:paraId="42787361" w14:textId="05A4C618" w:rsidR="00E06790" w:rsidRPr="00B655C3" w:rsidRDefault="00E06790" w:rsidP="003250A9">
      <w:pPr>
        <w:pStyle w:val="SingleTxtG"/>
      </w:pPr>
      <w:r w:rsidRPr="00B655C3">
        <w:t>7.</w:t>
      </w:r>
      <w:r w:rsidRPr="00B655C3">
        <w:tab/>
        <w:t>The experts supported the amendments proposed to clarify the inspection dates and to harmonize with the terms used in 6.7. The amendments would apply in principle to the English version of RID and ADR, but there are consequential amendments in other language versions.</w:t>
      </w:r>
    </w:p>
    <w:p w14:paraId="6E5C3C60" w14:textId="7B270516" w:rsidR="00E06790" w:rsidRPr="0064317F" w:rsidRDefault="00303F95" w:rsidP="0064317F">
      <w:pPr>
        <w:pStyle w:val="H23G"/>
      </w:pPr>
      <w:r>
        <w:tab/>
      </w:r>
      <w:r>
        <w:tab/>
      </w:r>
      <w:r w:rsidR="00E06790" w:rsidRPr="0064317F">
        <w:t xml:space="preserve">Proposal 3: amend 6.8.2.4.3, 6.8.3.4.6, 6.8.4, 6.10.4 and 6.12.3.2.6 to read (new wording </w:t>
      </w:r>
      <w:r w:rsidR="00967561" w:rsidRPr="0064317F">
        <w:t>underlined,</w:t>
      </w:r>
      <w:r w:rsidR="00E06790" w:rsidRPr="0064317F">
        <w:t xml:space="preserve"> and deleted wording crossed out):</w:t>
      </w:r>
    </w:p>
    <w:p w14:paraId="0671CF31" w14:textId="0BB0897A" w:rsidR="00E06790" w:rsidRPr="00756253" w:rsidRDefault="00B84766" w:rsidP="00F12936">
      <w:pPr>
        <w:pStyle w:val="SingleTxtG"/>
        <w:tabs>
          <w:tab w:val="left" w:pos="2268"/>
        </w:tabs>
        <w:ind w:left="2268" w:hanging="1134"/>
        <w:rPr>
          <w:bCs/>
          <w:u w:val="single"/>
        </w:rPr>
      </w:pPr>
      <w:r w:rsidRPr="00756253">
        <w:t>“</w:t>
      </w:r>
      <w:r w:rsidR="00E06790" w:rsidRPr="00756253">
        <w:t>6.8.2.4.3</w:t>
      </w:r>
      <w:r w:rsidR="00303F95" w:rsidRPr="00756253">
        <w:tab/>
      </w:r>
      <w:r w:rsidR="00E06790" w:rsidRPr="00756253">
        <w:t xml:space="preserve">Shells and their equipment shall undergo intermediate inspections </w:t>
      </w:r>
      <w:r w:rsidR="00E06790" w:rsidRPr="00756253">
        <w:rPr>
          <w:bCs/>
          <w:strike/>
        </w:rPr>
        <w:t xml:space="preserve">at least </w:t>
      </w:r>
      <w:r w:rsidR="00E06790" w:rsidRPr="00756253">
        <w:rPr>
          <w:bCs/>
          <w:u w:val="single"/>
        </w:rPr>
        <w:t>no later than</w:t>
      </w:r>
      <w:r w:rsidR="00E06790" w:rsidRPr="00756253">
        <w:rPr>
          <w:bCs/>
        </w:rPr>
        <w:t xml:space="preserve"> </w:t>
      </w:r>
      <w:r w:rsidR="00E06790" w:rsidRPr="00756253">
        <w:rPr>
          <w:bCs/>
          <w:strike/>
        </w:rPr>
        <w:t>every</w:t>
      </w:r>
    </w:p>
    <w:tbl>
      <w:tblPr>
        <w:tblStyle w:val="Grilledutableau"/>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3523"/>
      </w:tblGrid>
      <w:tr w:rsidR="00E06790" w:rsidRPr="00756253" w14:paraId="01D798ED" w14:textId="77777777" w:rsidTr="0068010D">
        <w:trPr>
          <w:trHeight w:val="87"/>
        </w:trPr>
        <w:tc>
          <w:tcPr>
            <w:tcW w:w="4089" w:type="dxa"/>
            <w:tcBorders>
              <w:right w:val="single" w:sz="4" w:space="0" w:color="auto"/>
            </w:tcBorders>
          </w:tcPr>
          <w:p w14:paraId="57264B17" w14:textId="45FD1430" w:rsidR="00E06790" w:rsidRPr="00756253" w:rsidRDefault="00E06790" w:rsidP="0068010D">
            <w:pPr>
              <w:pStyle w:val="NormalWeb"/>
              <w:spacing w:after="120" w:afterAutospacing="0"/>
              <w:ind w:left="970" w:right="1134"/>
              <w:jc w:val="both"/>
              <w:rPr>
                <w:sz w:val="20"/>
                <w:szCs w:val="20"/>
              </w:rPr>
            </w:pPr>
            <w:r w:rsidRPr="00756253">
              <w:rPr>
                <w:sz w:val="20"/>
                <w:szCs w:val="20"/>
              </w:rPr>
              <w:t>four years (RID) /</w:t>
            </w:r>
            <w:r w:rsidR="003D7E94">
              <w:rPr>
                <w:sz w:val="20"/>
                <w:szCs w:val="20"/>
              </w:rPr>
              <w:t xml:space="preserve"> </w:t>
            </w:r>
            <w:r w:rsidRPr="00756253">
              <w:rPr>
                <w:sz w:val="20"/>
                <w:szCs w:val="20"/>
              </w:rPr>
              <w:t>three years (ADR)</w:t>
            </w:r>
          </w:p>
        </w:tc>
        <w:tc>
          <w:tcPr>
            <w:tcW w:w="3523" w:type="dxa"/>
            <w:tcBorders>
              <w:left w:val="single" w:sz="4" w:space="0" w:color="auto"/>
            </w:tcBorders>
          </w:tcPr>
          <w:p w14:paraId="731B8559" w14:textId="77777777" w:rsidR="00E06790" w:rsidRPr="00756253" w:rsidRDefault="00E06790" w:rsidP="00756253">
            <w:pPr>
              <w:pStyle w:val="NormalWeb"/>
              <w:ind w:left="280" w:right="1134"/>
              <w:jc w:val="both"/>
              <w:rPr>
                <w:sz w:val="20"/>
                <w:szCs w:val="20"/>
              </w:rPr>
            </w:pPr>
            <w:r w:rsidRPr="00756253">
              <w:rPr>
                <w:sz w:val="20"/>
                <w:szCs w:val="20"/>
              </w:rPr>
              <w:t>two and a half years</w:t>
            </w:r>
          </w:p>
        </w:tc>
      </w:tr>
    </w:tbl>
    <w:p w14:paraId="47127DA9" w14:textId="7B28F3BC" w:rsidR="00E06790" w:rsidRPr="00756253" w:rsidRDefault="0068010D" w:rsidP="00F12936">
      <w:pPr>
        <w:pStyle w:val="SingleTxtG"/>
        <w:tabs>
          <w:tab w:val="left" w:pos="2268"/>
        </w:tabs>
        <w:ind w:left="2268" w:hanging="1134"/>
      </w:pPr>
      <w:r>
        <w:tab/>
      </w:r>
      <w:r w:rsidR="00E06790" w:rsidRPr="00756253">
        <w:t>after the initial inspection and each periodic inspection. These intermediate inspections may be performed within three months before or after the specified date.</w:t>
      </w:r>
    </w:p>
    <w:p w14:paraId="08637C26" w14:textId="6B9E6750" w:rsidR="002B3CB8" w:rsidRDefault="002B3CB8" w:rsidP="00F12936">
      <w:pPr>
        <w:pStyle w:val="SingleTxtG"/>
        <w:tabs>
          <w:tab w:val="left" w:pos="2268"/>
        </w:tabs>
        <w:ind w:left="2268" w:hanging="1134"/>
      </w:pPr>
      <w:r>
        <w:tab/>
      </w:r>
      <w:r w:rsidR="00E06790" w:rsidRPr="00756253">
        <w:t>However, the intermediate inspection may be performed at any time before the specified date.</w:t>
      </w:r>
    </w:p>
    <w:p w14:paraId="2B6B93C4" w14:textId="77BE47C5" w:rsidR="00E06790" w:rsidRPr="00756253" w:rsidRDefault="002B3CB8" w:rsidP="00F12936">
      <w:pPr>
        <w:pStyle w:val="SingleTxtG"/>
        <w:tabs>
          <w:tab w:val="left" w:pos="2268"/>
        </w:tabs>
        <w:ind w:left="2268" w:hanging="1134"/>
        <w:rPr>
          <w:bCs/>
        </w:rPr>
      </w:pPr>
      <w:r>
        <w:tab/>
      </w:r>
      <w:r w:rsidR="00E06790" w:rsidRPr="00756253">
        <w:t xml:space="preserve">If an intermediate inspection is performed more than three months before the </w:t>
      </w:r>
      <w:r w:rsidR="00E06790" w:rsidRPr="00756253">
        <w:rPr>
          <w:bCs/>
          <w:strike/>
        </w:rPr>
        <w:t>due</w:t>
      </w:r>
      <w:r w:rsidR="00E06790" w:rsidRPr="00756253">
        <w:rPr>
          <w:bCs/>
        </w:rPr>
        <w:t xml:space="preserve"> </w:t>
      </w:r>
      <w:r w:rsidR="00E06790" w:rsidRPr="00756253">
        <w:rPr>
          <w:bCs/>
          <w:u w:val="single"/>
        </w:rPr>
        <w:t>specified</w:t>
      </w:r>
      <w:r w:rsidR="00E06790" w:rsidRPr="00756253">
        <w:rPr>
          <w:b/>
          <w:u w:val="single"/>
        </w:rPr>
        <w:t xml:space="preserve"> </w:t>
      </w:r>
      <w:r w:rsidR="00E06790" w:rsidRPr="00756253">
        <w:t xml:space="preserve">date, another intermediate inspection shall be performed </w:t>
      </w:r>
      <w:r w:rsidR="00E06790" w:rsidRPr="00756253">
        <w:rPr>
          <w:bCs/>
          <w:strike/>
        </w:rPr>
        <w:t xml:space="preserve">at the latest </w:t>
      </w:r>
      <w:r w:rsidR="00E06790" w:rsidRPr="00756253">
        <w:rPr>
          <w:bCs/>
          <w:u w:val="single"/>
        </w:rPr>
        <w:t xml:space="preserve">no later than </w:t>
      </w:r>
      <w:r w:rsidR="00E06790" w:rsidRPr="00756253">
        <w:rPr>
          <w:bCs/>
          <w:strike/>
        </w:rPr>
        <w:t>every</w:t>
      </w:r>
    </w:p>
    <w:tbl>
      <w:tblPr>
        <w:tblStyle w:val="Grilledutableau"/>
        <w:tblW w:w="0" w:type="auto"/>
        <w:tblInd w:w="1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1"/>
        <w:gridCol w:w="3716"/>
      </w:tblGrid>
      <w:tr w:rsidR="00E06790" w:rsidRPr="00756253" w14:paraId="31B4B084" w14:textId="77777777" w:rsidTr="00262A6E">
        <w:tc>
          <w:tcPr>
            <w:tcW w:w="4111" w:type="dxa"/>
          </w:tcPr>
          <w:p w14:paraId="591088BD" w14:textId="0ACDCAAC" w:rsidR="00E06790" w:rsidRPr="00756253" w:rsidRDefault="00E06790" w:rsidP="00262A6E">
            <w:pPr>
              <w:pStyle w:val="NormalWeb"/>
              <w:spacing w:after="120" w:afterAutospacing="0"/>
              <w:ind w:left="970" w:right="1134"/>
              <w:jc w:val="both"/>
              <w:rPr>
                <w:sz w:val="20"/>
                <w:szCs w:val="20"/>
              </w:rPr>
            </w:pPr>
            <w:r w:rsidRPr="00756253">
              <w:rPr>
                <w:sz w:val="20"/>
                <w:szCs w:val="20"/>
              </w:rPr>
              <w:t>Four years (RID)</w:t>
            </w:r>
            <w:r w:rsidR="007A17DC">
              <w:rPr>
                <w:sz w:val="20"/>
                <w:szCs w:val="20"/>
              </w:rPr>
              <w:t xml:space="preserve"> </w:t>
            </w:r>
            <w:r w:rsidRPr="00756253">
              <w:rPr>
                <w:sz w:val="20"/>
                <w:szCs w:val="20"/>
              </w:rPr>
              <w:t>/</w:t>
            </w:r>
            <w:r w:rsidR="007A17DC">
              <w:rPr>
                <w:sz w:val="20"/>
                <w:szCs w:val="20"/>
              </w:rPr>
              <w:t xml:space="preserve"> </w:t>
            </w:r>
            <w:r w:rsidRPr="00756253">
              <w:rPr>
                <w:sz w:val="20"/>
                <w:szCs w:val="20"/>
              </w:rPr>
              <w:t>three years</w:t>
            </w:r>
            <w:r w:rsidR="007A17DC">
              <w:rPr>
                <w:sz w:val="20"/>
                <w:szCs w:val="20"/>
              </w:rPr>
              <w:t xml:space="preserve"> </w:t>
            </w:r>
            <w:r w:rsidRPr="00756253">
              <w:rPr>
                <w:sz w:val="20"/>
                <w:szCs w:val="20"/>
              </w:rPr>
              <w:t>(ADR)</w:t>
            </w:r>
          </w:p>
        </w:tc>
        <w:tc>
          <w:tcPr>
            <w:tcW w:w="3716" w:type="dxa"/>
          </w:tcPr>
          <w:p w14:paraId="6A5A9FE3" w14:textId="77777777" w:rsidR="00E06790" w:rsidRPr="00756253" w:rsidRDefault="00E06790" w:rsidP="00756253">
            <w:pPr>
              <w:pStyle w:val="NormalWeb"/>
              <w:ind w:left="142" w:right="1134"/>
              <w:jc w:val="both"/>
              <w:rPr>
                <w:sz w:val="20"/>
                <w:szCs w:val="20"/>
              </w:rPr>
            </w:pPr>
            <w:r w:rsidRPr="00756253">
              <w:rPr>
                <w:sz w:val="20"/>
                <w:szCs w:val="20"/>
              </w:rPr>
              <w:t>two and a half years</w:t>
            </w:r>
          </w:p>
        </w:tc>
      </w:tr>
    </w:tbl>
    <w:p w14:paraId="7BE484C0" w14:textId="2CE6C1B6" w:rsidR="00E06790" w:rsidRPr="00756253" w:rsidRDefault="00262A6E" w:rsidP="00F12936">
      <w:pPr>
        <w:pStyle w:val="SingleTxtG"/>
        <w:tabs>
          <w:tab w:val="left" w:pos="2268"/>
        </w:tabs>
        <w:ind w:left="2268" w:hanging="1134"/>
      </w:pPr>
      <w:r>
        <w:tab/>
      </w:r>
      <w:r w:rsidR="00E06790" w:rsidRPr="00756253">
        <w:t xml:space="preserve">after this </w:t>
      </w:r>
      <w:r w:rsidR="00E06790" w:rsidRPr="00756253">
        <w:rPr>
          <w:u w:val="single"/>
        </w:rPr>
        <w:t>earlier</w:t>
      </w:r>
      <w:r w:rsidR="00E06790" w:rsidRPr="00756253">
        <w:t xml:space="preserve"> date.”</w:t>
      </w:r>
    </w:p>
    <w:p w14:paraId="08C5C0ED" w14:textId="3AC468E4" w:rsidR="00E06790" w:rsidRPr="00BC129E" w:rsidRDefault="00B3428B" w:rsidP="00F12936">
      <w:pPr>
        <w:pStyle w:val="SingleTxtG"/>
        <w:tabs>
          <w:tab w:val="left" w:pos="2268"/>
        </w:tabs>
        <w:ind w:left="2268" w:hanging="1134"/>
      </w:pPr>
      <w:r w:rsidRPr="00BC129E">
        <w:t>“</w:t>
      </w:r>
      <w:r w:rsidR="00E06790" w:rsidRPr="00BC129E">
        <w:t>6.8.3.4.6</w:t>
      </w:r>
      <w:r w:rsidR="005560A8" w:rsidRPr="00BC129E">
        <w:tab/>
      </w:r>
      <w:r w:rsidR="00E06790" w:rsidRPr="00BC129E">
        <w:t>For tanks intended for the carriage of refrigerated liquefied gases:</w:t>
      </w:r>
    </w:p>
    <w:p w14:paraId="2586EB49" w14:textId="28BCE42D" w:rsidR="00E06790" w:rsidRPr="00BC129E" w:rsidRDefault="005E2688" w:rsidP="005E2688">
      <w:pPr>
        <w:pStyle w:val="SingleTxtG"/>
        <w:tabs>
          <w:tab w:val="left" w:pos="2268"/>
        </w:tabs>
        <w:ind w:left="2268" w:hanging="1134"/>
      </w:pPr>
      <w:r w:rsidRPr="00BC129E">
        <w:tab/>
        <w:t>(a)</w:t>
      </w:r>
      <w:r w:rsidRPr="00BC129E">
        <w:tab/>
      </w:r>
      <w:r w:rsidR="00E06790" w:rsidRPr="00BC129E">
        <w:t xml:space="preserve">By derogation from the requirements of 6.8.2.4.2, the periodic inspections shall </w:t>
      </w:r>
      <w:r w:rsidR="00E06790" w:rsidRPr="00BC129E">
        <w:rPr>
          <w:bCs/>
          <w:strike/>
        </w:rPr>
        <w:t xml:space="preserve">take place </w:t>
      </w:r>
      <w:r w:rsidR="00E06790" w:rsidRPr="00BC129E">
        <w:rPr>
          <w:bCs/>
          <w:u w:val="single"/>
        </w:rPr>
        <w:t>be performed no later than</w:t>
      </w:r>
      <w:r w:rsidR="007D1B29" w:rsidRPr="00BC129E">
        <w:rPr>
          <w:bCs/>
          <w:u w:val="single"/>
        </w:rPr>
        <w:t>:</w:t>
      </w:r>
    </w:p>
    <w:tbl>
      <w:tblPr>
        <w:tblStyle w:val="Grilledutableau"/>
        <w:tblW w:w="0" w:type="auto"/>
        <w:tblInd w:w="17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3737"/>
      </w:tblGrid>
      <w:tr w:rsidR="00E06790" w:rsidRPr="00BC129E" w14:paraId="58808837" w14:textId="77777777" w:rsidTr="007D1B29">
        <w:trPr>
          <w:trHeight w:val="92"/>
        </w:trPr>
        <w:tc>
          <w:tcPr>
            <w:tcW w:w="3686" w:type="dxa"/>
          </w:tcPr>
          <w:p w14:paraId="43FD2949" w14:textId="72800F13" w:rsidR="00E06790" w:rsidRPr="00BC129E" w:rsidRDefault="00E06790" w:rsidP="00541E11">
            <w:pPr>
              <w:pStyle w:val="NormalWeb"/>
              <w:ind w:left="688" w:right="985" w:hanging="20"/>
              <w:rPr>
                <w:sz w:val="20"/>
                <w:szCs w:val="20"/>
              </w:rPr>
            </w:pPr>
            <w:r w:rsidRPr="00BC129E">
              <w:rPr>
                <w:bCs/>
                <w:strike/>
                <w:sz w:val="20"/>
                <w:szCs w:val="20"/>
              </w:rPr>
              <w:t>at least after</w:t>
            </w:r>
            <w:r w:rsidRPr="00BC129E">
              <w:rPr>
                <w:b/>
                <w:sz w:val="20"/>
                <w:szCs w:val="20"/>
              </w:rPr>
              <w:t xml:space="preserve"> </w:t>
            </w:r>
            <w:r w:rsidRPr="00BC129E">
              <w:rPr>
                <w:sz w:val="20"/>
                <w:szCs w:val="20"/>
              </w:rPr>
              <w:t>eight years (RID) /</w:t>
            </w:r>
            <w:r w:rsidR="00541E11" w:rsidRPr="00BC129E">
              <w:rPr>
                <w:sz w:val="20"/>
                <w:szCs w:val="20"/>
              </w:rPr>
              <w:t xml:space="preserve"> </w:t>
            </w:r>
            <w:r w:rsidRPr="00BC129E">
              <w:rPr>
                <w:sz w:val="20"/>
                <w:szCs w:val="20"/>
              </w:rPr>
              <w:t>six years (ADR)</w:t>
            </w:r>
          </w:p>
        </w:tc>
        <w:tc>
          <w:tcPr>
            <w:tcW w:w="3737" w:type="dxa"/>
          </w:tcPr>
          <w:p w14:paraId="6225A039" w14:textId="25AFE6FD" w:rsidR="00E06790" w:rsidRPr="00BC129E" w:rsidRDefault="00E06790" w:rsidP="00756253">
            <w:pPr>
              <w:pStyle w:val="NormalWeb"/>
              <w:ind w:left="278" w:right="1134" w:hanging="20"/>
              <w:rPr>
                <w:sz w:val="20"/>
                <w:szCs w:val="20"/>
              </w:rPr>
            </w:pPr>
            <w:r w:rsidRPr="00BC129E">
              <w:rPr>
                <w:bCs/>
                <w:strike/>
                <w:sz w:val="20"/>
                <w:szCs w:val="20"/>
              </w:rPr>
              <w:t>at least after</w:t>
            </w:r>
            <w:r w:rsidRPr="00BC129E">
              <w:rPr>
                <w:sz w:val="20"/>
                <w:szCs w:val="20"/>
              </w:rPr>
              <w:t xml:space="preserve"> eight years</w:t>
            </w:r>
          </w:p>
        </w:tc>
      </w:tr>
    </w:tbl>
    <w:p w14:paraId="55F69A31" w14:textId="6B74135E" w:rsidR="00E06790" w:rsidRPr="00BC129E" w:rsidRDefault="005E2688" w:rsidP="006E5DB7">
      <w:pPr>
        <w:pStyle w:val="NormalWeb"/>
        <w:spacing w:before="120" w:beforeAutospacing="0" w:after="120" w:afterAutospacing="0"/>
        <w:ind w:left="2268" w:right="1134" w:hanging="1134"/>
        <w:rPr>
          <w:bCs/>
          <w:sz w:val="20"/>
          <w:szCs w:val="20"/>
        </w:rPr>
      </w:pPr>
      <w:r w:rsidRPr="00BC129E">
        <w:rPr>
          <w:bCs/>
          <w:sz w:val="20"/>
          <w:szCs w:val="20"/>
        </w:rPr>
        <w:tab/>
      </w:r>
      <w:r w:rsidR="00E06790" w:rsidRPr="00BC129E">
        <w:rPr>
          <w:bCs/>
          <w:strike/>
          <w:sz w:val="20"/>
          <w:szCs w:val="20"/>
        </w:rPr>
        <w:t>of service</w:t>
      </w:r>
      <w:r w:rsidR="00E06790" w:rsidRPr="00BC129E">
        <w:rPr>
          <w:bCs/>
          <w:sz w:val="20"/>
          <w:szCs w:val="20"/>
        </w:rPr>
        <w:t xml:space="preserve"> </w:t>
      </w:r>
      <w:r w:rsidR="00E06790" w:rsidRPr="00BC129E">
        <w:rPr>
          <w:bCs/>
          <w:sz w:val="20"/>
          <w:szCs w:val="20"/>
          <w:u w:val="single"/>
        </w:rPr>
        <w:t>after the initial inspection</w:t>
      </w:r>
      <w:r w:rsidR="00E06790" w:rsidRPr="00BC129E">
        <w:rPr>
          <w:bCs/>
          <w:sz w:val="20"/>
          <w:szCs w:val="20"/>
        </w:rPr>
        <w:t xml:space="preserve"> and thereafter </w:t>
      </w:r>
      <w:r w:rsidR="00E06790" w:rsidRPr="00BC129E">
        <w:rPr>
          <w:bCs/>
          <w:strike/>
          <w:sz w:val="20"/>
          <w:szCs w:val="20"/>
        </w:rPr>
        <w:t xml:space="preserve">at least </w:t>
      </w:r>
      <w:r w:rsidR="00E06790" w:rsidRPr="00BC129E">
        <w:rPr>
          <w:bCs/>
          <w:sz w:val="20"/>
          <w:szCs w:val="20"/>
          <w:u w:val="single"/>
        </w:rPr>
        <w:t>no later than</w:t>
      </w:r>
      <w:r w:rsidR="00E06790" w:rsidRPr="00BC129E">
        <w:rPr>
          <w:bCs/>
          <w:sz w:val="20"/>
          <w:szCs w:val="20"/>
        </w:rPr>
        <w:t xml:space="preserve"> every</w:t>
      </w:r>
      <w:r w:rsidR="00E06790" w:rsidRPr="00BC129E">
        <w:rPr>
          <w:bCs/>
          <w:color w:val="FF0000"/>
          <w:sz w:val="20"/>
          <w:szCs w:val="20"/>
        </w:rPr>
        <w:t xml:space="preserve"> </w:t>
      </w:r>
      <w:r w:rsidR="00E06790" w:rsidRPr="00BC129E">
        <w:rPr>
          <w:bCs/>
          <w:sz w:val="20"/>
          <w:szCs w:val="20"/>
        </w:rPr>
        <w:t>12 years.</w:t>
      </w:r>
    </w:p>
    <w:p w14:paraId="70863F70" w14:textId="2A855EBB" w:rsidR="00E06790" w:rsidRPr="00756253" w:rsidRDefault="005E2688" w:rsidP="005E2688">
      <w:pPr>
        <w:pStyle w:val="SingleTxtG"/>
        <w:tabs>
          <w:tab w:val="left" w:pos="2268"/>
        </w:tabs>
        <w:ind w:left="2268" w:hanging="1134"/>
      </w:pPr>
      <w:r w:rsidRPr="00BC129E">
        <w:tab/>
        <w:t>(b)</w:t>
      </w:r>
      <w:r w:rsidRPr="00BC129E">
        <w:tab/>
      </w:r>
      <w:r w:rsidR="00E06790" w:rsidRPr="00BC129E">
        <w:t xml:space="preserve">By derogation from the requirements of 6.8.2.4.3, the intermediate inspections shall </w:t>
      </w:r>
      <w:r w:rsidR="00E06790" w:rsidRPr="00BC129E">
        <w:rPr>
          <w:strike/>
        </w:rPr>
        <w:t xml:space="preserve">take place at least </w:t>
      </w:r>
      <w:r w:rsidR="00E06790" w:rsidRPr="00BC129E">
        <w:rPr>
          <w:u w:val="single"/>
        </w:rPr>
        <w:t xml:space="preserve">be performed no later than </w:t>
      </w:r>
      <w:r w:rsidR="00E06790" w:rsidRPr="00BC129E">
        <w:rPr>
          <w:strike/>
          <w:u w:val="single"/>
        </w:rPr>
        <w:t>every</w:t>
      </w:r>
      <w:r w:rsidR="00E06790" w:rsidRPr="00BC129E">
        <w:t xml:space="preserve"> six years after each periodic inspection.”</w:t>
      </w:r>
    </w:p>
    <w:p w14:paraId="693C8C45" w14:textId="0E6898E6" w:rsidR="00E06790" w:rsidRPr="00756253" w:rsidRDefault="00E06790" w:rsidP="00CF79E5">
      <w:pPr>
        <w:pStyle w:val="NormalWeb"/>
        <w:ind w:left="2268" w:right="1134" w:hanging="1134"/>
        <w:rPr>
          <w:sz w:val="20"/>
          <w:szCs w:val="20"/>
        </w:rPr>
      </w:pPr>
      <w:r w:rsidRPr="00756253">
        <w:rPr>
          <w:sz w:val="20"/>
          <w:szCs w:val="20"/>
        </w:rPr>
        <w:t>6.8.4</w:t>
      </w:r>
      <w:r w:rsidR="00CF79E5">
        <w:rPr>
          <w:sz w:val="20"/>
          <w:szCs w:val="20"/>
        </w:rPr>
        <w:tab/>
      </w:r>
      <w:r w:rsidRPr="00756253">
        <w:rPr>
          <w:sz w:val="20"/>
          <w:szCs w:val="20"/>
        </w:rPr>
        <w:t>Special provisions (d)</w:t>
      </w:r>
      <w:r w:rsidR="00907548">
        <w:rPr>
          <w:sz w:val="20"/>
          <w:szCs w:val="20"/>
        </w:rPr>
        <w:t>,</w:t>
      </w:r>
      <w:r w:rsidRPr="00756253">
        <w:rPr>
          <w:sz w:val="20"/>
          <w:szCs w:val="20"/>
        </w:rPr>
        <w:t xml:space="preserve"> Test (TT)</w:t>
      </w:r>
    </w:p>
    <w:p w14:paraId="52DE1226" w14:textId="702246A1" w:rsidR="00E06790" w:rsidRPr="00756253" w:rsidRDefault="00E06790" w:rsidP="00907548">
      <w:pPr>
        <w:pStyle w:val="NormalWeb"/>
        <w:ind w:left="2268" w:right="1134" w:hanging="1134"/>
        <w:jc w:val="both"/>
        <w:rPr>
          <w:sz w:val="20"/>
          <w:szCs w:val="20"/>
        </w:rPr>
      </w:pPr>
      <w:r w:rsidRPr="00C93CCB">
        <w:rPr>
          <w:bCs/>
          <w:sz w:val="20"/>
          <w:szCs w:val="20"/>
        </w:rPr>
        <w:t>“</w:t>
      </w:r>
      <w:r w:rsidRPr="00756253">
        <w:rPr>
          <w:b/>
          <w:sz w:val="20"/>
          <w:szCs w:val="20"/>
        </w:rPr>
        <w:t>TT3</w:t>
      </w:r>
      <w:r w:rsidR="00661049" w:rsidRPr="00756253">
        <w:rPr>
          <w:b/>
          <w:sz w:val="20"/>
          <w:szCs w:val="20"/>
        </w:rPr>
        <w:tab/>
      </w:r>
      <w:proofErr w:type="gramStart"/>
      <w:r w:rsidRPr="00756253">
        <w:rPr>
          <w:sz w:val="20"/>
          <w:szCs w:val="20"/>
        </w:rPr>
        <w:t>By</w:t>
      </w:r>
      <w:proofErr w:type="gramEnd"/>
      <w:r w:rsidRPr="00756253">
        <w:rPr>
          <w:sz w:val="20"/>
          <w:szCs w:val="20"/>
        </w:rPr>
        <w:t xml:space="preserve"> derogation from the requirements of 6.8.2.4.2 periodic inspections shall </w:t>
      </w:r>
      <w:r w:rsidRPr="00756253">
        <w:rPr>
          <w:strike/>
          <w:sz w:val="20"/>
          <w:szCs w:val="20"/>
        </w:rPr>
        <w:t>take place</w:t>
      </w:r>
      <w:r w:rsidRPr="00756253">
        <w:rPr>
          <w:sz w:val="20"/>
          <w:szCs w:val="20"/>
        </w:rPr>
        <w:t xml:space="preserve"> </w:t>
      </w:r>
      <w:r w:rsidRPr="00756253">
        <w:rPr>
          <w:sz w:val="20"/>
          <w:szCs w:val="20"/>
          <w:u w:val="single"/>
        </w:rPr>
        <w:t xml:space="preserve">be performed </w:t>
      </w:r>
      <w:r w:rsidRPr="00756253">
        <w:rPr>
          <w:strike/>
          <w:sz w:val="20"/>
          <w:szCs w:val="20"/>
        </w:rPr>
        <w:t>at least</w:t>
      </w:r>
      <w:r w:rsidRPr="00756253">
        <w:rPr>
          <w:sz w:val="20"/>
          <w:szCs w:val="20"/>
        </w:rPr>
        <w:t xml:space="preserve"> </w:t>
      </w:r>
      <w:r w:rsidRPr="00756253">
        <w:rPr>
          <w:sz w:val="20"/>
          <w:szCs w:val="20"/>
          <w:u w:val="single"/>
        </w:rPr>
        <w:t>no later than</w:t>
      </w:r>
      <w:r w:rsidRPr="00756253">
        <w:rPr>
          <w:sz w:val="20"/>
          <w:szCs w:val="20"/>
        </w:rPr>
        <w:t xml:space="preserve"> every eight years and shall include a thickness check using suitable instruments. For such tanks, the </w:t>
      </w:r>
      <w:proofErr w:type="spellStart"/>
      <w:r w:rsidRPr="00756253">
        <w:rPr>
          <w:sz w:val="20"/>
          <w:szCs w:val="20"/>
        </w:rPr>
        <w:t>leakproofness</w:t>
      </w:r>
      <w:proofErr w:type="spellEnd"/>
      <w:r w:rsidRPr="00756253">
        <w:rPr>
          <w:sz w:val="20"/>
          <w:szCs w:val="20"/>
        </w:rPr>
        <w:t xml:space="preserve"> test and check for which provision is made in 6.8.2.4.3 shall be </w:t>
      </w:r>
      <w:r w:rsidRPr="00756253">
        <w:rPr>
          <w:strike/>
          <w:sz w:val="20"/>
          <w:szCs w:val="20"/>
        </w:rPr>
        <w:t>carried out</w:t>
      </w:r>
      <w:r w:rsidRPr="00756253">
        <w:rPr>
          <w:sz w:val="20"/>
          <w:szCs w:val="20"/>
        </w:rPr>
        <w:t xml:space="preserve"> </w:t>
      </w:r>
      <w:r w:rsidRPr="00756253">
        <w:rPr>
          <w:sz w:val="20"/>
          <w:szCs w:val="20"/>
          <w:u w:val="single"/>
        </w:rPr>
        <w:t>performed</w:t>
      </w:r>
      <w:r w:rsidRPr="00756253">
        <w:rPr>
          <w:sz w:val="20"/>
          <w:szCs w:val="20"/>
        </w:rPr>
        <w:t xml:space="preserve"> </w:t>
      </w:r>
      <w:r w:rsidRPr="00756253">
        <w:rPr>
          <w:strike/>
          <w:sz w:val="20"/>
          <w:szCs w:val="20"/>
        </w:rPr>
        <w:t>at least</w:t>
      </w:r>
      <w:r w:rsidRPr="00756253">
        <w:rPr>
          <w:sz w:val="20"/>
          <w:szCs w:val="20"/>
        </w:rPr>
        <w:t xml:space="preserve"> </w:t>
      </w:r>
      <w:r w:rsidRPr="00756253">
        <w:rPr>
          <w:sz w:val="20"/>
          <w:szCs w:val="20"/>
          <w:u w:val="single"/>
        </w:rPr>
        <w:t>no later than</w:t>
      </w:r>
      <w:r w:rsidRPr="00756253">
        <w:rPr>
          <w:sz w:val="20"/>
          <w:szCs w:val="20"/>
        </w:rPr>
        <w:t xml:space="preserve"> every four years.”</w:t>
      </w:r>
    </w:p>
    <w:p w14:paraId="2C6B28E7" w14:textId="6CDAC28F" w:rsidR="00E06790" w:rsidRPr="00756253" w:rsidRDefault="00E06790" w:rsidP="006655A0">
      <w:pPr>
        <w:pStyle w:val="NormalWeb"/>
        <w:ind w:left="2268" w:right="1134" w:hanging="1134"/>
        <w:jc w:val="both"/>
        <w:rPr>
          <w:bCs/>
          <w:sz w:val="20"/>
          <w:szCs w:val="20"/>
          <w:u w:val="single"/>
        </w:rPr>
      </w:pPr>
      <w:r w:rsidRPr="00C93CCB">
        <w:rPr>
          <w:bCs/>
          <w:sz w:val="20"/>
          <w:szCs w:val="20"/>
        </w:rPr>
        <w:lastRenderedPageBreak/>
        <w:t>“</w:t>
      </w:r>
      <w:r w:rsidRPr="00756253">
        <w:rPr>
          <w:b/>
          <w:sz w:val="20"/>
          <w:szCs w:val="20"/>
        </w:rPr>
        <w:t>TT4</w:t>
      </w:r>
      <w:r w:rsidR="00661049" w:rsidRPr="00756253">
        <w:rPr>
          <w:bCs/>
          <w:sz w:val="20"/>
          <w:szCs w:val="20"/>
        </w:rPr>
        <w:tab/>
      </w:r>
      <w:r w:rsidRPr="00756253">
        <w:rPr>
          <w:bCs/>
          <w:sz w:val="20"/>
          <w:szCs w:val="20"/>
        </w:rPr>
        <w:t xml:space="preserve">(RID </w:t>
      </w:r>
      <w:r w:rsidRPr="006655A0">
        <w:rPr>
          <w:sz w:val="20"/>
          <w:szCs w:val="20"/>
        </w:rPr>
        <w:t>only</w:t>
      </w:r>
      <w:r w:rsidRPr="00756253">
        <w:rPr>
          <w:bCs/>
          <w:sz w:val="20"/>
          <w:szCs w:val="20"/>
        </w:rPr>
        <w:t xml:space="preserve">) </w:t>
      </w:r>
      <w:r w:rsidRPr="006655A0">
        <w:rPr>
          <w:sz w:val="20"/>
          <w:szCs w:val="20"/>
        </w:rPr>
        <w:t>Tanks</w:t>
      </w:r>
      <w:r w:rsidRPr="00756253">
        <w:rPr>
          <w:bCs/>
          <w:sz w:val="20"/>
          <w:szCs w:val="20"/>
        </w:rPr>
        <w:t xml:space="preserve"> shall be inspected </w:t>
      </w:r>
      <w:r w:rsidRPr="00756253">
        <w:rPr>
          <w:bCs/>
          <w:sz w:val="20"/>
          <w:szCs w:val="20"/>
          <w:u w:val="single"/>
        </w:rPr>
        <w:t>no later than</w:t>
      </w:r>
      <w:r w:rsidRPr="00756253">
        <w:rPr>
          <w:bCs/>
          <w:sz w:val="20"/>
          <w:szCs w:val="20"/>
        </w:rPr>
        <w:t xml:space="preserve"> every</w:t>
      </w:r>
    </w:p>
    <w:tbl>
      <w:tblPr>
        <w:tblStyle w:val="Grilledutableau"/>
        <w:tblW w:w="0" w:type="auto"/>
        <w:tblInd w:w="17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3737"/>
      </w:tblGrid>
      <w:tr w:rsidR="00C93CCB" w:rsidRPr="00756253" w14:paraId="393E2EBC" w14:textId="77777777" w:rsidTr="001E54BE">
        <w:trPr>
          <w:trHeight w:val="92"/>
        </w:trPr>
        <w:tc>
          <w:tcPr>
            <w:tcW w:w="3686" w:type="dxa"/>
          </w:tcPr>
          <w:p w14:paraId="32E04BF0" w14:textId="553F0025" w:rsidR="00C93CCB" w:rsidRPr="00756253" w:rsidRDefault="006655A0" w:rsidP="001E54BE">
            <w:pPr>
              <w:pStyle w:val="NormalWeb"/>
              <w:ind w:left="688" w:right="985" w:hanging="20"/>
              <w:rPr>
                <w:sz w:val="20"/>
                <w:szCs w:val="20"/>
              </w:rPr>
            </w:pPr>
            <w:r>
              <w:rPr>
                <w:sz w:val="20"/>
                <w:szCs w:val="20"/>
              </w:rPr>
              <w:t xml:space="preserve">4 </w:t>
            </w:r>
            <w:r w:rsidR="00C93CCB" w:rsidRPr="00756253">
              <w:rPr>
                <w:sz w:val="20"/>
                <w:szCs w:val="20"/>
              </w:rPr>
              <w:t>years</w:t>
            </w:r>
          </w:p>
        </w:tc>
        <w:tc>
          <w:tcPr>
            <w:tcW w:w="3737" w:type="dxa"/>
          </w:tcPr>
          <w:p w14:paraId="61CE0FBA" w14:textId="4AF9C0CD" w:rsidR="00C93CCB" w:rsidRPr="00756253" w:rsidRDefault="006655A0" w:rsidP="001E54BE">
            <w:pPr>
              <w:pStyle w:val="NormalWeb"/>
              <w:ind w:left="278" w:right="1134" w:hanging="20"/>
              <w:rPr>
                <w:sz w:val="20"/>
                <w:szCs w:val="20"/>
              </w:rPr>
            </w:pPr>
            <w:r w:rsidRPr="00756253">
              <w:rPr>
                <w:bCs/>
                <w:sz w:val="20"/>
                <w:szCs w:val="20"/>
              </w:rPr>
              <w:t>2½</w:t>
            </w:r>
            <w:r>
              <w:rPr>
                <w:bCs/>
                <w:sz w:val="20"/>
                <w:szCs w:val="20"/>
              </w:rPr>
              <w:t xml:space="preserve"> </w:t>
            </w:r>
            <w:r w:rsidR="00C93CCB" w:rsidRPr="00756253">
              <w:rPr>
                <w:sz w:val="20"/>
                <w:szCs w:val="20"/>
              </w:rPr>
              <w:t>years</w:t>
            </w:r>
          </w:p>
        </w:tc>
      </w:tr>
    </w:tbl>
    <w:p w14:paraId="58AEAA53" w14:textId="1B98002A" w:rsidR="00E06790" w:rsidRPr="00756253" w:rsidRDefault="006655A0" w:rsidP="006655A0">
      <w:pPr>
        <w:pStyle w:val="NormalWeb"/>
        <w:ind w:left="2268" w:right="1134" w:hanging="1134"/>
        <w:jc w:val="both"/>
        <w:rPr>
          <w:bCs/>
          <w:sz w:val="20"/>
          <w:szCs w:val="20"/>
        </w:rPr>
      </w:pPr>
      <w:r>
        <w:rPr>
          <w:bCs/>
          <w:sz w:val="20"/>
          <w:szCs w:val="20"/>
        </w:rPr>
        <w:tab/>
      </w:r>
      <w:r w:rsidR="00E06790" w:rsidRPr="00756253">
        <w:rPr>
          <w:bCs/>
          <w:sz w:val="20"/>
          <w:szCs w:val="20"/>
        </w:rPr>
        <w:t>for resistance to corrosion, by means of suitable instruments (e.g. by ultrasound).”</w:t>
      </w:r>
    </w:p>
    <w:p w14:paraId="3FC913EF" w14:textId="092FCDF0" w:rsidR="00E06790" w:rsidRPr="00756253" w:rsidRDefault="00E06790" w:rsidP="005E32A3">
      <w:pPr>
        <w:pStyle w:val="NormalWeb"/>
        <w:ind w:left="2268" w:right="1134" w:hanging="1134"/>
        <w:jc w:val="both"/>
        <w:rPr>
          <w:sz w:val="20"/>
          <w:szCs w:val="20"/>
        </w:rPr>
      </w:pPr>
      <w:r w:rsidRPr="00AA134B">
        <w:rPr>
          <w:bCs/>
          <w:sz w:val="20"/>
          <w:szCs w:val="20"/>
        </w:rPr>
        <w:t>“</w:t>
      </w:r>
      <w:r w:rsidRPr="00756253">
        <w:rPr>
          <w:b/>
          <w:sz w:val="20"/>
          <w:szCs w:val="20"/>
        </w:rPr>
        <w:t>TT5</w:t>
      </w:r>
      <w:r w:rsidR="008A291D" w:rsidRPr="00756253">
        <w:rPr>
          <w:b/>
          <w:sz w:val="20"/>
          <w:szCs w:val="20"/>
        </w:rPr>
        <w:tab/>
      </w:r>
      <w:proofErr w:type="gramStart"/>
      <w:r w:rsidRPr="00756253">
        <w:rPr>
          <w:sz w:val="20"/>
          <w:szCs w:val="20"/>
        </w:rPr>
        <w:t>The</w:t>
      </w:r>
      <w:proofErr w:type="gramEnd"/>
      <w:r w:rsidRPr="00756253">
        <w:rPr>
          <w:sz w:val="20"/>
          <w:szCs w:val="20"/>
        </w:rPr>
        <w:t xml:space="preserve"> hydraulic pressure test shall </w:t>
      </w:r>
      <w:r w:rsidRPr="00756253">
        <w:rPr>
          <w:strike/>
          <w:sz w:val="20"/>
          <w:szCs w:val="20"/>
        </w:rPr>
        <w:t>take place</w:t>
      </w:r>
      <w:r w:rsidRPr="00756253">
        <w:rPr>
          <w:sz w:val="20"/>
          <w:szCs w:val="20"/>
        </w:rPr>
        <w:t xml:space="preserve"> </w:t>
      </w:r>
      <w:r w:rsidRPr="00756253">
        <w:rPr>
          <w:sz w:val="20"/>
          <w:szCs w:val="20"/>
          <w:u w:val="single"/>
        </w:rPr>
        <w:t>be performed</w:t>
      </w:r>
      <w:r w:rsidRPr="00756253">
        <w:rPr>
          <w:sz w:val="20"/>
          <w:szCs w:val="20"/>
        </w:rPr>
        <w:t xml:space="preserve"> </w:t>
      </w:r>
      <w:r w:rsidRPr="00756253">
        <w:rPr>
          <w:strike/>
          <w:sz w:val="20"/>
          <w:szCs w:val="20"/>
        </w:rPr>
        <w:t>at least</w:t>
      </w:r>
      <w:r w:rsidRPr="00756253">
        <w:rPr>
          <w:sz w:val="20"/>
          <w:szCs w:val="20"/>
        </w:rPr>
        <w:t xml:space="preserve"> </w:t>
      </w:r>
      <w:r w:rsidRPr="00756253">
        <w:rPr>
          <w:sz w:val="20"/>
          <w:szCs w:val="20"/>
          <w:u w:val="single"/>
        </w:rPr>
        <w:t>no later than</w:t>
      </w:r>
      <w:r w:rsidRPr="00756253">
        <w:rPr>
          <w:sz w:val="20"/>
          <w:szCs w:val="20"/>
        </w:rPr>
        <w:t xml:space="preserve"> every</w:t>
      </w:r>
    </w:p>
    <w:tbl>
      <w:tblPr>
        <w:tblStyle w:val="Grilledutableau"/>
        <w:tblW w:w="7088" w:type="dxa"/>
        <w:tblInd w:w="170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86"/>
        <w:gridCol w:w="3402"/>
      </w:tblGrid>
      <w:tr w:rsidR="00E06790" w:rsidRPr="00756253" w14:paraId="4E6C1D0E" w14:textId="77777777" w:rsidTr="00BC57B3">
        <w:tc>
          <w:tcPr>
            <w:tcW w:w="3686" w:type="dxa"/>
          </w:tcPr>
          <w:p w14:paraId="200E933D" w14:textId="2B2CA39A" w:rsidR="00E06790" w:rsidRPr="00756253" w:rsidRDefault="00E06790" w:rsidP="00031988">
            <w:pPr>
              <w:pStyle w:val="NormalWeb"/>
              <w:ind w:left="688" w:right="560" w:hanging="20"/>
              <w:rPr>
                <w:sz w:val="20"/>
                <w:szCs w:val="20"/>
              </w:rPr>
            </w:pPr>
            <w:r w:rsidRPr="00756253">
              <w:rPr>
                <w:sz w:val="20"/>
                <w:szCs w:val="20"/>
              </w:rPr>
              <w:t>4 years (RID) /</w:t>
            </w:r>
            <w:r w:rsidR="005E32A3">
              <w:rPr>
                <w:sz w:val="20"/>
                <w:szCs w:val="20"/>
              </w:rPr>
              <w:t xml:space="preserve"> </w:t>
            </w:r>
            <w:r w:rsidRPr="00756253">
              <w:rPr>
                <w:sz w:val="20"/>
                <w:szCs w:val="20"/>
              </w:rPr>
              <w:t>3 years</w:t>
            </w:r>
            <w:r w:rsidR="00031988">
              <w:rPr>
                <w:sz w:val="20"/>
                <w:szCs w:val="20"/>
              </w:rPr>
              <w:t xml:space="preserve"> </w:t>
            </w:r>
            <w:r w:rsidRPr="00756253">
              <w:rPr>
                <w:sz w:val="20"/>
                <w:szCs w:val="20"/>
              </w:rPr>
              <w:t>(ADR)</w:t>
            </w:r>
          </w:p>
        </w:tc>
        <w:tc>
          <w:tcPr>
            <w:tcW w:w="3402" w:type="dxa"/>
          </w:tcPr>
          <w:p w14:paraId="6A3355B6" w14:textId="77777777" w:rsidR="00E06790" w:rsidRPr="00756253" w:rsidRDefault="00E06790" w:rsidP="00756253">
            <w:pPr>
              <w:pStyle w:val="NormalWeb"/>
              <w:ind w:left="1417" w:right="1134" w:hanging="294"/>
              <w:rPr>
                <w:sz w:val="20"/>
                <w:szCs w:val="20"/>
              </w:rPr>
            </w:pPr>
            <w:r w:rsidRPr="00756253">
              <w:rPr>
                <w:sz w:val="20"/>
                <w:szCs w:val="20"/>
              </w:rPr>
              <w:t>2½ years.”</w:t>
            </w:r>
          </w:p>
        </w:tc>
      </w:tr>
    </w:tbl>
    <w:p w14:paraId="24A3782E" w14:textId="77777777" w:rsidR="00E06790" w:rsidRPr="00756253" w:rsidRDefault="00E06790" w:rsidP="00BC57B3">
      <w:pPr>
        <w:pStyle w:val="NormalWeb"/>
        <w:spacing w:before="120" w:beforeAutospacing="0" w:after="120" w:afterAutospacing="0"/>
        <w:ind w:left="2410" w:right="1134" w:hanging="295"/>
        <w:rPr>
          <w:sz w:val="20"/>
          <w:szCs w:val="20"/>
          <w:u w:val="single"/>
        </w:rPr>
      </w:pPr>
    </w:p>
    <w:tbl>
      <w:tblPr>
        <w:tblStyle w:val="Grilledutableau"/>
        <w:tblW w:w="0" w:type="auto"/>
        <w:tblInd w:w="11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3426"/>
      </w:tblGrid>
      <w:tr w:rsidR="00E06790" w:rsidRPr="00756253" w14:paraId="619F2517" w14:textId="77777777" w:rsidTr="00BC57B3">
        <w:tc>
          <w:tcPr>
            <w:tcW w:w="4253" w:type="dxa"/>
          </w:tcPr>
          <w:p w14:paraId="2E464B3D" w14:textId="319734BE" w:rsidR="00E06790" w:rsidRPr="00756253" w:rsidRDefault="00E06790" w:rsidP="00BC57B3">
            <w:pPr>
              <w:pStyle w:val="NormalWeb"/>
              <w:ind w:left="1138" w:right="277" w:hanging="1138"/>
              <w:rPr>
                <w:sz w:val="20"/>
                <w:szCs w:val="20"/>
              </w:rPr>
            </w:pPr>
            <w:r w:rsidRPr="00AA134B">
              <w:rPr>
                <w:bCs/>
                <w:sz w:val="20"/>
                <w:szCs w:val="20"/>
              </w:rPr>
              <w:t>“</w:t>
            </w:r>
            <w:r w:rsidRPr="00756253">
              <w:rPr>
                <w:b/>
                <w:sz w:val="20"/>
                <w:szCs w:val="20"/>
              </w:rPr>
              <w:t>TT6</w:t>
            </w:r>
            <w:r w:rsidR="00A97A98" w:rsidRPr="00756253">
              <w:rPr>
                <w:b/>
                <w:sz w:val="20"/>
                <w:szCs w:val="20"/>
              </w:rPr>
              <w:tab/>
            </w:r>
            <w:proofErr w:type="gramStart"/>
            <w:r w:rsidRPr="00756253">
              <w:rPr>
                <w:sz w:val="20"/>
                <w:szCs w:val="20"/>
              </w:rPr>
              <w:t>The</w:t>
            </w:r>
            <w:proofErr w:type="gramEnd"/>
            <w:r w:rsidRPr="00756253">
              <w:rPr>
                <w:sz w:val="20"/>
                <w:szCs w:val="20"/>
              </w:rPr>
              <w:t xml:space="preserve"> periodic inspection shall be </w:t>
            </w:r>
            <w:r w:rsidRPr="00756253">
              <w:rPr>
                <w:strike/>
                <w:sz w:val="20"/>
                <w:szCs w:val="20"/>
              </w:rPr>
              <w:t>carried out</w:t>
            </w:r>
            <w:r w:rsidRPr="00756253">
              <w:rPr>
                <w:sz w:val="20"/>
                <w:szCs w:val="20"/>
              </w:rPr>
              <w:t xml:space="preserve"> </w:t>
            </w:r>
            <w:r w:rsidRPr="00756253">
              <w:rPr>
                <w:sz w:val="20"/>
                <w:szCs w:val="20"/>
                <w:u w:val="single"/>
              </w:rPr>
              <w:t xml:space="preserve">performed </w:t>
            </w:r>
            <w:r w:rsidRPr="00756253">
              <w:rPr>
                <w:strike/>
                <w:sz w:val="20"/>
                <w:szCs w:val="20"/>
              </w:rPr>
              <w:t>at least</w:t>
            </w:r>
            <w:r w:rsidRPr="00756253">
              <w:rPr>
                <w:sz w:val="20"/>
                <w:szCs w:val="20"/>
              </w:rPr>
              <w:t xml:space="preserve"> </w:t>
            </w:r>
            <w:r w:rsidRPr="00756253">
              <w:rPr>
                <w:sz w:val="20"/>
                <w:szCs w:val="20"/>
                <w:u w:val="single"/>
              </w:rPr>
              <w:t>no later than</w:t>
            </w:r>
            <w:r w:rsidRPr="00756253">
              <w:rPr>
                <w:sz w:val="20"/>
                <w:szCs w:val="20"/>
              </w:rPr>
              <w:t xml:space="preserve"> every 4 years (RID) /3 years (ADR).”</w:t>
            </w:r>
          </w:p>
        </w:tc>
        <w:tc>
          <w:tcPr>
            <w:tcW w:w="3426" w:type="dxa"/>
          </w:tcPr>
          <w:p w14:paraId="59C1246C" w14:textId="77777777" w:rsidR="00E06790" w:rsidRPr="00756253" w:rsidRDefault="00E06790" w:rsidP="00756253">
            <w:pPr>
              <w:pStyle w:val="NormalWeb"/>
              <w:ind w:right="1134"/>
              <w:rPr>
                <w:sz w:val="20"/>
                <w:szCs w:val="20"/>
              </w:rPr>
            </w:pPr>
            <w:r w:rsidRPr="00756253">
              <w:rPr>
                <w:sz w:val="20"/>
                <w:szCs w:val="20"/>
              </w:rPr>
              <w:br/>
            </w:r>
          </w:p>
        </w:tc>
      </w:tr>
    </w:tbl>
    <w:p w14:paraId="315EC5BD" w14:textId="51782039" w:rsidR="00E06790" w:rsidRPr="00756253" w:rsidRDefault="00E06790" w:rsidP="00443256">
      <w:pPr>
        <w:pStyle w:val="NormalWeb"/>
        <w:ind w:left="2268" w:right="1134" w:hanging="1134"/>
        <w:rPr>
          <w:sz w:val="20"/>
          <w:szCs w:val="20"/>
          <w:lang w:eastAsia="en-US"/>
        </w:rPr>
      </w:pPr>
      <w:r w:rsidRPr="00AA134B">
        <w:rPr>
          <w:bCs/>
          <w:sz w:val="20"/>
          <w:szCs w:val="20"/>
          <w:lang w:eastAsia="en-US"/>
        </w:rPr>
        <w:t>“</w:t>
      </w:r>
      <w:r w:rsidRPr="00756253">
        <w:rPr>
          <w:b/>
          <w:sz w:val="20"/>
          <w:szCs w:val="20"/>
          <w:lang w:eastAsia="en-US"/>
        </w:rPr>
        <w:t>TT10</w:t>
      </w:r>
      <w:r w:rsidR="008A291D" w:rsidRPr="00756253">
        <w:rPr>
          <w:bCs/>
          <w:sz w:val="20"/>
          <w:szCs w:val="20"/>
          <w:lang w:eastAsia="en-US"/>
        </w:rPr>
        <w:tab/>
      </w:r>
      <w:proofErr w:type="gramStart"/>
      <w:r w:rsidRPr="00756253">
        <w:rPr>
          <w:bCs/>
          <w:sz w:val="20"/>
          <w:szCs w:val="20"/>
          <w:lang w:eastAsia="en-US"/>
        </w:rPr>
        <w:t>The</w:t>
      </w:r>
      <w:proofErr w:type="gramEnd"/>
      <w:r w:rsidRPr="00756253">
        <w:rPr>
          <w:bCs/>
          <w:sz w:val="20"/>
          <w:szCs w:val="20"/>
          <w:lang w:eastAsia="en-US"/>
        </w:rPr>
        <w:t xml:space="preserve"> periodic inspections according to 6.8.2.4.2 shall </w:t>
      </w:r>
      <w:r w:rsidRPr="00756253">
        <w:rPr>
          <w:bCs/>
          <w:strike/>
          <w:sz w:val="20"/>
          <w:szCs w:val="20"/>
          <w:lang w:eastAsia="en-US"/>
        </w:rPr>
        <w:t>take place</w:t>
      </w:r>
      <w:r w:rsidRPr="00756253">
        <w:rPr>
          <w:bCs/>
          <w:sz w:val="20"/>
          <w:szCs w:val="20"/>
          <w:lang w:eastAsia="en-US"/>
        </w:rPr>
        <w:t xml:space="preserve"> </w:t>
      </w:r>
      <w:r w:rsidRPr="00756253">
        <w:rPr>
          <w:bCs/>
          <w:sz w:val="20"/>
          <w:szCs w:val="20"/>
          <w:u w:val="single"/>
          <w:lang w:eastAsia="en-US"/>
        </w:rPr>
        <w:t xml:space="preserve">be performed </w:t>
      </w:r>
      <w:r w:rsidRPr="00756253">
        <w:rPr>
          <w:bCs/>
          <w:strike/>
          <w:sz w:val="20"/>
          <w:szCs w:val="20"/>
        </w:rPr>
        <w:t>at least</w:t>
      </w:r>
      <w:r w:rsidRPr="00756253">
        <w:rPr>
          <w:bCs/>
          <w:sz w:val="20"/>
          <w:szCs w:val="20"/>
        </w:rPr>
        <w:t xml:space="preserve"> </w:t>
      </w:r>
      <w:r w:rsidRPr="00756253">
        <w:rPr>
          <w:bCs/>
          <w:sz w:val="20"/>
          <w:szCs w:val="20"/>
          <w:u w:val="single"/>
        </w:rPr>
        <w:t>no later than every</w:t>
      </w:r>
      <w:r w:rsidRPr="00756253">
        <w:rPr>
          <w:bCs/>
          <w:sz w:val="20"/>
          <w:szCs w:val="20"/>
          <w:lang w:eastAsia="en-US"/>
        </w:rPr>
        <w:t>:</w:t>
      </w:r>
    </w:p>
    <w:tbl>
      <w:tblPr>
        <w:tblStyle w:val="Grilledutableau"/>
        <w:tblW w:w="0" w:type="auto"/>
        <w:tblInd w:w="11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3440"/>
      </w:tblGrid>
      <w:tr w:rsidR="00E06790" w:rsidRPr="00756253" w14:paraId="6FABCA95" w14:textId="77777777" w:rsidTr="009351AE">
        <w:tc>
          <w:tcPr>
            <w:tcW w:w="4253" w:type="dxa"/>
          </w:tcPr>
          <w:p w14:paraId="488E2AAB" w14:textId="5AC003CF" w:rsidR="00E06790" w:rsidRPr="00756253" w:rsidRDefault="00E06790" w:rsidP="008836C8">
            <w:pPr>
              <w:pStyle w:val="NormalWeb"/>
              <w:ind w:left="1138" w:right="560"/>
              <w:rPr>
                <w:sz w:val="20"/>
                <w:szCs w:val="20"/>
                <w:lang w:eastAsia="en-US"/>
              </w:rPr>
            </w:pPr>
            <w:r w:rsidRPr="00756253">
              <w:rPr>
                <w:sz w:val="20"/>
                <w:szCs w:val="20"/>
                <w:lang w:eastAsia="en-US"/>
              </w:rPr>
              <w:t>4 years (RID)</w:t>
            </w:r>
            <w:r w:rsidR="008836C8">
              <w:rPr>
                <w:sz w:val="20"/>
                <w:szCs w:val="20"/>
                <w:lang w:eastAsia="en-US"/>
              </w:rPr>
              <w:t xml:space="preserve"> </w:t>
            </w:r>
            <w:r w:rsidRPr="00756253">
              <w:rPr>
                <w:sz w:val="20"/>
                <w:szCs w:val="20"/>
                <w:lang w:eastAsia="en-US"/>
              </w:rPr>
              <w:t>/ 3 years (ADR)</w:t>
            </w:r>
          </w:p>
        </w:tc>
        <w:tc>
          <w:tcPr>
            <w:tcW w:w="3440" w:type="dxa"/>
          </w:tcPr>
          <w:p w14:paraId="1107B4B2" w14:textId="22C20412" w:rsidR="00E06790" w:rsidRPr="00756253" w:rsidRDefault="00E06790" w:rsidP="00756253">
            <w:pPr>
              <w:pStyle w:val="NormalWeb"/>
              <w:ind w:left="1255" w:right="1134" w:firstLine="142"/>
              <w:rPr>
                <w:sz w:val="20"/>
                <w:szCs w:val="20"/>
                <w:lang w:eastAsia="en-US"/>
              </w:rPr>
            </w:pPr>
            <w:r w:rsidRPr="00756253">
              <w:rPr>
                <w:sz w:val="20"/>
                <w:szCs w:val="20"/>
              </w:rPr>
              <w:t>2½ y</w:t>
            </w:r>
            <w:r w:rsidRPr="00756253">
              <w:rPr>
                <w:sz w:val="20"/>
                <w:szCs w:val="20"/>
                <w:lang w:eastAsia="en-US"/>
              </w:rPr>
              <w:t>ears.”</w:t>
            </w:r>
          </w:p>
        </w:tc>
      </w:tr>
    </w:tbl>
    <w:p w14:paraId="2C879FA1" w14:textId="3755108B" w:rsidR="00E06790" w:rsidRDefault="00E06790" w:rsidP="00756253">
      <w:pPr>
        <w:ind w:right="1134"/>
        <w:jc w:val="right"/>
        <w:rPr>
          <w:bCs/>
        </w:rPr>
      </w:pPr>
      <w:r w:rsidRPr="00756253">
        <w:rPr>
          <w:bCs/>
        </w:rPr>
        <w:t>”</w:t>
      </w:r>
    </w:p>
    <w:p w14:paraId="55686635" w14:textId="736FE757" w:rsidR="00B3428B" w:rsidRPr="00756253" w:rsidRDefault="00B3428B" w:rsidP="00172A98">
      <w:pPr>
        <w:ind w:left="1134" w:right="1534"/>
        <w:rPr>
          <w:bCs/>
        </w:rPr>
      </w:pPr>
    </w:p>
    <w:p w14:paraId="2B1321BE" w14:textId="5C9572A7" w:rsidR="00E06790" w:rsidRPr="00B3428B" w:rsidRDefault="00E06790" w:rsidP="00B3428B">
      <w:pPr>
        <w:tabs>
          <w:tab w:val="left" w:pos="2268"/>
        </w:tabs>
        <w:spacing w:after="120"/>
        <w:ind w:left="2268" w:right="1134" w:hanging="1134"/>
        <w:jc w:val="both"/>
        <w:rPr>
          <w:lang w:eastAsia="en-GB"/>
        </w:rPr>
      </w:pPr>
      <w:r w:rsidRPr="00B3428B">
        <w:rPr>
          <w:lang w:eastAsia="en-GB"/>
        </w:rPr>
        <w:t>6.10.4</w:t>
      </w:r>
      <w:r w:rsidR="007250F8" w:rsidRPr="00B3428B">
        <w:rPr>
          <w:lang w:eastAsia="en-GB"/>
        </w:rPr>
        <w:tab/>
      </w:r>
      <w:r w:rsidRPr="00B3428B">
        <w:rPr>
          <w:lang w:eastAsia="en-GB"/>
        </w:rPr>
        <w:t>(ADR)</w:t>
      </w:r>
      <w:r w:rsidR="007250F8" w:rsidRPr="00B3428B">
        <w:rPr>
          <w:lang w:eastAsia="en-GB"/>
        </w:rPr>
        <w:t xml:space="preserve"> </w:t>
      </w:r>
      <w:r w:rsidRPr="00B3428B">
        <w:rPr>
          <w:lang w:eastAsia="en-GB"/>
        </w:rPr>
        <w:t xml:space="preserve">“Vacuum-operated waste tanks shall be subject </w:t>
      </w:r>
      <w:r w:rsidRPr="00B3428B">
        <w:rPr>
          <w:u w:val="single"/>
          <w:lang w:eastAsia="en-GB"/>
        </w:rPr>
        <w:t>no later than</w:t>
      </w:r>
      <w:r w:rsidRPr="00B3428B">
        <w:rPr>
          <w:lang w:eastAsia="en-GB"/>
        </w:rPr>
        <w:t xml:space="preserve"> every three years for fixed tanks or demountable tanks and </w:t>
      </w:r>
      <w:r w:rsidRPr="00B3428B">
        <w:rPr>
          <w:strike/>
          <w:lang w:eastAsia="en-GB"/>
        </w:rPr>
        <w:t>at least</w:t>
      </w:r>
      <w:r w:rsidRPr="00B3428B">
        <w:rPr>
          <w:lang w:eastAsia="en-GB"/>
        </w:rPr>
        <w:t xml:space="preserve"> </w:t>
      </w:r>
      <w:r w:rsidRPr="00B3428B">
        <w:rPr>
          <w:u w:val="single"/>
          <w:lang w:eastAsia="en-GB"/>
        </w:rPr>
        <w:t>no later than</w:t>
      </w:r>
      <w:r w:rsidRPr="00B3428B">
        <w:rPr>
          <w:lang w:eastAsia="en-GB"/>
        </w:rPr>
        <w:t xml:space="preserve"> every two and a half years for tank-containers and tank swap bodies to an examination of the internal condition, in addition to the inspection according to 6.8.2.4.3.”</w:t>
      </w:r>
    </w:p>
    <w:p w14:paraId="2A3D744A" w14:textId="6C5C6A46" w:rsidR="00E06790" w:rsidRPr="00B3428B" w:rsidRDefault="00E06790" w:rsidP="00B3428B">
      <w:pPr>
        <w:tabs>
          <w:tab w:val="left" w:pos="2268"/>
        </w:tabs>
        <w:spacing w:after="120"/>
        <w:ind w:left="2268" w:right="1134" w:hanging="1134"/>
        <w:jc w:val="both"/>
        <w:rPr>
          <w:lang w:eastAsia="en-GB"/>
        </w:rPr>
      </w:pPr>
      <w:r w:rsidRPr="00B3428B">
        <w:rPr>
          <w:lang w:eastAsia="en-GB"/>
        </w:rPr>
        <w:t>6.10.4</w:t>
      </w:r>
      <w:r w:rsidR="007250F8" w:rsidRPr="00B3428B">
        <w:rPr>
          <w:lang w:eastAsia="en-GB"/>
        </w:rPr>
        <w:tab/>
      </w:r>
      <w:r w:rsidRPr="00B3428B">
        <w:rPr>
          <w:lang w:eastAsia="en-GB"/>
        </w:rPr>
        <w:t>(RID)</w:t>
      </w:r>
      <w:r w:rsidR="007250F8" w:rsidRPr="00B3428B">
        <w:rPr>
          <w:lang w:eastAsia="en-GB"/>
        </w:rPr>
        <w:t xml:space="preserve"> </w:t>
      </w:r>
      <w:r w:rsidRPr="00B3428B">
        <w:rPr>
          <w:lang w:eastAsia="en-GB"/>
        </w:rPr>
        <w:t xml:space="preserve">“Vacuum-operated waste tanks shall be subject </w:t>
      </w:r>
      <w:r w:rsidRPr="00B3428B">
        <w:rPr>
          <w:strike/>
          <w:lang w:eastAsia="en-GB"/>
        </w:rPr>
        <w:t>at least</w:t>
      </w:r>
      <w:r w:rsidRPr="00B3428B">
        <w:rPr>
          <w:lang w:eastAsia="en-GB"/>
        </w:rPr>
        <w:t xml:space="preserve"> </w:t>
      </w:r>
      <w:r w:rsidRPr="00B3428B">
        <w:rPr>
          <w:u w:val="single"/>
          <w:lang w:eastAsia="en-GB"/>
        </w:rPr>
        <w:t>no later than</w:t>
      </w:r>
      <w:r w:rsidRPr="00B3428B">
        <w:rPr>
          <w:lang w:eastAsia="en-GB"/>
        </w:rPr>
        <w:t xml:space="preserve"> every two and a half years to an examination of the internal condition, in addition to the inspection according to 6.8.2.4.3.”</w:t>
      </w:r>
    </w:p>
    <w:p w14:paraId="11D277C0" w14:textId="3065F811" w:rsidR="00E06790" w:rsidRPr="00B3428B" w:rsidRDefault="00E06790" w:rsidP="00B3428B">
      <w:pPr>
        <w:tabs>
          <w:tab w:val="left" w:pos="2268"/>
        </w:tabs>
        <w:spacing w:after="120"/>
        <w:ind w:left="2268" w:right="1134" w:hanging="1134"/>
        <w:jc w:val="both"/>
        <w:rPr>
          <w:strike/>
          <w:lang w:eastAsia="en-GB"/>
        </w:rPr>
      </w:pPr>
      <w:r w:rsidRPr="00B3428B">
        <w:rPr>
          <w:lang w:eastAsia="en-GB"/>
        </w:rPr>
        <w:t>6.12.3.2.6</w:t>
      </w:r>
      <w:r w:rsidR="007250F8" w:rsidRPr="00B3428B">
        <w:rPr>
          <w:lang w:eastAsia="en-GB"/>
        </w:rPr>
        <w:tab/>
      </w:r>
      <w:r w:rsidRPr="00B3428B">
        <w:rPr>
          <w:lang w:eastAsia="en-GB"/>
        </w:rPr>
        <w:t xml:space="preserve">(ADR only) “The requirements …… owner of the MEMU. Shells and their equipment shall be subject to visual examination of their external and internal condition and a </w:t>
      </w:r>
      <w:proofErr w:type="spellStart"/>
      <w:r w:rsidRPr="00B3428B">
        <w:rPr>
          <w:lang w:eastAsia="en-GB"/>
        </w:rPr>
        <w:t>leakproofness</w:t>
      </w:r>
      <w:proofErr w:type="spellEnd"/>
      <w:r w:rsidRPr="00B3428B">
        <w:rPr>
          <w:lang w:eastAsia="en-GB"/>
        </w:rPr>
        <w:t xml:space="preserve"> test to the satisfaction of the competent authority </w:t>
      </w:r>
      <w:r w:rsidRPr="00B3428B">
        <w:rPr>
          <w:strike/>
          <w:lang w:eastAsia="en-GB"/>
        </w:rPr>
        <w:t>at least</w:t>
      </w:r>
      <w:r w:rsidRPr="00B3428B">
        <w:rPr>
          <w:lang w:eastAsia="en-GB"/>
        </w:rPr>
        <w:t xml:space="preserve"> </w:t>
      </w:r>
      <w:r w:rsidRPr="00B3428B">
        <w:rPr>
          <w:u w:val="single"/>
          <w:lang w:eastAsia="en-GB"/>
        </w:rPr>
        <w:t>no later than</w:t>
      </w:r>
      <w:r w:rsidRPr="00B3428B">
        <w:rPr>
          <w:lang w:eastAsia="en-GB"/>
        </w:rPr>
        <w:t xml:space="preserve"> every three years.”</w:t>
      </w:r>
    </w:p>
    <w:p w14:paraId="49D52B24" w14:textId="4D152F28" w:rsidR="00E06790" w:rsidRPr="00B655C3" w:rsidRDefault="00E06790" w:rsidP="00B93D12">
      <w:pPr>
        <w:snapToGrid w:val="0"/>
        <w:spacing w:before="120" w:after="120"/>
        <w:ind w:left="1134" w:right="1134" w:hanging="1134"/>
        <w:rPr>
          <w:b/>
          <w:bCs/>
          <w:i/>
          <w:iCs/>
        </w:rPr>
      </w:pPr>
      <w:r w:rsidRPr="006A60CA">
        <w:rPr>
          <w:b/>
        </w:rPr>
        <w:t>Item</w:t>
      </w:r>
      <w:r w:rsidRPr="00B655C3">
        <w:rPr>
          <w:b/>
          <w:bCs/>
          <w:sz w:val="22"/>
          <w:szCs w:val="22"/>
        </w:rPr>
        <w:t xml:space="preserve"> 3:</w:t>
      </w:r>
      <w:r w:rsidR="00B93D12">
        <w:rPr>
          <w:b/>
          <w:bCs/>
          <w:sz w:val="22"/>
          <w:szCs w:val="22"/>
        </w:rPr>
        <w:tab/>
      </w:r>
      <w:r w:rsidRPr="00B655C3">
        <w:rPr>
          <w:b/>
          <w:bCs/>
          <w:sz w:val="22"/>
          <w:szCs w:val="22"/>
        </w:rPr>
        <w:t>Clarification of the requirements for non-destructive tests in RID/ADR 6.8.2.1.23</w:t>
      </w:r>
    </w:p>
    <w:p w14:paraId="121169D8" w14:textId="77777777" w:rsidR="00E06790" w:rsidRPr="00B655C3" w:rsidRDefault="00E06790" w:rsidP="00B93D12">
      <w:pPr>
        <w:keepLines/>
        <w:tabs>
          <w:tab w:val="left" w:pos="2977"/>
        </w:tabs>
        <w:spacing w:after="120"/>
        <w:ind w:left="1134"/>
        <w:rPr>
          <w:bCs/>
          <w:iCs/>
        </w:rPr>
      </w:pPr>
      <w:r w:rsidRPr="00B655C3">
        <w:rPr>
          <w:bCs/>
          <w:i/>
          <w:iCs/>
        </w:rPr>
        <w:t>Informal document:</w:t>
      </w:r>
      <w:r w:rsidRPr="00B655C3">
        <w:rPr>
          <w:bCs/>
          <w:i/>
          <w:iCs/>
        </w:rPr>
        <w:tab/>
      </w:r>
      <w:r w:rsidRPr="00B655C3">
        <w:rPr>
          <w:bCs/>
          <w:iCs/>
        </w:rPr>
        <w:t>INF.11 (United Kingdom)</w:t>
      </w:r>
    </w:p>
    <w:p w14:paraId="0ADC83E2" w14:textId="054C35FB" w:rsidR="00E06790" w:rsidRPr="00B655C3" w:rsidRDefault="00E06790" w:rsidP="003250A9">
      <w:pPr>
        <w:pStyle w:val="SingleTxtG"/>
      </w:pPr>
      <w:r w:rsidRPr="00B655C3">
        <w:t>8.</w:t>
      </w:r>
      <w:r w:rsidRPr="00B655C3">
        <w:tab/>
        <w:t xml:space="preserve">The document proposed several improvements to 6.8.2.1.23 concerning welding and inspection of welds. The proposed amendments could be divided into </w:t>
      </w:r>
      <w:r w:rsidR="008918D1">
        <w:t>four</w:t>
      </w:r>
      <w:r w:rsidRPr="00B655C3">
        <w:t xml:space="preserve"> parts. There was consensus</w:t>
      </w:r>
      <w:r w:rsidR="008918D1">
        <w:t>:</w:t>
      </w:r>
    </w:p>
    <w:p w14:paraId="786FE4C6" w14:textId="4B3DDCD4" w:rsidR="00E06790" w:rsidRPr="00B655C3" w:rsidRDefault="008F1C30" w:rsidP="003250A9">
      <w:pPr>
        <w:pStyle w:val="SingleTxtG"/>
      </w:pPr>
      <w:r>
        <w:t>(a)</w:t>
      </w:r>
      <w:r w:rsidR="008D4B42">
        <w:tab/>
      </w:r>
      <w:r w:rsidR="00E06790" w:rsidRPr="00B655C3">
        <w:t>for moving the last sentence of the first paragraph to the end of the second paragraph,</w:t>
      </w:r>
    </w:p>
    <w:p w14:paraId="176D9CE9" w14:textId="7E37A586" w:rsidR="00E06790" w:rsidRPr="00B655C3" w:rsidRDefault="008F1C30" w:rsidP="003250A9">
      <w:pPr>
        <w:pStyle w:val="SingleTxtG"/>
      </w:pPr>
      <w:r>
        <w:t>(b)</w:t>
      </w:r>
      <w:r w:rsidR="008D4B42">
        <w:tab/>
      </w:r>
      <w:r w:rsidR="00E06790" w:rsidRPr="00B655C3">
        <w:t>for inserting a new paragraph before the last one of 6.8.2.1.23 after discussion and modification of the wording,</w:t>
      </w:r>
    </w:p>
    <w:p w14:paraId="43498AB5" w14:textId="409ADB48" w:rsidR="00E06790" w:rsidRPr="00B655C3" w:rsidRDefault="008F1C30" w:rsidP="003250A9">
      <w:pPr>
        <w:pStyle w:val="SingleTxtG"/>
      </w:pPr>
      <w:r>
        <w:t>(c)</w:t>
      </w:r>
      <w:r w:rsidR="008D4B42">
        <w:tab/>
      </w:r>
      <w:r w:rsidR="00E06790" w:rsidRPr="00B655C3">
        <w:t>not to adopt the proposal for the last paragraph of 6.8.2.1.23. Giving an exhaustive list of parties involved in the construction, maintenance and repair of tanks could result in some parties not feeling obliged to follow the requirements of 6.8.2.1.23, and</w:t>
      </w:r>
    </w:p>
    <w:p w14:paraId="7E3B5C82" w14:textId="51AC37F4" w:rsidR="00E06790" w:rsidRPr="00B655C3" w:rsidRDefault="008F1C30" w:rsidP="003250A9">
      <w:pPr>
        <w:pStyle w:val="SingleTxtG"/>
      </w:pPr>
      <w:r>
        <w:t>(d)</w:t>
      </w:r>
      <w:r w:rsidR="008D4B42">
        <w:tab/>
      </w:r>
      <w:r w:rsidR="00E06790" w:rsidRPr="00B655C3">
        <w:t>for the modification of the table in 6.8.2.6.2 for EN 12972:2018, as this would make the standard applicable to the welding requirement.</w:t>
      </w:r>
    </w:p>
    <w:p w14:paraId="4658D5BF" w14:textId="77777777" w:rsidR="00E06790" w:rsidRPr="00B655C3" w:rsidRDefault="00E06790" w:rsidP="00E06790">
      <w:pPr>
        <w:ind w:left="1134"/>
      </w:pPr>
    </w:p>
    <w:p w14:paraId="590CD73A" w14:textId="53239ABA" w:rsidR="00E06790" w:rsidRPr="00B655C3" w:rsidRDefault="009F326F" w:rsidP="0064317F">
      <w:pPr>
        <w:pStyle w:val="H23G"/>
      </w:pPr>
      <w:r>
        <w:lastRenderedPageBreak/>
        <w:tab/>
      </w:r>
      <w:r>
        <w:tab/>
      </w:r>
      <w:r w:rsidR="00E06790" w:rsidRPr="0064317F">
        <w:t xml:space="preserve">Proposal 4: amend the first and second paragraph of 6.8.2.1.23 to read </w:t>
      </w:r>
      <w:r w:rsidR="00E06790" w:rsidRPr="00B655C3">
        <w:t>(deleted wording crossed out and relocated wording underlined):</w:t>
      </w:r>
    </w:p>
    <w:p w14:paraId="764E2AC9" w14:textId="36D543C8" w:rsidR="00E06790" w:rsidRPr="00BE7F47" w:rsidRDefault="00E06790" w:rsidP="00A22FBF">
      <w:pPr>
        <w:tabs>
          <w:tab w:val="left" w:pos="2268"/>
        </w:tabs>
        <w:spacing w:after="120"/>
        <w:ind w:left="2268" w:right="1134" w:hanging="1134"/>
        <w:jc w:val="both"/>
      </w:pPr>
      <w:r w:rsidRPr="00BE7F47">
        <w:t>“6.8.2.1.23</w:t>
      </w:r>
      <w:r w:rsidRPr="00BE7F47">
        <w:tab/>
      </w:r>
      <w:r w:rsidRPr="00BE7F47">
        <w:rPr>
          <w:lang w:eastAsia="en-GB"/>
        </w:rPr>
        <w:t>Welding</w:t>
      </w:r>
      <w:r w:rsidRPr="00BE7F47">
        <w:t xml:space="preserve"> and inspection of welds</w:t>
      </w:r>
    </w:p>
    <w:p w14:paraId="2FCC46A0" w14:textId="6DA69B7F" w:rsidR="00E06790" w:rsidRPr="00BE7F47" w:rsidRDefault="00A22FBF" w:rsidP="00BE7F47">
      <w:pPr>
        <w:tabs>
          <w:tab w:val="left" w:pos="2268"/>
        </w:tabs>
        <w:spacing w:after="120"/>
        <w:ind w:left="2268" w:right="1134" w:hanging="1134"/>
        <w:jc w:val="both"/>
        <w:rPr>
          <w:strike/>
        </w:rPr>
      </w:pPr>
      <w:r>
        <w:tab/>
      </w:r>
      <w:r w:rsidR="00E06790" w:rsidRPr="00BE7F47">
        <w:t xml:space="preserve">The </w:t>
      </w:r>
      <w:r w:rsidR="00E06790" w:rsidRPr="00BE7F47">
        <w:rPr>
          <w:lang w:eastAsia="en-GB"/>
        </w:rPr>
        <w:t>inspection</w:t>
      </w:r>
      <w:r w:rsidR="00E06790" w:rsidRPr="00BE7F47">
        <w:t xml:space="preserve"> body …………. (including any heat treatments required) has been demonstrated by tests. </w:t>
      </w:r>
      <w:r w:rsidR="00E06790" w:rsidRPr="00BE7F47">
        <w:rPr>
          <w:strike/>
        </w:rPr>
        <w:t>Non-destructive tests shall be carried out by radiography or by ultrasound</w:t>
      </w:r>
      <w:r w:rsidR="00E06790" w:rsidRPr="00771C8A">
        <w:rPr>
          <w:strike/>
          <w:vertAlign w:val="superscript"/>
        </w:rPr>
        <w:t>7</w:t>
      </w:r>
      <w:r w:rsidR="00E06790" w:rsidRPr="00BE7F47">
        <w:rPr>
          <w:strike/>
        </w:rPr>
        <w:t xml:space="preserve"> and shall confirm that the quality of the welding is appropriate to the stresses.</w:t>
      </w:r>
    </w:p>
    <w:p w14:paraId="7BF62070" w14:textId="48919088" w:rsidR="00E06790" w:rsidRPr="00BE7F47" w:rsidRDefault="00A22FBF" w:rsidP="00A22FBF">
      <w:pPr>
        <w:tabs>
          <w:tab w:val="left" w:pos="2268"/>
        </w:tabs>
        <w:spacing w:after="120"/>
        <w:ind w:left="2268" w:right="1134" w:hanging="1134"/>
        <w:jc w:val="both"/>
        <w:rPr>
          <w:u w:val="single"/>
        </w:rPr>
      </w:pPr>
      <w:r>
        <w:tab/>
      </w:r>
      <w:r w:rsidR="00E06790" w:rsidRPr="00BE7F47">
        <w:t xml:space="preserve">The </w:t>
      </w:r>
      <w:r w:rsidR="00E06790" w:rsidRPr="00BE7F47">
        <w:rPr>
          <w:lang w:eastAsia="en-GB"/>
        </w:rPr>
        <w:t>following</w:t>
      </w:r>
      <w:r w:rsidR="00E06790" w:rsidRPr="00BE7F47">
        <w:t xml:space="preserve"> checks shall be carried out for welds made by each welding process used by the manufacturer in accordance with the value of the coefficient λ used in determining the thickness of the shell in 6.8.2.1.17. </w:t>
      </w:r>
      <w:r w:rsidR="00E06790" w:rsidRPr="00BE7F47">
        <w:rPr>
          <w:u w:val="single"/>
        </w:rPr>
        <w:t xml:space="preserve">Non-destructive tests shall be carried out by radiography or by ultrasound </w:t>
      </w:r>
      <w:r w:rsidR="00E06790" w:rsidRPr="00BE7F47">
        <w:rPr>
          <w:u w:val="single"/>
          <w:vertAlign w:val="superscript"/>
        </w:rPr>
        <w:t>7</w:t>
      </w:r>
      <w:r w:rsidR="00E06790" w:rsidRPr="00BE7F47">
        <w:rPr>
          <w:u w:val="single"/>
        </w:rPr>
        <w:t xml:space="preserve"> and shall confirm that the quality of the welding is appropriate to the stresses.</w:t>
      </w:r>
      <w:r w:rsidR="006B292B" w:rsidRPr="00732FE5">
        <w:t>”</w:t>
      </w:r>
    </w:p>
    <w:p w14:paraId="4BE2F550" w14:textId="5384746D" w:rsidR="00E06790" w:rsidRPr="0064317F" w:rsidRDefault="005367E9" w:rsidP="0064317F">
      <w:pPr>
        <w:pStyle w:val="H23G"/>
      </w:pPr>
      <w:r>
        <w:tab/>
      </w:r>
      <w:r>
        <w:tab/>
      </w:r>
      <w:r w:rsidR="00E06790" w:rsidRPr="0064317F">
        <w:t xml:space="preserve">Proposal 5: insert a new </w:t>
      </w:r>
      <w:r w:rsidR="00E06790" w:rsidRPr="009478A8">
        <w:t>penultimate</w:t>
      </w:r>
      <w:r w:rsidR="00E06790" w:rsidRPr="0064317F">
        <w:t xml:space="preserve"> paragraph to read (new wording underlined):</w:t>
      </w:r>
    </w:p>
    <w:p w14:paraId="5CE9EADB" w14:textId="661F61C3" w:rsidR="00E06790" w:rsidRPr="00A2469F" w:rsidRDefault="001E7C6E" w:rsidP="00DE218C">
      <w:pPr>
        <w:pStyle w:val="NormalWeb"/>
        <w:shd w:val="clear" w:color="auto" w:fill="FFFFFF"/>
        <w:ind w:left="2268" w:right="1134" w:hanging="1134"/>
        <w:jc w:val="both"/>
        <w:rPr>
          <w:color w:val="222222"/>
          <w:sz w:val="20"/>
          <w:szCs w:val="20"/>
          <w:u w:val="single"/>
        </w:rPr>
      </w:pPr>
      <w:r w:rsidRPr="001E7C6E">
        <w:rPr>
          <w:color w:val="222222"/>
          <w:sz w:val="20"/>
          <w:szCs w:val="20"/>
        </w:rPr>
        <w:tab/>
      </w:r>
      <w:r w:rsidR="00E06790" w:rsidRPr="001E7C6E">
        <w:rPr>
          <w:color w:val="222222"/>
          <w:sz w:val="20"/>
          <w:szCs w:val="20"/>
        </w:rPr>
        <w:t>“</w:t>
      </w:r>
      <w:r w:rsidR="00E06790" w:rsidRPr="00A2469F">
        <w:rPr>
          <w:color w:val="222222"/>
          <w:sz w:val="20"/>
          <w:szCs w:val="20"/>
          <w:u w:val="single"/>
        </w:rPr>
        <w:t xml:space="preserve">Welds made during repairs or alterations shall be assessed </w:t>
      </w:r>
      <w:r w:rsidR="00E06790" w:rsidRPr="00A2469F">
        <w:rPr>
          <w:sz w:val="20"/>
          <w:szCs w:val="20"/>
          <w:u w:val="single"/>
        </w:rPr>
        <w:t xml:space="preserve">as above and </w:t>
      </w:r>
      <w:r w:rsidR="00E06790" w:rsidRPr="00A2469F">
        <w:rPr>
          <w:color w:val="222222"/>
          <w:sz w:val="20"/>
          <w:szCs w:val="20"/>
          <w:u w:val="single"/>
        </w:rPr>
        <w:t>in accordance with the non-destructive tests specified in the relevant standard(s) referenced in 6.8.2.6.2.</w:t>
      </w:r>
      <w:r w:rsidR="00E06790" w:rsidRPr="001E7C6E">
        <w:rPr>
          <w:color w:val="222222"/>
          <w:sz w:val="20"/>
          <w:szCs w:val="20"/>
        </w:rPr>
        <w:t>”</w:t>
      </w:r>
    </w:p>
    <w:p w14:paraId="14E3C9E0" w14:textId="546D2F99" w:rsidR="00E06790" w:rsidRPr="00B655C3" w:rsidRDefault="0095411A" w:rsidP="0064317F">
      <w:pPr>
        <w:pStyle w:val="H23G"/>
      </w:pPr>
      <w:r>
        <w:tab/>
      </w:r>
      <w:r>
        <w:tab/>
      </w:r>
      <w:r w:rsidR="00E06790" w:rsidRPr="0064317F">
        <w:t>Proposal 6: amend the third column of the table of 6.8.2.6.2 for EN 12972:2018 to read (new wording underlined):</w:t>
      </w:r>
    </w:p>
    <w:tbl>
      <w:tblPr>
        <w:tblStyle w:val="Grilledutableau"/>
        <w:tblW w:w="8364" w:type="dxa"/>
        <w:tblInd w:w="1129" w:type="dxa"/>
        <w:tblLook w:val="04A0" w:firstRow="1" w:lastRow="0" w:firstColumn="1" w:lastColumn="0" w:noHBand="0" w:noVBand="1"/>
      </w:tblPr>
      <w:tblGrid>
        <w:gridCol w:w="1843"/>
        <w:gridCol w:w="3119"/>
        <w:gridCol w:w="1559"/>
        <w:gridCol w:w="1843"/>
      </w:tblGrid>
      <w:tr w:rsidR="00E06790" w:rsidRPr="00B655C3" w14:paraId="3BE8BDCD" w14:textId="77777777" w:rsidTr="001E54BE">
        <w:trPr>
          <w:trHeight w:val="834"/>
        </w:trPr>
        <w:tc>
          <w:tcPr>
            <w:tcW w:w="1843" w:type="dxa"/>
          </w:tcPr>
          <w:p w14:paraId="01C44296" w14:textId="77777777" w:rsidR="00E06790" w:rsidRPr="00B655C3" w:rsidRDefault="00E06790" w:rsidP="001E54BE">
            <w:pPr>
              <w:ind w:left="143"/>
              <w:rPr>
                <w:i/>
                <w:iCs/>
              </w:rPr>
            </w:pPr>
            <w:r w:rsidRPr="00B655C3">
              <w:rPr>
                <w:i/>
                <w:iCs/>
              </w:rPr>
              <w:t>EN 12972:2018</w:t>
            </w:r>
          </w:p>
        </w:tc>
        <w:tc>
          <w:tcPr>
            <w:tcW w:w="3119" w:type="dxa"/>
          </w:tcPr>
          <w:p w14:paraId="613B2E69" w14:textId="77777777" w:rsidR="00E06790" w:rsidRPr="00B655C3" w:rsidRDefault="00E06790" w:rsidP="001E54BE">
            <w:pPr>
              <w:ind w:left="143"/>
              <w:rPr>
                <w:i/>
                <w:iCs/>
              </w:rPr>
            </w:pPr>
            <w:r w:rsidRPr="00B655C3">
              <w:rPr>
                <w:i/>
                <w:iCs/>
              </w:rPr>
              <w:t>Tanks for transport of dangerous goods – Testing, inspection and marking of metallic tanks</w:t>
            </w:r>
          </w:p>
        </w:tc>
        <w:tc>
          <w:tcPr>
            <w:tcW w:w="1559" w:type="dxa"/>
          </w:tcPr>
          <w:p w14:paraId="36705BA6" w14:textId="77777777" w:rsidR="00E06790" w:rsidRPr="00B655C3" w:rsidRDefault="00E06790" w:rsidP="001E54BE">
            <w:pPr>
              <w:ind w:left="143"/>
              <w:rPr>
                <w:i/>
                <w:iCs/>
                <w:u w:val="single"/>
              </w:rPr>
            </w:pPr>
            <w:r w:rsidRPr="00B655C3">
              <w:rPr>
                <w:i/>
                <w:iCs/>
                <w:u w:val="single"/>
              </w:rPr>
              <w:t>6.8.2.1.23</w:t>
            </w:r>
          </w:p>
          <w:p w14:paraId="0F78B032" w14:textId="77777777" w:rsidR="00E06790" w:rsidRPr="00B655C3" w:rsidRDefault="00E06790" w:rsidP="001E54BE">
            <w:pPr>
              <w:ind w:left="143"/>
              <w:rPr>
                <w:i/>
                <w:iCs/>
              </w:rPr>
            </w:pPr>
            <w:r w:rsidRPr="00B655C3">
              <w:rPr>
                <w:i/>
                <w:iCs/>
              </w:rPr>
              <w:t xml:space="preserve">6.8.2.4 </w:t>
            </w:r>
          </w:p>
          <w:p w14:paraId="240C2D2E" w14:textId="77777777" w:rsidR="00E06790" w:rsidRPr="00B655C3" w:rsidRDefault="00E06790" w:rsidP="001E54BE">
            <w:pPr>
              <w:ind w:left="143"/>
              <w:rPr>
                <w:i/>
                <w:iCs/>
              </w:rPr>
            </w:pPr>
            <w:r w:rsidRPr="00B655C3">
              <w:rPr>
                <w:i/>
                <w:iCs/>
              </w:rPr>
              <w:t xml:space="preserve">6.8.3.4 </w:t>
            </w:r>
          </w:p>
        </w:tc>
        <w:tc>
          <w:tcPr>
            <w:tcW w:w="1843" w:type="dxa"/>
          </w:tcPr>
          <w:p w14:paraId="022E0E56" w14:textId="77777777" w:rsidR="00E06790" w:rsidRPr="00B655C3" w:rsidRDefault="00E06790" w:rsidP="001E54BE">
            <w:pPr>
              <w:ind w:left="143"/>
              <w:rPr>
                <w:i/>
                <w:iCs/>
              </w:rPr>
            </w:pPr>
            <w:r w:rsidRPr="00B655C3">
              <w:rPr>
                <w:i/>
                <w:iCs/>
              </w:rPr>
              <w:t>Mandatorily from 1 July 2021</w:t>
            </w:r>
          </w:p>
        </w:tc>
      </w:tr>
    </w:tbl>
    <w:p w14:paraId="6AC64308" w14:textId="77777777" w:rsidR="00E06790" w:rsidRPr="00B655C3" w:rsidRDefault="00E06790" w:rsidP="00E06790">
      <w:pPr>
        <w:ind w:left="1134"/>
        <w:rPr>
          <w:b/>
          <w:bCs/>
          <w:i/>
          <w:iCs/>
        </w:rPr>
      </w:pPr>
    </w:p>
    <w:p w14:paraId="7F78257A" w14:textId="54307EBC" w:rsidR="00E06790" w:rsidRPr="00755BF3" w:rsidRDefault="00E06790" w:rsidP="00755BF3">
      <w:pPr>
        <w:snapToGrid w:val="0"/>
        <w:spacing w:before="120" w:after="120"/>
        <w:ind w:left="1134" w:right="1134" w:hanging="1134"/>
        <w:rPr>
          <w:b/>
        </w:rPr>
      </w:pPr>
      <w:r w:rsidRPr="006A60CA">
        <w:rPr>
          <w:b/>
        </w:rPr>
        <w:t>Item</w:t>
      </w:r>
      <w:r w:rsidRPr="00755BF3">
        <w:rPr>
          <w:b/>
        </w:rPr>
        <w:t xml:space="preserve"> 4:</w:t>
      </w:r>
      <w:r w:rsidR="00755BF3">
        <w:rPr>
          <w:b/>
        </w:rPr>
        <w:tab/>
      </w:r>
      <w:r w:rsidRPr="00755BF3">
        <w:rPr>
          <w:b/>
        </w:rPr>
        <w:t>Dry Break Coupling</w:t>
      </w:r>
    </w:p>
    <w:p w14:paraId="7ED6CFC9" w14:textId="6D3588EA" w:rsidR="00E06790" w:rsidRPr="00B655C3" w:rsidRDefault="00E06790" w:rsidP="004139C4">
      <w:pPr>
        <w:keepLines/>
        <w:tabs>
          <w:tab w:val="left" w:pos="2977"/>
        </w:tabs>
        <w:spacing w:after="120"/>
        <w:ind w:left="1134"/>
      </w:pPr>
      <w:r w:rsidRPr="00B655C3">
        <w:rPr>
          <w:i/>
        </w:rPr>
        <w:t>Informal document:</w:t>
      </w:r>
      <w:r w:rsidRPr="00B655C3">
        <w:tab/>
        <w:t>INF.14 (Netherlands</w:t>
      </w:r>
      <w:r w:rsidR="004139C4">
        <w:t xml:space="preserve"> and </w:t>
      </w:r>
      <w:r w:rsidRPr="00B655C3">
        <w:t>UIP)</w:t>
      </w:r>
    </w:p>
    <w:p w14:paraId="7BF8275B" w14:textId="6BB5074A" w:rsidR="00E06790" w:rsidRPr="00B655C3" w:rsidRDefault="00E06790" w:rsidP="003250A9">
      <w:pPr>
        <w:pStyle w:val="SingleTxtG"/>
      </w:pPr>
      <w:r w:rsidRPr="00B655C3">
        <w:t>9.</w:t>
      </w:r>
      <w:r w:rsidRPr="00B655C3">
        <w:tab/>
        <w:t>At the autumn session of the Joint Meeting in 2013, the use of so-called “dry-break couplings” had already been discussed. At that time, there was agreement that these could be used as second or third closures in series in bottom</w:t>
      </w:r>
      <w:r w:rsidR="00103557">
        <w:t>-</w:t>
      </w:r>
      <w:r w:rsidRPr="00B655C3">
        <w:t>filling and discharge pipes. However, no modification to the text had been prepared for a future session.</w:t>
      </w:r>
    </w:p>
    <w:p w14:paraId="08087B29" w14:textId="77777777" w:rsidR="00E06790" w:rsidRPr="00B655C3" w:rsidRDefault="00E06790" w:rsidP="003250A9">
      <w:pPr>
        <w:pStyle w:val="SingleTxtG"/>
      </w:pPr>
      <w:r w:rsidRPr="00B655C3">
        <w:t>10.</w:t>
      </w:r>
      <w:r w:rsidRPr="00B655C3">
        <w:tab/>
        <w:t>Option 1 was preferred by the experts, as the additional wording “and similar systems” in option 2 was found to lead to unwanted interpretations. As there was consensus between the experts, it was proposed to adopt option 1 with editorial modifications.</w:t>
      </w:r>
    </w:p>
    <w:p w14:paraId="15D0FE49" w14:textId="2F544C24" w:rsidR="00E06790" w:rsidRPr="0064317F" w:rsidRDefault="004139C4" w:rsidP="0064317F">
      <w:pPr>
        <w:pStyle w:val="H23G"/>
      </w:pPr>
      <w:r>
        <w:tab/>
      </w:r>
      <w:r>
        <w:tab/>
      </w:r>
      <w:r w:rsidR="00E06790" w:rsidRPr="0064317F">
        <w:t xml:space="preserve">Proposal 7: Introduce a new footnote </w:t>
      </w:r>
      <w:r w:rsidR="00E06790" w:rsidRPr="002A08B3">
        <w:rPr>
          <w:vertAlign w:val="superscript"/>
        </w:rPr>
        <w:t>9</w:t>
      </w:r>
      <w:r w:rsidR="00E06790" w:rsidRPr="0064317F">
        <w:t xml:space="preserve"> at the end of the </w:t>
      </w:r>
      <w:r w:rsidR="002776AD">
        <w:t>sevent</w:t>
      </w:r>
      <w:r w:rsidR="00E06790" w:rsidRPr="0064317F">
        <w:t>h paragraph of 6.8.2.2.2 and renumber the following footnotes accordingly:</w:t>
      </w:r>
    </w:p>
    <w:p w14:paraId="5B20687E" w14:textId="2A3665C5" w:rsidR="00E06790" w:rsidRPr="00B655C3" w:rsidRDefault="009A58C5" w:rsidP="00A774A1">
      <w:pPr>
        <w:ind w:left="1134" w:right="1134"/>
        <w:jc w:val="both"/>
        <w:rPr>
          <w:i/>
          <w:iCs/>
        </w:rPr>
      </w:pPr>
      <w:proofErr w:type="gramStart"/>
      <w:r w:rsidRPr="009A58C5">
        <w:rPr>
          <w:i/>
          <w:iCs/>
          <w:color w:val="222222"/>
        </w:rPr>
        <w:t xml:space="preserve">“ </w:t>
      </w:r>
      <w:r w:rsidR="00E06790" w:rsidRPr="002A08B3">
        <w:rPr>
          <w:vertAlign w:val="superscript"/>
        </w:rPr>
        <w:t>9</w:t>
      </w:r>
      <w:proofErr w:type="gramEnd"/>
      <w:r w:rsidR="00E06790" w:rsidRPr="00B655C3">
        <w:tab/>
      </w:r>
      <w:r w:rsidR="00E06790" w:rsidRPr="00B655C3">
        <w:rPr>
          <w:i/>
          <w:iCs/>
        </w:rPr>
        <w:t>The mode of operation of dry break couplings is self-closing. Consequently, an open/closed indicator is not necessary. This type of closure shall only be used as a second or third closure.</w:t>
      </w:r>
      <w:r w:rsidRPr="00B655C3">
        <w:rPr>
          <w:i/>
          <w:iCs/>
        </w:rPr>
        <w:t>”</w:t>
      </w:r>
    </w:p>
    <w:p w14:paraId="055590A7" w14:textId="77777777" w:rsidR="00E06790" w:rsidRPr="00D418D5" w:rsidRDefault="00E06790" w:rsidP="00D418D5">
      <w:pPr>
        <w:pStyle w:val="HChG"/>
      </w:pPr>
      <w:r w:rsidRPr="00D418D5">
        <w:t>Section 2: Results of discussions on documents that do not require endorsement of the outcome</w:t>
      </w:r>
    </w:p>
    <w:p w14:paraId="53F0F8F2" w14:textId="146AA902" w:rsidR="00E06790" w:rsidRPr="002776AD" w:rsidRDefault="00E06790" w:rsidP="002776AD">
      <w:pPr>
        <w:snapToGrid w:val="0"/>
        <w:spacing w:before="120" w:after="120"/>
        <w:ind w:left="1134" w:right="1134" w:hanging="1134"/>
        <w:rPr>
          <w:b/>
        </w:rPr>
      </w:pPr>
      <w:r w:rsidRPr="006A60CA">
        <w:rPr>
          <w:b/>
        </w:rPr>
        <w:t>Item</w:t>
      </w:r>
      <w:r w:rsidRPr="002776AD">
        <w:rPr>
          <w:b/>
        </w:rPr>
        <w:t xml:space="preserve"> 5:</w:t>
      </w:r>
      <w:r w:rsidR="002776AD">
        <w:rPr>
          <w:b/>
        </w:rPr>
        <w:tab/>
      </w:r>
      <w:r w:rsidRPr="002776AD">
        <w:rPr>
          <w:b/>
        </w:rPr>
        <w:t>Clarification on using tanks after the deadline specified for the next test or inspection</w:t>
      </w:r>
    </w:p>
    <w:p w14:paraId="21659313" w14:textId="77777777" w:rsidR="00E06790" w:rsidRPr="00B655C3" w:rsidRDefault="00E06790" w:rsidP="00A774A1">
      <w:pPr>
        <w:pStyle w:val="SingleTxtG"/>
        <w:tabs>
          <w:tab w:val="left" w:pos="2977"/>
        </w:tabs>
        <w:spacing w:after="0"/>
        <w:ind w:left="2977" w:hanging="1843"/>
        <w:jc w:val="left"/>
        <w:rPr>
          <w:bCs/>
        </w:rPr>
      </w:pPr>
      <w:r w:rsidRPr="00B655C3">
        <w:rPr>
          <w:bCs/>
          <w:i/>
        </w:rPr>
        <w:t>Document</w:t>
      </w:r>
      <w:r>
        <w:rPr>
          <w:bCs/>
          <w:i/>
        </w:rPr>
        <w:t>s</w:t>
      </w:r>
      <w:r w:rsidRPr="00B655C3">
        <w:rPr>
          <w:bCs/>
          <w:i/>
        </w:rPr>
        <w:t>:</w:t>
      </w:r>
      <w:r w:rsidRPr="00B655C3">
        <w:rPr>
          <w:bCs/>
        </w:rPr>
        <w:tab/>
        <w:t>ECE/</w:t>
      </w:r>
      <w:r w:rsidRPr="008C2086">
        <w:t>TRANS</w:t>
      </w:r>
      <w:r w:rsidRPr="00B655C3">
        <w:rPr>
          <w:bCs/>
        </w:rPr>
        <w:t>/WP.15/AC.1/2021/3 (UIP)</w:t>
      </w:r>
    </w:p>
    <w:p w14:paraId="50C80D74" w14:textId="04C4AC72" w:rsidR="00E06790" w:rsidRPr="00B655C3" w:rsidRDefault="00A774A1" w:rsidP="00A774A1">
      <w:pPr>
        <w:keepLines/>
        <w:tabs>
          <w:tab w:val="left" w:pos="2977"/>
        </w:tabs>
        <w:spacing w:after="120"/>
        <w:ind w:left="2977" w:hanging="1843"/>
        <w:rPr>
          <w:bCs/>
        </w:rPr>
      </w:pPr>
      <w:r>
        <w:rPr>
          <w:bCs/>
        </w:rPr>
        <w:tab/>
      </w:r>
      <w:r w:rsidR="00E06790" w:rsidRPr="00B655C3">
        <w:rPr>
          <w:bCs/>
        </w:rPr>
        <w:t>ECE/</w:t>
      </w:r>
      <w:r w:rsidR="00E06790" w:rsidRPr="008C2086">
        <w:t>TRANS</w:t>
      </w:r>
      <w:r w:rsidR="00E06790" w:rsidRPr="00B655C3">
        <w:rPr>
          <w:bCs/>
        </w:rPr>
        <w:t>/WP.15/AC.1/2021/10 (Poland)</w:t>
      </w:r>
    </w:p>
    <w:p w14:paraId="25B8F4E8" w14:textId="77777777" w:rsidR="00E06790" w:rsidRPr="00B655C3" w:rsidRDefault="00E06790" w:rsidP="00A774A1">
      <w:pPr>
        <w:pStyle w:val="SingleTxtG"/>
        <w:tabs>
          <w:tab w:val="left" w:pos="2977"/>
        </w:tabs>
        <w:spacing w:after="0"/>
        <w:ind w:left="2977" w:hanging="1843"/>
        <w:jc w:val="left"/>
        <w:rPr>
          <w:bCs/>
        </w:rPr>
      </w:pPr>
      <w:r w:rsidRPr="00B655C3">
        <w:rPr>
          <w:bCs/>
          <w:i/>
        </w:rPr>
        <w:t>Informal documents:</w:t>
      </w:r>
      <w:r w:rsidRPr="00B655C3">
        <w:rPr>
          <w:bCs/>
        </w:rPr>
        <w:tab/>
        <w:t>INF.16 (Poland)</w:t>
      </w:r>
    </w:p>
    <w:p w14:paraId="439832FC" w14:textId="46EA10CA" w:rsidR="00E06790" w:rsidRPr="00B655C3" w:rsidRDefault="00A774A1" w:rsidP="00A774A1">
      <w:pPr>
        <w:keepLines/>
        <w:tabs>
          <w:tab w:val="left" w:pos="2977"/>
        </w:tabs>
        <w:spacing w:after="120"/>
        <w:ind w:left="2977" w:hanging="1843"/>
        <w:rPr>
          <w:bCs/>
        </w:rPr>
      </w:pPr>
      <w:r>
        <w:rPr>
          <w:bCs/>
        </w:rPr>
        <w:tab/>
      </w:r>
      <w:r w:rsidR="00E06790" w:rsidRPr="00B655C3">
        <w:rPr>
          <w:bCs/>
        </w:rPr>
        <w:t>INF.37 (UIC)</w:t>
      </w:r>
    </w:p>
    <w:p w14:paraId="3DC2CC4D" w14:textId="2A47C533" w:rsidR="00E06790" w:rsidRPr="00B655C3" w:rsidRDefault="00E06790" w:rsidP="00236028">
      <w:pPr>
        <w:pStyle w:val="SingleTxtG"/>
      </w:pPr>
      <w:r w:rsidRPr="00B655C3">
        <w:t>11.</w:t>
      </w:r>
      <w:r w:rsidRPr="00B655C3">
        <w:tab/>
        <w:t xml:space="preserve">6.8.2.4.3 allows the intermediate inspection to be performed up to three months after the specified date. The question is what is allowed in this three month period. Certain experts </w:t>
      </w:r>
      <w:r w:rsidRPr="00B655C3">
        <w:lastRenderedPageBreak/>
        <w:t xml:space="preserve">were of the opinion that the tank could be filled, carried and emptied as usual </w:t>
      </w:r>
      <w:r w:rsidRPr="00B655C3">
        <w:rPr>
          <w:u w:val="single"/>
        </w:rPr>
        <w:t>during</w:t>
      </w:r>
      <w:r w:rsidRPr="00B655C3">
        <w:t xml:space="preserve"> this period, given that the periodic inspection is still valid and 4.3.2.3.7 makes no reference to the intermediate inspection, while others were of the opinion that the tank could only be carried and emptied if filled </w:t>
      </w:r>
      <w:r w:rsidRPr="00B655C3">
        <w:rPr>
          <w:u w:val="single"/>
        </w:rPr>
        <w:t>before</w:t>
      </w:r>
      <w:r w:rsidRPr="00B655C3">
        <w:t xml:space="preserve"> this period in line with 6.7.</w:t>
      </w:r>
    </w:p>
    <w:p w14:paraId="12B2D279" w14:textId="77777777" w:rsidR="00E06790" w:rsidRPr="00B655C3" w:rsidRDefault="00E06790" w:rsidP="00236028">
      <w:pPr>
        <w:pStyle w:val="SingleTxtG"/>
      </w:pPr>
      <w:r w:rsidRPr="00B655C3">
        <w:t>12.</w:t>
      </w:r>
      <w:r w:rsidRPr="00B655C3">
        <w:tab/>
        <w:t>During the discussion, no consensus was reached, other than to agree that a common approach was needed and that the deliberations of the Working Group on Tanks would benefit from an exchange of views in the plenary.</w:t>
      </w:r>
    </w:p>
    <w:p w14:paraId="6B28EDF1" w14:textId="6CA69684" w:rsidR="00E06790" w:rsidRPr="00FB0CB4" w:rsidRDefault="00E06790" w:rsidP="00236028">
      <w:pPr>
        <w:pStyle w:val="SingleTxtG"/>
        <w:rPr>
          <w:color w:val="222222"/>
        </w:rPr>
      </w:pPr>
      <w:r w:rsidRPr="00B655C3">
        <w:rPr>
          <w:color w:val="222222"/>
        </w:rPr>
        <w:t>13.</w:t>
      </w:r>
      <w:r w:rsidRPr="00B655C3">
        <w:rPr>
          <w:color w:val="222222"/>
        </w:rPr>
        <w:tab/>
        <w:t xml:space="preserve">It was considered that safety would not necessarily be compromised, and it was pointed out that the flexibility to perform the </w:t>
      </w:r>
      <w:r w:rsidRPr="00236028">
        <w:t>intermediate</w:t>
      </w:r>
      <w:r w:rsidRPr="00B655C3">
        <w:rPr>
          <w:color w:val="222222"/>
        </w:rPr>
        <w:t xml:space="preserve"> inspection 3 months before or after the specified date had been agreed at the autumn 2006 session of the Joint Meeting (see ECE/TRANS/WP.15/AC.1/104/Add.1</w:t>
      </w:r>
      <w:r w:rsidR="00FB0CB4">
        <w:rPr>
          <w:color w:val="222222"/>
        </w:rPr>
        <w:t>,</w:t>
      </w:r>
      <w:r w:rsidRPr="00B655C3">
        <w:rPr>
          <w:color w:val="222222"/>
        </w:rPr>
        <w:t xml:space="preserve"> paragraph 6). At that time, the working group on tanks had concluded that: "It was unanimously agreed that flexibility in terms of timing should be shown in respect of only the intermediate inspection, and not the periodic inspection".</w:t>
      </w:r>
    </w:p>
    <w:p w14:paraId="27826505" w14:textId="4DE94076" w:rsidR="00E06790" w:rsidRPr="00B655C3" w:rsidRDefault="00E06790" w:rsidP="00FB0CB4">
      <w:pPr>
        <w:snapToGrid w:val="0"/>
        <w:spacing w:before="120" w:after="120"/>
        <w:ind w:left="1134" w:right="1134" w:hanging="1134"/>
        <w:rPr>
          <w:b/>
          <w:bCs/>
          <w:sz w:val="22"/>
          <w:szCs w:val="22"/>
        </w:rPr>
      </w:pPr>
      <w:r w:rsidRPr="00B655C3">
        <w:rPr>
          <w:b/>
          <w:bCs/>
          <w:sz w:val="22"/>
          <w:szCs w:val="22"/>
        </w:rPr>
        <w:t>Item 6:</w:t>
      </w:r>
      <w:r w:rsidR="00FB0CB4">
        <w:rPr>
          <w:b/>
          <w:bCs/>
          <w:sz w:val="22"/>
          <w:szCs w:val="22"/>
        </w:rPr>
        <w:tab/>
      </w:r>
      <w:r w:rsidRPr="00B655C3">
        <w:rPr>
          <w:b/>
          <w:bCs/>
          <w:sz w:val="22"/>
          <w:szCs w:val="22"/>
        </w:rPr>
        <w:t>Vacuum-operated waste tanks: Non-electrical explosion protection</w:t>
      </w:r>
    </w:p>
    <w:p w14:paraId="1862E4D8" w14:textId="77777777" w:rsidR="00E06790" w:rsidRPr="0061575C" w:rsidRDefault="00E06790" w:rsidP="00FB0CB4">
      <w:pPr>
        <w:keepLines/>
        <w:tabs>
          <w:tab w:val="left" w:pos="2977"/>
        </w:tabs>
        <w:spacing w:after="120"/>
        <w:ind w:left="2977" w:hanging="1843"/>
        <w:rPr>
          <w:bCs/>
        </w:rPr>
      </w:pPr>
      <w:r w:rsidRPr="0061575C">
        <w:rPr>
          <w:bCs/>
          <w:i/>
        </w:rPr>
        <w:t>Document:</w:t>
      </w:r>
      <w:r w:rsidRPr="0061575C">
        <w:rPr>
          <w:bCs/>
        </w:rPr>
        <w:tab/>
        <w:t>ECE/</w:t>
      </w:r>
      <w:r w:rsidRPr="0061575C">
        <w:t>TRANS</w:t>
      </w:r>
      <w:r w:rsidRPr="0061575C">
        <w:rPr>
          <w:bCs/>
        </w:rPr>
        <w:t>/</w:t>
      </w:r>
      <w:r w:rsidRPr="0061575C">
        <w:t>WP</w:t>
      </w:r>
      <w:r w:rsidRPr="0061575C">
        <w:rPr>
          <w:bCs/>
        </w:rPr>
        <w:t>.15/AC.1/2021/6 (Germany)</w:t>
      </w:r>
    </w:p>
    <w:p w14:paraId="7181EA64" w14:textId="27504909" w:rsidR="00E06790" w:rsidRPr="00B655C3" w:rsidRDefault="00E06790" w:rsidP="00236028">
      <w:pPr>
        <w:pStyle w:val="SingleTxtG"/>
      </w:pPr>
      <w:r w:rsidRPr="00B655C3">
        <w:t>14.</w:t>
      </w:r>
      <w:r w:rsidRPr="00B655C3">
        <w:tab/>
        <w:t xml:space="preserve">When flammable substances are to be carried in vacuum-operated waste tanks, ignition of the vapours </w:t>
      </w:r>
      <w:r w:rsidR="007B4CA4">
        <w:t>shall</w:t>
      </w:r>
      <w:r w:rsidRPr="00B655C3">
        <w:t xml:space="preserve"> be prevented by flame arrestors, spark free design of the pump/exhauster or the tank </w:t>
      </w:r>
      <w:r w:rsidR="002E3B74">
        <w:t>shall</w:t>
      </w:r>
      <w:r w:rsidRPr="00B655C3">
        <w:t xml:space="preserve"> be explosion pressure shock resistant. So called “liquid ring” pumps </w:t>
      </w:r>
      <w:proofErr w:type="gramStart"/>
      <w:r w:rsidRPr="00B655C3">
        <w:t>are considered to be</w:t>
      </w:r>
      <w:proofErr w:type="gramEnd"/>
      <w:r w:rsidRPr="00B655C3">
        <w:t xml:space="preserve"> of a spark free design. After recent assessments in Germany, it was felt that there may be </w:t>
      </w:r>
      <w:proofErr w:type="gramStart"/>
      <w:r w:rsidRPr="00B655C3">
        <w:t>particular risks</w:t>
      </w:r>
      <w:proofErr w:type="gramEnd"/>
      <w:r w:rsidRPr="00B655C3">
        <w:t xml:space="preserve"> if the supply of water was insufficient. It was therefore proposed that the design should be checked against standard ISO 80079</w:t>
      </w:r>
      <w:r w:rsidR="008B39D3">
        <w:t xml:space="preserve">, parts </w:t>
      </w:r>
      <w:r w:rsidRPr="00B655C3">
        <w:t>36/37 for non-electrical explosion protection.</w:t>
      </w:r>
    </w:p>
    <w:p w14:paraId="37FE159B" w14:textId="2D4C4284" w:rsidR="00E06790" w:rsidRPr="00B655C3" w:rsidRDefault="00E06790" w:rsidP="00236028">
      <w:pPr>
        <w:pStyle w:val="SingleTxtG"/>
      </w:pPr>
      <w:r w:rsidRPr="00B655C3">
        <w:t>15.</w:t>
      </w:r>
      <w:r w:rsidRPr="00B655C3">
        <w:tab/>
        <w:t xml:space="preserve">Several experts expressed the view that these pumps have not resulted in any problems with ignition in the past. It was also said that if new standards have become available, these should be </w:t>
      </w:r>
      <w:proofErr w:type="gramStart"/>
      <w:r w:rsidRPr="00B655C3">
        <w:t>taken into account</w:t>
      </w:r>
      <w:proofErr w:type="gramEnd"/>
      <w:r w:rsidRPr="00B655C3">
        <w:t xml:space="preserve">. Questions were asked about the availability of these pumps and the additional costs. </w:t>
      </w:r>
      <w:proofErr w:type="gramStart"/>
      <w:r w:rsidRPr="00B655C3">
        <w:t>As a consequence of</w:t>
      </w:r>
      <w:proofErr w:type="gramEnd"/>
      <w:r w:rsidRPr="00B655C3">
        <w:t xml:space="preserve"> complying with the standard, it was said that introducing sensors that check the supply of water and flow into the pump would be needed. It was remarked that technical provisions for this kind of pump could also be included. It was agreed that 6.10.3.8 would be the best place for such provisions. The representative of Germany took note of the remarks made, with the intention of returning to the topic at a future session.</w:t>
      </w:r>
    </w:p>
    <w:p w14:paraId="73F90EC0" w14:textId="611A79C1" w:rsidR="00E06790" w:rsidRPr="00B655C3" w:rsidRDefault="00E06790" w:rsidP="00A719AE">
      <w:pPr>
        <w:snapToGrid w:val="0"/>
        <w:spacing w:before="120" w:after="120"/>
        <w:ind w:left="1134" w:right="1134" w:hanging="1134"/>
        <w:rPr>
          <w:sz w:val="22"/>
          <w:szCs w:val="22"/>
        </w:rPr>
      </w:pPr>
      <w:bookmarkStart w:id="2" w:name="_Hlk66831883"/>
      <w:r w:rsidRPr="00B655C3">
        <w:rPr>
          <w:b/>
          <w:bCs/>
          <w:sz w:val="22"/>
          <w:szCs w:val="22"/>
        </w:rPr>
        <w:t>Item 7:</w:t>
      </w:r>
      <w:bookmarkEnd w:id="2"/>
      <w:r w:rsidR="00A719AE">
        <w:rPr>
          <w:b/>
          <w:bCs/>
          <w:sz w:val="22"/>
          <w:szCs w:val="22"/>
        </w:rPr>
        <w:tab/>
      </w:r>
      <w:r w:rsidRPr="006A60CA">
        <w:rPr>
          <w:b/>
        </w:rPr>
        <w:t>Revisit</w:t>
      </w:r>
      <w:r w:rsidRPr="00B655C3">
        <w:rPr>
          <w:b/>
          <w:bCs/>
          <w:sz w:val="22"/>
          <w:szCs w:val="22"/>
        </w:rPr>
        <w:t xml:space="preserve"> of the requirements of 6.8.3.2 in RID/ADR on items of equipment and automatic closing function of valves on connections to the vapour phase on tanks for flammable and toxic refrigerated liquefied and liquefied gases</w:t>
      </w:r>
    </w:p>
    <w:p w14:paraId="0AD48488" w14:textId="77777777" w:rsidR="00E06790" w:rsidRPr="0061575C" w:rsidRDefault="00E06790" w:rsidP="00544B93">
      <w:pPr>
        <w:keepLines/>
        <w:tabs>
          <w:tab w:val="left" w:pos="2977"/>
        </w:tabs>
        <w:spacing w:after="120"/>
        <w:ind w:left="2977" w:hanging="1843"/>
      </w:pPr>
      <w:r w:rsidRPr="0061575C">
        <w:rPr>
          <w:i/>
        </w:rPr>
        <w:t>Document:</w:t>
      </w:r>
      <w:r w:rsidRPr="0061575C">
        <w:tab/>
        <w:t>ECE/TRANS/WP.15/AC.1/2021/11 (Netherlands)</w:t>
      </w:r>
    </w:p>
    <w:p w14:paraId="41DF333F" w14:textId="77777777" w:rsidR="00E06790" w:rsidRPr="0061575C" w:rsidRDefault="00E06790" w:rsidP="00544B93">
      <w:pPr>
        <w:keepLines/>
        <w:tabs>
          <w:tab w:val="left" w:pos="2977"/>
        </w:tabs>
        <w:spacing w:after="120"/>
        <w:ind w:left="2977" w:hanging="1843"/>
      </w:pPr>
      <w:r w:rsidRPr="0061575C">
        <w:rPr>
          <w:i/>
        </w:rPr>
        <w:t>Informal document:</w:t>
      </w:r>
      <w:r w:rsidRPr="0061575C">
        <w:tab/>
        <w:t>INF.21 (EIGA)</w:t>
      </w:r>
    </w:p>
    <w:p w14:paraId="5073EF1C" w14:textId="3E83C537" w:rsidR="00E06790" w:rsidRPr="00B655C3" w:rsidRDefault="00E06790" w:rsidP="00236028">
      <w:pPr>
        <w:pStyle w:val="SingleTxtG"/>
      </w:pPr>
      <w:r w:rsidRPr="00B655C3">
        <w:t>16.</w:t>
      </w:r>
      <w:r w:rsidRPr="00B655C3">
        <w:tab/>
        <w:t>Most experts expressed support in principle for the proposals made by the Netherlands. It was also said that refrigerated liquefied hydrogen may require a different approach and that chapter 6.7 should also be addressed. It was proposed to organize an ad-hoc working group dealing with the specific issues. The expert f</w:t>
      </w:r>
      <w:r w:rsidR="0008092D">
        <w:t>rom</w:t>
      </w:r>
      <w:r w:rsidRPr="00B655C3">
        <w:t xml:space="preserve"> the Netherlands agreed that some further improvements are </w:t>
      </w:r>
      <w:proofErr w:type="gramStart"/>
      <w:r w:rsidRPr="00B655C3">
        <w:t>needed, but</w:t>
      </w:r>
      <w:proofErr w:type="gramEnd"/>
      <w:r w:rsidRPr="00B655C3">
        <w:t xml:space="preserve"> stressed that some clarification on the equipment on </w:t>
      </w:r>
      <w:r w:rsidR="0003213C">
        <w:t>liq</w:t>
      </w:r>
      <w:r w:rsidR="00E8720B">
        <w:t>uefied natural gas</w:t>
      </w:r>
      <w:r w:rsidRPr="00B655C3">
        <w:t xml:space="preserve"> should be included in RID/ADR 2023.</w:t>
      </w:r>
    </w:p>
    <w:p w14:paraId="0DEA4BF6" w14:textId="5B9BEC3E" w:rsidR="00E06790" w:rsidRPr="00B655C3" w:rsidRDefault="00E06790" w:rsidP="0061575C">
      <w:pPr>
        <w:snapToGrid w:val="0"/>
        <w:spacing w:before="120" w:after="120"/>
        <w:ind w:left="1134" w:right="1134" w:hanging="1134"/>
        <w:rPr>
          <w:b/>
          <w:bCs/>
          <w:sz w:val="22"/>
          <w:szCs w:val="22"/>
        </w:rPr>
      </w:pPr>
      <w:r w:rsidRPr="00B655C3">
        <w:rPr>
          <w:b/>
          <w:bCs/>
          <w:sz w:val="22"/>
          <w:szCs w:val="22"/>
        </w:rPr>
        <w:t>Item 8:</w:t>
      </w:r>
      <w:r w:rsidR="0061575C">
        <w:rPr>
          <w:b/>
          <w:bCs/>
          <w:sz w:val="22"/>
          <w:szCs w:val="22"/>
        </w:rPr>
        <w:tab/>
      </w:r>
      <w:r w:rsidRPr="006A60CA">
        <w:rPr>
          <w:b/>
        </w:rPr>
        <w:t>Adoption</w:t>
      </w:r>
      <w:r w:rsidRPr="00B655C3">
        <w:rPr>
          <w:b/>
          <w:bCs/>
          <w:sz w:val="22"/>
          <w:szCs w:val="22"/>
        </w:rPr>
        <w:t xml:space="preserve"> of the UN Model Regulations on fibre reinforced plastics portable tanks in RID/ADR</w:t>
      </w:r>
    </w:p>
    <w:p w14:paraId="32444A41" w14:textId="77777777" w:rsidR="00E06790" w:rsidRPr="0061575C" w:rsidRDefault="00E06790" w:rsidP="0061575C">
      <w:pPr>
        <w:keepLines/>
        <w:tabs>
          <w:tab w:val="left" w:pos="2977"/>
        </w:tabs>
        <w:spacing w:after="120"/>
        <w:ind w:left="2977" w:hanging="1843"/>
        <w:rPr>
          <w:bCs/>
        </w:rPr>
      </w:pPr>
      <w:r w:rsidRPr="0061575C">
        <w:rPr>
          <w:bCs/>
          <w:i/>
        </w:rPr>
        <w:t>Informal document:</w:t>
      </w:r>
      <w:r w:rsidRPr="0061575C">
        <w:rPr>
          <w:bCs/>
        </w:rPr>
        <w:tab/>
        <w:t>INF.9 (ITCO)</w:t>
      </w:r>
    </w:p>
    <w:p w14:paraId="6467AF89" w14:textId="4D2C1038" w:rsidR="00E06790" w:rsidRPr="00B655C3" w:rsidRDefault="00E06790" w:rsidP="00236028">
      <w:pPr>
        <w:pStyle w:val="SingleTxtG"/>
      </w:pPr>
      <w:r w:rsidRPr="00B655C3">
        <w:t>17.</w:t>
      </w:r>
      <w:r w:rsidRPr="00B655C3">
        <w:tab/>
        <w:t xml:space="preserve">The Working Group on Tanks was asked to discuss informal document INF.9 from ITCO to prepare for the discussion in plenary. ITCO explained that sufficient resilience had not been proven by the </w:t>
      </w:r>
      <w:r w:rsidR="00937BE0">
        <w:t>i</w:t>
      </w:r>
      <w:r w:rsidRPr="00B655C3">
        <w:t xml:space="preserve">nformal </w:t>
      </w:r>
      <w:r w:rsidR="00937BE0">
        <w:t>w</w:t>
      </w:r>
      <w:r w:rsidRPr="00B655C3">
        <w:t xml:space="preserve">orking </w:t>
      </w:r>
      <w:r w:rsidR="00937BE0">
        <w:t>g</w:t>
      </w:r>
      <w:r w:rsidRPr="00B655C3">
        <w:t xml:space="preserve">roup on Fibre Reinforced Plastics </w:t>
      </w:r>
      <w:r w:rsidR="00937BE0">
        <w:t xml:space="preserve">(FRP) </w:t>
      </w:r>
      <w:r w:rsidRPr="00B655C3">
        <w:t>portable tanks of the Sub-Committee of Experts on the Transport of Dangerous Goods (TDG). The intention was to raise this at the June 2021 session of the TDG. The ITCO paper asked that adoption of the new chapter 6.9 in RID/ADR be deferred until the issue was resolved.</w:t>
      </w:r>
    </w:p>
    <w:p w14:paraId="6092FBC9" w14:textId="4BD8BE99" w:rsidR="00E06790" w:rsidRPr="00B655C3" w:rsidRDefault="00E06790" w:rsidP="00236028">
      <w:pPr>
        <w:pStyle w:val="SingleTxtG"/>
      </w:pPr>
      <w:r w:rsidRPr="00B655C3">
        <w:lastRenderedPageBreak/>
        <w:t>18.</w:t>
      </w:r>
      <w:r w:rsidRPr="00B655C3">
        <w:tab/>
        <w:t xml:space="preserve">The expert of ITCO presented research reported by </w:t>
      </w:r>
      <w:r w:rsidR="007963E8">
        <w:t xml:space="preserve">German Federal Institute </w:t>
      </w:r>
      <w:r w:rsidR="00E7446F">
        <w:t>for Materials Research and Testing (</w:t>
      </w:r>
      <w:r w:rsidRPr="00B655C3">
        <w:t>BAM</w:t>
      </w:r>
      <w:r w:rsidR="00E7446F">
        <w:t>)</w:t>
      </w:r>
      <w:r w:rsidRPr="00B655C3">
        <w:t xml:space="preserve"> which demonstrated that an energy level of 22 kJ was commensurate with a thickness of 6 mm in mild steel, which the ITCO paper considered would be useful in determining the resilience of other materials. Several experts mentioned that minimum wall thickness in metal could not easily be translated into an equivalent thickness in FRP material, as such materials behave differently. The view was expressed that due to the high safety factors for FRP tanks, there would be sufficient thickness to resist external impacts. It was also said by experts that they were confident that FRP tanks were sufficiently strong and expected them to perform better than metal tanks in particular aspects. Whilst the concerns expressed in the ITCO paper were shared by one of the delegations, other delegations who took the floor supported the adoption of chapter 6.9 for FRP portable tanks from the UN Recommendations.</w:t>
      </w:r>
    </w:p>
    <w:p w14:paraId="77752766" w14:textId="458C311F" w:rsidR="00E06790" w:rsidRPr="0061575C" w:rsidRDefault="00E06790" w:rsidP="0061575C">
      <w:pPr>
        <w:snapToGrid w:val="0"/>
        <w:spacing w:before="120" w:after="120"/>
        <w:ind w:left="1134" w:right="1134" w:hanging="1134"/>
        <w:rPr>
          <w:b/>
          <w:bCs/>
          <w:sz w:val="22"/>
          <w:szCs w:val="22"/>
        </w:rPr>
      </w:pPr>
      <w:r w:rsidRPr="0061575C">
        <w:rPr>
          <w:b/>
          <w:bCs/>
          <w:sz w:val="22"/>
          <w:szCs w:val="22"/>
        </w:rPr>
        <w:t>Item 9:</w:t>
      </w:r>
      <w:r w:rsidR="0061575C" w:rsidRPr="0061575C">
        <w:rPr>
          <w:sz w:val="22"/>
          <w:szCs w:val="22"/>
        </w:rPr>
        <w:tab/>
      </w:r>
      <w:r w:rsidRPr="0061575C">
        <w:rPr>
          <w:b/>
          <w:sz w:val="22"/>
          <w:szCs w:val="22"/>
        </w:rPr>
        <w:t>Filling</w:t>
      </w:r>
      <w:r w:rsidRPr="0061575C">
        <w:rPr>
          <w:b/>
          <w:bCs/>
          <w:sz w:val="22"/>
          <w:szCs w:val="22"/>
        </w:rPr>
        <w:t xml:space="preserve"> degree of substances carried at and above 50 °C</w:t>
      </w:r>
    </w:p>
    <w:p w14:paraId="0927EE96" w14:textId="77777777" w:rsidR="00E06790" w:rsidRPr="0061575C" w:rsidRDefault="00E06790" w:rsidP="0061575C">
      <w:pPr>
        <w:keepLines/>
        <w:tabs>
          <w:tab w:val="left" w:pos="2977"/>
        </w:tabs>
        <w:spacing w:after="120"/>
        <w:ind w:left="2977" w:hanging="1843"/>
        <w:rPr>
          <w:bCs/>
        </w:rPr>
      </w:pPr>
      <w:r w:rsidRPr="0061575C">
        <w:rPr>
          <w:bCs/>
          <w:i/>
          <w:iCs/>
        </w:rPr>
        <w:t>Informal document:</w:t>
      </w:r>
      <w:r w:rsidRPr="0061575C">
        <w:rPr>
          <w:bCs/>
        </w:rPr>
        <w:tab/>
        <w:t>INF.12 (Netherlands)</w:t>
      </w:r>
    </w:p>
    <w:p w14:paraId="6CE81091" w14:textId="77777777" w:rsidR="00E06790" w:rsidRPr="00B655C3" w:rsidRDefault="00E06790" w:rsidP="00236028">
      <w:pPr>
        <w:pStyle w:val="SingleTxtG"/>
      </w:pPr>
      <w:r w:rsidRPr="00B655C3">
        <w:t>19.</w:t>
      </w:r>
      <w:r w:rsidRPr="00B655C3">
        <w:tab/>
        <w:t xml:space="preserve">The opinion of the working group was requested on 4.3.2.2.3 concerning the filling degree for substances carried at and above 50 </w:t>
      </w:r>
      <w:r w:rsidRPr="00B655C3">
        <w:rPr>
          <w:b/>
          <w:bCs/>
          <w:sz w:val="22"/>
          <w:szCs w:val="22"/>
        </w:rPr>
        <w:t>°</w:t>
      </w:r>
      <w:r w:rsidRPr="00B655C3">
        <w:t>C.</w:t>
      </w:r>
    </w:p>
    <w:p w14:paraId="5F9B830A" w14:textId="77777777" w:rsidR="00E06790" w:rsidRPr="00B655C3" w:rsidRDefault="00E06790" w:rsidP="00236028">
      <w:pPr>
        <w:pStyle w:val="SingleTxtG"/>
      </w:pPr>
      <w:r w:rsidRPr="00B655C3">
        <w:t>20.</w:t>
      </w:r>
      <w:r w:rsidRPr="00B655C3">
        <w:tab/>
        <w:t>Experts that took the floor confirmed that 4.3.2.2.3 could be improved in line with the provisions of 4.2.1.9.5. It was also said that additional information may be required for cases where the substances are heated above the filling temperature during the journey.</w:t>
      </w:r>
    </w:p>
    <w:p w14:paraId="30DD26CA" w14:textId="77777777" w:rsidR="00E06790" w:rsidRPr="00B655C3" w:rsidRDefault="00E06790" w:rsidP="00E06790">
      <w:pPr>
        <w:ind w:left="1134"/>
      </w:pPr>
      <w:r w:rsidRPr="00B655C3">
        <w:t>21.</w:t>
      </w:r>
      <w:r w:rsidRPr="00B655C3">
        <w:tab/>
        <w:t>The Netherlands was invited to submit an official proposal for a future session.</w:t>
      </w:r>
    </w:p>
    <w:p w14:paraId="363955A9" w14:textId="670E5844" w:rsidR="00E06790" w:rsidRPr="0061575C" w:rsidRDefault="00E06790" w:rsidP="0061575C">
      <w:pPr>
        <w:snapToGrid w:val="0"/>
        <w:spacing w:before="120" w:after="120"/>
        <w:ind w:left="1134" w:right="1134" w:hanging="1134"/>
        <w:rPr>
          <w:b/>
          <w:bCs/>
          <w:sz w:val="22"/>
          <w:szCs w:val="22"/>
        </w:rPr>
      </w:pPr>
      <w:r w:rsidRPr="0061575C">
        <w:rPr>
          <w:b/>
          <w:bCs/>
          <w:sz w:val="22"/>
          <w:szCs w:val="22"/>
        </w:rPr>
        <w:t>Item 10:</w:t>
      </w:r>
      <w:r w:rsidR="0061575C" w:rsidRPr="0061575C">
        <w:rPr>
          <w:b/>
          <w:bCs/>
          <w:sz w:val="22"/>
          <w:szCs w:val="22"/>
        </w:rPr>
        <w:tab/>
      </w:r>
      <w:r w:rsidRPr="0061575C">
        <w:rPr>
          <w:b/>
          <w:sz w:val="22"/>
          <w:szCs w:val="22"/>
        </w:rPr>
        <w:t>Clarification</w:t>
      </w:r>
      <w:r w:rsidRPr="0061575C">
        <w:rPr>
          <w:b/>
          <w:bCs/>
          <w:sz w:val="22"/>
          <w:szCs w:val="22"/>
        </w:rPr>
        <w:t xml:space="preserve"> of the requirements for the application of standards in Chapters 6.2 and 6.8.</w:t>
      </w:r>
    </w:p>
    <w:p w14:paraId="73AC0DDF" w14:textId="77777777" w:rsidR="00E06790" w:rsidRPr="0061575C" w:rsidRDefault="00E06790" w:rsidP="0061575C">
      <w:pPr>
        <w:keepLines/>
        <w:tabs>
          <w:tab w:val="left" w:pos="2977"/>
        </w:tabs>
        <w:spacing w:after="120"/>
        <w:ind w:left="2977" w:hanging="1843"/>
        <w:rPr>
          <w:bCs/>
        </w:rPr>
      </w:pPr>
      <w:r w:rsidRPr="0061575C">
        <w:rPr>
          <w:bCs/>
          <w:i/>
          <w:iCs/>
        </w:rPr>
        <w:t>Informal document:</w:t>
      </w:r>
      <w:r w:rsidRPr="0061575C">
        <w:rPr>
          <w:bCs/>
        </w:rPr>
        <w:tab/>
        <w:t>INF.13 (CEN)</w:t>
      </w:r>
    </w:p>
    <w:p w14:paraId="69580597" w14:textId="59F1384D" w:rsidR="00E06790" w:rsidRPr="00B655C3" w:rsidRDefault="00E06790" w:rsidP="00236028">
      <w:pPr>
        <w:pStyle w:val="SingleTxtG"/>
      </w:pPr>
      <w:r w:rsidRPr="00B655C3">
        <w:t>22.</w:t>
      </w:r>
      <w:r w:rsidRPr="00B655C3">
        <w:tab/>
        <w:t>It was brought to the attention of the Standards Working Group that some of the explanatory texts accompanying the tables in chapters 6.2 and 6.8 could be misinterpreted.</w:t>
      </w:r>
    </w:p>
    <w:p w14:paraId="2B6635A2" w14:textId="14CE7AFA" w:rsidR="00E06790" w:rsidRPr="00B655C3" w:rsidRDefault="00E06790" w:rsidP="00236028">
      <w:pPr>
        <w:pStyle w:val="SingleTxtG"/>
      </w:pPr>
      <w:r w:rsidRPr="00B655C3">
        <w:t>23.</w:t>
      </w:r>
      <w:r w:rsidRPr="00B655C3">
        <w:tab/>
        <w:t xml:space="preserve">The experts that took the floor </w:t>
      </w:r>
      <w:proofErr w:type="gramStart"/>
      <w:r w:rsidRPr="00B655C3">
        <w:t>were of the opinion that</w:t>
      </w:r>
      <w:proofErr w:type="gramEnd"/>
      <w:r w:rsidRPr="00B655C3">
        <w:t xml:space="preserve"> the proposed amendments to 6.2.4.1 and 6.2.4.2 would also be helpful for the equivalent text in </w:t>
      </w:r>
      <w:r w:rsidR="006E3DE2">
        <w:t>c</w:t>
      </w:r>
      <w:r w:rsidRPr="00B655C3">
        <w:t>hapter 6.8. An official document for the next session would be welcomed.</w:t>
      </w:r>
    </w:p>
    <w:p w14:paraId="5F3A6930" w14:textId="701EE0E0" w:rsidR="00E06790" w:rsidRPr="0061575C" w:rsidRDefault="00E06790" w:rsidP="0061575C">
      <w:pPr>
        <w:snapToGrid w:val="0"/>
        <w:spacing w:before="120" w:after="120"/>
        <w:ind w:left="1134" w:right="1134" w:hanging="1134"/>
        <w:rPr>
          <w:b/>
          <w:bCs/>
          <w:sz w:val="22"/>
          <w:szCs w:val="22"/>
        </w:rPr>
      </w:pPr>
      <w:r w:rsidRPr="0061575C">
        <w:rPr>
          <w:b/>
          <w:bCs/>
          <w:sz w:val="22"/>
          <w:szCs w:val="22"/>
        </w:rPr>
        <w:t>Item 11:</w:t>
      </w:r>
      <w:r w:rsidR="0061575C" w:rsidRPr="0061575C">
        <w:rPr>
          <w:b/>
          <w:bCs/>
          <w:sz w:val="22"/>
          <w:szCs w:val="22"/>
        </w:rPr>
        <w:tab/>
      </w:r>
      <w:r w:rsidRPr="0061575C">
        <w:rPr>
          <w:b/>
          <w:sz w:val="22"/>
          <w:szCs w:val="22"/>
        </w:rPr>
        <w:t>Clarification</w:t>
      </w:r>
      <w:r w:rsidRPr="0061575C">
        <w:rPr>
          <w:b/>
          <w:bCs/>
          <w:sz w:val="22"/>
          <w:szCs w:val="22"/>
        </w:rPr>
        <w:t xml:space="preserve"> of the thickness required by partitions and surge-plates in ADR 6.8.2.1.20</w:t>
      </w:r>
    </w:p>
    <w:p w14:paraId="2ABB536B" w14:textId="77777777" w:rsidR="00E06790" w:rsidRPr="0061575C" w:rsidRDefault="00E06790" w:rsidP="0061575C">
      <w:pPr>
        <w:keepLines/>
        <w:tabs>
          <w:tab w:val="left" w:pos="2977"/>
        </w:tabs>
        <w:spacing w:after="120"/>
        <w:ind w:left="2977" w:hanging="1843"/>
        <w:rPr>
          <w:bCs/>
        </w:rPr>
      </w:pPr>
      <w:r w:rsidRPr="0061575C">
        <w:rPr>
          <w:bCs/>
          <w:i/>
          <w:iCs/>
        </w:rPr>
        <w:t>Informal document:</w:t>
      </w:r>
      <w:r w:rsidRPr="0061575C">
        <w:rPr>
          <w:bCs/>
        </w:rPr>
        <w:tab/>
        <w:t>INF.15 (United Kingdom)</w:t>
      </w:r>
    </w:p>
    <w:p w14:paraId="0131E376" w14:textId="77777777" w:rsidR="00E06790" w:rsidRPr="00B655C3" w:rsidRDefault="00E06790" w:rsidP="00236028">
      <w:pPr>
        <w:pStyle w:val="SingleTxtG"/>
      </w:pPr>
      <w:r w:rsidRPr="00B655C3">
        <w:t>24.</w:t>
      </w:r>
      <w:r w:rsidRPr="00B655C3">
        <w:tab/>
        <w:t>It was queried whether partitions and surge-plates in a tank would have to comply with the minimum shell thicknesses if either of the protection measures of ADR 6.8.2.1.20 (b) 1. are applied. The experts that took the floor agreed that this was only applicable when these partitions or surge-plates were used as strengthening elements. Although this was covered by the first paragraph of 6.8.2.1.20 (b) 1., it was agreed that this may be misinterpreted.</w:t>
      </w:r>
    </w:p>
    <w:p w14:paraId="1A12CF67" w14:textId="77777777" w:rsidR="00E06790" w:rsidRPr="00B655C3" w:rsidRDefault="00E06790" w:rsidP="00236028">
      <w:pPr>
        <w:pStyle w:val="SingleTxtG"/>
      </w:pPr>
      <w:r w:rsidRPr="00B655C3">
        <w:t>25.</w:t>
      </w:r>
      <w:r w:rsidRPr="00B655C3">
        <w:tab/>
        <w:t>The following suggestions for improvement were made by the working group:</w:t>
      </w:r>
    </w:p>
    <w:p w14:paraId="6F9D71C1" w14:textId="77777777" w:rsidR="00E06790" w:rsidRPr="00B655C3" w:rsidRDefault="00E06790" w:rsidP="003B595B">
      <w:pPr>
        <w:tabs>
          <w:tab w:val="left" w:pos="1701"/>
        </w:tabs>
        <w:spacing w:after="120"/>
        <w:ind w:left="1701" w:hanging="567"/>
      </w:pPr>
      <w:r w:rsidRPr="00B655C3">
        <w:t>Option 1; introduce a note after the last paragraph of 6.8.2.1.20 (b) 1. to read:</w:t>
      </w:r>
    </w:p>
    <w:p w14:paraId="0621F75F" w14:textId="214EB59E" w:rsidR="00E06790" w:rsidRPr="00B655C3" w:rsidRDefault="00D37159" w:rsidP="003B595B">
      <w:pPr>
        <w:tabs>
          <w:tab w:val="left" w:pos="1701"/>
        </w:tabs>
        <w:spacing w:after="120"/>
        <w:ind w:left="1701" w:right="1134" w:hanging="567"/>
        <w:jc w:val="both"/>
        <w:rPr>
          <w:i/>
          <w:iCs/>
        </w:rPr>
      </w:pPr>
      <w:r>
        <w:rPr>
          <w:i/>
          <w:iCs/>
        </w:rPr>
        <w:tab/>
      </w:r>
      <w:r w:rsidR="00A1608E" w:rsidRPr="00B655C3">
        <w:rPr>
          <w:i/>
          <w:iCs/>
        </w:rPr>
        <w:t>“</w:t>
      </w:r>
      <w:r w:rsidR="00E06790" w:rsidRPr="00B655C3">
        <w:rPr>
          <w:i/>
          <w:iCs/>
        </w:rPr>
        <w:t>N</w:t>
      </w:r>
      <w:r w:rsidR="002C133B">
        <w:rPr>
          <w:i/>
          <w:iCs/>
        </w:rPr>
        <w:t>OTE</w:t>
      </w:r>
      <w:r w:rsidR="00E06790" w:rsidRPr="00B655C3">
        <w:rPr>
          <w:i/>
          <w:iCs/>
        </w:rPr>
        <w:t>: partitions and surge-plates that are not used as strengthening elements need not comply with these thickness requirements.</w:t>
      </w:r>
      <w:r w:rsidR="00A1608E" w:rsidRPr="00B655C3">
        <w:rPr>
          <w:i/>
          <w:iCs/>
        </w:rPr>
        <w:t>”</w:t>
      </w:r>
    </w:p>
    <w:p w14:paraId="20DD3930" w14:textId="77777777" w:rsidR="00E06790" w:rsidRPr="00B655C3" w:rsidRDefault="00E06790" w:rsidP="003B595B">
      <w:pPr>
        <w:tabs>
          <w:tab w:val="left" w:pos="1701"/>
        </w:tabs>
        <w:spacing w:after="120"/>
        <w:ind w:left="1701" w:right="1134" w:hanging="567"/>
      </w:pPr>
      <w:r w:rsidRPr="00B655C3">
        <w:t>Option 2; amend the last paragraph of 6.8.2.1.20 (b) 1. to read (new wording underlined):</w:t>
      </w:r>
    </w:p>
    <w:p w14:paraId="61E7A6CD" w14:textId="6B13AFEA" w:rsidR="00E06790" w:rsidRPr="00475C1B" w:rsidRDefault="00D52B76" w:rsidP="003B595B">
      <w:pPr>
        <w:tabs>
          <w:tab w:val="left" w:pos="1701"/>
        </w:tabs>
        <w:spacing w:after="120"/>
        <w:ind w:left="1701" w:right="1134" w:hanging="567"/>
        <w:jc w:val="both"/>
      </w:pPr>
      <w:r>
        <w:rPr>
          <w:i/>
          <w:iCs/>
        </w:rPr>
        <w:tab/>
      </w:r>
      <w:r w:rsidR="00A1608E" w:rsidRPr="00475C1B">
        <w:t>“</w:t>
      </w:r>
      <w:r w:rsidR="00E06790" w:rsidRPr="00475C1B">
        <w:t xml:space="preserve">The thickness of the partitions and surge-plates </w:t>
      </w:r>
      <w:r w:rsidR="00E06790" w:rsidRPr="00475C1B">
        <w:rPr>
          <w:u w:val="single"/>
        </w:rPr>
        <w:t xml:space="preserve">that are used as strengthening elements </w:t>
      </w:r>
      <w:r w:rsidR="00E06790" w:rsidRPr="00475C1B">
        <w:t>shall in no case be less than that of the shell.</w:t>
      </w:r>
      <w:r w:rsidR="00A1608E" w:rsidRPr="00475C1B">
        <w:t>”</w:t>
      </w:r>
    </w:p>
    <w:p w14:paraId="30334CCC" w14:textId="0391669C" w:rsidR="00E06790" w:rsidRPr="00E63157" w:rsidRDefault="00E06790" w:rsidP="00BF2D6E">
      <w:pPr>
        <w:spacing w:after="120"/>
        <w:ind w:left="1134" w:right="1134"/>
        <w:jc w:val="both"/>
      </w:pPr>
      <w:r w:rsidRPr="00B655C3">
        <w:t xml:space="preserve">It was also found that in the English version of the first paragraph of 6.8.2.1.20 (b) 1., the use of the words </w:t>
      </w:r>
      <w:r w:rsidRPr="00E63157">
        <w:t xml:space="preserve">“strengthening members” was not consistent and should be amended to read “strengthening </w:t>
      </w:r>
      <w:r w:rsidRPr="00A96F59">
        <w:rPr>
          <w:u w:val="single"/>
        </w:rPr>
        <w:t>elements</w:t>
      </w:r>
      <w:r w:rsidRPr="00E63157">
        <w:t>”.</w:t>
      </w:r>
    </w:p>
    <w:p w14:paraId="53A6D034" w14:textId="58F0DB86" w:rsidR="00E06790" w:rsidRPr="00B655C3" w:rsidRDefault="00E06790" w:rsidP="00236028">
      <w:pPr>
        <w:pStyle w:val="SingleTxtG"/>
      </w:pPr>
      <w:r w:rsidRPr="00B655C3">
        <w:t>26.</w:t>
      </w:r>
      <w:r w:rsidRPr="00B655C3">
        <w:tab/>
        <w:t xml:space="preserve">It was decided that these options would require careful consideration and the </w:t>
      </w:r>
      <w:r w:rsidR="00AF7485">
        <w:t>W</w:t>
      </w:r>
      <w:r w:rsidRPr="00B655C3">
        <w:t xml:space="preserve">orking </w:t>
      </w:r>
      <w:r w:rsidR="00AF7485">
        <w:t>G</w:t>
      </w:r>
      <w:r w:rsidRPr="00B655C3">
        <w:t xml:space="preserve">roup </w:t>
      </w:r>
      <w:r w:rsidR="0054349F">
        <w:t xml:space="preserve">on Tanks </w:t>
      </w:r>
      <w:r w:rsidRPr="00B655C3">
        <w:t>decided to revisit the subject at the next session.</w:t>
      </w:r>
    </w:p>
    <w:p w14:paraId="09024AAB" w14:textId="58ACF8EC" w:rsidR="00E06790" w:rsidRPr="0061575C" w:rsidRDefault="00E06790" w:rsidP="0061575C">
      <w:pPr>
        <w:snapToGrid w:val="0"/>
        <w:spacing w:before="120" w:after="120"/>
        <w:ind w:left="1134" w:right="1134" w:hanging="1134"/>
        <w:rPr>
          <w:b/>
          <w:bCs/>
          <w:sz w:val="22"/>
          <w:szCs w:val="22"/>
        </w:rPr>
      </w:pPr>
      <w:r w:rsidRPr="0061575C">
        <w:rPr>
          <w:b/>
          <w:sz w:val="22"/>
          <w:szCs w:val="22"/>
        </w:rPr>
        <w:lastRenderedPageBreak/>
        <w:t>Item</w:t>
      </w:r>
      <w:r w:rsidRPr="0061575C">
        <w:rPr>
          <w:b/>
          <w:bCs/>
          <w:sz w:val="22"/>
          <w:szCs w:val="22"/>
        </w:rPr>
        <w:t xml:space="preserve"> 12:</w:t>
      </w:r>
      <w:r w:rsidR="0061575C" w:rsidRPr="0061575C">
        <w:rPr>
          <w:b/>
          <w:bCs/>
          <w:sz w:val="22"/>
          <w:szCs w:val="22"/>
        </w:rPr>
        <w:tab/>
      </w:r>
      <w:r w:rsidRPr="0061575C">
        <w:rPr>
          <w:b/>
          <w:sz w:val="22"/>
          <w:szCs w:val="22"/>
        </w:rPr>
        <w:t>Inspection</w:t>
      </w:r>
      <w:r w:rsidRPr="0061575C">
        <w:rPr>
          <w:b/>
          <w:bCs/>
          <w:sz w:val="22"/>
          <w:szCs w:val="22"/>
        </w:rPr>
        <w:t xml:space="preserve"> of tanks which have missed the timeframe for their scheduled inspections</w:t>
      </w:r>
    </w:p>
    <w:p w14:paraId="215465D1" w14:textId="77777777" w:rsidR="00E06790" w:rsidRPr="0061575C" w:rsidRDefault="00E06790" w:rsidP="0061575C">
      <w:pPr>
        <w:keepLines/>
        <w:tabs>
          <w:tab w:val="left" w:pos="2977"/>
        </w:tabs>
        <w:spacing w:after="120"/>
        <w:ind w:left="2977" w:hanging="1843"/>
        <w:rPr>
          <w:bCs/>
        </w:rPr>
      </w:pPr>
      <w:r w:rsidRPr="0061575C">
        <w:rPr>
          <w:bCs/>
          <w:i/>
          <w:iCs/>
        </w:rPr>
        <w:t>Informal document:</w:t>
      </w:r>
      <w:r w:rsidRPr="0061575C">
        <w:rPr>
          <w:bCs/>
        </w:rPr>
        <w:tab/>
        <w:t>INF.31 (United Kingdom)</w:t>
      </w:r>
    </w:p>
    <w:p w14:paraId="5B2A56DE" w14:textId="77777777" w:rsidR="00E06790" w:rsidRPr="00B655C3" w:rsidRDefault="00E06790" w:rsidP="00236028">
      <w:pPr>
        <w:pStyle w:val="SingleTxtG"/>
      </w:pPr>
      <w:r w:rsidRPr="00B655C3">
        <w:t>27.</w:t>
      </w:r>
      <w:r w:rsidRPr="00B655C3">
        <w:tab/>
        <w:t>The question raised was how to deal with tanks that have missed the inspection that was due to be performed. For portable tanks, 6.7 stipulates that if the tank has missed an intermediate inspection, a periodic inspection should be performed. A similar procedure was suggested in informal document INF.31 for RID/ADR tanks in the sense that if an intermediate inspection has been missed, an exceptional inspection should be performed that would fulfil the requirements of a periodic inspection.</w:t>
      </w:r>
    </w:p>
    <w:p w14:paraId="5665B2AC" w14:textId="34AEB86E" w:rsidR="00E06790" w:rsidRPr="00B655C3" w:rsidRDefault="00E06790" w:rsidP="00236028">
      <w:pPr>
        <w:pStyle w:val="SingleTxtG"/>
      </w:pPr>
      <w:r w:rsidRPr="00B655C3">
        <w:t>28.</w:t>
      </w:r>
      <w:r w:rsidRPr="00B655C3">
        <w:tab/>
        <w:t>Several experts said that no problems had been experienced with tanks being overdue for an inspection. If an intermediate inspection had been missed, a new intermediate inspection would be performed, at the latest, by the date for the next periodic inspection. Whenever a new periodic inspection is performed, the timeline for the periodic inspections is reset.</w:t>
      </w:r>
    </w:p>
    <w:p w14:paraId="6C9FD544" w14:textId="77777777" w:rsidR="00E06790" w:rsidRPr="00B655C3" w:rsidRDefault="00E06790" w:rsidP="00236028">
      <w:pPr>
        <w:pStyle w:val="SingleTxtG"/>
      </w:pPr>
      <w:r w:rsidRPr="00B655C3">
        <w:t>29.</w:t>
      </w:r>
      <w:r w:rsidRPr="00B655C3">
        <w:tab/>
        <w:t>It was mentioned that RID/ADR does not currently contain any indication of how to react if an inspection has been missed and that clarification is needed. The representative of UIP offered to submit a proposal for the next session.</w:t>
      </w:r>
    </w:p>
    <w:p w14:paraId="137EFC74" w14:textId="26BECD97" w:rsidR="00E06790" w:rsidRPr="0061575C" w:rsidRDefault="00E06790" w:rsidP="0061575C">
      <w:pPr>
        <w:snapToGrid w:val="0"/>
        <w:spacing w:before="120" w:after="120"/>
        <w:ind w:left="1134" w:right="1134" w:hanging="1134"/>
        <w:rPr>
          <w:b/>
          <w:bCs/>
          <w:sz w:val="22"/>
          <w:szCs w:val="22"/>
        </w:rPr>
      </w:pPr>
      <w:r w:rsidRPr="0061575C">
        <w:rPr>
          <w:b/>
          <w:bCs/>
          <w:sz w:val="22"/>
          <w:szCs w:val="22"/>
        </w:rPr>
        <w:t>Item 13:</w:t>
      </w:r>
      <w:r w:rsidR="0061575C">
        <w:rPr>
          <w:b/>
          <w:bCs/>
          <w:sz w:val="22"/>
          <w:szCs w:val="22"/>
        </w:rPr>
        <w:tab/>
      </w:r>
      <w:r w:rsidRPr="0061575C">
        <w:rPr>
          <w:b/>
          <w:bCs/>
          <w:sz w:val="22"/>
          <w:szCs w:val="22"/>
        </w:rPr>
        <w:t>Pump/</w:t>
      </w:r>
      <w:r w:rsidRPr="0061575C">
        <w:rPr>
          <w:b/>
          <w:sz w:val="22"/>
          <w:szCs w:val="22"/>
        </w:rPr>
        <w:t>exhauster</w:t>
      </w:r>
      <w:r w:rsidRPr="0061575C">
        <w:rPr>
          <w:b/>
          <w:bCs/>
          <w:sz w:val="22"/>
          <w:szCs w:val="22"/>
        </w:rPr>
        <w:t xml:space="preserve"> unit for vacuum-operated waste tanks</w:t>
      </w:r>
    </w:p>
    <w:p w14:paraId="7E29A4FE" w14:textId="77777777" w:rsidR="00E06790" w:rsidRPr="0061575C" w:rsidRDefault="00E06790" w:rsidP="0061575C">
      <w:pPr>
        <w:keepLines/>
        <w:tabs>
          <w:tab w:val="left" w:pos="2977"/>
        </w:tabs>
        <w:spacing w:after="120"/>
        <w:ind w:left="2977" w:hanging="1843"/>
        <w:rPr>
          <w:bCs/>
        </w:rPr>
      </w:pPr>
      <w:r w:rsidRPr="0061575C">
        <w:rPr>
          <w:bCs/>
          <w:i/>
          <w:iCs/>
        </w:rPr>
        <w:t>Informal document:</w:t>
      </w:r>
      <w:r w:rsidRPr="0061575C">
        <w:rPr>
          <w:bCs/>
        </w:rPr>
        <w:tab/>
        <w:t>INF.35 (France)</w:t>
      </w:r>
    </w:p>
    <w:p w14:paraId="365F35B2" w14:textId="6D5BDBDF" w:rsidR="00E06790" w:rsidRPr="00B655C3" w:rsidRDefault="00E06790" w:rsidP="00236028">
      <w:pPr>
        <w:pStyle w:val="SingleTxtG"/>
      </w:pPr>
      <w:r w:rsidRPr="00B655C3">
        <w:t>30.</w:t>
      </w:r>
      <w:r w:rsidRPr="00B655C3">
        <w:tab/>
        <w:t>In the case of a vacuum-operated waste tank semi-trailer, the pump/exhauster unit may have been placed on the drawing vehicle. Experts at the</w:t>
      </w:r>
      <w:r w:rsidR="006E7CB8">
        <w:t xml:space="preserve"> W</w:t>
      </w:r>
      <w:r w:rsidRPr="00B655C3">
        <w:t xml:space="preserve">orking </w:t>
      </w:r>
      <w:r w:rsidR="006E7CB8">
        <w:t>G</w:t>
      </w:r>
      <w:r w:rsidRPr="00B655C3">
        <w:t xml:space="preserve">roup </w:t>
      </w:r>
      <w:r w:rsidR="006E7CB8">
        <w:t>on T</w:t>
      </w:r>
      <w:r w:rsidR="006E7CB8" w:rsidRPr="00B655C3">
        <w:t>ank</w:t>
      </w:r>
      <w:r w:rsidR="006E7CB8">
        <w:t>s</w:t>
      </w:r>
      <w:r w:rsidR="006E7CB8" w:rsidRPr="00B655C3">
        <w:t xml:space="preserve"> </w:t>
      </w:r>
      <w:r w:rsidRPr="00B655C3">
        <w:t>were asked for their views on how the suitability and inspection of this unit for the tank was checked.</w:t>
      </w:r>
    </w:p>
    <w:p w14:paraId="5C1093BB" w14:textId="697714CE" w:rsidR="00E06790" w:rsidRPr="00B655C3" w:rsidRDefault="00E06790" w:rsidP="00236028">
      <w:pPr>
        <w:pStyle w:val="SingleTxtG"/>
        <w:rPr>
          <w:sz w:val="22"/>
          <w:szCs w:val="22"/>
        </w:rPr>
      </w:pPr>
      <w:r w:rsidRPr="00B655C3">
        <w:t>31.</w:t>
      </w:r>
      <w:r w:rsidRPr="00B655C3">
        <w:tab/>
        <w:t xml:space="preserve">As this document had been submitted rather late, most experts said that they </w:t>
      </w:r>
      <w:r w:rsidR="00BD6F27">
        <w:t>did</w:t>
      </w:r>
      <w:r w:rsidRPr="00B655C3">
        <w:t xml:space="preserve"> not ha</w:t>
      </w:r>
      <w:r w:rsidR="00BD6F27">
        <w:t>ve</w:t>
      </w:r>
      <w:r w:rsidRPr="00B655C3">
        <w:t xml:space="preserve"> an opportunity to take a position. However, some remarks were made that in general, these tractors and semi-trailers belonged to each other and were linked by referencing the other part under item 11 of the ADR certificate of the vehicle. It was concluded that </w:t>
      </w:r>
      <w:r w:rsidR="001701EB" w:rsidRPr="00B655C3">
        <w:t xml:space="preserve">an amendment to 9.7 of ADR may be helpful </w:t>
      </w:r>
      <w:r w:rsidRPr="00B655C3">
        <w:t>to clarify the situation.</w:t>
      </w:r>
    </w:p>
    <w:p w14:paraId="1E748711" w14:textId="77777777" w:rsidR="00FC4ACF" w:rsidRPr="00732FE5" w:rsidRDefault="00FC4ACF" w:rsidP="00FC4ACF">
      <w:pPr>
        <w:pStyle w:val="SingleTxtG"/>
        <w:spacing w:before="240" w:after="0"/>
        <w:jc w:val="center"/>
        <w:rPr>
          <w:u w:val="single"/>
        </w:rPr>
      </w:pPr>
      <w:r w:rsidRPr="00732FE5">
        <w:rPr>
          <w:u w:val="single"/>
        </w:rPr>
        <w:tab/>
      </w:r>
      <w:r w:rsidRPr="00732FE5">
        <w:rPr>
          <w:u w:val="single"/>
        </w:rPr>
        <w:tab/>
      </w:r>
      <w:r w:rsidRPr="00732FE5">
        <w:rPr>
          <w:u w:val="single"/>
        </w:rPr>
        <w:tab/>
      </w:r>
    </w:p>
    <w:p w14:paraId="7E309117" w14:textId="77777777" w:rsidR="001C6663" w:rsidRPr="00732FE5" w:rsidRDefault="001C6663" w:rsidP="0064317F">
      <w:pPr>
        <w:pStyle w:val="H23G"/>
      </w:pPr>
    </w:p>
    <w:sectPr w:rsidR="001C6663" w:rsidRPr="00732FE5" w:rsidSect="002E480D">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9E266" w14:textId="77777777" w:rsidR="00140B0B" w:rsidRDefault="00140B0B"/>
  </w:endnote>
  <w:endnote w:type="continuationSeparator" w:id="0">
    <w:p w14:paraId="5B3CCEAD" w14:textId="77777777" w:rsidR="00140B0B" w:rsidRDefault="00140B0B"/>
  </w:endnote>
  <w:endnote w:type="continuationNotice" w:id="1">
    <w:p w14:paraId="74D64230" w14:textId="77777777" w:rsidR="00140B0B" w:rsidRDefault="00140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8B3A2" w14:textId="63CDC925" w:rsidR="00C91FEC" w:rsidRPr="002E480D" w:rsidRDefault="00C91FEC" w:rsidP="002E480D">
    <w:pPr>
      <w:pStyle w:val="Pieddepage"/>
      <w:tabs>
        <w:tab w:val="right" w:pos="9638"/>
      </w:tabs>
      <w:rPr>
        <w:sz w:val="18"/>
      </w:rPr>
    </w:pPr>
    <w:r w:rsidRPr="002E480D">
      <w:rPr>
        <w:b/>
        <w:sz w:val="18"/>
      </w:rPr>
      <w:fldChar w:fldCharType="begin"/>
    </w:r>
    <w:r w:rsidRPr="002E480D">
      <w:rPr>
        <w:b/>
        <w:sz w:val="18"/>
      </w:rPr>
      <w:instrText xml:space="preserve"> PAGE  \* MERGEFORMAT </w:instrText>
    </w:r>
    <w:r w:rsidRPr="002E480D">
      <w:rPr>
        <w:b/>
        <w:sz w:val="18"/>
      </w:rPr>
      <w:fldChar w:fldCharType="separate"/>
    </w:r>
    <w:r w:rsidR="009E31E5">
      <w:rPr>
        <w:b/>
        <w:noProof/>
        <w:sz w:val="18"/>
      </w:rPr>
      <w:t>2</w:t>
    </w:r>
    <w:r w:rsidRPr="002E480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DCBB2" w14:textId="2AA9BC15" w:rsidR="00C91FEC" w:rsidRPr="002E480D" w:rsidRDefault="00C91FEC" w:rsidP="002E480D">
    <w:pPr>
      <w:pStyle w:val="Pieddepage"/>
      <w:tabs>
        <w:tab w:val="right" w:pos="9638"/>
      </w:tabs>
      <w:rPr>
        <w:b/>
        <w:sz w:val="18"/>
      </w:rPr>
    </w:pPr>
    <w:r>
      <w:tab/>
    </w:r>
    <w:r w:rsidRPr="002E480D">
      <w:rPr>
        <w:b/>
        <w:sz w:val="18"/>
      </w:rPr>
      <w:fldChar w:fldCharType="begin"/>
    </w:r>
    <w:r w:rsidRPr="002E480D">
      <w:rPr>
        <w:b/>
        <w:sz w:val="18"/>
      </w:rPr>
      <w:instrText xml:space="preserve"> PAGE  \* MERGEFORMAT </w:instrText>
    </w:r>
    <w:r w:rsidRPr="002E480D">
      <w:rPr>
        <w:b/>
        <w:sz w:val="18"/>
      </w:rPr>
      <w:fldChar w:fldCharType="separate"/>
    </w:r>
    <w:r w:rsidR="009E31E5">
      <w:rPr>
        <w:b/>
        <w:noProof/>
        <w:sz w:val="18"/>
      </w:rPr>
      <w:t>7</w:t>
    </w:r>
    <w:r w:rsidRPr="002E480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5DA74" w14:textId="77777777" w:rsidR="00140B0B" w:rsidRPr="000B175B" w:rsidRDefault="00140B0B" w:rsidP="000B175B">
      <w:pPr>
        <w:tabs>
          <w:tab w:val="right" w:pos="2155"/>
        </w:tabs>
        <w:spacing w:after="80"/>
        <w:ind w:left="680"/>
        <w:rPr>
          <w:u w:val="single"/>
        </w:rPr>
      </w:pPr>
      <w:r>
        <w:rPr>
          <w:u w:val="single"/>
        </w:rPr>
        <w:tab/>
      </w:r>
    </w:p>
  </w:footnote>
  <w:footnote w:type="continuationSeparator" w:id="0">
    <w:p w14:paraId="40998553" w14:textId="77777777" w:rsidR="00140B0B" w:rsidRPr="00FC68B7" w:rsidRDefault="00140B0B" w:rsidP="00FC68B7">
      <w:pPr>
        <w:tabs>
          <w:tab w:val="left" w:pos="2155"/>
        </w:tabs>
        <w:spacing w:after="80"/>
        <w:ind w:left="680"/>
        <w:rPr>
          <w:u w:val="single"/>
        </w:rPr>
      </w:pPr>
      <w:r>
        <w:rPr>
          <w:u w:val="single"/>
        </w:rPr>
        <w:tab/>
      </w:r>
    </w:p>
  </w:footnote>
  <w:footnote w:type="continuationNotice" w:id="1">
    <w:p w14:paraId="00B61FA5" w14:textId="77777777" w:rsidR="00140B0B" w:rsidRDefault="00140B0B"/>
  </w:footnote>
  <w:footnote w:id="2">
    <w:p w14:paraId="083D4163" w14:textId="3180FE2E" w:rsidR="00C91FEC" w:rsidRPr="0079541D" w:rsidRDefault="00C91FEC" w:rsidP="00FC4ACF">
      <w:pPr>
        <w:pStyle w:val="Notedebasdepage"/>
      </w:pPr>
      <w:r w:rsidRPr="0079541D">
        <w:rPr>
          <w:rStyle w:val="Appelnotedebasdep"/>
        </w:rPr>
        <w:tab/>
      </w:r>
      <w:r w:rsidRPr="0079541D">
        <w:rPr>
          <w:rStyle w:val="Appelnotedebasdep"/>
          <w:sz w:val="20"/>
          <w:vertAlign w:val="baseline"/>
        </w:rPr>
        <w:t>*</w:t>
      </w:r>
      <w:r w:rsidRPr="0079541D">
        <w:rPr>
          <w:rStyle w:val="Appelnotedebasdep"/>
          <w:sz w:val="20"/>
          <w:vertAlign w:val="baseline"/>
        </w:rPr>
        <w:tab/>
      </w:r>
      <w:r w:rsidRPr="0079541D">
        <w:rPr>
          <w:szCs w:val="18"/>
        </w:rPr>
        <w:t>Circulated by the Intergovernmental Organisation for International Carriage by Rail (OTIF) under the symbol OTIF/RID/RC/202</w:t>
      </w:r>
      <w:r w:rsidR="00367CC3">
        <w:rPr>
          <w:szCs w:val="18"/>
        </w:rPr>
        <w:t>1</w:t>
      </w:r>
      <w:r w:rsidRPr="0079541D">
        <w:rPr>
          <w:szCs w:val="18"/>
        </w:rPr>
        <w:t>-A. Unless otherwise indicated, the other documents referred to in this report under the symbol ECE/TRANS/WP.15/AC.1/ followed by the year and a serial number were circulated by OTIF under the symbol OTIF/RID/RC/ followed by the year and the same serial number.</w:t>
      </w:r>
    </w:p>
  </w:footnote>
  <w:footnote w:id="3">
    <w:p w14:paraId="31021702" w14:textId="31FEA12C" w:rsidR="00C91FEC" w:rsidRPr="00DA74B7" w:rsidRDefault="00C91FEC" w:rsidP="00FC4ACF">
      <w:pPr>
        <w:pStyle w:val="Notedebasdepage"/>
      </w:pPr>
      <w:r w:rsidRPr="0079541D">
        <w:rPr>
          <w:rStyle w:val="Appelnotedebasdep"/>
        </w:rPr>
        <w:tab/>
      </w:r>
      <w:r w:rsidRPr="0079541D">
        <w:rPr>
          <w:rStyle w:val="Appelnotedebasdep"/>
          <w:sz w:val="20"/>
          <w:vertAlign w:val="baseline"/>
        </w:rPr>
        <w:t>**</w:t>
      </w:r>
      <w:r w:rsidRPr="0079541D">
        <w:rPr>
          <w:rStyle w:val="Appelnotedebasdep"/>
          <w:sz w:val="20"/>
          <w:vertAlign w:val="baseline"/>
        </w:rPr>
        <w:tab/>
      </w:r>
      <w:r w:rsidRPr="0079541D">
        <w:t>Circulated by the Intergovernmental Organisation for International Carriage by Rail (OTIF) under the symbol OTIF/RID/RC/202</w:t>
      </w:r>
      <w:r w:rsidR="00367CC3">
        <w:t>1</w:t>
      </w:r>
      <w:r w:rsidRPr="0079541D">
        <w:t>-A/Add.1.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A6974" w14:textId="1909E1A6" w:rsidR="00C91FEC" w:rsidRPr="002E480D" w:rsidRDefault="00551DA1">
    <w:pPr>
      <w:pStyle w:val="En-tte"/>
    </w:pPr>
    <w:r>
      <w:fldChar w:fldCharType="begin"/>
    </w:r>
    <w:r>
      <w:instrText xml:space="preserve"> TITLE  \* MERGEFORMAT </w:instrText>
    </w:r>
    <w:r>
      <w:fldChar w:fldCharType="separate"/>
    </w:r>
    <w:r w:rsidR="005613C9">
      <w:t>ECE/TRANS/WP.15/AC.1/1</w:t>
    </w:r>
    <w:r w:rsidR="00FF0393">
      <w:t>60</w:t>
    </w:r>
    <w:r w:rsidR="005613C9">
      <w:t>/Add.1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C51F6" w14:textId="66D4FF6F" w:rsidR="00C91FEC" w:rsidRPr="002E480D" w:rsidRDefault="00551DA1" w:rsidP="002E480D">
    <w:pPr>
      <w:pStyle w:val="En-tte"/>
      <w:jc w:val="right"/>
    </w:pPr>
    <w:r>
      <w:fldChar w:fldCharType="begin"/>
    </w:r>
    <w:r>
      <w:instrText xml:space="preserve"> TITLE  \* MERGEFORMAT </w:instrText>
    </w:r>
    <w:r>
      <w:fldChar w:fldCharType="separate"/>
    </w:r>
    <w:r w:rsidR="005613C9">
      <w:t>ECE/TRANS/WP.15/AC.1/1</w:t>
    </w:r>
    <w:r w:rsidR="00FF0393">
      <w:t>60</w:t>
    </w:r>
    <w:r w:rsidR="005613C9">
      <w:t>/Add.1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D00401"/>
    <w:multiLevelType w:val="hybridMultilevel"/>
    <w:tmpl w:val="B04AA754"/>
    <w:lvl w:ilvl="0" w:tplc="83A48D4C">
      <w:numFmt w:val="bullet"/>
      <w:lvlText w:val="-"/>
      <w:lvlJc w:val="left"/>
      <w:pPr>
        <w:ind w:left="2424" w:hanging="360"/>
      </w:pPr>
      <w:rPr>
        <w:rFonts w:ascii="Times New Roman" w:eastAsia="Times New Roman" w:hAnsi="Times New Roman" w:cs="Times New Roman"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164DA9"/>
    <w:multiLevelType w:val="hybridMultilevel"/>
    <w:tmpl w:val="1AFA5D0A"/>
    <w:lvl w:ilvl="0" w:tplc="E5163CEC">
      <w:start w:val="1"/>
      <w:numFmt w:val="lowerLetter"/>
      <w:lvlText w:val="(%1)"/>
      <w:lvlJc w:val="left"/>
      <w:pPr>
        <w:ind w:left="3338" w:hanging="360"/>
      </w:pPr>
      <w:rPr>
        <w:rFonts w:hint="default"/>
        <w:b w:val="0"/>
        <w:i w:val="0"/>
        <w:u w:val="none"/>
      </w:rPr>
    </w:lvl>
    <w:lvl w:ilvl="1" w:tplc="08090019" w:tentative="1">
      <w:start w:val="1"/>
      <w:numFmt w:val="lowerLetter"/>
      <w:lvlText w:val="%2."/>
      <w:lvlJc w:val="left"/>
      <w:pPr>
        <w:ind w:left="4068" w:hanging="360"/>
      </w:pPr>
    </w:lvl>
    <w:lvl w:ilvl="2" w:tplc="0809001B" w:tentative="1">
      <w:start w:val="1"/>
      <w:numFmt w:val="lowerRoman"/>
      <w:lvlText w:val="%3."/>
      <w:lvlJc w:val="right"/>
      <w:pPr>
        <w:ind w:left="4788" w:hanging="180"/>
      </w:pPr>
    </w:lvl>
    <w:lvl w:ilvl="3" w:tplc="0809000F" w:tentative="1">
      <w:start w:val="1"/>
      <w:numFmt w:val="decimal"/>
      <w:lvlText w:val="%4."/>
      <w:lvlJc w:val="left"/>
      <w:pPr>
        <w:ind w:left="5508" w:hanging="360"/>
      </w:pPr>
    </w:lvl>
    <w:lvl w:ilvl="4" w:tplc="08090019" w:tentative="1">
      <w:start w:val="1"/>
      <w:numFmt w:val="lowerLetter"/>
      <w:lvlText w:val="%5."/>
      <w:lvlJc w:val="left"/>
      <w:pPr>
        <w:ind w:left="6228" w:hanging="360"/>
      </w:pPr>
    </w:lvl>
    <w:lvl w:ilvl="5" w:tplc="0809001B" w:tentative="1">
      <w:start w:val="1"/>
      <w:numFmt w:val="lowerRoman"/>
      <w:lvlText w:val="%6."/>
      <w:lvlJc w:val="right"/>
      <w:pPr>
        <w:ind w:left="6948" w:hanging="180"/>
      </w:pPr>
    </w:lvl>
    <w:lvl w:ilvl="6" w:tplc="0809000F" w:tentative="1">
      <w:start w:val="1"/>
      <w:numFmt w:val="decimal"/>
      <w:lvlText w:val="%7."/>
      <w:lvlJc w:val="left"/>
      <w:pPr>
        <w:ind w:left="7668" w:hanging="360"/>
      </w:pPr>
    </w:lvl>
    <w:lvl w:ilvl="7" w:tplc="08090019" w:tentative="1">
      <w:start w:val="1"/>
      <w:numFmt w:val="lowerLetter"/>
      <w:lvlText w:val="%8."/>
      <w:lvlJc w:val="left"/>
      <w:pPr>
        <w:ind w:left="8388" w:hanging="360"/>
      </w:pPr>
    </w:lvl>
    <w:lvl w:ilvl="8" w:tplc="0809001B" w:tentative="1">
      <w:start w:val="1"/>
      <w:numFmt w:val="lowerRoman"/>
      <w:lvlText w:val="%9."/>
      <w:lvlJc w:val="right"/>
      <w:pPr>
        <w:ind w:left="9108" w:hanging="180"/>
      </w:pPr>
    </w:lvl>
  </w:abstractNum>
  <w:abstractNum w:abstractNumId="14" w15:restartNumberingAfterBreak="0">
    <w:nsid w:val="18E95060"/>
    <w:multiLevelType w:val="hybridMultilevel"/>
    <w:tmpl w:val="8092DBEA"/>
    <w:lvl w:ilvl="0" w:tplc="260ABE98">
      <w:start w:val="31"/>
      <w:numFmt w:val="decimal"/>
      <w:lvlText w:val="%1."/>
      <w:lvlJc w:val="left"/>
      <w:pPr>
        <w:ind w:left="2062"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080290"/>
    <w:multiLevelType w:val="hybridMultilevel"/>
    <w:tmpl w:val="C5BE8D62"/>
    <w:lvl w:ilvl="0" w:tplc="429EF60C">
      <w:start w:val="17"/>
      <w:numFmt w:val="bullet"/>
      <w:lvlText w:val=""/>
      <w:lvlJc w:val="left"/>
      <w:pPr>
        <w:ind w:left="1494" w:hanging="360"/>
      </w:pPr>
      <w:rPr>
        <w:rFonts w:ascii="Symbol" w:eastAsia="Times New Roman" w:hAnsi="Symbol" w:cs="Times New Roman"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9" w15:restartNumberingAfterBreak="0">
    <w:nsid w:val="24D65648"/>
    <w:multiLevelType w:val="hybridMultilevel"/>
    <w:tmpl w:val="DCF8D992"/>
    <w:lvl w:ilvl="0" w:tplc="032284B0">
      <w:start w:val="2"/>
      <w:numFmt w:val="decimal"/>
      <w:lvlText w:val="%1."/>
      <w:lvlJc w:val="left"/>
      <w:pPr>
        <w:ind w:left="1494" w:hanging="360"/>
      </w:pPr>
      <w:rPr>
        <w:rFonts w:hint="default"/>
        <w:b w:val="0"/>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0" w15:restartNumberingAfterBreak="0">
    <w:nsid w:val="28B848C0"/>
    <w:multiLevelType w:val="hybridMultilevel"/>
    <w:tmpl w:val="3CC4B5F4"/>
    <w:lvl w:ilvl="0" w:tplc="C01C66FC">
      <w:start w:val="3"/>
      <w:numFmt w:val="decimal"/>
      <w:lvlText w:val="%1."/>
      <w:lvlJc w:val="left"/>
      <w:pPr>
        <w:ind w:left="1854" w:hanging="360"/>
      </w:pPr>
      <w:rPr>
        <w:rFonts w:hint="default"/>
        <w:b w:val="0"/>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F3001B"/>
    <w:multiLevelType w:val="hybridMultilevel"/>
    <w:tmpl w:val="393E8D9E"/>
    <w:lvl w:ilvl="0" w:tplc="83A48D4C">
      <w:numFmt w:val="bullet"/>
      <w:lvlText w:val="-"/>
      <w:lvlJc w:val="left"/>
      <w:pPr>
        <w:ind w:left="2064" w:hanging="360"/>
      </w:pPr>
      <w:rPr>
        <w:rFonts w:ascii="Times New Roman" w:eastAsia="Times New Roman" w:hAnsi="Times New Roman" w:cs="Times New Roman" w:hint="default"/>
      </w:rPr>
    </w:lvl>
    <w:lvl w:ilvl="1" w:tplc="08090003" w:tentative="1">
      <w:start w:val="1"/>
      <w:numFmt w:val="bullet"/>
      <w:lvlText w:val="o"/>
      <w:lvlJc w:val="left"/>
      <w:pPr>
        <w:ind w:left="2784" w:hanging="360"/>
      </w:pPr>
      <w:rPr>
        <w:rFonts w:ascii="Courier New" w:hAnsi="Courier New" w:cs="Courier New" w:hint="default"/>
      </w:rPr>
    </w:lvl>
    <w:lvl w:ilvl="2" w:tplc="08090005" w:tentative="1">
      <w:start w:val="1"/>
      <w:numFmt w:val="bullet"/>
      <w:lvlText w:val=""/>
      <w:lvlJc w:val="left"/>
      <w:pPr>
        <w:ind w:left="3504" w:hanging="360"/>
      </w:pPr>
      <w:rPr>
        <w:rFonts w:ascii="Wingdings" w:hAnsi="Wingdings" w:hint="default"/>
      </w:rPr>
    </w:lvl>
    <w:lvl w:ilvl="3" w:tplc="08090001" w:tentative="1">
      <w:start w:val="1"/>
      <w:numFmt w:val="bullet"/>
      <w:lvlText w:val=""/>
      <w:lvlJc w:val="left"/>
      <w:pPr>
        <w:ind w:left="4224" w:hanging="360"/>
      </w:pPr>
      <w:rPr>
        <w:rFonts w:ascii="Symbol" w:hAnsi="Symbol" w:hint="default"/>
      </w:rPr>
    </w:lvl>
    <w:lvl w:ilvl="4" w:tplc="08090003" w:tentative="1">
      <w:start w:val="1"/>
      <w:numFmt w:val="bullet"/>
      <w:lvlText w:val="o"/>
      <w:lvlJc w:val="left"/>
      <w:pPr>
        <w:ind w:left="4944" w:hanging="360"/>
      </w:pPr>
      <w:rPr>
        <w:rFonts w:ascii="Courier New" w:hAnsi="Courier New" w:cs="Courier New" w:hint="default"/>
      </w:rPr>
    </w:lvl>
    <w:lvl w:ilvl="5" w:tplc="08090005" w:tentative="1">
      <w:start w:val="1"/>
      <w:numFmt w:val="bullet"/>
      <w:lvlText w:val=""/>
      <w:lvlJc w:val="left"/>
      <w:pPr>
        <w:ind w:left="5664" w:hanging="360"/>
      </w:pPr>
      <w:rPr>
        <w:rFonts w:ascii="Wingdings" w:hAnsi="Wingdings" w:hint="default"/>
      </w:rPr>
    </w:lvl>
    <w:lvl w:ilvl="6" w:tplc="08090001" w:tentative="1">
      <w:start w:val="1"/>
      <w:numFmt w:val="bullet"/>
      <w:lvlText w:val=""/>
      <w:lvlJc w:val="left"/>
      <w:pPr>
        <w:ind w:left="6384" w:hanging="360"/>
      </w:pPr>
      <w:rPr>
        <w:rFonts w:ascii="Symbol" w:hAnsi="Symbol" w:hint="default"/>
      </w:rPr>
    </w:lvl>
    <w:lvl w:ilvl="7" w:tplc="08090003" w:tentative="1">
      <w:start w:val="1"/>
      <w:numFmt w:val="bullet"/>
      <w:lvlText w:val="o"/>
      <w:lvlJc w:val="left"/>
      <w:pPr>
        <w:ind w:left="7104" w:hanging="360"/>
      </w:pPr>
      <w:rPr>
        <w:rFonts w:ascii="Courier New" w:hAnsi="Courier New" w:cs="Courier New" w:hint="default"/>
      </w:rPr>
    </w:lvl>
    <w:lvl w:ilvl="8" w:tplc="08090005" w:tentative="1">
      <w:start w:val="1"/>
      <w:numFmt w:val="bullet"/>
      <w:lvlText w:val=""/>
      <w:lvlJc w:val="left"/>
      <w:pPr>
        <w:ind w:left="7824" w:hanging="360"/>
      </w:pPr>
      <w:rPr>
        <w:rFonts w:ascii="Wingdings" w:hAnsi="Wingdings" w:hint="default"/>
      </w:r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8C20E0"/>
    <w:multiLevelType w:val="hybridMultilevel"/>
    <w:tmpl w:val="5B0424F2"/>
    <w:lvl w:ilvl="0" w:tplc="D32A7BF0">
      <w:start w:val="1"/>
      <w:numFmt w:val="decimal"/>
      <w:lvlText w:val="%1."/>
      <w:lvlJc w:val="left"/>
      <w:pPr>
        <w:ind w:left="1494" w:hanging="360"/>
      </w:pPr>
      <w:rPr>
        <w:rFonts w:hint="default"/>
        <w:b w:val="0"/>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5" w15:restartNumberingAfterBreak="0">
    <w:nsid w:val="440237E3"/>
    <w:multiLevelType w:val="hybridMultilevel"/>
    <w:tmpl w:val="FB384B3A"/>
    <w:lvl w:ilvl="0" w:tplc="886CFA32">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6" w15:restartNumberingAfterBreak="0">
    <w:nsid w:val="4AD8099B"/>
    <w:multiLevelType w:val="hybridMultilevel"/>
    <w:tmpl w:val="7396E6A4"/>
    <w:lvl w:ilvl="0" w:tplc="82CA0E00">
      <w:start w:val="2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F31716"/>
    <w:multiLevelType w:val="hybridMultilevel"/>
    <w:tmpl w:val="0040F474"/>
    <w:lvl w:ilvl="0" w:tplc="08090011">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ACB003A"/>
    <w:multiLevelType w:val="hybridMultilevel"/>
    <w:tmpl w:val="3322ECB0"/>
    <w:lvl w:ilvl="0" w:tplc="315E6656">
      <w:start w:val="2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025CD4"/>
    <w:multiLevelType w:val="hybridMultilevel"/>
    <w:tmpl w:val="53600B66"/>
    <w:lvl w:ilvl="0" w:tplc="B0124408">
      <w:numFmt w:val="bullet"/>
      <w:lvlText w:val="-"/>
      <w:lvlJc w:val="left"/>
      <w:pPr>
        <w:ind w:left="2345" w:hanging="360"/>
      </w:pPr>
      <w:rPr>
        <w:rFonts w:ascii="Times New Roman" w:eastAsia="Times New Roman" w:hAnsi="Times New Roman" w:cs="Times New Roman" w:hint="default"/>
        <w:sz w:val="20"/>
      </w:rPr>
    </w:lvl>
    <w:lvl w:ilvl="1" w:tplc="04130003" w:tentative="1">
      <w:start w:val="1"/>
      <w:numFmt w:val="bullet"/>
      <w:lvlText w:val="o"/>
      <w:lvlJc w:val="left"/>
      <w:pPr>
        <w:ind w:left="3065" w:hanging="360"/>
      </w:pPr>
      <w:rPr>
        <w:rFonts w:ascii="Courier New" w:hAnsi="Courier New" w:cs="Courier New" w:hint="default"/>
      </w:rPr>
    </w:lvl>
    <w:lvl w:ilvl="2" w:tplc="04130005" w:tentative="1">
      <w:start w:val="1"/>
      <w:numFmt w:val="bullet"/>
      <w:lvlText w:val=""/>
      <w:lvlJc w:val="left"/>
      <w:pPr>
        <w:ind w:left="3785" w:hanging="360"/>
      </w:pPr>
      <w:rPr>
        <w:rFonts w:ascii="Wingdings" w:hAnsi="Wingdings" w:hint="default"/>
      </w:rPr>
    </w:lvl>
    <w:lvl w:ilvl="3" w:tplc="04130001" w:tentative="1">
      <w:start w:val="1"/>
      <w:numFmt w:val="bullet"/>
      <w:lvlText w:val=""/>
      <w:lvlJc w:val="left"/>
      <w:pPr>
        <w:ind w:left="4505" w:hanging="360"/>
      </w:pPr>
      <w:rPr>
        <w:rFonts w:ascii="Symbol" w:hAnsi="Symbol" w:hint="default"/>
      </w:rPr>
    </w:lvl>
    <w:lvl w:ilvl="4" w:tplc="04130003" w:tentative="1">
      <w:start w:val="1"/>
      <w:numFmt w:val="bullet"/>
      <w:lvlText w:val="o"/>
      <w:lvlJc w:val="left"/>
      <w:pPr>
        <w:ind w:left="5225" w:hanging="360"/>
      </w:pPr>
      <w:rPr>
        <w:rFonts w:ascii="Courier New" w:hAnsi="Courier New" w:cs="Courier New" w:hint="default"/>
      </w:rPr>
    </w:lvl>
    <w:lvl w:ilvl="5" w:tplc="04130005" w:tentative="1">
      <w:start w:val="1"/>
      <w:numFmt w:val="bullet"/>
      <w:lvlText w:val=""/>
      <w:lvlJc w:val="left"/>
      <w:pPr>
        <w:ind w:left="5945" w:hanging="360"/>
      </w:pPr>
      <w:rPr>
        <w:rFonts w:ascii="Wingdings" w:hAnsi="Wingdings" w:hint="default"/>
      </w:rPr>
    </w:lvl>
    <w:lvl w:ilvl="6" w:tplc="04130001" w:tentative="1">
      <w:start w:val="1"/>
      <w:numFmt w:val="bullet"/>
      <w:lvlText w:val=""/>
      <w:lvlJc w:val="left"/>
      <w:pPr>
        <w:ind w:left="6665" w:hanging="360"/>
      </w:pPr>
      <w:rPr>
        <w:rFonts w:ascii="Symbol" w:hAnsi="Symbol" w:hint="default"/>
      </w:rPr>
    </w:lvl>
    <w:lvl w:ilvl="7" w:tplc="04130003" w:tentative="1">
      <w:start w:val="1"/>
      <w:numFmt w:val="bullet"/>
      <w:lvlText w:val="o"/>
      <w:lvlJc w:val="left"/>
      <w:pPr>
        <w:ind w:left="7385" w:hanging="360"/>
      </w:pPr>
      <w:rPr>
        <w:rFonts w:ascii="Courier New" w:hAnsi="Courier New" w:cs="Courier New" w:hint="default"/>
      </w:rPr>
    </w:lvl>
    <w:lvl w:ilvl="8" w:tplc="04130005" w:tentative="1">
      <w:start w:val="1"/>
      <w:numFmt w:val="bullet"/>
      <w:lvlText w:val=""/>
      <w:lvlJc w:val="left"/>
      <w:pPr>
        <w:ind w:left="8105" w:hanging="360"/>
      </w:pPr>
      <w:rPr>
        <w:rFonts w:ascii="Wingdings" w:hAnsi="Wingdings" w:hint="default"/>
      </w:rPr>
    </w:lvl>
  </w:abstractNum>
  <w:abstractNum w:abstractNumId="32" w15:restartNumberingAfterBreak="0">
    <w:nsid w:val="7E541FC2"/>
    <w:multiLevelType w:val="hybridMultilevel"/>
    <w:tmpl w:val="C7A80214"/>
    <w:lvl w:ilvl="0" w:tplc="1E10D25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1"/>
  </w:num>
  <w:num w:numId="12">
    <w:abstractNumId w:val="17"/>
  </w:num>
  <w:num w:numId="13">
    <w:abstractNumId w:val="10"/>
  </w:num>
  <w:num w:numId="14">
    <w:abstractNumId w:val="15"/>
  </w:num>
  <w:num w:numId="15">
    <w:abstractNumId w:val="23"/>
  </w:num>
  <w:num w:numId="16">
    <w:abstractNumId w:val="16"/>
  </w:num>
  <w:num w:numId="17">
    <w:abstractNumId w:val="27"/>
  </w:num>
  <w:num w:numId="18">
    <w:abstractNumId w:val="28"/>
  </w:num>
  <w:num w:numId="19">
    <w:abstractNumId w:val="12"/>
  </w:num>
  <w:num w:numId="20">
    <w:abstractNumId w:val="12"/>
  </w:num>
  <w:num w:numId="21">
    <w:abstractNumId w:val="31"/>
  </w:num>
  <w:num w:numId="22">
    <w:abstractNumId w:val="24"/>
  </w:num>
  <w:num w:numId="23">
    <w:abstractNumId w:val="19"/>
  </w:num>
  <w:num w:numId="24">
    <w:abstractNumId w:val="20"/>
  </w:num>
  <w:num w:numId="25">
    <w:abstractNumId w:val="29"/>
  </w:num>
  <w:num w:numId="26">
    <w:abstractNumId w:val="30"/>
  </w:num>
  <w:num w:numId="27">
    <w:abstractNumId w:val="26"/>
  </w:num>
  <w:num w:numId="28">
    <w:abstractNumId w:val="14"/>
  </w:num>
  <w:num w:numId="29">
    <w:abstractNumId w:val="11"/>
  </w:num>
  <w:num w:numId="30">
    <w:abstractNumId w:val="22"/>
  </w:num>
  <w:num w:numId="31">
    <w:abstractNumId w:val="32"/>
  </w:num>
  <w:num w:numId="32">
    <w:abstractNumId w:val="18"/>
  </w:num>
  <w:num w:numId="33">
    <w:abstractNumId w:val="25"/>
  </w:num>
  <w:num w:numId="3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6" w:nlCheck="1" w:checkStyle="0"/>
  <w:activeWritingStyle w:appName="MSWord" w:lang="en-US"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0D"/>
    <w:rsid w:val="00002A7D"/>
    <w:rsid w:val="000038A8"/>
    <w:rsid w:val="00006790"/>
    <w:rsid w:val="00010940"/>
    <w:rsid w:val="00021018"/>
    <w:rsid w:val="00027624"/>
    <w:rsid w:val="00031988"/>
    <w:rsid w:val="0003213C"/>
    <w:rsid w:val="00046618"/>
    <w:rsid w:val="00050F6B"/>
    <w:rsid w:val="00056C1C"/>
    <w:rsid w:val="00062D40"/>
    <w:rsid w:val="000678CD"/>
    <w:rsid w:val="00072C8C"/>
    <w:rsid w:val="00080072"/>
    <w:rsid w:val="0008092D"/>
    <w:rsid w:val="00081CE0"/>
    <w:rsid w:val="00084D30"/>
    <w:rsid w:val="00090320"/>
    <w:rsid w:val="000931C0"/>
    <w:rsid w:val="0009732C"/>
    <w:rsid w:val="000A01F9"/>
    <w:rsid w:val="000A2E09"/>
    <w:rsid w:val="000A332D"/>
    <w:rsid w:val="000B175B"/>
    <w:rsid w:val="000B3A0F"/>
    <w:rsid w:val="000B6279"/>
    <w:rsid w:val="000D0715"/>
    <w:rsid w:val="000E0415"/>
    <w:rsid w:val="000F7715"/>
    <w:rsid w:val="00103557"/>
    <w:rsid w:val="001335F1"/>
    <w:rsid w:val="00140B0B"/>
    <w:rsid w:val="00156B99"/>
    <w:rsid w:val="00161CF3"/>
    <w:rsid w:val="00166124"/>
    <w:rsid w:val="001701EB"/>
    <w:rsid w:val="00172A98"/>
    <w:rsid w:val="00184DDA"/>
    <w:rsid w:val="001900CD"/>
    <w:rsid w:val="001A0452"/>
    <w:rsid w:val="001B4B04"/>
    <w:rsid w:val="001B5875"/>
    <w:rsid w:val="001C4B9C"/>
    <w:rsid w:val="001C6663"/>
    <w:rsid w:val="001C7895"/>
    <w:rsid w:val="001D26DF"/>
    <w:rsid w:val="001E6A05"/>
    <w:rsid w:val="001E7C6E"/>
    <w:rsid w:val="001F1599"/>
    <w:rsid w:val="001F19C4"/>
    <w:rsid w:val="001F1F74"/>
    <w:rsid w:val="001F7C6B"/>
    <w:rsid w:val="002043F0"/>
    <w:rsid w:val="00211E0B"/>
    <w:rsid w:val="00232575"/>
    <w:rsid w:val="00235029"/>
    <w:rsid w:val="00236028"/>
    <w:rsid w:val="00245407"/>
    <w:rsid w:val="00247258"/>
    <w:rsid w:val="00257CAC"/>
    <w:rsid w:val="00260B30"/>
    <w:rsid w:val="00262A6E"/>
    <w:rsid w:val="00264441"/>
    <w:rsid w:val="0027237A"/>
    <w:rsid w:val="002776AD"/>
    <w:rsid w:val="002974E9"/>
    <w:rsid w:val="002A08B3"/>
    <w:rsid w:val="002A7F94"/>
    <w:rsid w:val="002B109A"/>
    <w:rsid w:val="002B3CB8"/>
    <w:rsid w:val="002C133B"/>
    <w:rsid w:val="002C6D45"/>
    <w:rsid w:val="002D6E53"/>
    <w:rsid w:val="002E3B74"/>
    <w:rsid w:val="002E480D"/>
    <w:rsid w:val="002F046D"/>
    <w:rsid w:val="002F3023"/>
    <w:rsid w:val="002F483A"/>
    <w:rsid w:val="00301764"/>
    <w:rsid w:val="00303F95"/>
    <w:rsid w:val="003229D8"/>
    <w:rsid w:val="003250A9"/>
    <w:rsid w:val="00336C97"/>
    <w:rsid w:val="003373D6"/>
    <w:rsid w:val="00337F88"/>
    <w:rsid w:val="00342432"/>
    <w:rsid w:val="0035223F"/>
    <w:rsid w:val="00352D4B"/>
    <w:rsid w:val="0035638C"/>
    <w:rsid w:val="00367CC3"/>
    <w:rsid w:val="003A46BB"/>
    <w:rsid w:val="003A4EC7"/>
    <w:rsid w:val="003A7295"/>
    <w:rsid w:val="003B1F60"/>
    <w:rsid w:val="003B595B"/>
    <w:rsid w:val="003C2582"/>
    <w:rsid w:val="003C2CC4"/>
    <w:rsid w:val="003D4B23"/>
    <w:rsid w:val="003D7E94"/>
    <w:rsid w:val="003E278A"/>
    <w:rsid w:val="00403350"/>
    <w:rsid w:val="00413520"/>
    <w:rsid w:val="004139C4"/>
    <w:rsid w:val="0042590B"/>
    <w:rsid w:val="004325CB"/>
    <w:rsid w:val="00440A07"/>
    <w:rsid w:val="00443256"/>
    <w:rsid w:val="00462880"/>
    <w:rsid w:val="00475C1B"/>
    <w:rsid w:val="00476F24"/>
    <w:rsid w:val="00497BC5"/>
    <w:rsid w:val="004A7C87"/>
    <w:rsid w:val="004C55B0"/>
    <w:rsid w:val="004F2822"/>
    <w:rsid w:val="004F6BA0"/>
    <w:rsid w:val="00503BEA"/>
    <w:rsid w:val="00513005"/>
    <w:rsid w:val="00533616"/>
    <w:rsid w:val="00535ABA"/>
    <w:rsid w:val="005367E9"/>
    <w:rsid w:val="0053768B"/>
    <w:rsid w:val="00541E11"/>
    <w:rsid w:val="005420F2"/>
    <w:rsid w:val="0054285C"/>
    <w:rsid w:val="0054349F"/>
    <w:rsid w:val="00544B93"/>
    <w:rsid w:val="00545418"/>
    <w:rsid w:val="00551DA1"/>
    <w:rsid w:val="005560A8"/>
    <w:rsid w:val="005613C9"/>
    <w:rsid w:val="00563FB9"/>
    <w:rsid w:val="00570F7B"/>
    <w:rsid w:val="005716A4"/>
    <w:rsid w:val="00584173"/>
    <w:rsid w:val="0059056B"/>
    <w:rsid w:val="00595520"/>
    <w:rsid w:val="005A0C69"/>
    <w:rsid w:val="005A44B9"/>
    <w:rsid w:val="005B1BA0"/>
    <w:rsid w:val="005B2468"/>
    <w:rsid w:val="005B3DB3"/>
    <w:rsid w:val="005D15CA"/>
    <w:rsid w:val="005D38E4"/>
    <w:rsid w:val="005D7969"/>
    <w:rsid w:val="005E18C8"/>
    <w:rsid w:val="005E2688"/>
    <w:rsid w:val="005E32A3"/>
    <w:rsid w:val="005F08DF"/>
    <w:rsid w:val="005F3066"/>
    <w:rsid w:val="005F3E61"/>
    <w:rsid w:val="0060043A"/>
    <w:rsid w:val="006010A5"/>
    <w:rsid w:val="006039AC"/>
    <w:rsid w:val="00604DDD"/>
    <w:rsid w:val="006115CC"/>
    <w:rsid w:val="00611FC4"/>
    <w:rsid w:val="00612687"/>
    <w:rsid w:val="0061575C"/>
    <w:rsid w:val="006176FB"/>
    <w:rsid w:val="00630FCB"/>
    <w:rsid w:val="00640B26"/>
    <w:rsid w:val="0064201E"/>
    <w:rsid w:val="006430B2"/>
    <w:rsid w:val="0064317F"/>
    <w:rsid w:val="0065766B"/>
    <w:rsid w:val="00661049"/>
    <w:rsid w:val="006655A0"/>
    <w:rsid w:val="006716F4"/>
    <w:rsid w:val="00672B6C"/>
    <w:rsid w:val="006770B2"/>
    <w:rsid w:val="0068010D"/>
    <w:rsid w:val="00686A48"/>
    <w:rsid w:val="006940E1"/>
    <w:rsid w:val="006A3C72"/>
    <w:rsid w:val="006A60CA"/>
    <w:rsid w:val="006A7392"/>
    <w:rsid w:val="006B03A1"/>
    <w:rsid w:val="006B292B"/>
    <w:rsid w:val="006B67D9"/>
    <w:rsid w:val="006C5535"/>
    <w:rsid w:val="006C6F92"/>
    <w:rsid w:val="006C719B"/>
    <w:rsid w:val="006D0589"/>
    <w:rsid w:val="006E3DE2"/>
    <w:rsid w:val="006E564B"/>
    <w:rsid w:val="006E5DB7"/>
    <w:rsid w:val="006E7154"/>
    <w:rsid w:val="006E7CB8"/>
    <w:rsid w:val="007003CD"/>
    <w:rsid w:val="0070701E"/>
    <w:rsid w:val="00717E47"/>
    <w:rsid w:val="007250F8"/>
    <w:rsid w:val="0072632A"/>
    <w:rsid w:val="00726571"/>
    <w:rsid w:val="00732FE5"/>
    <w:rsid w:val="007358E8"/>
    <w:rsid w:val="00736ECE"/>
    <w:rsid w:val="0074533B"/>
    <w:rsid w:val="00755BF3"/>
    <w:rsid w:val="00756253"/>
    <w:rsid w:val="007643BC"/>
    <w:rsid w:val="00771C8A"/>
    <w:rsid w:val="00780C68"/>
    <w:rsid w:val="0079541D"/>
    <w:rsid w:val="007959FE"/>
    <w:rsid w:val="007963E8"/>
    <w:rsid w:val="007A0CF1"/>
    <w:rsid w:val="007A17DC"/>
    <w:rsid w:val="007A478E"/>
    <w:rsid w:val="007B0FBB"/>
    <w:rsid w:val="007B4CA4"/>
    <w:rsid w:val="007B6BA5"/>
    <w:rsid w:val="007C3390"/>
    <w:rsid w:val="007C42D8"/>
    <w:rsid w:val="007C4F4B"/>
    <w:rsid w:val="007D1B29"/>
    <w:rsid w:val="007D7362"/>
    <w:rsid w:val="007D7FE2"/>
    <w:rsid w:val="007F5CE2"/>
    <w:rsid w:val="007F6611"/>
    <w:rsid w:val="00800522"/>
    <w:rsid w:val="00801AA9"/>
    <w:rsid w:val="00810BAC"/>
    <w:rsid w:val="008175E9"/>
    <w:rsid w:val="008242D7"/>
    <w:rsid w:val="0082577B"/>
    <w:rsid w:val="008272DD"/>
    <w:rsid w:val="00866893"/>
    <w:rsid w:val="00866F02"/>
    <w:rsid w:val="00867D18"/>
    <w:rsid w:val="00871F9A"/>
    <w:rsid w:val="00871FD5"/>
    <w:rsid w:val="00874193"/>
    <w:rsid w:val="0088172E"/>
    <w:rsid w:val="00881EFA"/>
    <w:rsid w:val="008836C8"/>
    <w:rsid w:val="008879CB"/>
    <w:rsid w:val="008918D1"/>
    <w:rsid w:val="00897860"/>
    <w:rsid w:val="008979B1"/>
    <w:rsid w:val="008A291D"/>
    <w:rsid w:val="008A6B25"/>
    <w:rsid w:val="008A6C4F"/>
    <w:rsid w:val="008A77AE"/>
    <w:rsid w:val="008B389E"/>
    <w:rsid w:val="008B39D3"/>
    <w:rsid w:val="008C2086"/>
    <w:rsid w:val="008D0317"/>
    <w:rsid w:val="008D045E"/>
    <w:rsid w:val="008D3F25"/>
    <w:rsid w:val="008D4B42"/>
    <w:rsid w:val="008D4D82"/>
    <w:rsid w:val="008E0E46"/>
    <w:rsid w:val="008E7116"/>
    <w:rsid w:val="008E78CD"/>
    <w:rsid w:val="008F143B"/>
    <w:rsid w:val="008F1C30"/>
    <w:rsid w:val="008F3882"/>
    <w:rsid w:val="008F4B7C"/>
    <w:rsid w:val="00907548"/>
    <w:rsid w:val="009135A6"/>
    <w:rsid w:val="00925359"/>
    <w:rsid w:val="00925373"/>
    <w:rsid w:val="00926E47"/>
    <w:rsid w:val="009351AE"/>
    <w:rsid w:val="00937BE0"/>
    <w:rsid w:val="00947162"/>
    <w:rsid w:val="009478A8"/>
    <w:rsid w:val="0095411A"/>
    <w:rsid w:val="009610D0"/>
    <w:rsid w:val="0096375C"/>
    <w:rsid w:val="009662E6"/>
    <w:rsid w:val="00967561"/>
    <w:rsid w:val="0097095E"/>
    <w:rsid w:val="00974BBF"/>
    <w:rsid w:val="009836EE"/>
    <w:rsid w:val="0098592B"/>
    <w:rsid w:val="00985FC4"/>
    <w:rsid w:val="00987789"/>
    <w:rsid w:val="00990766"/>
    <w:rsid w:val="00991261"/>
    <w:rsid w:val="009964C4"/>
    <w:rsid w:val="009A0C06"/>
    <w:rsid w:val="009A58C5"/>
    <w:rsid w:val="009A7B56"/>
    <w:rsid w:val="009A7B81"/>
    <w:rsid w:val="009D01C0"/>
    <w:rsid w:val="009D404E"/>
    <w:rsid w:val="009D6A08"/>
    <w:rsid w:val="009E0A16"/>
    <w:rsid w:val="009E31E5"/>
    <w:rsid w:val="009E6CB7"/>
    <w:rsid w:val="009E7970"/>
    <w:rsid w:val="009F2EAC"/>
    <w:rsid w:val="009F326F"/>
    <w:rsid w:val="009F57E3"/>
    <w:rsid w:val="00A10F4F"/>
    <w:rsid w:val="00A11067"/>
    <w:rsid w:val="00A120EE"/>
    <w:rsid w:val="00A1608E"/>
    <w:rsid w:val="00A1704A"/>
    <w:rsid w:val="00A22613"/>
    <w:rsid w:val="00A22FBF"/>
    <w:rsid w:val="00A2469F"/>
    <w:rsid w:val="00A275EC"/>
    <w:rsid w:val="00A425EB"/>
    <w:rsid w:val="00A646A2"/>
    <w:rsid w:val="00A719AE"/>
    <w:rsid w:val="00A72F22"/>
    <w:rsid w:val="00A733BC"/>
    <w:rsid w:val="00A748A6"/>
    <w:rsid w:val="00A76A69"/>
    <w:rsid w:val="00A774A1"/>
    <w:rsid w:val="00A77540"/>
    <w:rsid w:val="00A80FA4"/>
    <w:rsid w:val="00A879A4"/>
    <w:rsid w:val="00A96F59"/>
    <w:rsid w:val="00A97A98"/>
    <w:rsid w:val="00AA0FF8"/>
    <w:rsid w:val="00AA134B"/>
    <w:rsid w:val="00AC0F2C"/>
    <w:rsid w:val="00AC0FEA"/>
    <w:rsid w:val="00AC502A"/>
    <w:rsid w:val="00AF58C1"/>
    <w:rsid w:val="00AF7485"/>
    <w:rsid w:val="00B04A3F"/>
    <w:rsid w:val="00B06643"/>
    <w:rsid w:val="00B15055"/>
    <w:rsid w:val="00B20551"/>
    <w:rsid w:val="00B30179"/>
    <w:rsid w:val="00B33FC7"/>
    <w:rsid w:val="00B3428B"/>
    <w:rsid w:val="00B3761E"/>
    <w:rsid w:val="00B37B15"/>
    <w:rsid w:val="00B45403"/>
    <w:rsid w:val="00B45C02"/>
    <w:rsid w:val="00B56D4F"/>
    <w:rsid w:val="00B628E7"/>
    <w:rsid w:val="00B65DEB"/>
    <w:rsid w:val="00B70B63"/>
    <w:rsid w:val="00B72A1E"/>
    <w:rsid w:val="00B81E12"/>
    <w:rsid w:val="00B84766"/>
    <w:rsid w:val="00B93D12"/>
    <w:rsid w:val="00B945B3"/>
    <w:rsid w:val="00BA339B"/>
    <w:rsid w:val="00BB23CC"/>
    <w:rsid w:val="00BB6CE3"/>
    <w:rsid w:val="00BC129E"/>
    <w:rsid w:val="00BC1E7E"/>
    <w:rsid w:val="00BC562E"/>
    <w:rsid w:val="00BC57B3"/>
    <w:rsid w:val="00BC74E9"/>
    <w:rsid w:val="00BD3411"/>
    <w:rsid w:val="00BD3F2E"/>
    <w:rsid w:val="00BD6F27"/>
    <w:rsid w:val="00BE36A9"/>
    <w:rsid w:val="00BE618E"/>
    <w:rsid w:val="00BE7BEC"/>
    <w:rsid w:val="00BE7F47"/>
    <w:rsid w:val="00BF0A5A"/>
    <w:rsid w:val="00BF0CC9"/>
    <w:rsid w:val="00BF0E63"/>
    <w:rsid w:val="00BF12A3"/>
    <w:rsid w:val="00BF16D7"/>
    <w:rsid w:val="00BF2373"/>
    <w:rsid w:val="00BF2D6E"/>
    <w:rsid w:val="00BF76D5"/>
    <w:rsid w:val="00C0294F"/>
    <w:rsid w:val="00C044E2"/>
    <w:rsid w:val="00C048CB"/>
    <w:rsid w:val="00C066F3"/>
    <w:rsid w:val="00C14FB8"/>
    <w:rsid w:val="00C20800"/>
    <w:rsid w:val="00C35008"/>
    <w:rsid w:val="00C408B7"/>
    <w:rsid w:val="00C411EB"/>
    <w:rsid w:val="00C463DD"/>
    <w:rsid w:val="00C73933"/>
    <w:rsid w:val="00C745C3"/>
    <w:rsid w:val="00C91FEC"/>
    <w:rsid w:val="00C93CCB"/>
    <w:rsid w:val="00C978F5"/>
    <w:rsid w:val="00CA24A4"/>
    <w:rsid w:val="00CB348D"/>
    <w:rsid w:val="00CD1CFB"/>
    <w:rsid w:val="00CD46F5"/>
    <w:rsid w:val="00CD66C7"/>
    <w:rsid w:val="00CE4A8F"/>
    <w:rsid w:val="00CE78F6"/>
    <w:rsid w:val="00CF071D"/>
    <w:rsid w:val="00CF79E5"/>
    <w:rsid w:val="00D0123D"/>
    <w:rsid w:val="00D105DD"/>
    <w:rsid w:val="00D154C8"/>
    <w:rsid w:val="00D15B04"/>
    <w:rsid w:val="00D2031B"/>
    <w:rsid w:val="00D256B0"/>
    <w:rsid w:val="00D25FE2"/>
    <w:rsid w:val="00D368BE"/>
    <w:rsid w:val="00D37159"/>
    <w:rsid w:val="00D37DA9"/>
    <w:rsid w:val="00D406A7"/>
    <w:rsid w:val="00D40765"/>
    <w:rsid w:val="00D418D5"/>
    <w:rsid w:val="00D43252"/>
    <w:rsid w:val="00D44D86"/>
    <w:rsid w:val="00D50B7D"/>
    <w:rsid w:val="00D52012"/>
    <w:rsid w:val="00D52B76"/>
    <w:rsid w:val="00D618F5"/>
    <w:rsid w:val="00D704E5"/>
    <w:rsid w:val="00D72727"/>
    <w:rsid w:val="00D978C6"/>
    <w:rsid w:val="00DA0956"/>
    <w:rsid w:val="00DA112D"/>
    <w:rsid w:val="00DA357F"/>
    <w:rsid w:val="00DA3E12"/>
    <w:rsid w:val="00DA74B7"/>
    <w:rsid w:val="00DB558C"/>
    <w:rsid w:val="00DC18AD"/>
    <w:rsid w:val="00DD4A47"/>
    <w:rsid w:val="00DE218C"/>
    <w:rsid w:val="00DE4E9E"/>
    <w:rsid w:val="00DF7CAE"/>
    <w:rsid w:val="00E06790"/>
    <w:rsid w:val="00E11301"/>
    <w:rsid w:val="00E423C0"/>
    <w:rsid w:val="00E60E62"/>
    <w:rsid w:val="00E63157"/>
    <w:rsid w:val="00E6414C"/>
    <w:rsid w:val="00E7260F"/>
    <w:rsid w:val="00E7446F"/>
    <w:rsid w:val="00E8702D"/>
    <w:rsid w:val="00E8720B"/>
    <w:rsid w:val="00E905F4"/>
    <w:rsid w:val="00E916A9"/>
    <w:rsid w:val="00E916DE"/>
    <w:rsid w:val="00E925AD"/>
    <w:rsid w:val="00E96630"/>
    <w:rsid w:val="00EA1296"/>
    <w:rsid w:val="00EA7BE3"/>
    <w:rsid w:val="00ED18DC"/>
    <w:rsid w:val="00ED6201"/>
    <w:rsid w:val="00ED7A2A"/>
    <w:rsid w:val="00EF1D7F"/>
    <w:rsid w:val="00F0137E"/>
    <w:rsid w:val="00F12936"/>
    <w:rsid w:val="00F21786"/>
    <w:rsid w:val="00F3742B"/>
    <w:rsid w:val="00F41364"/>
    <w:rsid w:val="00F41FDB"/>
    <w:rsid w:val="00F465CE"/>
    <w:rsid w:val="00F50596"/>
    <w:rsid w:val="00F51A5A"/>
    <w:rsid w:val="00F56D63"/>
    <w:rsid w:val="00F609A9"/>
    <w:rsid w:val="00F76E3D"/>
    <w:rsid w:val="00F80C99"/>
    <w:rsid w:val="00F867EC"/>
    <w:rsid w:val="00F91B2B"/>
    <w:rsid w:val="00FA34CC"/>
    <w:rsid w:val="00FB0CB4"/>
    <w:rsid w:val="00FC03CD"/>
    <w:rsid w:val="00FC0646"/>
    <w:rsid w:val="00FC4ACF"/>
    <w:rsid w:val="00FC68B7"/>
    <w:rsid w:val="00FC7550"/>
    <w:rsid w:val="00FE6985"/>
    <w:rsid w:val="00FF03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BF4DC4"/>
  <w15:docId w15:val="{709DE110-4381-496B-9887-D8E15EF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CCB"/>
    <w:pPr>
      <w:suppressAutoHyphens/>
      <w:spacing w:line="240" w:lineRule="atLeast"/>
    </w:pPr>
    <w:rPr>
      <w:lang w:val="en-GB"/>
    </w:rPr>
  </w:style>
  <w:style w:type="paragraph" w:styleId="Titre1">
    <w:name w:val="heading 1"/>
    <w:aliases w:val="Table_G"/>
    <w:basedOn w:val="SingleTxtG"/>
    <w:next w:val="SingleTxtG"/>
    <w:link w:val="Titre1Car"/>
    <w:qFormat/>
    <w:rsid w:val="00E925AD"/>
    <w:pPr>
      <w:spacing w:after="0" w:line="240" w:lineRule="auto"/>
      <w:ind w:right="0"/>
      <w:jc w:val="left"/>
      <w:outlineLvl w:val="0"/>
    </w:pPr>
  </w:style>
  <w:style w:type="paragraph" w:styleId="Titre2">
    <w:name w:val="heading 2"/>
    <w:basedOn w:val="Normal"/>
    <w:next w:val="Normal"/>
    <w:link w:val="Titre2Car"/>
    <w:qFormat/>
    <w:rsid w:val="00E925AD"/>
    <w:pPr>
      <w:spacing w:line="240" w:lineRule="auto"/>
      <w:outlineLvl w:val="1"/>
    </w:pPr>
  </w:style>
  <w:style w:type="paragraph" w:styleId="Titre3">
    <w:name w:val="heading 3"/>
    <w:basedOn w:val="Normal"/>
    <w:next w:val="Normal"/>
    <w:link w:val="Titre3Car"/>
    <w:qFormat/>
    <w:rsid w:val="00E925AD"/>
    <w:pPr>
      <w:spacing w:line="240" w:lineRule="auto"/>
      <w:outlineLvl w:val="2"/>
    </w:pPr>
  </w:style>
  <w:style w:type="paragraph" w:styleId="Titre4">
    <w:name w:val="heading 4"/>
    <w:basedOn w:val="Normal"/>
    <w:next w:val="Normal"/>
    <w:link w:val="Titre4Car"/>
    <w:qFormat/>
    <w:rsid w:val="00E925AD"/>
    <w:pPr>
      <w:spacing w:line="240" w:lineRule="auto"/>
      <w:outlineLvl w:val="3"/>
    </w:pPr>
  </w:style>
  <w:style w:type="paragraph" w:styleId="Titre5">
    <w:name w:val="heading 5"/>
    <w:basedOn w:val="Normal"/>
    <w:next w:val="Normal"/>
    <w:link w:val="Titre5Car"/>
    <w:qFormat/>
    <w:rsid w:val="00E925AD"/>
    <w:pPr>
      <w:spacing w:line="240" w:lineRule="auto"/>
      <w:outlineLvl w:val="4"/>
    </w:pPr>
  </w:style>
  <w:style w:type="paragraph" w:styleId="Titre6">
    <w:name w:val="heading 6"/>
    <w:basedOn w:val="Normal"/>
    <w:next w:val="Normal"/>
    <w:link w:val="Titre6Car"/>
    <w:qFormat/>
    <w:rsid w:val="00E925AD"/>
    <w:pPr>
      <w:spacing w:line="240" w:lineRule="auto"/>
      <w:outlineLvl w:val="5"/>
    </w:pPr>
  </w:style>
  <w:style w:type="paragraph" w:styleId="Titre7">
    <w:name w:val="heading 7"/>
    <w:basedOn w:val="Normal"/>
    <w:next w:val="Normal"/>
    <w:link w:val="Titre7Car"/>
    <w:qFormat/>
    <w:rsid w:val="00E925AD"/>
    <w:pPr>
      <w:spacing w:line="240" w:lineRule="auto"/>
      <w:outlineLvl w:val="6"/>
    </w:pPr>
  </w:style>
  <w:style w:type="paragraph" w:styleId="Titre8">
    <w:name w:val="heading 8"/>
    <w:basedOn w:val="Normal"/>
    <w:next w:val="Normal"/>
    <w:link w:val="Titre8Car"/>
    <w:qFormat/>
    <w:rsid w:val="00E925AD"/>
    <w:pPr>
      <w:spacing w:line="240" w:lineRule="auto"/>
      <w:outlineLvl w:val="7"/>
    </w:pPr>
  </w:style>
  <w:style w:type="paragraph" w:styleId="Titre9">
    <w:name w:val="heading 9"/>
    <w:basedOn w:val="Normal"/>
    <w:next w:val="Normal"/>
    <w:link w:val="Titre9Car"/>
    <w:qFormat/>
    <w:rsid w:val="00E925AD"/>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Numrodepage">
    <w:name w:val="page number"/>
    <w:aliases w:val="7_G"/>
    <w:basedOn w:val="Policepardfau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Appeldenotedefin">
    <w:name w:val="endnote reference"/>
    <w:aliases w:val="1_G"/>
    <w:basedOn w:val="Appelnotedebasdep"/>
    <w:qFormat/>
    <w:rsid w:val="00E925AD"/>
    <w:rPr>
      <w:rFonts w:ascii="Times New Roman" w:hAnsi="Times New Roman"/>
      <w:sz w:val="18"/>
      <w:vertAlign w:val="superscript"/>
    </w:rPr>
  </w:style>
  <w:style w:type="character" w:styleId="Appelnotedebasdep">
    <w:name w:val="footnote reference"/>
    <w:aliases w:val="4_G,Footnote Reference/"/>
    <w:basedOn w:val="Policepardfaut"/>
    <w:qFormat/>
    <w:rsid w:val="00E925AD"/>
    <w:rPr>
      <w:rFonts w:ascii="Times New Roman" w:hAnsi="Times New Roman"/>
      <w:sz w:val="18"/>
      <w:vertAlign w:val="superscript"/>
    </w:rPr>
  </w:style>
  <w:style w:type="paragraph" w:styleId="Notedebasdepage">
    <w:name w:val="footnote text"/>
    <w:aliases w:val="5_G,5_GR"/>
    <w:basedOn w:val="Normal"/>
    <w:link w:val="NotedebasdepageC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Notedefin">
    <w:name w:val="endnote text"/>
    <w:aliases w:val="2_G"/>
    <w:basedOn w:val="Notedebasdepage"/>
    <w:link w:val="NotedefinC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Lienhypertexte">
    <w:name w:val="Hyperlink"/>
    <w:basedOn w:val="Policepardfaut"/>
    <w:rsid w:val="008A77AE"/>
    <w:rPr>
      <w:color w:val="0000FF"/>
      <w:u w:val="none"/>
    </w:rPr>
  </w:style>
  <w:style w:type="paragraph" w:styleId="Pieddepage">
    <w:name w:val="footer"/>
    <w:aliases w:val="3_G"/>
    <w:basedOn w:val="Normal"/>
    <w:link w:val="PieddepageCar"/>
    <w:qFormat/>
    <w:rsid w:val="00E925AD"/>
    <w:pPr>
      <w:spacing w:line="240" w:lineRule="auto"/>
    </w:pPr>
    <w:rPr>
      <w:sz w:val="16"/>
    </w:rPr>
  </w:style>
  <w:style w:type="paragraph" w:styleId="En-tte">
    <w:name w:val="header"/>
    <w:aliases w:val="6_G"/>
    <w:basedOn w:val="Normal"/>
    <w:link w:val="En-tteCar"/>
    <w:uiPriority w:val="99"/>
    <w:qFormat/>
    <w:rsid w:val="00E925AD"/>
    <w:pPr>
      <w:pBdr>
        <w:bottom w:val="single" w:sz="4" w:space="4" w:color="auto"/>
      </w:pBdr>
      <w:spacing w:line="240" w:lineRule="auto"/>
    </w:pPr>
    <w:rPr>
      <w:b/>
      <w:sz w:val="18"/>
    </w:rPr>
  </w:style>
  <w:style w:type="table" w:styleId="Grilledutableau">
    <w:name w:val="Table Grid"/>
    <w:basedOn w:val="Tableau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suivivisit">
    <w:name w:val="FollowedHyperlink"/>
    <w:basedOn w:val="Policepardfaut"/>
    <w:rsid w:val="008A77AE"/>
    <w:rPr>
      <w:color w:val="0000FF"/>
      <w:u w:val="none"/>
    </w:rPr>
  </w:style>
  <w:style w:type="paragraph" w:styleId="Textedebulles">
    <w:name w:val="Balloon Text"/>
    <w:basedOn w:val="Normal"/>
    <w:link w:val="TextedebullesCar"/>
    <w:semiHidden/>
    <w:rsid w:val="0065766B"/>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character" w:customStyle="1" w:styleId="NotedebasdepageCar">
    <w:name w:val="Note de bas de page Car"/>
    <w:aliases w:val="5_G Car,5_GR Car"/>
    <w:basedOn w:val="Policepardfaut"/>
    <w:link w:val="Notedebasdepage"/>
    <w:qFormat/>
    <w:rsid w:val="00FC4ACF"/>
    <w:rPr>
      <w:sz w:val="18"/>
      <w:lang w:val="en-GB"/>
    </w:rPr>
  </w:style>
  <w:style w:type="character" w:customStyle="1" w:styleId="HChGChar">
    <w:name w:val="_ H _Ch_G Char"/>
    <w:link w:val="HChG"/>
    <w:qFormat/>
    <w:rsid w:val="00FC4ACF"/>
    <w:rPr>
      <w:b/>
      <w:sz w:val="28"/>
      <w:lang w:val="en-GB"/>
    </w:rPr>
  </w:style>
  <w:style w:type="character" w:customStyle="1" w:styleId="H1GChar">
    <w:name w:val="_ H_1_G Char"/>
    <w:link w:val="H1G"/>
    <w:rsid w:val="00FC4ACF"/>
    <w:rPr>
      <w:b/>
      <w:sz w:val="24"/>
      <w:lang w:val="en-GB"/>
    </w:rPr>
  </w:style>
  <w:style w:type="character" w:customStyle="1" w:styleId="H23GChar">
    <w:name w:val="_ H_2/3_G Char"/>
    <w:link w:val="H23G"/>
    <w:locked/>
    <w:rsid w:val="00FC4ACF"/>
    <w:rPr>
      <w:b/>
      <w:lang w:val="en-GB"/>
    </w:rPr>
  </w:style>
  <w:style w:type="character" w:styleId="Marquedecommentaire">
    <w:name w:val="annotation reference"/>
    <w:basedOn w:val="Policepardfaut"/>
    <w:semiHidden/>
    <w:unhideWhenUsed/>
    <w:rsid w:val="00FC7550"/>
    <w:rPr>
      <w:sz w:val="16"/>
      <w:szCs w:val="16"/>
    </w:rPr>
  </w:style>
  <w:style w:type="paragraph" w:styleId="Commentaire">
    <w:name w:val="annotation text"/>
    <w:basedOn w:val="Normal"/>
    <w:link w:val="CommentaireCar"/>
    <w:semiHidden/>
    <w:unhideWhenUsed/>
    <w:rsid w:val="00FC7550"/>
    <w:pPr>
      <w:spacing w:line="240" w:lineRule="auto"/>
    </w:pPr>
  </w:style>
  <w:style w:type="character" w:customStyle="1" w:styleId="CommentaireCar">
    <w:name w:val="Commentaire Car"/>
    <w:basedOn w:val="Policepardfaut"/>
    <w:link w:val="Commentaire"/>
    <w:semiHidden/>
    <w:rsid w:val="00FC7550"/>
    <w:rPr>
      <w:lang w:val="en-GB"/>
    </w:rPr>
  </w:style>
  <w:style w:type="paragraph" w:styleId="Objetducommentaire">
    <w:name w:val="annotation subject"/>
    <w:basedOn w:val="Commentaire"/>
    <w:next w:val="Commentaire"/>
    <w:link w:val="ObjetducommentaireCar"/>
    <w:semiHidden/>
    <w:unhideWhenUsed/>
    <w:rsid w:val="00FC7550"/>
    <w:rPr>
      <w:b/>
      <w:bCs/>
    </w:rPr>
  </w:style>
  <w:style w:type="character" w:customStyle="1" w:styleId="ObjetducommentaireCar">
    <w:name w:val="Objet du commentaire Car"/>
    <w:basedOn w:val="CommentaireCar"/>
    <w:link w:val="Objetducommentaire"/>
    <w:semiHidden/>
    <w:rsid w:val="00FC7550"/>
    <w:rPr>
      <w:b/>
      <w:bCs/>
      <w:lang w:val="en-GB"/>
    </w:rPr>
  </w:style>
  <w:style w:type="character" w:customStyle="1" w:styleId="Titre1Car">
    <w:name w:val="Titre 1 Car"/>
    <w:aliases w:val="Table_G Car"/>
    <w:basedOn w:val="Policepardfaut"/>
    <w:link w:val="Titre1"/>
    <w:rsid w:val="00E06790"/>
    <w:rPr>
      <w:lang w:val="en-GB"/>
    </w:rPr>
  </w:style>
  <w:style w:type="character" w:customStyle="1" w:styleId="Titre2Car">
    <w:name w:val="Titre 2 Car"/>
    <w:basedOn w:val="Policepardfaut"/>
    <w:link w:val="Titre2"/>
    <w:rsid w:val="00E06790"/>
    <w:rPr>
      <w:lang w:val="en-GB"/>
    </w:rPr>
  </w:style>
  <w:style w:type="character" w:customStyle="1" w:styleId="Titre3Car">
    <w:name w:val="Titre 3 Car"/>
    <w:basedOn w:val="Policepardfaut"/>
    <w:link w:val="Titre3"/>
    <w:rsid w:val="00E06790"/>
    <w:rPr>
      <w:lang w:val="en-GB"/>
    </w:rPr>
  </w:style>
  <w:style w:type="character" w:customStyle="1" w:styleId="Titre4Car">
    <w:name w:val="Titre 4 Car"/>
    <w:basedOn w:val="Policepardfaut"/>
    <w:link w:val="Titre4"/>
    <w:rsid w:val="00E06790"/>
    <w:rPr>
      <w:lang w:val="en-GB"/>
    </w:rPr>
  </w:style>
  <w:style w:type="character" w:customStyle="1" w:styleId="Titre5Car">
    <w:name w:val="Titre 5 Car"/>
    <w:basedOn w:val="Policepardfaut"/>
    <w:link w:val="Titre5"/>
    <w:rsid w:val="00E06790"/>
    <w:rPr>
      <w:lang w:val="en-GB"/>
    </w:rPr>
  </w:style>
  <w:style w:type="character" w:customStyle="1" w:styleId="Titre6Car">
    <w:name w:val="Titre 6 Car"/>
    <w:basedOn w:val="Policepardfaut"/>
    <w:link w:val="Titre6"/>
    <w:rsid w:val="00E06790"/>
    <w:rPr>
      <w:lang w:val="en-GB"/>
    </w:rPr>
  </w:style>
  <w:style w:type="character" w:customStyle="1" w:styleId="Titre7Car">
    <w:name w:val="Titre 7 Car"/>
    <w:basedOn w:val="Policepardfaut"/>
    <w:link w:val="Titre7"/>
    <w:rsid w:val="00E06790"/>
    <w:rPr>
      <w:lang w:val="en-GB"/>
    </w:rPr>
  </w:style>
  <w:style w:type="character" w:customStyle="1" w:styleId="Titre8Car">
    <w:name w:val="Titre 8 Car"/>
    <w:basedOn w:val="Policepardfaut"/>
    <w:link w:val="Titre8"/>
    <w:rsid w:val="00E06790"/>
    <w:rPr>
      <w:lang w:val="en-GB"/>
    </w:rPr>
  </w:style>
  <w:style w:type="character" w:customStyle="1" w:styleId="Titre9Car">
    <w:name w:val="Titre 9 Car"/>
    <w:basedOn w:val="Policepardfaut"/>
    <w:link w:val="Titre9"/>
    <w:rsid w:val="00E06790"/>
    <w:rPr>
      <w:lang w:val="en-GB"/>
    </w:rPr>
  </w:style>
  <w:style w:type="character" w:customStyle="1" w:styleId="NotedefinCar">
    <w:name w:val="Note de fin Car"/>
    <w:aliases w:val="2_G Car"/>
    <w:basedOn w:val="Policepardfaut"/>
    <w:link w:val="Notedefin"/>
    <w:rsid w:val="00E06790"/>
    <w:rPr>
      <w:sz w:val="18"/>
      <w:lang w:val="en-GB"/>
    </w:rPr>
  </w:style>
  <w:style w:type="character" w:customStyle="1" w:styleId="PieddepageCar">
    <w:name w:val="Pied de page Car"/>
    <w:aliases w:val="3_G Car"/>
    <w:basedOn w:val="Policepardfaut"/>
    <w:link w:val="Pieddepage"/>
    <w:rsid w:val="00E06790"/>
    <w:rPr>
      <w:sz w:val="16"/>
      <w:lang w:val="en-GB"/>
    </w:rPr>
  </w:style>
  <w:style w:type="character" w:customStyle="1" w:styleId="En-tteCar">
    <w:name w:val="En-tête Car"/>
    <w:aliases w:val="6_G Car"/>
    <w:basedOn w:val="Policepardfaut"/>
    <w:link w:val="En-tte"/>
    <w:uiPriority w:val="99"/>
    <w:rsid w:val="00E06790"/>
    <w:rPr>
      <w:b/>
      <w:sz w:val="18"/>
      <w:lang w:val="en-GB"/>
    </w:rPr>
  </w:style>
  <w:style w:type="paragraph" w:customStyle="1" w:styleId="ParaNoG">
    <w:name w:val="_ParaNo._G"/>
    <w:basedOn w:val="SingleTxtG"/>
    <w:rsid w:val="00E06790"/>
    <w:pPr>
      <w:tabs>
        <w:tab w:val="num" w:pos="0"/>
      </w:tabs>
      <w:suppressAutoHyphens w:val="0"/>
    </w:pPr>
    <w:rPr>
      <w:rFonts w:eastAsia="MS Mincho"/>
      <w:lang w:eastAsia="ja-JP"/>
    </w:rPr>
  </w:style>
  <w:style w:type="paragraph" w:customStyle="1" w:styleId="Kleurrijkelijst-accent11">
    <w:name w:val="Kleurrijke lijst - accent 11"/>
    <w:basedOn w:val="Normal"/>
    <w:uiPriority w:val="34"/>
    <w:qFormat/>
    <w:rsid w:val="00E06790"/>
    <w:pPr>
      <w:suppressAutoHyphens w:val="0"/>
      <w:spacing w:after="200" w:line="276" w:lineRule="auto"/>
      <w:ind w:left="720"/>
      <w:contextualSpacing/>
    </w:pPr>
    <w:rPr>
      <w:rFonts w:ascii="Calibri" w:eastAsia="Calibri" w:hAnsi="Calibri"/>
      <w:sz w:val="22"/>
      <w:szCs w:val="22"/>
      <w:lang w:val="ro-RO" w:eastAsia="en-US"/>
    </w:rPr>
  </w:style>
  <w:style w:type="paragraph" w:customStyle="1" w:styleId="16">
    <w:name w:val="Заголовок 16"/>
    <w:basedOn w:val="Normal"/>
    <w:uiPriority w:val="99"/>
    <w:rsid w:val="00E06790"/>
    <w:pPr>
      <w:tabs>
        <w:tab w:val="left" w:pos="567"/>
        <w:tab w:val="left" w:pos="1134"/>
        <w:tab w:val="left" w:pos="1418"/>
        <w:tab w:val="left" w:pos="1701"/>
        <w:tab w:val="left" w:pos="2268"/>
        <w:tab w:val="left" w:pos="6237"/>
      </w:tabs>
      <w:suppressAutoHyphens w:val="0"/>
      <w:spacing w:line="288" w:lineRule="auto"/>
      <w:jc w:val="center"/>
    </w:pPr>
    <w:rPr>
      <w:rFonts w:ascii="Arial" w:eastAsia="MS Mincho" w:hAnsi="Arial"/>
      <w:lang w:eastAsia="en-US"/>
    </w:rPr>
  </w:style>
  <w:style w:type="table" w:styleId="Tableausimple2">
    <w:name w:val="Table Simple 2"/>
    <w:basedOn w:val="TableauNormal"/>
    <w:rsid w:val="00E06790"/>
    <w:pPr>
      <w:suppressAutoHyphens/>
      <w:spacing w:line="240" w:lineRule="atLeast"/>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Paragraphedeliste">
    <w:name w:val="List Paragraph"/>
    <w:basedOn w:val="Normal"/>
    <w:uiPriority w:val="34"/>
    <w:qFormat/>
    <w:rsid w:val="00E06790"/>
    <w:pPr>
      <w:suppressAutoHyphens w:val="0"/>
      <w:ind w:left="720"/>
    </w:pPr>
    <w:rPr>
      <w:lang w:eastAsia="en-US"/>
    </w:rPr>
  </w:style>
  <w:style w:type="table" w:customStyle="1" w:styleId="Tabelraster1">
    <w:name w:val="Tabelraster1"/>
    <w:basedOn w:val="TableauNormal"/>
    <w:next w:val="Grilledutableau"/>
    <w:uiPriority w:val="59"/>
    <w:rsid w:val="00E06790"/>
    <w:pPr>
      <w:spacing w:line="240" w:lineRule="atLeas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uiPriority w:val="99"/>
    <w:rsid w:val="00E0679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SimSun"/>
      <w:spacing w:val="4"/>
      <w:w w:val="103"/>
      <w:kern w:val="14"/>
      <w:lang w:eastAsia="zh-CN"/>
    </w:rPr>
  </w:style>
  <w:style w:type="paragraph" w:customStyle="1" w:styleId="Default">
    <w:name w:val="Default"/>
    <w:rsid w:val="00E06790"/>
    <w:pPr>
      <w:autoSpaceDE w:val="0"/>
      <w:autoSpaceDN w:val="0"/>
      <w:adjustRightInd w:val="0"/>
      <w:spacing w:line="240" w:lineRule="atLeast"/>
    </w:pPr>
    <w:rPr>
      <w:rFonts w:ascii="Arial" w:eastAsia="MS Mincho" w:hAnsi="Arial" w:cs="Arial"/>
      <w:color w:val="000000"/>
      <w:sz w:val="24"/>
      <w:szCs w:val="24"/>
      <w:lang w:val="en-GB" w:eastAsia="en-GB"/>
    </w:rPr>
  </w:style>
  <w:style w:type="paragraph" w:styleId="Signaturelectronique">
    <w:name w:val="E-mail Signature"/>
    <w:basedOn w:val="Normal"/>
    <w:link w:val="SignaturelectroniqueCar"/>
    <w:rsid w:val="00E06790"/>
    <w:pPr>
      <w:suppressAutoHyphens w:val="0"/>
    </w:pPr>
    <w:rPr>
      <w:lang w:eastAsia="en-US"/>
    </w:rPr>
  </w:style>
  <w:style w:type="character" w:customStyle="1" w:styleId="SignaturelectroniqueCar">
    <w:name w:val="Signature électronique Car"/>
    <w:basedOn w:val="Policepardfaut"/>
    <w:link w:val="Signaturelectronique"/>
    <w:rsid w:val="00E06790"/>
    <w:rPr>
      <w:lang w:val="en-GB" w:eastAsia="en-US"/>
    </w:rPr>
  </w:style>
  <w:style w:type="table" w:customStyle="1" w:styleId="Tabelraster2">
    <w:name w:val="Tabelraster2"/>
    <w:basedOn w:val="TableauNormal"/>
    <w:next w:val="Grilledutableau"/>
    <w:uiPriority w:val="59"/>
    <w:rsid w:val="00E06790"/>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ZchnZchn">
    <w:name w:val="_ Single Txt_G Zchn Zchn"/>
    <w:rsid w:val="00E06790"/>
    <w:rPr>
      <w:lang w:eastAsia="en-US"/>
    </w:rPr>
  </w:style>
  <w:style w:type="paragraph" w:styleId="NormalWeb">
    <w:name w:val="Normal (Web)"/>
    <w:basedOn w:val="Normal"/>
    <w:uiPriority w:val="99"/>
    <w:unhideWhenUsed/>
    <w:rsid w:val="00E06790"/>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ioChampeau\AppData\Local\Microsoft\Windows\INetCache\Content.MSO\1859BA8C.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BBB19-2519-4C15-9D4C-F1BC12746ED8}">
  <ds:schemaRefs>
    <ds:schemaRef ds:uri="http://schemas.microsoft.com/sharepoint/v3/contenttype/forms"/>
  </ds:schemaRefs>
</ds:datastoreItem>
</file>

<file path=customXml/itemProps2.xml><?xml version="1.0" encoding="utf-8"?>
<ds:datastoreItem xmlns:ds="http://schemas.openxmlformats.org/officeDocument/2006/customXml" ds:itemID="{4D36A4FA-943B-4CB0-BAA4-D30BDC77A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A6248-2348-43C8-BA2C-8C4A1907F38B}">
  <ds:schemaRefs>
    <ds:schemaRef ds:uri="http://schemas.microsoft.com/office/2006/metadata/properties"/>
    <ds:schemaRef ds:uri="http://schemas.microsoft.com/office/infopath/2007/PartnerControls"/>
    <ds:schemaRef ds:uri="4b4a1c0d-4a69-4996-a84a-fc699b9f49de"/>
    <ds:schemaRef ds:uri="http://schemas.microsoft.com/office/2006/documentManagement/types"/>
    <ds:schemaRef ds:uri="http://purl.org/dc/terms/"/>
    <ds:schemaRef ds:uri="http://purl.org/dc/dcmitype/"/>
    <ds:schemaRef ds:uri="acccb6d4-dbe5-46d2-b4d3-5733603d8cc6"/>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E968EC1-995F-4897-ACDD-F1F2D1DA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1859BA8C.dotm</Template>
  <TotalTime>148</TotalTime>
  <Pages>8</Pages>
  <Words>3257</Words>
  <Characters>18569</Characters>
  <Application>Microsoft Office Word</Application>
  <DocSecurity>0</DocSecurity>
  <Lines>154</Lines>
  <Paragraphs>43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ECE/TRANS/WP.15/AC.1/158/Add.1</vt:lpstr>
      <vt:lpstr>ECE/TRANS/WP.15/AC.1/158/Add.1</vt:lpstr>
      <vt:lpstr>ECE/TRANS/WP.15/AC.1/158/Add.1</vt:lpstr>
    </vt:vector>
  </TitlesOfParts>
  <Company>CSD</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ECE/TRANS/WP.15/AC.1/158/Add.1</dc:title>
  <dc:creator>Christine Barrio-Champeau</dc:creator>
  <cp:lastModifiedBy>Romain Hubert</cp:lastModifiedBy>
  <cp:revision>35</cp:revision>
  <cp:lastPrinted>2021-03-29T11:46:00Z</cp:lastPrinted>
  <dcterms:created xsi:type="dcterms:W3CDTF">2021-03-30T17:03:00Z</dcterms:created>
  <dcterms:modified xsi:type="dcterms:W3CDTF">2021-04-19T21:42:00Z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11810600</vt:r8>
  </property>
</Properties>
</file>