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14:paraId="7E763252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AF744" w14:textId="77777777"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CA88C" w14:textId="77777777"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AC938" w14:textId="0786E645" w:rsidR="00B56E9C" w:rsidRPr="008268C5" w:rsidRDefault="00CD57D2" w:rsidP="00F1197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78680F">
              <w:rPr>
                <w:b/>
                <w:sz w:val="28"/>
                <w:szCs w:val="28"/>
              </w:rPr>
              <w:t>3</w:t>
            </w:r>
          </w:p>
        </w:tc>
      </w:tr>
    </w:tbl>
    <w:p w14:paraId="177570D9" w14:textId="77777777"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14:paraId="0F76EE75" w14:textId="77777777"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14:paraId="60A6A5C4" w14:textId="77777777"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14:paraId="743230EF" w14:textId="46B2FA1B"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D416C9">
        <w:rPr>
          <w:b/>
        </w:rPr>
        <w:t>9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D416C9">
        <w:rPr>
          <w:b/>
        </w:rPr>
        <w:t>2</w:t>
      </w:r>
      <w:r w:rsidR="005F1016">
        <w:rPr>
          <w:b/>
        </w:rPr>
        <w:t>7</w:t>
      </w:r>
      <w:r w:rsidR="00C4154F">
        <w:rPr>
          <w:b/>
        </w:rPr>
        <w:t xml:space="preserve"> </w:t>
      </w:r>
      <w:r w:rsidR="00D416C9">
        <w:rPr>
          <w:b/>
        </w:rPr>
        <w:t>January</w:t>
      </w:r>
      <w:r w:rsidR="00511B5C">
        <w:rPr>
          <w:b/>
        </w:rPr>
        <w:t xml:space="preserve"> 20</w:t>
      </w:r>
      <w:r w:rsidR="00D416C9">
        <w:rPr>
          <w:b/>
        </w:rPr>
        <w:t>2</w:t>
      </w:r>
      <w:r w:rsidR="00511B5C">
        <w:rPr>
          <w:b/>
        </w:rPr>
        <w:t>1</w:t>
      </w:r>
    </w:p>
    <w:p w14:paraId="448C2DC5" w14:textId="25B9AF72" w:rsidR="00AB32F7" w:rsidRPr="008268C5" w:rsidRDefault="00AB32F7" w:rsidP="00AB32F7">
      <w:r w:rsidRPr="008268C5">
        <w:t xml:space="preserve">Geneva, </w:t>
      </w:r>
      <w:r w:rsidR="00511B5C">
        <w:t>3</w:t>
      </w:r>
      <w:r w:rsidR="00875C74">
        <w:t>-</w:t>
      </w:r>
      <w:r w:rsidR="00511B5C">
        <w:t>7</w:t>
      </w:r>
      <w:r w:rsidR="00963ABB">
        <w:t xml:space="preserve"> </w:t>
      </w:r>
      <w:r w:rsidR="00511B5C">
        <w:t>May</w:t>
      </w:r>
      <w:r w:rsidRPr="008268C5">
        <w:t xml:space="preserve"> </w:t>
      </w:r>
      <w:r w:rsidR="00D416C9">
        <w:t>2021</w:t>
      </w:r>
    </w:p>
    <w:p w14:paraId="50C4BC9A" w14:textId="77777777" w:rsidR="002F3C64" w:rsidRDefault="002F3C64" w:rsidP="002F3C64">
      <w:r w:rsidRPr="00C373F9">
        <w:t xml:space="preserve">Item </w:t>
      </w:r>
      <w:r w:rsidR="00B240FC" w:rsidRPr="00C373F9">
        <w:t>5(b)</w:t>
      </w:r>
      <w:r w:rsidRPr="00566B2D">
        <w:t xml:space="preserve"> of the provisional agenda</w:t>
      </w:r>
      <w:r w:rsidR="00566B2D">
        <w:t>:</w:t>
      </w:r>
    </w:p>
    <w:p w14:paraId="26843836" w14:textId="77777777" w:rsidR="00B240FC" w:rsidRPr="007D52F1" w:rsidRDefault="00B240FC" w:rsidP="00B240FC">
      <w:pPr>
        <w:rPr>
          <w:b/>
        </w:rPr>
      </w:pPr>
      <w:r w:rsidRPr="007D52F1">
        <w:rPr>
          <w:b/>
        </w:rPr>
        <w:t>Proposals for amendments to annexes A and B of ADR:</w:t>
      </w:r>
    </w:p>
    <w:p w14:paraId="396D4868" w14:textId="77777777" w:rsidR="00B240FC" w:rsidRPr="007D52F1" w:rsidRDefault="00B240FC" w:rsidP="00B240FC">
      <w:pPr>
        <w:rPr>
          <w:b/>
        </w:rPr>
      </w:pPr>
      <w:r>
        <w:rPr>
          <w:b/>
        </w:rPr>
        <w:t>m</w:t>
      </w:r>
      <w:r w:rsidRPr="007D52F1">
        <w:rPr>
          <w:b/>
        </w:rPr>
        <w:t>iscellaneous proposals</w:t>
      </w:r>
    </w:p>
    <w:p w14:paraId="307FA0FD" w14:textId="32F9B378" w:rsidR="00B240FC" w:rsidRPr="00890ED4" w:rsidRDefault="00B240FC" w:rsidP="00B240FC">
      <w:pPr>
        <w:pStyle w:val="HChG"/>
      </w:pPr>
      <w:r>
        <w:tab/>
      </w:r>
      <w:r>
        <w:tab/>
      </w:r>
      <w:r w:rsidR="005F1016">
        <w:t>1.8.5.4 – addition of “MEMU” in the Model for report on occurrences during the carriage of dangerous goods</w:t>
      </w:r>
    </w:p>
    <w:p w14:paraId="2B4FD045" w14:textId="3C4C8BEA" w:rsidR="00B240FC" w:rsidRPr="00890ED4" w:rsidRDefault="00B240FC" w:rsidP="00B240FC">
      <w:pPr>
        <w:pStyle w:val="H1G"/>
      </w:pPr>
      <w:r>
        <w:tab/>
      </w:r>
      <w:r>
        <w:tab/>
      </w:r>
      <w:r w:rsidRPr="00890ED4">
        <w:t>Transmitted by the Government</w:t>
      </w:r>
      <w:r w:rsidR="0025394F">
        <w:t xml:space="preserve"> of</w:t>
      </w:r>
      <w:r w:rsidR="00F11976">
        <w:t xml:space="preserve"> Sweden</w:t>
      </w:r>
    </w:p>
    <w:p w14:paraId="2FF5B00C" w14:textId="77777777" w:rsidR="00B240FC" w:rsidRPr="00890ED4" w:rsidRDefault="00B240FC" w:rsidP="00B240FC">
      <w:pPr>
        <w:pStyle w:val="HChG"/>
      </w:pPr>
      <w:r>
        <w:tab/>
      </w:r>
      <w:r>
        <w:tab/>
      </w:r>
      <w:r w:rsidRPr="00890ED4">
        <w:t>Introduction</w:t>
      </w:r>
    </w:p>
    <w:p w14:paraId="06DD249E" w14:textId="54790FF5" w:rsidR="006B354B" w:rsidRPr="006B354B" w:rsidRDefault="004E2A52" w:rsidP="00E52C72">
      <w:pPr>
        <w:pStyle w:val="SingleTxtG"/>
        <w:snapToGrid w:val="0"/>
        <w:spacing w:before="120" w:line="240" w:lineRule="auto"/>
      </w:pPr>
      <w:r>
        <w:t>Provisions for</w:t>
      </w:r>
      <w:r w:rsidR="00CD732E">
        <w:t xml:space="preserve"> </w:t>
      </w:r>
      <w:r w:rsidR="006B354B" w:rsidRPr="006B354B">
        <w:t>MEMU</w:t>
      </w:r>
      <w:r>
        <w:t>s</w:t>
      </w:r>
      <w:r w:rsidR="006B354B" w:rsidRPr="006B354B">
        <w:t xml:space="preserve"> were introduced in ADR 2009</w:t>
      </w:r>
      <w:r>
        <w:t xml:space="preserve"> and appear in</w:t>
      </w:r>
      <w:r w:rsidR="006B354B" w:rsidRPr="006B354B">
        <w:t xml:space="preserve"> several parts of the regulations</w:t>
      </w:r>
      <w:r w:rsidR="005F1016">
        <w:t>.</w:t>
      </w:r>
      <w:r w:rsidR="006B354B" w:rsidRPr="006B354B">
        <w:t xml:space="preserve"> </w:t>
      </w:r>
      <w:r w:rsidR="005F1016">
        <w:t>MEMU</w:t>
      </w:r>
      <w:r w:rsidR="00AB1FCB">
        <w:t>s</w:t>
      </w:r>
      <w:r w:rsidR="006B354B" w:rsidRPr="006B354B">
        <w:t xml:space="preserve"> </w:t>
      </w:r>
      <w:r w:rsidR="00AB1FCB">
        <w:t>are</w:t>
      </w:r>
      <w:r w:rsidR="00AB1FCB" w:rsidRPr="006B354B">
        <w:t xml:space="preserve"> </w:t>
      </w:r>
      <w:r w:rsidR="006B354B" w:rsidRPr="006B354B">
        <w:t xml:space="preserve">usually </w:t>
      </w:r>
      <w:r w:rsidR="005F1016">
        <w:t>included</w:t>
      </w:r>
      <w:r w:rsidR="005F1016" w:rsidRPr="006B354B">
        <w:t xml:space="preserve"> </w:t>
      </w:r>
      <w:r w:rsidR="004C4F14">
        <w:t>together</w:t>
      </w:r>
      <w:r w:rsidR="006B354B" w:rsidRPr="006B354B">
        <w:t xml:space="preserve"> </w:t>
      </w:r>
      <w:r w:rsidR="004C4F14">
        <w:t xml:space="preserve">with </w:t>
      </w:r>
      <w:r w:rsidR="006B354B" w:rsidRPr="006B354B">
        <w:t>other means of containments</w:t>
      </w:r>
      <w:r w:rsidR="004C4F14">
        <w:t xml:space="preserve"> when these are listed</w:t>
      </w:r>
      <w:r w:rsidR="006B354B" w:rsidRPr="006B354B">
        <w:t>, see for example:</w:t>
      </w:r>
    </w:p>
    <w:p w14:paraId="6CD26968" w14:textId="34DD0059" w:rsidR="006B354B" w:rsidRPr="005F1016" w:rsidRDefault="006B354B" w:rsidP="00E52C72">
      <w:pPr>
        <w:pStyle w:val="BodyText"/>
        <w:snapToGrid w:val="0"/>
        <w:spacing w:before="120" w:after="120" w:line="240" w:lineRule="auto"/>
        <w:ind w:left="567" w:right="1134" w:firstLine="567"/>
        <w:rPr>
          <w:i/>
        </w:rPr>
      </w:pPr>
      <w:r w:rsidRPr="005F1016">
        <w:rPr>
          <w:i/>
        </w:rPr>
        <w:t>5.3</w:t>
      </w:r>
      <w:r w:rsidRPr="005F1016">
        <w:rPr>
          <w:i/>
        </w:rPr>
        <w:tab/>
      </w:r>
      <w:r w:rsidR="005F1016" w:rsidRPr="005F1016">
        <w:rPr>
          <w:i/>
        </w:rPr>
        <w:tab/>
      </w:r>
      <w:r w:rsidRPr="005F1016">
        <w:rPr>
          <w:i/>
        </w:rPr>
        <w:t xml:space="preserve">PLACARDING AND MARKING OF CONTAINERS, BULK </w:t>
      </w:r>
      <w:r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Pr="005F1016">
        <w:rPr>
          <w:i/>
        </w:rPr>
        <w:t>CONTAINERS, MEGCs, MEMUs, TANK-CONTAINERS, PORTABLE</w:t>
      </w:r>
      <w:r w:rsidR="005F1016" w:rsidRPr="005F1016">
        <w:rPr>
          <w:i/>
        </w:rPr>
        <w:t xml:space="preserve"> </w:t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Pr="005F1016">
        <w:rPr>
          <w:i/>
        </w:rPr>
        <w:t>TANKS AND VEHICLES</w:t>
      </w:r>
    </w:p>
    <w:p w14:paraId="5F22BAD5" w14:textId="2A812EFD" w:rsidR="006B354B" w:rsidRPr="005F1016" w:rsidRDefault="006B354B" w:rsidP="00E52C72">
      <w:pPr>
        <w:pStyle w:val="BodyText"/>
        <w:snapToGrid w:val="0"/>
        <w:spacing w:before="120" w:after="120" w:line="240" w:lineRule="auto"/>
        <w:ind w:left="1134" w:right="1134"/>
        <w:rPr>
          <w:i/>
        </w:rPr>
      </w:pPr>
      <w:r w:rsidRPr="005F1016">
        <w:rPr>
          <w:i/>
        </w:rPr>
        <w:t>5.3.1.1.1</w:t>
      </w:r>
      <w:r w:rsidRPr="005F1016">
        <w:rPr>
          <w:i/>
        </w:rPr>
        <w:tab/>
        <w:t xml:space="preserve">As and when required in this section, placards shall be affixed to the </w:t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Pr="005F1016">
        <w:rPr>
          <w:i/>
        </w:rPr>
        <w:t>exterior surface of containers, bulk containers, MEGCs, MEMUs, tank-</w:t>
      </w:r>
      <w:r w:rsidRPr="005F1016">
        <w:rPr>
          <w:i/>
        </w:rPr>
        <w:tab/>
      </w:r>
      <w:r w:rsidR="005F1016" w:rsidRPr="005F1016">
        <w:rPr>
          <w:i/>
        </w:rPr>
        <w:tab/>
      </w:r>
      <w:r w:rsidR="005F1016" w:rsidRPr="005F1016">
        <w:rPr>
          <w:i/>
        </w:rPr>
        <w:tab/>
      </w:r>
      <w:r w:rsidRPr="005F1016">
        <w:rPr>
          <w:i/>
        </w:rPr>
        <w:t>containers, portable tanks and vehicles.</w:t>
      </w:r>
    </w:p>
    <w:p w14:paraId="5266678D" w14:textId="32585079" w:rsidR="006B354B" w:rsidRDefault="006B354B" w:rsidP="00E52C72">
      <w:pPr>
        <w:pStyle w:val="SingleTxtG"/>
        <w:snapToGrid w:val="0"/>
        <w:spacing w:before="120" w:line="240" w:lineRule="auto"/>
      </w:pPr>
      <w:r w:rsidRPr="006B354B">
        <w:t xml:space="preserve">However, </w:t>
      </w:r>
      <w:r w:rsidR="005F1016">
        <w:t>MEMU</w:t>
      </w:r>
      <w:r w:rsidRPr="006B354B">
        <w:t xml:space="preserve"> </w:t>
      </w:r>
      <w:r w:rsidR="00F919FC">
        <w:t>has not been</w:t>
      </w:r>
      <w:r w:rsidR="00AA0A15">
        <w:t xml:space="preserve"> </w:t>
      </w:r>
      <w:r w:rsidRPr="006B354B">
        <w:t xml:space="preserve">acknowledged in </w:t>
      </w:r>
      <w:r w:rsidR="005F1016">
        <w:t xml:space="preserve">sub-section </w:t>
      </w:r>
      <w:r w:rsidRPr="006B354B">
        <w:t>1.8.5.4 in the “</w:t>
      </w:r>
      <w:r w:rsidRPr="00AA0A15">
        <w:rPr>
          <w:i/>
        </w:rPr>
        <w:t>Model for report on occurrences during the carriage of dangerous goods</w:t>
      </w:r>
      <w:r w:rsidRPr="006B354B">
        <w:t xml:space="preserve">”. </w:t>
      </w:r>
      <w:r w:rsidR="005F1016">
        <w:t>Therefore, w</w:t>
      </w:r>
      <w:r w:rsidRPr="006B354B">
        <w:t>e believe the model should complemented with “MEMU” on page 3 under the heading “</w:t>
      </w:r>
      <w:r w:rsidRPr="00AA0A15">
        <w:rPr>
          <w:b/>
          <w:i/>
        </w:rPr>
        <w:t>6.</w:t>
      </w:r>
      <w:r w:rsidRPr="00AA0A15">
        <w:rPr>
          <w:i/>
        </w:rPr>
        <w:t xml:space="preserve"> </w:t>
      </w:r>
      <w:r w:rsidRPr="00AA0A15">
        <w:rPr>
          <w:b/>
          <w:i/>
        </w:rPr>
        <w:t>Dangerous goods involved</w:t>
      </w:r>
      <w:r w:rsidRPr="006B354B">
        <w:t>”</w:t>
      </w:r>
      <w:r w:rsidR="005F1016">
        <w:t>,</w:t>
      </w:r>
      <w:r w:rsidRPr="006B354B">
        <w:t xml:space="preserve"> where different means of containments that could be involved in a serious accident or incident takes place are listed under “footnote” (3):</w:t>
      </w:r>
    </w:p>
    <w:p w14:paraId="26FF35A7" w14:textId="77777777" w:rsidR="006B354B" w:rsidRPr="00890ED4" w:rsidRDefault="006B354B" w:rsidP="006B354B">
      <w:pPr>
        <w:pStyle w:val="HChG"/>
        <w:ind w:firstLine="0"/>
      </w:pPr>
      <w:r>
        <w:tab/>
        <w:t>Proposal</w:t>
      </w:r>
    </w:p>
    <w:p w14:paraId="27BA0E2D" w14:textId="07EBC50F" w:rsidR="006B354B" w:rsidRDefault="006B354B" w:rsidP="00E52C72">
      <w:pPr>
        <w:pStyle w:val="SingleTxtG"/>
      </w:pPr>
      <w:r>
        <w:t xml:space="preserve">Amend the text in section </w:t>
      </w:r>
      <w:r w:rsidR="00B46F8C">
        <w:t>1.</w:t>
      </w:r>
      <w:r>
        <w:t>8.</w:t>
      </w:r>
      <w:r w:rsidR="00B46F8C">
        <w:t>5.4</w:t>
      </w:r>
      <w:r>
        <w:t xml:space="preserve"> as follows (change underlined </w:t>
      </w:r>
      <w:r w:rsidR="005F1016">
        <w:t>and marked w</w:t>
      </w:r>
      <w:bookmarkStart w:id="0" w:name="_GoBack"/>
      <w:bookmarkEnd w:id="0"/>
      <w:r w:rsidR="005F1016">
        <w:t>ith yellow</w:t>
      </w:r>
      <w:r>
        <w:t>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624"/>
        <w:gridCol w:w="794"/>
        <w:gridCol w:w="1464"/>
        <w:gridCol w:w="663"/>
        <w:gridCol w:w="1275"/>
        <w:gridCol w:w="1134"/>
        <w:gridCol w:w="1748"/>
      </w:tblGrid>
      <w:tr w:rsidR="006B354B" w:rsidRPr="00B63B4E" w14:paraId="3874FBE6" w14:textId="77777777" w:rsidTr="0002716C">
        <w:tc>
          <w:tcPr>
            <w:tcW w:w="9639" w:type="dxa"/>
            <w:gridSpan w:val="8"/>
            <w:shd w:val="pct30" w:color="auto" w:fill="FFFFFF"/>
          </w:tcPr>
          <w:p w14:paraId="29518C02" w14:textId="77777777" w:rsidR="006B354B" w:rsidRPr="00B63B4E" w:rsidRDefault="006B354B" w:rsidP="0002716C">
            <w:pPr>
              <w:pStyle w:val="BodyTextIndent"/>
              <w:keepNext/>
              <w:keepLines/>
              <w:pageBreakBefore/>
              <w:spacing w:line="216" w:lineRule="auto"/>
              <w:ind w:left="0"/>
              <w:rPr>
                <w:b/>
              </w:rPr>
            </w:pPr>
            <w:r w:rsidRPr="00B63B4E">
              <w:lastRenderedPageBreak/>
              <w:br w:type="page"/>
            </w:r>
            <w:r w:rsidRPr="00B63B4E">
              <w:br w:type="page"/>
            </w:r>
            <w:r w:rsidRPr="00B63B4E">
              <w:br w:type="page"/>
            </w:r>
            <w:r w:rsidRPr="00B63B4E">
              <w:rPr>
                <w:b/>
              </w:rPr>
              <w:t>6. Dangerous goods involved</w:t>
            </w:r>
          </w:p>
        </w:tc>
      </w:tr>
      <w:tr w:rsidR="006B354B" w:rsidRPr="003D03BA" w14:paraId="2B8C8CDA" w14:textId="77777777" w:rsidTr="0002716C">
        <w:trPr>
          <w:cantSplit/>
        </w:trPr>
        <w:tc>
          <w:tcPr>
            <w:tcW w:w="1937" w:type="dxa"/>
          </w:tcPr>
          <w:p w14:paraId="7AF071DB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 xml:space="preserve">UN Number </w:t>
            </w:r>
            <w:r w:rsidRPr="00B63B4E">
              <w:rPr>
                <w:vertAlign w:val="superscript"/>
              </w:rPr>
              <w:t>(1)</w:t>
            </w:r>
          </w:p>
        </w:tc>
        <w:tc>
          <w:tcPr>
            <w:tcW w:w="624" w:type="dxa"/>
          </w:tcPr>
          <w:p w14:paraId="754CCD73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>Class</w:t>
            </w:r>
          </w:p>
        </w:tc>
        <w:tc>
          <w:tcPr>
            <w:tcW w:w="794" w:type="dxa"/>
          </w:tcPr>
          <w:p w14:paraId="1E72AE63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>Packing Group</w:t>
            </w:r>
          </w:p>
        </w:tc>
        <w:tc>
          <w:tcPr>
            <w:tcW w:w="2127" w:type="dxa"/>
            <w:gridSpan w:val="2"/>
          </w:tcPr>
          <w:p w14:paraId="3098DE50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  <w:rPr>
                <w:vertAlign w:val="superscript"/>
              </w:rPr>
            </w:pPr>
            <w:r w:rsidRPr="00B63B4E">
              <w:t xml:space="preserve">Estimated quantity of loss of products (kg or </w:t>
            </w:r>
            <w:r w:rsidRPr="00B63B4E">
              <w:rPr>
                <w:i/>
                <w:iCs/>
              </w:rPr>
              <w:t>l</w:t>
            </w:r>
            <w:r w:rsidRPr="00B63B4E">
              <w:t xml:space="preserve">) </w:t>
            </w:r>
            <w:r w:rsidRPr="00B63B4E">
              <w:rPr>
                <w:vertAlign w:val="superscript"/>
              </w:rPr>
              <w:t>(2)</w:t>
            </w:r>
          </w:p>
        </w:tc>
        <w:tc>
          <w:tcPr>
            <w:tcW w:w="1275" w:type="dxa"/>
          </w:tcPr>
          <w:p w14:paraId="73956E70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 xml:space="preserve">Means of containment </w:t>
            </w:r>
            <w:r w:rsidRPr="00B63B4E">
              <w:rPr>
                <w:vertAlign w:val="superscript"/>
              </w:rPr>
              <w:t>(3)</w:t>
            </w:r>
          </w:p>
        </w:tc>
        <w:tc>
          <w:tcPr>
            <w:tcW w:w="1134" w:type="dxa"/>
          </w:tcPr>
          <w:p w14:paraId="46BAB48D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>Means of containment material</w:t>
            </w:r>
          </w:p>
        </w:tc>
        <w:tc>
          <w:tcPr>
            <w:tcW w:w="1748" w:type="dxa"/>
          </w:tcPr>
          <w:p w14:paraId="03AD546D" w14:textId="77777777" w:rsidR="006B354B" w:rsidRPr="00B63B4E" w:rsidRDefault="006B354B" w:rsidP="0002716C">
            <w:pPr>
              <w:pStyle w:val="BodyTextIndent"/>
              <w:spacing w:before="40" w:after="40" w:line="216" w:lineRule="auto"/>
              <w:ind w:left="0"/>
              <w:jc w:val="center"/>
            </w:pPr>
            <w:r w:rsidRPr="00B63B4E">
              <w:t xml:space="preserve">Type of failure of means of containment </w:t>
            </w:r>
            <w:r w:rsidRPr="00B63B4E">
              <w:rPr>
                <w:vertAlign w:val="superscript"/>
              </w:rPr>
              <w:t>(4)</w:t>
            </w:r>
          </w:p>
        </w:tc>
      </w:tr>
      <w:tr w:rsidR="006B354B" w:rsidRPr="003D03BA" w14:paraId="77FBD3FA" w14:textId="77777777" w:rsidTr="0002716C">
        <w:trPr>
          <w:cantSplit/>
          <w:trHeight w:val="397"/>
        </w:trPr>
        <w:tc>
          <w:tcPr>
            <w:tcW w:w="1937" w:type="dxa"/>
          </w:tcPr>
          <w:p w14:paraId="4A0443F6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624" w:type="dxa"/>
          </w:tcPr>
          <w:p w14:paraId="20B01A1F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794" w:type="dxa"/>
          </w:tcPr>
          <w:p w14:paraId="1EE6E45E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1AD39A1B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275" w:type="dxa"/>
          </w:tcPr>
          <w:p w14:paraId="42CBBAE0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1CCCFEA4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748" w:type="dxa"/>
          </w:tcPr>
          <w:p w14:paraId="7F519631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</w:tr>
      <w:tr w:rsidR="006B354B" w:rsidRPr="003D03BA" w14:paraId="7B58FCDC" w14:textId="77777777" w:rsidTr="0002716C">
        <w:trPr>
          <w:cantSplit/>
          <w:trHeight w:val="397"/>
        </w:trPr>
        <w:tc>
          <w:tcPr>
            <w:tcW w:w="1937" w:type="dxa"/>
          </w:tcPr>
          <w:p w14:paraId="13001988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624" w:type="dxa"/>
          </w:tcPr>
          <w:p w14:paraId="05E025B1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794" w:type="dxa"/>
          </w:tcPr>
          <w:p w14:paraId="03129C05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7BF81F70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275" w:type="dxa"/>
          </w:tcPr>
          <w:p w14:paraId="78DB11A9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074168A0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748" w:type="dxa"/>
          </w:tcPr>
          <w:p w14:paraId="735768B6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</w:tr>
      <w:tr w:rsidR="006B354B" w:rsidRPr="003D03BA" w14:paraId="724AE940" w14:textId="77777777" w:rsidTr="0002716C">
        <w:trPr>
          <w:cantSplit/>
          <w:trHeight w:val="397"/>
        </w:trPr>
        <w:tc>
          <w:tcPr>
            <w:tcW w:w="1937" w:type="dxa"/>
          </w:tcPr>
          <w:p w14:paraId="1FE96FBF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624" w:type="dxa"/>
          </w:tcPr>
          <w:p w14:paraId="5970B48C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794" w:type="dxa"/>
          </w:tcPr>
          <w:p w14:paraId="53CB479C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388702F7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275" w:type="dxa"/>
          </w:tcPr>
          <w:p w14:paraId="2E8988A9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6D4C8772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748" w:type="dxa"/>
          </w:tcPr>
          <w:p w14:paraId="2BF50844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</w:tr>
      <w:tr w:rsidR="006B354B" w:rsidRPr="003D03BA" w14:paraId="5F9C177F" w14:textId="77777777" w:rsidTr="0002716C">
        <w:trPr>
          <w:cantSplit/>
          <w:trHeight w:val="397"/>
        </w:trPr>
        <w:tc>
          <w:tcPr>
            <w:tcW w:w="1937" w:type="dxa"/>
          </w:tcPr>
          <w:p w14:paraId="3EE32034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624" w:type="dxa"/>
          </w:tcPr>
          <w:p w14:paraId="2A5750B8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794" w:type="dxa"/>
          </w:tcPr>
          <w:p w14:paraId="72C076E9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2127" w:type="dxa"/>
            <w:gridSpan w:val="2"/>
          </w:tcPr>
          <w:p w14:paraId="5C9EC134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275" w:type="dxa"/>
          </w:tcPr>
          <w:p w14:paraId="5166CBC5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134" w:type="dxa"/>
          </w:tcPr>
          <w:p w14:paraId="6FA42346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  <w:tc>
          <w:tcPr>
            <w:tcW w:w="1748" w:type="dxa"/>
          </w:tcPr>
          <w:p w14:paraId="06EA250D" w14:textId="77777777" w:rsidR="006B354B" w:rsidRPr="00B63B4E" w:rsidRDefault="006B354B" w:rsidP="0002716C">
            <w:pPr>
              <w:pStyle w:val="BodyTextIndent"/>
              <w:spacing w:before="60" w:after="60" w:line="216" w:lineRule="auto"/>
              <w:ind w:left="0"/>
              <w:rPr>
                <w:b/>
              </w:rPr>
            </w:pPr>
          </w:p>
        </w:tc>
      </w:tr>
      <w:tr w:rsidR="006B354B" w:rsidRPr="003D03BA" w14:paraId="3693C869" w14:textId="77777777" w:rsidTr="0002716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14:paraId="023E50B0" w14:textId="77777777" w:rsidR="006B354B" w:rsidRPr="00B63B4E" w:rsidRDefault="006B354B" w:rsidP="0002716C">
            <w:pPr>
              <w:pStyle w:val="BodyTextIndent"/>
              <w:spacing w:before="40" w:line="216" w:lineRule="auto"/>
              <w:ind w:left="0"/>
              <w:rPr>
                <w:vertAlign w:val="superscript"/>
              </w:rPr>
            </w:pPr>
            <w:r w:rsidRPr="00B63B4E">
              <w:rPr>
                <w:rStyle w:val="FootnoteReference"/>
                <w:rFonts w:eastAsiaTheme="majorEastAsia"/>
                <w:bCs/>
              </w:rPr>
              <w:t>(1)</w:t>
            </w:r>
            <w:r w:rsidRPr="00B63B4E">
              <w:t xml:space="preserve"> For dangerous goods assigned to collective entries to which special provision 274 applies, also the technical name shall be indicated.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2BAA127B" w14:textId="77777777" w:rsidR="006B354B" w:rsidRPr="00B63B4E" w:rsidRDefault="006B354B" w:rsidP="0002716C">
            <w:pPr>
              <w:pStyle w:val="BodyTextIndent"/>
              <w:spacing w:before="40" w:line="216" w:lineRule="auto"/>
              <w:ind w:left="0"/>
              <w:rPr>
                <w:vertAlign w:val="superscript"/>
              </w:rPr>
            </w:pPr>
            <w:r w:rsidRPr="00B63B4E">
              <w:rPr>
                <w:rStyle w:val="FootnoteReference"/>
                <w:rFonts w:eastAsiaTheme="majorEastAsia"/>
                <w:bCs/>
              </w:rPr>
              <w:t>(2)</w:t>
            </w:r>
            <w:r w:rsidRPr="00B63B4E">
              <w:t xml:space="preserve"> For Class 7, indicate values according to the criteria in 1.8.5.3.</w:t>
            </w:r>
          </w:p>
        </w:tc>
      </w:tr>
      <w:tr w:rsidR="006B354B" w:rsidRPr="00AE3498" w14:paraId="5BC48B93" w14:textId="77777777" w:rsidTr="0002716C">
        <w:trPr>
          <w:cantSplit/>
          <w:trHeight w:val="237"/>
        </w:trPr>
        <w:tc>
          <w:tcPr>
            <w:tcW w:w="4819" w:type="dxa"/>
            <w:gridSpan w:val="4"/>
            <w:tcBorders>
              <w:bottom w:val="nil"/>
            </w:tcBorders>
          </w:tcPr>
          <w:p w14:paraId="5E7C38D0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before="40" w:line="216" w:lineRule="auto"/>
              <w:ind w:left="0"/>
            </w:pPr>
            <w:r w:rsidRPr="00B63B4E">
              <w:rPr>
                <w:vertAlign w:val="superscript"/>
              </w:rPr>
              <w:t>(3)</w:t>
            </w:r>
            <w:r w:rsidRPr="00B63B4E">
              <w:rPr>
                <w:vertAlign w:val="superscript"/>
              </w:rPr>
              <w:tab/>
            </w:r>
            <w:r w:rsidRPr="00B63B4E">
              <w:t>Indicate the appropriate number</w:t>
            </w:r>
          </w:p>
          <w:p w14:paraId="5E9C6724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</w:t>
            </w:r>
            <w:r w:rsidRPr="00B63B4E">
              <w:tab/>
              <w:t>Packaging</w:t>
            </w:r>
          </w:p>
          <w:p w14:paraId="312DB947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2</w:t>
            </w:r>
            <w:r w:rsidRPr="00B63B4E">
              <w:tab/>
              <w:t>IBC</w:t>
            </w:r>
          </w:p>
          <w:p w14:paraId="4229B388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3</w:t>
            </w:r>
            <w:r w:rsidRPr="00B63B4E">
              <w:tab/>
              <w:t>Large packaging</w:t>
            </w:r>
          </w:p>
          <w:p w14:paraId="54D940F8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4</w:t>
            </w:r>
            <w:r w:rsidRPr="00B63B4E">
              <w:tab/>
              <w:t>Small container</w:t>
            </w:r>
          </w:p>
          <w:p w14:paraId="2D9E5EC2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5</w:t>
            </w:r>
            <w:r w:rsidRPr="00B63B4E">
              <w:tab/>
              <w:t>Wagon</w:t>
            </w:r>
          </w:p>
          <w:p w14:paraId="2FA60B33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6</w:t>
            </w:r>
            <w:r w:rsidRPr="00B63B4E">
              <w:tab/>
              <w:t>Vehicle</w:t>
            </w:r>
          </w:p>
          <w:p w14:paraId="10086B63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7</w:t>
            </w:r>
            <w:r w:rsidRPr="00B63B4E">
              <w:tab/>
              <w:t>Tank-wagon</w:t>
            </w:r>
          </w:p>
          <w:p w14:paraId="2E0C6FDC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8</w:t>
            </w:r>
            <w:r w:rsidRPr="00B63B4E">
              <w:tab/>
              <w:t>Tank-vehicle</w:t>
            </w:r>
          </w:p>
          <w:p w14:paraId="2E2C1BEC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9</w:t>
            </w:r>
            <w:r w:rsidRPr="00B63B4E">
              <w:tab/>
              <w:t>Battery-wagon</w:t>
            </w:r>
          </w:p>
          <w:p w14:paraId="6D37EDC5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10</w:t>
            </w:r>
            <w:r w:rsidRPr="00B63B4E">
              <w:tab/>
              <w:t>Battery-vehicle</w:t>
            </w:r>
          </w:p>
          <w:p w14:paraId="15A991E2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11</w:t>
            </w:r>
            <w:r w:rsidRPr="00B63B4E">
              <w:tab/>
              <w:t>Wagon with demountable tanks</w:t>
            </w:r>
          </w:p>
          <w:p w14:paraId="254E538F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12</w:t>
            </w:r>
            <w:r w:rsidRPr="00B63B4E">
              <w:tab/>
              <w:t>Demountable tank</w:t>
            </w:r>
          </w:p>
          <w:p w14:paraId="48E8613A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13</w:t>
            </w:r>
            <w:r w:rsidRPr="00B63B4E">
              <w:tab/>
              <w:t>Large container</w:t>
            </w:r>
          </w:p>
          <w:p w14:paraId="15E6C477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14</w:t>
            </w:r>
            <w:r w:rsidRPr="00B63B4E">
              <w:tab/>
              <w:t>Tank-container</w:t>
            </w:r>
          </w:p>
          <w:p w14:paraId="510BCD44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15</w:t>
            </w:r>
            <w:r w:rsidRPr="00B63B4E">
              <w:tab/>
              <w:t>MEGC</w:t>
            </w:r>
          </w:p>
          <w:p w14:paraId="4CCE80D8" w14:textId="77777777" w:rsidR="006B354B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16</w:t>
            </w:r>
            <w:r w:rsidRPr="00B63B4E">
              <w:tab/>
              <w:t>Portable tank</w:t>
            </w:r>
          </w:p>
          <w:p w14:paraId="2931C1D3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F961D1">
              <w:t>17</w:t>
            </w:r>
            <w:r w:rsidRPr="00F961D1">
              <w:tab/>
              <w:t>MEMU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74E58FF2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before="40" w:line="216" w:lineRule="auto"/>
              <w:ind w:left="0"/>
            </w:pPr>
            <w:r w:rsidRPr="00B63B4E">
              <w:rPr>
                <w:vertAlign w:val="superscript"/>
              </w:rPr>
              <w:t>(4)</w:t>
            </w:r>
            <w:r w:rsidRPr="00B63B4E">
              <w:rPr>
                <w:vertAlign w:val="superscript"/>
              </w:rPr>
              <w:tab/>
            </w:r>
            <w:r w:rsidRPr="00B63B4E">
              <w:t xml:space="preserve">Indicate the appropriate number </w:t>
            </w:r>
          </w:p>
          <w:p w14:paraId="25D01E04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1</w:t>
            </w:r>
            <w:r w:rsidRPr="00B63B4E">
              <w:tab/>
              <w:t>Loss</w:t>
            </w:r>
          </w:p>
          <w:p w14:paraId="3C1C56E5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2</w:t>
            </w:r>
            <w:r w:rsidRPr="00B63B4E">
              <w:tab/>
              <w:t>Fire</w:t>
            </w:r>
          </w:p>
          <w:p w14:paraId="263E680F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3</w:t>
            </w:r>
            <w:r w:rsidRPr="00B63B4E">
              <w:tab/>
              <w:t>Explosion</w:t>
            </w:r>
          </w:p>
          <w:p w14:paraId="432ACB42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t>4</w:t>
            </w:r>
            <w:r w:rsidRPr="00B63B4E">
              <w:tab/>
              <w:t>Structural failure</w:t>
            </w:r>
          </w:p>
        </w:tc>
      </w:tr>
      <w:tr w:rsidR="006B354B" w:rsidRPr="003D03BA" w14:paraId="045F5670" w14:textId="77777777" w:rsidTr="0002716C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  <w:shd w:val="pct30" w:color="auto" w:fill="FFFFFF"/>
          </w:tcPr>
          <w:p w14:paraId="1E2B761F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  <w:rPr>
                <w:vertAlign w:val="superscript"/>
              </w:rPr>
            </w:pPr>
            <w:r w:rsidRPr="00B63B4E">
              <w:rPr>
                <w:b/>
              </w:rPr>
              <w:t>7. Cause of occurrence (if clearly known)</w:t>
            </w:r>
          </w:p>
        </w:tc>
      </w:tr>
      <w:tr w:rsidR="006B354B" w:rsidRPr="00B63B4E" w14:paraId="2822FB67" w14:textId="77777777" w:rsidTr="0002716C">
        <w:trPr>
          <w:cantSplit/>
          <w:trHeight w:val="237"/>
        </w:trPr>
        <w:tc>
          <w:tcPr>
            <w:tcW w:w="9639" w:type="dxa"/>
            <w:gridSpan w:val="8"/>
            <w:tcBorders>
              <w:bottom w:val="nil"/>
            </w:tcBorders>
          </w:tcPr>
          <w:p w14:paraId="5883ABA0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rPr>
                <w:b/>
              </w:rPr>
              <w:t>□</w:t>
            </w:r>
            <w:r w:rsidRPr="00B63B4E">
              <w:rPr>
                <w:b/>
              </w:rPr>
              <w:tab/>
            </w:r>
            <w:r w:rsidRPr="00B63B4E">
              <w:t>Technical fault</w:t>
            </w:r>
          </w:p>
          <w:p w14:paraId="4E5C0805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rPr>
                <w:b/>
              </w:rPr>
              <w:t>□</w:t>
            </w:r>
            <w:r w:rsidRPr="00B63B4E">
              <w:rPr>
                <w:b/>
              </w:rPr>
              <w:tab/>
            </w:r>
            <w:r w:rsidRPr="00B63B4E">
              <w:t>Faulty load securing</w:t>
            </w:r>
          </w:p>
          <w:p w14:paraId="3BAC7B10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line="216" w:lineRule="auto"/>
              <w:ind w:left="0"/>
            </w:pPr>
            <w:r w:rsidRPr="00B63B4E">
              <w:rPr>
                <w:b/>
              </w:rPr>
              <w:t>□</w:t>
            </w:r>
            <w:r w:rsidRPr="00B63B4E">
              <w:rPr>
                <w:b/>
              </w:rPr>
              <w:tab/>
            </w:r>
            <w:r w:rsidRPr="00B63B4E">
              <w:t>Operational cause (rail operation)</w:t>
            </w:r>
          </w:p>
          <w:p w14:paraId="62F9E715" w14:textId="77777777" w:rsidR="006B354B" w:rsidRPr="00B63B4E" w:rsidRDefault="006B354B" w:rsidP="0002716C">
            <w:pPr>
              <w:pStyle w:val="BodyTextIndent"/>
              <w:tabs>
                <w:tab w:val="left" w:pos="356"/>
              </w:tabs>
              <w:spacing w:after="60" w:line="216" w:lineRule="auto"/>
              <w:ind w:left="0"/>
            </w:pPr>
            <w:r w:rsidRPr="00B63B4E">
              <w:rPr>
                <w:b/>
              </w:rPr>
              <w:t>□</w:t>
            </w:r>
            <w:r w:rsidRPr="00B63B4E">
              <w:rPr>
                <w:b/>
              </w:rPr>
              <w:tab/>
            </w:r>
            <w:r w:rsidRPr="00B63B4E">
              <w:t>Other: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…………………………………………………………………………………………………………………………….</w:t>
            </w:r>
          </w:p>
        </w:tc>
      </w:tr>
    </w:tbl>
    <w:p w14:paraId="61137209" w14:textId="35E313B1" w:rsidR="006B354B" w:rsidRPr="00C373F9" w:rsidRDefault="00C373F9" w:rsidP="00C373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54B" w:rsidRPr="00C373F9" w:rsidSect="00272328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3FD3" w14:textId="77777777" w:rsidR="00FE77CF" w:rsidRDefault="00FE77CF"/>
  </w:endnote>
  <w:endnote w:type="continuationSeparator" w:id="0">
    <w:p w14:paraId="5F00F84D" w14:textId="77777777" w:rsidR="00FE77CF" w:rsidRDefault="00FE77CF"/>
  </w:endnote>
  <w:endnote w:type="continuationNotice" w:id="1">
    <w:p w14:paraId="696682CB" w14:textId="77777777" w:rsidR="00FE77CF" w:rsidRDefault="00FE7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B9D9" w14:textId="2665F111"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46F8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CE9B" w14:textId="0F2E2CBE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6B354B">
      <w:rPr>
        <w:b/>
        <w:noProof/>
        <w:sz w:val="18"/>
      </w:rPr>
      <w:t>3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6D60" w14:textId="77777777" w:rsidR="00FE77CF" w:rsidRPr="000B175B" w:rsidRDefault="00FE77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0140C6" w14:textId="77777777" w:rsidR="00FE77CF" w:rsidRPr="00FC68B7" w:rsidRDefault="00FE77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DCEB74" w14:textId="77777777" w:rsidR="00FE77CF" w:rsidRDefault="00FE7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AABC" w14:textId="53C576EA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78680F">
      <w:rPr>
        <w:szCs w:val="18"/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39F0" w14:textId="77777777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C4E57">
      <w:rPr>
        <w:lang w:val="fr-CH"/>
      </w:rPr>
      <w:t>2</w:t>
    </w:r>
    <w:r w:rsidR="00C466C7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2B211C6"/>
    <w:multiLevelType w:val="hybridMultilevel"/>
    <w:tmpl w:val="344CBCBE"/>
    <w:lvl w:ilvl="0" w:tplc="0E16AFDE">
      <w:start w:val="12"/>
      <w:numFmt w:val="bullet"/>
      <w:lvlText w:val="-"/>
      <w:lvlJc w:val="left"/>
      <w:pPr>
        <w:ind w:left="1854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C9448AF"/>
    <w:multiLevelType w:val="hybridMultilevel"/>
    <w:tmpl w:val="600620AE"/>
    <w:lvl w:ilvl="0" w:tplc="AF32A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4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70B28FE"/>
    <w:multiLevelType w:val="hybridMultilevel"/>
    <w:tmpl w:val="D152B42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8011DD7"/>
    <w:multiLevelType w:val="multilevel"/>
    <w:tmpl w:val="0409001D"/>
    <w:numStyleLink w:val="1ai"/>
  </w:abstractNum>
  <w:abstractNum w:abstractNumId="29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D97FFE"/>
    <w:multiLevelType w:val="hybridMultilevel"/>
    <w:tmpl w:val="ABC678D2"/>
    <w:lvl w:ilvl="0" w:tplc="3BB86E0E">
      <w:start w:val="8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47EE"/>
    <w:multiLevelType w:val="hybridMultilevel"/>
    <w:tmpl w:val="7426592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BD93A87"/>
    <w:multiLevelType w:val="hybridMultilevel"/>
    <w:tmpl w:val="088C5BEA"/>
    <w:lvl w:ilvl="0" w:tplc="FDAEA28A">
      <w:start w:val="1"/>
      <w:numFmt w:val="bullet"/>
      <w:lvlText w:val="⁃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3241"/>
    <w:multiLevelType w:val="hybridMultilevel"/>
    <w:tmpl w:val="DB783D1E"/>
    <w:lvl w:ilvl="0" w:tplc="6B1C7B0C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0"/>
  </w:num>
  <w:num w:numId="15">
    <w:abstractNumId w:val="18"/>
  </w:num>
  <w:num w:numId="16">
    <w:abstractNumId w:val="14"/>
  </w:num>
  <w:num w:numId="17">
    <w:abstractNumId w:val="37"/>
  </w:num>
  <w:num w:numId="18">
    <w:abstractNumId w:val="32"/>
  </w:num>
  <w:num w:numId="19">
    <w:abstractNumId w:val="27"/>
  </w:num>
  <w:num w:numId="20">
    <w:abstractNumId w:val="29"/>
  </w:num>
  <w:num w:numId="21">
    <w:abstractNumId w:val="35"/>
  </w:num>
  <w:num w:numId="22">
    <w:abstractNumId w:val="28"/>
  </w:num>
  <w:num w:numId="23">
    <w:abstractNumId w:val="16"/>
  </w:num>
  <w:num w:numId="24">
    <w:abstractNumId w:val="10"/>
  </w:num>
  <w:num w:numId="25">
    <w:abstractNumId w:val="24"/>
  </w:num>
  <w:num w:numId="26">
    <w:abstractNumId w:val="12"/>
  </w:num>
  <w:num w:numId="27">
    <w:abstractNumId w:val="23"/>
  </w:num>
  <w:num w:numId="28">
    <w:abstractNumId w:val="19"/>
  </w:num>
  <w:num w:numId="29">
    <w:abstractNumId w:val="21"/>
  </w:num>
  <w:num w:numId="30">
    <w:abstractNumId w:val="36"/>
  </w:num>
  <w:num w:numId="31">
    <w:abstractNumId w:val="17"/>
  </w:num>
  <w:num w:numId="32">
    <w:abstractNumId w:val="25"/>
  </w:num>
  <w:num w:numId="33">
    <w:abstractNumId w:val="38"/>
  </w:num>
  <w:num w:numId="34">
    <w:abstractNumId w:val="15"/>
  </w:num>
  <w:num w:numId="35">
    <w:abstractNumId w:val="33"/>
  </w:num>
  <w:num w:numId="36">
    <w:abstractNumId w:val="26"/>
  </w:num>
  <w:num w:numId="37">
    <w:abstractNumId w:val="34"/>
  </w:num>
  <w:num w:numId="38">
    <w:abstractNumId w:val="31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i-FI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0D25"/>
    <w:rsid w:val="000020A2"/>
    <w:rsid w:val="000035B8"/>
    <w:rsid w:val="000062B3"/>
    <w:rsid w:val="00013E97"/>
    <w:rsid w:val="000149A1"/>
    <w:rsid w:val="00020AD1"/>
    <w:rsid w:val="000218B5"/>
    <w:rsid w:val="000260EE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3871"/>
    <w:rsid w:val="00096262"/>
    <w:rsid w:val="0009761A"/>
    <w:rsid w:val="00097B02"/>
    <w:rsid w:val="000A06FA"/>
    <w:rsid w:val="000A0FD0"/>
    <w:rsid w:val="000A1785"/>
    <w:rsid w:val="000A3752"/>
    <w:rsid w:val="000A58D8"/>
    <w:rsid w:val="000A5CF8"/>
    <w:rsid w:val="000A77BB"/>
    <w:rsid w:val="000B0595"/>
    <w:rsid w:val="000B175B"/>
    <w:rsid w:val="000B2BF3"/>
    <w:rsid w:val="000B363D"/>
    <w:rsid w:val="000B3A0F"/>
    <w:rsid w:val="000B4EF7"/>
    <w:rsid w:val="000B633F"/>
    <w:rsid w:val="000B7AA1"/>
    <w:rsid w:val="000B7EDC"/>
    <w:rsid w:val="000C125A"/>
    <w:rsid w:val="000C2C03"/>
    <w:rsid w:val="000C2D2E"/>
    <w:rsid w:val="000C2DEF"/>
    <w:rsid w:val="000C2F83"/>
    <w:rsid w:val="000C3305"/>
    <w:rsid w:val="000C3328"/>
    <w:rsid w:val="000C4D51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3D37"/>
    <w:rsid w:val="000E5C70"/>
    <w:rsid w:val="000E6237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26089"/>
    <w:rsid w:val="001277C3"/>
    <w:rsid w:val="001362A8"/>
    <w:rsid w:val="00140773"/>
    <w:rsid w:val="00141383"/>
    <w:rsid w:val="00142AB2"/>
    <w:rsid w:val="00142BCF"/>
    <w:rsid w:val="00154657"/>
    <w:rsid w:val="00155068"/>
    <w:rsid w:val="00162D38"/>
    <w:rsid w:val="001644E3"/>
    <w:rsid w:val="00165F3A"/>
    <w:rsid w:val="00172E32"/>
    <w:rsid w:val="00177CE8"/>
    <w:rsid w:val="001802DC"/>
    <w:rsid w:val="0018210E"/>
    <w:rsid w:val="00186D7B"/>
    <w:rsid w:val="00193CA7"/>
    <w:rsid w:val="0019451E"/>
    <w:rsid w:val="0019698C"/>
    <w:rsid w:val="001A1DCF"/>
    <w:rsid w:val="001A4C52"/>
    <w:rsid w:val="001A6E55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0E72"/>
    <w:rsid w:val="001E29E7"/>
    <w:rsid w:val="001E36B4"/>
    <w:rsid w:val="001E3CD2"/>
    <w:rsid w:val="001E5415"/>
    <w:rsid w:val="001E7451"/>
    <w:rsid w:val="001E7B67"/>
    <w:rsid w:val="001F1377"/>
    <w:rsid w:val="001F3D69"/>
    <w:rsid w:val="001F679D"/>
    <w:rsid w:val="001F7435"/>
    <w:rsid w:val="002027A3"/>
    <w:rsid w:val="00202DA8"/>
    <w:rsid w:val="0021157B"/>
    <w:rsid w:val="00211E0B"/>
    <w:rsid w:val="00212B1A"/>
    <w:rsid w:val="00220B09"/>
    <w:rsid w:val="002210D5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079"/>
    <w:rsid w:val="00246DAC"/>
    <w:rsid w:val="00246FE5"/>
    <w:rsid w:val="00247BDC"/>
    <w:rsid w:val="00250A58"/>
    <w:rsid w:val="00252290"/>
    <w:rsid w:val="00252EEE"/>
    <w:rsid w:val="0025394F"/>
    <w:rsid w:val="002559FF"/>
    <w:rsid w:val="002658C2"/>
    <w:rsid w:val="00267F5F"/>
    <w:rsid w:val="00272328"/>
    <w:rsid w:val="002757B9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3C85"/>
    <w:rsid w:val="002A603B"/>
    <w:rsid w:val="002A6EFA"/>
    <w:rsid w:val="002B1061"/>
    <w:rsid w:val="002B4341"/>
    <w:rsid w:val="002B46EB"/>
    <w:rsid w:val="002B65D8"/>
    <w:rsid w:val="002B742C"/>
    <w:rsid w:val="002C004B"/>
    <w:rsid w:val="002C211E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5022"/>
    <w:rsid w:val="003173A5"/>
    <w:rsid w:val="003229D8"/>
    <w:rsid w:val="00324058"/>
    <w:rsid w:val="003255CD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2DE1"/>
    <w:rsid w:val="003754FC"/>
    <w:rsid w:val="00375B70"/>
    <w:rsid w:val="00381A13"/>
    <w:rsid w:val="0038452A"/>
    <w:rsid w:val="003915D3"/>
    <w:rsid w:val="00393A3C"/>
    <w:rsid w:val="003A10AC"/>
    <w:rsid w:val="003A2D79"/>
    <w:rsid w:val="003A30E1"/>
    <w:rsid w:val="003A6498"/>
    <w:rsid w:val="003A6728"/>
    <w:rsid w:val="003A6810"/>
    <w:rsid w:val="003A7C69"/>
    <w:rsid w:val="003B36D1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F310D"/>
    <w:rsid w:val="003F354A"/>
    <w:rsid w:val="003F7107"/>
    <w:rsid w:val="003F710A"/>
    <w:rsid w:val="004002CE"/>
    <w:rsid w:val="004036DC"/>
    <w:rsid w:val="00406D5C"/>
    <w:rsid w:val="00410C89"/>
    <w:rsid w:val="0041397F"/>
    <w:rsid w:val="0041539A"/>
    <w:rsid w:val="00422E03"/>
    <w:rsid w:val="00426B9B"/>
    <w:rsid w:val="004306DC"/>
    <w:rsid w:val="004325CB"/>
    <w:rsid w:val="004356D2"/>
    <w:rsid w:val="004428E6"/>
    <w:rsid w:val="00442A83"/>
    <w:rsid w:val="0044530F"/>
    <w:rsid w:val="00446D76"/>
    <w:rsid w:val="00453BB3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C67"/>
    <w:rsid w:val="00486410"/>
    <w:rsid w:val="004A12F2"/>
    <w:rsid w:val="004C1788"/>
    <w:rsid w:val="004C2461"/>
    <w:rsid w:val="004C4F14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2A52"/>
    <w:rsid w:val="004E55C6"/>
    <w:rsid w:val="004E77B2"/>
    <w:rsid w:val="004F0CCB"/>
    <w:rsid w:val="004F5695"/>
    <w:rsid w:val="004F5C30"/>
    <w:rsid w:val="004F68B6"/>
    <w:rsid w:val="004F7A1B"/>
    <w:rsid w:val="00503DEB"/>
    <w:rsid w:val="00504B2D"/>
    <w:rsid w:val="00507CE8"/>
    <w:rsid w:val="00511B5C"/>
    <w:rsid w:val="0052013D"/>
    <w:rsid w:val="0052136D"/>
    <w:rsid w:val="00522B58"/>
    <w:rsid w:val="0052389F"/>
    <w:rsid w:val="00523CD7"/>
    <w:rsid w:val="00526FF7"/>
    <w:rsid w:val="0052775E"/>
    <w:rsid w:val="00533685"/>
    <w:rsid w:val="005420F2"/>
    <w:rsid w:val="00544E1A"/>
    <w:rsid w:val="00545721"/>
    <w:rsid w:val="00546993"/>
    <w:rsid w:val="005470FC"/>
    <w:rsid w:val="005523E5"/>
    <w:rsid w:val="00553B62"/>
    <w:rsid w:val="005628B6"/>
    <w:rsid w:val="005651EF"/>
    <w:rsid w:val="005659C3"/>
    <w:rsid w:val="00566B2D"/>
    <w:rsid w:val="0057049C"/>
    <w:rsid w:val="005706BC"/>
    <w:rsid w:val="00583295"/>
    <w:rsid w:val="00584FAE"/>
    <w:rsid w:val="00586DB8"/>
    <w:rsid w:val="00590F4A"/>
    <w:rsid w:val="005933E3"/>
    <w:rsid w:val="0059363D"/>
    <w:rsid w:val="00596193"/>
    <w:rsid w:val="005A1668"/>
    <w:rsid w:val="005A280E"/>
    <w:rsid w:val="005A4EAD"/>
    <w:rsid w:val="005A6437"/>
    <w:rsid w:val="005B05FD"/>
    <w:rsid w:val="005B0A84"/>
    <w:rsid w:val="005B3DB3"/>
    <w:rsid w:val="005B4E13"/>
    <w:rsid w:val="005C5CC2"/>
    <w:rsid w:val="005D01AA"/>
    <w:rsid w:val="005D0201"/>
    <w:rsid w:val="005D2A29"/>
    <w:rsid w:val="005E6A77"/>
    <w:rsid w:val="005E6BB4"/>
    <w:rsid w:val="005F1016"/>
    <w:rsid w:val="005F3B96"/>
    <w:rsid w:val="005F4EF7"/>
    <w:rsid w:val="005F7B75"/>
    <w:rsid w:val="006001EE"/>
    <w:rsid w:val="00600FA9"/>
    <w:rsid w:val="00603305"/>
    <w:rsid w:val="00603A22"/>
    <w:rsid w:val="00605042"/>
    <w:rsid w:val="00611FC4"/>
    <w:rsid w:val="006162FB"/>
    <w:rsid w:val="006167E8"/>
    <w:rsid w:val="00616EEB"/>
    <w:rsid w:val="006176FB"/>
    <w:rsid w:val="0062213C"/>
    <w:rsid w:val="006309EF"/>
    <w:rsid w:val="00633CDB"/>
    <w:rsid w:val="00640636"/>
    <w:rsid w:val="00640B26"/>
    <w:rsid w:val="00642081"/>
    <w:rsid w:val="00644282"/>
    <w:rsid w:val="00644CD3"/>
    <w:rsid w:val="00650B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93578"/>
    <w:rsid w:val="006A2530"/>
    <w:rsid w:val="006B354B"/>
    <w:rsid w:val="006B49F6"/>
    <w:rsid w:val="006B4DDD"/>
    <w:rsid w:val="006B5C35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701773"/>
    <w:rsid w:val="00702574"/>
    <w:rsid w:val="00703577"/>
    <w:rsid w:val="00705894"/>
    <w:rsid w:val="007112CD"/>
    <w:rsid w:val="0071793F"/>
    <w:rsid w:val="0072632A"/>
    <w:rsid w:val="007327D5"/>
    <w:rsid w:val="00741721"/>
    <w:rsid w:val="007418F1"/>
    <w:rsid w:val="00743E81"/>
    <w:rsid w:val="00746BBF"/>
    <w:rsid w:val="00753674"/>
    <w:rsid w:val="007543E1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8680F"/>
    <w:rsid w:val="00791AC2"/>
    <w:rsid w:val="00793939"/>
    <w:rsid w:val="00796A62"/>
    <w:rsid w:val="00797575"/>
    <w:rsid w:val="007A1179"/>
    <w:rsid w:val="007A787F"/>
    <w:rsid w:val="007B67FC"/>
    <w:rsid w:val="007B6BA5"/>
    <w:rsid w:val="007B6C1C"/>
    <w:rsid w:val="007C0F3F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157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0043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3FA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7341"/>
    <w:rsid w:val="008E0678"/>
    <w:rsid w:val="008E2331"/>
    <w:rsid w:val="008E33CD"/>
    <w:rsid w:val="008E6480"/>
    <w:rsid w:val="008F03A8"/>
    <w:rsid w:val="008F0834"/>
    <w:rsid w:val="008F5ACB"/>
    <w:rsid w:val="008F6CE6"/>
    <w:rsid w:val="00905DC9"/>
    <w:rsid w:val="00907BA5"/>
    <w:rsid w:val="0091141B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1724"/>
    <w:rsid w:val="009536F9"/>
    <w:rsid w:val="00956168"/>
    <w:rsid w:val="00961690"/>
    <w:rsid w:val="009636BB"/>
    <w:rsid w:val="00963ABB"/>
    <w:rsid w:val="00964581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26E7"/>
    <w:rsid w:val="009B350F"/>
    <w:rsid w:val="009C17A1"/>
    <w:rsid w:val="009C2166"/>
    <w:rsid w:val="009C28EA"/>
    <w:rsid w:val="009C3D71"/>
    <w:rsid w:val="009C454F"/>
    <w:rsid w:val="009C565B"/>
    <w:rsid w:val="009C58EF"/>
    <w:rsid w:val="009D0B64"/>
    <w:rsid w:val="009D2486"/>
    <w:rsid w:val="009D2A5B"/>
    <w:rsid w:val="009D393E"/>
    <w:rsid w:val="009E18F4"/>
    <w:rsid w:val="009E1D30"/>
    <w:rsid w:val="009E6561"/>
    <w:rsid w:val="009F2BB8"/>
    <w:rsid w:val="009F3AE6"/>
    <w:rsid w:val="00A00A3F"/>
    <w:rsid w:val="00A01489"/>
    <w:rsid w:val="00A12E50"/>
    <w:rsid w:val="00A14388"/>
    <w:rsid w:val="00A1777D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33E7"/>
    <w:rsid w:val="00A5402C"/>
    <w:rsid w:val="00A56AAB"/>
    <w:rsid w:val="00A7218F"/>
    <w:rsid w:val="00A72F22"/>
    <w:rsid w:val="00A7360F"/>
    <w:rsid w:val="00A748A6"/>
    <w:rsid w:val="00A769F4"/>
    <w:rsid w:val="00A776B4"/>
    <w:rsid w:val="00A86F6A"/>
    <w:rsid w:val="00A90E84"/>
    <w:rsid w:val="00A915B4"/>
    <w:rsid w:val="00A94361"/>
    <w:rsid w:val="00A94BB3"/>
    <w:rsid w:val="00A95D61"/>
    <w:rsid w:val="00A970A8"/>
    <w:rsid w:val="00AA0A15"/>
    <w:rsid w:val="00AA1F98"/>
    <w:rsid w:val="00AA293C"/>
    <w:rsid w:val="00AA475C"/>
    <w:rsid w:val="00AA5165"/>
    <w:rsid w:val="00AA55D5"/>
    <w:rsid w:val="00AA66C0"/>
    <w:rsid w:val="00AB1FCB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55C4"/>
    <w:rsid w:val="00B0614C"/>
    <w:rsid w:val="00B101E9"/>
    <w:rsid w:val="00B117CF"/>
    <w:rsid w:val="00B11BB4"/>
    <w:rsid w:val="00B11D71"/>
    <w:rsid w:val="00B12557"/>
    <w:rsid w:val="00B129BB"/>
    <w:rsid w:val="00B12CA6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1424"/>
    <w:rsid w:val="00B34EAB"/>
    <w:rsid w:val="00B36690"/>
    <w:rsid w:val="00B41584"/>
    <w:rsid w:val="00B421C1"/>
    <w:rsid w:val="00B42632"/>
    <w:rsid w:val="00B46F8C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314E"/>
    <w:rsid w:val="00B94746"/>
    <w:rsid w:val="00BA4F47"/>
    <w:rsid w:val="00BB090B"/>
    <w:rsid w:val="00BB1184"/>
    <w:rsid w:val="00BB5635"/>
    <w:rsid w:val="00BB7CD1"/>
    <w:rsid w:val="00BC2725"/>
    <w:rsid w:val="00BC3FA0"/>
    <w:rsid w:val="00BC41E8"/>
    <w:rsid w:val="00BC626B"/>
    <w:rsid w:val="00BC67E1"/>
    <w:rsid w:val="00BC6D21"/>
    <w:rsid w:val="00BC74E9"/>
    <w:rsid w:val="00BC7D09"/>
    <w:rsid w:val="00BD6AE8"/>
    <w:rsid w:val="00BE0FF0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6E8"/>
    <w:rsid w:val="00C26804"/>
    <w:rsid w:val="00C30215"/>
    <w:rsid w:val="00C30D6C"/>
    <w:rsid w:val="00C33407"/>
    <w:rsid w:val="00C3410A"/>
    <w:rsid w:val="00C373F9"/>
    <w:rsid w:val="00C4154F"/>
    <w:rsid w:val="00C42298"/>
    <w:rsid w:val="00C42300"/>
    <w:rsid w:val="00C43462"/>
    <w:rsid w:val="00C43F8F"/>
    <w:rsid w:val="00C4527F"/>
    <w:rsid w:val="00C45E05"/>
    <w:rsid w:val="00C463DD"/>
    <w:rsid w:val="00C466C7"/>
    <w:rsid w:val="00C4724C"/>
    <w:rsid w:val="00C57B8A"/>
    <w:rsid w:val="00C605F3"/>
    <w:rsid w:val="00C629A0"/>
    <w:rsid w:val="00C64629"/>
    <w:rsid w:val="00C66F1F"/>
    <w:rsid w:val="00C745C3"/>
    <w:rsid w:val="00C7755F"/>
    <w:rsid w:val="00C77BE5"/>
    <w:rsid w:val="00C900EB"/>
    <w:rsid w:val="00C97426"/>
    <w:rsid w:val="00C97C39"/>
    <w:rsid w:val="00C97CF6"/>
    <w:rsid w:val="00CA39FB"/>
    <w:rsid w:val="00CB2276"/>
    <w:rsid w:val="00CB3E03"/>
    <w:rsid w:val="00CB46A6"/>
    <w:rsid w:val="00CB5F84"/>
    <w:rsid w:val="00CC24B7"/>
    <w:rsid w:val="00CC2A1B"/>
    <w:rsid w:val="00CC2D45"/>
    <w:rsid w:val="00CC5B3B"/>
    <w:rsid w:val="00CC641E"/>
    <w:rsid w:val="00CC719E"/>
    <w:rsid w:val="00CD1FCA"/>
    <w:rsid w:val="00CD285E"/>
    <w:rsid w:val="00CD2BAF"/>
    <w:rsid w:val="00CD46A7"/>
    <w:rsid w:val="00CD57D2"/>
    <w:rsid w:val="00CD732E"/>
    <w:rsid w:val="00CE1761"/>
    <w:rsid w:val="00CE1CFD"/>
    <w:rsid w:val="00CE3E6E"/>
    <w:rsid w:val="00CE4A8F"/>
    <w:rsid w:val="00CE4E67"/>
    <w:rsid w:val="00CF3164"/>
    <w:rsid w:val="00CF7501"/>
    <w:rsid w:val="00CF7AC0"/>
    <w:rsid w:val="00D1284B"/>
    <w:rsid w:val="00D13737"/>
    <w:rsid w:val="00D13F4D"/>
    <w:rsid w:val="00D2031B"/>
    <w:rsid w:val="00D224BF"/>
    <w:rsid w:val="00D22523"/>
    <w:rsid w:val="00D25FE2"/>
    <w:rsid w:val="00D416C9"/>
    <w:rsid w:val="00D43252"/>
    <w:rsid w:val="00D43CDB"/>
    <w:rsid w:val="00D44198"/>
    <w:rsid w:val="00D46E53"/>
    <w:rsid w:val="00D47C42"/>
    <w:rsid w:val="00D47EEA"/>
    <w:rsid w:val="00D47F36"/>
    <w:rsid w:val="00D5385E"/>
    <w:rsid w:val="00D53946"/>
    <w:rsid w:val="00D550D4"/>
    <w:rsid w:val="00D56292"/>
    <w:rsid w:val="00D62742"/>
    <w:rsid w:val="00D709D0"/>
    <w:rsid w:val="00D7419E"/>
    <w:rsid w:val="00D773DF"/>
    <w:rsid w:val="00D80842"/>
    <w:rsid w:val="00D810EE"/>
    <w:rsid w:val="00D876F8"/>
    <w:rsid w:val="00D91A8D"/>
    <w:rsid w:val="00D9255F"/>
    <w:rsid w:val="00D94AB7"/>
    <w:rsid w:val="00D95303"/>
    <w:rsid w:val="00D97453"/>
    <w:rsid w:val="00D978C6"/>
    <w:rsid w:val="00DA3C1C"/>
    <w:rsid w:val="00DA5024"/>
    <w:rsid w:val="00DB09D9"/>
    <w:rsid w:val="00DB1304"/>
    <w:rsid w:val="00DB1AD8"/>
    <w:rsid w:val="00DB43CD"/>
    <w:rsid w:val="00DB57B1"/>
    <w:rsid w:val="00DB6E62"/>
    <w:rsid w:val="00DC12A9"/>
    <w:rsid w:val="00DD5FD2"/>
    <w:rsid w:val="00DE37C6"/>
    <w:rsid w:val="00DE4667"/>
    <w:rsid w:val="00DE4970"/>
    <w:rsid w:val="00DE7486"/>
    <w:rsid w:val="00DE79A0"/>
    <w:rsid w:val="00DF0E6D"/>
    <w:rsid w:val="00DF0EC4"/>
    <w:rsid w:val="00DF418D"/>
    <w:rsid w:val="00E01B7D"/>
    <w:rsid w:val="00E01D54"/>
    <w:rsid w:val="00E02661"/>
    <w:rsid w:val="00E046DF"/>
    <w:rsid w:val="00E04F33"/>
    <w:rsid w:val="00E10E7D"/>
    <w:rsid w:val="00E13DAF"/>
    <w:rsid w:val="00E14853"/>
    <w:rsid w:val="00E15557"/>
    <w:rsid w:val="00E21502"/>
    <w:rsid w:val="00E261FA"/>
    <w:rsid w:val="00E26778"/>
    <w:rsid w:val="00E27346"/>
    <w:rsid w:val="00E51E40"/>
    <w:rsid w:val="00E52C72"/>
    <w:rsid w:val="00E54F0D"/>
    <w:rsid w:val="00E5605F"/>
    <w:rsid w:val="00E56FD4"/>
    <w:rsid w:val="00E5731F"/>
    <w:rsid w:val="00E62A14"/>
    <w:rsid w:val="00E62CCF"/>
    <w:rsid w:val="00E71BC8"/>
    <w:rsid w:val="00E7260F"/>
    <w:rsid w:val="00E726E6"/>
    <w:rsid w:val="00E73F5D"/>
    <w:rsid w:val="00E756DA"/>
    <w:rsid w:val="00E77E4E"/>
    <w:rsid w:val="00E77FE5"/>
    <w:rsid w:val="00E836E7"/>
    <w:rsid w:val="00E879F6"/>
    <w:rsid w:val="00E955EE"/>
    <w:rsid w:val="00E96630"/>
    <w:rsid w:val="00E96B8D"/>
    <w:rsid w:val="00E96C02"/>
    <w:rsid w:val="00EA13FC"/>
    <w:rsid w:val="00EA706A"/>
    <w:rsid w:val="00EB65AE"/>
    <w:rsid w:val="00EB7345"/>
    <w:rsid w:val="00EB7992"/>
    <w:rsid w:val="00EC098C"/>
    <w:rsid w:val="00EC106A"/>
    <w:rsid w:val="00EC32A0"/>
    <w:rsid w:val="00ED7A2A"/>
    <w:rsid w:val="00EE086A"/>
    <w:rsid w:val="00EE65FE"/>
    <w:rsid w:val="00EE6B3A"/>
    <w:rsid w:val="00EF1D7F"/>
    <w:rsid w:val="00F05E4B"/>
    <w:rsid w:val="00F1104B"/>
    <w:rsid w:val="00F11976"/>
    <w:rsid w:val="00F13381"/>
    <w:rsid w:val="00F16B7D"/>
    <w:rsid w:val="00F227A6"/>
    <w:rsid w:val="00F31170"/>
    <w:rsid w:val="00F31E5F"/>
    <w:rsid w:val="00F36890"/>
    <w:rsid w:val="00F36F0D"/>
    <w:rsid w:val="00F42999"/>
    <w:rsid w:val="00F51ECD"/>
    <w:rsid w:val="00F57B45"/>
    <w:rsid w:val="00F57ED1"/>
    <w:rsid w:val="00F6100A"/>
    <w:rsid w:val="00F66565"/>
    <w:rsid w:val="00F74866"/>
    <w:rsid w:val="00F8015D"/>
    <w:rsid w:val="00F90DF9"/>
    <w:rsid w:val="00F919FC"/>
    <w:rsid w:val="00F93781"/>
    <w:rsid w:val="00F961D1"/>
    <w:rsid w:val="00FA038A"/>
    <w:rsid w:val="00FA2064"/>
    <w:rsid w:val="00FA26FD"/>
    <w:rsid w:val="00FA2814"/>
    <w:rsid w:val="00FA42D6"/>
    <w:rsid w:val="00FA4773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00C"/>
    <w:rsid w:val="00FC68B7"/>
    <w:rsid w:val="00FD3588"/>
    <w:rsid w:val="00FD3956"/>
    <w:rsid w:val="00FD45C9"/>
    <w:rsid w:val="00FD70F7"/>
    <w:rsid w:val="00FD7C13"/>
    <w:rsid w:val="00FE0275"/>
    <w:rsid w:val="00FE106A"/>
    <w:rsid w:val="00FE77CF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67A1"/>
  <w15:docId w15:val="{459282D2-905E-497E-BF00-3B5A956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4507-B58E-440A-9089-D13D866F9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B6E29-6FE5-479C-BE7A-F1709704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3F031-BE53-4F42-A646-CAB6C83B5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DEE91-40B0-41F2-B8E4-6EA244E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7</cp:revision>
  <cp:lastPrinted>2018-10-03T11:40:00Z</cp:lastPrinted>
  <dcterms:created xsi:type="dcterms:W3CDTF">2021-02-01T08:30:00Z</dcterms:created>
  <dcterms:modified xsi:type="dcterms:W3CDTF">2021-02-01T08:38:00Z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