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1188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11889" w:rsidP="00E11889">
            <w:pPr>
              <w:jc w:val="right"/>
            </w:pPr>
            <w:r w:rsidRPr="00E11889">
              <w:rPr>
                <w:sz w:val="40"/>
              </w:rPr>
              <w:t>ECE</w:t>
            </w:r>
            <w:r>
              <w:t>/TRANS/WP.29/GRSP/2021/12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11889" w:rsidP="00C97039">
            <w:pPr>
              <w:spacing w:before="240"/>
            </w:pPr>
            <w:r>
              <w:t>Distr. générale</w:t>
            </w:r>
          </w:p>
          <w:p w:rsidR="00E11889" w:rsidRDefault="00E11889" w:rsidP="00E11889">
            <w:pPr>
              <w:spacing w:line="240" w:lineRule="exact"/>
            </w:pPr>
            <w:r>
              <w:t>5 mars 2021</w:t>
            </w:r>
          </w:p>
          <w:p w:rsidR="00E11889" w:rsidRDefault="00E11889" w:rsidP="00E11889">
            <w:pPr>
              <w:spacing w:line="240" w:lineRule="exact"/>
            </w:pPr>
            <w:r>
              <w:t>Français</w:t>
            </w:r>
          </w:p>
          <w:p w:rsidR="00E11889" w:rsidRPr="00DB58B5" w:rsidRDefault="00E11889" w:rsidP="00E1188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11889" w:rsidRDefault="00E11889"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11889" w:rsidRDefault="00E11889" w:rsidP="00257168">
      <w:pPr>
        <w:spacing w:before="120" w:after="120" w:line="240" w:lineRule="exact"/>
        <w:rPr>
          <w:b/>
        </w:rPr>
      </w:pPr>
      <w:r>
        <w:rPr>
          <w:b/>
        </w:rPr>
        <w:t>Groupe de travail de la sécurité passive</w:t>
      </w:r>
    </w:p>
    <w:p w:rsidR="00E11889" w:rsidRDefault="00E11889" w:rsidP="00257168">
      <w:pPr>
        <w:spacing w:before="120" w:line="240" w:lineRule="exact"/>
        <w:rPr>
          <w:b/>
        </w:rPr>
      </w:pPr>
      <w:r>
        <w:rPr>
          <w:b/>
        </w:rPr>
        <w:t>Soixante-neuvième session</w:t>
      </w:r>
    </w:p>
    <w:p w:rsidR="00E11889" w:rsidRDefault="00E11889" w:rsidP="00257168">
      <w:pPr>
        <w:spacing w:line="240" w:lineRule="exact"/>
      </w:pPr>
      <w:r>
        <w:t>Genève, 17-21 mai 2021</w:t>
      </w:r>
    </w:p>
    <w:p w:rsidR="00E11889" w:rsidRDefault="00E11889" w:rsidP="00257168">
      <w:pPr>
        <w:spacing w:line="240" w:lineRule="exact"/>
      </w:pPr>
      <w:r>
        <w:t>Point 13 de l’ordre du jour provisoire</w:t>
      </w:r>
    </w:p>
    <w:p w:rsidR="00E11889" w:rsidRPr="00B840B6" w:rsidRDefault="00E11889" w:rsidP="00E11889">
      <w:pPr>
        <w:rPr>
          <w:b/>
          <w:lang w:val="fr-FR"/>
        </w:rPr>
      </w:pPr>
      <w:r w:rsidRPr="00B840B6">
        <w:rPr>
          <w:b/>
          <w:bCs/>
          <w:lang w:val="fr-FR"/>
        </w:rPr>
        <w:t xml:space="preserve">Règlement ONU </w:t>
      </w:r>
      <w:r>
        <w:rPr>
          <w:b/>
          <w:bCs/>
          <w:lang w:val="fr-FR"/>
        </w:rPr>
        <w:t>n</w:t>
      </w:r>
      <w:r w:rsidRPr="00E11889">
        <w:rPr>
          <w:b/>
          <w:bCs/>
          <w:vertAlign w:val="superscript"/>
          <w:lang w:val="fr-FR"/>
        </w:rPr>
        <w:t>o</w:t>
      </w:r>
      <w:r>
        <w:rPr>
          <w:b/>
          <w:bCs/>
          <w:lang w:val="fr-FR"/>
        </w:rPr>
        <w:t> </w:t>
      </w:r>
      <w:r w:rsidRPr="00B840B6">
        <w:rPr>
          <w:b/>
          <w:bCs/>
          <w:lang w:val="fr-FR"/>
        </w:rPr>
        <w:t>134 (Véhicules à hydrogène et</w:t>
      </w:r>
      <w:r>
        <w:rPr>
          <w:b/>
          <w:bCs/>
          <w:lang w:val="fr-FR"/>
        </w:rPr>
        <w:t xml:space="preserve"> </w:t>
      </w:r>
      <w:r w:rsidRPr="00B840B6">
        <w:rPr>
          <w:b/>
          <w:bCs/>
          <w:lang w:val="fr-FR"/>
        </w:rPr>
        <w:t>à</w:t>
      </w:r>
      <w:r>
        <w:rPr>
          <w:b/>
          <w:bCs/>
          <w:lang w:val="fr-FR"/>
        </w:rPr>
        <w:t xml:space="preserve"> </w:t>
      </w:r>
      <w:r w:rsidRPr="00B840B6">
        <w:rPr>
          <w:b/>
          <w:bCs/>
          <w:lang w:val="fr-FR"/>
        </w:rPr>
        <w:t>pile</w:t>
      </w:r>
      <w:r>
        <w:rPr>
          <w:b/>
          <w:bCs/>
          <w:lang w:val="fr-FR"/>
        </w:rPr>
        <w:t xml:space="preserve"> </w:t>
      </w:r>
      <w:r w:rsidRPr="00B840B6">
        <w:rPr>
          <w:b/>
          <w:bCs/>
          <w:lang w:val="fr-FR"/>
        </w:rPr>
        <w:t>à</w:t>
      </w:r>
      <w:r>
        <w:rPr>
          <w:b/>
          <w:bCs/>
          <w:lang w:val="fr-FR"/>
        </w:rPr>
        <w:t xml:space="preserve"> </w:t>
      </w:r>
      <w:r w:rsidRPr="00B840B6">
        <w:rPr>
          <w:b/>
          <w:bCs/>
          <w:lang w:val="fr-FR"/>
        </w:rPr>
        <w:t>combustible)</w:t>
      </w:r>
    </w:p>
    <w:p w:rsidR="00E11889" w:rsidRPr="00B840B6" w:rsidRDefault="00E11889" w:rsidP="00E11889">
      <w:pPr>
        <w:pStyle w:val="HChG"/>
        <w:rPr>
          <w:lang w:val="fr-FR"/>
        </w:rPr>
      </w:pPr>
      <w:r w:rsidRPr="00B840B6">
        <w:rPr>
          <w:lang w:val="fr-FR"/>
        </w:rPr>
        <w:tab/>
      </w:r>
      <w:r w:rsidRPr="00B840B6">
        <w:rPr>
          <w:lang w:val="fr-FR"/>
        </w:rPr>
        <w:tab/>
        <w:t>Proposition de complément</w:t>
      </w:r>
      <w:r>
        <w:rPr>
          <w:lang w:val="fr-FR"/>
        </w:rPr>
        <w:t> </w:t>
      </w:r>
      <w:r w:rsidRPr="00B840B6">
        <w:rPr>
          <w:lang w:val="fr-FR"/>
        </w:rPr>
        <w:t>4 à la version originale et de complément</w:t>
      </w:r>
      <w:r>
        <w:rPr>
          <w:lang w:val="fr-FR"/>
        </w:rPr>
        <w:t> </w:t>
      </w:r>
      <w:r w:rsidRPr="00B840B6">
        <w:rPr>
          <w:lang w:val="fr-FR"/>
        </w:rPr>
        <w:t>1 à la série</w:t>
      </w:r>
      <w:r>
        <w:rPr>
          <w:lang w:val="fr-FR"/>
        </w:rPr>
        <w:t> </w:t>
      </w:r>
      <w:r w:rsidRPr="00B840B6">
        <w:rPr>
          <w:lang w:val="fr-FR"/>
        </w:rPr>
        <w:t>01 d</w:t>
      </w:r>
      <w:r>
        <w:rPr>
          <w:lang w:val="fr-FR"/>
        </w:rPr>
        <w:t>’</w:t>
      </w:r>
      <w:r w:rsidRPr="00B840B6">
        <w:rPr>
          <w:lang w:val="fr-FR"/>
        </w:rPr>
        <w:t xml:space="preserve">amendements au Règlement ONU </w:t>
      </w:r>
      <w:r>
        <w:rPr>
          <w:lang w:val="fr-FR"/>
        </w:rPr>
        <w:t>n</w:t>
      </w:r>
      <w:r w:rsidRPr="00E11889">
        <w:rPr>
          <w:vertAlign w:val="superscript"/>
          <w:lang w:val="fr-FR"/>
        </w:rPr>
        <w:t>o</w:t>
      </w:r>
      <w:r>
        <w:rPr>
          <w:lang w:val="fr-FR"/>
        </w:rPr>
        <w:t> </w:t>
      </w:r>
      <w:r w:rsidRPr="00B840B6">
        <w:rPr>
          <w:lang w:val="fr-FR"/>
        </w:rPr>
        <w:t>134 (Véhicules à hydrogène et à pile à combustible)</w:t>
      </w:r>
    </w:p>
    <w:p w:rsidR="00E11889" w:rsidRPr="00B840B6" w:rsidRDefault="00E11889" w:rsidP="00E11889">
      <w:pPr>
        <w:pStyle w:val="H1G"/>
        <w:rPr>
          <w:lang w:val="fr-FR"/>
        </w:rPr>
      </w:pPr>
      <w:r w:rsidRPr="00B840B6">
        <w:rPr>
          <w:lang w:val="fr-FR"/>
        </w:rPr>
        <w:tab/>
      </w:r>
      <w:r w:rsidRPr="00B840B6">
        <w:rPr>
          <w:lang w:val="fr-FR"/>
        </w:rPr>
        <w:tab/>
        <w:t>Communication de l</w:t>
      </w:r>
      <w:r>
        <w:rPr>
          <w:lang w:val="fr-FR"/>
        </w:rPr>
        <w:t>’</w:t>
      </w:r>
      <w:r w:rsidRPr="00B840B6">
        <w:rPr>
          <w:lang w:val="fr-FR"/>
        </w:rPr>
        <w:t>expert de l</w:t>
      </w:r>
      <w:r>
        <w:rPr>
          <w:lang w:val="fr-FR"/>
        </w:rPr>
        <w:t>’</w:t>
      </w:r>
      <w:r w:rsidRPr="00B840B6">
        <w:rPr>
          <w:lang w:val="fr-FR"/>
        </w:rPr>
        <w:t>Organisation internationale des constructeurs d</w:t>
      </w:r>
      <w:r>
        <w:rPr>
          <w:lang w:val="fr-FR"/>
        </w:rPr>
        <w:t>’</w:t>
      </w:r>
      <w:r w:rsidRPr="00B840B6">
        <w:rPr>
          <w:lang w:val="fr-FR"/>
        </w:rPr>
        <w:t>automobiles</w:t>
      </w:r>
      <w:r w:rsidRPr="00E11889">
        <w:rPr>
          <w:rStyle w:val="Appelnotedebasdep"/>
          <w:b w:val="0"/>
          <w:bCs/>
          <w:sz w:val="20"/>
          <w:vertAlign w:val="baseline"/>
        </w:rPr>
        <w:footnoteReference w:customMarkFollows="1" w:id="2"/>
        <w:t>*</w:t>
      </w:r>
    </w:p>
    <w:p w:rsidR="00F9573C" w:rsidRDefault="00E11889" w:rsidP="00E11889">
      <w:pPr>
        <w:pStyle w:val="SingleTxtG"/>
        <w:ind w:firstLine="567"/>
        <w:rPr>
          <w:lang w:val="fr-FR"/>
        </w:rPr>
      </w:pPr>
      <w:r w:rsidRPr="00B840B6">
        <w:rPr>
          <w:lang w:val="fr-FR"/>
        </w:rPr>
        <w:t>Le texte reproduit ci-après, établi par les experts de l</w:t>
      </w:r>
      <w:r>
        <w:rPr>
          <w:lang w:val="fr-FR"/>
        </w:rPr>
        <w:t>’</w:t>
      </w:r>
      <w:r w:rsidRPr="00B840B6">
        <w:rPr>
          <w:lang w:val="fr-FR"/>
        </w:rPr>
        <w:t>Organisation internationale des constructeurs d</w:t>
      </w:r>
      <w:r>
        <w:rPr>
          <w:lang w:val="fr-FR"/>
        </w:rPr>
        <w:t>’</w:t>
      </w:r>
      <w:r w:rsidRPr="00B840B6">
        <w:rPr>
          <w:lang w:val="fr-FR"/>
        </w:rPr>
        <w:t>automobiles (OICA), vise à autoriser d</w:t>
      </w:r>
      <w:r>
        <w:rPr>
          <w:lang w:val="fr-FR"/>
        </w:rPr>
        <w:t>’</w:t>
      </w:r>
      <w:r w:rsidRPr="00B840B6">
        <w:rPr>
          <w:lang w:val="fr-FR"/>
        </w:rPr>
        <w:t>autres méthodes d</w:t>
      </w:r>
      <w:r>
        <w:rPr>
          <w:lang w:val="fr-FR"/>
        </w:rPr>
        <w:t>’</w:t>
      </w:r>
      <w:r w:rsidRPr="00B840B6">
        <w:rPr>
          <w:lang w:val="fr-FR"/>
        </w:rPr>
        <w:t>essai pour les véhicules utilitaires lourds afin d</w:t>
      </w:r>
      <w:r>
        <w:rPr>
          <w:lang w:val="fr-FR"/>
        </w:rPr>
        <w:t>’</w:t>
      </w:r>
      <w:r w:rsidRPr="00B840B6">
        <w:rPr>
          <w:lang w:val="fr-FR"/>
        </w:rPr>
        <w:t>améliorer l</w:t>
      </w:r>
      <w:r>
        <w:rPr>
          <w:lang w:val="fr-FR"/>
        </w:rPr>
        <w:t>’</w:t>
      </w:r>
      <w:r w:rsidRPr="00B840B6">
        <w:rPr>
          <w:lang w:val="fr-FR"/>
        </w:rPr>
        <w:t>applicabilité des prescriptions aux véhicules des catégories M</w:t>
      </w:r>
      <w:r w:rsidRPr="00B840B6">
        <w:rPr>
          <w:vertAlign w:val="subscript"/>
          <w:lang w:val="fr-FR"/>
        </w:rPr>
        <w:t>2</w:t>
      </w:r>
      <w:r w:rsidRPr="00B840B6">
        <w:rPr>
          <w:lang w:val="fr-FR"/>
        </w:rPr>
        <w:t>, M</w:t>
      </w:r>
      <w:r w:rsidRPr="00B840B6">
        <w:rPr>
          <w:vertAlign w:val="subscript"/>
          <w:lang w:val="fr-FR"/>
        </w:rPr>
        <w:t>3</w:t>
      </w:r>
      <w:r w:rsidRPr="00B840B6">
        <w:rPr>
          <w:lang w:val="fr-FR"/>
        </w:rPr>
        <w:t>, N</w:t>
      </w:r>
      <w:r w:rsidRPr="00B840B6">
        <w:rPr>
          <w:vertAlign w:val="subscript"/>
          <w:lang w:val="fr-FR"/>
        </w:rPr>
        <w:t>2</w:t>
      </w:r>
      <w:r w:rsidRPr="00B840B6">
        <w:rPr>
          <w:lang w:val="fr-FR"/>
        </w:rPr>
        <w:t xml:space="preserve"> et N</w:t>
      </w:r>
      <w:r w:rsidRPr="00B840B6">
        <w:rPr>
          <w:vertAlign w:val="subscript"/>
          <w:lang w:val="fr-FR"/>
        </w:rPr>
        <w:t>3</w:t>
      </w:r>
      <w:r w:rsidRPr="00B840B6">
        <w:rPr>
          <w:lang w:val="fr-FR"/>
        </w:rPr>
        <w:t>. Les modifications qu</w:t>
      </w:r>
      <w:r>
        <w:rPr>
          <w:lang w:val="fr-FR"/>
        </w:rPr>
        <w:t>’</w:t>
      </w:r>
      <w:r w:rsidRPr="00B840B6">
        <w:rPr>
          <w:lang w:val="fr-FR"/>
        </w:rPr>
        <w:t>il est proposé d</w:t>
      </w:r>
      <w:r>
        <w:rPr>
          <w:lang w:val="fr-FR"/>
        </w:rPr>
        <w:t>’</w:t>
      </w:r>
      <w:r w:rsidRPr="00B840B6">
        <w:rPr>
          <w:lang w:val="fr-FR"/>
        </w:rPr>
        <w:t>apporter au texte actuel du Règlement ONU figurent en caractères gras pour les ajouts et biffés pour les suppressions.</w:t>
      </w:r>
    </w:p>
    <w:p w:rsidR="00E11889" w:rsidRDefault="00E11889" w:rsidP="00E11889">
      <w:pPr>
        <w:pStyle w:val="SingleTxtG"/>
        <w:ind w:firstLine="567"/>
        <w:rPr>
          <w:lang w:val="fr-FR"/>
        </w:rPr>
      </w:pPr>
      <w:r>
        <w:rPr>
          <w:lang w:val="fr-FR"/>
        </w:rPr>
        <w:br w:type="page"/>
      </w:r>
    </w:p>
    <w:p w:rsidR="00E11889" w:rsidRPr="00B840B6" w:rsidRDefault="00E11889" w:rsidP="00E11889">
      <w:pPr>
        <w:pStyle w:val="HChG"/>
        <w:rPr>
          <w:lang w:val="fr-FR"/>
        </w:rPr>
      </w:pPr>
      <w:r w:rsidRPr="00B840B6">
        <w:rPr>
          <w:lang w:val="fr-FR"/>
        </w:rPr>
        <w:lastRenderedPageBreak/>
        <w:tab/>
        <w:t>I.</w:t>
      </w:r>
      <w:r w:rsidRPr="00B840B6">
        <w:rPr>
          <w:lang w:val="fr-FR"/>
        </w:rPr>
        <w:tab/>
        <w:t>Proposition</w:t>
      </w:r>
    </w:p>
    <w:p w:rsidR="00E11889" w:rsidRPr="00B840B6" w:rsidRDefault="00E11889" w:rsidP="00E11889">
      <w:pPr>
        <w:pStyle w:val="SingleTxtG"/>
        <w:rPr>
          <w:i/>
          <w:lang w:val="fr-FR"/>
        </w:rPr>
      </w:pPr>
      <w:r w:rsidRPr="00B840B6">
        <w:rPr>
          <w:i/>
          <w:iCs/>
          <w:lang w:val="fr-FR"/>
        </w:rPr>
        <w:t>Paragraphe</w:t>
      </w:r>
      <w:r w:rsidR="00447067">
        <w:rPr>
          <w:i/>
          <w:iCs/>
          <w:lang w:val="fr-FR"/>
        </w:rPr>
        <w:t> </w:t>
      </w:r>
      <w:r w:rsidRPr="00B840B6">
        <w:rPr>
          <w:i/>
          <w:iCs/>
          <w:lang w:val="fr-FR"/>
        </w:rPr>
        <w:t>2.7,</w:t>
      </w:r>
      <w:r w:rsidRPr="00B840B6">
        <w:rPr>
          <w:lang w:val="fr-FR"/>
        </w:rPr>
        <w:t xml:space="preserve"> lire</w:t>
      </w:r>
      <w:r>
        <w:rPr>
          <w:lang w:val="fr-FR"/>
        </w:rPr>
        <w:t> </w:t>
      </w:r>
      <w:r w:rsidRPr="00B840B6">
        <w:rPr>
          <w:lang w:val="fr-FR"/>
        </w:rPr>
        <w:t>:</w:t>
      </w:r>
    </w:p>
    <w:p w:rsidR="00E11889" w:rsidRPr="00B840B6" w:rsidRDefault="00E11889" w:rsidP="00E11889">
      <w:pPr>
        <w:pStyle w:val="SingleTxtG"/>
        <w:ind w:left="2268" w:hanging="1134"/>
        <w:rPr>
          <w:b/>
          <w:lang w:val="fr-FR"/>
        </w:rPr>
      </w:pPr>
      <w:r w:rsidRPr="00B840B6">
        <w:rPr>
          <w:lang w:val="fr-FR"/>
        </w:rPr>
        <w:t>« 2.7</w:t>
      </w:r>
      <w:r w:rsidRPr="00B840B6">
        <w:rPr>
          <w:lang w:val="fr-FR"/>
        </w:rPr>
        <w:tab/>
        <w:t>«</w:t>
      </w:r>
      <w:r>
        <w:rPr>
          <w:lang w:val="fr-FR"/>
        </w:rPr>
        <w:t> </w:t>
      </w:r>
      <w:r w:rsidRPr="00B840B6">
        <w:rPr>
          <w:i/>
          <w:iCs/>
          <w:lang w:val="fr-FR"/>
        </w:rPr>
        <w:t>Espaces fermés ou semi-fermés</w:t>
      </w:r>
      <w:r>
        <w:rPr>
          <w:i/>
          <w:iCs/>
          <w:lang w:val="fr-FR"/>
        </w:rPr>
        <w:t> </w:t>
      </w:r>
      <w:r w:rsidRPr="00B840B6">
        <w:rPr>
          <w:lang w:val="fr-FR"/>
        </w:rPr>
        <w:t xml:space="preserve">», les volumes </w:t>
      </w:r>
      <w:r w:rsidRPr="00D7206E">
        <w:rPr>
          <w:lang w:val="fr-FR"/>
        </w:rPr>
        <w:t>distincts contenus</w:t>
      </w:r>
      <w:r w:rsidRPr="00B840B6">
        <w:rPr>
          <w:b/>
          <w:lang w:val="fr-FR"/>
        </w:rPr>
        <w:t xml:space="preserve"> </w:t>
      </w:r>
      <w:r w:rsidRPr="00B840B6">
        <w:rPr>
          <w:lang w:val="fr-FR"/>
        </w:rPr>
        <w:t>à l</w:t>
      </w:r>
      <w:r>
        <w:rPr>
          <w:lang w:val="fr-FR"/>
        </w:rPr>
        <w:t>’</w:t>
      </w:r>
      <w:r w:rsidRPr="00B840B6">
        <w:rPr>
          <w:lang w:val="fr-FR"/>
        </w:rPr>
        <w:t xml:space="preserve">intérieur du véhicule (ou du contour du véhicule </w:t>
      </w:r>
      <w:r w:rsidRPr="00D7206E">
        <w:rPr>
          <w:lang w:val="fr-FR"/>
        </w:rPr>
        <w:t>croisant</w:t>
      </w:r>
      <w:r w:rsidRPr="00B840B6">
        <w:rPr>
          <w:lang w:val="fr-FR"/>
        </w:rPr>
        <w:t xml:space="preserve"> des ouvertures) qui sont extérieurs au système hydrogène (système de stockage, système de pile à combustible et système de gestion du débit) et de ses </w:t>
      </w:r>
      <w:r w:rsidRPr="00D7206E">
        <w:rPr>
          <w:lang w:val="fr-FR"/>
        </w:rPr>
        <w:t>logements</w:t>
      </w:r>
      <w:r w:rsidRPr="00B840B6">
        <w:rPr>
          <w:lang w:val="fr-FR"/>
        </w:rPr>
        <w:t xml:space="preserve"> (si </w:t>
      </w:r>
      <w:r w:rsidRPr="00D7206E">
        <w:rPr>
          <w:lang w:val="fr-FR"/>
        </w:rPr>
        <w:t>ceux-ci</w:t>
      </w:r>
      <w:r w:rsidRPr="00B840B6">
        <w:rPr>
          <w:b/>
          <w:lang w:val="fr-FR"/>
        </w:rPr>
        <w:t xml:space="preserve"> </w:t>
      </w:r>
      <w:r w:rsidRPr="00B840B6">
        <w:rPr>
          <w:lang w:val="fr-FR"/>
        </w:rPr>
        <w:t>existent) où l</w:t>
      </w:r>
      <w:r>
        <w:rPr>
          <w:lang w:val="fr-FR"/>
        </w:rPr>
        <w:t>’</w:t>
      </w:r>
      <w:r w:rsidRPr="00B840B6">
        <w:rPr>
          <w:lang w:val="fr-FR"/>
        </w:rPr>
        <w:t>hydrogène peut s</w:t>
      </w:r>
      <w:r>
        <w:rPr>
          <w:lang w:val="fr-FR"/>
        </w:rPr>
        <w:t>’</w:t>
      </w:r>
      <w:r w:rsidRPr="00B840B6">
        <w:rPr>
          <w:lang w:val="fr-FR"/>
        </w:rPr>
        <w:t>accumuler (avec le danger qui en résulte)</w:t>
      </w:r>
      <w:r w:rsidRPr="00B840B6">
        <w:rPr>
          <w:strike/>
          <w:lang w:val="fr-FR"/>
        </w:rPr>
        <w:t>, comme cela peut se produire dans l</w:t>
      </w:r>
      <w:r>
        <w:rPr>
          <w:strike/>
          <w:lang w:val="fr-FR"/>
        </w:rPr>
        <w:t>’</w:t>
      </w:r>
      <w:r w:rsidRPr="00B840B6">
        <w:rPr>
          <w:strike/>
          <w:lang w:val="fr-FR"/>
        </w:rPr>
        <w:t>habitacle, le compartiment à bagages et l</w:t>
      </w:r>
      <w:r>
        <w:rPr>
          <w:strike/>
          <w:lang w:val="fr-FR"/>
        </w:rPr>
        <w:t>’</w:t>
      </w:r>
      <w:r w:rsidRPr="00B840B6">
        <w:rPr>
          <w:strike/>
          <w:lang w:val="fr-FR"/>
        </w:rPr>
        <w:t>espace situé sous le capot</w:t>
      </w:r>
      <w:r w:rsidRPr="00B840B6">
        <w:rPr>
          <w:lang w:val="fr-FR"/>
        </w:rPr>
        <w:t>. ».</w:t>
      </w:r>
    </w:p>
    <w:p w:rsidR="00E11889" w:rsidRPr="00B840B6" w:rsidRDefault="00E11889" w:rsidP="00E11889">
      <w:pPr>
        <w:pStyle w:val="SingleTxtG"/>
        <w:rPr>
          <w:lang w:val="fr-FR"/>
        </w:rPr>
      </w:pPr>
      <w:r w:rsidRPr="00B840B6">
        <w:rPr>
          <w:i/>
          <w:iCs/>
          <w:lang w:val="fr-FR"/>
        </w:rPr>
        <w:t>Paragraphe</w:t>
      </w:r>
      <w:r w:rsidR="00447067">
        <w:rPr>
          <w:i/>
          <w:iCs/>
          <w:lang w:val="fr-FR"/>
        </w:rPr>
        <w:t> </w:t>
      </w:r>
      <w:r w:rsidRPr="00B840B6">
        <w:rPr>
          <w:i/>
          <w:iCs/>
          <w:lang w:val="fr-FR"/>
        </w:rPr>
        <w:t>5,</w:t>
      </w:r>
      <w:r w:rsidRPr="00B840B6">
        <w:rPr>
          <w:lang w:val="fr-FR"/>
        </w:rPr>
        <w:t xml:space="preserve"> lire</w:t>
      </w:r>
      <w:r>
        <w:rPr>
          <w:lang w:val="fr-FR"/>
        </w:rPr>
        <w:t> </w:t>
      </w:r>
      <w:r w:rsidRPr="00B840B6">
        <w:rPr>
          <w:lang w:val="fr-FR"/>
        </w:rPr>
        <w:t>:</w:t>
      </w:r>
    </w:p>
    <w:p w:rsidR="00E11889" w:rsidRPr="00B840B6" w:rsidRDefault="00E11889" w:rsidP="00E11889">
      <w:pPr>
        <w:pStyle w:val="HChG"/>
        <w:ind w:left="2268" w:right="0"/>
        <w:rPr>
          <w:lang w:val="fr-FR"/>
        </w:rPr>
      </w:pPr>
      <w:r w:rsidRPr="00B840B6">
        <w:rPr>
          <w:szCs w:val="14"/>
          <w:lang w:val="fr-FR"/>
        </w:rPr>
        <w:t>« </w:t>
      </w:r>
      <w:r w:rsidRPr="00B840B6">
        <w:rPr>
          <w:lang w:val="fr-FR"/>
        </w:rPr>
        <w:t>5.</w:t>
      </w:r>
      <w:r w:rsidRPr="00B840B6">
        <w:rPr>
          <w:lang w:val="fr-FR"/>
        </w:rPr>
        <w:tab/>
        <w:t>Partie I − Spécifications du système de stockage de</w:t>
      </w:r>
      <w:r>
        <w:rPr>
          <w:lang w:val="fr-FR"/>
        </w:rPr>
        <w:t> </w:t>
      </w:r>
      <w:r w:rsidRPr="00B840B6">
        <w:rPr>
          <w:lang w:val="fr-FR"/>
        </w:rPr>
        <w:t>l</w:t>
      </w:r>
      <w:r>
        <w:rPr>
          <w:lang w:val="fr-FR"/>
        </w:rPr>
        <w:t>’</w:t>
      </w:r>
      <w:r w:rsidRPr="00B840B6">
        <w:rPr>
          <w:lang w:val="fr-FR"/>
        </w:rPr>
        <w:t>hydrogène comprimé</w:t>
      </w:r>
    </w:p>
    <w:p w:rsidR="00E11889" w:rsidRPr="00B840B6" w:rsidRDefault="00E11889" w:rsidP="00E11889">
      <w:pPr>
        <w:pStyle w:val="SingleTxtG"/>
        <w:ind w:left="2268"/>
        <w:rPr>
          <w:b/>
          <w:lang w:val="fr-FR"/>
        </w:rPr>
      </w:pPr>
      <w:r w:rsidRPr="00B840B6">
        <w:rPr>
          <w:lang w:val="fr-FR"/>
        </w:rPr>
        <w:tab/>
      </w:r>
      <w:r w:rsidRPr="00D7206E">
        <w:rPr>
          <w:lang w:val="fr-FR"/>
        </w:rPr>
        <w:t>La</w:t>
      </w:r>
      <w:r w:rsidRPr="00B840B6">
        <w:rPr>
          <w:b/>
          <w:lang w:val="fr-FR"/>
        </w:rPr>
        <w:t xml:space="preserve"> </w:t>
      </w:r>
      <w:r w:rsidRPr="00B840B6">
        <w:rPr>
          <w:lang w:val="fr-FR"/>
        </w:rPr>
        <w:t>présente partie contient les prescriptions</w:t>
      </w:r>
      <w:r w:rsidR="00447067">
        <w:rPr>
          <w:lang w:val="fr-FR"/>
        </w:rPr>
        <w:t xml:space="preserve"> </w:t>
      </w:r>
      <w:r w:rsidR="00DE65C2">
        <w:rPr>
          <w:lang w:val="fr-FR"/>
        </w:rPr>
        <w:t>.</w:t>
      </w:r>
      <w:r w:rsidRPr="00B840B6">
        <w:rPr>
          <w:lang w:val="fr-FR"/>
        </w:rPr>
        <w:t>..</w:t>
      </w:r>
    </w:p>
    <w:p w:rsidR="00E11889" w:rsidRPr="00B840B6" w:rsidRDefault="00E11889" w:rsidP="00E11889">
      <w:pPr>
        <w:pStyle w:val="SingleTxtG"/>
        <w:ind w:left="2268"/>
        <w:rPr>
          <w:lang w:val="fr-FR"/>
        </w:rPr>
      </w:pPr>
      <w:r w:rsidRPr="00B840B6">
        <w:rPr>
          <w:lang w:val="fr-FR"/>
        </w:rPr>
        <w:t>…</w:t>
      </w:r>
    </w:p>
    <w:p w:rsidR="00E11889" w:rsidRPr="00B840B6" w:rsidRDefault="00E11889" w:rsidP="00E11889">
      <w:pPr>
        <w:pStyle w:val="SingleTxtG"/>
        <w:ind w:left="2268"/>
        <w:rPr>
          <w:lang w:val="fr-FR"/>
        </w:rPr>
      </w:pPr>
      <w:r w:rsidRPr="00B840B6">
        <w:rPr>
          <w:lang w:val="fr-FR"/>
        </w:rPr>
        <w:t xml:space="preserve">Tous les nouveaux </w:t>
      </w:r>
      <w:bookmarkStart w:id="0" w:name="_Hlk66204022"/>
      <w:r w:rsidRPr="00B840B6">
        <w:rPr>
          <w:lang w:val="fr-FR"/>
        </w:rPr>
        <w:t>systèmes de stockage de l</w:t>
      </w:r>
      <w:r>
        <w:rPr>
          <w:lang w:val="fr-FR"/>
        </w:rPr>
        <w:t>’</w:t>
      </w:r>
      <w:r w:rsidRPr="00B840B6">
        <w:rPr>
          <w:lang w:val="fr-FR"/>
        </w:rPr>
        <w:t xml:space="preserve">hydrogène comprimé </w:t>
      </w:r>
      <w:bookmarkEnd w:id="0"/>
      <w:r w:rsidRPr="00B840B6">
        <w:rPr>
          <w:lang w:val="fr-FR"/>
        </w:rPr>
        <w:t>fabriqués pour des véhicules d</w:t>
      </w:r>
      <w:r>
        <w:rPr>
          <w:lang w:val="fr-FR"/>
        </w:rPr>
        <w:t>’</w:t>
      </w:r>
      <w:r w:rsidRPr="00B840B6">
        <w:rPr>
          <w:lang w:val="fr-FR"/>
        </w:rPr>
        <w:t>usage routier doivent avoir une PSN inférieure ou égale à 70</w:t>
      </w:r>
      <w:r>
        <w:rPr>
          <w:lang w:val="fr-FR"/>
        </w:rPr>
        <w:t> </w:t>
      </w:r>
      <w:r w:rsidRPr="00B840B6">
        <w:rPr>
          <w:lang w:val="fr-FR"/>
        </w:rPr>
        <w:t xml:space="preserve">MPa et une durée de vie en service maximale de </w:t>
      </w:r>
      <w:r w:rsidRPr="00B840B6">
        <w:rPr>
          <w:strike/>
          <w:lang w:val="fr-FR"/>
        </w:rPr>
        <w:t>15</w:t>
      </w:r>
      <w:r w:rsidRPr="00B840B6">
        <w:rPr>
          <w:b/>
          <w:lang w:val="fr-FR"/>
        </w:rPr>
        <w:t>20</w:t>
      </w:r>
      <w:r w:rsidRPr="00B840B6">
        <w:rPr>
          <w:lang w:val="fr-FR"/>
        </w:rPr>
        <w:t xml:space="preserve"> ans et être capables de satisfaire aux prescriptions du paragraphe</w:t>
      </w:r>
      <w:r>
        <w:rPr>
          <w:lang w:val="fr-FR"/>
        </w:rPr>
        <w:t> </w:t>
      </w:r>
      <w:r w:rsidRPr="00B840B6">
        <w:rPr>
          <w:lang w:val="fr-FR"/>
        </w:rPr>
        <w:t>5.</w:t>
      </w:r>
    </w:p>
    <w:p w:rsidR="00E11889" w:rsidRPr="00B840B6" w:rsidRDefault="00E11889" w:rsidP="00E11889">
      <w:pPr>
        <w:pStyle w:val="SingleTxtG"/>
        <w:ind w:left="2268"/>
        <w:rPr>
          <w:lang w:val="fr-FR"/>
        </w:rPr>
      </w:pPr>
      <w:r w:rsidRPr="00B840B6">
        <w:rPr>
          <w:lang w:val="fr-FR"/>
        </w:rPr>
        <w:t>… ».</w:t>
      </w:r>
    </w:p>
    <w:p w:rsidR="00E11889" w:rsidRPr="00B840B6" w:rsidRDefault="00E11889" w:rsidP="00E11889">
      <w:pPr>
        <w:pStyle w:val="SingleTxtG"/>
        <w:rPr>
          <w:color w:val="000000" w:themeColor="text1"/>
          <w:lang w:val="fr-FR"/>
        </w:rPr>
      </w:pPr>
      <w:r w:rsidRPr="00B840B6">
        <w:rPr>
          <w:i/>
          <w:iCs/>
          <w:lang w:val="fr-FR"/>
        </w:rPr>
        <w:t>Paragraphe</w:t>
      </w:r>
      <w:r w:rsidR="00447067">
        <w:rPr>
          <w:i/>
          <w:iCs/>
          <w:lang w:val="fr-FR"/>
        </w:rPr>
        <w:t> </w:t>
      </w:r>
      <w:r w:rsidRPr="00B840B6">
        <w:rPr>
          <w:i/>
          <w:iCs/>
          <w:lang w:val="fr-FR"/>
        </w:rPr>
        <w:t xml:space="preserve">5.1.2, </w:t>
      </w:r>
      <w:r w:rsidRPr="00B840B6">
        <w:rPr>
          <w:lang w:val="fr-FR"/>
        </w:rPr>
        <w:t>lire</w:t>
      </w:r>
      <w:r>
        <w:rPr>
          <w:lang w:val="fr-FR"/>
        </w:rPr>
        <w:t> </w:t>
      </w:r>
      <w:r w:rsidRPr="00B840B6">
        <w:rPr>
          <w:lang w:val="fr-FR"/>
        </w:rPr>
        <w:t>:</w:t>
      </w:r>
    </w:p>
    <w:p w:rsidR="00E11889" w:rsidRPr="00B840B6" w:rsidRDefault="00E11889" w:rsidP="00E11889">
      <w:pPr>
        <w:pStyle w:val="SingleTxtG"/>
        <w:ind w:left="2268" w:right="0" w:hanging="1134"/>
        <w:rPr>
          <w:color w:val="000000" w:themeColor="text1"/>
          <w:lang w:val="fr-FR" w:eastAsia="ja-JP"/>
        </w:rPr>
      </w:pPr>
      <w:r w:rsidRPr="00B840B6">
        <w:rPr>
          <w:color w:val="000000" w:themeColor="text1"/>
          <w:lang w:val="fr-FR" w:eastAsia="ja-JP"/>
        </w:rPr>
        <w:t>« 5.1.2</w:t>
      </w:r>
      <w:r w:rsidRPr="00B840B6">
        <w:rPr>
          <w:color w:val="000000" w:themeColor="text1"/>
          <w:lang w:val="fr-FR" w:eastAsia="ja-JP"/>
        </w:rPr>
        <w:tab/>
      </w:r>
      <w:r>
        <w:rPr>
          <w:color w:val="000000" w:themeColor="text1"/>
          <w:lang w:val="fr-FR" w:eastAsia="ja-JP"/>
        </w:rPr>
        <w:tab/>
      </w:r>
      <w:r w:rsidRPr="00B840B6">
        <w:rPr>
          <w:color w:val="000000" w:themeColor="text1"/>
          <w:lang w:val="fr-FR" w:eastAsia="ja-JP"/>
        </w:rPr>
        <w:t>Nombre de cycles de pression initiale de référence</w:t>
      </w:r>
    </w:p>
    <w:p w:rsidR="00E11889" w:rsidRPr="00B840B6" w:rsidRDefault="00E11889" w:rsidP="00E11889">
      <w:pPr>
        <w:pStyle w:val="SingleTxtG"/>
        <w:ind w:left="2268"/>
        <w:rPr>
          <w:color w:val="000000" w:themeColor="text1"/>
          <w:lang w:val="fr-FR" w:eastAsia="ja-JP"/>
        </w:rPr>
      </w:pPr>
      <w:r w:rsidRPr="00B840B6">
        <w:rPr>
          <w:color w:val="000000" w:themeColor="text1"/>
          <w:lang w:val="fr-FR" w:eastAsia="ja-JP"/>
        </w:rPr>
        <w:t xml:space="preserve">Trois (3) réservoirs doivent être soumis à des cycles de pression hydraulique, à une température de 20 (± 5) °C à 125 % de la PSN (+ 2/– 0 MPa) sans subir de rupture pendant 22 000 cycles </w:t>
      </w:r>
      <w:bookmarkStart w:id="1" w:name="_Hlk66203086"/>
      <w:r w:rsidRPr="00B840B6">
        <w:rPr>
          <w:b/>
          <w:color w:val="000000" w:themeColor="text1"/>
          <w:lang w:val="fr-FR" w:eastAsia="ja-JP"/>
        </w:rPr>
        <w:t xml:space="preserve">pour une durée de vie en service de 15 ans ou 30 000 cycles pour une durée de vie en service de 20 ans </w:t>
      </w:r>
      <w:bookmarkEnd w:id="1"/>
      <w:r w:rsidRPr="00B840B6">
        <w:rPr>
          <w:color w:val="000000" w:themeColor="text1"/>
          <w:lang w:val="fr-FR" w:eastAsia="ja-JP"/>
        </w:rPr>
        <w:t>ou jusqu</w:t>
      </w:r>
      <w:r>
        <w:rPr>
          <w:color w:val="000000" w:themeColor="text1"/>
          <w:lang w:val="fr-FR" w:eastAsia="ja-JP"/>
        </w:rPr>
        <w:t>’</w:t>
      </w:r>
      <w:r w:rsidRPr="00B840B6">
        <w:rPr>
          <w:color w:val="000000" w:themeColor="text1"/>
          <w:lang w:val="fr-FR" w:eastAsia="ja-JP"/>
        </w:rPr>
        <w:t>à l</w:t>
      </w:r>
      <w:r>
        <w:rPr>
          <w:color w:val="000000" w:themeColor="text1"/>
          <w:lang w:val="fr-FR" w:eastAsia="ja-JP"/>
        </w:rPr>
        <w:t>’</w:t>
      </w:r>
      <w:r w:rsidRPr="00B840B6">
        <w:rPr>
          <w:color w:val="000000" w:themeColor="text1"/>
          <w:lang w:val="fr-FR" w:eastAsia="ja-JP"/>
        </w:rPr>
        <w:t>apparition d</w:t>
      </w:r>
      <w:r>
        <w:rPr>
          <w:color w:val="000000" w:themeColor="text1"/>
          <w:lang w:val="fr-FR" w:eastAsia="ja-JP"/>
        </w:rPr>
        <w:t>’</w:t>
      </w:r>
      <w:r w:rsidRPr="00B840B6">
        <w:rPr>
          <w:color w:val="000000" w:themeColor="text1"/>
          <w:lang w:val="fr-FR" w:eastAsia="ja-JP"/>
        </w:rPr>
        <w:t>une fuite (annexe</w:t>
      </w:r>
      <w:r w:rsidR="00447067">
        <w:rPr>
          <w:color w:val="000000" w:themeColor="text1"/>
          <w:lang w:val="fr-FR" w:eastAsia="ja-JP"/>
        </w:rPr>
        <w:t> </w:t>
      </w:r>
      <w:r w:rsidRPr="00B840B6">
        <w:rPr>
          <w:color w:val="000000" w:themeColor="text1"/>
          <w:lang w:val="fr-FR" w:eastAsia="ja-JP"/>
        </w:rPr>
        <w:t>3, par</w:t>
      </w:r>
      <w:r w:rsidR="00447067">
        <w:rPr>
          <w:color w:val="000000" w:themeColor="text1"/>
          <w:lang w:val="fr-FR" w:eastAsia="ja-JP"/>
        </w:rPr>
        <w:t>. </w:t>
      </w:r>
      <w:r w:rsidRPr="00B840B6">
        <w:rPr>
          <w:color w:val="000000" w:themeColor="text1"/>
          <w:lang w:val="fr-FR" w:eastAsia="ja-JP"/>
        </w:rPr>
        <w:t>2.2, procédure d</w:t>
      </w:r>
      <w:r>
        <w:rPr>
          <w:color w:val="000000" w:themeColor="text1"/>
          <w:lang w:val="fr-FR" w:eastAsia="ja-JP"/>
        </w:rPr>
        <w:t>’</w:t>
      </w:r>
      <w:r w:rsidRPr="00B840B6">
        <w:rPr>
          <w:color w:val="000000" w:themeColor="text1"/>
          <w:lang w:val="fr-FR" w:eastAsia="ja-JP"/>
        </w:rPr>
        <w:t>essai).</w:t>
      </w:r>
      <w:r w:rsidRPr="00B840B6">
        <w:rPr>
          <w:b/>
          <w:color w:val="000000" w:themeColor="text1"/>
          <w:lang w:val="fr-FR" w:eastAsia="ja-JP"/>
        </w:rPr>
        <w:t xml:space="preserve"> À la demande du constructeur, une augmentation de la durée de vie en service pour les véhicules des catégories M</w:t>
      </w:r>
      <w:r w:rsidRPr="00B840B6">
        <w:rPr>
          <w:b/>
          <w:color w:val="000000" w:themeColor="text1"/>
          <w:vertAlign w:val="subscript"/>
          <w:lang w:val="fr-FR" w:eastAsia="ja-JP"/>
        </w:rPr>
        <w:t>2</w:t>
      </w:r>
      <w:r w:rsidRPr="00B840B6">
        <w:rPr>
          <w:b/>
          <w:color w:val="000000" w:themeColor="text1"/>
          <w:lang w:val="fr-FR" w:eastAsia="ja-JP"/>
        </w:rPr>
        <w:t>, M</w:t>
      </w:r>
      <w:r w:rsidRPr="00B840B6">
        <w:rPr>
          <w:b/>
          <w:color w:val="000000" w:themeColor="text1"/>
          <w:vertAlign w:val="subscript"/>
          <w:lang w:val="fr-FR" w:eastAsia="ja-JP"/>
        </w:rPr>
        <w:t>3</w:t>
      </w:r>
      <w:r w:rsidRPr="00B840B6">
        <w:rPr>
          <w:b/>
          <w:color w:val="000000" w:themeColor="text1"/>
          <w:lang w:val="fr-FR" w:eastAsia="ja-JP"/>
        </w:rPr>
        <w:t>, N</w:t>
      </w:r>
      <w:r w:rsidRPr="00B840B6">
        <w:rPr>
          <w:b/>
          <w:color w:val="000000" w:themeColor="text1"/>
          <w:vertAlign w:val="subscript"/>
          <w:lang w:val="fr-FR" w:eastAsia="ja-JP"/>
        </w:rPr>
        <w:t>2</w:t>
      </w:r>
      <w:r w:rsidRPr="00B840B6">
        <w:rPr>
          <w:b/>
          <w:color w:val="000000" w:themeColor="text1"/>
          <w:lang w:val="fr-FR" w:eastAsia="ja-JP"/>
        </w:rPr>
        <w:t xml:space="preserve"> et N</w:t>
      </w:r>
      <w:r w:rsidRPr="00B840B6">
        <w:rPr>
          <w:b/>
          <w:color w:val="000000" w:themeColor="text1"/>
          <w:vertAlign w:val="subscript"/>
          <w:lang w:val="fr-FR" w:eastAsia="ja-JP"/>
        </w:rPr>
        <w:t>3</w:t>
      </w:r>
      <w:r w:rsidRPr="00B840B6">
        <w:rPr>
          <w:b/>
          <w:color w:val="000000" w:themeColor="text1"/>
          <w:lang w:val="fr-FR" w:eastAsia="ja-JP"/>
        </w:rPr>
        <w:t xml:space="preserve"> peut être accordée en augmentant le nombre de cycles, une année de service supplémentaire nécessitant un supplément de 750 cycles, avec un maximum de 15</w:t>
      </w:r>
      <w:r>
        <w:rPr>
          <w:b/>
          <w:color w:val="000000" w:themeColor="text1"/>
          <w:lang w:val="fr-FR" w:eastAsia="ja-JP"/>
        </w:rPr>
        <w:t> </w:t>
      </w:r>
      <w:r w:rsidRPr="00B840B6">
        <w:rPr>
          <w:b/>
          <w:color w:val="000000" w:themeColor="text1"/>
          <w:lang w:val="fr-FR" w:eastAsia="ja-JP"/>
        </w:rPr>
        <w:t>000</w:t>
      </w:r>
      <w:r>
        <w:rPr>
          <w:b/>
          <w:color w:val="000000" w:themeColor="text1"/>
          <w:lang w:val="fr-FR" w:eastAsia="ja-JP"/>
        </w:rPr>
        <w:t> </w:t>
      </w:r>
      <w:r w:rsidRPr="00B840B6">
        <w:rPr>
          <w:b/>
          <w:color w:val="000000" w:themeColor="text1"/>
          <w:lang w:val="fr-FR" w:eastAsia="ja-JP"/>
        </w:rPr>
        <w:t>cycles pour une durée de vie en service de 20 ans.</w:t>
      </w:r>
      <w:r w:rsidRPr="00B840B6">
        <w:rPr>
          <w:color w:val="000000" w:themeColor="text1"/>
          <w:lang w:val="fr-FR" w:eastAsia="ja-JP"/>
        </w:rPr>
        <w:t xml:space="preserve"> Ils ne doivent pas présenter de fuite avant 11</w:t>
      </w:r>
      <w:r w:rsidR="00447067">
        <w:rPr>
          <w:color w:val="000000" w:themeColor="text1"/>
          <w:lang w:val="fr-FR" w:eastAsia="ja-JP"/>
        </w:rPr>
        <w:t> </w:t>
      </w:r>
      <w:r w:rsidRPr="00B840B6">
        <w:rPr>
          <w:color w:val="000000" w:themeColor="text1"/>
          <w:lang w:val="fr-FR" w:eastAsia="ja-JP"/>
        </w:rPr>
        <w:t>000</w:t>
      </w:r>
      <w:r w:rsidR="00447067">
        <w:rPr>
          <w:color w:val="000000" w:themeColor="text1"/>
          <w:lang w:val="fr-FR" w:eastAsia="ja-JP"/>
        </w:rPr>
        <w:t> </w:t>
      </w:r>
      <w:r w:rsidRPr="00B840B6">
        <w:rPr>
          <w:color w:val="000000" w:themeColor="text1"/>
          <w:lang w:val="fr-FR" w:eastAsia="ja-JP"/>
        </w:rPr>
        <w:t xml:space="preserve">cycles pour une durée de </w:t>
      </w:r>
      <w:r w:rsidRPr="00D7206E">
        <w:rPr>
          <w:color w:val="000000" w:themeColor="text1"/>
          <w:lang w:val="fr-FR" w:eastAsia="ja-JP"/>
        </w:rPr>
        <w:t>vie en</w:t>
      </w:r>
      <w:r w:rsidRPr="00B840B6">
        <w:rPr>
          <w:strike/>
          <w:color w:val="000000" w:themeColor="text1"/>
          <w:lang w:val="fr-FR" w:eastAsia="ja-JP"/>
        </w:rPr>
        <w:t xml:space="preserve"> </w:t>
      </w:r>
      <w:r w:rsidRPr="00B840B6">
        <w:rPr>
          <w:color w:val="000000" w:themeColor="text1"/>
          <w:lang w:val="fr-FR" w:eastAsia="ja-JP"/>
        </w:rPr>
        <w:t>service de 15 ans</w:t>
      </w:r>
      <w:r w:rsidRPr="00B840B6">
        <w:rPr>
          <w:b/>
          <w:color w:val="000000" w:themeColor="text1"/>
          <w:lang w:val="fr-FR" w:eastAsia="ja-JP"/>
        </w:rPr>
        <w:t xml:space="preserve"> ou 15</w:t>
      </w:r>
      <w:r w:rsidR="00447067">
        <w:rPr>
          <w:b/>
          <w:color w:val="000000" w:themeColor="text1"/>
          <w:lang w:val="fr-FR" w:eastAsia="ja-JP"/>
        </w:rPr>
        <w:t> </w:t>
      </w:r>
      <w:r w:rsidRPr="00B840B6">
        <w:rPr>
          <w:b/>
          <w:color w:val="000000" w:themeColor="text1"/>
          <w:lang w:val="fr-FR" w:eastAsia="ja-JP"/>
        </w:rPr>
        <w:t>000</w:t>
      </w:r>
      <w:r w:rsidR="00447067">
        <w:rPr>
          <w:lang w:val="fr-FR"/>
        </w:rPr>
        <w:t> </w:t>
      </w:r>
      <w:r w:rsidRPr="00B840B6">
        <w:rPr>
          <w:b/>
          <w:color w:val="000000" w:themeColor="text1"/>
          <w:lang w:val="fr-FR" w:eastAsia="ja-JP"/>
        </w:rPr>
        <w:t>cycles pour une durée de vie en service de 20</w:t>
      </w:r>
      <w:r>
        <w:rPr>
          <w:b/>
          <w:color w:val="000000" w:themeColor="text1"/>
          <w:lang w:val="fr-FR" w:eastAsia="ja-JP"/>
        </w:rPr>
        <w:t> </w:t>
      </w:r>
      <w:r w:rsidRPr="00B840B6">
        <w:rPr>
          <w:b/>
          <w:color w:val="000000" w:themeColor="text1"/>
          <w:lang w:val="fr-FR" w:eastAsia="ja-JP"/>
        </w:rPr>
        <w:t>ans</w:t>
      </w:r>
      <w:r w:rsidRPr="00B840B6">
        <w:rPr>
          <w:color w:val="000000" w:themeColor="text1"/>
          <w:lang w:val="fr-FR" w:eastAsia="ja-JP"/>
        </w:rPr>
        <w:t>. ».</w:t>
      </w:r>
    </w:p>
    <w:p w:rsidR="00E11889" w:rsidRPr="00B840B6" w:rsidRDefault="00E11889" w:rsidP="00E11889">
      <w:pPr>
        <w:pStyle w:val="SingleTxtG"/>
        <w:rPr>
          <w:color w:val="000000" w:themeColor="text1"/>
          <w:lang w:val="fr-FR"/>
        </w:rPr>
      </w:pPr>
      <w:r w:rsidRPr="00B840B6">
        <w:rPr>
          <w:i/>
          <w:iCs/>
          <w:lang w:val="fr-FR"/>
        </w:rPr>
        <w:t>Paragraphe</w:t>
      </w:r>
      <w:r w:rsidR="00447067">
        <w:rPr>
          <w:i/>
          <w:iCs/>
          <w:lang w:val="fr-FR"/>
        </w:rPr>
        <w:t> </w:t>
      </w:r>
      <w:r w:rsidRPr="00B840B6">
        <w:rPr>
          <w:i/>
          <w:iCs/>
          <w:lang w:val="fr-FR"/>
        </w:rPr>
        <w:t xml:space="preserve">5.2, </w:t>
      </w:r>
      <w:r w:rsidRPr="00B840B6">
        <w:rPr>
          <w:lang w:val="fr-FR"/>
        </w:rPr>
        <w:t>lire</w:t>
      </w:r>
      <w:r>
        <w:rPr>
          <w:lang w:val="fr-FR"/>
        </w:rPr>
        <w:t> </w:t>
      </w:r>
      <w:r w:rsidRPr="00B840B6">
        <w:rPr>
          <w:lang w:val="fr-FR"/>
        </w:rPr>
        <w:t>:</w:t>
      </w:r>
    </w:p>
    <w:p w:rsidR="00E11889" w:rsidRPr="00B840B6" w:rsidRDefault="00E11889" w:rsidP="00E11889">
      <w:pPr>
        <w:pStyle w:val="SingleTxtG"/>
        <w:ind w:left="2268" w:hanging="1134"/>
        <w:rPr>
          <w:lang w:val="fr-FR"/>
        </w:rPr>
      </w:pPr>
      <w:r w:rsidRPr="00B840B6">
        <w:rPr>
          <w:color w:val="000000" w:themeColor="text1"/>
          <w:lang w:val="fr-FR" w:eastAsia="ja-JP"/>
        </w:rPr>
        <w:t>« </w:t>
      </w:r>
      <w:r w:rsidRPr="00B840B6">
        <w:rPr>
          <w:lang w:val="fr-FR"/>
        </w:rPr>
        <w:t>5.2</w:t>
      </w:r>
      <w:r w:rsidRPr="00B840B6">
        <w:rPr>
          <w:lang w:val="fr-FR"/>
        </w:rPr>
        <w:tab/>
      </w:r>
      <w:r w:rsidRPr="00B840B6">
        <w:rPr>
          <w:lang w:val="fr-FR"/>
        </w:rPr>
        <w:tab/>
        <w:t xml:space="preserve">Essais de </w:t>
      </w:r>
      <w:r w:rsidRPr="00E11889">
        <w:rPr>
          <w:color w:val="000000" w:themeColor="text1"/>
          <w:lang w:val="fr-FR" w:eastAsia="ja-JP"/>
        </w:rPr>
        <w:t>vérification</w:t>
      </w:r>
      <w:r w:rsidRPr="00B840B6">
        <w:rPr>
          <w:lang w:val="fr-FR"/>
        </w:rPr>
        <w:t xml:space="preserve"> de la durabilité des caractéristiques (essais hydrauliques en séquence)</w:t>
      </w:r>
    </w:p>
    <w:p w:rsidR="00E11889" w:rsidRPr="00B840B6" w:rsidRDefault="00E11889" w:rsidP="00E11889">
      <w:pPr>
        <w:pStyle w:val="SingleTxtG"/>
        <w:ind w:left="2268"/>
        <w:rPr>
          <w:lang w:val="fr-FR"/>
        </w:rPr>
      </w:pPr>
      <w:r w:rsidRPr="00B840B6">
        <w:rPr>
          <w:lang w:val="fr-FR"/>
        </w:rPr>
        <w:tab/>
        <w:t>Si les trois (3) réservoirs mentionnés au paragraphe</w:t>
      </w:r>
      <w:r>
        <w:rPr>
          <w:lang w:val="fr-FR"/>
        </w:rPr>
        <w:t> </w:t>
      </w:r>
      <w:r w:rsidRPr="00B840B6">
        <w:rPr>
          <w:lang w:val="fr-FR"/>
        </w:rPr>
        <w:t>5.1.2 ont subi chacun un nombre de cycles supérieur à 11 000</w:t>
      </w:r>
      <w:r w:rsidRPr="00B840B6">
        <w:rPr>
          <w:b/>
          <w:lang w:val="fr-FR"/>
        </w:rPr>
        <w:t xml:space="preserve"> pour une durée de vie en service de 15 ans ou à 15 000 pour une durée de vie en service de 20</w:t>
      </w:r>
      <w:r>
        <w:rPr>
          <w:b/>
          <w:lang w:val="fr-FR"/>
        </w:rPr>
        <w:t> </w:t>
      </w:r>
      <w:r w:rsidRPr="00B840B6">
        <w:rPr>
          <w:b/>
          <w:lang w:val="fr-FR"/>
        </w:rPr>
        <w:t>ans</w:t>
      </w:r>
      <w:r w:rsidRPr="00B840B6">
        <w:rPr>
          <w:lang w:val="fr-FR"/>
        </w:rPr>
        <w:t xml:space="preserve"> ou compris dans une fourchette de 25</w:t>
      </w:r>
      <w:r w:rsidR="00447067">
        <w:rPr>
          <w:lang w:val="fr-FR"/>
        </w:rPr>
        <w:t> </w:t>
      </w:r>
      <w:r w:rsidRPr="00B840B6">
        <w:rPr>
          <w:lang w:val="fr-FR"/>
        </w:rPr>
        <w:t>% les uns par rapport aux autres, un seul (1) réservoir est soumis aux essais du présent paragraphe. Dans le cas contraire, trois (3) réservoirs sont soumis aux essais du présent paragraphe.</w:t>
      </w:r>
    </w:p>
    <w:p w:rsidR="00E11889" w:rsidRPr="00B840B6" w:rsidRDefault="00E11889" w:rsidP="00E11889">
      <w:pPr>
        <w:pStyle w:val="SingleTxtG"/>
        <w:ind w:left="2268"/>
        <w:rPr>
          <w:lang w:val="fr-FR"/>
        </w:rPr>
      </w:pPr>
      <w:r w:rsidRPr="00B840B6">
        <w:rPr>
          <w:lang w:val="fr-FR"/>
        </w:rPr>
        <w:t>… ».</w:t>
      </w:r>
    </w:p>
    <w:p w:rsidR="00E11889" w:rsidRPr="00B840B6" w:rsidRDefault="00E11889" w:rsidP="00E11889">
      <w:pPr>
        <w:pStyle w:val="SingleTxtG"/>
        <w:rPr>
          <w:lang w:val="fr-FR"/>
        </w:rPr>
      </w:pPr>
      <w:r w:rsidRPr="00B840B6">
        <w:rPr>
          <w:i/>
          <w:iCs/>
          <w:lang w:val="fr-FR"/>
        </w:rPr>
        <w:t>Paragraphe</w:t>
      </w:r>
      <w:r w:rsidR="00447067">
        <w:rPr>
          <w:i/>
          <w:iCs/>
          <w:lang w:val="fr-FR"/>
        </w:rPr>
        <w:t> </w:t>
      </w:r>
      <w:r w:rsidRPr="00B840B6">
        <w:rPr>
          <w:i/>
          <w:iCs/>
          <w:lang w:val="fr-FR"/>
        </w:rPr>
        <w:t>5.6</w:t>
      </w:r>
      <w:r w:rsidRPr="00B840B6">
        <w:rPr>
          <w:lang w:val="fr-FR"/>
        </w:rPr>
        <w:t>, lire</w:t>
      </w:r>
      <w:r>
        <w:rPr>
          <w:lang w:val="fr-FR"/>
        </w:rPr>
        <w:t> </w:t>
      </w:r>
      <w:r w:rsidRPr="00B840B6">
        <w:rPr>
          <w:lang w:val="fr-FR"/>
        </w:rPr>
        <w:t>:</w:t>
      </w:r>
    </w:p>
    <w:p w:rsidR="00E11889" w:rsidRPr="00B840B6" w:rsidRDefault="00E11889" w:rsidP="00E11889">
      <w:pPr>
        <w:pStyle w:val="SingleTxtG"/>
        <w:ind w:left="2268" w:hanging="1134"/>
        <w:rPr>
          <w:lang w:val="fr-FR" w:eastAsia="ja-JP"/>
        </w:rPr>
      </w:pPr>
      <w:r w:rsidRPr="00B840B6">
        <w:rPr>
          <w:color w:val="000000" w:themeColor="text1"/>
          <w:lang w:val="fr-FR" w:eastAsia="ja-JP"/>
        </w:rPr>
        <w:t>« </w:t>
      </w:r>
      <w:r w:rsidRPr="00B840B6">
        <w:rPr>
          <w:lang w:val="fr-FR" w:eastAsia="ja-JP"/>
        </w:rPr>
        <w:t>5.6</w:t>
      </w:r>
      <w:r w:rsidRPr="00B840B6">
        <w:rPr>
          <w:lang w:val="fr-FR" w:eastAsia="ja-JP"/>
        </w:rPr>
        <w:tab/>
        <w:t>Étiquetage</w:t>
      </w:r>
    </w:p>
    <w:p w:rsidR="00E11889" w:rsidRPr="00B840B6" w:rsidRDefault="00E11889" w:rsidP="00E11889">
      <w:pPr>
        <w:pStyle w:val="SingleTxtG"/>
        <w:ind w:left="2268"/>
        <w:rPr>
          <w:lang w:val="fr-FR" w:eastAsia="ja-JP"/>
        </w:rPr>
      </w:pPr>
      <w:r w:rsidRPr="00B840B6">
        <w:rPr>
          <w:lang w:val="fr-FR" w:eastAsia="ja-JP"/>
        </w:rPr>
        <w:tab/>
        <w:t>…</w:t>
      </w:r>
    </w:p>
    <w:p w:rsidR="00E11889" w:rsidRPr="00B840B6" w:rsidRDefault="00E11889" w:rsidP="00E11889">
      <w:pPr>
        <w:pStyle w:val="SingleTxtG"/>
        <w:ind w:left="2268"/>
        <w:rPr>
          <w:lang w:val="fr-FR" w:eastAsia="ja-JP"/>
        </w:rPr>
      </w:pPr>
      <w:r w:rsidRPr="00B840B6">
        <w:rPr>
          <w:lang w:val="fr-FR" w:eastAsia="ja-JP"/>
        </w:rPr>
        <w:lastRenderedPageBreak/>
        <w:tab/>
        <w:t xml:space="preserve">La date de retrait du service ne doit pas être fixée au-delà de </w:t>
      </w:r>
      <w:r w:rsidRPr="00B840B6">
        <w:rPr>
          <w:b/>
          <w:lang w:val="fr-FR" w:eastAsia="ja-JP"/>
        </w:rPr>
        <w:t>20 </w:t>
      </w:r>
      <w:r w:rsidRPr="00B840B6">
        <w:rPr>
          <w:strike/>
          <w:lang w:val="fr-FR" w:eastAsia="ja-JP"/>
        </w:rPr>
        <w:t xml:space="preserve">15 </w:t>
      </w:r>
      <w:r w:rsidRPr="00B840B6">
        <w:rPr>
          <w:lang w:val="fr-FR" w:eastAsia="ja-JP"/>
        </w:rPr>
        <w:t>ans après la date de fabrication. ».</w:t>
      </w:r>
    </w:p>
    <w:p w:rsidR="00E11889" w:rsidRPr="00B840B6" w:rsidRDefault="00E11889" w:rsidP="00E11889">
      <w:pPr>
        <w:pStyle w:val="SingleTxtG"/>
        <w:rPr>
          <w:lang w:val="fr-FR"/>
        </w:rPr>
      </w:pPr>
      <w:r w:rsidRPr="00B840B6">
        <w:rPr>
          <w:i/>
          <w:iCs/>
          <w:lang w:val="fr-FR"/>
        </w:rPr>
        <w:t>Paragraphe</w:t>
      </w:r>
      <w:r>
        <w:rPr>
          <w:i/>
          <w:iCs/>
          <w:lang w:val="fr-FR"/>
        </w:rPr>
        <w:t> </w:t>
      </w:r>
      <w:r w:rsidRPr="00B840B6">
        <w:rPr>
          <w:i/>
          <w:iCs/>
          <w:lang w:val="fr-FR"/>
        </w:rPr>
        <w:t>7.1.1.4,</w:t>
      </w:r>
      <w:r w:rsidRPr="00B840B6">
        <w:rPr>
          <w:lang w:val="fr-FR"/>
        </w:rPr>
        <w:t xml:space="preserve"> lire</w:t>
      </w:r>
      <w:r>
        <w:rPr>
          <w:lang w:val="fr-FR"/>
        </w:rPr>
        <w:t> </w:t>
      </w:r>
      <w:r w:rsidRPr="00B840B6">
        <w:rPr>
          <w:lang w:val="fr-FR"/>
        </w:rPr>
        <w:t>:</w:t>
      </w:r>
    </w:p>
    <w:p w:rsidR="00E11889" w:rsidRPr="00B840B6" w:rsidRDefault="00E11889" w:rsidP="00E11889">
      <w:pPr>
        <w:pStyle w:val="SingleTxtG"/>
        <w:ind w:left="2268" w:hanging="1134"/>
        <w:rPr>
          <w:lang w:val="fr-FR"/>
        </w:rPr>
      </w:pPr>
      <w:r w:rsidRPr="00B840B6">
        <w:rPr>
          <w:color w:val="000000" w:themeColor="text1"/>
          <w:lang w:val="fr-FR" w:eastAsia="ja-JP"/>
        </w:rPr>
        <w:t>« </w:t>
      </w:r>
      <w:r w:rsidRPr="00B840B6">
        <w:rPr>
          <w:lang w:val="fr-FR" w:eastAsia="ja-JP"/>
        </w:rPr>
        <w:t>7</w:t>
      </w:r>
      <w:r w:rsidRPr="00B840B6">
        <w:rPr>
          <w:lang w:val="fr-FR"/>
        </w:rPr>
        <w:t>.1.1.4</w:t>
      </w:r>
      <w:r w:rsidRPr="00B840B6">
        <w:rPr>
          <w:lang w:val="fr-FR"/>
        </w:rPr>
        <w:tab/>
        <w:t>L</w:t>
      </w:r>
      <w:r>
        <w:rPr>
          <w:lang w:val="fr-FR"/>
        </w:rPr>
        <w:t>’</w:t>
      </w:r>
      <w:r w:rsidRPr="00B840B6">
        <w:rPr>
          <w:lang w:val="fr-FR"/>
        </w:rPr>
        <w:t>embout de remplissage ne doit pas être monté sur des éléments destinés à absorber l</w:t>
      </w:r>
      <w:r>
        <w:rPr>
          <w:lang w:val="fr-FR"/>
        </w:rPr>
        <w:t>’</w:t>
      </w:r>
      <w:r w:rsidRPr="00B840B6">
        <w:rPr>
          <w:lang w:val="fr-FR"/>
        </w:rPr>
        <w:t>énergie extérieure d</w:t>
      </w:r>
      <w:r>
        <w:rPr>
          <w:lang w:val="fr-FR"/>
        </w:rPr>
        <w:t>’</w:t>
      </w:r>
      <w:r w:rsidRPr="00B840B6">
        <w:rPr>
          <w:lang w:val="fr-FR"/>
        </w:rPr>
        <w:t>un choc (par exemple</w:t>
      </w:r>
      <w:r w:rsidR="00447067">
        <w:rPr>
          <w:lang w:val="fr-FR"/>
        </w:rPr>
        <w:t>,</w:t>
      </w:r>
      <w:r w:rsidRPr="00B840B6">
        <w:rPr>
          <w:lang w:val="fr-FR"/>
        </w:rPr>
        <w:t xml:space="preserve"> les pare-chocs), </w:t>
      </w:r>
      <w:r w:rsidRPr="00B840B6">
        <w:rPr>
          <w:strike/>
          <w:lang w:val="fr-FR"/>
        </w:rPr>
        <w:t>ni</w:t>
      </w:r>
      <w:r w:rsidRPr="00B840B6">
        <w:rPr>
          <w:lang w:val="fr-FR"/>
        </w:rPr>
        <w:t xml:space="preserve"> </w:t>
      </w:r>
      <w:r w:rsidRPr="00B840B6">
        <w:rPr>
          <w:b/>
          <w:lang w:val="fr-FR"/>
        </w:rPr>
        <w:t>et doit être installé de telle manière que le remplissage ne nécessite pas d</w:t>
      </w:r>
      <w:r>
        <w:rPr>
          <w:b/>
          <w:lang w:val="fr-FR"/>
        </w:rPr>
        <w:t>’</w:t>
      </w:r>
      <w:r w:rsidRPr="00B840B6">
        <w:rPr>
          <w:b/>
          <w:lang w:val="fr-FR"/>
        </w:rPr>
        <w:t xml:space="preserve">accès </w:t>
      </w:r>
      <w:r w:rsidRPr="00B840B6">
        <w:rPr>
          <w:lang w:val="fr-FR"/>
        </w:rPr>
        <w:t>dans l</w:t>
      </w:r>
      <w:r>
        <w:rPr>
          <w:lang w:val="fr-FR"/>
        </w:rPr>
        <w:t>’</w:t>
      </w:r>
      <w:r w:rsidRPr="00B840B6">
        <w:rPr>
          <w:lang w:val="fr-FR"/>
        </w:rPr>
        <w:t>habitacle ou le coffre à bagages ou tout autre</w:t>
      </w:r>
      <w:r w:rsidRPr="00B840B6">
        <w:rPr>
          <w:b/>
          <w:lang w:val="fr-FR"/>
        </w:rPr>
        <w:t xml:space="preserve"> compartiment non ventilé</w:t>
      </w:r>
      <w:r w:rsidRPr="00B840B6">
        <w:rPr>
          <w:lang w:val="fr-FR"/>
        </w:rPr>
        <w:t xml:space="preserve"> </w:t>
      </w:r>
      <w:r w:rsidRPr="00B840B6">
        <w:rPr>
          <w:strike/>
          <w:lang w:val="fr-FR"/>
        </w:rPr>
        <w:t>endroit où la ventilation est insuffisante et où l</w:t>
      </w:r>
      <w:r>
        <w:rPr>
          <w:strike/>
          <w:lang w:val="fr-FR"/>
        </w:rPr>
        <w:t>’</w:t>
      </w:r>
      <w:r w:rsidRPr="00B840B6">
        <w:rPr>
          <w:strike/>
          <w:lang w:val="fr-FR"/>
        </w:rPr>
        <w:t>hydrogène gazeux pourrait s</w:t>
      </w:r>
      <w:r>
        <w:rPr>
          <w:strike/>
          <w:lang w:val="fr-FR"/>
        </w:rPr>
        <w:t>’</w:t>
      </w:r>
      <w:r w:rsidRPr="00B840B6">
        <w:rPr>
          <w:strike/>
          <w:lang w:val="fr-FR"/>
        </w:rPr>
        <w:t>accumuler</w:t>
      </w:r>
      <w:r w:rsidRPr="00B840B6">
        <w:rPr>
          <w:lang w:val="fr-FR"/>
        </w:rPr>
        <w:t>. La vérification se fait par contrôle visuel. ».</w:t>
      </w:r>
    </w:p>
    <w:p w:rsidR="00E11889" w:rsidRPr="00B840B6" w:rsidRDefault="00E11889" w:rsidP="00E11889">
      <w:pPr>
        <w:pStyle w:val="SingleTxtG"/>
        <w:rPr>
          <w:lang w:val="fr-FR"/>
        </w:rPr>
      </w:pPr>
      <w:r w:rsidRPr="00B840B6">
        <w:rPr>
          <w:i/>
          <w:iCs/>
          <w:lang w:val="fr-FR"/>
        </w:rPr>
        <w:t>Paragraphe</w:t>
      </w:r>
      <w:r w:rsidR="00447067">
        <w:rPr>
          <w:i/>
          <w:iCs/>
          <w:lang w:val="fr-FR"/>
        </w:rPr>
        <w:t> </w:t>
      </w:r>
      <w:r w:rsidRPr="00B840B6">
        <w:rPr>
          <w:i/>
          <w:iCs/>
          <w:lang w:val="fr-FR"/>
        </w:rPr>
        <w:t>7.2</w:t>
      </w:r>
      <w:r w:rsidRPr="00B840B6">
        <w:rPr>
          <w:lang w:val="fr-FR"/>
        </w:rPr>
        <w:t>, lire</w:t>
      </w:r>
      <w:r>
        <w:rPr>
          <w:lang w:val="fr-FR"/>
        </w:rPr>
        <w:t> </w:t>
      </w:r>
      <w:r w:rsidRPr="00B840B6">
        <w:rPr>
          <w:lang w:val="fr-FR"/>
        </w:rPr>
        <w:t>:</w:t>
      </w:r>
    </w:p>
    <w:p w:rsidR="00E11889" w:rsidRPr="00B840B6" w:rsidRDefault="00E11889" w:rsidP="00E11889">
      <w:pPr>
        <w:pStyle w:val="SingleTxtG"/>
        <w:ind w:left="2268" w:hanging="1134"/>
        <w:rPr>
          <w:lang w:val="fr-FR" w:eastAsia="ja-JP"/>
        </w:rPr>
      </w:pPr>
      <w:r w:rsidRPr="00B840B6">
        <w:rPr>
          <w:color w:val="000000" w:themeColor="text1"/>
          <w:lang w:val="fr-FR" w:eastAsia="ja-JP"/>
        </w:rPr>
        <w:t>« </w:t>
      </w:r>
      <w:r w:rsidRPr="00B840B6">
        <w:rPr>
          <w:lang w:val="fr-FR" w:eastAsia="ja-JP"/>
        </w:rPr>
        <w:t>7</w:t>
      </w:r>
      <w:r w:rsidRPr="00B840B6">
        <w:rPr>
          <w:lang w:val="fr-FR"/>
        </w:rPr>
        <w:t>.2</w:t>
      </w:r>
      <w:r w:rsidRPr="00B840B6">
        <w:rPr>
          <w:lang w:val="fr-FR"/>
        </w:rPr>
        <w:tab/>
      </w:r>
      <w:r w:rsidRPr="00B840B6">
        <w:rPr>
          <w:lang w:val="fr-FR"/>
        </w:rPr>
        <w:tab/>
        <w:t>Intégrité du système d</w:t>
      </w:r>
      <w:r>
        <w:rPr>
          <w:lang w:val="fr-FR"/>
        </w:rPr>
        <w:t>’</w:t>
      </w:r>
      <w:r w:rsidRPr="00B840B6">
        <w:rPr>
          <w:lang w:val="fr-FR"/>
        </w:rPr>
        <w:t>alimentation en carburant après choc</w:t>
      </w:r>
    </w:p>
    <w:p w:rsidR="00E11889" w:rsidRPr="00B840B6" w:rsidRDefault="00E11889" w:rsidP="00E11889">
      <w:pPr>
        <w:pStyle w:val="SingleTxtG"/>
        <w:ind w:left="2268"/>
        <w:rPr>
          <w:lang w:val="fr-FR" w:eastAsia="ja-JP"/>
        </w:rPr>
      </w:pPr>
      <w:r w:rsidRPr="00B840B6">
        <w:rPr>
          <w:lang w:val="fr-FR" w:eastAsia="ja-JP"/>
        </w:rPr>
        <w:tab/>
        <w:t>Le système d</w:t>
      </w:r>
      <w:r>
        <w:rPr>
          <w:lang w:val="fr-FR" w:eastAsia="ja-JP"/>
        </w:rPr>
        <w:t>’</w:t>
      </w:r>
      <w:r w:rsidRPr="00B840B6">
        <w:rPr>
          <w:lang w:val="fr-FR" w:eastAsia="ja-JP"/>
        </w:rPr>
        <w:t xml:space="preserve">alimentation en carburant du véhicule doit satisfaire aux prescriptions suivantes après les essais de choc, conformément aux Règlements </w:t>
      </w:r>
      <w:r w:rsidRPr="00B840B6">
        <w:rPr>
          <w:b/>
          <w:lang w:val="fr-FR" w:eastAsia="ja-JP"/>
        </w:rPr>
        <w:t>ONU</w:t>
      </w:r>
      <w:r w:rsidRPr="00B840B6">
        <w:rPr>
          <w:lang w:val="fr-FR" w:eastAsia="ja-JP"/>
        </w:rPr>
        <w:t xml:space="preserve"> ci-après et en appliquant également les procédures d</w:t>
      </w:r>
      <w:r>
        <w:rPr>
          <w:lang w:val="fr-FR" w:eastAsia="ja-JP"/>
        </w:rPr>
        <w:t>’</w:t>
      </w:r>
      <w:r w:rsidRPr="00B840B6">
        <w:rPr>
          <w:lang w:val="fr-FR" w:eastAsia="ja-JP"/>
        </w:rPr>
        <w:t>essai prescrites à l</w:t>
      </w:r>
      <w:r>
        <w:rPr>
          <w:lang w:val="fr-FR" w:eastAsia="ja-JP"/>
        </w:rPr>
        <w:t>’</w:t>
      </w:r>
      <w:r w:rsidRPr="00B840B6">
        <w:rPr>
          <w:lang w:val="fr-FR" w:eastAsia="ja-JP"/>
        </w:rPr>
        <w:t>annexe</w:t>
      </w:r>
      <w:r>
        <w:rPr>
          <w:lang w:val="fr-FR" w:eastAsia="ja-JP"/>
        </w:rPr>
        <w:t> </w:t>
      </w:r>
      <w:r w:rsidRPr="00B840B6">
        <w:rPr>
          <w:lang w:val="fr-FR" w:eastAsia="ja-JP"/>
        </w:rPr>
        <w:t>5 du présent Règlement</w:t>
      </w:r>
      <w:r w:rsidRPr="00B840B6">
        <w:rPr>
          <w:b/>
          <w:lang w:val="fr-FR" w:eastAsia="ja-JP"/>
        </w:rPr>
        <w:t xml:space="preserve"> </w:t>
      </w:r>
      <w:bookmarkStart w:id="2" w:name="_Hlk66203872"/>
      <w:r w:rsidRPr="00B840B6">
        <w:rPr>
          <w:b/>
          <w:lang w:val="fr-FR" w:eastAsia="ja-JP"/>
        </w:rPr>
        <w:t>ONU</w:t>
      </w:r>
      <w:bookmarkEnd w:id="2"/>
      <w:r>
        <w:rPr>
          <w:b/>
          <w:lang w:val="fr-FR" w:eastAsia="ja-JP"/>
        </w:rPr>
        <w:t> </w:t>
      </w:r>
      <w:r w:rsidRPr="00B840B6">
        <w:rPr>
          <w:lang w:val="fr-FR" w:eastAsia="ja-JP"/>
        </w:rPr>
        <w:t>:</w:t>
      </w:r>
    </w:p>
    <w:p w:rsidR="00E11889" w:rsidRPr="00B840B6" w:rsidRDefault="00E11889" w:rsidP="00E11889">
      <w:pPr>
        <w:pStyle w:val="SingleTxtG"/>
        <w:ind w:left="2835" w:hanging="567"/>
        <w:rPr>
          <w:lang w:val="fr-FR" w:eastAsia="ja-JP"/>
        </w:rPr>
      </w:pPr>
      <w:r w:rsidRPr="00B840B6">
        <w:rPr>
          <w:lang w:val="fr-FR" w:eastAsia="ja-JP"/>
        </w:rPr>
        <w:t>a)</w:t>
      </w:r>
      <w:r w:rsidRPr="00B840B6">
        <w:rPr>
          <w:lang w:val="fr-FR" w:eastAsia="ja-JP"/>
        </w:rPr>
        <w:tab/>
        <w:t xml:space="preserve">Essai de choc avant conformément au Règlement </w:t>
      </w:r>
      <w:r w:rsidRPr="00B840B6">
        <w:rPr>
          <w:b/>
          <w:lang w:val="fr-FR" w:eastAsia="ja-JP"/>
        </w:rPr>
        <w:t>ONU</w:t>
      </w:r>
      <w:r w:rsidRPr="00B840B6">
        <w:rPr>
          <w:lang w:val="fr-FR" w:eastAsia="ja-JP"/>
        </w:rPr>
        <w:t xml:space="preserve"> </w:t>
      </w:r>
      <w:r>
        <w:rPr>
          <w:lang w:val="fr-FR" w:eastAsia="ja-JP"/>
        </w:rPr>
        <w:t>n</w:t>
      </w:r>
      <w:r w:rsidRPr="00E11889">
        <w:rPr>
          <w:vertAlign w:val="superscript"/>
          <w:lang w:val="fr-FR" w:eastAsia="ja-JP"/>
        </w:rPr>
        <w:t>o</w:t>
      </w:r>
      <w:r>
        <w:rPr>
          <w:lang w:val="fr-FR" w:eastAsia="ja-JP"/>
        </w:rPr>
        <w:t> </w:t>
      </w:r>
      <w:r w:rsidRPr="00B840B6">
        <w:rPr>
          <w:lang w:val="fr-FR" w:eastAsia="ja-JP"/>
        </w:rPr>
        <w:t xml:space="preserve">12 ou au Règlement </w:t>
      </w:r>
      <w:r w:rsidRPr="00B840B6">
        <w:rPr>
          <w:b/>
          <w:lang w:val="fr-FR" w:eastAsia="ja-JP"/>
        </w:rPr>
        <w:t>ONU</w:t>
      </w:r>
      <w:r w:rsidRPr="00B840B6">
        <w:rPr>
          <w:lang w:val="fr-FR" w:eastAsia="ja-JP"/>
        </w:rPr>
        <w:t xml:space="preserve"> </w:t>
      </w:r>
      <w:r>
        <w:rPr>
          <w:lang w:val="fr-FR" w:eastAsia="ja-JP"/>
        </w:rPr>
        <w:t>n</w:t>
      </w:r>
      <w:r w:rsidRPr="00E11889">
        <w:rPr>
          <w:vertAlign w:val="superscript"/>
          <w:lang w:val="fr-FR" w:eastAsia="ja-JP"/>
        </w:rPr>
        <w:t>o</w:t>
      </w:r>
      <w:r>
        <w:rPr>
          <w:lang w:val="fr-FR" w:eastAsia="ja-JP"/>
        </w:rPr>
        <w:t> </w:t>
      </w:r>
      <w:r w:rsidRPr="00B840B6">
        <w:rPr>
          <w:lang w:val="fr-FR" w:eastAsia="ja-JP"/>
        </w:rPr>
        <w:t>94</w:t>
      </w:r>
      <w:r w:rsidR="00DE65C2">
        <w:rPr>
          <w:lang w:val="fr-FR" w:eastAsia="ja-JP"/>
        </w:rPr>
        <w:t> </w:t>
      </w:r>
      <w:r w:rsidRPr="00B840B6">
        <w:rPr>
          <w:lang w:val="fr-FR" w:eastAsia="ja-JP"/>
        </w:rPr>
        <w:t>; et</w:t>
      </w:r>
    </w:p>
    <w:p w:rsidR="00E11889" w:rsidRPr="00B840B6" w:rsidRDefault="00E11889" w:rsidP="00E11889">
      <w:pPr>
        <w:pStyle w:val="SingleTxtG"/>
        <w:ind w:left="2268"/>
        <w:rPr>
          <w:lang w:val="fr-FR" w:eastAsia="ja-JP"/>
        </w:rPr>
      </w:pPr>
      <w:r w:rsidRPr="00B840B6">
        <w:rPr>
          <w:lang w:val="fr-FR" w:eastAsia="ja-JP"/>
        </w:rPr>
        <w:t>b)</w:t>
      </w:r>
      <w:r w:rsidRPr="00B840B6">
        <w:rPr>
          <w:lang w:val="fr-FR" w:eastAsia="ja-JP"/>
        </w:rPr>
        <w:tab/>
        <w:t xml:space="preserve">Essai de choc latéral conformément au Règlement </w:t>
      </w:r>
      <w:r w:rsidRPr="00B840B6">
        <w:rPr>
          <w:b/>
          <w:lang w:val="fr-FR" w:eastAsia="ja-JP"/>
        </w:rPr>
        <w:t>ONU</w:t>
      </w:r>
      <w:r w:rsidRPr="00B840B6">
        <w:rPr>
          <w:lang w:val="fr-FR" w:eastAsia="ja-JP"/>
        </w:rPr>
        <w:t xml:space="preserve"> </w:t>
      </w:r>
      <w:r>
        <w:rPr>
          <w:lang w:val="fr-FR" w:eastAsia="ja-JP"/>
        </w:rPr>
        <w:t>n</w:t>
      </w:r>
      <w:r w:rsidRPr="00E11889">
        <w:rPr>
          <w:vertAlign w:val="superscript"/>
          <w:lang w:val="fr-FR" w:eastAsia="ja-JP"/>
        </w:rPr>
        <w:t>o</w:t>
      </w:r>
      <w:r>
        <w:rPr>
          <w:lang w:val="fr-FR" w:eastAsia="ja-JP"/>
        </w:rPr>
        <w:t> </w:t>
      </w:r>
      <w:r w:rsidRPr="00B840B6">
        <w:rPr>
          <w:lang w:val="fr-FR" w:eastAsia="ja-JP"/>
        </w:rPr>
        <w:t>95.</w:t>
      </w:r>
    </w:p>
    <w:p w:rsidR="00E11889" w:rsidRPr="00B840B6" w:rsidRDefault="00E11889" w:rsidP="00E11889">
      <w:pPr>
        <w:pStyle w:val="SingleTxtG"/>
        <w:ind w:left="2268"/>
        <w:rPr>
          <w:lang w:val="fr-FR" w:eastAsia="ja-JP"/>
        </w:rPr>
      </w:pPr>
      <w:r w:rsidRPr="00B840B6">
        <w:rPr>
          <w:lang w:val="fr-FR" w:eastAsia="ja-JP"/>
        </w:rPr>
        <w:t>Au cas où l</w:t>
      </w:r>
      <w:r>
        <w:rPr>
          <w:lang w:val="fr-FR" w:eastAsia="ja-JP"/>
        </w:rPr>
        <w:t>’</w:t>
      </w:r>
      <w:r w:rsidRPr="00B840B6">
        <w:rPr>
          <w:lang w:val="fr-FR" w:eastAsia="ja-JP"/>
        </w:rPr>
        <w:t>un ou l</w:t>
      </w:r>
      <w:r>
        <w:rPr>
          <w:lang w:val="fr-FR" w:eastAsia="ja-JP"/>
        </w:rPr>
        <w:t>’</w:t>
      </w:r>
      <w:r w:rsidRPr="00B840B6">
        <w:rPr>
          <w:lang w:val="fr-FR" w:eastAsia="ja-JP"/>
        </w:rPr>
        <w:t xml:space="preserve">autre de ces essais de choc, ou les deux, ne serait pas applicable au véhicule, il faut soumettre le </w:t>
      </w:r>
      <w:r w:rsidRPr="00B840B6">
        <w:rPr>
          <w:strike/>
          <w:lang w:val="fr-FR" w:eastAsia="ja-JP"/>
        </w:rPr>
        <w:t>système d</w:t>
      </w:r>
      <w:r>
        <w:rPr>
          <w:strike/>
          <w:lang w:val="fr-FR" w:eastAsia="ja-JP"/>
        </w:rPr>
        <w:t>’</w:t>
      </w:r>
      <w:r w:rsidRPr="00B840B6">
        <w:rPr>
          <w:strike/>
          <w:lang w:val="fr-FR" w:eastAsia="ja-JP"/>
        </w:rPr>
        <w:t xml:space="preserve">alimentation en carburant </w:t>
      </w:r>
      <w:bookmarkStart w:id="3" w:name="_Hlk66204148"/>
      <w:r w:rsidRPr="00B840B6">
        <w:rPr>
          <w:b/>
          <w:lang w:val="fr-FR" w:eastAsia="ja-JP"/>
        </w:rPr>
        <w:t>système de stockage de l</w:t>
      </w:r>
      <w:r>
        <w:rPr>
          <w:b/>
          <w:lang w:val="fr-FR" w:eastAsia="ja-JP"/>
        </w:rPr>
        <w:t>’</w:t>
      </w:r>
      <w:r w:rsidRPr="00B840B6">
        <w:rPr>
          <w:b/>
          <w:lang w:val="fr-FR" w:eastAsia="ja-JP"/>
        </w:rPr>
        <w:t xml:space="preserve">hydrogène </w:t>
      </w:r>
      <w:bookmarkStart w:id="4" w:name="_Hlk66204047"/>
      <w:r w:rsidRPr="00B840B6">
        <w:rPr>
          <w:b/>
          <w:lang w:val="fr-FR" w:eastAsia="ja-JP"/>
        </w:rPr>
        <w:t xml:space="preserve">comprimé </w:t>
      </w:r>
      <w:bookmarkEnd w:id="3"/>
      <w:bookmarkEnd w:id="4"/>
      <w:r w:rsidRPr="00B840B6">
        <w:rPr>
          <w:lang w:val="fr-FR" w:eastAsia="ja-JP"/>
        </w:rPr>
        <w:t>aux accélérations spécifiées ci-après et fixer le</w:t>
      </w:r>
      <w:r w:rsidRPr="00B840B6">
        <w:rPr>
          <w:b/>
          <w:lang w:val="fr-FR" w:eastAsia="ja-JP"/>
        </w:rPr>
        <w:t>dit</w:t>
      </w:r>
      <w:r w:rsidRPr="00B840B6">
        <w:rPr>
          <w:lang w:val="fr-FR" w:eastAsia="ja-JP"/>
        </w:rPr>
        <w:t xml:space="preserve"> système </w:t>
      </w:r>
      <w:r w:rsidRPr="00D7206E">
        <w:rPr>
          <w:strike/>
          <w:lang w:val="fr-FR" w:eastAsia="ja-JP"/>
        </w:rPr>
        <w:t>de stockage de l</w:t>
      </w:r>
      <w:r>
        <w:rPr>
          <w:strike/>
          <w:lang w:val="fr-FR" w:eastAsia="ja-JP"/>
        </w:rPr>
        <w:t>’</w:t>
      </w:r>
      <w:r w:rsidRPr="00D7206E">
        <w:rPr>
          <w:strike/>
          <w:lang w:val="fr-FR" w:eastAsia="ja-JP"/>
        </w:rPr>
        <w:t>hydrogène</w:t>
      </w:r>
      <w:r w:rsidRPr="00B840B6">
        <w:rPr>
          <w:b/>
          <w:lang w:val="fr-FR" w:eastAsia="ja-JP"/>
        </w:rPr>
        <w:t xml:space="preserve"> </w:t>
      </w:r>
      <w:r w:rsidRPr="00B840B6">
        <w:rPr>
          <w:lang w:val="fr-FR" w:eastAsia="ja-JP"/>
        </w:rPr>
        <w:t xml:space="preserve">dans une position satisfaisant aux prescriptions </w:t>
      </w:r>
      <w:r w:rsidRPr="00B840B6">
        <w:rPr>
          <w:b/>
          <w:lang w:val="fr-FR" w:eastAsia="ja-JP"/>
        </w:rPr>
        <w:t>des</w:t>
      </w:r>
      <w:r w:rsidRPr="00B840B6">
        <w:rPr>
          <w:lang w:val="fr-FR" w:eastAsia="ja-JP"/>
        </w:rPr>
        <w:t xml:space="preserve"> </w:t>
      </w:r>
      <w:r w:rsidRPr="00B840B6">
        <w:rPr>
          <w:strike/>
          <w:lang w:val="fr-FR" w:eastAsia="ja-JP"/>
        </w:rPr>
        <w:t>du</w:t>
      </w:r>
      <w:r w:rsidRPr="00B840B6">
        <w:rPr>
          <w:lang w:val="fr-FR" w:eastAsia="ja-JP"/>
        </w:rPr>
        <w:t xml:space="preserve"> paragraphe</w:t>
      </w:r>
      <w:r w:rsidRPr="00B840B6">
        <w:rPr>
          <w:b/>
          <w:lang w:val="fr-FR" w:eastAsia="ja-JP"/>
        </w:rPr>
        <w:t>s</w:t>
      </w:r>
      <w:r>
        <w:rPr>
          <w:b/>
          <w:lang w:val="fr-FR" w:eastAsia="ja-JP"/>
        </w:rPr>
        <w:t> </w:t>
      </w:r>
      <w:r w:rsidRPr="00B840B6">
        <w:rPr>
          <w:b/>
          <w:lang w:val="fr-FR" w:eastAsia="ja-JP"/>
        </w:rPr>
        <w:t>7.2.3 et</w:t>
      </w:r>
      <w:r w:rsidRPr="00B840B6">
        <w:rPr>
          <w:lang w:val="fr-FR" w:eastAsia="ja-JP"/>
        </w:rPr>
        <w:t xml:space="preserve"> 7.2.4. Les</w:t>
      </w:r>
      <w:r>
        <w:rPr>
          <w:lang w:val="fr-FR" w:eastAsia="ja-JP"/>
        </w:rPr>
        <w:t> </w:t>
      </w:r>
      <w:r w:rsidRPr="00B840B6">
        <w:rPr>
          <w:lang w:val="fr-FR" w:eastAsia="ja-JP"/>
        </w:rPr>
        <w:t>accélérations doivent être mesurées à l</w:t>
      </w:r>
      <w:r>
        <w:rPr>
          <w:lang w:val="fr-FR" w:eastAsia="ja-JP"/>
        </w:rPr>
        <w:t>’</w:t>
      </w:r>
      <w:r w:rsidRPr="00B840B6">
        <w:rPr>
          <w:lang w:val="fr-FR" w:eastAsia="ja-JP"/>
        </w:rPr>
        <w:t>endroit où est fixé le système de stockage de l</w:t>
      </w:r>
      <w:r>
        <w:rPr>
          <w:lang w:val="fr-FR" w:eastAsia="ja-JP"/>
        </w:rPr>
        <w:t>’</w:t>
      </w:r>
      <w:r w:rsidRPr="00B840B6">
        <w:rPr>
          <w:lang w:val="fr-FR" w:eastAsia="ja-JP"/>
        </w:rPr>
        <w:t>hydrogène</w:t>
      </w:r>
      <w:r w:rsidRPr="00B840B6">
        <w:rPr>
          <w:b/>
          <w:lang w:val="fr-FR" w:eastAsia="ja-JP"/>
        </w:rPr>
        <w:t xml:space="preserve"> comprimé</w:t>
      </w:r>
      <w:r w:rsidRPr="00B840B6">
        <w:rPr>
          <w:lang w:val="fr-FR" w:eastAsia="ja-JP"/>
        </w:rPr>
        <w:t xml:space="preserve">. </w:t>
      </w:r>
      <w:r w:rsidRPr="00D7206E">
        <w:rPr>
          <w:strike/>
          <w:lang w:val="fr-FR" w:eastAsia="ja-JP"/>
        </w:rPr>
        <w:t xml:space="preserve">Le </w:t>
      </w:r>
      <w:r w:rsidRPr="00B840B6">
        <w:rPr>
          <w:strike/>
          <w:lang w:val="fr-FR" w:eastAsia="ja-JP"/>
        </w:rPr>
        <w:t>système d</w:t>
      </w:r>
      <w:r>
        <w:rPr>
          <w:strike/>
          <w:lang w:val="fr-FR" w:eastAsia="ja-JP"/>
        </w:rPr>
        <w:t>’</w:t>
      </w:r>
      <w:r w:rsidRPr="00B840B6">
        <w:rPr>
          <w:strike/>
          <w:lang w:val="fr-FR" w:eastAsia="ja-JP"/>
        </w:rPr>
        <w:t xml:space="preserve">alimentation en carburant </w:t>
      </w:r>
      <w:r w:rsidRPr="00D7206E">
        <w:rPr>
          <w:strike/>
          <w:lang w:val="fr-FR" w:eastAsia="ja-JP"/>
        </w:rPr>
        <w:t>du véhicule</w:t>
      </w:r>
      <w:r w:rsidRPr="00B840B6">
        <w:rPr>
          <w:lang w:val="fr-FR" w:eastAsia="ja-JP"/>
        </w:rPr>
        <w:t xml:space="preserve"> </w:t>
      </w:r>
      <w:r w:rsidRPr="00B840B6">
        <w:rPr>
          <w:b/>
          <w:lang w:val="fr-FR" w:eastAsia="ja-JP"/>
        </w:rPr>
        <w:t xml:space="preserve">Celui-ci </w:t>
      </w:r>
      <w:r w:rsidRPr="00B840B6">
        <w:rPr>
          <w:lang w:val="fr-FR" w:eastAsia="ja-JP"/>
        </w:rPr>
        <w:t>doit être monté et fixé sur la partie représentative du véhicule. La masse utilisée doit être représentative d</w:t>
      </w:r>
      <w:r>
        <w:rPr>
          <w:lang w:val="fr-FR" w:eastAsia="ja-JP"/>
        </w:rPr>
        <w:t>’</w:t>
      </w:r>
      <w:r w:rsidRPr="00B840B6">
        <w:rPr>
          <w:lang w:val="fr-FR" w:eastAsia="ja-JP"/>
        </w:rPr>
        <w:t>un réservoir complétement équipé et rempli ou d</w:t>
      </w:r>
      <w:r>
        <w:rPr>
          <w:lang w:val="fr-FR" w:eastAsia="ja-JP"/>
        </w:rPr>
        <w:t>’</w:t>
      </w:r>
      <w:r w:rsidRPr="00B840B6">
        <w:rPr>
          <w:lang w:val="fr-FR" w:eastAsia="ja-JP"/>
        </w:rPr>
        <w:t>un ensemble réservoir/accessoires.</w:t>
      </w:r>
    </w:p>
    <w:p w:rsidR="00E11889" w:rsidRPr="00B840B6" w:rsidRDefault="00E11889" w:rsidP="00E11889">
      <w:pPr>
        <w:pStyle w:val="SingleTxtG"/>
        <w:ind w:left="2268"/>
        <w:rPr>
          <w:lang w:val="fr-FR" w:eastAsia="ja-JP"/>
        </w:rPr>
      </w:pPr>
      <w:r w:rsidRPr="00B840B6">
        <w:rPr>
          <w:lang w:val="fr-FR" w:eastAsia="ja-JP"/>
        </w:rPr>
        <w:t>…</w:t>
      </w:r>
      <w:r w:rsidRPr="00B840B6">
        <w:rPr>
          <w:color w:val="000000" w:themeColor="text1"/>
          <w:lang w:val="fr-FR" w:eastAsia="ja-JP"/>
        </w:rPr>
        <w:t> ».</w:t>
      </w:r>
    </w:p>
    <w:p w:rsidR="00E11889" w:rsidRPr="00B840B6" w:rsidRDefault="00E11889" w:rsidP="00E11889">
      <w:pPr>
        <w:pStyle w:val="SingleTxtG"/>
        <w:rPr>
          <w:lang w:val="fr-FR"/>
        </w:rPr>
      </w:pPr>
      <w:r w:rsidRPr="00B840B6">
        <w:rPr>
          <w:i/>
          <w:iCs/>
          <w:lang w:val="fr-FR"/>
        </w:rPr>
        <w:t>Paragraphe</w:t>
      </w:r>
      <w:r w:rsidR="00447067">
        <w:rPr>
          <w:i/>
          <w:iCs/>
          <w:lang w:val="fr-FR"/>
        </w:rPr>
        <w:t> </w:t>
      </w:r>
      <w:r w:rsidRPr="00B840B6">
        <w:rPr>
          <w:i/>
          <w:iCs/>
          <w:lang w:val="fr-FR"/>
        </w:rPr>
        <w:t>7.2.4.2</w:t>
      </w:r>
      <w:r w:rsidRPr="00B840B6">
        <w:rPr>
          <w:lang w:val="fr-FR"/>
        </w:rPr>
        <w:t>, lire</w:t>
      </w:r>
      <w:r>
        <w:rPr>
          <w:lang w:val="fr-FR"/>
        </w:rPr>
        <w:t> </w:t>
      </w:r>
      <w:r w:rsidRPr="00B840B6">
        <w:rPr>
          <w:lang w:val="fr-FR"/>
        </w:rPr>
        <w:t>:</w:t>
      </w:r>
    </w:p>
    <w:p w:rsidR="00E11889" w:rsidRPr="00B840B6" w:rsidRDefault="00E11889" w:rsidP="00E11889">
      <w:pPr>
        <w:pStyle w:val="SingleTxtG"/>
        <w:ind w:left="2268" w:hanging="1134"/>
        <w:rPr>
          <w:lang w:val="fr-FR" w:eastAsia="ja-JP"/>
        </w:rPr>
      </w:pPr>
      <w:r w:rsidRPr="00B840B6">
        <w:rPr>
          <w:color w:val="000000" w:themeColor="text1"/>
          <w:lang w:val="fr-FR" w:eastAsia="ja-JP"/>
        </w:rPr>
        <w:t>« </w:t>
      </w:r>
      <w:r w:rsidRPr="00B840B6">
        <w:rPr>
          <w:lang w:val="fr-FR" w:eastAsia="ja-JP"/>
        </w:rPr>
        <w:t>7.2.4.2</w:t>
      </w:r>
      <w:r w:rsidRPr="00B840B6">
        <w:rPr>
          <w:lang w:val="fr-FR" w:eastAsia="ja-JP"/>
        </w:rPr>
        <w:tab/>
      </w:r>
      <w:r w:rsidRPr="00B840B6">
        <w:rPr>
          <w:lang w:val="fr-FR" w:eastAsia="ja-JP"/>
        </w:rPr>
        <w:tab/>
        <w:t>Prescriptions concernant une installation du système de stockage de l</w:t>
      </w:r>
      <w:r>
        <w:rPr>
          <w:lang w:val="fr-FR" w:eastAsia="ja-JP"/>
        </w:rPr>
        <w:t>’</w:t>
      </w:r>
      <w:r w:rsidRPr="00B840B6">
        <w:rPr>
          <w:lang w:val="fr-FR" w:eastAsia="ja-JP"/>
        </w:rPr>
        <w:t>hydrogène qui n</w:t>
      </w:r>
      <w:r>
        <w:rPr>
          <w:lang w:val="fr-FR" w:eastAsia="ja-JP"/>
        </w:rPr>
        <w:t>’</w:t>
      </w:r>
      <w:r w:rsidRPr="00B840B6">
        <w:rPr>
          <w:lang w:val="fr-FR" w:eastAsia="ja-JP"/>
        </w:rPr>
        <w:t>est pas soumise à l</w:t>
      </w:r>
      <w:r>
        <w:rPr>
          <w:lang w:val="fr-FR" w:eastAsia="ja-JP"/>
        </w:rPr>
        <w:t>’</w:t>
      </w:r>
      <w:r w:rsidRPr="00B840B6">
        <w:rPr>
          <w:lang w:val="fr-FR" w:eastAsia="ja-JP"/>
        </w:rPr>
        <w:t>essai de choc latéral</w:t>
      </w:r>
    </w:p>
    <w:p w:rsidR="00E11889" w:rsidRPr="00B840B6" w:rsidRDefault="00E11889" w:rsidP="00E11889">
      <w:pPr>
        <w:pStyle w:val="SingleTxtG"/>
        <w:ind w:left="2268"/>
        <w:rPr>
          <w:lang w:val="fr-FR" w:eastAsia="ja-JP"/>
        </w:rPr>
      </w:pPr>
      <w:r w:rsidRPr="00B840B6">
        <w:rPr>
          <w:lang w:val="fr-FR" w:eastAsia="ja-JP"/>
        </w:rPr>
        <w:t>Le réservoir doit être monté dans une position située entre les deux plans verticaux parallèles à l</w:t>
      </w:r>
      <w:r>
        <w:rPr>
          <w:lang w:val="fr-FR" w:eastAsia="ja-JP"/>
        </w:rPr>
        <w:t>’</w:t>
      </w:r>
      <w:r w:rsidRPr="00B840B6">
        <w:rPr>
          <w:lang w:val="fr-FR" w:eastAsia="ja-JP"/>
        </w:rPr>
        <w:t>axe médian du véhicule, 200</w:t>
      </w:r>
      <w:r>
        <w:rPr>
          <w:lang w:val="fr-FR" w:eastAsia="ja-JP"/>
        </w:rPr>
        <w:t> </w:t>
      </w:r>
      <w:r w:rsidRPr="00B840B6">
        <w:rPr>
          <w:lang w:val="fr-FR" w:eastAsia="ja-JP"/>
        </w:rPr>
        <w:t>mm à l</w:t>
      </w:r>
      <w:r>
        <w:rPr>
          <w:lang w:val="fr-FR" w:eastAsia="ja-JP"/>
        </w:rPr>
        <w:t>’</w:t>
      </w:r>
      <w:r w:rsidRPr="00B840B6">
        <w:rPr>
          <w:lang w:val="fr-FR" w:eastAsia="ja-JP"/>
        </w:rPr>
        <w:t>intérieur du bord le plus externe du véhicule au voisinage de son (ses) réservoirs(s).</w:t>
      </w:r>
      <w:r w:rsidRPr="00B840B6">
        <w:rPr>
          <w:b/>
          <w:lang w:val="fr-FR" w:eastAsia="ja-JP"/>
        </w:rPr>
        <w:t xml:space="preserve"> Cette prescription ne s</w:t>
      </w:r>
      <w:r>
        <w:rPr>
          <w:b/>
          <w:lang w:val="fr-FR" w:eastAsia="ja-JP"/>
        </w:rPr>
        <w:t>’</w:t>
      </w:r>
      <w:r w:rsidRPr="00B840B6">
        <w:rPr>
          <w:b/>
          <w:lang w:val="fr-FR" w:eastAsia="ja-JP"/>
        </w:rPr>
        <w:t>applique pas aux systèmes de stockage de l</w:t>
      </w:r>
      <w:r>
        <w:rPr>
          <w:b/>
          <w:lang w:val="fr-FR" w:eastAsia="ja-JP"/>
        </w:rPr>
        <w:t>’</w:t>
      </w:r>
      <w:r w:rsidRPr="00B840B6">
        <w:rPr>
          <w:b/>
          <w:lang w:val="fr-FR" w:eastAsia="ja-JP"/>
        </w:rPr>
        <w:t>hydrogène comprimé qui sont montés de telle manière que la partie la plus basse du système se trouve à plus de 1</w:t>
      </w:r>
      <w:r w:rsidR="00447067">
        <w:rPr>
          <w:b/>
          <w:lang w:val="fr-FR" w:eastAsia="ja-JP"/>
        </w:rPr>
        <w:t> </w:t>
      </w:r>
      <w:r w:rsidRPr="00B840B6">
        <w:rPr>
          <w:b/>
          <w:lang w:val="fr-FR" w:eastAsia="ja-JP"/>
        </w:rPr>
        <w:t>000</w:t>
      </w:r>
      <w:r w:rsidR="00447067">
        <w:rPr>
          <w:b/>
          <w:lang w:val="fr-FR" w:eastAsia="ja-JP"/>
        </w:rPr>
        <w:t> </w:t>
      </w:r>
      <w:r w:rsidRPr="00B840B6">
        <w:rPr>
          <w:b/>
          <w:lang w:val="fr-FR" w:eastAsia="ja-JP"/>
        </w:rPr>
        <w:t>mm au-dessus du sol.</w:t>
      </w:r>
      <w:r w:rsidRPr="00B840B6">
        <w:rPr>
          <w:lang w:val="fr-FR" w:eastAsia="ja-JP"/>
        </w:rPr>
        <w:t> ».</w:t>
      </w:r>
    </w:p>
    <w:p w:rsidR="00E11889" w:rsidRPr="00B840B6" w:rsidRDefault="00E11889" w:rsidP="00E11889">
      <w:pPr>
        <w:pStyle w:val="SingleTxtG"/>
        <w:rPr>
          <w:i/>
          <w:lang w:val="fr-FR"/>
        </w:rPr>
      </w:pPr>
      <w:r w:rsidRPr="00B840B6">
        <w:rPr>
          <w:i/>
          <w:iCs/>
          <w:lang w:val="fr-FR"/>
        </w:rPr>
        <w:t>Ajouter les nouveaux paragraphes</w:t>
      </w:r>
      <w:r w:rsidR="00447067">
        <w:rPr>
          <w:i/>
          <w:iCs/>
          <w:lang w:val="fr-FR"/>
        </w:rPr>
        <w:t> </w:t>
      </w:r>
      <w:r w:rsidRPr="00B840B6">
        <w:rPr>
          <w:i/>
          <w:iCs/>
          <w:lang w:val="fr-FR"/>
        </w:rPr>
        <w:t>7.2.4.3 à 7.2.5,</w:t>
      </w:r>
      <w:r w:rsidRPr="00B840B6">
        <w:rPr>
          <w:lang w:val="fr-FR"/>
        </w:rPr>
        <w:t xml:space="preserve"> libellés comme suit</w:t>
      </w:r>
      <w:r>
        <w:rPr>
          <w:lang w:val="fr-FR"/>
        </w:rPr>
        <w:t> </w:t>
      </w:r>
      <w:r w:rsidRPr="00B840B6">
        <w:rPr>
          <w:lang w:val="fr-FR"/>
        </w:rPr>
        <w:t>:</w:t>
      </w:r>
    </w:p>
    <w:p w:rsidR="00E11889" w:rsidRPr="00B840B6" w:rsidRDefault="00E11889" w:rsidP="00E11889">
      <w:pPr>
        <w:pStyle w:val="SingleTxtG"/>
        <w:ind w:left="2268" w:hanging="1134"/>
        <w:rPr>
          <w:b/>
          <w:lang w:val="fr-FR"/>
        </w:rPr>
      </w:pPr>
      <w:r w:rsidRPr="00B840B6">
        <w:rPr>
          <w:color w:val="000000" w:themeColor="text1"/>
          <w:lang w:val="fr-FR" w:eastAsia="ja-JP"/>
        </w:rPr>
        <w:t>« </w:t>
      </w:r>
      <w:r w:rsidRPr="00B840B6">
        <w:rPr>
          <w:b/>
          <w:lang w:val="fr-FR"/>
        </w:rPr>
        <w:t>7.2.4.3</w:t>
      </w:r>
      <w:r w:rsidRPr="00B840B6">
        <w:rPr>
          <w:b/>
          <w:lang w:val="fr-FR"/>
        </w:rPr>
        <w:tab/>
        <w:t>Essai de choc latéral sur le système de stockage de l</w:t>
      </w:r>
      <w:r>
        <w:rPr>
          <w:b/>
          <w:lang w:val="fr-FR"/>
        </w:rPr>
        <w:t>’</w:t>
      </w:r>
      <w:r w:rsidRPr="00B840B6">
        <w:rPr>
          <w:b/>
          <w:lang w:val="fr-FR"/>
        </w:rPr>
        <w:t>hydrogène comprimé en remplacement des prescriptions du paragraphe</w:t>
      </w:r>
      <w:r>
        <w:rPr>
          <w:b/>
          <w:lang w:val="fr-FR"/>
        </w:rPr>
        <w:t> </w:t>
      </w:r>
      <w:r w:rsidRPr="00B840B6">
        <w:rPr>
          <w:b/>
          <w:lang w:val="fr-FR"/>
        </w:rPr>
        <w:t>7.2.4.2</w:t>
      </w:r>
    </w:p>
    <w:p w:rsidR="00E11889" w:rsidRPr="00B840B6" w:rsidRDefault="00E11889" w:rsidP="00E11889">
      <w:pPr>
        <w:pStyle w:val="SingleTxtG"/>
        <w:ind w:left="2268"/>
        <w:rPr>
          <w:b/>
          <w:lang w:val="fr-FR"/>
        </w:rPr>
      </w:pPr>
      <w:r w:rsidRPr="00B840B6">
        <w:rPr>
          <w:b/>
          <w:lang w:val="fr-FR"/>
        </w:rPr>
        <w:t>À la demande du constructeur, pour les systèmes de stockage de l</w:t>
      </w:r>
      <w:r>
        <w:rPr>
          <w:b/>
          <w:lang w:val="fr-FR"/>
        </w:rPr>
        <w:t>’</w:t>
      </w:r>
      <w:r w:rsidRPr="00B840B6">
        <w:rPr>
          <w:b/>
          <w:lang w:val="fr-FR"/>
        </w:rPr>
        <w:t>hydrogène comprimé installés dans les véhicules auxquels l</w:t>
      </w:r>
      <w:r>
        <w:rPr>
          <w:b/>
          <w:lang w:val="fr-FR"/>
        </w:rPr>
        <w:t>’</w:t>
      </w:r>
      <w:r w:rsidRPr="00B840B6">
        <w:rPr>
          <w:b/>
          <w:lang w:val="fr-FR"/>
        </w:rPr>
        <w:t>essai de choc visé au paragraphe</w:t>
      </w:r>
      <w:r>
        <w:rPr>
          <w:b/>
          <w:lang w:val="fr-FR"/>
        </w:rPr>
        <w:t> </w:t>
      </w:r>
      <w:r w:rsidRPr="00B840B6">
        <w:rPr>
          <w:b/>
          <w:lang w:val="fr-FR"/>
        </w:rPr>
        <w:t>7.2</w:t>
      </w:r>
      <w:r>
        <w:rPr>
          <w:b/>
          <w:lang w:val="fr-FR"/>
        </w:rPr>
        <w:t> </w:t>
      </w:r>
      <w:r w:rsidRPr="00B840B6">
        <w:rPr>
          <w:b/>
          <w:lang w:val="fr-FR"/>
        </w:rPr>
        <w:t>b) n</w:t>
      </w:r>
      <w:r>
        <w:rPr>
          <w:b/>
          <w:lang w:val="fr-FR"/>
        </w:rPr>
        <w:t>’</w:t>
      </w:r>
      <w:r w:rsidRPr="00B840B6">
        <w:rPr>
          <w:b/>
          <w:lang w:val="fr-FR"/>
        </w:rPr>
        <w:t>est pas applicable, la prescription supplémentaire concernant l</w:t>
      </w:r>
      <w:r>
        <w:rPr>
          <w:b/>
          <w:lang w:val="fr-FR"/>
        </w:rPr>
        <w:t>’</w:t>
      </w:r>
      <w:r w:rsidRPr="00B840B6">
        <w:rPr>
          <w:b/>
          <w:lang w:val="fr-FR"/>
        </w:rPr>
        <w:t>installation visée au paragraphe</w:t>
      </w:r>
      <w:r>
        <w:rPr>
          <w:b/>
          <w:lang w:val="fr-FR"/>
        </w:rPr>
        <w:t> </w:t>
      </w:r>
      <w:r w:rsidRPr="00B840B6">
        <w:rPr>
          <w:b/>
          <w:lang w:val="fr-FR"/>
        </w:rPr>
        <w:t>7.2.4.2 ne s</w:t>
      </w:r>
      <w:r>
        <w:rPr>
          <w:b/>
          <w:lang w:val="fr-FR"/>
        </w:rPr>
        <w:t>’</w:t>
      </w:r>
      <w:r w:rsidRPr="00B840B6">
        <w:rPr>
          <w:b/>
          <w:lang w:val="fr-FR"/>
        </w:rPr>
        <w:t>applique pas si le système de stockage de l</w:t>
      </w:r>
      <w:r>
        <w:rPr>
          <w:b/>
          <w:lang w:val="fr-FR"/>
        </w:rPr>
        <w:t>’</w:t>
      </w:r>
      <w:r w:rsidRPr="00B840B6">
        <w:rPr>
          <w:b/>
          <w:lang w:val="fr-FR"/>
        </w:rPr>
        <w:t>hydrogène comprimé a subi avec succès l</w:t>
      </w:r>
      <w:r>
        <w:rPr>
          <w:b/>
          <w:lang w:val="fr-FR"/>
        </w:rPr>
        <w:t>’</w:t>
      </w:r>
      <w:r w:rsidRPr="00B840B6">
        <w:rPr>
          <w:b/>
          <w:lang w:val="fr-FR"/>
        </w:rPr>
        <w:t>essai de choc latéral décrit ci-après.</w:t>
      </w:r>
    </w:p>
    <w:p w:rsidR="00E11889" w:rsidRPr="00B840B6" w:rsidRDefault="00E11889" w:rsidP="00E11889">
      <w:pPr>
        <w:pStyle w:val="SingleTxtG"/>
        <w:ind w:left="2268" w:right="0" w:hanging="1134"/>
        <w:rPr>
          <w:b/>
          <w:lang w:val="fr-FR"/>
        </w:rPr>
      </w:pPr>
      <w:r w:rsidRPr="00B840B6">
        <w:rPr>
          <w:b/>
          <w:lang w:val="fr-FR"/>
        </w:rPr>
        <w:t>7.2.4.3.1</w:t>
      </w:r>
      <w:r w:rsidRPr="00B840B6">
        <w:rPr>
          <w:b/>
          <w:lang w:val="fr-FR"/>
        </w:rPr>
        <w:tab/>
        <w:t>Conditions de l</w:t>
      </w:r>
      <w:r>
        <w:rPr>
          <w:b/>
          <w:lang w:val="fr-FR"/>
        </w:rPr>
        <w:t>’</w:t>
      </w:r>
      <w:r w:rsidRPr="00B840B6">
        <w:rPr>
          <w:b/>
          <w:lang w:val="fr-FR"/>
        </w:rPr>
        <w:t>essai</w:t>
      </w:r>
    </w:p>
    <w:p w:rsidR="00E11889" w:rsidRPr="00564D17" w:rsidRDefault="00E11889" w:rsidP="00E11889">
      <w:pPr>
        <w:pStyle w:val="SingleTxtG"/>
        <w:ind w:left="2268"/>
        <w:rPr>
          <w:b/>
          <w:spacing w:val="-2"/>
          <w:lang w:val="fr-FR"/>
        </w:rPr>
      </w:pPr>
      <w:r w:rsidRPr="00564D17">
        <w:rPr>
          <w:b/>
          <w:spacing w:val="-2"/>
          <w:lang w:val="fr-FR"/>
        </w:rPr>
        <w:t xml:space="preserve">Le système de stockage de l’hydrogène comprimé doit être rempli d’hydrogène ou d’hélium. Le constructeur et le service technique doivent convenir ensemble de la pression d’épreuve. Les essais doivent être effectués </w:t>
      </w:r>
      <w:r w:rsidRPr="00564D17">
        <w:rPr>
          <w:b/>
          <w:spacing w:val="-2"/>
          <w:lang w:val="fr-FR"/>
        </w:rPr>
        <w:lastRenderedPageBreak/>
        <w:t xml:space="preserve">sur le système de stockage de l’hydrogène comprimé dans la position prévue pour son installation dans le véhicule, y compris les fixations, supports et </w:t>
      </w:r>
      <w:r w:rsidRPr="00564D17">
        <w:rPr>
          <w:b/>
          <w:lang w:val="fr-FR"/>
        </w:rPr>
        <w:t xml:space="preserve">structures de protection, le cas échéant. À la discrétion du constructeur, le système de stockage de l’hydrogène comprimé peut être fixé sur une partie représentative du châssis ou sur un véhicule complet. </w:t>
      </w:r>
      <w:bookmarkStart w:id="5" w:name="_GoBack"/>
      <w:bookmarkEnd w:id="5"/>
      <w:r w:rsidRPr="00564D17">
        <w:rPr>
          <w:b/>
          <w:lang w:val="fr-FR"/>
        </w:rPr>
        <w:t>La structure de protection doit être définie par le constructeur.</w:t>
      </w:r>
    </w:p>
    <w:p w:rsidR="00E11889" w:rsidRPr="00B840B6" w:rsidRDefault="00E11889" w:rsidP="00E11889">
      <w:pPr>
        <w:pStyle w:val="SingleTxtG"/>
        <w:ind w:left="2268" w:hanging="1134"/>
        <w:rPr>
          <w:b/>
          <w:lang w:val="fr-FR"/>
        </w:rPr>
      </w:pPr>
      <w:r w:rsidRPr="00B840B6">
        <w:rPr>
          <w:b/>
          <w:lang w:val="fr-FR"/>
        </w:rPr>
        <w:t>7.2.4.3.2</w:t>
      </w:r>
      <w:r w:rsidRPr="00B840B6">
        <w:rPr>
          <w:b/>
          <w:lang w:val="fr-FR"/>
        </w:rPr>
        <w:tab/>
        <w:t>Butoir mobile déformable</w:t>
      </w:r>
    </w:p>
    <w:p w:rsidR="00E11889" w:rsidRPr="00B840B6" w:rsidRDefault="00E11889" w:rsidP="00E11889">
      <w:pPr>
        <w:pStyle w:val="SingleTxtG"/>
        <w:ind w:left="2268"/>
        <w:rPr>
          <w:b/>
          <w:lang w:val="fr-FR"/>
        </w:rPr>
      </w:pPr>
      <w:r w:rsidRPr="00B840B6">
        <w:rPr>
          <w:b/>
          <w:lang w:val="fr-FR"/>
        </w:rPr>
        <w:t>Le butoir mobile déformable doit être conforme aux prescriptions énoncées à l</w:t>
      </w:r>
      <w:r>
        <w:rPr>
          <w:b/>
          <w:lang w:val="fr-FR"/>
        </w:rPr>
        <w:t>’</w:t>
      </w:r>
      <w:r w:rsidRPr="00B840B6">
        <w:rPr>
          <w:b/>
          <w:lang w:val="fr-FR"/>
        </w:rPr>
        <w:t>annexe</w:t>
      </w:r>
      <w:r w:rsidR="004509BE">
        <w:rPr>
          <w:b/>
          <w:lang w:val="fr-FR"/>
        </w:rPr>
        <w:t> </w:t>
      </w:r>
      <w:r w:rsidRPr="00B840B6">
        <w:rPr>
          <w:b/>
          <w:lang w:val="fr-FR"/>
        </w:rPr>
        <w:t xml:space="preserve">5 du Règlement ONU </w:t>
      </w:r>
      <w:r>
        <w:rPr>
          <w:b/>
          <w:lang w:val="fr-FR"/>
        </w:rPr>
        <w:t>n</w:t>
      </w:r>
      <w:r w:rsidRPr="00E11889">
        <w:rPr>
          <w:b/>
          <w:vertAlign w:val="superscript"/>
          <w:lang w:val="fr-FR"/>
        </w:rPr>
        <w:t>o</w:t>
      </w:r>
      <w:r>
        <w:rPr>
          <w:b/>
          <w:lang w:val="fr-FR"/>
        </w:rPr>
        <w:t> </w:t>
      </w:r>
      <w:r w:rsidRPr="00B840B6">
        <w:rPr>
          <w:b/>
          <w:lang w:val="fr-FR"/>
        </w:rPr>
        <w:t>95.</w:t>
      </w:r>
    </w:p>
    <w:p w:rsidR="00E11889" w:rsidRPr="00B840B6" w:rsidRDefault="00E11889" w:rsidP="00E11889">
      <w:pPr>
        <w:pStyle w:val="SingleTxtG"/>
        <w:ind w:left="2268" w:hanging="1134"/>
        <w:rPr>
          <w:b/>
          <w:lang w:val="fr-FR"/>
        </w:rPr>
      </w:pPr>
      <w:r w:rsidRPr="00B840B6">
        <w:rPr>
          <w:b/>
          <w:lang w:val="fr-FR"/>
        </w:rPr>
        <w:t>7.2.4.3.3</w:t>
      </w:r>
      <w:r w:rsidRPr="00B840B6">
        <w:rPr>
          <w:b/>
          <w:lang w:val="fr-FR"/>
        </w:rPr>
        <w:tab/>
        <w:t>Choc latéral sur le système de stockage de l</w:t>
      </w:r>
      <w:r>
        <w:rPr>
          <w:b/>
          <w:lang w:val="fr-FR"/>
        </w:rPr>
        <w:t>’</w:t>
      </w:r>
      <w:r w:rsidRPr="00B840B6">
        <w:rPr>
          <w:b/>
          <w:lang w:val="fr-FR"/>
        </w:rPr>
        <w:t>hydrogène comprimé</w:t>
      </w:r>
    </w:p>
    <w:p w:rsidR="00E11889" w:rsidRPr="00B840B6" w:rsidRDefault="00E11889" w:rsidP="00E11889">
      <w:pPr>
        <w:pStyle w:val="SingleTxtG"/>
        <w:ind w:left="2268"/>
        <w:rPr>
          <w:b/>
          <w:lang w:val="fr-FR"/>
        </w:rPr>
      </w:pPr>
      <w:r w:rsidRPr="00B840B6">
        <w:rPr>
          <w:b/>
          <w:lang w:val="fr-FR"/>
        </w:rPr>
        <w:t>La vitesse du butoir mobile déformable au moment du choc doit être de 50 ± 1 km/h. Toutefois, si l</w:t>
      </w:r>
      <w:r>
        <w:rPr>
          <w:b/>
          <w:lang w:val="fr-FR"/>
        </w:rPr>
        <w:t>’</w:t>
      </w:r>
      <w:r w:rsidRPr="00B840B6">
        <w:rPr>
          <w:b/>
          <w:lang w:val="fr-FR"/>
        </w:rPr>
        <w:t>essai a été effectué à une vitesse plus élevée au moment du choc et que le système de stockage de l</w:t>
      </w:r>
      <w:r>
        <w:rPr>
          <w:b/>
          <w:lang w:val="fr-FR"/>
        </w:rPr>
        <w:t>’</w:t>
      </w:r>
      <w:r w:rsidRPr="00B840B6">
        <w:rPr>
          <w:b/>
          <w:lang w:val="fr-FR"/>
        </w:rPr>
        <w:t>hydrogène comprimé a satisfait aux prescriptions, l</w:t>
      </w:r>
      <w:r>
        <w:rPr>
          <w:b/>
          <w:lang w:val="fr-FR"/>
        </w:rPr>
        <w:t>’</w:t>
      </w:r>
      <w:r w:rsidRPr="00B840B6">
        <w:rPr>
          <w:b/>
          <w:lang w:val="fr-FR"/>
        </w:rPr>
        <w:t>essai doit être considéré comme réussi. La</w:t>
      </w:r>
      <w:r w:rsidR="004509BE">
        <w:rPr>
          <w:b/>
          <w:lang w:val="fr-FR"/>
        </w:rPr>
        <w:t> </w:t>
      </w:r>
      <w:r w:rsidRPr="00B840B6">
        <w:rPr>
          <w:b/>
          <w:lang w:val="fr-FR"/>
        </w:rPr>
        <w:t>direction de l</w:t>
      </w:r>
      <w:r>
        <w:rPr>
          <w:b/>
          <w:lang w:val="fr-FR"/>
        </w:rPr>
        <w:t>’</w:t>
      </w:r>
      <w:r w:rsidRPr="00B840B6">
        <w:rPr>
          <w:b/>
          <w:lang w:val="fr-FR"/>
        </w:rPr>
        <w:t>impact doit former un angle de 90° avec l</w:t>
      </w:r>
      <w:r>
        <w:rPr>
          <w:b/>
          <w:lang w:val="fr-FR"/>
        </w:rPr>
        <w:t>’</w:t>
      </w:r>
      <w:r w:rsidRPr="00B840B6">
        <w:rPr>
          <w:b/>
          <w:lang w:val="fr-FR"/>
        </w:rPr>
        <w:t>axe longitudinal du réservoir et la hauteur du réservoir doit être réglée de telle sorte que le milieu de la plaque avant du butoir corresponde au milieu du réservoir à l</w:t>
      </w:r>
      <w:r>
        <w:rPr>
          <w:b/>
          <w:lang w:val="fr-FR"/>
        </w:rPr>
        <w:t>’</w:t>
      </w:r>
      <w:r w:rsidRPr="00B840B6">
        <w:rPr>
          <w:b/>
          <w:lang w:val="fr-FR"/>
        </w:rPr>
        <w:t>horizontale et à la verticale.</w:t>
      </w:r>
    </w:p>
    <w:p w:rsidR="00E11889" w:rsidRPr="00B840B6" w:rsidRDefault="00E11889" w:rsidP="00E11889">
      <w:pPr>
        <w:pStyle w:val="SingleTxtG"/>
        <w:ind w:left="2268"/>
        <w:rPr>
          <w:b/>
          <w:lang w:val="fr-FR"/>
        </w:rPr>
      </w:pPr>
      <w:r w:rsidRPr="00B840B6">
        <w:rPr>
          <w:b/>
          <w:lang w:val="fr-FR"/>
        </w:rPr>
        <w:t>Après cet essai de choc latéral, le système de stockage de l</w:t>
      </w:r>
      <w:r>
        <w:rPr>
          <w:b/>
          <w:lang w:val="fr-FR"/>
        </w:rPr>
        <w:t>’</w:t>
      </w:r>
      <w:r w:rsidRPr="00B840B6">
        <w:rPr>
          <w:b/>
          <w:lang w:val="fr-FR"/>
        </w:rPr>
        <w:t>hydrogène comprimé doit être conforme aux exigences des paragraphes</w:t>
      </w:r>
      <w:r>
        <w:rPr>
          <w:b/>
          <w:lang w:val="fr-FR"/>
        </w:rPr>
        <w:t> </w:t>
      </w:r>
      <w:r w:rsidRPr="00B840B6">
        <w:rPr>
          <w:b/>
          <w:lang w:val="fr-FR"/>
        </w:rPr>
        <w:t>7.2.1 à 7.2.3.</w:t>
      </w:r>
    </w:p>
    <w:p w:rsidR="00E11889" w:rsidRPr="00B840B6" w:rsidRDefault="00E11889" w:rsidP="00E11889">
      <w:pPr>
        <w:pStyle w:val="SingleTxtG"/>
        <w:ind w:left="2268" w:hanging="1134"/>
        <w:rPr>
          <w:b/>
          <w:lang w:val="fr-FR"/>
        </w:rPr>
      </w:pPr>
      <w:r w:rsidRPr="00B840B6">
        <w:rPr>
          <w:b/>
          <w:lang w:val="fr-FR"/>
        </w:rPr>
        <w:t>7.2.5</w:t>
      </w:r>
      <w:r w:rsidRPr="00B840B6">
        <w:rPr>
          <w:b/>
          <w:lang w:val="fr-FR"/>
        </w:rPr>
        <w:tab/>
      </w:r>
      <w:r w:rsidRPr="00B840B6">
        <w:rPr>
          <w:b/>
          <w:lang w:val="fr-FR"/>
        </w:rPr>
        <w:tab/>
        <w:t>Une méthode de calcul peut être utilisée au lieu d</w:t>
      </w:r>
      <w:r>
        <w:rPr>
          <w:b/>
          <w:lang w:val="fr-FR"/>
        </w:rPr>
        <w:t>’</w:t>
      </w:r>
      <w:r w:rsidRPr="00B840B6">
        <w:rPr>
          <w:b/>
          <w:lang w:val="fr-FR"/>
        </w:rPr>
        <w:t>un essai concret si son équivalence peut être démontrée par le demandeur de l</w:t>
      </w:r>
      <w:r>
        <w:rPr>
          <w:b/>
          <w:lang w:val="fr-FR"/>
        </w:rPr>
        <w:t>’</w:t>
      </w:r>
      <w:r w:rsidRPr="00B840B6">
        <w:rPr>
          <w:b/>
          <w:lang w:val="fr-FR"/>
        </w:rPr>
        <w:t>homologation à la satisfaction du service technique.</w:t>
      </w:r>
      <w:r w:rsidRPr="00B840B6">
        <w:rPr>
          <w:lang w:val="fr-FR"/>
        </w:rPr>
        <w:t> ».</w:t>
      </w:r>
    </w:p>
    <w:p w:rsidR="00E11889" w:rsidRPr="00B840B6" w:rsidRDefault="00E11889" w:rsidP="00E11889">
      <w:pPr>
        <w:pStyle w:val="SingleTxtG"/>
        <w:rPr>
          <w:lang w:val="fr-FR"/>
        </w:rPr>
      </w:pPr>
      <w:r w:rsidRPr="00B840B6">
        <w:rPr>
          <w:i/>
          <w:iCs/>
          <w:lang w:val="fr-FR"/>
        </w:rPr>
        <w:t>Paragraphe 9.3.2.2</w:t>
      </w:r>
      <w:r w:rsidRPr="00B840B6">
        <w:rPr>
          <w:lang w:val="fr-FR"/>
        </w:rPr>
        <w:t>, lire</w:t>
      </w:r>
      <w:r>
        <w:rPr>
          <w:lang w:val="fr-FR"/>
        </w:rPr>
        <w:t> </w:t>
      </w:r>
      <w:r w:rsidRPr="00B840B6">
        <w:rPr>
          <w:lang w:val="fr-FR"/>
        </w:rPr>
        <w:t>:</w:t>
      </w:r>
    </w:p>
    <w:p w:rsidR="00E11889" w:rsidRPr="00B840B6" w:rsidRDefault="00E11889" w:rsidP="00E11889">
      <w:pPr>
        <w:pStyle w:val="SingleTxtG"/>
        <w:ind w:left="2268" w:hanging="1134"/>
        <w:rPr>
          <w:lang w:val="fr-FR" w:eastAsia="ja-JP"/>
        </w:rPr>
      </w:pPr>
      <w:r w:rsidRPr="00B840B6">
        <w:rPr>
          <w:color w:val="000000" w:themeColor="text1"/>
          <w:lang w:val="fr-FR" w:eastAsia="ja-JP"/>
        </w:rPr>
        <w:t>« </w:t>
      </w:r>
      <w:r w:rsidRPr="00B840B6">
        <w:rPr>
          <w:lang w:val="fr-FR" w:eastAsia="ja-JP"/>
        </w:rPr>
        <w:t>9.3.2.2</w:t>
      </w:r>
      <w:r w:rsidRPr="00B840B6">
        <w:rPr>
          <w:lang w:val="fr-FR" w:eastAsia="ja-JP"/>
        </w:rPr>
        <w:tab/>
        <w:t>…</w:t>
      </w:r>
    </w:p>
    <w:p w:rsidR="00E11889" w:rsidRPr="00B840B6" w:rsidRDefault="00E11889" w:rsidP="00E11889">
      <w:pPr>
        <w:pStyle w:val="SingleTxtG"/>
        <w:ind w:left="2268"/>
        <w:rPr>
          <w:lang w:val="fr-FR" w:eastAsia="ja-JP"/>
        </w:rPr>
      </w:pPr>
      <w:r w:rsidRPr="00B840B6">
        <w:rPr>
          <w:lang w:val="fr-FR" w:eastAsia="ja-JP"/>
        </w:rPr>
        <w:t>Pour la durée de vie en service de 15</w:t>
      </w:r>
      <w:r>
        <w:rPr>
          <w:lang w:val="fr-FR" w:eastAsia="ja-JP"/>
        </w:rPr>
        <w:t> </w:t>
      </w:r>
      <w:r w:rsidRPr="00B840B6">
        <w:rPr>
          <w:lang w:val="fr-FR" w:eastAsia="ja-JP"/>
        </w:rPr>
        <w:t>ans, la bouteille ne doit pas fuir ou se briser au cours des 11</w:t>
      </w:r>
      <w:r>
        <w:rPr>
          <w:lang w:val="fr-FR" w:eastAsia="ja-JP"/>
        </w:rPr>
        <w:t> </w:t>
      </w:r>
      <w:r w:rsidRPr="00B840B6">
        <w:rPr>
          <w:lang w:val="fr-FR" w:eastAsia="ja-JP"/>
        </w:rPr>
        <w:t>000</w:t>
      </w:r>
      <w:r>
        <w:rPr>
          <w:lang w:val="fr-FR" w:eastAsia="ja-JP"/>
        </w:rPr>
        <w:t> </w:t>
      </w:r>
      <w:r w:rsidRPr="00B840B6">
        <w:rPr>
          <w:lang w:val="fr-FR" w:eastAsia="ja-JP"/>
        </w:rPr>
        <w:t>premiers cycle</w:t>
      </w:r>
      <w:r w:rsidRPr="00B840B6">
        <w:rPr>
          <w:b/>
          <w:lang w:val="fr-FR" w:eastAsia="ja-JP"/>
        </w:rPr>
        <w:t>s, ou, pour la durée de vie en service de 20 ans, au cours des 15</w:t>
      </w:r>
      <w:r w:rsidR="004509BE">
        <w:rPr>
          <w:b/>
          <w:lang w:val="fr-FR" w:eastAsia="ja-JP"/>
        </w:rPr>
        <w:t> </w:t>
      </w:r>
      <w:r w:rsidRPr="00B840B6">
        <w:rPr>
          <w:b/>
          <w:lang w:val="fr-FR" w:eastAsia="ja-JP"/>
        </w:rPr>
        <w:t>000</w:t>
      </w:r>
      <w:r w:rsidR="004509BE">
        <w:rPr>
          <w:b/>
          <w:lang w:val="fr-FR" w:eastAsia="ja-JP"/>
        </w:rPr>
        <w:t> </w:t>
      </w:r>
      <w:r w:rsidRPr="00B840B6">
        <w:rPr>
          <w:b/>
          <w:lang w:val="fr-FR" w:eastAsia="ja-JP"/>
        </w:rPr>
        <w:t>premiers cycles</w:t>
      </w:r>
      <w:r w:rsidRPr="00B840B6">
        <w:rPr>
          <w:lang w:val="fr-FR" w:eastAsia="ja-JP"/>
        </w:rPr>
        <w:t>. ».</w:t>
      </w:r>
    </w:p>
    <w:p w:rsidR="00E11889" w:rsidRPr="00B840B6" w:rsidRDefault="00E11889" w:rsidP="00E11889">
      <w:pPr>
        <w:pStyle w:val="SingleTxtG"/>
        <w:rPr>
          <w:lang w:val="fr-FR"/>
        </w:rPr>
      </w:pPr>
      <w:r w:rsidRPr="00B840B6">
        <w:rPr>
          <w:i/>
          <w:iCs/>
          <w:lang w:val="fr-FR"/>
        </w:rPr>
        <w:t>Paragraphes 9.3.2.3 à 9.3.2.3.3</w:t>
      </w:r>
      <w:r w:rsidRPr="00B840B6">
        <w:rPr>
          <w:lang w:val="fr-FR"/>
        </w:rPr>
        <w:t>, lire</w:t>
      </w:r>
      <w:r>
        <w:rPr>
          <w:lang w:val="fr-FR"/>
        </w:rPr>
        <w:t> </w:t>
      </w:r>
      <w:r w:rsidRPr="00B840B6">
        <w:rPr>
          <w:lang w:val="fr-FR"/>
        </w:rPr>
        <w:t>:</w:t>
      </w:r>
    </w:p>
    <w:p w:rsidR="00E11889" w:rsidRPr="00B840B6" w:rsidRDefault="00E11889" w:rsidP="00E11889">
      <w:pPr>
        <w:pStyle w:val="SingleTxtG"/>
        <w:ind w:left="2268" w:hanging="1134"/>
        <w:rPr>
          <w:lang w:val="fr-FR" w:eastAsia="ja-JP"/>
        </w:rPr>
      </w:pPr>
      <w:r w:rsidRPr="00B840B6">
        <w:rPr>
          <w:color w:val="000000" w:themeColor="text1"/>
          <w:lang w:val="fr-FR" w:eastAsia="ja-JP"/>
        </w:rPr>
        <w:t>« </w:t>
      </w:r>
      <w:r w:rsidRPr="00B840B6">
        <w:rPr>
          <w:lang w:val="fr-FR" w:eastAsia="ja-JP"/>
        </w:rPr>
        <w:t>9.3.2.3</w:t>
      </w:r>
      <w:r w:rsidRPr="00B840B6">
        <w:rPr>
          <w:lang w:val="fr-FR" w:eastAsia="ja-JP"/>
        </w:rPr>
        <w:tab/>
        <w:t>Dispositions relatives à l</w:t>
      </w:r>
      <w:r>
        <w:rPr>
          <w:lang w:val="fr-FR" w:eastAsia="ja-JP"/>
        </w:rPr>
        <w:t>’</w:t>
      </w:r>
      <w:r w:rsidRPr="00B840B6">
        <w:rPr>
          <w:lang w:val="fr-FR" w:eastAsia="ja-JP"/>
        </w:rPr>
        <w:t>assouplissement des prescriptions</w:t>
      </w:r>
    </w:p>
    <w:p w:rsidR="00E11889" w:rsidRPr="00B840B6" w:rsidRDefault="00E11889" w:rsidP="00E11889">
      <w:pPr>
        <w:pStyle w:val="SingleTxtG"/>
        <w:ind w:left="2268"/>
        <w:rPr>
          <w:lang w:val="fr-FR" w:eastAsia="ja-JP"/>
        </w:rPr>
      </w:pPr>
      <w:r w:rsidRPr="00B840B6">
        <w:rPr>
          <w:lang w:val="fr-FR" w:eastAsia="ja-JP"/>
        </w:rPr>
        <w:tab/>
        <w:t>…</w:t>
      </w:r>
    </w:p>
    <w:p w:rsidR="00E11889" w:rsidRPr="00B840B6" w:rsidRDefault="00E11889" w:rsidP="00E11889">
      <w:pPr>
        <w:pStyle w:val="SingleTxtG"/>
        <w:ind w:left="2268" w:hanging="1134"/>
        <w:rPr>
          <w:lang w:val="fr-FR" w:eastAsia="ja-JP"/>
        </w:rPr>
      </w:pPr>
      <w:r w:rsidRPr="00B840B6">
        <w:rPr>
          <w:lang w:val="fr-FR" w:eastAsia="ja-JP"/>
        </w:rPr>
        <w:t>9.3.2.3.1</w:t>
      </w:r>
      <w:r w:rsidRPr="00B840B6">
        <w:rPr>
          <w:lang w:val="fr-FR" w:eastAsia="ja-JP"/>
        </w:rPr>
        <w:tab/>
        <w:t>Une bouteille de chaque lot doit être soumise à des cycles de pression à raison de 11</w:t>
      </w:r>
      <w:r>
        <w:rPr>
          <w:lang w:val="fr-FR" w:eastAsia="ja-JP"/>
        </w:rPr>
        <w:t> </w:t>
      </w:r>
      <w:r w:rsidRPr="00B840B6">
        <w:rPr>
          <w:lang w:val="fr-FR" w:eastAsia="ja-JP"/>
        </w:rPr>
        <w:t>000</w:t>
      </w:r>
      <w:r>
        <w:rPr>
          <w:lang w:val="fr-FR" w:eastAsia="ja-JP"/>
        </w:rPr>
        <w:t> </w:t>
      </w:r>
      <w:r w:rsidRPr="00B840B6">
        <w:rPr>
          <w:lang w:val="fr-FR" w:eastAsia="ja-JP"/>
        </w:rPr>
        <w:t xml:space="preserve">cycles pour </w:t>
      </w:r>
      <w:r w:rsidRPr="00D7206E">
        <w:rPr>
          <w:lang w:val="fr-FR" w:eastAsia="ja-JP"/>
        </w:rPr>
        <w:t>la</w:t>
      </w:r>
      <w:r w:rsidRPr="00B840B6">
        <w:rPr>
          <w:lang w:val="fr-FR" w:eastAsia="ja-JP"/>
        </w:rPr>
        <w:t xml:space="preserve"> durée de vie en service de 15</w:t>
      </w:r>
      <w:r>
        <w:rPr>
          <w:lang w:val="fr-FR" w:eastAsia="ja-JP"/>
        </w:rPr>
        <w:t> </w:t>
      </w:r>
      <w:r w:rsidRPr="00B840B6">
        <w:rPr>
          <w:lang w:val="fr-FR" w:eastAsia="ja-JP"/>
        </w:rPr>
        <w:t>ans</w:t>
      </w:r>
      <w:r w:rsidRPr="00B840B6">
        <w:rPr>
          <w:b/>
          <w:lang w:val="fr-FR" w:eastAsia="ja-JP"/>
        </w:rPr>
        <w:t xml:space="preserve"> ou de 15</w:t>
      </w:r>
      <w:r>
        <w:rPr>
          <w:b/>
          <w:lang w:val="fr-FR" w:eastAsia="ja-JP"/>
        </w:rPr>
        <w:t> </w:t>
      </w:r>
      <w:r w:rsidRPr="00B840B6">
        <w:rPr>
          <w:b/>
          <w:lang w:val="fr-FR" w:eastAsia="ja-JP"/>
        </w:rPr>
        <w:t>000</w:t>
      </w:r>
      <w:r>
        <w:rPr>
          <w:b/>
          <w:lang w:val="fr-FR" w:eastAsia="ja-JP"/>
        </w:rPr>
        <w:t> </w:t>
      </w:r>
      <w:r w:rsidRPr="00B840B6">
        <w:rPr>
          <w:b/>
          <w:lang w:val="fr-FR" w:eastAsia="ja-JP"/>
        </w:rPr>
        <w:t>cycles pour une durée de vie en service de 20</w:t>
      </w:r>
      <w:r>
        <w:rPr>
          <w:b/>
          <w:lang w:val="fr-FR" w:eastAsia="ja-JP"/>
        </w:rPr>
        <w:t> </w:t>
      </w:r>
      <w:r w:rsidRPr="00B840B6">
        <w:rPr>
          <w:b/>
          <w:lang w:val="fr-FR" w:eastAsia="ja-JP"/>
        </w:rPr>
        <w:t>ans, selon l</w:t>
      </w:r>
      <w:r>
        <w:rPr>
          <w:b/>
          <w:lang w:val="fr-FR" w:eastAsia="ja-JP"/>
        </w:rPr>
        <w:t>’</w:t>
      </w:r>
      <w:r w:rsidRPr="00B840B6">
        <w:rPr>
          <w:b/>
          <w:lang w:val="fr-FR" w:eastAsia="ja-JP"/>
        </w:rPr>
        <w:t>utilisation prévue du conteneur ;</w:t>
      </w:r>
    </w:p>
    <w:p w:rsidR="00E11889" w:rsidRPr="00B840B6" w:rsidRDefault="00E11889" w:rsidP="00E11889">
      <w:pPr>
        <w:pStyle w:val="SingleTxtG"/>
        <w:ind w:left="2268" w:hanging="1134"/>
        <w:rPr>
          <w:lang w:val="fr-FR" w:eastAsia="ja-JP"/>
        </w:rPr>
      </w:pPr>
      <w:r w:rsidRPr="00B840B6">
        <w:rPr>
          <w:lang w:val="fr-FR" w:eastAsia="ja-JP"/>
        </w:rPr>
        <w:t>9.3.2.3.2</w:t>
      </w:r>
      <w:r w:rsidRPr="00B840B6">
        <w:rPr>
          <w:lang w:val="fr-FR" w:eastAsia="ja-JP"/>
        </w:rPr>
        <w:tab/>
        <w:t>Sur 10</w:t>
      </w:r>
      <w:r>
        <w:rPr>
          <w:lang w:val="fr-FR" w:eastAsia="ja-JP"/>
        </w:rPr>
        <w:t> </w:t>
      </w:r>
      <w:r w:rsidRPr="00B840B6">
        <w:rPr>
          <w:lang w:val="fr-FR" w:eastAsia="ja-JP"/>
        </w:rPr>
        <w:t>lots de fabrication consécutifs de la même conception, si aucune des bouteilles soumises aux cycles de pression ne fuit ou n</w:t>
      </w:r>
      <w:r>
        <w:rPr>
          <w:lang w:val="fr-FR" w:eastAsia="ja-JP"/>
        </w:rPr>
        <w:t>’</w:t>
      </w:r>
      <w:r w:rsidRPr="00B840B6">
        <w:rPr>
          <w:lang w:val="fr-FR" w:eastAsia="ja-JP"/>
        </w:rPr>
        <w:t>éclate au cours d</w:t>
      </w:r>
      <w:r>
        <w:rPr>
          <w:lang w:val="fr-FR" w:eastAsia="ja-JP"/>
        </w:rPr>
        <w:t>’</w:t>
      </w:r>
      <w:r w:rsidRPr="00B840B6">
        <w:rPr>
          <w:lang w:val="fr-FR" w:eastAsia="ja-JP"/>
        </w:rPr>
        <w:t xml:space="preserve">un nombre de cycles inférieur à 11 000 </w:t>
      </w:r>
      <w:r w:rsidRPr="00D7206E">
        <w:rPr>
          <w:lang w:val="fr-FR" w:eastAsia="ja-JP"/>
        </w:rPr>
        <w:t>× 1,5 pour</w:t>
      </w:r>
      <w:r w:rsidRPr="004509BE">
        <w:rPr>
          <w:bCs/>
          <w:lang w:val="fr-FR" w:eastAsia="ja-JP"/>
        </w:rPr>
        <w:t xml:space="preserve"> </w:t>
      </w:r>
      <w:r w:rsidRPr="00B840B6">
        <w:rPr>
          <w:lang w:val="fr-FR" w:eastAsia="ja-JP"/>
        </w:rPr>
        <w:t>la durée de vie en service de 15</w:t>
      </w:r>
      <w:r>
        <w:rPr>
          <w:lang w:val="fr-FR" w:eastAsia="ja-JP"/>
        </w:rPr>
        <w:t> </w:t>
      </w:r>
      <w:r w:rsidRPr="00B840B6">
        <w:rPr>
          <w:lang w:val="fr-FR" w:eastAsia="ja-JP"/>
        </w:rPr>
        <w:t>ans</w:t>
      </w:r>
      <w:bookmarkStart w:id="6" w:name="_Hlk66208161"/>
      <w:r w:rsidRPr="00B840B6">
        <w:rPr>
          <w:lang w:val="fr-FR" w:eastAsia="ja-JP"/>
        </w:rPr>
        <w:t xml:space="preserve">, </w:t>
      </w:r>
      <w:r w:rsidRPr="00B840B6">
        <w:rPr>
          <w:b/>
          <w:lang w:val="fr-FR" w:eastAsia="ja-JP"/>
        </w:rPr>
        <w:t>ou au cours d</w:t>
      </w:r>
      <w:r>
        <w:rPr>
          <w:b/>
          <w:lang w:val="fr-FR" w:eastAsia="ja-JP"/>
        </w:rPr>
        <w:t>’</w:t>
      </w:r>
      <w:r w:rsidRPr="00B840B6">
        <w:rPr>
          <w:b/>
          <w:lang w:val="fr-FR" w:eastAsia="ja-JP"/>
        </w:rPr>
        <w:t>un nombre de cycles inférieur à 15</w:t>
      </w:r>
      <w:r>
        <w:rPr>
          <w:b/>
          <w:lang w:val="fr-FR" w:eastAsia="ja-JP"/>
        </w:rPr>
        <w:t> </w:t>
      </w:r>
      <w:r w:rsidRPr="00B840B6">
        <w:rPr>
          <w:b/>
          <w:lang w:val="fr-FR" w:eastAsia="ja-JP"/>
        </w:rPr>
        <w:t>000 × 1,5 pour la durée de vie en service de 20</w:t>
      </w:r>
      <w:r>
        <w:rPr>
          <w:b/>
          <w:lang w:val="fr-FR" w:eastAsia="ja-JP"/>
        </w:rPr>
        <w:t> </w:t>
      </w:r>
      <w:r w:rsidRPr="00B840B6">
        <w:rPr>
          <w:b/>
          <w:lang w:val="fr-FR" w:eastAsia="ja-JP"/>
        </w:rPr>
        <w:t xml:space="preserve">ans, </w:t>
      </w:r>
      <w:bookmarkEnd w:id="6"/>
      <w:r w:rsidRPr="00B840B6">
        <w:rPr>
          <w:lang w:val="fr-FR" w:eastAsia="ja-JP"/>
        </w:rPr>
        <w:t>l</w:t>
      </w:r>
      <w:r>
        <w:rPr>
          <w:lang w:val="fr-FR" w:eastAsia="ja-JP"/>
        </w:rPr>
        <w:t>’</w:t>
      </w:r>
      <w:r w:rsidRPr="00B840B6">
        <w:rPr>
          <w:lang w:val="fr-FR" w:eastAsia="ja-JP"/>
        </w:rPr>
        <w:t>essai de cyclage en pression peut être limité à une bouteille tous les 5</w:t>
      </w:r>
      <w:r>
        <w:rPr>
          <w:lang w:val="fr-FR" w:eastAsia="ja-JP"/>
        </w:rPr>
        <w:t> </w:t>
      </w:r>
      <w:r w:rsidRPr="00B840B6">
        <w:rPr>
          <w:lang w:val="fr-FR" w:eastAsia="ja-JP"/>
        </w:rPr>
        <w:t>lots de fabrication</w:t>
      </w:r>
      <w:r>
        <w:rPr>
          <w:lang w:val="fr-FR" w:eastAsia="ja-JP"/>
        </w:rPr>
        <w:t> </w:t>
      </w:r>
      <w:r w:rsidRPr="00B840B6">
        <w:rPr>
          <w:lang w:val="fr-FR" w:eastAsia="ja-JP"/>
        </w:rPr>
        <w:t>;</w:t>
      </w:r>
    </w:p>
    <w:p w:rsidR="00E11889" w:rsidRPr="004509BE" w:rsidRDefault="00E11889" w:rsidP="004509BE">
      <w:pPr>
        <w:pStyle w:val="SingleTxtG"/>
        <w:ind w:left="2268" w:hanging="1134"/>
        <w:rPr>
          <w:lang w:val="fr-FR" w:eastAsia="ja-JP"/>
        </w:rPr>
      </w:pPr>
      <w:r w:rsidRPr="00B840B6">
        <w:rPr>
          <w:lang w:val="fr-FR" w:eastAsia="ja-JP"/>
        </w:rPr>
        <w:t>9.3.2.3.3</w:t>
      </w:r>
      <w:r w:rsidRPr="00B840B6">
        <w:rPr>
          <w:lang w:val="fr-FR" w:eastAsia="ja-JP"/>
        </w:rPr>
        <w:tab/>
        <w:t>Sur 10</w:t>
      </w:r>
      <w:r>
        <w:rPr>
          <w:lang w:val="fr-FR" w:eastAsia="ja-JP"/>
        </w:rPr>
        <w:t> </w:t>
      </w:r>
      <w:r w:rsidRPr="00B840B6">
        <w:rPr>
          <w:lang w:val="fr-FR" w:eastAsia="ja-JP"/>
        </w:rPr>
        <w:t xml:space="preserve">lots de fabrication de conception identique, si aucune des bouteilles soumises aux </w:t>
      </w:r>
      <w:r w:rsidRPr="00B840B6">
        <w:rPr>
          <w:lang w:val="fr-FR"/>
        </w:rPr>
        <w:t>cycles de pression ne fuit ou n</w:t>
      </w:r>
      <w:r>
        <w:rPr>
          <w:lang w:val="fr-FR"/>
        </w:rPr>
        <w:t>’</w:t>
      </w:r>
      <w:r w:rsidRPr="00B840B6">
        <w:rPr>
          <w:lang w:val="fr-FR"/>
        </w:rPr>
        <w:t>éclate au cours d</w:t>
      </w:r>
      <w:r>
        <w:rPr>
          <w:lang w:val="fr-FR"/>
        </w:rPr>
        <w:t>’</w:t>
      </w:r>
      <w:r w:rsidRPr="00B840B6">
        <w:rPr>
          <w:lang w:val="fr-FR"/>
        </w:rPr>
        <w:t>un nombre de cycles inférieur à 11</w:t>
      </w:r>
      <w:r>
        <w:rPr>
          <w:lang w:val="fr-FR"/>
        </w:rPr>
        <w:t> </w:t>
      </w:r>
      <w:r w:rsidRPr="00B840B6">
        <w:rPr>
          <w:lang w:val="fr-FR"/>
        </w:rPr>
        <w:t xml:space="preserve">000 </w:t>
      </w:r>
      <w:r w:rsidRPr="00D7206E">
        <w:rPr>
          <w:lang w:val="fr-FR"/>
        </w:rPr>
        <w:t>×</w:t>
      </w:r>
      <w:r w:rsidRPr="00D7206E">
        <w:rPr>
          <w:lang w:val="fr-FR" w:eastAsia="ja-JP"/>
        </w:rPr>
        <w:t xml:space="preserve"> 2,0 pour</w:t>
      </w:r>
      <w:r w:rsidRPr="00B840B6">
        <w:rPr>
          <w:lang w:val="fr-FR" w:eastAsia="ja-JP"/>
        </w:rPr>
        <w:t xml:space="preserve"> la durée de vie en service de 15</w:t>
      </w:r>
      <w:r>
        <w:rPr>
          <w:lang w:val="fr-FR" w:eastAsia="ja-JP"/>
        </w:rPr>
        <w:t> </w:t>
      </w:r>
      <w:r w:rsidRPr="00B840B6">
        <w:rPr>
          <w:lang w:val="fr-FR" w:eastAsia="ja-JP"/>
        </w:rPr>
        <w:t xml:space="preserve">ans, </w:t>
      </w:r>
      <w:r w:rsidRPr="00B840B6">
        <w:rPr>
          <w:b/>
          <w:lang w:val="fr-FR" w:eastAsia="ja-JP"/>
        </w:rPr>
        <w:t>ou au cours d</w:t>
      </w:r>
      <w:r>
        <w:rPr>
          <w:b/>
          <w:lang w:val="fr-FR" w:eastAsia="ja-JP"/>
        </w:rPr>
        <w:t>’</w:t>
      </w:r>
      <w:r w:rsidRPr="00B840B6">
        <w:rPr>
          <w:b/>
          <w:lang w:val="fr-FR" w:eastAsia="ja-JP"/>
        </w:rPr>
        <w:t>un nombre de cycles inférieur à 15</w:t>
      </w:r>
      <w:r>
        <w:rPr>
          <w:b/>
          <w:lang w:val="fr-FR" w:eastAsia="ja-JP"/>
        </w:rPr>
        <w:t> </w:t>
      </w:r>
      <w:r w:rsidRPr="00B840B6">
        <w:rPr>
          <w:b/>
          <w:lang w:val="fr-FR" w:eastAsia="ja-JP"/>
        </w:rPr>
        <w:t>000 × 2,0 pour la durée de vie en service de 20</w:t>
      </w:r>
      <w:r>
        <w:rPr>
          <w:b/>
          <w:lang w:val="fr-FR" w:eastAsia="ja-JP"/>
        </w:rPr>
        <w:t> </w:t>
      </w:r>
      <w:r w:rsidRPr="00B840B6">
        <w:rPr>
          <w:b/>
          <w:lang w:val="fr-FR" w:eastAsia="ja-JP"/>
        </w:rPr>
        <w:t xml:space="preserve">ans, </w:t>
      </w:r>
      <w:r w:rsidRPr="00B840B6">
        <w:rPr>
          <w:lang w:val="fr-FR" w:eastAsia="ja-JP"/>
        </w:rPr>
        <w:t>l</w:t>
      </w:r>
      <w:r>
        <w:rPr>
          <w:lang w:val="fr-FR" w:eastAsia="ja-JP"/>
        </w:rPr>
        <w:t>’</w:t>
      </w:r>
      <w:r w:rsidRPr="00B840B6">
        <w:rPr>
          <w:lang w:val="fr-FR" w:eastAsia="ja-JP"/>
        </w:rPr>
        <w:t>essai de cyclage en pression peut être limité à une bouteille tous les 10</w:t>
      </w:r>
      <w:r>
        <w:rPr>
          <w:lang w:val="fr-FR" w:eastAsia="ja-JP"/>
        </w:rPr>
        <w:t> </w:t>
      </w:r>
      <w:r w:rsidRPr="00B840B6">
        <w:rPr>
          <w:lang w:val="fr-FR" w:eastAsia="ja-JP"/>
        </w:rPr>
        <w:t>lots de fabrication</w:t>
      </w:r>
      <w:r w:rsidR="004509BE">
        <w:rPr>
          <w:lang w:val="fr-FR" w:eastAsia="ja-JP"/>
        </w:rPr>
        <w:t>.</w:t>
      </w:r>
      <w:r w:rsidRPr="00B840B6">
        <w:rPr>
          <w:lang w:val="fr-FR"/>
        </w:rPr>
        <w:t> ».</w:t>
      </w:r>
    </w:p>
    <w:p w:rsidR="00E11889" w:rsidRPr="00B840B6" w:rsidRDefault="00E11889" w:rsidP="004509BE">
      <w:pPr>
        <w:pStyle w:val="SingleTxtG"/>
        <w:keepNext/>
        <w:keepLines/>
        <w:rPr>
          <w:i/>
          <w:color w:val="000000" w:themeColor="text1"/>
          <w:lang w:val="fr-FR"/>
        </w:rPr>
      </w:pPr>
      <w:r w:rsidRPr="00B840B6">
        <w:rPr>
          <w:i/>
          <w:iCs/>
          <w:lang w:val="fr-FR"/>
        </w:rPr>
        <w:lastRenderedPageBreak/>
        <w:t>Annexe 5</w:t>
      </w:r>
    </w:p>
    <w:p w:rsidR="00E11889" w:rsidRPr="00B840B6" w:rsidRDefault="00E11889" w:rsidP="004509BE">
      <w:pPr>
        <w:pStyle w:val="SingleTxtG"/>
        <w:keepNext/>
        <w:keepLines/>
        <w:rPr>
          <w:i/>
          <w:color w:val="000000" w:themeColor="text1"/>
          <w:lang w:val="fr-FR"/>
        </w:rPr>
      </w:pPr>
      <w:r w:rsidRPr="00B840B6">
        <w:rPr>
          <w:i/>
          <w:iCs/>
          <w:lang w:val="fr-FR"/>
        </w:rPr>
        <w:t>Paragraphe</w:t>
      </w:r>
      <w:bookmarkStart w:id="7" w:name="_Hlk66210123"/>
      <w:r w:rsidRPr="00B840B6">
        <w:rPr>
          <w:i/>
          <w:iCs/>
          <w:lang w:val="fr-FR"/>
        </w:rPr>
        <w:t xml:space="preserve"> 3.2.1.3</w:t>
      </w:r>
      <w:bookmarkEnd w:id="7"/>
      <w:r w:rsidRPr="00B840B6">
        <w:rPr>
          <w:lang w:val="fr-FR"/>
        </w:rPr>
        <w:t>, lire</w:t>
      </w:r>
      <w:r>
        <w:rPr>
          <w:lang w:val="fr-FR"/>
        </w:rPr>
        <w:t> </w:t>
      </w:r>
      <w:r w:rsidRPr="00B840B6">
        <w:rPr>
          <w:lang w:val="fr-FR"/>
        </w:rPr>
        <w:t>:</w:t>
      </w:r>
    </w:p>
    <w:p w:rsidR="00E11889" w:rsidRPr="00B840B6" w:rsidRDefault="00E11889" w:rsidP="00E11889">
      <w:pPr>
        <w:pStyle w:val="SingleTxtG"/>
        <w:ind w:left="2268" w:hanging="1134"/>
        <w:rPr>
          <w:lang w:val="fr-FR" w:eastAsia="ja-JP"/>
        </w:rPr>
      </w:pPr>
      <w:r w:rsidRPr="00B840B6">
        <w:rPr>
          <w:lang w:val="fr-FR" w:eastAsia="ja-JP"/>
        </w:rPr>
        <w:t>« 3.2.1.3</w:t>
      </w:r>
      <w:r w:rsidRPr="00B840B6">
        <w:rPr>
          <w:lang w:val="fr-FR" w:eastAsia="ja-JP"/>
        </w:rPr>
        <w:tab/>
        <w:t>Avant de procéder à l</w:t>
      </w:r>
      <w:r>
        <w:rPr>
          <w:lang w:val="fr-FR" w:eastAsia="ja-JP"/>
        </w:rPr>
        <w:t>’</w:t>
      </w:r>
      <w:r w:rsidRPr="00B840B6">
        <w:rPr>
          <w:lang w:val="fr-FR" w:eastAsia="ja-JP"/>
        </w:rPr>
        <w:t xml:space="preserve">essai, on prépare le véhicule de façon à pouvoir </w:t>
      </w:r>
      <w:r w:rsidRPr="00B840B6">
        <w:rPr>
          <w:b/>
          <w:lang w:val="fr-FR" w:eastAsia="ja-JP"/>
        </w:rPr>
        <w:t>simuler</w:t>
      </w:r>
      <w:r w:rsidRPr="00B840B6">
        <w:rPr>
          <w:lang w:val="fr-FR" w:eastAsia="ja-JP"/>
        </w:rPr>
        <w:t xml:space="preserve"> </w:t>
      </w:r>
      <w:r w:rsidRPr="00B840B6">
        <w:rPr>
          <w:strike/>
          <w:lang w:val="fr-FR" w:eastAsia="ja-JP"/>
        </w:rPr>
        <w:t>commander</w:t>
      </w:r>
      <w:r w:rsidRPr="00B840B6">
        <w:rPr>
          <w:lang w:val="fr-FR" w:eastAsia="ja-JP"/>
        </w:rPr>
        <w:t xml:space="preserve"> à distance des </w:t>
      </w:r>
      <w:bookmarkStart w:id="8" w:name="_Hlk66210506"/>
      <w:r w:rsidRPr="00B840B6">
        <w:rPr>
          <w:lang w:val="fr-FR" w:eastAsia="ja-JP"/>
        </w:rPr>
        <w:t xml:space="preserve">évacuations </w:t>
      </w:r>
      <w:bookmarkEnd w:id="8"/>
      <w:r w:rsidRPr="00B840B6">
        <w:rPr>
          <w:lang w:val="fr-FR" w:eastAsia="ja-JP"/>
        </w:rPr>
        <w:t>d</w:t>
      </w:r>
      <w:r>
        <w:rPr>
          <w:lang w:val="fr-FR" w:eastAsia="ja-JP"/>
        </w:rPr>
        <w:t>’</w:t>
      </w:r>
      <w:r w:rsidRPr="00B840B6">
        <w:rPr>
          <w:lang w:val="fr-FR" w:eastAsia="ja-JP"/>
        </w:rPr>
        <w:t>hydrogène à partir du système de stockage de l</w:t>
      </w:r>
      <w:r>
        <w:rPr>
          <w:lang w:val="fr-FR" w:eastAsia="ja-JP"/>
        </w:rPr>
        <w:t>’</w:t>
      </w:r>
      <w:r w:rsidRPr="00B840B6">
        <w:rPr>
          <w:lang w:val="fr-FR" w:eastAsia="ja-JP"/>
        </w:rPr>
        <w:t xml:space="preserve">hydrogène. </w:t>
      </w:r>
      <w:r w:rsidRPr="00B840B6">
        <w:rPr>
          <w:b/>
          <w:lang w:val="fr-FR" w:eastAsia="ja-JP"/>
        </w:rPr>
        <w:t>La présence d</w:t>
      </w:r>
      <w:r>
        <w:rPr>
          <w:b/>
          <w:lang w:val="fr-FR" w:eastAsia="ja-JP"/>
        </w:rPr>
        <w:t>’</w:t>
      </w:r>
      <w:r w:rsidRPr="00B840B6">
        <w:rPr>
          <w:b/>
          <w:lang w:val="fr-FR" w:eastAsia="ja-JP"/>
        </w:rPr>
        <w:t>évacuations d</w:t>
      </w:r>
      <w:r>
        <w:rPr>
          <w:b/>
          <w:lang w:val="fr-FR" w:eastAsia="ja-JP"/>
        </w:rPr>
        <w:t>’</w:t>
      </w:r>
      <w:r w:rsidRPr="00B840B6">
        <w:rPr>
          <w:b/>
          <w:lang w:val="fr-FR" w:eastAsia="ja-JP"/>
        </w:rPr>
        <w:t>hydrogène peut être démontrée en utilisant une alimentation externe en carburant sans modification des conduites de carburant du véhicule d</w:t>
      </w:r>
      <w:r>
        <w:rPr>
          <w:b/>
          <w:lang w:val="fr-FR" w:eastAsia="ja-JP"/>
        </w:rPr>
        <w:t>’</w:t>
      </w:r>
      <w:r w:rsidRPr="00B840B6">
        <w:rPr>
          <w:b/>
          <w:lang w:val="fr-FR" w:eastAsia="ja-JP"/>
        </w:rPr>
        <w:t xml:space="preserve">essai. </w:t>
      </w:r>
      <w:r w:rsidRPr="00B840B6">
        <w:rPr>
          <w:lang w:val="fr-FR" w:eastAsia="ja-JP"/>
        </w:rPr>
        <w:t>Le nombre, l</w:t>
      </w:r>
      <w:r>
        <w:rPr>
          <w:lang w:val="fr-FR" w:eastAsia="ja-JP"/>
        </w:rPr>
        <w:t>’</w:t>
      </w:r>
      <w:r w:rsidRPr="00B840B6">
        <w:rPr>
          <w:lang w:val="fr-FR" w:eastAsia="ja-JP"/>
        </w:rPr>
        <w:t>emplacement et la capacité de débit des points d</w:t>
      </w:r>
      <w:r>
        <w:rPr>
          <w:lang w:val="fr-FR" w:eastAsia="ja-JP"/>
        </w:rPr>
        <w:t>’</w:t>
      </w:r>
      <w:r w:rsidRPr="00B840B6">
        <w:rPr>
          <w:lang w:val="fr-FR" w:eastAsia="ja-JP"/>
        </w:rPr>
        <w:t>évacuation en aval de la vanne d</w:t>
      </w:r>
      <w:r>
        <w:rPr>
          <w:lang w:val="fr-FR" w:eastAsia="ja-JP"/>
        </w:rPr>
        <w:t>’</w:t>
      </w:r>
      <w:r w:rsidRPr="00B840B6">
        <w:rPr>
          <w:lang w:val="fr-FR" w:eastAsia="ja-JP"/>
        </w:rPr>
        <w:t>arrêt principale sont définis par le constructeur du véhicule sur la base des scénarios de fuite les plus défavorables. Au minimum, le débit total de toutes les évacuations commandées à distance doit permettre d</w:t>
      </w:r>
      <w:r>
        <w:rPr>
          <w:lang w:val="fr-FR" w:eastAsia="ja-JP"/>
        </w:rPr>
        <w:t>’</w:t>
      </w:r>
      <w:r w:rsidRPr="00B840B6">
        <w:rPr>
          <w:lang w:val="fr-FR" w:eastAsia="ja-JP"/>
        </w:rPr>
        <w:t>actionner les fonctions automatiques d</w:t>
      </w:r>
      <w:r>
        <w:rPr>
          <w:lang w:val="fr-FR" w:eastAsia="ja-JP"/>
        </w:rPr>
        <w:t>’</w:t>
      </w:r>
      <w:r w:rsidRPr="00B840B6">
        <w:rPr>
          <w:lang w:val="fr-FR" w:eastAsia="ja-JP"/>
        </w:rPr>
        <w:t>alarme et de fermeture. ».</w:t>
      </w:r>
    </w:p>
    <w:p w:rsidR="00E11889" w:rsidRPr="00B840B6" w:rsidRDefault="00E11889" w:rsidP="00E11889">
      <w:pPr>
        <w:pStyle w:val="HChG"/>
        <w:rPr>
          <w:lang w:val="fr-FR"/>
        </w:rPr>
      </w:pPr>
      <w:r w:rsidRPr="00B840B6">
        <w:rPr>
          <w:lang w:val="fr-FR"/>
        </w:rPr>
        <w:tab/>
        <w:t>II.</w:t>
      </w:r>
      <w:r w:rsidRPr="00B840B6">
        <w:rPr>
          <w:lang w:val="fr-FR"/>
        </w:rPr>
        <w:tab/>
      </w:r>
      <w:r w:rsidRPr="00B840B6">
        <w:rPr>
          <w:lang w:val="fr-FR"/>
        </w:rPr>
        <w:tab/>
        <w:t>Justification</w:t>
      </w:r>
    </w:p>
    <w:p w:rsidR="00E11889" w:rsidRPr="00B840B6" w:rsidRDefault="00E11889" w:rsidP="00E11889">
      <w:pPr>
        <w:pStyle w:val="SingleTxtG"/>
        <w:rPr>
          <w:bdr w:val="none" w:sz="0" w:space="0" w:color="auto" w:frame="1"/>
          <w:lang w:val="fr-FR"/>
        </w:rPr>
      </w:pPr>
      <w:r w:rsidRPr="00B840B6">
        <w:rPr>
          <w:lang w:val="fr-FR"/>
        </w:rPr>
        <w:t>1.</w:t>
      </w:r>
      <w:r w:rsidRPr="00B840B6">
        <w:rPr>
          <w:lang w:val="fr-FR"/>
        </w:rPr>
        <w:tab/>
        <w:t>L</w:t>
      </w:r>
      <w:r>
        <w:rPr>
          <w:lang w:val="fr-FR"/>
        </w:rPr>
        <w:t>’</w:t>
      </w:r>
      <w:r w:rsidRPr="00B840B6">
        <w:rPr>
          <w:lang w:val="fr-FR"/>
        </w:rPr>
        <w:t>objectif du Règlement ONU n</w:t>
      </w:r>
      <w:r w:rsidRPr="00B840B6">
        <w:rPr>
          <w:vertAlign w:val="superscript"/>
          <w:lang w:val="fr-FR"/>
        </w:rPr>
        <w:t>o</w:t>
      </w:r>
      <w:r w:rsidRPr="00B840B6">
        <w:rPr>
          <w:lang w:val="fr-FR"/>
        </w:rPr>
        <w:t> 134 était de transposer la phase</w:t>
      </w:r>
      <w:r w:rsidR="004509BE">
        <w:rPr>
          <w:lang w:val="fr-FR"/>
        </w:rPr>
        <w:t> </w:t>
      </w:r>
      <w:r w:rsidRPr="00B840B6">
        <w:rPr>
          <w:lang w:val="fr-FR"/>
        </w:rPr>
        <w:t>1 du Règlement technique mondial ONU n</w:t>
      </w:r>
      <w:r w:rsidRPr="00B840B6">
        <w:rPr>
          <w:vertAlign w:val="superscript"/>
          <w:lang w:val="fr-FR"/>
        </w:rPr>
        <w:t>o</w:t>
      </w:r>
      <w:r w:rsidRPr="00B840B6">
        <w:rPr>
          <w:lang w:val="fr-FR"/>
        </w:rPr>
        <w:t> 13. Contrairement au Règlement ONU n</w:t>
      </w:r>
      <w:r w:rsidRPr="00B840B6">
        <w:rPr>
          <w:vertAlign w:val="superscript"/>
          <w:lang w:val="fr-FR"/>
        </w:rPr>
        <w:t>o</w:t>
      </w:r>
      <w:r w:rsidRPr="00B840B6">
        <w:rPr>
          <w:lang w:val="fr-FR"/>
        </w:rPr>
        <w:t> 134, le champ d</w:t>
      </w:r>
      <w:r>
        <w:rPr>
          <w:lang w:val="fr-FR"/>
        </w:rPr>
        <w:t>’</w:t>
      </w:r>
      <w:r w:rsidRPr="00B840B6">
        <w:rPr>
          <w:lang w:val="fr-FR"/>
        </w:rPr>
        <w:t>application de la phase</w:t>
      </w:r>
      <w:r w:rsidR="004509BE">
        <w:rPr>
          <w:lang w:val="fr-FR"/>
        </w:rPr>
        <w:t> </w:t>
      </w:r>
      <w:r w:rsidRPr="00B840B6">
        <w:rPr>
          <w:lang w:val="fr-FR"/>
        </w:rPr>
        <w:t xml:space="preserve">1 du RTM ONU </w:t>
      </w:r>
      <w:r w:rsidR="004509BE">
        <w:rPr>
          <w:lang w:val="fr-FR"/>
        </w:rPr>
        <w:t>n</w:t>
      </w:r>
      <w:r w:rsidR="004509BE" w:rsidRPr="004509BE">
        <w:rPr>
          <w:vertAlign w:val="superscript"/>
          <w:lang w:val="fr-FR"/>
        </w:rPr>
        <w:t>o</w:t>
      </w:r>
      <w:r w:rsidR="004509BE">
        <w:rPr>
          <w:lang w:val="fr-FR"/>
        </w:rPr>
        <w:t> </w:t>
      </w:r>
      <w:r w:rsidRPr="00B840B6">
        <w:rPr>
          <w:lang w:val="fr-FR"/>
        </w:rPr>
        <w:t>13 n</w:t>
      </w:r>
      <w:r>
        <w:rPr>
          <w:lang w:val="fr-FR"/>
        </w:rPr>
        <w:t>’</w:t>
      </w:r>
      <w:r w:rsidRPr="00B840B6">
        <w:rPr>
          <w:lang w:val="fr-FR"/>
        </w:rPr>
        <w:t>énonce pas de prescriptions relatives aux véhicules utilitaires lourds. Compte tenu des travaux en cours sur la phase</w:t>
      </w:r>
      <w:r>
        <w:rPr>
          <w:lang w:val="fr-FR"/>
        </w:rPr>
        <w:t> </w:t>
      </w:r>
      <w:r w:rsidRPr="00B840B6">
        <w:rPr>
          <w:lang w:val="fr-FR"/>
        </w:rPr>
        <w:t>2 du RTM ONU n</w:t>
      </w:r>
      <w:r w:rsidRPr="00B840B6">
        <w:rPr>
          <w:vertAlign w:val="superscript"/>
          <w:lang w:val="fr-FR"/>
        </w:rPr>
        <w:t>o</w:t>
      </w:r>
      <w:r w:rsidRPr="00B840B6">
        <w:rPr>
          <w:lang w:val="fr-FR"/>
        </w:rPr>
        <w:t> 13, la présente proposition vise à résoudre les problèmes pratiques d</w:t>
      </w:r>
      <w:r>
        <w:rPr>
          <w:lang w:val="fr-FR"/>
        </w:rPr>
        <w:t>’</w:t>
      </w:r>
      <w:r w:rsidRPr="00B840B6">
        <w:rPr>
          <w:lang w:val="fr-FR"/>
        </w:rPr>
        <w:t>application aux véhicules utilitaires lourds, ce qui est nécessaire de toute urgence, étant donné que leur homologation en vertu du Règlement ONU n</w:t>
      </w:r>
      <w:r w:rsidRPr="00B840B6">
        <w:rPr>
          <w:vertAlign w:val="superscript"/>
          <w:lang w:val="fr-FR"/>
        </w:rPr>
        <w:t>o</w:t>
      </w:r>
      <w:r w:rsidRPr="00B840B6">
        <w:rPr>
          <w:lang w:val="fr-FR"/>
        </w:rPr>
        <w:t> 134 deviendra obligatoire dans l</w:t>
      </w:r>
      <w:r>
        <w:rPr>
          <w:lang w:val="fr-FR"/>
        </w:rPr>
        <w:t>’</w:t>
      </w:r>
      <w:r w:rsidRPr="00B840B6">
        <w:rPr>
          <w:lang w:val="fr-FR"/>
        </w:rPr>
        <w:t>Union européenne à partir de juillet 2022.</w:t>
      </w:r>
    </w:p>
    <w:p w:rsidR="00E11889" w:rsidRPr="00B840B6" w:rsidRDefault="00E11889" w:rsidP="00E11889">
      <w:pPr>
        <w:pStyle w:val="SingleTxtG"/>
        <w:rPr>
          <w:bdr w:val="none" w:sz="0" w:space="0" w:color="auto" w:frame="1"/>
          <w:lang w:val="fr-FR"/>
        </w:rPr>
      </w:pPr>
      <w:r w:rsidRPr="00B840B6">
        <w:rPr>
          <w:lang w:val="fr-FR"/>
        </w:rPr>
        <w:t>2.</w:t>
      </w:r>
      <w:r w:rsidRPr="00B840B6">
        <w:rPr>
          <w:lang w:val="fr-FR"/>
        </w:rPr>
        <w:tab/>
        <w:t>Paragraphe</w:t>
      </w:r>
      <w:r>
        <w:rPr>
          <w:lang w:val="fr-FR"/>
        </w:rPr>
        <w:t>s </w:t>
      </w:r>
      <w:r w:rsidRPr="00B840B6">
        <w:rPr>
          <w:lang w:val="fr-FR"/>
        </w:rPr>
        <w:t>2.7 et 7.1.1.4</w:t>
      </w:r>
      <w:r>
        <w:rPr>
          <w:lang w:val="fr-FR"/>
        </w:rPr>
        <w:t> </w:t>
      </w:r>
      <w:r w:rsidRPr="00B840B6">
        <w:rPr>
          <w:lang w:val="fr-FR"/>
        </w:rPr>
        <w:t>: Étant donné que tous les véhicules n</w:t>
      </w:r>
      <w:r>
        <w:rPr>
          <w:lang w:val="fr-FR"/>
        </w:rPr>
        <w:t>’</w:t>
      </w:r>
      <w:r w:rsidRPr="00B840B6">
        <w:rPr>
          <w:lang w:val="fr-FR"/>
        </w:rPr>
        <w:t>ont pas de compartiment à bagages ou d</w:t>
      </w:r>
      <w:r>
        <w:rPr>
          <w:lang w:val="fr-FR"/>
        </w:rPr>
        <w:t>’</w:t>
      </w:r>
      <w:r w:rsidRPr="00B840B6">
        <w:rPr>
          <w:lang w:val="fr-FR"/>
        </w:rPr>
        <w:t>espace sous le capot, certains exemples peuvent être trompeurs et devraient donc être supprimés.</w:t>
      </w:r>
    </w:p>
    <w:p w:rsidR="00E11889" w:rsidRPr="00B840B6" w:rsidRDefault="00E11889" w:rsidP="00E11889">
      <w:pPr>
        <w:pStyle w:val="SingleTxtG"/>
        <w:rPr>
          <w:bdr w:val="none" w:sz="0" w:space="0" w:color="auto" w:frame="1"/>
          <w:lang w:val="fr-FR"/>
        </w:rPr>
      </w:pPr>
      <w:r w:rsidRPr="00B840B6">
        <w:rPr>
          <w:lang w:val="fr-FR"/>
        </w:rPr>
        <w:t>3.</w:t>
      </w:r>
      <w:r w:rsidRPr="00B840B6">
        <w:rPr>
          <w:lang w:val="fr-FR"/>
        </w:rPr>
        <w:tab/>
        <w:t>Paragraphes</w:t>
      </w:r>
      <w:r>
        <w:rPr>
          <w:lang w:val="fr-FR"/>
        </w:rPr>
        <w:t> </w:t>
      </w:r>
      <w:r w:rsidRPr="00B840B6">
        <w:rPr>
          <w:lang w:val="fr-FR"/>
        </w:rPr>
        <w:t>5, 9.3.2.2 et 9.3.2.3</w:t>
      </w:r>
      <w:r>
        <w:rPr>
          <w:lang w:val="fr-FR"/>
        </w:rPr>
        <w:t> </w:t>
      </w:r>
      <w:r w:rsidRPr="00B840B6">
        <w:rPr>
          <w:lang w:val="fr-FR"/>
        </w:rPr>
        <w:t>: La durée de vie service des véhicules utilitaires lourds est en général bien supérieure à 15</w:t>
      </w:r>
      <w:r>
        <w:rPr>
          <w:lang w:val="fr-FR"/>
        </w:rPr>
        <w:t> </w:t>
      </w:r>
      <w:r w:rsidRPr="00B840B6">
        <w:rPr>
          <w:lang w:val="fr-FR"/>
        </w:rPr>
        <w:t>ans. Une durée de vie en service allant jusqu</w:t>
      </w:r>
      <w:r>
        <w:rPr>
          <w:lang w:val="fr-FR"/>
        </w:rPr>
        <w:t>’</w:t>
      </w:r>
      <w:r w:rsidRPr="00B840B6">
        <w:rPr>
          <w:lang w:val="fr-FR"/>
        </w:rPr>
        <w:t>à 20</w:t>
      </w:r>
      <w:r>
        <w:rPr>
          <w:lang w:val="fr-FR"/>
        </w:rPr>
        <w:t> </w:t>
      </w:r>
      <w:r w:rsidRPr="00B840B6">
        <w:rPr>
          <w:lang w:val="fr-FR"/>
        </w:rPr>
        <w:t>ans diminue le coût total de leur utilisation, ce qui est l</w:t>
      </w:r>
      <w:r>
        <w:rPr>
          <w:lang w:val="fr-FR"/>
        </w:rPr>
        <w:t>’</w:t>
      </w:r>
      <w:r w:rsidRPr="00B840B6">
        <w:rPr>
          <w:lang w:val="fr-FR"/>
        </w:rPr>
        <w:t>un des principaux défis à relever pour faire des autobus et camions à hydrogène une solution de rechange viable par rapport aux véhicules diesel. Le calcul de 750</w:t>
      </w:r>
      <w:r>
        <w:rPr>
          <w:lang w:val="fr-FR"/>
        </w:rPr>
        <w:t> </w:t>
      </w:r>
      <w:r w:rsidRPr="00B840B6">
        <w:rPr>
          <w:lang w:val="fr-FR"/>
        </w:rPr>
        <w:t>cycles par an pour augmenter la durée de vie est fondé sur la norme ISO</w:t>
      </w:r>
      <w:r>
        <w:rPr>
          <w:lang w:val="fr-FR"/>
        </w:rPr>
        <w:t> </w:t>
      </w:r>
      <w:r w:rsidRPr="00B840B6">
        <w:rPr>
          <w:lang w:val="fr-FR"/>
        </w:rPr>
        <w:t>19881 et sur la phase</w:t>
      </w:r>
      <w:r w:rsidR="004509BE">
        <w:rPr>
          <w:lang w:val="fr-FR"/>
        </w:rPr>
        <w:t> </w:t>
      </w:r>
      <w:r w:rsidRPr="00B840B6">
        <w:rPr>
          <w:lang w:val="fr-FR"/>
        </w:rPr>
        <w:t>1 du RTM ONU n</w:t>
      </w:r>
      <w:r w:rsidRPr="00B840B6">
        <w:rPr>
          <w:vertAlign w:val="superscript"/>
          <w:lang w:val="fr-FR"/>
        </w:rPr>
        <w:t>o</w:t>
      </w:r>
      <w:r w:rsidRPr="00B840B6">
        <w:rPr>
          <w:lang w:val="fr-FR"/>
        </w:rPr>
        <w:t> 13.</w:t>
      </w:r>
      <w:bookmarkStart w:id="9" w:name="OLE_LINK1"/>
      <w:bookmarkEnd w:id="9"/>
    </w:p>
    <w:p w:rsidR="00E11889" w:rsidRPr="00B840B6" w:rsidRDefault="00E11889" w:rsidP="00E11889">
      <w:pPr>
        <w:pStyle w:val="SingleTxtG"/>
        <w:rPr>
          <w:bdr w:val="none" w:sz="0" w:space="0" w:color="auto" w:frame="1"/>
          <w:lang w:val="fr-FR"/>
        </w:rPr>
      </w:pPr>
      <w:r w:rsidRPr="00B840B6">
        <w:rPr>
          <w:lang w:val="fr-FR"/>
        </w:rPr>
        <w:t>4.</w:t>
      </w:r>
      <w:r w:rsidRPr="00B840B6">
        <w:rPr>
          <w:lang w:val="fr-FR"/>
        </w:rPr>
        <w:tab/>
        <w:t>Paragraphe</w:t>
      </w:r>
      <w:r>
        <w:rPr>
          <w:lang w:val="fr-FR"/>
        </w:rPr>
        <w:t> </w:t>
      </w:r>
      <w:r w:rsidRPr="00B840B6">
        <w:rPr>
          <w:lang w:val="fr-FR"/>
        </w:rPr>
        <w:t>7.2 : Les modifications apportées visent à préciser les dispositions relatives à l</w:t>
      </w:r>
      <w:r>
        <w:rPr>
          <w:lang w:val="fr-FR"/>
        </w:rPr>
        <w:t>’</w:t>
      </w:r>
      <w:r w:rsidRPr="00B840B6">
        <w:rPr>
          <w:lang w:val="fr-FR"/>
        </w:rPr>
        <w:t>essai d</w:t>
      </w:r>
      <w:r>
        <w:rPr>
          <w:lang w:val="fr-FR"/>
        </w:rPr>
        <w:t>’</w:t>
      </w:r>
      <w:r w:rsidRPr="00B840B6">
        <w:rPr>
          <w:lang w:val="fr-FR"/>
        </w:rPr>
        <w:t>accélération pour permettre leur application pratique aux véhicules utilitaires lourds.</w:t>
      </w:r>
    </w:p>
    <w:p w:rsidR="00E11889" w:rsidRPr="00B840B6" w:rsidRDefault="00E11889" w:rsidP="00E11889">
      <w:pPr>
        <w:pStyle w:val="SingleTxtG"/>
        <w:rPr>
          <w:bdr w:val="none" w:sz="0" w:space="0" w:color="auto" w:frame="1"/>
          <w:lang w:val="fr-FR"/>
        </w:rPr>
      </w:pPr>
      <w:r w:rsidRPr="00B840B6">
        <w:rPr>
          <w:lang w:val="fr-FR"/>
        </w:rPr>
        <w:t>5.</w:t>
      </w:r>
      <w:r w:rsidRPr="00B840B6">
        <w:rPr>
          <w:lang w:val="fr-FR"/>
        </w:rPr>
        <w:tab/>
        <w:t>Paragraphe</w:t>
      </w:r>
      <w:r>
        <w:rPr>
          <w:lang w:val="fr-FR"/>
        </w:rPr>
        <w:t> </w:t>
      </w:r>
      <w:r w:rsidRPr="00B840B6">
        <w:rPr>
          <w:lang w:val="fr-FR"/>
        </w:rPr>
        <w:t>7.2.4</w:t>
      </w:r>
      <w:r>
        <w:rPr>
          <w:lang w:val="fr-FR"/>
        </w:rPr>
        <w:t> </w:t>
      </w:r>
      <w:r w:rsidRPr="00B840B6">
        <w:rPr>
          <w:lang w:val="fr-FR"/>
        </w:rPr>
        <w:t>: Les systèmes de stockage de l</w:t>
      </w:r>
      <w:r>
        <w:rPr>
          <w:lang w:val="fr-FR"/>
        </w:rPr>
        <w:t>’</w:t>
      </w:r>
      <w:r w:rsidRPr="00B840B6">
        <w:rPr>
          <w:lang w:val="fr-FR"/>
        </w:rPr>
        <w:t>hydrogène qui sont installés à plus de 1</w:t>
      </w:r>
      <w:r>
        <w:rPr>
          <w:lang w:val="fr-FR"/>
        </w:rPr>
        <w:t> </w:t>
      </w:r>
      <w:r w:rsidRPr="00B840B6">
        <w:rPr>
          <w:lang w:val="fr-FR"/>
        </w:rPr>
        <w:t>000</w:t>
      </w:r>
      <w:r>
        <w:rPr>
          <w:lang w:val="fr-FR"/>
        </w:rPr>
        <w:t> </w:t>
      </w:r>
      <w:r w:rsidRPr="00B840B6">
        <w:rPr>
          <w:lang w:val="fr-FR"/>
        </w:rPr>
        <w:t>mm au-dessus du sol (derrière la cabine ou sur le toit du véhicule) ne risquent pas d</w:t>
      </w:r>
      <w:r>
        <w:rPr>
          <w:lang w:val="fr-FR"/>
        </w:rPr>
        <w:t>’</w:t>
      </w:r>
      <w:r w:rsidRPr="00B840B6">
        <w:rPr>
          <w:lang w:val="fr-FR"/>
        </w:rPr>
        <w:t>être heurtés en cas de choc latéral. Comme solution de rechange à la prescription dimensionnelle du paragraphe</w:t>
      </w:r>
      <w:r>
        <w:rPr>
          <w:lang w:val="fr-FR"/>
        </w:rPr>
        <w:t> </w:t>
      </w:r>
      <w:r w:rsidRPr="00B840B6">
        <w:rPr>
          <w:lang w:val="fr-FR"/>
        </w:rPr>
        <w:t>7.2.4.2, un essai de choc latéral sur le système lui-même est proposé pour établir la preuve d</w:t>
      </w:r>
      <w:r>
        <w:rPr>
          <w:lang w:val="fr-FR"/>
        </w:rPr>
        <w:t>’</w:t>
      </w:r>
      <w:r w:rsidRPr="00B840B6">
        <w:rPr>
          <w:lang w:val="fr-FR"/>
        </w:rPr>
        <w:t>une protection adéquate.</w:t>
      </w:r>
    </w:p>
    <w:p w:rsidR="00E11889" w:rsidRPr="00B840B6" w:rsidRDefault="00E11889" w:rsidP="00E11889">
      <w:pPr>
        <w:pStyle w:val="SingleTxtG"/>
        <w:rPr>
          <w:bdr w:val="none" w:sz="0" w:space="0" w:color="auto" w:frame="1"/>
          <w:lang w:val="fr-FR"/>
        </w:rPr>
      </w:pPr>
      <w:r w:rsidRPr="00B840B6">
        <w:rPr>
          <w:lang w:val="fr-FR"/>
        </w:rPr>
        <w:t>6.</w:t>
      </w:r>
      <w:r w:rsidRPr="00B840B6">
        <w:rPr>
          <w:lang w:val="fr-FR"/>
        </w:rPr>
        <w:tab/>
        <w:t>Paragraphe</w:t>
      </w:r>
      <w:r>
        <w:rPr>
          <w:lang w:val="fr-FR"/>
        </w:rPr>
        <w:t> </w:t>
      </w:r>
      <w:r w:rsidRPr="00B840B6">
        <w:rPr>
          <w:lang w:val="fr-FR"/>
        </w:rPr>
        <w:t>7.2.5</w:t>
      </w:r>
      <w:r>
        <w:rPr>
          <w:lang w:val="fr-FR"/>
        </w:rPr>
        <w:t> </w:t>
      </w:r>
      <w:r w:rsidRPr="00B840B6">
        <w:rPr>
          <w:lang w:val="fr-FR"/>
        </w:rPr>
        <w:t>: Alors que les essais physiques sont très courants pour les véhicules de tourisme, les constructeurs ont démontré la conformité des véhicules utilitaires lourds de manière fiable au moyen de méthodes de calcul.</w:t>
      </w:r>
    </w:p>
    <w:p w:rsidR="00E11889" w:rsidRDefault="00E11889" w:rsidP="00E11889">
      <w:pPr>
        <w:pStyle w:val="SingleTxtG"/>
        <w:rPr>
          <w:lang w:val="fr-FR"/>
        </w:rPr>
      </w:pPr>
      <w:r w:rsidRPr="00B840B6">
        <w:rPr>
          <w:lang w:val="fr-FR"/>
        </w:rPr>
        <w:t>7.</w:t>
      </w:r>
      <w:r w:rsidRPr="00B840B6">
        <w:rPr>
          <w:lang w:val="fr-FR"/>
        </w:rPr>
        <w:tab/>
        <w:t>Annexe</w:t>
      </w:r>
      <w:r>
        <w:rPr>
          <w:lang w:val="fr-FR"/>
        </w:rPr>
        <w:t> </w:t>
      </w:r>
      <w:r w:rsidRPr="00B840B6">
        <w:rPr>
          <w:lang w:val="fr-FR"/>
        </w:rPr>
        <w:t>5, paragraphe</w:t>
      </w:r>
      <w:r>
        <w:rPr>
          <w:lang w:val="fr-FR"/>
        </w:rPr>
        <w:t> </w:t>
      </w:r>
      <w:r w:rsidRPr="00B840B6">
        <w:rPr>
          <w:lang w:val="fr-FR"/>
        </w:rPr>
        <w:t>3.2.1.3</w:t>
      </w:r>
      <w:r>
        <w:rPr>
          <w:lang w:val="fr-FR"/>
        </w:rPr>
        <w:t> </w:t>
      </w:r>
      <w:r w:rsidRPr="00B840B6">
        <w:rPr>
          <w:lang w:val="fr-FR"/>
        </w:rPr>
        <w:t>: Les évacuations d</w:t>
      </w:r>
      <w:r>
        <w:rPr>
          <w:lang w:val="fr-FR"/>
        </w:rPr>
        <w:t>’</w:t>
      </w:r>
      <w:r w:rsidRPr="00B840B6">
        <w:rPr>
          <w:lang w:val="fr-FR"/>
        </w:rPr>
        <w:t>hydrogène à partir du système de stockage de l</w:t>
      </w:r>
      <w:r>
        <w:rPr>
          <w:lang w:val="fr-FR"/>
        </w:rPr>
        <w:t>’</w:t>
      </w:r>
      <w:r w:rsidRPr="00B840B6">
        <w:rPr>
          <w:lang w:val="fr-FR"/>
        </w:rPr>
        <w:t>hydrogène prévues à la section</w:t>
      </w:r>
      <w:r w:rsidR="004509BE">
        <w:rPr>
          <w:lang w:val="fr-FR"/>
        </w:rPr>
        <w:t> </w:t>
      </w:r>
      <w:r w:rsidRPr="00B840B6">
        <w:rPr>
          <w:lang w:val="fr-FR"/>
        </w:rPr>
        <w:t>3.2 nécessitent une modification du véhicule d</w:t>
      </w:r>
      <w:r>
        <w:rPr>
          <w:lang w:val="fr-FR"/>
        </w:rPr>
        <w:t>’</w:t>
      </w:r>
      <w:r w:rsidRPr="00B840B6">
        <w:rPr>
          <w:lang w:val="fr-FR"/>
        </w:rPr>
        <w:t>essai. Une méthode d</w:t>
      </w:r>
      <w:r>
        <w:rPr>
          <w:lang w:val="fr-FR"/>
        </w:rPr>
        <w:t>’</w:t>
      </w:r>
      <w:r w:rsidRPr="00B840B6">
        <w:rPr>
          <w:lang w:val="fr-FR"/>
        </w:rPr>
        <w:t>essai sans modification des conduites de carburant doit également être fournie. Cette question est également examinée par le groupe de travail informel de la phase</w:t>
      </w:r>
      <w:r>
        <w:rPr>
          <w:lang w:val="fr-FR"/>
        </w:rPr>
        <w:t> </w:t>
      </w:r>
      <w:r w:rsidRPr="00B840B6">
        <w:rPr>
          <w:lang w:val="fr-FR"/>
        </w:rPr>
        <w:t>2 du RTM ONU n</w:t>
      </w:r>
      <w:r w:rsidRPr="00E11889">
        <w:rPr>
          <w:vertAlign w:val="superscript"/>
          <w:lang w:val="fr-FR"/>
        </w:rPr>
        <w:t>o</w:t>
      </w:r>
      <w:r>
        <w:rPr>
          <w:lang w:val="fr-FR"/>
        </w:rPr>
        <w:t> </w:t>
      </w:r>
      <w:r w:rsidRPr="00B840B6">
        <w:rPr>
          <w:lang w:val="fr-FR"/>
        </w:rPr>
        <w:t>13.</w:t>
      </w:r>
    </w:p>
    <w:p w:rsidR="00E11889" w:rsidRPr="00E11889" w:rsidRDefault="00E11889" w:rsidP="00E11889">
      <w:pPr>
        <w:pStyle w:val="SingleTxtG"/>
        <w:spacing w:before="240" w:after="0"/>
        <w:jc w:val="center"/>
        <w:rPr>
          <w:u w:val="single"/>
        </w:rPr>
      </w:pPr>
      <w:r>
        <w:rPr>
          <w:u w:val="single"/>
        </w:rPr>
        <w:tab/>
      </w:r>
      <w:r>
        <w:rPr>
          <w:u w:val="single"/>
        </w:rPr>
        <w:tab/>
      </w:r>
      <w:r>
        <w:rPr>
          <w:u w:val="single"/>
        </w:rPr>
        <w:tab/>
      </w:r>
      <w:r>
        <w:rPr>
          <w:u w:val="single"/>
        </w:rPr>
        <w:tab/>
      </w:r>
    </w:p>
    <w:sectPr w:rsidR="00E11889" w:rsidRPr="00E11889" w:rsidSect="00E118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5D" w:rsidRDefault="003C195D" w:rsidP="00F95C08">
      <w:pPr>
        <w:spacing w:line="240" w:lineRule="auto"/>
      </w:pPr>
    </w:p>
  </w:endnote>
  <w:endnote w:type="continuationSeparator" w:id="0">
    <w:p w:rsidR="003C195D" w:rsidRPr="00AC3823" w:rsidRDefault="003C195D" w:rsidP="00AC3823">
      <w:pPr>
        <w:pStyle w:val="Pieddepage"/>
      </w:pPr>
    </w:p>
  </w:endnote>
  <w:endnote w:type="continuationNotice" w:id="1">
    <w:p w:rsidR="003C195D" w:rsidRDefault="003C19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89" w:rsidRPr="00E11889" w:rsidRDefault="00E11889" w:rsidP="00E11889">
    <w:pPr>
      <w:pStyle w:val="Pieddepage"/>
      <w:tabs>
        <w:tab w:val="right" w:pos="9638"/>
      </w:tabs>
    </w:pPr>
    <w:r w:rsidRPr="00E11889">
      <w:rPr>
        <w:b/>
        <w:sz w:val="18"/>
      </w:rPr>
      <w:fldChar w:fldCharType="begin"/>
    </w:r>
    <w:r w:rsidRPr="00E11889">
      <w:rPr>
        <w:b/>
        <w:sz w:val="18"/>
      </w:rPr>
      <w:instrText xml:space="preserve"> PAGE  \* MERGEFORMAT </w:instrText>
    </w:r>
    <w:r w:rsidRPr="00E11889">
      <w:rPr>
        <w:b/>
        <w:sz w:val="18"/>
      </w:rPr>
      <w:fldChar w:fldCharType="separate"/>
    </w:r>
    <w:r w:rsidRPr="00E11889">
      <w:rPr>
        <w:b/>
        <w:noProof/>
        <w:sz w:val="18"/>
      </w:rPr>
      <w:t>2</w:t>
    </w:r>
    <w:r w:rsidRPr="00E11889">
      <w:rPr>
        <w:b/>
        <w:sz w:val="18"/>
      </w:rPr>
      <w:fldChar w:fldCharType="end"/>
    </w:r>
    <w:r>
      <w:rPr>
        <w:b/>
        <w:sz w:val="18"/>
      </w:rPr>
      <w:tab/>
    </w:r>
    <w:r>
      <w:t>GE.21-03065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89" w:rsidRPr="00E11889" w:rsidRDefault="00E11889" w:rsidP="00E11889">
    <w:pPr>
      <w:pStyle w:val="Pieddepage"/>
      <w:tabs>
        <w:tab w:val="right" w:pos="9638"/>
      </w:tabs>
      <w:rPr>
        <w:b/>
        <w:sz w:val="18"/>
      </w:rPr>
    </w:pPr>
    <w:r>
      <w:t>GE.21-03065</w:t>
    </w:r>
    <w:r>
      <w:tab/>
    </w:r>
    <w:r w:rsidRPr="00E11889">
      <w:rPr>
        <w:b/>
        <w:sz w:val="18"/>
      </w:rPr>
      <w:fldChar w:fldCharType="begin"/>
    </w:r>
    <w:r w:rsidRPr="00E11889">
      <w:rPr>
        <w:b/>
        <w:sz w:val="18"/>
      </w:rPr>
      <w:instrText xml:space="preserve"> PAGE  \* MERGEFORMAT </w:instrText>
    </w:r>
    <w:r w:rsidRPr="00E11889">
      <w:rPr>
        <w:b/>
        <w:sz w:val="18"/>
      </w:rPr>
      <w:fldChar w:fldCharType="separate"/>
    </w:r>
    <w:r w:rsidRPr="00E11889">
      <w:rPr>
        <w:b/>
        <w:noProof/>
        <w:sz w:val="18"/>
      </w:rPr>
      <w:t>3</w:t>
    </w:r>
    <w:r w:rsidRPr="00E118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11889" w:rsidRDefault="00E11889" w:rsidP="00E1188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21-03065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110321    1</w:t>
    </w:r>
    <w:r w:rsidR="006E2227">
      <w:rPr>
        <w:sz w:val="20"/>
      </w:rPr>
      <w:t>9</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5D" w:rsidRPr="00AC3823" w:rsidRDefault="003C195D" w:rsidP="00AC3823">
      <w:pPr>
        <w:pStyle w:val="Pieddepage"/>
        <w:tabs>
          <w:tab w:val="right" w:pos="2155"/>
        </w:tabs>
        <w:spacing w:after="80" w:line="240" w:lineRule="atLeast"/>
        <w:ind w:left="680"/>
        <w:rPr>
          <w:u w:val="single"/>
        </w:rPr>
      </w:pPr>
      <w:r>
        <w:rPr>
          <w:u w:val="single"/>
        </w:rPr>
        <w:tab/>
      </w:r>
    </w:p>
  </w:footnote>
  <w:footnote w:type="continuationSeparator" w:id="0">
    <w:p w:rsidR="003C195D" w:rsidRPr="00AC3823" w:rsidRDefault="003C195D" w:rsidP="00AC3823">
      <w:pPr>
        <w:pStyle w:val="Pieddepage"/>
        <w:tabs>
          <w:tab w:val="right" w:pos="2155"/>
        </w:tabs>
        <w:spacing w:after="80" w:line="240" w:lineRule="atLeast"/>
        <w:ind w:left="680"/>
        <w:rPr>
          <w:u w:val="single"/>
        </w:rPr>
      </w:pPr>
      <w:r>
        <w:rPr>
          <w:u w:val="single"/>
        </w:rPr>
        <w:tab/>
      </w:r>
    </w:p>
  </w:footnote>
  <w:footnote w:type="continuationNotice" w:id="1">
    <w:p w:rsidR="003C195D" w:rsidRPr="00AC3823" w:rsidRDefault="003C195D">
      <w:pPr>
        <w:spacing w:line="240" w:lineRule="auto"/>
        <w:rPr>
          <w:sz w:val="2"/>
          <w:szCs w:val="2"/>
        </w:rPr>
      </w:pPr>
    </w:p>
  </w:footnote>
  <w:footnote w:id="2">
    <w:p w:rsidR="00E11889" w:rsidRPr="00E11889" w:rsidRDefault="00E11889">
      <w:pPr>
        <w:pStyle w:val="Notedebasdepage"/>
      </w:pPr>
      <w:r>
        <w:rPr>
          <w:rStyle w:val="Appelnotedebasdep"/>
        </w:rPr>
        <w:tab/>
      </w:r>
      <w:r w:rsidRPr="00E1188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89" w:rsidRPr="00E11889" w:rsidRDefault="000E6C03">
    <w:pPr>
      <w:pStyle w:val="En-tte"/>
    </w:pPr>
    <w:r>
      <w:fldChar w:fldCharType="begin"/>
    </w:r>
    <w:r>
      <w:instrText xml:space="preserve"> TITLE  \* MERGEFORMAT </w:instrText>
    </w:r>
    <w:r>
      <w:fldChar w:fldCharType="separate"/>
    </w:r>
    <w:r w:rsidR="00E11889">
      <w:t>ECE/TRANS/WP.29/GRSP/2021/12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89" w:rsidRPr="00E11889" w:rsidRDefault="000E6C03" w:rsidP="00E11889">
    <w:pPr>
      <w:pStyle w:val="En-tte"/>
      <w:jc w:val="right"/>
    </w:pPr>
    <w:r>
      <w:fldChar w:fldCharType="begin"/>
    </w:r>
    <w:r>
      <w:instrText xml:space="preserve"> TITLE  \* MERGEFORMAT </w:instrText>
    </w:r>
    <w:r>
      <w:fldChar w:fldCharType="separate"/>
    </w:r>
    <w:r w:rsidR="00E11889">
      <w:t>ECE/TRANS/WP.29/GRSP/2021/12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5D"/>
    <w:rsid w:val="00017F94"/>
    <w:rsid w:val="00023842"/>
    <w:rsid w:val="00024EA9"/>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C195D"/>
    <w:rsid w:val="00421996"/>
    <w:rsid w:val="00441C3B"/>
    <w:rsid w:val="00446FE5"/>
    <w:rsid w:val="00447067"/>
    <w:rsid w:val="004509BE"/>
    <w:rsid w:val="00452396"/>
    <w:rsid w:val="00477EB2"/>
    <w:rsid w:val="004837D8"/>
    <w:rsid w:val="004E2EED"/>
    <w:rsid w:val="004E468C"/>
    <w:rsid w:val="005505B7"/>
    <w:rsid w:val="00564D17"/>
    <w:rsid w:val="00573BE5"/>
    <w:rsid w:val="00586ED3"/>
    <w:rsid w:val="00596AA9"/>
    <w:rsid w:val="005E0E38"/>
    <w:rsid w:val="006E2227"/>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E65C2"/>
    <w:rsid w:val="00DF6678"/>
    <w:rsid w:val="00E0299A"/>
    <w:rsid w:val="00E11889"/>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2A7E0"/>
  <w15:docId w15:val="{35721D4E-BB0C-42A9-809A-C7F88085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54209-34F0-48BB-B57A-A47B06AF941D}"/>
</file>

<file path=customXml/itemProps2.xml><?xml version="1.0" encoding="utf-8"?>
<ds:datastoreItem xmlns:ds="http://schemas.openxmlformats.org/officeDocument/2006/customXml" ds:itemID="{7E22D995-957E-4994-93B1-72AD730CE861}"/>
</file>

<file path=customXml/itemProps3.xml><?xml version="1.0" encoding="utf-8"?>
<ds:datastoreItem xmlns:ds="http://schemas.openxmlformats.org/officeDocument/2006/customXml" ds:itemID="{E30E2EEA-8024-4EAE-AFCD-5D3F30D6905B}"/>
</file>

<file path=docProps/app.xml><?xml version="1.0" encoding="utf-8"?>
<Properties xmlns="http://schemas.openxmlformats.org/officeDocument/2006/extended-properties" xmlns:vt="http://schemas.openxmlformats.org/officeDocument/2006/docPropsVTypes">
  <Template>ECE_TRANS.dotm</Template>
  <TotalTime>0</TotalTime>
  <Pages>5</Pages>
  <Words>2233</Words>
  <Characters>11212</Characters>
  <Application>Microsoft Office Word</Application>
  <DocSecurity>0</DocSecurity>
  <Lines>224</Lines>
  <Paragraphs>96</Paragraphs>
  <ScaleCrop>false</ScaleCrop>
  <HeadingPairs>
    <vt:vector size="2" baseType="variant">
      <vt:variant>
        <vt:lpstr>Titre</vt:lpstr>
      </vt:variant>
      <vt:variant>
        <vt:i4>1</vt:i4>
      </vt:variant>
    </vt:vector>
  </HeadingPairs>
  <TitlesOfParts>
    <vt:vector size="1" baseType="lpstr">
      <vt:lpstr>ECE/TRANS/WP.29/GRSP/2021/12</vt:lpstr>
    </vt:vector>
  </TitlesOfParts>
  <Company>DCM</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ECE/TRANS/WP.29/GRSP/2021/12</dc:title>
  <dc:subject/>
  <dc:creator>Marie DESCHAMPS</dc:creator>
  <cp:keywords/>
  <cp:lastModifiedBy>Marie DESCHAMPS</cp:lastModifiedBy>
  <cp:revision>2</cp:revision>
  <cp:lastPrinted>2014-05-14T10:59:00Z</cp:lastPrinted>
  <dcterms:created xsi:type="dcterms:W3CDTF">2021-03-19T11:20:00Z</dcterms:created>
  <dcterms:modified xsi:type="dcterms:W3CDTF">2021-03-19T11:20:00Z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