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E48222E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EA58496" w14:textId="77777777" w:rsidR="00F35BAF" w:rsidRPr="00DB58B5" w:rsidRDefault="00F35BAF" w:rsidP="006E7127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EDC2676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EBC7101" w14:textId="5DDDA281" w:rsidR="00F35BAF" w:rsidRPr="00DB58B5" w:rsidRDefault="006E7127" w:rsidP="006E7127">
            <w:pPr>
              <w:jc w:val="right"/>
            </w:pPr>
            <w:r w:rsidRPr="006E7127">
              <w:rPr>
                <w:sz w:val="40"/>
              </w:rPr>
              <w:t>ECE</w:t>
            </w:r>
            <w:r>
              <w:t>/TRANS/WP.29/GRPE/2021/15</w:t>
            </w:r>
          </w:p>
        </w:tc>
      </w:tr>
      <w:tr w:rsidR="00F35BAF" w:rsidRPr="00DB58B5" w14:paraId="736F6540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054315A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357C9D5" wp14:editId="79E6A60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8F6203D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C9BF8B4" w14:textId="77777777" w:rsidR="00F35BAF" w:rsidRDefault="006E7127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7BC29A28" w14:textId="77777777" w:rsidR="006E7127" w:rsidRDefault="006E7127" w:rsidP="006E7127">
            <w:pPr>
              <w:spacing w:line="240" w:lineRule="exact"/>
            </w:pPr>
            <w:r>
              <w:t>17 mars 2021</w:t>
            </w:r>
          </w:p>
          <w:p w14:paraId="4F39EEF7" w14:textId="77777777" w:rsidR="006E7127" w:rsidRDefault="006E7127" w:rsidP="006E7127">
            <w:pPr>
              <w:spacing w:line="240" w:lineRule="exact"/>
            </w:pPr>
            <w:r>
              <w:t>Français</w:t>
            </w:r>
          </w:p>
          <w:p w14:paraId="053F9623" w14:textId="6D37659B" w:rsidR="006E7127" w:rsidRPr="00DB58B5" w:rsidRDefault="006E7127" w:rsidP="006E7127">
            <w:pPr>
              <w:spacing w:line="240" w:lineRule="exact"/>
            </w:pPr>
            <w:r>
              <w:t>Original : anglais</w:t>
            </w:r>
          </w:p>
        </w:tc>
      </w:tr>
    </w:tbl>
    <w:p w14:paraId="138C2C5B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038E6C50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D2F1DDD" w14:textId="77777777" w:rsidR="006E7127" w:rsidRDefault="006E7127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6C24D3F5" w14:textId="77777777" w:rsidR="007350A1" w:rsidRPr="00A94D3D" w:rsidRDefault="007350A1" w:rsidP="007350A1">
      <w:pPr>
        <w:tabs>
          <w:tab w:val="left" w:pos="567"/>
          <w:tab w:val="left" w:pos="1134"/>
        </w:tabs>
        <w:spacing w:before="120" w:after="120"/>
        <w:rPr>
          <w:rFonts w:eastAsia="MS Mincho"/>
          <w:b/>
          <w:bCs/>
          <w:lang w:val="fr-FR"/>
        </w:rPr>
      </w:pPr>
      <w:r>
        <w:rPr>
          <w:b/>
          <w:bCs/>
          <w:lang w:val="fr-FR"/>
        </w:rPr>
        <w:t>Groupe de travail de la pollution et de l’énergie</w:t>
      </w:r>
    </w:p>
    <w:p w14:paraId="5BE460AD" w14:textId="77777777" w:rsidR="007350A1" w:rsidRPr="00A94D3D" w:rsidRDefault="007350A1" w:rsidP="007350A1">
      <w:pPr>
        <w:rPr>
          <w:rFonts w:eastAsia="MS Mincho"/>
          <w:b/>
          <w:lang w:val="fr-FR"/>
        </w:rPr>
      </w:pPr>
      <w:r>
        <w:rPr>
          <w:b/>
          <w:bCs/>
          <w:lang w:val="fr-FR"/>
        </w:rPr>
        <w:t>Quatre-vingt-troisième session</w:t>
      </w:r>
    </w:p>
    <w:p w14:paraId="635DC4A8" w14:textId="77777777" w:rsidR="007350A1" w:rsidRPr="00A94D3D" w:rsidRDefault="007350A1" w:rsidP="007350A1">
      <w:pPr>
        <w:rPr>
          <w:lang w:val="fr-FR"/>
        </w:rPr>
      </w:pPr>
      <w:r>
        <w:rPr>
          <w:lang w:val="fr-FR"/>
        </w:rPr>
        <w:t>Genève, 1</w:t>
      </w:r>
      <w:r w:rsidRPr="00A94D3D">
        <w:rPr>
          <w:vertAlign w:val="superscript"/>
          <w:lang w:val="fr-FR"/>
        </w:rPr>
        <w:t>er</w:t>
      </w:r>
      <w:r>
        <w:rPr>
          <w:lang w:val="fr-FR"/>
        </w:rPr>
        <w:t>-4 juin 2021</w:t>
      </w:r>
    </w:p>
    <w:p w14:paraId="1F4E4BE2" w14:textId="77777777" w:rsidR="007350A1" w:rsidRPr="00A94D3D" w:rsidRDefault="007350A1" w:rsidP="007350A1">
      <w:pPr>
        <w:rPr>
          <w:lang w:val="fr-FR"/>
        </w:rPr>
      </w:pPr>
      <w:r>
        <w:rPr>
          <w:lang w:val="fr-FR"/>
        </w:rPr>
        <w:t>Point 5 de l’ordre du jour provisoire</w:t>
      </w:r>
    </w:p>
    <w:p w14:paraId="19C1D154" w14:textId="1CC920FE" w:rsidR="007350A1" w:rsidRPr="00A94D3D" w:rsidRDefault="007350A1" w:rsidP="007350A1">
      <w:pPr>
        <w:rPr>
          <w:b/>
          <w:bCs/>
          <w:sz w:val="16"/>
          <w:lang w:val="fr-FR"/>
        </w:rPr>
      </w:pPr>
      <w:r>
        <w:rPr>
          <w:b/>
          <w:bCs/>
          <w:lang w:val="fr-FR"/>
        </w:rPr>
        <w:t>Règlements ONU n</w:t>
      </w:r>
      <w:r w:rsidRPr="00A94D3D">
        <w:rPr>
          <w:b/>
          <w:bCs/>
          <w:vertAlign w:val="superscript"/>
          <w:lang w:val="fr-FR"/>
        </w:rPr>
        <w:t>os</w:t>
      </w:r>
      <w:r w:rsidR="00883F95">
        <w:rPr>
          <w:b/>
          <w:bCs/>
          <w:lang w:val="fr-FR"/>
        </w:rPr>
        <w:t> </w:t>
      </w:r>
      <w:r>
        <w:rPr>
          <w:b/>
          <w:bCs/>
          <w:lang w:val="fr-FR"/>
        </w:rPr>
        <w:t xml:space="preserve">24 (Émissions de polluants visibles, mesure </w:t>
      </w:r>
      <w:r w:rsidR="00DE649D">
        <w:rPr>
          <w:b/>
          <w:bCs/>
          <w:lang w:val="fr-FR"/>
        </w:rPr>
        <w:br/>
      </w:r>
      <w:r>
        <w:rPr>
          <w:b/>
          <w:bCs/>
          <w:lang w:val="fr-FR"/>
        </w:rPr>
        <w:t xml:space="preserve">de la puissance des moteurs à allumage par compression (fumées </w:t>
      </w:r>
      <w:r w:rsidR="00DE649D">
        <w:rPr>
          <w:b/>
          <w:bCs/>
          <w:lang w:val="fr-FR"/>
        </w:rPr>
        <w:br/>
      </w:r>
      <w:r>
        <w:rPr>
          <w:b/>
          <w:bCs/>
          <w:lang w:val="fr-FR"/>
        </w:rPr>
        <w:t xml:space="preserve">des moteurs diesel)), 85 (Mesure de la puissance nette), 115 (Systèmes </w:t>
      </w:r>
      <w:r w:rsidR="00DE649D">
        <w:rPr>
          <w:b/>
          <w:bCs/>
          <w:lang w:val="fr-FR"/>
        </w:rPr>
        <w:br/>
      </w:r>
      <w:r>
        <w:rPr>
          <w:b/>
          <w:bCs/>
          <w:lang w:val="fr-FR"/>
        </w:rPr>
        <w:t xml:space="preserve">d’adaptation au GPL et au GNC), 133 (Aptitude au recyclage </w:t>
      </w:r>
      <w:r w:rsidR="00DE649D">
        <w:rPr>
          <w:b/>
          <w:bCs/>
          <w:lang w:val="fr-FR"/>
        </w:rPr>
        <w:br/>
      </w:r>
      <w:r>
        <w:rPr>
          <w:b/>
          <w:bCs/>
          <w:lang w:val="fr-FR"/>
        </w:rPr>
        <w:t xml:space="preserve">des véhicules automobiles) et 143 (Systèmes d’adaptation des moteurs </w:t>
      </w:r>
      <w:r w:rsidR="00DE649D">
        <w:rPr>
          <w:b/>
          <w:bCs/>
          <w:lang w:val="fr-FR"/>
        </w:rPr>
        <w:br/>
      </w:r>
      <w:r>
        <w:rPr>
          <w:b/>
          <w:bCs/>
          <w:lang w:val="fr-FR"/>
        </w:rPr>
        <w:t>de véhicules utilitaires lourds à la bicarburation)</w:t>
      </w:r>
    </w:p>
    <w:p w14:paraId="3B884E25" w14:textId="1EE92689" w:rsidR="007350A1" w:rsidRPr="00A94D3D" w:rsidRDefault="00C23B31" w:rsidP="00C23B31">
      <w:pPr>
        <w:pStyle w:val="HChG"/>
        <w:rPr>
          <w:lang w:val="fr-FR"/>
        </w:rPr>
      </w:pPr>
      <w:r>
        <w:rPr>
          <w:lang w:val="fr-FR"/>
        </w:rPr>
        <w:tab/>
      </w:r>
      <w:r w:rsidR="007350A1">
        <w:rPr>
          <w:lang w:val="fr-FR"/>
        </w:rPr>
        <w:tab/>
        <w:t xml:space="preserve">Proposition d’amendements à la série 03 d’amendements </w:t>
      </w:r>
      <w:r>
        <w:rPr>
          <w:lang w:val="fr-FR"/>
        </w:rPr>
        <w:br/>
      </w:r>
      <w:r w:rsidR="007350A1">
        <w:rPr>
          <w:lang w:val="fr-FR"/>
        </w:rPr>
        <w:t>au Règlement ONU n</w:t>
      </w:r>
      <w:r w:rsidR="007350A1" w:rsidRPr="00A94D3D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="007350A1">
        <w:rPr>
          <w:lang w:val="fr-FR"/>
        </w:rPr>
        <w:t xml:space="preserve">24 (Émissions de polluants visibles, mesure de la puissance des moteurs à allumage </w:t>
      </w:r>
      <w:r>
        <w:rPr>
          <w:lang w:val="fr-FR"/>
        </w:rPr>
        <w:br/>
      </w:r>
      <w:r w:rsidR="007350A1">
        <w:rPr>
          <w:lang w:val="fr-FR"/>
        </w:rPr>
        <w:t>par compression (fumées des moteurs diesel))</w:t>
      </w:r>
    </w:p>
    <w:p w14:paraId="772AB7FB" w14:textId="17675453" w:rsidR="007350A1" w:rsidRPr="00A94D3D" w:rsidRDefault="007350A1" w:rsidP="00DE649D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Communication de l’expert de l’Organisation internationale </w:t>
      </w:r>
      <w:r w:rsidR="00DE649D">
        <w:rPr>
          <w:lang w:val="fr-FR"/>
        </w:rPr>
        <w:br/>
      </w:r>
      <w:r>
        <w:rPr>
          <w:lang w:val="fr-FR"/>
        </w:rPr>
        <w:t>des constructeurs d’automobiles</w:t>
      </w:r>
      <w:r w:rsidRPr="00DE649D">
        <w:rPr>
          <w:b w:val="0"/>
          <w:bCs/>
          <w:sz w:val="20"/>
          <w:lang w:val="fr-FR"/>
        </w:rPr>
        <w:footnoteReference w:customMarkFollows="1" w:id="2"/>
        <w:t>*</w:t>
      </w:r>
    </w:p>
    <w:p w14:paraId="3CE11085" w14:textId="77777777" w:rsidR="007350A1" w:rsidRPr="00A94D3D" w:rsidRDefault="007350A1" w:rsidP="007350A1">
      <w:pPr>
        <w:pStyle w:val="SingleTxtG"/>
        <w:ind w:firstLine="567"/>
        <w:rPr>
          <w:lang w:val="fr-FR"/>
        </w:rPr>
      </w:pPr>
      <w:r>
        <w:rPr>
          <w:lang w:val="fr-FR"/>
        </w:rPr>
        <w:t xml:space="preserve">Le texte ci-après a été établi par l’expert de l’Organisation internationale des constructeurs d’automobiles (OICA). </w:t>
      </w:r>
      <w:r w:rsidRPr="00A94D3D">
        <w:rPr>
          <w:lang w:val="fr-FR"/>
        </w:rPr>
        <w:t>Il a pour objet de modifier le domaine d</w:t>
      </w:r>
      <w:r>
        <w:rPr>
          <w:lang w:val="fr-FR"/>
        </w:rPr>
        <w:t>’</w:t>
      </w:r>
      <w:r w:rsidRPr="00A94D3D">
        <w:rPr>
          <w:lang w:val="fr-FR"/>
        </w:rPr>
        <w:t>application du R</w:t>
      </w:r>
      <w:r>
        <w:rPr>
          <w:lang w:val="fr-FR"/>
        </w:rPr>
        <w:t>èglement afin de le préciser</w:t>
      </w:r>
      <w:r w:rsidRPr="00A94D3D">
        <w:rPr>
          <w:lang w:val="fr-FR"/>
        </w:rPr>
        <w:t xml:space="preserve">. </w:t>
      </w:r>
      <w:r>
        <w:rPr>
          <w:lang w:val="fr-FR"/>
        </w:rPr>
        <w:t>Les modifications qu’il est proposé d’apporter au texte actuel du Règlement figurent en caractères gras pour les ajouts et biffés pour les suppressions.</w:t>
      </w:r>
      <w:bookmarkStart w:id="0" w:name="_Hlk66206086"/>
      <w:bookmarkEnd w:id="0"/>
    </w:p>
    <w:p w14:paraId="21438D5E" w14:textId="77777777" w:rsidR="007350A1" w:rsidRPr="00A94D3D" w:rsidRDefault="007350A1" w:rsidP="007350A1">
      <w:pPr>
        <w:pStyle w:val="HChG"/>
        <w:tabs>
          <w:tab w:val="clear" w:pos="851"/>
        </w:tabs>
        <w:ind w:hanging="567"/>
        <w:rPr>
          <w:b w:val="0"/>
          <w:bCs/>
          <w:lang w:val="fr-FR" w:eastAsia="en-GB"/>
        </w:rPr>
      </w:pPr>
      <w:r w:rsidRPr="00A94D3D">
        <w:rPr>
          <w:lang w:val="fr-FR"/>
        </w:rPr>
        <w:br w:type="page"/>
      </w:r>
    </w:p>
    <w:p w14:paraId="37931AD4" w14:textId="77777777" w:rsidR="007350A1" w:rsidRPr="00A94D3D" w:rsidRDefault="007350A1" w:rsidP="00EA5DBE">
      <w:pPr>
        <w:pStyle w:val="HChG"/>
        <w:rPr>
          <w:lang w:val="fr-FR"/>
        </w:rPr>
      </w:pPr>
      <w:r>
        <w:rPr>
          <w:lang w:val="fr-FR"/>
        </w:rPr>
        <w:lastRenderedPageBreak/>
        <w:tab/>
        <w:t>I.</w:t>
      </w:r>
      <w:r>
        <w:rPr>
          <w:lang w:val="fr-FR"/>
        </w:rPr>
        <w:tab/>
        <w:t>Proposition</w:t>
      </w:r>
    </w:p>
    <w:p w14:paraId="2178FC07" w14:textId="77777777" w:rsidR="007350A1" w:rsidRPr="00A94D3D" w:rsidRDefault="007350A1" w:rsidP="00EA5DBE">
      <w:pPr>
        <w:pStyle w:val="SingleTxtG"/>
        <w:keepNext/>
        <w:rPr>
          <w:lang w:val="fr-FR"/>
        </w:rPr>
      </w:pPr>
      <w:r w:rsidRPr="00EA5DBE">
        <w:rPr>
          <w:i/>
          <w:iCs/>
          <w:lang w:val="fr-FR"/>
        </w:rPr>
        <w:t>Paragraphe 1.1.4</w:t>
      </w:r>
      <w:r>
        <w:rPr>
          <w:lang w:val="fr-FR"/>
        </w:rPr>
        <w:t>, lire :</w:t>
      </w:r>
    </w:p>
    <w:p w14:paraId="3969572F" w14:textId="4281A94A" w:rsidR="007350A1" w:rsidRPr="001B2F76" w:rsidRDefault="007350A1" w:rsidP="00EA5DBE">
      <w:pPr>
        <w:pStyle w:val="SingleTxtG"/>
        <w:keepNext/>
        <w:ind w:left="2268" w:hanging="1134"/>
        <w:jc w:val="left"/>
        <w:rPr>
          <w:lang w:val="fr-FR"/>
        </w:rPr>
      </w:pPr>
      <w:r w:rsidRPr="001B2F76">
        <w:rPr>
          <w:lang w:val="fr-FR"/>
        </w:rPr>
        <w:t>«</w:t>
      </w:r>
      <w:r w:rsidR="00EA5DBE">
        <w:rPr>
          <w:lang w:val="fr-FR"/>
        </w:rPr>
        <w:t> </w:t>
      </w:r>
      <w:r w:rsidRPr="001B2F76">
        <w:rPr>
          <w:lang w:val="fr-FR"/>
        </w:rPr>
        <w:t>1.1.4</w:t>
      </w:r>
      <w:r w:rsidRPr="001B2F76">
        <w:rPr>
          <w:lang w:val="fr-FR"/>
        </w:rPr>
        <w:tab/>
        <w:t>Homologations équivalentes</w:t>
      </w:r>
    </w:p>
    <w:p w14:paraId="19427A39" w14:textId="02CAA8A8" w:rsidR="007350A1" w:rsidRPr="009A77D0" w:rsidRDefault="007350A1" w:rsidP="00EA5DBE">
      <w:pPr>
        <w:pStyle w:val="SingleTxtG"/>
        <w:ind w:left="2268"/>
        <w:rPr>
          <w:lang w:val="fr-FR"/>
        </w:rPr>
      </w:pPr>
      <w:r w:rsidRPr="001B2F76">
        <w:rPr>
          <w:lang w:val="fr-FR"/>
        </w:rPr>
        <w:t xml:space="preserve">La conformité au présent Règlement </w:t>
      </w:r>
      <w:r>
        <w:rPr>
          <w:lang w:val="fr-FR"/>
        </w:rPr>
        <w:t xml:space="preserve">en ce qui concerne les émissions de polluants visibles </w:t>
      </w:r>
      <w:r w:rsidRPr="001B2F76">
        <w:rPr>
          <w:strike/>
          <w:lang w:val="fr-FR"/>
        </w:rPr>
        <w:t>es</w:t>
      </w:r>
      <w:r w:rsidRPr="00814401">
        <w:rPr>
          <w:strike/>
          <w:lang w:val="fr-FR"/>
        </w:rPr>
        <w:t xml:space="preserve">t </w:t>
      </w:r>
      <w:r w:rsidRPr="001B2F76">
        <w:rPr>
          <w:b/>
          <w:bCs/>
          <w:lang w:val="fr-FR"/>
        </w:rPr>
        <w:t>doit être</w:t>
      </w:r>
      <w:r>
        <w:rPr>
          <w:lang w:val="fr-FR"/>
        </w:rPr>
        <w:t xml:space="preserve"> </w:t>
      </w:r>
      <w:r w:rsidRPr="001B2F76">
        <w:rPr>
          <w:lang w:val="fr-FR"/>
        </w:rPr>
        <w:t>réputée satisfaite</w:t>
      </w:r>
      <w:r>
        <w:rPr>
          <w:lang w:val="fr-FR"/>
        </w:rPr>
        <w:t xml:space="preserve"> </w:t>
      </w:r>
      <w:r w:rsidRPr="001B2F76">
        <w:rPr>
          <w:lang w:val="fr-FR"/>
        </w:rPr>
        <w:t xml:space="preserve">si </w:t>
      </w:r>
      <w:r w:rsidRPr="001B2F76">
        <w:rPr>
          <w:strike/>
          <w:lang w:val="fr-FR"/>
        </w:rPr>
        <w:t>une</w:t>
      </w:r>
      <w:r w:rsidRPr="00814401">
        <w:rPr>
          <w:strike/>
          <w:lang w:val="fr-FR"/>
        </w:rPr>
        <w:t xml:space="preserve"> </w:t>
      </w:r>
      <w:r w:rsidRPr="001B2F76">
        <w:rPr>
          <w:b/>
          <w:bCs/>
          <w:lang w:val="fr-FR"/>
        </w:rPr>
        <w:t>des</w:t>
      </w:r>
      <w:r>
        <w:rPr>
          <w:lang w:val="fr-FR"/>
        </w:rPr>
        <w:t xml:space="preserve"> </w:t>
      </w:r>
      <w:r w:rsidRPr="001B2F76">
        <w:rPr>
          <w:lang w:val="fr-FR"/>
        </w:rPr>
        <w:t>homologation</w:t>
      </w:r>
      <w:r w:rsidRPr="001B2F76">
        <w:rPr>
          <w:b/>
          <w:bCs/>
          <w:lang w:val="fr-FR"/>
        </w:rPr>
        <w:t>s</w:t>
      </w:r>
      <w:r w:rsidRPr="001B2F76">
        <w:rPr>
          <w:lang w:val="fr-FR"/>
        </w:rPr>
        <w:t xml:space="preserve"> </w:t>
      </w:r>
      <w:r w:rsidRPr="00814401">
        <w:rPr>
          <w:strike/>
          <w:lang w:val="fr-FR"/>
        </w:rPr>
        <w:t xml:space="preserve">a </w:t>
      </w:r>
      <w:r>
        <w:rPr>
          <w:lang w:val="fr-FR"/>
        </w:rPr>
        <w:t xml:space="preserve">ont </w:t>
      </w:r>
      <w:r w:rsidRPr="001B2F76">
        <w:rPr>
          <w:lang w:val="fr-FR"/>
        </w:rPr>
        <w:t>été délivrée</w:t>
      </w:r>
      <w:r w:rsidRPr="001B2F76">
        <w:rPr>
          <w:b/>
          <w:bCs/>
          <w:lang w:val="fr-FR"/>
        </w:rPr>
        <w:t>s</w:t>
      </w:r>
      <w:r w:rsidRPr="001B2F76">
        <w:rPr>
          <w:lang w:val="fr-FR"/>
        </w:rPr>
        <w:t xml:space="preserve"> conformément à la série 06 </w:t>
      </w:r>
      <w:r w:rsidRPr="001B2F76">
        <w:rPr>
          <w:b/>
          <w:bCs/>
          <w:lang w:val="fr-FR"/>
        </w:rPr>
        <w:t>ou à toute série ultérieure</w:t>
      </w:r>
      <w:r>
        <w:rPr>
          <w:lang w:val="fr-FR"/>
        </w:rPr>
        <w:t xml:space="preserve"> </w:t>
      </w:r>
      <w:r w:rsidRPr="001B2F76">
        <w:rPr>
          <w:lang w:val="fr-FR"/>
        </w:rPr>
        <w:t>d</w:t>
      </w:r>
      <w:r>
        <w:rPr>
          <w:lang w:val="fr-FR"/>
        </w:rPr>
        <w:t>’</w:t>
      </w:r>
      <w:r w:rsidRPr="001B2F76">
        <w:rPr>
          <w:lang w:val="fr-FR"/>
        </w:rPr>
        <w:t xml:space="preserve">amendements au Règlement ONU </w:t>
      </w:r>
      <w:r w:rsidR="00814401" w:rsidRPr="00814401">
        <w:rPr>
          <w:rFonts w:eastAsia="MS Mincho"/>
          <w:lang w:val="fr-FR"/>
        </w:rPr>
        <w:t>n</w:t>
      </w:r>
      <w:r w:rsidR="00814401" w:rsidRPr="00814401">
        <w:rPr>
          <w:rFonts w:eastAsia="MS Mincho"/>
          <w:vertAlign w:val="superscript"/>
          <w:lang w:val="fr-FR"/>
        </w:rPr>
        <w:t>o</w:t>
      </w:r>
      <w:r w:rsidR="00814401">
        <w:rPr>
          <w:lang w:val="fr-FR"/>
        </w:rPr>
        <w:t> </w:t>
      </w:r>
      <w:r w:rsidRPr="001B2F76">
        <w:rPr>
          <w:lang w:val="fr-FR"/>
        </w:rPr>
        <w:t>49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 xml:space="preserve">ou </w:t>
      </w:r>
      <w:r w:rsidRPr="001B2F76">
        <w:rPr>
          <w:b/>
          <w:bCs/>
          <w:lang w:val="fr-FR"/>
        </w:rPr>
        <w:t>à la série 06 ou à toute série ultérieure d</w:t>
      </w:r>
      <w:r>
        <w:rPr>
          <w:b/>
          <w:bCs/>
          <w:lang w:val="fr-FR"/>
        </w:rPr>
        <w:t>’</w:t>
      </w:r>
      <w:r w:rsidRPr="001B2F76">
        <w:rPr>
          <w:b/>
          <w:bCs/>
          <w:lang w:val="fr-FR"/>
        </w:rPr>
        <w:t>amendements au Règlement</w:t>
      </w:r>
      <w:r>
        <w:rPr>
          <w:b/>
          <w:bCs/>
          <w:lang w:val="fr-FR"/>
        </w:rPr>
        <w:t xml:space="preserve"> ONU </w:t>
      </w:r>
      <w:r w:rsidR="00814401" w:rsidRPr="00814401">
        <w:rPr>
          <w:rFonts w:eastAsia="MS Mincho"/>
          <w:b/>
          <w:bCs/>
          <w:lang w:val="fr-FR"/>
        </w:rPr>
        <w:t>n</w:t>
      </w:r>
      <w:r w:rsidR="00814401" w:rsidRPr="00814401">
        <w:rPr>
          <w:rFonts w:eastAsia="MS Mincho"/>
          <w:b/>
          <w:bCs/>
          <w:vertAlign w:val="superscript"/>
          <w:lang w:val="fr-FR"/>
        </w:rPr>
        <w:t>o</w:t>
      </w:r>
      <w:r w:rsidR="00814401">
        <w:rPr>
          <w:b/>
          <w:bCs/>
          <w:lang w:val="fr-FR"/>
        </w:rPr>
        <w:t> </w:t>
      </w:r>
      <w:r>
        <w:rPr>
          <w:b/>
          <w:bCs/>
          <w:lang w:val="fr-FR"/>
        </w:rPr>
        <w:t xml:space="preserve">83 ou au Règlement ONU </w:t>
      </w:r>
      <w:r w:rsidR="00814401" w:rsidRPr="00814401">
        <w:rPr>
          <w:rFonts w:eastAsia="MS Mincho"/>
          <w:b/>
          <w:bCs/>
          <w:lang w:val="fr-FR"/>
        </w:rPr>
        <w:t>n</w:t>
      </w:r>
      <w:r w:rsidR="00814401" w:rsidRPr="00814401">
        <w:rPr>
          <w:rFonts w:eastAsia="MS Mincho"/>
          <w:b/>
          <w:bCs/>
          <w:vertAlign w:val="superscript"/>
          <w:lang w:val="fr-FR"/>
        </w:rPr>
        <w:t>o</w:t>
      </w:r>
      <w:r w:rsidR="00814401">
        <w:rPr>
          <w:b/>
          <w:bCs/>
          <w:lang w:val="fr-FR"/>
        </w:rPr>
        <w:t> </w:t>
      </w:r>
      <w:r>
        <w:rPr>
          <w:b/>
          <w:bCs/>
          <w:lang w:val="fr-FR"/>
        </w:rPr>
        <w:t>154</w:t>
      </w:r>
      <w:r w:rsidRPr="001B2F76">
        <w:rPr>
          <w:lang w:val="fr-FR"/>
        </w:rPr>
        <w:t>.</w:t>
      </w:r>
      <w:r>
        <w:rPr>
          <w:lang w:val="fr-FR"/>
        </w:rPr>
        <w:t xml:space="preserve"> </w:t>
      </w:r>
      <w:r w:rsidRPr="001B2F76">
        <w:rPr>
          <w:lang w:val="fr-FR"/>
        </w:rPr>
        <w:t>Les moteurs à allumage par compression et les véhicules à m</w:t>
      </w:r>
      <w:r>
        <w:rPr>
          <w:lang w:val="fr-FR"/>
        </w:rPr>
        <w:t xml:space="preserve">oteur </w:t>
      </w:r>
      <w:r w:rsidRPr="001B2F76">
        <w:rPr>
          <w:lang w:val="fr-FR"/>
        </w:rPr>
        <w:t>à allumage par compression</w:t>
      </w:r>
      <w:r>
        <w:rPr>
          <w:lang w:val="fr-FR"/>
        </w:rPr>
        <w:t xml:space="preserve"> homologués conformément à </w:t>
      </w:r>
      <w:r w:rsidRPr="009A77D0">
        <w:rPr>
          <w:b/>
          <w:bCs/>
          <w:lang w:val="fr-FR"/>
        </w:rPr>
        <w:t>ces versions</w:t>
      </w:r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des</w:t>
      </w:r>
      <w:proofErr w:type="spellEnd"/>
      <w:r>
        <w:rPr>
          <w:lang w:val="fr-FR"/>
        </w:rPr>
        <w:t xml:space="preserve"> </w:t>
      </w:r>
      <w:r w:rsidRPr="009A77D0">
        <w:rPr>
          <w:strike/>
          <w:lang w:val="fr-FR"/>
        </w:rPr>
        <w:t>cette série d</w:t>
      </w:r>
      <w:r>
        <w:rPr>
          <w:strike/>
          <w:lang w:val="fr-FR"/>
        </w:rPr>
        <w:t>’</w:t>
      </w:r>
      <w:r w:rsidRPr="009A77D0">
        <w:rPr>
          <w:strike/>
          <w:lang w:val="fr-FR"/>
        </w:rPr>
        <w:t>amendements</w:t>
      </w:r>
      <w:r>
        <w:rPr>
          <w:strike/>
          <w:lang w:val="fr-FR"/>
        </w:rPr>
        <w:t xml:space="preserve"> a</w:t>
      </w:r>
      <w:r w:rsidRPr="009A77D0">
        <w:rPr>
          <w:strike/>
          <w:lang w:val="fr-FR"/>
        </w:rPr>
        <w:t>u</w:t>
      </w:r>
      <w:r>
        <w:rPr>
          <w:b/>
          <w:bCs/>
          <w:lang w:val="fr-FR"/>
        </w:rPr>
        <w:t xml:space="preserve"> </w:t>
      </w:r>
      <w:r w:rsidRPr="009A77D0">
        <w:rPr>
          <w:lang w:val="fr-FR"/>
        </w:rPr>
        <w:t>Règlement</w:t>
      </w:r>
      <w:r w:rsidRPr="009A77D0">
        <w:rPr>
          <w:b/>
          <w:bCs/>
          <w:lang w:val="fr-FR"/>
        </w:rPr>
        <w:t>s</w:t>
      </w:r>
      <w:r w:rsidRPr="009A77D0">
        <w:rPr>
          <w:lang w:val="fr-FR"/>
        </w:rPr>
        <w:t xml:space="preserve"> ONU</w:t>
      </w:r>
      <w:r>
        <w:rPr>
          <w:lang w:val="fr-FR"/>
        </w:rPr>
        <w:t xml:space="preserve"> </w:t>
      </w:r>
      <w:r w:rsidR="00AA5168" w:rsidRPr="00AA5168">
        <w:rPr>
          <w:rFonts w:eastAsia="MS Mincho"/>
          <w:lang w:val="fr-FR"/>
        </w:rPr>
        <w:t>n</w:t>
      </w:r>
      <w:r w:rsidR="00AA5168" w:rsidRPr="00AA5168">
        <w:rPr>
          <w:rFonts w:eastAsia="MS Mincho"/>
          <w:vertAlign w:val="superscript"/>
          <w:lang w:val="fr-FR"/>
        </w:rPr>
        <w:t>o</w:t>
      </w:r>
      <w:r w:rsidR="00AA5168">
        <w:rPr>
          <w:rFonts w:eastAsia="MS Mincho"/>
          <w:vertAlign w:val="superscript"/>
          <w:lang w:val="fr-FR"/>
        </w:rPr>
        <w:t>s</w:t>
      </w:r>
      <w:r w:rsidR="00AA5168">
        <w:rPr>
          <w:lang w:val="fr-FR"/>
        </w:rPr>
        <w:t> </w:t>
      </w:r>
      <w:r>
        <w:rPr>
          <w:lang w:val="fr-FR"/>
        </w:rPr>
        <w:t>49</w:t>
      </w:r>
      <w:r w:rsidRPr="009A77D0">
        <w:rPr>
          <w:b/>
          <w:bCs/>
          <w:lang w:val="fr-FR"/>
        </w:rPr>
        <w:t xml:space="preserve">, 83 </w:t>
      </w:r>
      <w:r>
        <w:rPr>
          <w:b/>
          <w:bCs/>
          <w:lang w:val="fr-FR"/>
        </w:rPr>
        <w:t>et</w:t>
      </w:r>
      <w:r w:rsidRPr="009A77D0">
        <w:rPr>
          <w:b/>
          <w:bCs/>
          <w:lang w:val="fr-FR"/>
        </w:rPr>
        <w:t xml:space="preserve"> 154</w:t>
      </w:r>
      <w:r>
        <w:rPr>
          <w:lang w:val="fr-FR"/>
        </w:rPr>
        <w:t xml:space="preserve"> n’ont pas d’émissions de polluants visibles, conformément aux spécifications du paragraphe</w:t>
      </w:r>
      <w:r w:rsidR="00AA5168">
        <w:rPr>
          <w:lang w:val="fr-FR"/>
        </w:rPr>
        <w:t> </w:t>
      </w:r>
      <w:r>
        <w:rPr>
          <w:lang w:val="fr-FR"/>
        </w:rPr>
        <w:t>6.</w:t>
      </w:r>
    </w:p>
    <w:p w14:paraId="26578F83" w14:textId="5CDA5510" w:rsidR="007350A1" w:rsidRPr="00C92B12" w:rsidRDefault="007350A1" w:rsidP="00AA5168">
      <w:pPr>
        <w:pStyle w:val="SingleTxtG"/>
        <w:ind w:left="2268" w:hanging="1134"/>
        <w:rPr>
          <w:lang w:val="fr-FR"/>
        </w:rPr>
      </w:pPr>
      <w:r w:rsidRPr="009A77D0">
        <w:rPr>
          <w:lang w:val="fr-FR"/>
        </w:rPr>
        <w:t xml:space="preserve">1.1.4.1 </w:t>
      </w:r>
      <w:r w:rsidRPr="009A77D0">
        <w:rPr>
          <w:lang w:val="fr-FR"/>
        </w:rPr>
        <w:tab/>
        <w:t xml:space="preserve">Les dispositions </w:t>
      </w:r>
      <w:r w:rsidRPr="009A77D0">
        <w:rPr>
          <w:strike/>
          <w:lang w:val="fr-FR"/>
        </w:rPr>
        <w:t>du</w:t>
      </w:r>
      <w:r w:rsidRPr="00AA5168">
        <w:rPr>
          <w:strike/>
          <w:lang w:val="fr-FR"/>
        </w:rPr>
        <w:t xml:space="preserve"> </w:t>
      </w:r>
      <w:r w:rsidRPr="009A77D0">
        <w:rPr>
          <w:b/>
          <w:bCs/>
          <w:lang w:val="fr-FR"/>
        </w:rPr>
        <w:t>des</w:t>
      </w:r>
      <w:r w:rsidRPr="009A77D0">
        <w:rPr>
          <w:lang w:val="fr-FR"/>
        </w:rPr>
        <w:t xml:space="preserve"> paragraphe</w:t>
      </w:r>
      <w:r w:rsidRPr="009A77D0">
        <w:rPr>
          <w:b/>
          <w:bCs/>
          <w:lang w:val="fr-FR"/>
        </w:rPr>
        <w:t>s</w:t>
      </w:r>
      <w:r w:rsidRPr="009A77D0">
        <w:rPr>
          <w:lang w:val="fr-FR"/>
        </w:rPr>
        <w:t xml:space="preserve"> 6.1</w:t>
      </w:r>
      <w:r w:rsidRPr="009A77D0">
        <w:rPr>
          <w:strike/>
          <w:lang w:val="fr-FR"/>
        </w:rPr>
        <w:t>,</w:t>
      </w:r>
      <w:r w:rsidRPr="009A77D0">
        <w:rPr>
          <w:lang w:val="fr-FR"/>
        </w:rPr>
        <w:t xml:space="preserve"> </w:t>
      </w:r>
      <w:r w:rsidRPr="009A77D0">
        <w:rPr>
          <w:b/>
          <w:bCs/>
          <w:lang w:val="fr-FR"/>
        </w:rPr>
        <w:t>et</w:t>
      </w:r>
      <w:r w:rsidRPr="009A77D0">
        <w:rPr>
          <w:lang w:val="fr-FR"/>
        </w:rPr>
        <w:t xml:space="preserve"> 24.1 </w:t>
      </w:r>
      <w:r w:rsidRPr="009A77D0">
        <w:rPr>
          <w:b/>
          <w:bCs/>
          <w:lang w:val="fr-FR"/>
        </w:rPr>
        <w:t>du présent Règlement</w:t>
      </w:r>
      <w:r w:rsidRPr="009A77D0">
        <w:rPr>
          <w:lang w:val="fr-FR"/>
        </w:rPr>
        <w:t xml:space="preserve"> sont applicables. Outre les dispositions concernant la marque d</w:t>
      </w:r>
      <w:r>
        <w:rPr>
          <w:lang w:val="fr-FR"/>
        </w:rPr>
        <w:t>’</w:t>
      </w:r>
      <w:r w:rsidRPr="009A77D0">
        <w:rPr>
          <w:lang w:val="fr-FR"/>
        </w:rPr>
        <w:t>homologation énoncées dans le Rè</w:t>
      </w:r>
      <w:r>
        <w:rPr>
          <w:lang w:val="fr-FR"/>
        </w:rPr>
        <w:t>glement ONU</w:t>
      </w:r>
      <w:r w:rsidRPr="009A77D0">
        <w:rPr>
          <w:lang w:val="fr-FR"/>
        </w:rPr>
        <w:t xml:space="preserve"> </w:t>
      </w:r>
      <w:r w:rsidR="00AA5168" w:rsidRPr="00AA5168">
        <w:rPr>
          <w:rFonts w:eastAsia="MS Mincho"/>
          <w:lang w:val="fr-FR"/>
        </w:rPr>
        <w:t>n</w:t>
      </w:r>
      <w:r w:rsidR="00AA5168" w:rsidRPr="00AA5168">
        <w:rPr>
          <w:rFonts w:eastAsia="MS Mincho"/>
          <w:vertAlign w:val="superscript"/>
          <w:lang w:val="fr-FR"/>
        </w:rPr>
        <w:t>o</w:t>
      </w:r>
      <w:r w:rsidR="00AA5168">
        <w:rPr>
          <w:lang w:val="fr-FR"/>
        </w:rPr>
        <w:t> </w:t>
      </w:r>
      <w:r w:rsidRPr="009A77D0">
        <w:rPr>
          <w:lang w:val="fr-FR"/>
        </w:rPr>
        <w:t>49</w:t>
      </w:r>
      <w:r w:rsidRPr="009A77D0">
        <w:rPr>
          <w:b/>
          <w:bCs/>
          <w:lang w:val="fr-FR"/>
        </w:rPr>
        <w:t xml:space="preserve">, 83 </w:t>
      </w:r>
      <w:r>
        <w:rPr>
          <w:b/>
          <w:bCs/>
          <w:lang w:val="fr-FR"/>
        </w:rPr>
        <w:t>ou</w:t>
      </w:r>
      <w:r w:rsidRPr="009A77D0">
        <w:rPr>
          <w:b/>
          <w:bCs/>
          <w:lang w:val="fr-FR"/>
        </w:rPr>
        <w:t xml:space="preserve"> 154</w:t>
      </w:r>
      <w:r>
        <w:rPr>
          <w:b/>
          <w:bCs/>
          <w:lang w:val="fr-FR"/>
        </w:rPr>
        <w:t>, selon le cas</w:t>
      </w:r>
      <w:r w:rsidRPr="009A77D0">
        <w:rPr>
          <w:b/>
          <w:bCs/>
          <w:lang w:val="fr-FR"/>
        </w:rPr>
        <w:t>,</w:t>
      </w:r>
      <w:r w:rsidRPr="009A77D0">
        <w:rPr>
          <w:lang w:val="fr-FR"/>
        </w:rPr>
        <w:t xml:space="preserve"> </w:t>
      </w:r>
      <w:r>
        <w:rPr>
          <w:lang w:val="fr-FR"/>
        </w:rPr>
        <w:t xml:space="preserve">sont applicables les </w:t>
      </w:r>
      <w:r w:rsidRPr="009A77D0">
        <w:rPr>
          <w:lang w:val="fr-FR"/>
        </w:rPr>
        <w:t xml:space="preserve"> dispositions </w:t>
      </w:r>
      <w:r>
        <w:rPr>
          <w:lang w:val="fr-FR"/>
        </w:rPr>
        <w:t>relatives à l’expression du coefficient d’a</w:t>
      </w:r>
      <w:r w:rsidRPr="009A77D0">
        <w:rPr>
          <w:lang w:val="fr-FR"/>
        </w:rPr>
        <w:t xml:space="preserve">dsorption </w:t>
      </w:r>
      <w:r>
        <w:rPr>
          <w:lang w:val="fr-FR"/>
        </w:rPr>
        <w:t>e</w:t>
      </w:r>
      <w:r w:rsidRPr="009A77D0">
        <w:rPr>
          <w:lang w:val="fr-FR"/>
        </w:rPr>
        <w:t xml:space="preserve">n </w:t>
      </w:r>
      <w:r w:rsidRPr="009A77D0">
        <w:rPr>
          <w:strike/>
          <w:lang w:val="fr-FR"/>
        </w:rPr>
        <w:t>m-1</w:t>
      </w:r>
      <w:r w:rsidRPr="009A77D0">
        <w:rPr>
          <w:lang w:val="fr-FR"/>
        </w:rPr>
        <w:t xml:space="preserve"> </w:t>
      </w:r>
      <w:proofErr w:type="spellStart"/>
      <w:r w:rsidRPr="009A77D0">
        <w:rPr>
          <w:b/>
          <w:bCs/>
          <w:lang w:val="fr-FR"/>
        </w:rPr>
        <w:t>m</w:t>
      </w:r>
      <w:r w:rsidRPr="009A77D0">
        <w:rPr>
          <w:b/>
          <w:bCs/>
          <w:vertAlign w:val="superscript"/>
          <w:lang w:val="fr-FR"/>
        </w:rPr>
        <w:t>-1</w:t>
      </w:r>
      <w:proofErr w:type="spellEnd"/>
      <w:r>
        <w:rPr>
          <w:lang w:val="fr-FR"/>
        </w:rPr>
        <w:t xml:space="preserve"> des </w:t>
      </w:r>
      <w:r w:rsidRPr="009A77D0">
        <w:rPr>
          <w:lang w:val="fr-FR"/>
        </w:rPr>
        <w:t>paragraph</w:t>
      </w:r>
      <w:r>
        <w:rPr>
          <w:lang w:val="fr-FR"/>
        </w:rPr>
        <w:t>e</w:t>
      </w:r>
      <w:r w:rsidRPr="009A77D0">
        <w:rPr>
          <w:lang w:val="fr-FR"/>
        </w:rPr>
        <w:t>s</w:t>
      </w:r>
      <w:r w:rsidR="006B4343">
        <w:rPr>
          <w:lang w:val="fr-FR"/>
        </w:rPr>
        <w:t> </w:t>
      </w:r>
      <w:r w:rsidRPr="009A77D0">
        <w:rPr>
          <w:lang w:val="fr-FR"/>
        </w:rPr>
        <w:t xml:space="preserve">5.4.3, 5.4.4 </w:t>
      </w:r>
      <w:r>
        <w:rPr>
          <w:lang w:val="fr-FR"/>
        </w:rPr>
        <w:t xml:space="preserve">et </w:t>
      </w:r>
      <w:r w:rsidRPr="009A77D0">
        <w:rPr>
          <w:lang w:val="fr-FR"/>
        </w:rPr>
        <w:t xml:space="preserve">23.4.3. </w:t>
      </w:r>
      <w:r>
        <w:rPr>
          <w:b/>
          <w:bCs/>
          <w:lang w:val="fr-FR"/>
        </w:rPr>
        <w:t>du présent Règlement</w:t>
      </w:r>
      <w:r w:rsidRPr="009A77D0">
        <w:rPr>
          <w:lang w:val="fr-FR"/>
        </w:rPr>
        <w:t xml:space="preserve">. </w:t>
      </w:r>
      <w:r w:rsidRPr="00C92B12">
        <w:rPr>
          <w:lang w:val="fr-FR"/>
        </w:rPr>
        <w:t>Le</w:t>
      </w:r>
      <w:r w:rsidR="006B4343">
        <w:rPr>
          <w:lang w:val="fr-FR"/>
        </w:rPr>
        <w:t> </w:t>
      </w:r>
      <w:r w:rsidRPr="00C92B12">
        <w:rPr>
          <w:lang w:val="fr-FR"/>
        </w:rPr>
        <w:t>coefficient d</w:t>
      </w:r>
      <w:r>
        <w:rPr>
          <w:lang w:val="fr-FR"/>
        </w:rPr>
        <w:t>’</w:t>
      </w:r>
      <w:r w:rsidRPr="00C92B12">
        <w:rPr>
          <w:lang w:val="fr-FR"/>
        </w:rPr>
        <w:t>adsorption applicable selon les dispositions du paragraphe</w:t>
      </w:r>
      <w:r w:rsidR="006B4343">
        <w:rPr>
          <w:lang w:val="fr-FR"/>
        </w:rPr>
        <w:t> </w:t>
      </w:r>
      <w:r w:rsidRPr="00C92B12">
        <w:rPr>
          <w:lang w:val="fr-FR"/>
        </w:rPr>
        <w:t>3 de l</w:t>
      </w:r>
      <w:r>
        <w:rPr>
          <w:lang w:val="fr-FR"/>
        </w:rPr>
        <w:t>’</w:t>
      </w:r>
      <w:r w:rsidRPr="00C92B12">
        <w:rPr>
          <w:lang w:val="fr-FR"/>
        </w:rPr>
        <w:t>annex</w:t>
      </w:r>
      <w:r>
        <w:rPr>
          <w:lang w:val="fr-FR"/>
        </w:rPr>
        <w:t>e</w:t>
      </w:r>
      <w:r w:rsidR="006B4343">
        <w:rPr>
          <w:lang w:val="fr-FR"/>
        </w:rPr>
        <w:t> </w:t>
      </w:r>
      <w:r w:rsidRPr="00C92B12">
        <w:rPr>
          <w:lang w:val="fr-FR"/>
        </w:rPr>
        <w:t>5</w:t>
      </w:r>
      <w:r>
        <w:rPr>
          <w:lang w:val="fr-FR"/>
        </w:rPr>
        <w:t xml:space="preserve"> </w:t>
      </w:r>
      <w:r w:rsidRPr="00C92B12">
        <w:rPr>
          <w:lang w:val="fr-FR"/>
        </w:rPr>
        <w:t>du présent Règlement</w:t>
      </w:r>
      <w:r>
        <w:rPr>
          <w:lang w:val="fr-FR"/>
        </w:rPr>
        <w:t xml:space="preserve"> est </w:t>
      </w:r>
      <w:r w:rsidRPr="00C92B12">
        <w:rPr>
          <w:strike/>
          <w:lang w:val="fr-FR"/>
        </w:rPr>
        <w:t>XM</w:t>
      </w:r>
      <w:r w:rsidRPr="00C92B12">
        <w:rPr>
          <w:lang w:val="fr-FR"/>
        </w:rPr>
        <w:t xml:space="preserve"> </w:t>
      </w:r>
      <w:proofErr w:type="spellStart"/>
      <w:r w:rsidRPr="00C92B12">
        <w:rPr>
          <w:b/>
          <w:bCs/>
          <w:lang w:val="fr-FR"/>
        </w:rPr>
        <w:t>X</w:t>
      </w:r>
      <w:r w:rsidRPr="00C92B12">
        <w:rPr>
          <w:b/>
          <w:bCs/>
          <w:vertAlign w:val="subscript"/>
          <w:lang w:val="fr-FR"/>
        </w:rPr>
        <w:t>M</w:t>
      </w:r>
      <w:proofErr w:type="spellEnd"/>
      <w:r w:rsidR="006B4343">
        <w:rPr>
          <w:lang w:val="fr-FR"/>
        </w:rPr>
        <w:t> </w:t>
      </w:r>
      <w:r w:rsidRPr="00C92B12">
        <w:rPr>
          <w:lang w:val="fr-FR"/>
        </w:rPr>
        <w:t>+</w:t>
      </w:r>
      <w:r w:rsidR="006B4343">
        <w:rPr>
          <w:lang w:val="fr-FR"/>
        </w:rPr>
        <w:t> </w:t>
      </w:r>
      <w:r w:rsidRPr="00C92B12">
        <w:rPr>
          <w:lang w:val="fr-FR"/>
        </w:rPr>
        <w:t>0</w:t>
      </w:r>
      <w:r>
        <w:rPr>
          <w:lang w:val="fr-FR"/>
        </w:rPr>
        <w:t>,</w:t>
      </w:r>
      <w:r w:rsidRPr="00C92B12">
        <w:rPr>
          <w:lang w:val="fr-FR"/>
        </w:rPr>
        <w:t xml:space="preserve">5, </w:t>
      </w:r>
      <w:r w:rsidRPr="00C92B12">
        <w:rPr>
          <w:strike/>
          <w:lang w:val="fr-FR"/>
        </w:rPr>
        <w:t>XM</w:t>
      </w:r>
      <w:r w:rsidRPr="00C92B12">
        <w:rPr>
          <w:lang w:val="fr-FR"/>
        </w:rPr>
        <w:t xml:space="preserve"> </w:t>
      </w:r>
      <w:proofErr w:type="spellStart"/>
      <w:r w:rsidRPr="00C92B12">
        <w:rPr>
          <w:b/>
          <w:bCs/>
          <w:lang w:val="fr-FR"/>
        </w:rPr>
        <w:t>X</w:t>
      </w:r>
      <w:r w:rsidRPr="00C92B12">
        <w:rPr>
          <w:b/>
          <w:bCs/>
          <w:vertAlign w:val="subscript"/>
          <w:lang w:val="fr-FR"/>
        </w:rPr>
        <w:t>M</w:t>
      </w:r>
      <w:proofErr w:type="spellEnd"/>
      <w:r w:rsidRPr="00C92B12">
        <w:rPr>
          <w:lang w:val="fr-FR"/>
        </w:rPr>
        <w:t xml:space="preserve"> </w:t>
      </w:r>
      <w:r>
        <w:rPr>
          <w:lang w:val="fr-FR"/>
        </w:rPr>
        <w:t>étant dans ce cas égal à zéro</w:t>
      </w:r>
      <w:r w:rsidRPr="00C92B12">
        <w:rPr>
          <w:lang w:val="fr-FR"/>
        </w:rPr>
        <w:t>.</w:t>
      </w:r>
      <w:r w:rsidR="006B4343">
        <w:rPr>
          <w:lang w:val="fr-FR"/>
        </w:rPr>
        <w:t> </w:t>
      </w:r>
      <w:r w:rsidRPr="00C92B12">
        <w:rPr>
          <w:lang w:val="fr-FR"/>
        </w:rPr>
        <w:t>».</w:t>
      </w:r>
    </w:p>
    <w:p w14:paraId="08294DEA" w14:textId="77777777" w:rsidR="007350A1" w:rsidRPr="00A94D3D" w:rsidRDefault="007350A1" w:rsidP="006B4343">
      <w:pPr>
        <w:pStyle w:val="HChG"/>
        <w:rPr>
          <w:lang w:val="fr-FR"/>
        </w:rPr>
      </w:pPr>
      <w:r w:rsidRPr="00C92B12">
        <w:rPr>
          <w:lang w:val="fr-FR"/>
        </w:rPr>
        <w:tab/>
      </w:r>
      <w:r>
        <w:rPr>
          <w:lang w:val="fr-FR"/>
        </w:rPr>
        <w:t>II.</w:t>
      </w:r>
      <w:r>
        <w:rPr>
          <w:lang w:val="fr-FR"/>
        </w:rPr>
        <w:tab/>
        <w:t>Justification</w:t>
      </w:r>
    </w:p>
    <w:p w14:paraId="339EBBC3" w14:textId="58951D71" w:rsidR="007350A1" w:rsidRPr="00A94D3D" w:rsidRDefault="007350A1" w:rsidP="006B4343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 xml:space="preserve">L’application du Règlement ONU </w:t>
      </w:r>
      <w:r w:rsidR="006B4343" w:rsidRPr="006B4343">
        <w:rPr>
          <w:rFonts w:eastAsia="MS Mincho"/>
          <w:lang w:val="fr-FR"/>
        </w:rPr>
        <w:t>n</w:t>
      </w:r>
      <w:r w:rsidR="006B4343" w:rsidRPr="006B4343">
        <w:rPr>
          <w:rFonts w:eastAsia="MS Mincho"/>
          <w:vertAlign w:val="superscript"/>
          <w:lang w:val="fr-FR"/>
        </w:rPr>
        <w:t>o</w:t>
      </w:r>
      <w:r w:rsidR="006B4343">
        <w:rPr>
          <w:lang w:val="fr-FR"/>
        </w:rPr>
        <w:t> </w:t>
      </w:r>
      <w:r>
        <w:rPr>
          <w:lang w:val="fr-FR"/>
        </w:rPr>
        <w:t>24 permet, depuis des années, de limiter les émissions de polluants visibles afin de préserver la visibilité sur route.</w:t>
      </w:r>
    </w:p>
    <w:p w14:paraId="6B95F2B1" w14:textId="37844338" w:rsidR="007350A1" w:rsidRPr="00C92B12" w:rsidRDefault="007350A1" w:rsidP="006B4343">
      <w:pPr>
        <w:pStyle w:val="SingleTxtG"/>
        <w:rPr>
          <w:lang w:val="fr-FR"/>
        </w:rPr>
      </w:pPr>
      <w:r w:rsidRPr="00C92B12">
        <w:rPr>
          <w:lang w:val="fr-FR"/>
        </w:rPr>
        <w:t>2.</w:t>
      </w:r>
      <w:r w:rsidRPr="00C92B12">
        <w:rPr>
          <w:lang w:val="fr-FR"/>
        </w:rPr>
        <w:tab/>
        <w:t>Les moteurs homologués conformément aux versions d</w:t>
      </w:r>
      <w:r>
        <w:rPr>
          <w:lang w:val="fr-FR"/>
        </w:rPr>
        <w:t xml:space="preserve">es Règlements ONU mentionnées dans le présent </w:t>
      </w:r>
      <w:r w:rsidRPr="00C92B12">
        <w:rPr>
          <w:lang w:val="fr-FR"/>
        </w:rPr>
        <w:t>document (correspond</w:t>
      </w:r>
      <w:r>
        <w:rPr>
          <w:lang w:val="fr-FR"/>
        </w:rPr>
        <w:t>ant aux normes</w:t>
      </w:r>
      <w:r w:rsidRPr="00C92B12">
        <w:rPr>
          <w:lang w:val="fr-FR"/>
        </w:rPr>
        <w:t xml:space="preserve"> Euro</w:t>
      </w:r>
      <w:r w:rsidR="002743EA">
        <w:rPr>
          <w:lang w:val="fr-FR"/>
        </w:rPr>
        <w:t> </w:t>
      </w:r>
      <w:r w:rsidRPr="00C92B12">
        <w:rPr>
          <w:lang w:val="fr-FR"/>
        </w:rPr>
        <w:t>VI, Euro</w:t>
      </w:r>
      <w:r w:rsidR="002743EA">
        <w:rPr>
          <w:lang w:val="fr-FR"/>
        </w:rPr>
        <w:t> </w:t>
      </w:r>
      <w:r w:rsidRPr="00C92B12">
        <w:rPr>
          <w:lang w:val="fr-FR"/>
        </w:rPr>
        <w:t>5 o</w:t>
      </w:r>
      <w:r>
        <w:rPr>
          <w:lang w:val="fr-FR"/>
        </w:rPr>
        <w:t>u</w:t>
      </w:r>
      <w:r w:rsidRPr="00C92B12">
        <w:rPr>
          <w:lang w:val="fr-FR"/>
        </w:rPr>
        <w:t xml:space="preserve"> Euro</w:t>
      </w:r>
      <w:r w:rsidR="002743EA">
        <w:rPr>
          <w:lang w:val="fr-FR"/>
        </w:rPr>
        <w:t> </w:t>
      </w:r>
      <w:r w:rsidRPr="00C92B12">
        <w:rPr>
          <w:lang w:val="fr-FR"/>
        </w:rPr>
        <w:t xml:space="preserve">6) </w:t>
      </w:r>
      <w:r>
        <w:rPr>
          <w:lang w:val="fr-FR"/>
        </w:rPr>
        <w:t>ne produisent pas de fumées</w:t>
      </w:r>
      <w:r w:rsidRPr="00C92B12">
        <w:rPr>
          <w:lang w:val="fr-FR"/>
        </w:rPr>
        <w:t xml:space="preserve">. </w:t>
      </w:r>
    </w:p>
    <w:p w14:paraId="728C5BBF" w14:textId="031D951A" w:rsidR="007350A1" w:rsidRPr="00A94D3D" w:rsidRDefault="007350A1" w:rsidP="006B4343">
      <w:pPr>
        <w:pStyle w:val="SingleTxtG"/>
        <w:rPr>
          <w:lang w:val="fr-FR"/>
        </w:rPr>
      </w:pPr>
      <w:r w:rsidRPr="00D24B2D">
        <w:rPr>
          <w:lang w:val="fr-FR"/>
        </w:rPr>
        <w:t>3.</w:t>
      </w:r>
      <w:r w:rsidRPr="00D24B2D">
        <w:rPr>
          <w:lang w:val="fr-FR"/>
        </w:rPr>
        <w:tab/>
        <w:t>Les moteurs à allumage par compression dotés d</w:t>
      </w:r>
      <w:r>
        <w:rPr>
          <w:lang w:val="fr-FR"/>
        </w:rPr>
        <w:t>’</w:t>
      </w:r>
      <w:r w:rsidRPr="00D24B2D">
        <w:rPr>
          <w:lang w:val="fr-FR"/>
        </w:rPr>
        <w:t>un filtre à particules pour moteur diesel on</w:t>
      </w:r>
      <w:r>
        <w:rPr>
          <w:lang w:val="fr-FR"/>
        </w:rPr>
        <w:t>t des é</w:t>
      </w:r>
      <w:r w:rsidRPr="00D24B2D">
        <w:rPr>
          <w:lang w:val="fr-FR"/>
        </w:rPr>
        <w:t xml:space="preserve">missions </w:t>
      </w:r>
      <w:r>
        <w:rPr>
          <w:lang w:val="fr-FR"/>
        </w:rPr>
        <w:t xml:space="preserve">de fumée inférieures à </w:t>
      </w:r>
      <w:r w:rsidRPr="00D24B2D">
        <w:rPr>
          <w:lang w:val="fr-FR"/>
        </w:rPr>
        <w:t>0,5</w:t>
      </w:r>
      <w:r w:rsidR="002743EA">
        <w:rPr>
          <w:lang w:val="fr-FR"/>
        </w:rPr>
        <w:t> </w:t>
      </w:r>
      <w:r w:rsidRPr="00D24B2D">
        <w:rPr>
          <w:lang w:val="fr-FR"/>
        </w:rPr>
        <w:t>m</w:t>
      </w:r>
      <w:r w:rsidRPr="00C5566F">
        <w:rPr>
          <w:vertAlign w:val="superscript"/>
          <w:lang w:val="fr-FR"/>
        </w:rPr>
        <w:t>-1</w:t>
      </w:r>
      <w:r w:rsidRPr="00D24B2D">
        <w:rPr>
          <w:lang w:val="fr-FR"/>
        </w:rPr>
        <w:t xml:space="preserve"> </w:t>
      </w:r>
      <w:r>
        <w:rPr>
          <w:lang w:val="fr-FR"/>
        </w:rPr>
        <w:t xml:space="preserve">au cours de l’essai en accélération libre et quasiment nulles au cours de l’essai </w:t>
      </w:r>
      <w:r w:rsidRPr="00D24B2D">
        <w:rPr>
          <w:lang w:val="fr-FR"/>
        </w:rPr>
        <w:t xml:space="preserve">en conditions stabilisées. </w:t>
      </w:r>
      <w:r>
        <w:rPr>
          <w:lang w:val="fr-FR"/>
        </w:rPr>
        <w:t>On notera que le degré de variabilité de production admis, compte tenu de l’incertitude des mesures, est de 0,5</w:t>
      </w:r>
      <w:r w:rsidR="00C5566F">
        <w:rPr>
          <w:lang w:val="fr-FR"/>
        </w:rPr>
        <w:t> </w:t>
      </w:r>
      <w:r>
        <w:rPr>
          <w:lang w:val="fr-FR"/>
        </w:rPr>
        <w:t>m</w:t>
      </w:r>
      <w:r w:rsidRPr="00C5566F">
        <w:rPr>
          <w:vertAlign w:val="superscript"/>
          <w:lang w:val="fr-FR"/>
        </w:rPr>
        <w:t>-1</w:t>
      </w:r>
      <w:r>
        <w:rPr>
          <w:lang w:val="fr-FR"/>
        </w:rPr>
        <w:t>.</w:t>
      </w:r>
    </w:p>
    <w:p w14:paraId="141942DE" w14:textId="7AF88C3B" w:rsidR="00F9573C" w:rsidRDefault="007350A1" w:rsidP="006B4343">
      <w:pPr>
        <w:pStyle w:val="SingleTxtG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 xml:space="preserve">Il est donc utile de préciser que les homologations de moteurs conformément </w:t>
      </w:r>
      <w:r w:rsidRPr="00C92B12">
        <w:rPr>
          <w:lang w:val="fr-FR"/>
        </w:rPr>
        <w:t>aux versions d</w:t>
      </w:r>
      <w:r>
        <w:rPr>
          <w:lang w:val="fr-FR"/>
        </w:rPr>
        <w:t xml:space="preserve">es Règlements ONU mentionnées ne dépendent pas des dispositions du Règlement ONU </w:t>
      </w:r>
      <w:r w:rsidR="00C5566F" w:rsidRPr="00C5566F">
        <w:rPr>
          <w:rFonts w:eastAsia="MS Mincho"/>
          <w:lang w:val="fr-FR"/>
        </w:rPr>
        <w:t>n</w:t>
      </w:r>
      <w:r w:rsidR="00C5566F" w:rsidRPr="00C5566F">
        <w:rPr>
          <w:rFonts w:eastAsia="MS Mincho"/>
          <w:vertAlign w:val="superscript"/>
          <w:lang w:val="fr-FR"/>
        </w:rPr>
        <w:t>o</w:t>
      </w:r>
      <w:r w:rsidR="00C5566F">
        <w:rPr>
          <w:lang w:val="fr-FR"/>
        </w:rPr>
        <w:t> </w:t>
      </w:r>
      <w:r>
        <w:rPr>
          <w:lang w:val="fr-FR"/>
        </w:rPr>
        <w:t>24.</w:t>
      </w:r>
    </w:p>
    <w:p w14:paraId="01EDD043" w14:textId="1F2826A2" w:rsidR="007350A1" w:rsidRPr="007350A1" w:rsidRDefault="007350A1" w:rsidP="007350A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350A1" w:rsidRPr="007350A1" w:rsidSect="006E712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90D0C" w14:textId="77777777" w:rsidR="000F5699" w:rsidRDefault="000F5699" w:rsidP="00F95C08">
      <w:pPr>
        <w:spacing w:line="240" w:lineRule="auto"/>
      </w:pPr>
    </w:p>
  </w:endnote>
  <w:endnote w:type="continuationSeparator" w:id="0">
    <w:p w14:paraId="31A53552" w14:textId="77777777" w:rsidR="000F5699" w:rsidRPr="00AC3823" w:rsidRDefault="000F5699" w:rsidP="00AC3823">
      <w:pPr>
        <w:pStyle w:val="Pieddepage"/>
      </w:pPr>
    </w:p>
  </w:endnote>
  <w:endnote w:type="continuationNotice" w:id="1">
    <w:p w14:paraId="2AF755AE" w14:textId="77777777" w:rsidR="000F5699" w:rsidRDefault="000F569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40716" w14:textId="279A7E47" w:rsidR="006E7127" w:rsidRPr="006E7127" w:rsidRDefault="006E7127" w:rsidP="006E7127">
    <w:pPr>
      <w:pStyle w:val="Pieddepage"/>
      <w:tabs>
        <w:tab w:val="right" w:pos="9638"/>
      </w:tabs>
    </w:pPr>
    <w:r w:rsidRPr="006E7127">
      <w:rPr>
        <w:b/>
        <w:sz w:val="18"/>
      </w:rPr>
      <w:fldChar w:fldCharType="begin"/>
    </w:r>
    <w:r w:rsidRPr="006E7127">
      <w:rPr>
        <w:b/>
        <w:sz w:val="18"/>
      </w:rPr>
      <w:instrText xml:space="preserve"> PAGE  \* MERGEFORMAT </w:instrText>
    </w:r>
    <w:r w:rsidRPr="006E7127">
      <w:rPr>
        <w:b/>
        <w:sz w:val="18"/>
      </w:rPr>
      <w:fldChar w:fldCharType="separate"/>
    </w:r>
    <w:r w:rsidRPr="006E7127">
      <w:rPr>
        <w:b/>
        <w:noProof/>
        <w:sz w:val="18"/>
      </w:rPr>
      <w:t>2</w:t>
    </w:r>
    <w:r w:rsidRPr="006E7127">
      <w:rPr>
        <w:b/>
        <w:sz w:val="18"/>
      </w:rPr>
      <w:fldChar w:fldCharType="end"/>
    </w:r>
    <w:r>
      <w:rPr>
        <w:b/>
        <w:sz w:val="18"/>
      </w:rPr>
      <w:tab/>
    </w:r>
    <w:r>
      <w:t>GE.21-03633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32960" w14:textId="262F65B8" w:rsidR="006E7127" w:rsidRPr="006E7127" w:rsidRDefault="006E7127" w:rsidP="006E7127">
    <w:pPr>
      <w:pStyle w:val="Pieddepage"/>
      <w:tabs>
        <w:tab w:val="right" w:pos="9638"/>
      </w:tabs>
      <w:rPr>
        <w:b/>
        <w:sz w:val="18"/>
      </w:rPr>
    </w:pPr>
    <w:r>
      <w:t>GE.21-03633</w:t>
    </w:r>
    <w:r>
      <w:tab/>
    </w:r>
    <w:r w:rsidRPr="006E7127">
      <w:rPr>
        <w:b/>
        <w:sz w:val="18"/>
      </w:rPr>
      <w:fldChar w:fldCharType="begin"/>
    </w:r>
    <w:r w:rsidRPr="006E7127">
      <w:rPr>
        <w:b/>
        <w:sz w:val="18"/>
      </w:rPr>
      <w:instrText xml:space="preserve"> PAGE  \* MERGEFORMAT </w:instrText>
    </w:r>
    <w:r w:rsidRPr="006E7127">
      <w:rPr>
        <w:b/>
        <w:sz w:val="18"/>
      </w:rPr>
      <w:fldChar w:fldCharType="separate"/>
    </w:r>
    <w:r w:rsidRPr="006E7127">
      <w:rPr>
        <w:b/>
        <w:noProof/>
        <w:sz w:val="18"/>
      </w:rPr>
      <w:t>3</w:t>
    </w:r>
    <w:r w:rsidRPr="006E712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47645" w14:textId="18FA1DAB" w:rsidR="006E7127" w:rsidRPr="006E7127" w:rsidRDefault="006E7127" w:rsidP="006E7127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9107960" wp14:editId="2E1F6A9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21-03633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EA69C99" wp14:editId="32DD14F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080421    080421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C367B" w14:textId="77777777" w:rsidR="000F5699" w:rsidRPr="00AC3823" w:rsidRDefault="000F569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8DA7CA2" w14:textId="77777777" w:rsidR="000F5699" w:rsidRPr="00AC3823" w:rsidRDefault="000F569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8F25F3D" w14:textId="77777777" w:rsidR="000F5699" w:rsidRPr="00AC3823" w:rsidRDefault="000F5699">
      <w:pPr>
        <w:spacing w:line="240" w:lineRule="auto"/>
        <w:rPr>
          <w:sz w:val="2"/>
          <w:szCs w:val="2"/>
        </w:rPr>
      </w:pPr>
    </w:p>
  </w:footnote>
  <w:footnote w:id="2">
    <w:p w14:paraId="183C4B44" w14:textId="3A2B49EF" w:rsidR="007350A1" w:rsidRPr="00A94D3D" w:rsidRDefault="007350A1" w:rsidP="007350A1">
      <w:pPr>
        <w:pStyle w:val="Notedebasdepage"/>
        <w:rPr>
          <w:lang w:val="fr-FR"/>
        </w:rPr>
      </w:pPr>
      <w:r>
        <w:rPr>
          <w:lang w:val="fr-FR"/>
        </w:rPr>
        <w:tab/>
      </w:r>
      <w:r w:rsidRPr="00EA5DBE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2021 tel qu’il figure dans le projet de budget-programme pour 2021 (A/75/6 (</w:t>
      </w:r>
      <w:r w:rsidR="00EA5DBE">
        <w:rPr>
          <w:lang w:val="fr-FR"/>
        </w:rPr>
        <w:t>s</w:t>
      </w:r>
      <w:r>
        <w:rPr>
          <w:lang w:val="fr-FR"/>
        </w:rPr>
        <w:t>ect.</w:t>
      </w:r>
      <w:r w:rsidR="00EA5DBE">
        <w:rPr>
          <w:lang w:val="fr-FR"/>
        </w:rPr>
        <w:t> </w:t>
      </w:r>
      <w:r>
        <w:rPr>
          <w:lang w:val="fr-FR"/>
        </w:rPr>
        <w:t>20), par.</w:t>
      </w:r>
      <w:r w:rsidR="00EA5DBE">
        <w:rPr>
          <w:lang w:val="fr-FR"/>
        </w:rPr>
        <w:t> </w:t>
      </w:r>
      <w:r>
        <w:rPr>
          <w:lang w:val="fr-FR"/>
        </w:rPr>
        <w:t>20.51),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610F6" w14:textId="5ECA61F2" w:rsidR="006E7127" w:rsidRPr="006E7127" w:rsidRDefault="006E7127">
    <w:pPr>
      <w:pStyle w:val="En-tte"/>
    </w:pPr>
    <w:fldSimple w:instr=" TITLE  \* MERGEFORMAT ">
      <w:r>
        <w:t>ECE/TRANS/WP.29/GRPE/2021/15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C9D22" w14:textId="0B56B4DD" w:rsidR="006E7127" w:rsidRPr="006E7127" w:rsidRDefault="006E7127" w:rsidP="006E7127">
    <w:pPr>
      <w:pStyle w:val="En-tte"/>
      <w:jc w:val="right"/>
    </w:pPr>
    <w:fldSimple w:instr=" TITLE  \* MERGEFORMAT ">
      <w:r>
        <w:t>ECE/TRANS/WP.29/GRPE/2021/15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699"/>
    <w:rsid w:val="00017F94"/>
    <w:rsid w:val="00023842"/>
    <w:rsid w:val="000334F9"/>
    <w:rsid w:val="00045FEB"/>
    <w:rsid w:val="0007796D"/>
    <w:rsid w:val="000B7790"/>
    <w:rsid w:val="000F5699"/>
    <w:rsid w:val="00111F2F"/>
    <w:rsid w:val="0014365E"/>
    <w:rsid w:val="00143C66"/>
    <w:rsid w:val="00156D6A"/>
    <w:rsid w:val="00176178"/>
    <w:rsid w:val="001F525A"/>
    <w:rsid w:val="00201148"/>
    <w:rsid w:val="00223272"/>
    <w:rsid w:val="0024779E"/>
    <w:rsid w:val="00257168"/>
    <w:rsid w:val="002743EA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B4343"/>
    <w:rsid w:val="006E7127"/>
    <w:rsid w:val="0071601D"/>
    <w:rsid w:val="007350A1"/>
    <w:rsid w:val="007A62E6"/>
    <w:rsid w:val="007F20FA"/>
    <w:rsid w:val="0080684C"/>
    <w:rsid w:val="00814401"/>
    <w:rsid w:val="00871C75"/>
    <w:rsid w:val="008776DC"/>
    <w:rsid w:val="00883F95"/>
    <w:rsid w:val="008D5EF9"/>
    <w:rsid w:val="009446C0"/>
    <w:rsid w:val="009705C8"/>
    <w:rsid w:val="009C1CF4"/>
    <w:rsid w:val="009F6B74"/>
    <w:rsid w:val="00A3029F"/>
    <w:rsid w:val="00A30353"/>
    <w:rsid w:val="00AA5168"/>
    <w:rsid w:val="00AB5622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23B31"/>
    <w:rsid w:val="00C5566F"/>
    <w:rsid w:val="00C97039"/>
    <w:rsid w:val="00D3439C"/>
    <w:rsid w:val="00D7622E"/>
    <w:rsid w:val="00DB1831"/>
    <w:rsid w:val="00DD3BFD"/>
    <w:rsid w:val="00DE649D"/>
    <w:rsid w:val="00DF6678"/>
    <w:rsid w:val="00E0299A"/>
    <w:rsid w:val="00E85C74"/>
    <w:rsid w:val="00EA5DBE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512E5DD0"/>
  <w15:docId w15:val="{AB2915CF-C80C-4124-8306-1F9EF05D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7350A1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350A1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7350A1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533A93-EF34-422C-BCF8-224F05AB0680}"/>
</file>

<file path=customXml/itemProps2.xml><?xml version="1.0" encoding="utf-8"?>
<ds:datastoreItem xmlns:ds="http://schemas.openxmlformats.org/officeDocument/2006/customXml" ds:itemID="{5660E013-A2FE-411A-9750-971D298B3943}"/>
</file>

<file path=customXml/itemProps3.xml><?xml version="1.0" encoding="utf-8"?>
<ds:datastoreItem xmlns:ds="http://schemas.openxmlformats.org/officeDocument/2006/customXml" ds:itemID="{6550D5C0-C4F0-443E-A8EB-76B069702C4B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458</Words>
  <Characters>3210</Characters>
  <Application>Microsoft Office Word</Application>
  <DocSecurity>0</DocSecurity>
  <Lines>267</Lines>
  <Paragraphs>146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ECE/TRANS/WP.29/GRPE/2021/15</vt:lpstr>
    </vt:vector>
  </TitlesOfParts>
  <Company>DCM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ECE/TRANS/WP.29/GRPE/2021/15</dc:title>
  <dc:subject/>
  <dc:creator>Nathalie VITTOZ</dc:creator>
  <cp:keywords/>
  <cp:lastModifiedBy>Nathalie Vittoz</cp:lastModifiedBy>
  <cp:revision>2</cp:revision>
  <cp:lastPrinted>2014-05-14T10:59:00Z</cp:lastPrinted>
  <dcterms:created xsi:type="dcterms:W3CDTF">2021-04-08T06:47:00Z</dcterms:created>
  <dcterms:modified xsi:type="dcterms:W3CDTF">2021-04-08T06:47:00Z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