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D9C3EE4" w14:textId="77777777" w:rsidTr="00C97039">
        <w:trPr>
          <w:trHeight w:hRule="exact" w:val="851"/>
        </w:trPr>
        <w:tc>
          <w:tcPr>
            <w:tcW w:w="1276" w:type="dxa"/>
            <w:tcBorders>
              <w:bottom w:val="single" w:sz="4" w:space="0" w:color="auto"/>
            </w:tcBorders>
          </w:tcPr>
          <w:p w14:paraId="1F9A2B82" w14:textId="77777777" w:rsidR="00F35BAF" w:rsidRPr="00DB58B5" w:rsidRDefault="00F35BAF" w:rsidP="00E77AE2"/>
        </w:tc>
        <w:tc>
          <w:tcPr>
            <w:tcW w:w="2268" w:type="dxa"/>
            <w:tcBorders>
              <w:bottom w:val="single" w:sz="4" w:space="0" w:color="auto"/>
            </w:tcBorders>
            <w:vAlign w:val="bottom"/>
          </w:tcPr>
          <w:p w14:paraId="7883D4D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8857C6" w14:textId="77777777" w:rsidR="00F35BAF" w:rsidRPr="00DB58B5" w:rsidRDefault="00E77AE2" w:rsidP="00E77AE2">
            <w:pPr>
              <w:jc w:val="right"/>
            </w:pPr>
            <w:r w:rsidRPr="00E77AE2">
              <w:rPr>
                <w:sz w:val="40"/>
              </w:rPr>
              <w:t>ECE</w:t>
            </w:r>
            <w:r>
              <w:t>/TRANS/WP.29/GRPE/2021/13</w:t>
            </w:r>
          </w:p>
        </w:tc>
      </w:tr>
      <w:tr w:rsidR="00F35BAF" w:rsidRPr="00DB58B5" w14:paraId="0F0DF3D0" w14:textId="77777777" w:rsidTr="00C97039">
        <w:trPr>
          <w:trHeight w:hRule="exact" w:val="2835"/>
        </w:trPr>
        <w:tc>
          <w:tcPr>
            <w:tcW w:w="1276" w:type="dxa"/>
            <w:tcBorders>
              <w:top w:val="single" w:sz="4" w:space="0" w:color="auto"/>
              <w:bottom w:val="single" w:sz="12" w:space="0" w:color="auto"/>
            </w:tcBorders>
          </w:tcPr>
          <w:p w14:paraId="5E258353" w14:textId="77777777" w:rsidR="00F35BAF" w:rsidRPr="00DB58B5" w:rsidRDefault="00F35BAF" w:rsidP="00C97039">
            <w:pPr>
              <w:spacing w:before="120"/>
              <w:jc w:val="center"/>
            </w:pPr>
            <w:r>
              <w:rPr>
                <w:noProof/>
                <w:lang w:eastAsia="fr-CH"/>
              </w:rPr>
              <w:drawing>
                <wp:inline distT="0" distB="0" distL="0" distR="0" wp14:anchorId="26F756F4" wp14:editId="79CF92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2BE07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E4F22DB" w14:textId="77777777" w:rsidR="00F35BAF" w:rsidRDefault="00E77AE2" w:rsidP="00C97039">
            <w:pPr>
              <w:spacing w:before="240"/>
            </w:pPr>
            <w:proofErr w:type="spellStart"/>
            <w:r>
              <w:t>Distr</w:t>
            </w:r>
            <w:proofErr w:type="spellEnd"/>
            <w:r>
              <w:t>. générale</w:t>
            </w:r>
          </w:p>
          <w:p w14:paraId="0CF8D513" w14:textId="77777777" w:rsidR="00E77AE2" w:rsidRDefault="00E77AE2" w:rsidP="00E77AE2">
            <w:pPr>
              <w:spacing w:line="240" w:lineRule="exact"/>
            </w:pPr>
            <w:r>
              <w:t>17 mars 2021</w:t>
            </w:r>
          </w:p>
          <w:p w14:paraId="4112DF24" w14:textId="77777777" w:rsidR="00E77AE2" w:rsidRDefault="00E77AE2" w:rsidP="00E77AE2">
            <w:pPr>
              <w:spacing w:line="240" w:lineRule="exact"/>
            </w:pPr>
            <w:r>
              <w:t>Français</w:t>
            </w:r>
          </w:p>
          <w:p w14:paraId="0C074C7C" w14:textId="77777777" w:rsidR="00E77AE2" w:rsidRPr="00DB58B5" w:rsidRDefault="00E77AE2" w:rsidP="00E77AE2">
            <w:pPr>
              <w:spacing w:line="240" w:lineRule="exact"/>
            </w:pPr>
            <w:r>
              <w:t>Original : anglais</w:t>
            </w:r>
          </w:p>
        </w:tc>
      </w:tr>
    </w:tbl>
    <w:p w14:paraId="254F1FF9" w14:textId="77777777" w:rsidR="007F20FA" w:rsidRPr="000312C0" w:rsidRDefault="007F20FA" w:rsidP="007F20FA">
      <w:pPr>
        <w:spacing w:before="120"/>
        <w:rPr>
          <w:b/>
          <w:sz w:val="28"/>
          <w:szCs w:val="28"/>
        </w:rPr>
      </w:pPr>
      <w:r w:rsidRPr="000312C0">
        <w:rPr>
          <w:b/>
          <w:sz w:val="28"/>
          <w:szCs w:val="28"/>
        </w:rPr>
        <w:t>Commission économique pour l</w:t>
      </w:r>
      <w:r w:rsidR="00E77AE2">
        <w:rPr>
          <w:b/>
          <w:sz w:val="28"/>
          <w:szCs w:val="28"/>
        </w:rPr>
        <w:t>’</w:t>
      </w:r>
      <w:r w:rsidRPr="000312C0">
        <w:rPr>
          <w:b/>
          <w:sz w:val="28"/>
          <w:szCs w:val="28"/>
        </w:rPr>
        <w:t>Europe</w:t>
      </w:r>
    </w:p>
    <w:p w14:paraId="678A49C7" w14:textId="77777777" w:rsidR="007F20FA" w:rsidRDefault="007F20FA" w:rsidP="007F20FA">
      <w:pPr>
        <w:spacing w:before="120"/>
        <w:rPr>
          <w:sz w:val="28"/>
          <w:szCs w:val="28"/>
        </w:rPr>
      </w:pPr>
      <w:r w:rsidRPr="00685843">
        <w:rPr>
          <w:sz w:val="28"/>
          <w:szCs w:val="28"/>
        </w:rPr>
        <w:t>Comité des transports intérieurs</w:t>
      </w:r>
    </w:p>
    <w:p w14:paraId="3F3D4B95" w14:textId="77777777" w:rsidR="00E77AE2" w:rsidRPr="00636ECC" w:rsidRDefault="00E77AE2" w:rsidP="00E77AE2">
      <w:pPr>
        <w:tabs>
          <w:tab w:val="left" w:pos="567"/>
          <w:tab w:val="left" w:pos="1134"/>
        </w:tabs>
        <w:spacing w:before="120"/>
        <w:ind w:right="4677"/>
        <w:rPr>
          <w:rFonts w:eastAsia="MS Mincho"/>
          <w:sz w:val="28"/>
          <w:szCs w:val="28"/>
          <w:lang w:val="fr-FR"/>
        </w:rPr>
      </w:pPr>
      <w:r w:rsidRPr="00636ECC">
        <w:rPr>
          <w:b/>
          <w:bCs/>
          <w:sz w:val="24"/>
          <w:szCs w:val="24"/>
          <w:lang w:val="fr-FR"/>
        </w:rPr>
        <w:t>Forum mondial de l</w:t>
      </w:r>
      <w:r>
        <w:rPr>
          <w:b/>
          <w:bCs/>
          <w:sz w:val="24"/>
          <w:szCs w:val="24"/>
          <w:lang w:val="fr-FR"/>
        </w:rPr>
        <w:t>’</w:t>
      </w:r>
      <w:r w:rsidRPr="00636ECC">
        <w:rPr>
          <w:b/>
          <w:bCs/>
          <w:sz w:val="24"/>
          <w:szCs w:val="24"/>
          <w:lang w:val="fr-FR"/>
        </w:rPr>
        <w:t>harmonisation des Règlements concernant les véhicules</w:t>
      </w:r>
    </w:p>
    <w:p w14:paraId="2D89695F" w14:textId="77777777" w:rsidR="00E77AE2" w:rsidRPr="00636ECC" w:rsidRDefault="00E77AE2" w:rsidP="00E77AE2">
      <w:pPr>
        <w:tabs>
          <w:tab w:val="left" w:pos="567"/>
          <w:tab w:val="left" w:pos="1134"/>
        </w:tabs>
        <w:spacing w:before="120" w:after="120"/>
        <w:ind w:right="4677"/>
        <w:rPr>
          <w:rFonts w:eastAsia="MS Mincho"/>
          <w:b/>
          <w:bCs/>
          <w:lang w:val="fr-FR"/>
        </w:rPr>
      </w:pPr>
      <w:r w:rsidRPr="00636ECC">
        <w:rPr>
          <w:b/>
          <w:bCs/>
          <w:lang w:val="fr-FR"/>
        </w:rPr>
        <w:t>Groupe de travail de la pollution et de l</w:t>
      </w:r>
      <w:r>
        <w:rPr>
          <w:b/>
          <w:bCs/>
          <w:lang w:val="fr-FR"/>
        </w:rPr>
        <w:t>’</w:t>
      </w:r>
      <w:r w:rsidRPr="00636ECC">
        <w:rPr>
          <w:b/>
          <w:bCs/>
          <w:lang w:val="fr-FR"/>
        </w:rPr>
        <w:t>énergie</w:t>
      </w:r>
    </w:p>
    <w:p w14:paraId="0B9C3DFA" w14:textId="77777777" w:rsidR="00E77AE2" w:rsidRPr="00636ECC" w:rsidRDefault="00E77AE2" w:rsidP="00E77AE2">
      <w:pPr>
        <w:ind w:right="4677"/>
        <w:rPr>
          <w:b/>
          <w:lang w:val="fr-FR"/>
        </w:rPr>
      </w:pPr>
      <w:r w:rsidRPr="00636ECC">
        <w:rPr>
          <w:b/>
          <w:bCs/>
          <w:lang w:val="fr-FR"/>
        </w:rPr>
        <w:t>Quatre-vingt-troisième session</w:t>
      </w:r>
    </w:p>
    <w:p w14:paraId="040258D8" w14:textId="77777777" w:rsidR="00E77AE2" w:rsidRPr="00636ECC" w:rsidRDefault="00E77AE2" w:rsidP="00E77AE2">
      <w:pPr>
        <w:tabs>
          <w:tab w:val="left" w:pos="567"/>
          <w:tab w:val="left" w:pos="1134"/>
        </w:tabs>
        <w:ind w:right="4677"/>
        <w:rPr>
          <w:bCs/>
          <w:lang w:val="fr-FR"/>
        </w:rPr>
      </w:pPr>
      <w:r w:rsidRPr="00636ECC">
        <w:rPr>
          <w:lang w:val="fr-FR"/>
        </w:rPr>
        <w:t>Genève, 1</w:t>
      </w:r>
      <w:r w:rsidRPr="00636ECC">
        <w:rPr>
          <w:vertAlign w:val="superscript"/>
          <w:lang w:val="fr-FR"/>
        </w:rPr>
        <w:t>er</w:t>
      </w:r>
      <w:r w:rsidRPr="00636ECC">
        <w:rPr>
          <w:lang w:val="fr-FR"/>
        </w:rPr>
        <w:t>-4 juin 2021</w:t>
      </w:r>
    </w:p>
    <w:p w14:paraId="691712B5" w14:textId="77777777" w:rsidR="00E77AE2" w:rsidRPr="00636ECC" w:rsidRDefault="00E77AE2" w:rsidP="00E77AE2">
      <w:pPr>
        <w:tabs>
          <w:tab w:val="left" w:pos="567"/>
          <w:tab w:val="left" w:pos="1134"/>
        </w:tabs>
        <w:ind w:right="4677"/>
        <w:rPr>
          <w:bCs/>
          <w:lang w:val="fr-FR"/>
        </w:rPr>
      </w:pPr>
      <w:r w:rsidRPr="00636ECC">
        <w:rPr>
          <w:lang w:val="fr-FR"/>
        </w:rPr>
        <w:t>Point 4 a) de l</w:t>
      </w:r>
      <w:r>
        <w:rPr>
          <w:lang w:val="fr-FR"/>
        </w:rPr>
        <w:t>’</w:t>
      </w:r>
      <w:r w:rsidRPr="00636ECC">
        <w:rPr>
          <w:lang w:val="fr-FR"/>
        </w:rPr>
        <w:t>ordre du jour provisoire</w:t>
      </w:r>
    </w:p>
    <w:p w14:paraId="3535AB75" w14:textId="77777777" w:rsidR="00E77AE2" w:rsidRPr="00636ECC" w:rsidRDefault="00E77AE2" w:rsidP="00E77AE2">
      <w:pPr>
        <w:tabs>
          <w:tab w:val="left" w:pos="567"/>
          <w:tab w:val="left" w:pos="1134"/>
        </w:tabs>
        <w:ind w:right="4819"/>
        <w:rPr>
          <w:b/>
          <w:bCs/>
          <w:lang w:val="fr-FR"/>
        </w:rPr>
      </w:pPr>
      <w:r w:rsidRPr="00636ECC">
        <w:rPr>
          <w:b/>
          <w:bCs/>
          <w:lang w:val="fr-FR"/>
        </w:rPr>
        <w:t>Véhicules utilitaires lourds</w:t>
      </w:r>
      <w:r>
        <w:rPr>
          <w:b/>
          <w:bCs/>
          <w:lang w:val="fr-FR"/>
        </w:rPr>
        <w:t> :</w:t>
      </w:r>
      <w:r w:rsidRPr="00636ECC">
        <w:rPr>
          <w:b/>
          <w:bCs/>
          <w:lang w:val="fr-FR"/>
        </w:rPr>
        <w:t xml:space="preserve"> Règlements ONU n</w:t>
      </w:r>
      <w:r w:rsidRPr="00636ECC">
        <w:rPr>
          <w:b/>
          <w:bCs/>
          <w:vertAlign w:val="superscript"/>
          <w:lang w:val="fr-FR"/>
        </w:rPr>
        <w:t>os</w:t>
      </w:r>
      <w:r w:rsidRPr="00636ECC">
        <w:rPr>
          <w:b/>
          <w:bCs/>
          <w:lang w:val="fr-FR"/>
        </w:rPr>
        <w:t> 49 (Émissions des moteurs à allumage par compression et des moteurs à allumage commandé (GPL et GNC)) et 132 (Dispositifs antipollution de mise à niveau (DAM))</w:t>
      </w:r>
    </w:p>
    <w:p w14:paraId="66FF6B16" w14:textId="77777777" w:rsidR="00E77AE2" w:rsidRPr="00636ECC" w:rsidRDefault="00E77AE2" w:rsidP="00E77AE2">
      <w:pPr>
        <w:pStyle w:val="HChG"/>
        <w:rPr>
          <w:lang w:val="fr-FR"/>
        </w:rPr>
      </w:pPr>
      <w:bookmarkStart w:id="0" w:name="_Hlk66108778"/>
      <w:r>
        <w:rPr>
          <w:lang w:val="fr-FR"/>
        </w:rPr>
        <w:tab/>
      </w:r>
      <w:r>
        <w:rPr>
          <w:lang w:val="fr-FR"/>
        </w:rPr>
        <w:tab/>
      </w:r>
      <w:r w:rsidRPr="00636ECC">
        <w:rPr>
          <w:lang w:val="fr-FR"/>
        </w:rPr>
        <w:t>Proposition de nouveau complément à la série 05 d</w:t>
      </w:r>
      <w:r>
        <w:rPr>
          <w:lang w:val="fr-FR"/>
        </w:rPr>
        <w:t>’</w:t>
      </w:r>
      <w:r w:rsidRPr="00636ECC">
        <w:rPr>
          <w:lang w:val="fr-FR"/>
        </w:rPr>
        <w:t>amendements au Règlement ONU n</w:t>
      </w:r>
      <w:r w:rsidRPr="00636ECC">
        <w:rPr>
          <w:vertAlign w:val="superscript"/>
          <w:lang w:val="fr-FR"/>
        </w:rPr>
        <w:t>o</w:t>
      </w:r>
      <w:r w:rsidRPr="00636ECC">
        <w:rPr>
          <w:lang w:val="fr-FR"/>
        </w:rPr>
        <w:t> 49 (Émissions des moteurs à allumage par compression et des moteurs à allumage commandé (GPL et GNC))</w:t>
      </w:r>
    </w:p>
    <w:bookmarkEnd w:id="0"/>
    <w:p w14:paraId="6FBC250C" w14:textId="77777777" w:rsidR="00E77AE2" w:rsidRPr="00636ECC" w:rsidRDefault="00E77AE2" w:rsidP="00E77AE2">
      <w:pPr>
        <w:pStyle w:val="H1G"/>
        <w:rPr>
          <w:lang w:val="fr-FR"/>
        </w:rPr>
      </w:pPr>
      <w:r>
        <w:rPr>
          <w:lang w:val="fr-FR"/>
        </w:rPr>
        <w:tab/>
      </w:r>
      <w:r>
        <w:rPr>
          <w:lang w:val="fr-FR"/>
        </w:rPr>
        <w:tab/>
      </w:r>
      <w:r w:rsidRPr="00636ECC">
        <w:rPr>
          <w:lang w:val="fr-FR"/>
        </w:rPr>
        <w:t>Communication de l</w:t>
      </w:r>
      <w:r>
        <w:rPr>
          <w:lang w:val="fr-FR"/>
        </w:rPr>
        <w:t>’</w:t>
      </w:r>
      <w:r w:rsidRPr="00636ECC">
        <w:rPr>
          <w:lang w:val="fr-FR"/>
        </w:rPr>
        <w:t>expert de l</w:t>
      </w:r>
      <w:r>
        <w:rPr>
          <w:lang w:val="fr-FR"/>
        </w:rPr>
        <w:t>’</w:t>
      </w:r>
      <w:r w:rsidRPr="00636ECC">
        <w:rPr>
          <w:lang w:val="fr-FR"/>
        </w:rPr>
        <w:t>Organisation internationale des constructeurs d</w:t>
      </w:r>
      <w:r>
        <w:rPr>
          <w:lang w:val="fr-FR"/>
        </w:rPr>
        <w:t>’</w:t>
      </w:r>
      <w:r w:rsidRPr="00636ECC">
        <w:rPr>
          <w:lang w:val="fr-FR"/>
        </w:rPr>
        <w:t>automobiles</w:t>
      </w:r>
      <w:r w:rsidRPr="00E77AE2">
        <w:rPr>
          <w:b w:val="0"/>
          <w:bCs/>
          <w:sz w:val="20"/>
          <w:lang w:val="fr-FR"/>
        </w:rPr>
        <w:footnoteReference w:customMarkFollows="1" w:id="2"/>
        <w:t>*</w:t>
      </w:r>
    </w:p>
    <w:p w14:paraId="1FE63971" w14:textId="77777777" w:rsidR="00E77AE2" w:rsidRPr="00636ECC" w:rsidRDefault="00E77AE2" w:rsidP="00E77AE2">
      <w:pPr>
        <w:pStyle w:val="SingleTxtG"/>
        <w:rPr>
          <w:lang w:val="fr-FR"/>
        </w:rPr>
      </w:pPr>
      <w:r>
        <w:rPr>
          <w:lang w:val="fr-FR"/>
        </w:rPr>
        <w:tab/>
      </w:r>
      <w:r>
        <w:rPr>
          <w:lang w:val="fr-FR"/>
        </w:rPr>
        <w:tab/>
      </w:r>
      <w:r w:rsidRPr="00636ECC">
        <w:rPr>
          <w:lang w:val="fr-FR"/>
        </w:rPr>
        <w:t>Le texte ci-après a été établi par l</w:t>
      </w:r>
      <w:r>
        <w:rPr>
          <w:lang w:val="fr-FR"/>
        </w:rPr>
        <w:t>’</w:t>
      </w:r>
      <w:r w:rsidRPr="00636ECC">
        <w:rPr>
          <w:lang w:val="fr-FR"/>
        </w:rPr>
        <w:t>expert de l</w:t>
      </w:r>
      <w:r>
        <w:rPr>
          <w:lang w:val="fr-FR"/>
        </w:rPr>
        <w:t>’</w:t>
      </w:r>
      <w:r w:rsidRPr="00636ECC">
        <w:rPr>
          <w:lang w:val="fr-FR"/>
        </w:rPr>
        <w:t>Organisation internationale des constructeurs d</w:t>
      </w:r>
      <w:r>
        <w:rPr>
          <w:lang w:val="fr-FR"/>
        </w:rPr>
        <w:t>’</w:t>
      </w:r>
      <w:r w:rsidRPr="00636ECC">
        <w:rPr>
          <w:lang w:val="fr-FR"/>
        </w:rPr>
        <w:t>automobiles (OICA). Il y est proposé de corriger les dispositions énoncées dans le texte actuel de la série 05 d</w:t>
      </w:r>
      <w:r>
        <w:rPr>
          <w:lang w:val="fr-FR"/>
        </w:rPr>
        <w:t>’</w:t>
      </w:r>
      <w:r w:rsidRPr="00636ECC">
        <w:rPr>
          <w:lang w:val="fr-FR"/>
        </w:rPr>
        <w:t>amendements au Règlement ONU n</w:t>
      </w:r>
      <w:r w:rsidRPr="00636ECC">
        <w:rPr>
          <w:vertAlign w:val="superscript"/>
          <w:lang w:val="fr-FR"/>
        </w:rPr>
        <w:t>o</w:t>
      </w:r>
      <w:r w:rsidRPr="00636ECC">
        <w:rPr>
          <w:lang w:val="fr-FR"/>
        </w:rPr>
        <w:t> 49. Les modifications qu</w:t>
      </w:r>
      <w:r>
        <w:rPr>
          <w:lang w:val="fr-FR"/>
        </w:rPr>
        <w:t>’</w:t>
      </w:r>
      <w:r w:rsidRPr="00636ECC">
        <w:rPr>
          <w:lang w:val="fr-FR"/>
        </w:rPr>
        <w:t>il est proposé d</w:t>
      </w:r>
      <w:r>
        <w:rPr>
          <w:lang w:val="fr-FR"/>
        </w:rPr>
        <w:t>’</w:t>
      </w:r>
      <w:r w:rsidRPr="00636ECC">
        <w:rPr>
          <w:lang w:val="fr-FR"/>
        </w:rPr>
        <w:t>apporter au texte actuel du Règlement figurent en caractères gras pour les ajouts et biffés pour les suppressions.</w:t>
      </w:r>
    </w:p>
    <w:p w14:paraId="5E367619" w14:textId="77777777" w:rsidR="00E77AE2" w:rsidRPr="00636ECC" w:rsidRDefault="00E77AE2" w:rsidP="00E77AE2">
      <w:pPr>
        <w:suppressAutoHyphens w:val="0"/>
        <w:spacing w:line="240" w:lineRule="auto"/>
        <w:rPr>
          <w:rFonts w:ascii="LJLOIP+TimesNewRoman" w:hAnsi="LJLOIP+TimesNewRoman" w:cs="LJLOIP+TimesNewRoman"/>
          <w:b/>
          <w:bCs/>
          <w:color w:val="000000"/>
          <w:sz w:val="28"/>
          <w:szCs w:val="28"/>
          <w:lang w:val="fr-FR"/>
        </w:rPr>
      </w:pPr>
      <w:r w:rsidRPr="00636ECC">
        <w:rPr>
          <w:b/>
          <w:bCs/>
          <w:sz w:val="28"/>
          <w:szCs w:val="28"/>
          <w:lang w:val="fr-FR"/>
        </w:rPr>
        <w:br w:type="page"/>
      </w:r>
    </w:p>
    <w:p w14:paraId="6A5D72F3" w14:textId="77777777" w:rsidR="00E77AE2" w:rsidRPr="00636ECC" w:rsidRDefault="00E77AE2" w:rsidP="00E77AE2">
      <w:pPr>
        <w:pStyle w:val="HChG"/>
        <w:rPr>
          <w:lang w:val="fr-FR"/>
        </w:rPr>
      </w:pPr>
      <w:r w:rsidRPr="00636ECC">
        <w:rPr>
          <w:lang w:val="fr-FR"/>
        </w:rPr>
        <w:lastRenderedPageBreak/>
        <w:tab/>
        <w:t>I.</w:t>
      </w:r>
      <w:r w:rsidRPr="00636ECC">
        <w:rPr>
          <w:lang w:val="fr-FR"/>
        </w:rPr>
        <w:tab/>
      </w:r>
      <w:r w:rsidRPr="00636ECC">
        <w:rPr>
          <w:bCs/>
          <w:lang w:val="fr-FR"/>
        </w:rPr>
        <w:t>Proposition</w:t>
      </w:r>
      <w:r w:rsidRPr="00636ECC">
        <w:rPr>
          <w:lang w:val="fr-FR"/>
        </w:rPr>
        <w:t xml:space="preserve"> </w:t>
      </w:r>
    </w:p>
    <w:p w14:paraId="1E0FB443" w14:textId="77777777" w:rsidR="00E77AE2" w:rsidRPr="00E77AE2" w:rsidRDefault="00E77AE2" w:rsidP="00E77AE2">
      <w:pPr>
        <w:pStyle w:val="SingleTxtG"/>
        <w:rPr>
          <w:i/>
          <w:iCs/>
          <w:lang w:val="fr-FR"/>
        </w:rPr>
      </w:pPr>
      <w:r w:rsidRPr="00E77AE2">
        <w:rPr>
          <w:i/>
          <w:iCs/>
          <w:lang w:val="fr-FR"/>
        </w:rPr>
        <w:t>Annexe 4B</w:t>
      </w:r>
    </w:p>
    <w:p w14:paraId="5B833BF7" w14:textId="77777777" w:rsidR="00E77AE2" w:rsidRPr="00636ECC" w:rsidRDefault="00E77AE2" w:rsidP="00E77AE2">
      <w:pPr>
        <w:pStyle w:val="SingleTxtG"/>
        <w:rPr>
          <w:i/>
          <w:iCs/>
          <w:lang w:val="fr-FR"/>
        </w:rPr>
      </w:pPr>
      <w:r w:rsidRPr="00636ECC">
        <w:rPr>
          <w:i/>
          <w:iCs/>
          <w:lang w:val="fr-FR"/>
        </w:rPr>
        <w:t>Paragraphe 8.2,</w:t>
      </w:r>
      <w:r w:rsidRPr="00636ECC">
        <w:rPr>
          <w:lang w:val="fr-FR"/>
        </w:rPr>
        <w:t xml:space="preserve"> lire</w:t>
      </w:r>
      <w:r>
        <w:rPr>
          <w:lang w:val="fr-FR"/>
        </w:rPr>
        <w:t> :</w:t>
      </w:r>
    </w:p>
    <w:p w14:paraId="54A05376" w14:textId="77777777" w:rsidR="00E77AE2" w:rsidRPr="00636ECC" w:rsidRDefault="00E77AE2" w:rsidP="00E77AE2">
      <w:pPr>
        <w:pStyle w:val="SingleTxtG"/>
        <w:ind w:left="2268" w:hanging="1134"/>
        <w:rPr>
          <w:lang w:val="fr-FR"/>
        </w:rPr>
      </w:pPr>
      <w:r w:rsidRPr="00636ECC">
        <w:rPr>
          <w:lang w:val="fr-FR"/>
        </w:rPr>
        <w:t>« 8.2</w:t>
      </w:r>
      <w:r w:rsidRPr="00636ECC">
        <w:rPr>
          <w:lang w:val="fr-FR"/>
        </w:rPr>
        <w:tab/>
        <w:t xml:space="preserve">Correction des valeurs </w:t>
      </w:r>
      <w:r>
        <w:rPr>
          <w:lang w:val="fr-FR"/>
        </w:rPr>
        <w:t>de NO</w:t>
      </w:r>
      <w:r w:rsidRPr="00B0457C">
        <w:rPr>
          <w:vertAlign w:val="subscript"/>
          <w:lang w:val="fr-FR"/>
        </w:rPr>
        <w:t>x</w:t>
      </w:r>
      <w:r>
        <w:rPr>
          <w:lang w:val="fr-FR"/>
        </w:rPr>
        <w:t xml:space="preserve"> </w:t>
      </w:r>
      <w:r w:rsidRPr="00636ECC">
        <w:rPr>
          <w:lang w:val="fr-FR"/>
        </w:rPr>
        <w:t>pour l</w:t>
      </w:r>
      <w:r>
        <w:rPr>
          <w:lang w:val="fr-FR"/>
        </w:rPr>
        <w:t>’</w:t>
      </w:r>
      <w:r w:rsidRPr="00636ECC">
        <w:rPr>
          <w:lang w:val="fr-FR"/>
        </w:rPr>
        <w:t>humidité</w:t>
      </w:r>
    </w:p>
    <w:p w14:paraId="25AEC2D1" w14:textId="77777777" w:rsidR="00E77AE2" w:rsidRPr="00636ECC" w:rsidRDefault="00E77AE2" w:rsidP="00E77AE2">
      <w:pPr>
        <w:pStyle w:val="SingleTxtG"/>
        <w:ind w:left="2268"/>
        <w:rPr>
          <w:lang w:val="fr-FR"/>
        </w:rPr>
      </w:pPr>
      <w:r w:rsidRPr="009E70F8">
        <w:rPr>
          <w:lang w:val="fr-FR"/>
        </w:rPr>
        <w:t>Étant donné que les émissions d</w:t>
      </w:r>
      <w:r>
        <w:rPr>
          <w:lang w:val="fr-FR"/>
        </w:rPr>
        <w:t xml:space="preserve">e </w:t>
      </w:r>
      <w:r w:rsidRPr="009E70F8">
        <w:rPr>
          <w:lang w:val="fr-FR"/>
        </w:rPr>
        <w:t>NO</w:t>
      </w:r>
      <w:r w:rsidRPr="00B0457C">
        <w:rPr>
          <w:vertAlign w:val="subscript"/>
          <w:lang w:val="fr-FR"/>
        </w:rPr>
        <w:t>x</w:t>
      </w:r>
      <w:r w:rsidRPr="009E70F8">
        <w:rPr>
          <w:lang w:val="fr-FR"/>
        </w:rPr>
        <w:t xml:space="preserve"> dépendent des conditions atmosphériques ambiantes, les concentrations </w:t>
      </w:r>
      <w:bookmarkStart w:id="1" w:name="_Hlk67247302"/>
      <w:r w:rsidRPr="009E70F8">
        <w:rPr>
          <w:lang w:val="fr-FR"/>
        </w:rPr>
        <w:t>d</w:t>
      </w:r>
      <w:r>
        <w:rPr>
          <w:lang w:val="fr-FR"/>
        </w:rPr>
        <w:t xml:space="preserve">e </w:t>
      </w:r>
      <w:r w:rsidRPr="009E70F8">
        <w:rPr>
          <w:lang w:val="fr-FR"/>
        </w:rPr>
        <w:t>NO</w:t>
      </w:r>
      <w:r w:rsidRPr="00B0457C">
        <w:rPr>
          <w:vertAlign w:val="subscript"/>
          <w:lang w:val="fr-FR"/>
        </w:rPr>
        <w:t>x</w:t>
      </w:r>
      <w:r w:rsidRPr="009E70F8">
        <w:rPr>
          <w:lang w:val="fr-FR"/>
        </w:rPr>
        <w:t xml:space="preserve"> </w:t>
      </w:r>
      <w:bookmarkEnd w:id="1"/>
      <w:r w:rsidRPr="009E70F8">
        <w:rPr>
          <w:lang w:val="fr-FR"/>
        </w:rPr>
        <w:t>doivent être corrigées pour l</w:t>
      </w:r>
      <w:r>
        <w:rPr>
          <w:lang w:val="fr-FR"/>
        </w:rPr>
        <w:t>’</w:t>
      </w:r>
      <w:r w:rsidRPr="009E70F8">
        <w:rPr>
          <w:lang w:val="fr-FR"/>
        </w:rPr>
        <w:t>humidité avec les facteurs indiqués au paragraphe 8.2.1 ou 8.2.</w:t>
      </w:r>
      <w:r>
        <w:rPr>
          <w:lang w:val="fr-FR"/>
        </w:rPr>
        <w:t>2 ci</w:t>
      </w:r>
      <w:r>
        <w:rPr>
          <w:lang w:val="fr-FR"/>
        </w:rPr>
        <w:noBreakHyphen/>
      </w:r>
      <w:r>
        <w:rPr>
          <w:lang w:val="fr-FR"/>
        </w:rPr>
        <w:t>dessous</w:t>
      </w:r>
      <w:r w:rsidRPr="009E70F8">
        <w:rPr>
          <w:lang w:val="fr-FR"/>
        </w:rPr>
        <w:t>. L</w:t>
      </w:r>
      <w:r>
        <w:rPr>
          <w:lang w:val="fr-FR"/>
        </w:rPr>
        <w:t>’</w:t>
      </w:r>
      <w:r w:rsidRPr="009E70F8">
        <w:rPr>
          <w:lang w:val="fr-FR"/>
        </w:rPr>
        <w:t>humidité de l</w:t>
      </w:r>
      <w:r>
        <w:rPr>
          <w:lang w:val="fr-FR"/>
        </w:rPr>
        <w:t>’</w:t>
      </w:r>
      <w:r w:rsidRPr="009E70F8">
        <w:rPr>
          <w:lang w:val="fr-FR"/>
        </w:rPr>
        <w:t>air d</w:t>
      </w:r>
      <w:r>
        <w:rPr>
          <w:lang w:val="fr-FR"/>
        </w:rPr>
        <w:t>’</w:t>
      </w:r>
      <w:r w:rsidRPr="009E70F8">
        <w:rPr>
          <w:lang w:val="fr-FR"/>
        </w:rPr>
        <w:t>admission H</w:t>
      </w:r>
      <w:r w:rsidRPr="005E0D48">
        <w:rPr>
          <w:vertAlign w:val="subscript"/>
          <w:lang w:val="fr-FR"/>
        </w:rPr>
        <w:t>a</w:t>
      </w:r>
      <w:r w:rsidRPr="009E70F8">
        <w:rPr>
          <w:lang w:val="fr-FR"/>
        </w:rPr>
        <w:t xml:space="preserve"> peut être calculée à partir de la mesure de l</w:t>
      </w:r>
      <w:r>
        <w:rPr>
          <w:lang w:val="fr-FR"/>
        </w:rPr>
        <w:t>’</w:t>
      </w:r>
      <w:r w:rsidRPr="009E70F8">
        <w:rPr>
          <w:lang w:val="fr-FR"/>
        </w:rPr>
        <w:t>humidité relative, de la mesure du point de rosée, de la mesure de la pression de vapeur ou de la mesure par psychromètre, en appliquant les équations universellement acceptées</w:t>
      </w:r>
      <w:r w:rsidRPr="00636ECC">
        <w:rPr>
          <w:lang w:val="fr-FR"/>
        </w:rPr>
        <w:t>.</w:t>
      </w:r>
    </w:p>
    <w:p w14:paraId="3C748373" w14:textId="77777777" w:rsidR="00E77AE2" w:rsidRPr="00636ECC" w:rsidRDefault="00E77AE2" w:rsidP="00E77AE2">
      <w:pPr>
        <w:pStyle w:val="SingleTxtG"/>
        <w:ind w:left="2268"/>
        <w:rPr>
          <w:b/>
          <w:bCs/>
          <w:lang w:val="fr-FR"/>
        </w:rPr>
      </w:pPr>
      <w:r w:rsidRPr="00636ECC">
        <w:rPr>
          <w:b/>
          <w:bCs/>
          <w:lang w:val="fr-FR"/>
        </w:rPr>
        <w:t>Pour tous les calculs d</w:t>
      </w:r>
      <w:r>
        <w:rPr>
          <w:b/>
          <w:bCs/>
          <w:lang w:val="fr-FR"/>
        </w:rPr>
        <w:t>’</w:t>
      </w:r>
      <w:r w:rsidRPr="00636ECC">
        <w:rPr>
          <w:b/>
          <w:bCs/>
          <w:lang w:val="fr-FR"/>
        </w:rPr>
        <w:t>humidité (par exemple H</w:t>
      </w:r>
      <w:r w:rsidRPr="005E0D48">
        <w:rPr>
          <w:b/>
          <w:bCs/>
          <w:vertAlign w:val="subscript"/>
          <w:lang w:val="fr-FR"/>
        </w:rPr>
        <w:t>a</w:t>
      </w:r>
      <w:r w:rsidRPr="00636ECC">
        <w:rPr>
          <w:b/>
          <w:bCs/>
          <w:lang w:val="fr-FR"/>
        </w:rPr>
        <w:t xml:space="preserve"> ou </w:t>
      </w:r>
      <w:proofErr w:type="spellStart"/>
      <w:r w:rsidRPr="00636ECC">
        <w:rPr>
          <w:b/>
          <w:bCs/>
          <w:lang w:val="fr-FR"/>
        </w:rPr>
        <w:t>H</w:t>
      </w:r>
      <w:r w:rsidRPr="005E0D48">
        <w:rPr>
          <w:b/>
          <w:bCs/>
          <w:vertAlign w:val="subscript"/>
          <w:lang w:val="fr-FR"/>
        </w:rPr>
        <w:t>d</w:t>
      </w:r>
      <w:proofErr w:type="spellEnd"/>
      <w:r w:rsidRPr="00636ECC">
        <w:rPr>
          <w:b/>
          <w:bCs/>
          <w:lang w:val="fr-FR"/>
        </w:rPr>
        <w:t xml:space="preserve">) utilisant des équations </w:t>
      </w:r>
      <w:r w:rsidRPr="00946607">
        <w:rPr>
          <w:b/>
          <w:bCs/>
          <w:lang w:val="fr-FR"/>
        </w:rPr>
        <w:t>universellement acceptées</w:t>
      </w:r>
      <w:r w:rsidRPr="00636ECC">
        <w:rPr>
          <w:b/>
          <w:bCs/>
          <w:lang w:val="fr-FR"/>
        </w:rPr>
        <w:t>, la pression de vapeur saturante est requise.</w:t>
      </w:r>
      <w:r w:rsidRPr="00636ECC">
        <w:rPr>
          <w:lang w:val="fr-FR"/>
        </w:rPr>
        <w:t xml:space="preserve"> </w:t>
      </w:r>
      <w:r w:rsidRPr="00636ECC">
        <w:rPr>
          <w:b/>
          <w:bCs/>
          <w:lang w:val="fr-FR"/>
        </w:rPr>
        <w:t>Pour calculer la pression de vapeur saturante qui est en général fonction de la température (au point de mesure de l</w:t>
      </w:r>
      <w:r>
        <w:rPr>
          <w:b/>
          <w:bCs/>
          <w:lang w:val="fr-FR"/>
        </w:rPr>
        <w:t>’</w:t>
      </w:r>
      <w:r w:rsidRPr="00636ECC">
        <w:rPr>
          <w:b/>
          <w:bCs/>
          <w:lang w:val="fr-FR"/>
        </w:rPr>
        <w:t>humidité), il convient d</w:t>
      </w:r>
      <w:r>
        <w:rPr>
          <w:b/>
          <w:bCs/>
          <w:lang w:val="fr-FR"/>
        </w:rPr>
        <w:t>’</w:t>
      </w:r>
      <w:r w:rsidRPr="00636ECC">
        <w:rPr>
          <w:b/>
          <w:bCs/>
          <w:lang w:val="fr-FR"/>
        </w:rPr>
        <w:t>utiliser l</w:t>
      </w:r>
      <w:r>
        <w:rPr>
          <w:b/>
          <w:bCs/>
          <w:lang w:val="fr-FR"/>
        </w:rPr>
        <w:t>’</w:t>
      </w:r>
      <w:r w:rsidRPr="00636ECC">
        <w:rPr>
          <w:b/>
          <w:bCs/>
          <w:lang w:val="fr-FR"/>
        </w:rPr>
        <w:t>équation D.15 énoncée à l</w:t>
      </w:r>
      <w:r>
        <w:rPr>
          <w:b/>
          <w:bCs/>
          <w:lang w:val="fr-FR"/>
        </w:rPr>
        <w:t>’</w:t>
      </w:r>
      <w:r w:rsidRPr="00636ECC">
        <w:rPr>
          <w:b/>
          <w:bCs/>
          <w:lang w:val="fr-FR"/>
        </w:rPr>
        <w:t>annexe D de la norme ISO 8178-4.</w:t>
      </w:r>
      <w:r w:rsidRPr="00636ECC">
        <w:rPr>
          <w:lang w:val="fr-FR"/>
        </w:rPr>
        <w:t> ».</w:t>
      </w:r>
    </w:p>
    <w:p w14:paraId="5CE39D1B" w14:textId="77777777" w:rsidR="00E77AE2" w:rsidRPr="00636ECC" w:rsidRDefault="00E77AE2" w:rsidP="00E77AE2">
      <w:pPr>
        <w:pStyle w:val="SingleTxtG"/>
        <w:rPr>
          <w:i/>
          <w:iCs/>
          <w:lang w:val="fr-FR"/>
        </w:rPr>
      </w:pPr>
      <w:r w:rsidRPr="00636ECC">
        <w:rPr>
          <w:i/>
          <w:iCs/>
          <w:lang w:val="fr-FR"/>
        </w:rPr>
        <w:t>Champ d</w:t>
      </w:r>
      <w:r>
        <w:rPr>
          <w:i/>
          <w:iCs/>
          <w:lang w:val="fr-FR"/>
        </w:rPr>
        <w:t>’</w:t>
      </w:r>
      <w:r w:rsidRPr="00636ECC">
        <w:rPr>
          <w:i/>
          <w:iCs/>
          <w:lang w:val="fr-FR"/>
        </w:rPr>
        <w:t>application, paragraphe 9.2,</w:t>
      </w:r>
      <w:r w:rsidRPr="00636ECC">
        <w:rPr>
          <w:lang w:val="fr-FR"/>
        </w:rPr>
        <w:t xml:space="preserve"> lire</w:t>
      </w:r>
      <w:r>
        <w:rPr>
          <w:lang w:val="fr-FR"/>
        </w:rPr>
        <w:t> :</w:t>
      </w:r>
    </w:p>
    <w:p w14:paraId="230EF5D8" w14:textId="77777777" w:rsidR="00E77AE2" w:rsidRPr="00636ECC" w:rsidRDefault="00E77AE2" w:rsidP="00E77AE2">
      <w:pPr>
        <w:pStyle w:val="SingleTxtG"/>
        <w:ind w:left="2268" w:hanging="1134"/>
        <w:rPr>
          <w:lang w:val="fr-FR"/>
        </w:rPr>
      </w:pPr>
      <w:r w:rsidRPr="00636ECC">
        <w:rPr>
          <w:lang w:val="fr-FR"/>
        </w:rPr>
        <w:t>« 9.2</w:t>
      </w:r>
      <w:r w:rsidRPr="00636ECC">
        <w:rPr>
          <w:lang w:val="fr-FR"/>
        </w:rPr>
        <w:tab/>
      </w:r>
      <w:r w:rsidRPr="00946607">
        <w:rPr>
          <w:lang w:val="fr-FR"/>
        </w:rPr>
        <w:t xml:space="preserve">Conditions concernant </w:t>
      </w:r>
      <w:r>
        <w:rPr>
          <w:lang w:val="fr-FR"/>
        </w:rPr>
        <w:t xml:space="preserve">la </w:t>
      </w:r>
      <w:r w:rsidRPr="00636ECC">
        <w:rPr>
          <w:lang w:val="fr-FR"/>
        </w:rPr>
        <w:t>linéarité</w:t>
      </w:r>
    </w:p>
    <w:p w14:paraId="0FFA1B91" w14:textId="77777777" w:rsidR="00E77AE2" w:rsidRPr="00636ECC" w:rsidRDefault="00E77AE2" w:rsidP="00E77AE2">
      <w:pPr>
        <w:pStyle w:val="SingleTxtG"/>
        <w:ind w:left="2268"/>
        <w:rPr>
          <w:lang w:val="fr-FR"/>
        </w:rPr>
      </w:pPr>
      <w:r w:rsidRPr="00636ECC">
        <w:rPr>
          <w:lang w:val="fr-FR"/>
        </w:rPr>
        <w:t>...</w:t>
      </w:r>
    </w:p>
    <w:p w14:paraId="090030B8" w14:textId="77777777" w:rsidR="00E77AE2" w:rsidRPr="00636ECC" w:rsidRDefault="00E77AE2" w:rsidP="00F6390E">
      <w:pPr>
        <w:pStyle w:val="Titre1"/>
        <w:spacing w:after="120"/>
        <w:ind w:left="0"/>
        <w:rPr>
          <w:b/>
          <w:bCs/>
          <w:lang w:val="fr-FR"/>
        </w:rPr>
      </w:pPr>
      <w:r w:rsidRPr="00636ECC">
        <w:rPr>
          <w:lang w:val="fr-FR"/>
        </w:rPr>
        <w:t xml:space="preserve">Tableau 7 </w:t>
      </w:r>
      <w:r>
        <w:rPr>
          <w:lang w:val="fr-FR"/>
        </w:rPr>
        <w:br/>
      </w:r>
      <w:r w:rsidRPr="00B17A19">
        <w:rPr>
          <w:b/>
          <w:bCs/>
          <w:lang w:val="fr-FR"/>
        </w:rPr>
        <w:t>Conditions de linéarité s</w:t>
      </w:r>
      <w:r>
        <w:rPr>
          <w:b/>
          <w:bCs/>
          <w:lang w:val="fr-FR"/>
        </w:rPr>
        <w:t>’</w:t>
      </w:r>
      <w:r w:rsidRPr="00B17A19">
        <w:rPr>
          <w:b/>
          <w:bCs/>
          <w:lang w:val="fr-FR"/>
        </w:rPr>
        <w:t>appliquant aux instruments et systèmes de mesure</w:t>
      </w:r>
    </w:p>
    <w:tbl>
      <w:tblPr>
        <w:tblStyle w:val="Grilledutableau"/>
        <w:tblW w:w="9639" w:type="dxa"/>
        <w:tblLayout w:type="fixed"/>
        <w:tblLook w:val="04A0" w:firstRow="1" w:lastRow="0" w:firstColumn="1" w:lastColumn="0" w:noHBand="0" w:noVBand="1"/>
      </w:tblPr>
      <w:tblGrid>
        <w:gridCol w:w="2972"/>
        <w:gridCol w:w="1985"/>
        <w:gridCol w:w="1417"/>
        <w:gridCol w:w="1701"/>
        <w:gridCol w:w="1564"/>
      </w:tblGrid>
      <w:tr w:rsidR="00E77AE2" w:rsidRPr="00DD795E" w14:paraId="24E3EB33" w14:textId="77777777" w:rsidTr="00F6390E">
        <w:tc>
          <w:tcPr>
            <w:tcW w:w="2972" w:type="dxa"/>
            <w:vAlign w:val="center"/>
          </w:tcPr>
          <w:p w14:paraId="6759A84E" w14:textId="77777777" w:rsidR="00E77AE2" w:rsidRPr="00FD3E9D" w:rsidRDefault="00E77AE2" w:rsidP="00E77AE2">
            <w:pPr>
              <w:spacing w:before="80" w:after="80" w:line="200" w:lineRule="exact"/>
              <w:ind w:left="57" w:right="57"/>
              <w:jc w:val="center"/>
              <w:rPr>
                <w:i/>
                <w:sz w:val="16"/>
                <w:szCs w:val="16"/>
                <w:lang w:val="fr-FR"/>
              </w:rPr>
            </w:pPr>
            <w:r w:rsidRPr="00FD3E9D">
              <w:rPr>
                <w:i/>
                <w:sz w:val="16"/>
                <w:szCs w:val="16"/>
                <w:lang w:val="fr-FR"/>
              </w:rPr>
              <w:t>Système de mesure</w:t>
            </w:r>
          </w:p>
        </w:tc>
        <w:tc>
          <w:tcPr>
            <w:tcW w:w="1985" w:type="dxa"/>
            <w:vAlign w:val="center"/>
          </w:tcPr>
          <w:p w14:paraId="759AB1A4" w14:textId="77777777" w:rsidR="00E77AE2" w:rsidRPr="00FD3E9D" w:rsidRDefault="00E77AE2" w:rsidP="00E77AE2">
            <w:pPr>
              <w:spacing w:before="80" w:after="80" w:line="200" w:lineRule="exact"/>
              <w:jc w:val="center"/>
              <w:rPr>
                <w:i/>
                <w:sz w:val="16"/>
                <w:szCs w:val="16"/>
                <w:lang w:val="fr-FR"/>
              </w:rPr>
            </w:pPr>
            <w:r w:rsidRPr="00FD3E9D">
              <w:rPr>
                <w:i/>
                <w:position w:val="-10"/>
                <w:sz w:val="16"/>
                <w:szCs w:val="16"/>
                <w:lang w:val="fr-FR"/>
              </w:rPr>
              <w:object w:dxaOrig="1780" w:dyaOrig="300" w14:anchorId="2B26A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85.75pt;height:15.05pt" o:ole="">
                  <v:imagedata r:id="rId8" o:title=""/>
                </v:shape>
                <o:OLEObject Type="Embed" ProgID="Equation.3" ShapeID="_x0000_i1153" DrawAspect="Content" ObjectID="_1677994026" r:id="rId9"/>
              </w:object>
            </w:r>
          </w:p>
        </w:tc>
        <w:tc>
          <w:tcPr>
            <w:tcW w:w="1417" w:type="dxa"/>
            <w:vAlign w:val="center"/>
          </w:tcPr>
          <w:p w14:paraId="4A9DE3B4" w14:textId="77777777" w:rsidR="00E77AE2" w:rsidRPr="00FD3E9D" w:rsidRDefault="00E77AE2" w:rsidP="00E77AE2">
            <w:pPr>
              <w:spacing w:before="80" w:after="80" w:line="200" w:lineRule="exact"/>
              <w:ind w:left="57" w:right="57"/>
              <w:jc w:val="center"/>
              <w:rPr>
                <w:i/>
                <w:sz w:val="16"/>
                <w:szCs w:val="16"/>
                <w:lang w:val="fr-FR"/>
              </w:rPr>
            </w:pPr>
            <w:r w:rsidRPr="00FD3E9D">
              <w:rPr>
                <w:i/>
                <w:sz w:val="16"/>
                <w:szCs w:val="16"/>
                <w:lang w:val="fr-FR"/>
              </w:rPr>
              <w:t>Pente a</w:t>
            </w:r>
            <w:r w:rsidRPr="00FD3E9D">
              <w:rPr>
                <w:i/>
                <w:sz w:val="16"/>
                <w:szCs w:val="16"/>
                <w:vertAlign w:val="subscript"/>
                <w:lang w:val="fr-FR"/>
              </w:rPr>
              <w:t>1</w:t>
            </w:r>
          </w:p>
        </w:tc>
        <w:tc>
          <w:tcPr>
            <w:tcW w:w="1701" w:type="dxa"/>
            <w:vAlign w:val="center"/>
          </w:tcPr>
          <w:p w14:paraId="26354570" w14:textId="77777777" w:rsidR="00E77AE2" w:rsidRPr="00FD3E9D" w:rsidRDefault="00E77AE2" w:rsidP="00E77AE2">
            <w:pPr>
              <w:spacing w:before="80" w:after="80" w:line="200" w:lineRule="exact"/>
              <w:ind w:left="57" w:right="57"/>
              <w:jc w:val="center"/>
              <w:rPr>
                <w:i/>
                <w:sz w:val="16"/>
                <w:szCs w:val="16"/>
                <w:lang w:val="fr-FR"/>
              </w:rPr>
            </w:pPr>
            <w:r w:rsidRPr="00FD3E9D">
              <w:rPr>
                <w:i/>
                <w:sz w:val="16"/>
                <w:szCs w:val="16"/>
                <w:lang w:val="fr-FR"/>
              </w:rPr>
              <w:t>Erreur type SEE</w:t>
            </w:r>
          </w:p>
        </w:tc>
        <w:tc>
          <w:tcPr>
            <w:tcW w:w="1564" w:type="dxa"/>
            <w:vAlign w:val="center"/>
          </w:tcPr>
          <w:p w14:paraId="64B59361" w14:textId="77777777" w:rsidR="00E77AE2" w:rsidRPr="00FD3E9D" w:rsidRDefault="00E77AE2" w:rsidP="00E77AE2">
            <w:pPr>
              <w:spacing w:before="80" w:after="80" w:line="200" w:lineRule="exact"/>
              <w:ind w:left="57" w:right="57"/>
              <w:jc w:val="center"/>
              <w:rPr>
                <w:i/>
                <w:sz w:val="16"/>
                <w:szCs w:val="16"/>
                <w:lang w:val="fr-FR"/>
              </w:rPr>
            </w:pPr>
            <w:r w:rsidRPr="00FD3E9D">
              <w:rPr>
                <w:i/>
                <w:sz w:val="16"/>
                <w:szCs w:val="16"/>
                <w:lang w:val="fr-FR"/>
              </w:rPr>
              <w:t>Coefficient de détermination r</w:t>
            </w:r>
            <w:r w:rsidRPr="00FD3E9D">
              <w:rPr>
                <w:i/>
                <w:sz w:val="16"/>
                <w:szCs w:val="16"/>
                <w:vertAlign w:val="superscript"/>
                <w:lang w:val="fr-FR"/>
              </w:rPr>
              <w:t>2</w:t>
            </w:r>
          </w:p>
        </w:tc>
      </w:tr>
      <w:tr w:rsidR="00E77AE2" w:rsidRPr="00DD795E" w14:paraId="4879C879" w14:textId="77777777" w:rsidTr="00F6390E">
        <w:tc>
          <w:tcPr>
            <w:tcW w:w="2972" w:type="dxa"/>
          </w:tcPr>
          <w:p w14:paraId="56C2B9C6" w14:textId="77777777" w:rsidR="00E77AE2" w:rsidRPr="00DD795E" w:rsidRDefault="00E77AE2" w:rsidP="008E7CE9">
            <w:pPr>
              <w:spacing w:before="60" w:after="60"/>
              <w:ind w:left="57" w:right="57"/>
              <w:rPr>
                <w:sz w:val="18"/>
                <w:szCs w:val="18"/>
                <w:lang w:val="fr-FR"/>
              </w:rPr>
            </w:pPr>
            <w:r w:rsidRPr="00DD795E">
              <w:rPr>
                <w:sz w:val="18"/>
                <w:szCs w:val="18"/>
                <w:lang w:val="fr-FR"/>
              </w:rPr>
              <w:t>Régime moteur</w:t>
            </w:r>
          </w:p>
        </w:tc>
        <w:tc>
          <w:tcPr>
            <w:tcW w:w="1985" w:type="dxa"/>
          </w:tcPr>
          <w:p w14:paraId="075DCE41"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0,05 % max</w:t>
            </w:r>
          </w:p>
        </w:tc>
        <w:tc>
          <w:tcPr>
            <w:tcW w:w="1417" w:type="dxa"/>
          </w:tcPr>
          <w:p w14:paraId="34BE479D"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t xml:space="preserve">0,98 </w:t>
            </w:r>
            <w:r w:rsidRPr="00B0457C">
              <w:rPr>
                <w:sz w:val="18"/>
                <w:szCs w:val="18"/>
                <w:lang w:val="fr-FR"/>
              </w:rPr>
              <w:t>–</w:t>
            </w:r>
            <w:r w:rsidRPr="00DD795E">
              <w:rPr>
                <w:sz w:val="18"/>
                <w:szCs w:val="18"/>
                <w:lang w:val="fr-FR"/>
              </w:rPr>
              <w:t xml:space="preserve"> 1,02</w:t>
            </w:r>
          </w:p>
        </w:tc>
        <w:tc>
          <w:tcPr>
            <w:tcW w:w="1701" w:type="dxa"/>
          </w:tcPr>
          <w:p w14:paraId="02CE2E20"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2 % max</w:t>
            </w:r>
          </w:p>
        </w:tc>
        <w:tc>
          <w:tcPr>
            <w:tcW w:w="1564" w:type="dxa"/>
          </w:tcPr>
          <w:p w14:paraId="3ACC3E2B"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B3"/>
            </w:r>
            <w:r>
              <w:rPr>
                <w:sz w:val="18"/>
                <w:szCs w:val="18"/>
                <w:lang w:val="fr-FR"/>
              </w:rPr>
              <w:t> </w:t>
            </w:r>
            <w:r w:rsidRPr="00DD795E">
              <w:rPr>
                <w:sz w:val="18"/>
                <w:szCs w:val="18"/>
                <w:lang w:val="fr-FR"/>
              </w:rPr>
              <w:t>0,990</w:t>
            </w:r>
          </w:p>
        </w:tc>
      </w:tr>
      <w:tr w:rsidR="00E77AE2" w:rsidRPr="00DD795E" w14:paraId="738F82F1" w14:textId="77777777" w:rsidTr="00F6390E">
        <w:tc>
          <w:tcPr>
            <w:tcW w:w="2972" w:type="dxa"/>
          </w:tcPr>
          <w:p w14:paraId="030C9411" w14:textId="77777777" w:rsidR="00E77AE2" w:rsidRPr="00DD795E" w:rsidRDefault="00E77AE2" w:rsidP="008E7CE9">
            <w:pPr>
              <w:spacing w:before="60" w:after="60"/>
              <w:ind w:left="57" w:right="57"/>
              <w:rPr>
                <w:sz w:val="18"/>
                <w:szCs w:val="18"/>
                <w:lang w:val="fr-FR"/>
              </w:rPr>
            </w:pPr>
            <w:r w:rsidRPr="00DD795E">
              <w:rPr>
                <w:sz w:val="18"/>
                <w:szCs w:val="18"/>
                <w:lang w:val="fr-FR"/>
              </w:rPr>
              <w:t>Couple moteur</w:t>
            </w:r>
          </w:p>
        </w:tc>
        <w:tc>
          <w:tcPr>
            <w:tcW w:w="1985" w:type="dxa"/>
          </w:tcPr>
          <w:p w14:paraId="1498F5F1"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417" w:type="dxa"/>
          </w:tcPr>
          <w:p w14:paraId="4B1FE702"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t xml:space="preserve">0,98 </w:t>
            </w:r>
            <w:r w:rsidRPr="00B0457C">
              <w:rPr>
                <w:sz w:val="18"/>
                <w:szCs w:val="18"/>
                <w:lang w:val="fr-FR"/>
              </w:rPr>
              <w:t>–</w:t>
            </w:r>
            <w:r w:rsidRPr="00DD795E">
              <w:rPr>
                <w:sz w:val="18"/>
                <w:szCs w:val="18"/>
                <w:lang w:val="fr-FR"/>
              </w:rPr>
              <w:t xml:space="preserve"> 1,02</w:t>
            </w:r>
          </w:p>
        </w:tc>
        <w:tc>
          <w:tcPr>
            <w:tcW w:w="1701" w:type="dxa"/>
          </w:tcPr>
          <w:p w14:paraId="21EE1B02"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2 % max</w:t>
            </w:r>
          </w:p>
        </w:tc>
        <w:tc>
          <w:tcPr>
            <w:tcW w:w="1564" w:type="dxa"/>
          </w:tcPr>
          <w:p w14:paraId="468EE90D"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B3"/>
            </w:r>
            <w:r>
              <w:rPr>
                <w:sz w:val="18"/>
                <w:szCs w:val="18"/>
                <w:lang w:val="fr-FR"/>
              </w:rPr>
              <w:t> </w:t>
            </w:r>
            <w:r w:rsidRPr="00DD795E">
              <w:rPr>
                <w:sz w:val="18"/>
                <w:szCs w:val="18"/>
                <w:lang w:val="fr-FR"/>
              </w:rPr>
              <w:t>0,990</w:t>
            </w:r>
          </w:p>
        </w:tc>
      </w:tr>
      <w:tr w:rsidR="00E77AE2" w:rsidRPr="00DD795E" w14:paraId="3589A588" w14:textId="77777777" w:rsidTr="00F6390E">
        <w:tc>
          <w:tcPr>
            <w:tcW w:w="2972" w:type="dxa"/>
          </w:tcPr>
          <w:p w14:paraId="639F54FB" w14:textId="77777777" w:rsidR="00E77AE2" w:rsidRPr="00DD795E" w:rsidRDefault="00E77AE2" w:rsidP="008E7CE9">
            <w:pPr>
              <w:spacing w:before="60" w:after="60"/>
              <w:ind w:left="57" w:right="57"/>
              <w:rPr>
                <w:sz w:val="18"/>
                <w:szCs w:val="18"/>
                <w:lang w:val="fr-FR"/>
              </w:rPr>
            </w:pPr>
            <w:r w:rsidRPr="00DD795E">
              <w:rPr>
                <w:sz w:val="18"/>
                <w:szCs w:val="18"/>
                <w:lang w:val="fr-FR"/>
              </w:rPr>
              <w:t>Débit de carburant</w:t>
            </w:r>
          </w:p>
        </w:tc>
        <w:tc>
          <w:tcPr>
            <w:tcW w:w="1985" w:type="dxa"/>
          </w:tcPr>
          <w:p w14:paraId="728BFDB8"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417" w:type="dxa"/>
          </w:tcPr>
          <w:p w14:paraId="7F916231"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t xml:space="preserve">0,98 </w:t>
            </w:r>
            <w:r w:rsidRPr="00B0457C">
              <w:rPr>
                <w:sz w:val="18"/>
                <w:szCs w:val="18"/>
                <w:lang w:val="fr-FR"/>
              </w:rPr>
              <w:t>–</w:t>
            </w:r>
            <w:r w:rsidRPr="00DD795E">
              <w:rPr>
                <w:sz w:val="18"/>
                <w:szCs w:val="18"/>
                <w:lang w:val="fr-FR"/>
              </w:rPr>
              <w:t xml:space="preserve"> 1,02</w:t>
            </w:r>
          </w:p>
        </w:tc>
        <w:tc>
          <w:tcPr>
            <w:tcW w:w="1701" w:type="dxa"/>
          </w:tcPr>
          <w:p w14:paraId="0770F6CD"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2 % max</w:t>
            </w:r>
          </w:p>
        </w:tc>
        <w:tc>
          <w:tcPr>
            <w:tcW w:w="1564" w:type="dxa"/>
          </w:tcPr>
          <w:p w14:paraId="13B8D9D6"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B3"/>
            </w:r>
            <w:r>
              <w:rPr>
                <w:sz w:val="18"/>
                <w:szCs w:val="18"/>
                <w:lang w:val="fr-FR"/>
              </w:rPr>
              <w:t> </w:t>
            </w:r>
            <w:r w:rsidRPr="00DD795E">
              <w:rPr>
                <w:sz w:val="18"/>
                <w:szCs w:val="18"/>
                <w:lang w:val="fr-FR"/>
              </w:rPr>
              <w:t>0,990</w:t>
            </w:r>
          </w:p>
        </w:tc>
      </w:tr>
      <w:tr w:rsidR="00E77AE2" w:rsidRPr="00DD795E" w14:paraId="0BE5EF0A" w14:textId="77777777" w:rsidTr="00F6390E">
        <w:tc>
          <w:tcPr>
            <w:tcW w:w="2972" w:type="dxa"/>
          </w:tcPr>
          <w:p w14:paraId="7CA0347C" w14:textId="77777777" w:rsidR="00E77AE2" w:rsidRPr="00DD795E" w:rsidRDefault="00E77AE2" w:rsidP="008E7CE9">
            <w:pPr>
              <w:spacing w:before="60" w:after="60"/>
              <w:ind w:left="57" w:right="57"/>
              <w:rPr>
                <w:sz w:val="18"/>
                <w:szCs w:val="18"/>
                <w:lang w:val="fr-FR"/>
              </w:rPr>
            </w:pPr>
            <w:r w:rsidRPr="00DD795E">
              <w:rPr>
                <w:sz w:val="18"/>
                <w:szCs w:val="18"/>
                <w:lang w:val="fr-FR"/>
              </w:rPr>
              <w:t>Débit d</w:t>
            </w:r>
            <w:r>
              <w:rPr>
                <w:sz w:val="18"/>
                <w:szCs w:val="18"/>
                <w:lang w:val="fr-FR"/>
              </w:rPr>
              <w:t>’</w:t>
            </w:r>
            <w:r w:rsidRPr="00DD795E">
              <w:rPr>
                <w:sz w:val="18"/>
                <w:szCs w:val="18"/>
                <w:lang w:val="fr-FR"/>
              </w:rPr>
              <w:t>air</w:t>
            </w:r>
          </w:p>
        </w:tc>
        <w:tc>
          <w:tcPr>
            <w:tcW w:w="1985" w:type="dxa"/>
          </w:tcPr>
          <w:p w14:paraId="290A7056"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417" w:type="dxa"/>
          </w:tcPr>
          <w:p w14:paraId="10844D51"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t xml:space="preserve">0,98 </w:t>
            </w:r>
            <w:r w:rsidRPr="00B0457C">
              <w:rPr>
                <w:sz w:val="18"/>
                <w:szCs w:val="18"/>
                <w:lang w:val="fr-FR"/>
              </w:rPr>
              <w:t>–</w:t>
            </w:r>
            <w:r w:rsidRPr="00DD795E">
              <w:rPr>
                <w:sz w:val="18"/>
                <w:szCs w:val="18"/>
                <w:lang w:val="fr-FR"/>
              </w:rPr>
              <w:t xml:space="preserve"> 1,02</w:t>
            </w:r>
          </w:p>
        </w:tc>
        <w:tc>
          <w:tcPr>
            <w:tcW w:w="1701" w:type="dxa"/>
          </w:tcPr>
          <w:p w14:paraId="3E96C723"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2 % max</w:t>
            </w:r>
          </w:p>
        </w:tc>
        <w:tc>
          <w:tcPr>
            <w:tcW w:w="1564" w:type="dxa"/>
          </w:tcPr>
          <w:p w14:paraId="396251B9"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B3"/>
            </w:r>
            <w:r>
              <w:rPr>
                <w:sz w:val="18"/>
                <w:szCs w:val="18"/>
                <w:lang w:val="fr-FR"/>
              </w:rPr>
              <w:t> </w:t>
            </w:r>
            <w:r w:rsidRPr="00DD795E">
              <w:rPr>
                <w:sz w:val="18"/>
                <w:szCs w:val="18"/>
                <w:lang w:val="fr-FR"/>
              </w:rPr>
              <w:t>0,990</w:t>
            </w:r>
          </w:p>
        </w:tc>
      </w:tr>
      <w:tr w:rsidR="00E77AE2" w:rsidRPr="00DD795E" w14:paraId="1671B01F" w14:textId="77777777" w:rsidTr="00F6390E">
        <w:tc>
          <w:tcPr>
            <w:tcW w:w="2972" w:type="dxa"/>
          </w:tcPr>
          <w:p w14:paraId="0F101B64" w14:textId="77777777" w:rsidR="00E77AE2" w:rsidRPr="00DD795E" w:rsidRDefault="00E77AE2" w:rsidP="008E7CE9">
            <w:pPr>
              <w:spacing w:before="60" w:after="60"/>
              <w:ind w:left="57" w:right="57"/>
              <w:rPr>
                <w:sz w:val="18"/>
                <w:szCs w:val="18"/>
                <w:lang w:val="fr-FR"/>
              </w:rPr>
            </w:pPr>
            <w:r w:rsidRPr="00DD795E">
              <w:rPr>
                <w:sz w:val="18"/>
                <w:szCs w:val="18"/>
                <w:lang w:val="fr-FR"/>
              </w:rPr>
              <w:t xml:space="preserve">Débit </w:t>
            </w:r>
            <w:r w:rsidRPr="00DD795E">
              <w:rPr>
                <w:spacing w:val="-2"/>
                <w:sz w:val="18"/>
                <w:szCs w:val="18"/>
                <w:lang w:val="fr-FR"/>
              </w:rPr>
              <w:t>de gaz d</w:t>
            </w:r>
            <w:r>
              <w:rPr>
                <w:spacing w:val="-2"/>
                <w:sz w:val="18"/>
                <w:szCs w:val="18"/>
                <w:lang w:val="fr-FR"/>
              </w:rPr>
              <w:t>’</w:t>
            </w:r>
            <w:r w:rsidRPr="00DD795E">
              <w:rPr>
                <w:spacing w:val="-2"/>
                <w:sz w:val="18"/>
                <w:szCs w:val="18"/>
                <w:lang w:val="fr-FR"/>
              </w:rPr>
              <w:t>échappement</w:t>
            </w:r>
          </w:p>
        </w:tc>
        <w:tc>
          <w:tcPr>
            <w:tcW w:w="1985" w:type="dxa"/>
          </w:tcPr>
          <w:p w14:paraId="77F78D1D"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417" w:type="dxa"/>
          </w:tcPr>
          <w:p w14:paraId="6EED7DCE"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t xml:space="preserve">0,98 </w:t>
            </w:r>
            <w:r w:rsidRPr="00B0457C">
              <w:rPr>
                <w:sz w:val="18"/>
                <w:szCs w:val="18"/>
                <w:lang w:val="fr-FR"/>
              </w:rPr>
              <w:t>–</w:t>
            </w:r>
            <w:r w:rsidRPr="00DD795E">
              <w:rPr>
                <w:sz w:val="18"/>
                <w:szCs w:val="18"/>
                <w:lang w:val="fr-FR"/>
              </w:rPr>
              <w:t xml:space="preserve"> 1,02</w:t>
            </w:r>
          </w:p>
        </w:tc>
        <w:tc>
          <w:tcPr>
            <w:tcW w:w="1701" w:type="dxa"/>
          </w:tcPr>
          <w:p w14:paraId="280033CF"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2 % max</w:t>
            </w:r>
          </w:p>
        </w:tc>
        <w:tc>
          <w:tcPr>
            <w:tcW w:w="1564" w:type="dxa"/>
          </w:tcPr>
          <w:p w14:paraId="2AD05C4D"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B3"/>
            </w:r>
            <w:r>
              <w:rPr>
                <w:sz w:val="18"/>
                <w:szCs w:val="18"/>
                <w:lang w:val="fr-FR"/>
              </w:rPr>
              <w:t> </w:t>
            </w:r>
            <w:r w:rsidRPr="00DD795E">
              <w:rPr>
                <w:sz w:val="18"/>
                <w:szCs w:val="18"/>
                <w:lang w:val="fr-FR"/>
              </w:rPr>
              <w:t>0,990</w:t>
            </w:r>
          </w:p>
        </w:tc>
      </w:tr>
      <w:tr w:rsidR="00E77AE2" w:rsidRPr="00DD795E" w14:paraId="2D8FD239" w14:textId="77777777" w:rsidTr="00F6390E">
        <w:tc>
          <w:tcPr>
            <w:tcW w:w="2972" w:type="dxa"/>
          </w:tcPr>
          <w:p w14:paraId="227E46F1" w14:textId="77777777" w:rsidR="00E77AE2" w:rsidRPr="00DD795E" w:rsidRDefault="00E77AE2" w:rsidP="008E7CE9">
            <w:pPr>
              <w:spacing w:before="60" w:after="60"/>
              <w:ind w:left="57" w:right="57"/>
              <w:rPr>
                <w:sz w:val="18"/>
                <w:szCs w:val="18"/>
                <w:lang w:val="fr-FR"/>
              </w:rPr>
            </w:pPr>
            <w:r w:rsidRPr="00DD795E">
              <w:rPr>
                <w:sz w:val="18"/>
                <w:szCs w:val="18"/>
                <w:lang w:val="fr-FR"/>
              </w:rPr>
              <w:t>Débit du diluant</w:t>
            </w:r>
          </w:p>
        </w:tc>
        <w:tc>
          <w:tcPr>
            <w:tcW w:w="1985" w:type="dxa"/>
          </w:tcPr>
          <w:p w14:paraId="61744F6F"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417" w:type="dxa"/>
          </w:tcPr>
          <w:p w14:paraId="461844E4"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t xml:space="preserve">0,98 </w:t>
            </w:r>
            <w:r>
              <w:rPr>
                <w:sz w:val="18"/>
                <w:szCs w:val="18"/>
                <w:lang w:val="fr-FR"/>
              </w:rPr>
              <w:t>–</w:t>
            </w:r>
            <w:r w:rsidRPr="00DD795E">
              <w:rPr>
                <w:sz w:val="18"/>
                <w:szCs w:val="18"/>
                <w:lang w:val="fr-FR"/>
              </w:rPr>
              <w:t xml:space="preserve"> 1,02</w:t>
            </w:r>
          </w:p>
        </w:tc>
        <w:tc>
          <w:tcPr>
            <w:tcW w:w="1701" w:type="dxa"/>
          </w:tcPr>
          <w:p w14:paraId="2C17CA6D"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2 % max</w:t>
            </w:r>
          </w:p>
        </w:tc>
        <w:tc>
          <w:tcPr>
            <w:tcW w:w="1564" w:type="dxa"/>
          </w:tcPr>
          <w:p w14:paraId="27BD8B25"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B3"/>
            </w:r>
            <w:r>
              <w:rPr>
                <w:sz w:val="18"/>
                <w:szCs w:val="18"/>
                <w:lang w:val="fr-FR"/>
              </w:rPr>
              <w:t> </w:t>
            </w:r>
            <w:r w:rsidRPr="00DD795E">
              <w:rPr>
                <w:sz w:val="18"/>
                <w:szCs w:val="18"/>
                <w:lang w:val="fr-FR"/>
              </w:rPr>
              <w:t>0,990</w:t>
            </w:r>
          </w:p>
        </w:tc>
      </w:tr>
      <w:tr w:rsidR="00E77AE2" w:rsidRPr="00DD795E" w14:paraId="0B4F3754" w14:textId="77777777" w:rsidTr="00F6390E">
        <w:tc>
          <w:tcPr>
            <w:tcW w:w="2972" w:type="dxa"/>
          </w:tcPr>
          <w:p w14:paraId="0180AF00" w14:textId="77777777" w:rsidR="00E77AE2" w:rsidRPr="00DD795E" w:rsidRDefault="00E77AE2" w:rsidP="008E7CE9">
            <w:pPr>
              <w:spacing w:before="60" w:after="60"/>
              <w:ind w:left="57" w:right="57"/>
              <w:rPr>
                <w:spacing w:val="-4"/>
                <w:sz w:val="18"/>
                <w:szCs w:val="18"/>
                <w:lang w:val="fr-FR"/>
              </w:rPr>
            </w:pPr>
            <w:r w:rsidRPr="00DD795E">
              <w:rPr>
                <w:spacing w:val="-4"/>
                <w:sz w:val="18"/>
                <w:szCs w:val="18"/>
                <w:lang w:val="fr-FR"/>
              </w:rPr>
              <w:t>Débit de gaz d</w:t>
            </w:r>
            <w:r>
              <w:rPr>
                <w:spacing w:val="-4"/>
                <w:sz w:val="18"/>
                <w:szCs w:val="18"/>
                <w:lang w:val="fr-FR"/>
              </w:rPr>
              <w:t>’</w:t>
            </w:r>
            <w:r w:rsidRPr="00DD795E">
              <w:rPr>
                <w:spacing w:val="-4"/>
                <w:sz w:val="18"/>
                <w:szCs w:val="18"/>
                <w:lang w:val="fr-FR"/>
              </w:rPr>
              <w:t>échappement dilués</w:t>
            </w:r>
          </w:p>
        </w:tc>
        <w:tc>
          <w:tcPr>
            <w:tcW w:w="1985" w:type="dxa"/>
          </w:tcPr>
          <w:p w14:paraId="40C641C1"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417" w:type="dxa"/>
          </w:tcPr>
          <w:p w14:paraId="10D57025"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t xml:space="preserve">0,98 </w:t>
            </w:r>
            <w:r w:rsidRPr="00B0457C">
              <w:rPr>
                <w:sz w:val="18"/>
                <w:szCs w:val="18"/>
                <w:lang w:val="fr-FR"/>
              </w:rPr>
              <w:t>–</w:t>
            </w:r>
            <w:r w:rsidRPr="00DD795E">
              <w:rPr>
                <w:sz w:val="18"/>
                <w:szCs w:val="18"/>
                <w:lang w:val="fr-FR"/>
              </w:rPr>
              <w:t xml:space="preserve"> 1,02</w:t>
            </w:r>
          </w:p>
        </w:tc>
        <w:tc>
          <w:tcPr>
            <w:tcW w:w="1701" w:type="dxa"/>
          </w:tcPr>
          <w:p w14:paraId="673BF103"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2 % max</w:t>
            </w:r>
          </w:p>
        </w:tc>
        <w:tc>
          <w:tcPr>
            <w:tcW w:w="1564" w:type="dxa"/>
          </w:tcPr>
          <w:p w14:paraId="0199FB6D"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B3"/>
            </w:r>
            <w:r>
              <w:rPr>
                <w:sz w:val="18"/>
                <w:szCs w:val="18"/>
                <w:lang w:val="fr-FR"/>
              </w:rPr>
              <w:t> </w:t>
            </w:r>
            <w:r w:rsidRPr="00DD795E">
              <w:rPr>
                <w:sz w:val="18"/>
                <w:szCs w:val="18"/>
                <w:lang w:val="fr-FR"/>
              </w:rPr>
              <w:t>0,990</w:t>
            </w:r>
          </w:p>
        </w:tc>
      </w:tr>
      <w:tr w:rsidR="00E77AE2" w:rsidRPr="00DD795E" w14:paraId="5997CBD1" w14:textId="77777777" w:rsidTr="00F6390E">
        <w:tc>
          <w:tcPr>
            <w:tcW w:w="2972" w:type="dxa"/>
          </w:tcPr>
          <w:p w14:paraId="790A43DE" w14:textId="77777777" w:rsidR="00E77AE2" w:rsidRPr="00DD795E" w:rsidRDefault="00E77AE2" w:rsidP="008E7CE9">
            <w:pPr>
              <w:spacing w:before="60" w:after="60"/>
              <w:ind w:left="57" w:right="57"/>
              <w:rPr>
                <w:sz w:val="18"/>
                <w:szCs w:val="18"/>
                <w:lang w:val="fr-FR"/>
              </w:rPr>
            </w:pPr>
            <w:r w:rsidRPr="00DD795E">
              <w:rPr>
                <w:sz w:val="18"/>
                <w:szCs w:val="18"/>
                <w:lang w:val="fr-FR"/>
              </w:rPr>
              <w:t>Débit de prélèvement</w:t>
            </w:r>
          </w:p>
        </w:tc>
        <w:tc>
          <w:tcPr>
            <w:tcW w:w="1985" w:type="dxa"/>
          </w:tcPr>
          <w:p w14:paraId="19DA8364"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417" w:type="dxa"/>
          </w:tcPr>
          <w:p w14:paraId="6EEF4634"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t xml:space="preserve">0,98 </w:t>
            </w:r>
            <w:r w:rsidRPr="00B0457C">
              <w:rPr>
                <w:sz w:val="18"/>
                <w:szCs w:val="18"/>
                <w:lang w:val="fr-FR"/>
              </w:rPr>
              <w:t>–</w:t>
            </w:r>
            <w:r w:rsidRPr="00DD795E">
              <w:rPr>
                <w:sz w:val="18"/>
                <w:szCs w:val="18"/>
                <w:lang w:val="fr-FR"/>
              </w:rPr>
              <w:t xml:space="preserve"> 1,02</w:t>
            </w:r>
          </w:p>
        </w:tc>
        <w:tc>
          <w:tcPr>
            <w:tcW w:w="1701" w:type="dxa"/>
          </w:tcPr>
          <w:p w14:paraId="6C651F8A"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2 % max</w:t>
            </w:r>
          </w:p>
        </w:tc>
        <w:tc>
          <w:tcPr>
            <w:tcW w:w="1564" w:type="dxa"/>
          </w:tcPr>
          <w:p w14:paraId="7E77EBA3"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B3"/>
            </w:r>
            <w:r>
              <w:rPr>
                <w:sz w:val="18"/>
                <w:szCs w:val="18"/>
                <w:lang w:val="fr-FR"/>
              </w:rPr>
              <w:t> </w:t>
            </w:r>
            <w:r w:rsidRPr="00DD795E">
              <w:rPr>
                <w:sz w:val="18"/>
                <w:szCs w:val="18"/>
                <w:lang w:val="fr-FR"/>
              </w:rPr>
              <w:t>0,990</w:t>
            </w:r>
          </w:p>
        </w:tc>
      </w:tr>
      <w:tr w:rsidR="00E77AE2" w:rsidRPr="00DD795E" w14:paraId="2914475F" w14:textId="77777777" w:rsidTr="00F6390E">
        <w:tc>
          <w:tcPr>
            <w:tcW w:w="2972" w:type="dxa"/>
          </w:tcPr>
          <w:p w14:paraId="2F72F7A7" w14:textId="77777777" w:rsidR="00E77AE2" w:rsidRPr="00DD795E" w:rsidRDefault="00E77AE2" w:rsidP="008E7CE9">
            <w:pPr>
              <w:spacing w:before="60" w:after="60"/>
              <w:ind w:left="57" w:right="57"/>
              <w:rPr>
                <w:sz w:val="18"/>
                <w:szCs w:val="18"/>
                <w:lang w:val="fr-FR"/>
              </w:rPr>
            </w:pPr>
            <w:r w:rsidRPr="00DD795E">
              <w:rPr>
                <w:sz w:val="18"/>
                <w:szCs w:val="18"/>
                <w:lang w:val="fr-FR"/>
              </w:rPr>
              <w:t>Analyseurs de gaz</w:t>
            </w:r>
          </w:p>
        </w:tc>
        <w:tc>
          <w:tcPr>
            <w:tcW w:w="1985" w:type="dxa"/>
          </w:tcPr>
          <w:p w14:paraId="68939CA1"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0,5 % max</w:t>
            </w:r>
          </w:p>
        </w:tc>
        <w:tc>
          <w:tcPr>
            <w:tcW w:w="1417" w:type="dxa"/>
          </w:tcPr>
          <w:p w14:paraId="01ECB9F6"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t xml:space="preserve">0,99 </w:t>
            </w:r>
            <w:r w:rsidRPr="00B0457C">
              <w:rPr>
                <w:sz w:val="18"/>
                <w:szCs w:val="18"/>
                <w:lang w:val="fr-FR"/>
              </w:rPr>
              <w:t>–</w:t>
            </w:r>
            <w:r w:rsidRPr="00DD795E">
              <w:rPr>
                <w:sz w:val="18"/>
                <w:szCs w:val="18"/>
                <w:lang w:val="fr-FR"/>
              </w:rPr>
              <w:t xml:space="preserve"> 1,01</w:t>
            </w:r>
          </w:p>
        </w:tc>
        <w:tc>
          <w:tcPr>
            <w:tcW w:w="1701" w:type="dxa"/>
          </w:tcPr>
          <w:p w14:paraId="71A6D44D"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564" w:type="dxa"/>
          </w:tcPr>
          <w:p w14:paraId="282B882F"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B3"/>
            </w:r>
            <w:r>
              <w:rPr>
                <w:sz w:val="18"/>
                <w:szCs w:val="18"/>
                <w:lang w:val="fr-FR"/>
              </w:rPr>
              <w:t> </w:t>
            </w:r>
            <w:r w:rsidRPr="00DD795E">
              <w:rPr>
                <w:sz w:val="18"/>
                <w:szCs w:val="18"/>
                <w:lang w:val="fr-FR"/>
              </w:rPr>
              <w:t>0,998</w:t>
            </w:r>
          </w:p>
        </w:tc>
      </w:tr>
      <w:tr w:rsidR="00E77AE2" w:rsidRPr="00DD795E" w14:paraId="06DF1FAC" w14:textId="77777777" w:rsidTr="00F6390E">
        <w:tc>
          <w:tcPr>
            <w:tcW w:w="2972" w:type="dxa"/>
          </w:tcPr>
          <w:p w14:paraId="0A02C841" w14:textId="77777777" w:rsidR="00E77AE2" w:rsidRPr="00DD795E" w:rsidRDefault="00E77AE2" w:rsidP="008E7CE9">
            <w:pPr>
              <w:spacing w:before="60" w:after="60"/>
              <w:ind w:left="57" w:right="57"/>
              <w:rPr>
                <w:sz w:val="18"/>
                <w:szCs w:val="18"/>
                <w:lang w:val="fr-FR"/>
              </w:rPr>
            </w:pPr>
            <w:r w:rsidRPr="00DD795E">
              <w:rPr>
                <w:sz w:val="18"/>
                <w:szCs w:val="18"/>
                <w:lang w:val="fr-FR"/>
              </w:rPr>
              <w:t>Mélangeurs-doseurs de</w:t>
            </w:r>
            <w:r>
              <w:rPr>
                <w:sz w:val="18"/>
                <w:szCs w:val="18"/>
                <w:lang w:val="fr-FR"/>
              </w:rPr>
              <w:t> </w:t>
            </w:r>
            <w:r w:rsidRPr="00DD795E">
              <w:rPr>
                <w:sz w:val="18"/>
                <w:szCs w:val="18"/>
                <w:lang w:val="fr-FR"/>
              </w:rPr>
              <w:t>gaz</w:t>
            </w:r>
          </w:p>
        </w:tc>
        <w:tc>
          <w:tcPr>
            <w:tcW w:w="1985" w:type="dxa"/>
          </w:tcPr>
          <w:p w14:paraId="27C916B1"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0,5 % max</w:t>
            </w:r>
          </w:p>
        </w:tc>
        <w:tc>
          <w:tcPr>
            <w:tcW w:w="1417" w:type="dxa"/>
          </w:tcPr>
          <w:p w14:paraId="68785D2A"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t xml:space="preserve">0,98 </w:t>
            </w:r>
            <w:r w:rsidRPr="00B0457C">
              <w:rPr>
                <w:sz w:val="18"/>
                <w:szCs w:val="18"/>
                <w:lang w:val="fr-FR"/>
              </w:rPr>
              <w:t>–</w:t>
            </w:r>
            <w:r w:rsidRPr="00DD795E">
              <w:rPr>
                <w:sz w:val="18"/>
                <w:szCs w:val="18"/>
                <w:lang w:val="fr-FR"/>
              </w:rPr>
              <w:t xml:space="preserve"> 1,02</w:t>
            </w:r>
          </w:p>
        </w:tc>
        <w:tc>
          <w:tcPr>
            <w:tcW w:w="1701" w:type="dxa"/>
          </w:tcPr>
          <w:p w14:paraId="6C9AFE6E"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2 % max</w:t>
            </w:r>
          </w:p>
        </w:tc>
        <w:tc>
          <w:tcPr>
            <w:tcW w:w="1564" w:type="dxa"/>
          </w:tcPr>
          <w:p w14:paraId="111FAA90"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B3"/>
            </w:r>
            <w:r>
              <w:rPr>
                <w:sz w:val="18"/>
                <w:szCs w:val="18"/>
                <w:lang w:val="fr-FR"/>
              </w:rPr>
              <w:t> </w:t>
            </w:r>
            <w:r w:rsidRPr="00DD795E">
              <w:rPr>
                <w:sz w:val="18"/>
                <w:szCs w:val="18"/>
                <w:lang w:val="fr-FR"/>
              </w:rPr>
              <w:t>0,990</w:t>
            </w:r>
          </w:p>
        </w:tc>
      </w:tr>
      <w:tr w:rsidR="00E77AE2" w:rsidRPr="00DD795E" w14:paraId="012C4A14" w14:textId="77777777" w:rsidTr="00F6390E">
        <w:tc>
          <w:tcPr>
            <w:tcW w:w="2972" w:type="dxa"/>
          </w:tcPr>
          <w:p w14:paraId="38CEB64B" w14:textId="77777777" w:rsidR="00E77AE2" w:rsidRPr="00DD795E" w:rsidRDefault="00E77AE2" w:rsidP="008E7CE9">
            <w:pPr>
              <w:spacing w:before="60" w:after="60"/>
              <w:ind w:left="57" w:right="57"/>
              <w:rPr>
                <w:sz w:val="18"/>
                <w:szCs w:val="18"/>
                <w:lang w:val="fr-FR"/>
              </w:rPr>
            </w:pPr>
            <w:r w:rsidRPr="00DD795E">
              <w:rPr>
                <w:sz w:val="18"/>
                <w:szCs w:val="18"/>
                <w:lang w:val="fr-FR"/>
              </w:rPr>
              <w:t>Températures</w:t>
            </w:r>
          </w:p>
        </w:tc>
        <w:tc>
          <w:tcPr>
            <w:tcW w:w="1985" w:type="dxa"/>
          </w:tcPr>
          <w:p w14:paraId="6D34268C"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417" w:type="dxa"/>
          </w:tcPr>
          <w:p w14:paraId="04B7B7C2"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t xml:space="preserve">0,99 </w:t>
            </w:r>
            <w:r w:rsidRPr="00B0457C">
              <w:rPr>
                <w:sz w:val="18"/>
                <w:szCs w:val="18"/>
                <w:lang w:val="fr-FR"/>
              </w:rPr>
              <w:t>–</w:t>
            </w:r>
            <w:r w:rsidRPr="00DD795E">
              <w:rPr>
                <w:sz w:val="18"/>
                <w:szCs w:val="18"/>
                <w:lang w:val="fr-FR"/>
              </w:rPr>
              <w:t xml:space="preserve"> 1,01</w:t>
            </w:r>
          </w:p>
        </w:tc>
        <w:tc>
          <w:tcPr>
            <w:tcW w:w="1701" w:type="dxa"/>
          </w:tcPr>
          <w:p w14:paraId="17113A5D"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564" w:type="dxa"/>
          </w:tcPr>
          <w:p w14:paraId="0AF8ADB2"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B3"/>
            </w:r>
            <w:r>
              <w:rPr>
                <w:sz w:val="18"/>
                <w:szCs w:val="18"/>
                <w:lang w:val="fr-FR"/>
              </w:rPr>
              <w:t> </w:t>
            </w:r>
            <w:r w:rsidRPr="00DD795E">
              <w:rPr>
                <w:sz w:val="18"/>
                <w:szCs w:val="18"/>
                <w:lang w:val="fr-FR"/>
              </w:rPr>
              <w:t>0,998</w:t>
            </w:r>
          </w:p>
        </w:tc>
      </w:tr>
      <w:tr w:rsidR="00E77AE2" w:rsidRPr="00DD795E" w14:paraId="79D996C1" w14:textId="77777777" w:rsidTr="00F6390E">
        <w:tc>
          <w:tcPr>
            <w:tcW w:w="2972" w:type="dxa"/>
          </w:tcPr>
          <w:p w14:paraId="1B228E86" w14:textId="77777777" w:rsidR="00E77AE2" w:rsidRPr="00DD795E" w:rsidRDefault="00E77AE2" w:rsidP="008E7CE9">
            <w:pPr>
              <w:spacing w:before="60" w:after="60"/>
              <w:ind w:left="57" w:right="57"/>
              <w:rPr>
                <w:sz w:val="18"/>
                <w:szCs w:val="18"/>
                <w:lang w:val="fr-FR"/>
              </w:rPr>
            </w:pPr>
            <w:r w:rsidRPr="00DD795E">
              <w:rPr>
                <w:sz w:val="18"/>
                <w:szCs w:val="18"/>
                <w:lang w:val="fr-FR"/>
              </w:rPr>
              <w:t>Pressions</w:t>
            </w:r>
          </w:p>
        </w:tc>
        <w:tc>
          <w:tcPr>
            <w:tcW w:w="1985" w:type="dxa"/>
          </w:tcPr>
          <w:p w14:paraId="17C2796F"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417" w:type="dxa"/>
          </w:tcPr>
          <w:p w14:paraId="1AB952A2"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t xml:space="preserve">0,99 </w:t>
            </w:r>
            <w:r w:rsidRPr="00B0457C">
              <w:rPr>
                <w:sz w:val="18"/>
                <w:szCs w:val="18"/>
                <w:lang w:val="fr-FR"/>
              </w:rPr>
              <w:t>–</w:t>
            </w:r>
            <w:r w:rsidRPr="00DD795E">
              <w:rPr>
                <w:sz w:val="18"/>
                <w:szCs w:val="18"/>
                <w:lang w:val="fr-FR"/>
              </w:rPr>
              <w:t xml:space="preserve"> 1,01</w:t>
            </w:r>
          </w:p>
        </w:tc>
        <w:tc>
          <w:tcPr>
            <w:tcW w:w="1701" w:type="dxa"/>
          </w:tcPr>
          <w:p w14:paraId="52A3CEA1"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564" w:type="dxa"/>
          </w:tcPr>
          <w:p w14:paraId="713ADA67"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B3"/>
            </w:r>
            <w:r>
              <w:rPr>
                <w:sz w:val="18"/>
                <w:szCs w:val="18"/>
                <w:lang w:val="fr-FR"/>
              </w:rPr>
              <w:t> </w:t>
            </w:r>
            <w:r w:rsidRPr="00DD795E">
              <w:rPr>
                <w:sz w:val="18"/>
                <w:szCs w:val="18"/>
                <w:lang w:val="fr-FR"/>
              </w:rPr>
              <w:t>0,998</w:t>
            </w:r>
          </w:p>
        </w:tc>
      </w:tr>
      <w:tr w:rsidR="00E77AE2" w:rsidRPr="00DD795E" w14:paraId="71AC878E" w14:textId="77777777" w:rsidTr="00F6390E">
        <w:tc>
          <w:tcPr>
            <w:tcW w:w="2972" w:type="dxa"/>
          </w:tcPr>
          <w:p w14:paraId="2B795556" w14:textId="77777777" w:rsidR="00E77AE2" w:rsidRPr="00DD795E" w:rsidRDefault="00E77AE2" w:rsidP="008E7CE9">
            <w:pPr>
              <w:spacing w:before="60" w:after="60"/>
              <w:ind w:left="57" w:right="57"/>
              <w:rPr>
                <w:sz w:val="18"/>
                <w:szCs w:val="18"/>
                <w:lang w:val="fr-FR"/>
              </w:rPr>
            </w:pPr>
            <w:r w:rsidRPr="00DD795E">
              <w:rPr>
                <w:sz w:val="18"/>
                <w:szCs w:val="18"/>
                <w:lang w:val="fr-FR"/>
              </w:rPr>
              <w:t>Balance de pesage des</w:t>
            </w:r>
            <w:r>
              <w:rPr>
                <w:sz w:val="18"/>
                <w:szCs w:val="18"/>
                <w:lang w:val="fr-FR"/>
              </w:rPr>
              <w:t> </w:t>
            </w:r>
            <w:r w:rsidRPr="00DD795E">
              <w:rPr>
                <w:sz w:val="18"/>
                <w:szCs w:val="18"/>
                <w:lang w:val="fr-FR"/>
              </w:rPr>
              <w:t>particules</w:t>
            </w:r>
          </w:p>
        </w:tc>
        <w:tc>
          <w:tcPr>
            <w:tcW w:w="1985" w:type="dxa"/>
          </w:tcPr>
          <w:p w14:paraId="68CB9B62"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417" w:type="dxa"/>
          </w:tcPr>
          <w:p w14:paraId="6614E1F4"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t xml:space="preserve">0,99 </w:t>
            </w:r>
            <w:r w:rsidRPr="00B0457C">
              <w:rPr>
                <w:sz w:val="18"/>
                <w:szCs w:val="18"/>
                <w:lang w:val="fr-FR"/>
              </w:rPr>
              <w:t>–</w:t>
            </w:r>
            <w:r w:rsidRPr="00DD795E">
              <w:rPr>
                <w:sz w:val="18"/>
                <w:szCs w:val="18"/>
                <w:lang w:val="fr-FR"/>
              </w:rPr>
              <w:t xml:space="preserve"> 1,01</w:t>
            </w:r>
          </w:p>
        </w:tc>
        <w:tc>
          <w:tcPr>
            <w:tcW w:w="1701" w:type="dxa"/>
          </w:tcPr>
          <w:p w14:paraId="4A2D484C"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A3"/>
            </w:r>
            <w:r>
              <w:rPr>
                <w:sz w:val="18"/>
                <w:szCs w:val="18"/>
                <w:lang w:val="fr-FR"/>
              </w:rPr>
              <w:t> </w:t>
            </w:r>
            <w:r w:rsidRPr="00DD795E">
              <w:rPr>
                <w:sz w:val="18"/>
                <w:szCs w:val="18"/>
                <w:lang w:val="fr-FR"/>
              </w:rPr>
              <w:t>1 % max</w:t>
            </w:r>
          </w:p>
        </w:tc>
        <w:tc>
          <w:tcPr>
            <w:tcW w:w="1564" w:type="dxa"/>
          </w:tcPr>
          <w:p w14:paraId="463B72B6" w14:textId="77777777" w:rsidR="00E77AE2" w:rsidRPr="00DD795E" w:rsidRDefault="00E77AE2" w:rsidP="008E7CE9">
            <w:pPr>
              <w:spacing w:before="60" w:after="60"/>
              <w:ind w:left="57" w:right="57"/>
              <w:jc w:val="center"/>
              <w:rPr>
                <w:sz w:val="18"/>
                <w:szCs w:val="18"/>
                <w:lang w:val="fr-FR"/>
              </w:rPr>
            </w:pPr>
            <w:r w:rsidRPr="00DD795E">
              <w:rPr>
                <w:sz w:val="18"/>
                <w:szCs w:val="18"/>
                <w:lang w:val="fr-FR"/>
              </w:rPr>
              <w:sym w:font="Symbol" w:char="F0B3"/>
            </w:r>
            <w:r>
              <w:rPr>
                <w:sz w:val="18"/>
                <w:szCs w:val="18"/>
                <w:lang w:val="fr-FR"/>
              </w:rPr>
              <w:t> </w:t>
            </w:r>
            <w:r w:rsidRPr="00DD795E">
              <w:rPr>
                <w:sz w:val="18"/>
                <w:szCs w:val="18"/>
                <w:lang w:val="fr-FR"/>
              </w:rPr>
              <w:t>0,998</w:t>
            </w:r>
          </w:p>
        </w:tc>
      </w:tr>
      <w:tr w:rsidR="00E77AE2" w:rsidRPr="008218AE" w14:paraId="47273766" w14:textId="77777777" w:rsidTr="00F6390E">
        <w:trPr>
          <w:trHeight w:val="372"/>
        </w:trPr>
        <w:tc>
          <w:tcPr>
            <w:tcW w:w="2972" w:type="dxa"/>
          </w:tcPr>
          <w:p w14:paraId="02D951D1" w14:textId="77777777" w:rsidR="00E77AE2" w:rsidRPr="008218AE" w:rsidRDefault="00E77AE2" w:rsidP="00F6390E">
            <w:pPr>
              <w:spacing w:before="60" w:after="60"/>
              <w:ind w:left="57" w:right="57"/>
              <w:rPr>
                <w:rFonts w:asciiTheme="majorBidi" w:hAnsiTheme="majorBidi" w:cstheme="majorBidi"/>
                <w:b/>
                <w:bCs/>
                <w:color w:val="000000" w:themeColor="text1"/>
                <w:sz w:val="18"/>
                <w:szCs w:val="18"/>
                <w:lang w:val="fr-FR"/>
              </w:rPr>
            </w:pPr>
            <w:r w:rsidRPr="008218AE">
              <w:rPr>
                <w:rFonts w:asciiTheme="majorBidi" w:hAnsiTheme="majorBidi" w:cstheme="majorBidi"/>
                <w:b/>
                <w:bCs/>
                <w:color w:val="000000" w:themeColor="text1"/>
                <w:sz w:val="18"/>
                <w:szCs w:val="18"/>
                <w:lang w:val="fr-FR"/>
              </w:rPr>
              <w:t>Instrument de mesure de l</w:t>
            </w:r>
            <w:r>
              <w:rPr>
                <w:rFonts w:asciiTheme="majorBidi" w:hAnsiTheme="majorBidi" w:cstheme="majorBidi"/>
                <w:b/>
                <w:bCs/>
                <w:color w:val="000000" w:themeColor="text1"/>
                <w:sz w:val="18"/>
                <w:szCs w:val="18"/>
                <w:lang w:val="fr-FR"/>
              </w:rPr>
              <w:t>’</w:t>
            </w:r>
            <w:r w:rsidRPr="008218AE">
              <w:rPr>
                <w:rFonts w:asciiTheme="majorBidi" w:hAnsiTheme="majorBidi" w:cstheme="majorBidi"/>
                <w:b/>
                <w:bCs/>
                <w:color w:val="000000" w:themeColor="text1"/>
                <w:sz w:val="18"/>
                <w:szCs w:val="18"/>
                <w:lang w:val="fr-FR"/>
              </w:rPr>
              <w:t xml:space="preserve">humidité </w:t>
            </w:r>
          </w:p>
        </w:tc>
        <w:tc>
          <w:tcPr>
            <w:tcW w:w="1985" w:type="dxa"/>
          </w:tcPr>
          <w:p w14:paraId="662482E2" w14:textId="77777777" w:rsidR="00E77AE2" w:rsidRPr="008218AE" w:rsidRDefault="00E77AE2" w:rsidP="002A7EA5">
            <w:pPr>
              <w:spacing w:before="60" w:after="60"/>
              <w:ind w:left="57" w:right="57"/>
              <w:jc w:val="center"/>
              <w:rPr>
                <w:rFonts w:asciiTheme="majorBidi" w:hAnsiTheme="majorBidi" w:cstheme="majorBidi"/>
                <w:b/>
                <w:bCs/>
                <w:color w:val="000000" w:themeColor="text1"/>
                <w:sz w:val="18"/>
                <w:szCs w:val="18"/>
                <w:lang w:val="fr-FR"/>
              </w:rPr>
            </w:pPr>
            <w:r w:rsidRPr="008218AE">
              <w:rPr>
                <w:rFonts w:asciiTheme="majorBidi" w:hAnsiTheme="majorBidi" w:cstheme="majorBidi"/>
                <w:b/>
                <w:bCs/>
                <w:color w:val="000000" w:themeColor="text1"/>
                <w:sz w:val="18"/>
                <w:szCs w:val="18"/>
                <w:lang w:val="fr-FR"/>
              </w:rPr>
              <w:t>≤</w:t>
            </w:r>
            <w:r>
              <w:rPr>
                <w:rFonts w:asciiTheme="majorBidi" w:hAnsiTheme="majorBidi" w:cstheme="majorBidi"/>
                <w:b/>
                <w:bCs/>
                <w:color w:val="000000" w:themeColor="text1"/>
                <w:sz w:val="18"/>
                <w:szCs w:val="18"/>
                <w:lang w:val="fr-FR"/>
              </w:rPr>
              <w:t> </w:t>
            </w:r>
            <w:r w:rsidRPr="008218AE">
              <w:rPr>
                <w:rFonts w:asciiTheme="majorBidi" w:hAnsiTheme="majorBidi" w:cstheme="majorBidi"/>
                <w:b/>
                <w:bCs/>
                <w:color w:val="000000" w:themeColor="text1"/>
                <w:sz w:val="18"/>
                <w:szCs w:val="18"/>
                <w:lang w:val="fr-FR"/>
              </w:rPr>
              <w:t>2 % max</w:t>
            </w:r>
          </w:p>
        </w:tc>
        <w:tc>
          <w:tcPr>
            <w:tcW w:w="1417" w:type="dxa"/>
          </w:tcPr>
          <w:p w14:paraId="21BE0EA5" w14:textId="77777777" w:rsidR="00E77AE2" w:rsidRPr="008218AE" w:rsidRDefault="00E77AE2" w:rsidP="002A7EA5">
            <w:pPr>
              <w:spacing w:before="60" w:after="60"/>
              <w:ind w:left="57" w:right="57"/>
              <w:jc w:val="center"/>
              <w:rPr>
                <w:rFonts w:asciiTheme="majorBidi" w:hAnsiTheme="majorBidi" w:cstheme="majorBidi"/>
                <w:b/>
                <w:bCs/>
                <w:color w:val="000000" w:themeColor="text1"/>
                <w:sz w:val="18"/>
                <w:szCs w:val="18"/>
                <w:lang w:val="fr-FR"/>
              </w:rPr>
            </w:pPr>
            <w:r w:rsidRPr="008218AE">
              <w:rPr>
                <w:rFonts w:asciiTheme="majorBidi" w:hAnsiTheme="majorBidi" w:cstheme="majorBidi"/>
                <w:b/>
                <w:bCs/>
                <w:color w:val="000000" w:themeColor="text1"/>
                <w:sz w:val="18"/>
                <w:szCs w:val="18"/>
                <w:lang w:val="fr-FR"/>
              </w:rPr>
              <w:t>0,98 – 1,02</w:t>
            </w:r>
          </w:p>
        </w:tc>
        <w:tc>
          <w:tcPr>
            <w:tcW w:w="1701" w:type="dxa"/>
          </w:tcPr>
          <w:p w14:paraId="134481B2" w14:textId="77777777" w:rsidR="00E77AE2" w:rsidRPr="008218AE" w:rsidRDefault="00E77AE2" w:rsidP="002A7EA5">
            <w:pPr>
              <w:spacing w:before="60" w:after="60"/>
              <w:ind w:left="57" w:right="57"/>
              <w:jc w:val="center"/>
              <w:rPr>
                <w:rFonts w:asciiTheme="majorBidi" w:hAnsiTheme="majorBidi" w:cstheme="majorBidi"/>
                <w:b/>
                <w:bCs/>
                <w:color w:val="000000" w:themeColor="text1"/>
                <w:sz w:val="18"/>
                <w:szCs w:val="18"/>
                <w:lang w:val="fr-FR"/>
              </w:rPr>
            </w:pPr>
            <w:r w:rsidRPr="008218AE">
              <w:rPr>
                <w:rFonts w:asciiTheme="majorBidi" w:hAnsiTheme="majorBidi" w:cstheme="majorBidi"/>
                <w:b/>
                <w:bCs/>
                <w:color w:val="000000" w:themeColor="text1"/>
                <w:sz w:val="18"/>
                <w:szCs w:val="18"/>
                <w:lang w:val="fr-FR"/>
              </w:rPr>
              <w:t>≤</w:t>
            </w:r>
            <w:r>
              <w:rPr>
                <w:rFonts w:asciiTheme="majorBidi" w:hAnsiTheme="majorBidi" w:cstheme="majorBidi"/>
                <w:b/>
                <w:bCs/>
                <w:color w:val="000000" w:themeColor="text1"/>
                <w:sz w:val="18"/>
                <w:szCs w:val="18"/>
                <w:lang w:val="fr-FR"/>
              </w:rPr>
              <w:t> </w:t>
            </w:r>
            <w:r w:rsidRPr="008218AE">
              <w:rPr>
                <w:rFonts w:asciiTheme="majorBidi" w:hAnsiTheme="majorBidi" w:cstheme="majorBidi"/>
                <w:b/>
                <w:bCs/>
                <w:color w:val="000000" w:themeColor="text1"/>
                <w:sz w:val="18"/>
                <w:szCs w:val="18"/>
                <w:lang w:val="fr-FR"/>
              </w:rPr>
              <w:t>2 %</w:t>
            </w:r>
          </w:p>
        </w:tc>
        <w:tc>
          <w:tcPr>
            <w:tcW w:w="1564" w:type="dxa"/>
          </w:tcPr>
          <w:p w14:paraId="46305484" w14:textId="77777777" w:rsidR="00E77AE2" w:rsidRPr="008218AE" w:rsidRDefault="00E77AE2" w:rsidP="002A7EA5">
            <w:pPr>
              <w:spacing w:before="60" w:after="60"/>
              <w:ind w:left="57" w:right="57"/>
              <w:jc w:val="center"/>
              <w:rPr>
                <w:rFonts w:asciiTheme="majorBidi" w:hAnsiTheme="majorBidi" w:cstheme="majorBidi"/>
                <w:b/>
                <w:bCs/>
                <w:color w:val="000000" w:themeColor="text1"/>
                <w:sz w:val="18"/>
                <w:szCs w:val="18"/>
                <w:lang w:val="fr-FR"/>
              </w:rPr>
            </w:pPr>
            <w:r w:rsidRPr="008218AE">
              <w:rPr>
                <w:rFonts w:asciiTheme="majorBidi" w:hAnsiTheme="majorBidi" w:cstheme="majorBidi"/>
                <w:b/>
                <w:bCs/>
                <w:color w:val="000000" w:themeColor="text1"/>
                <w:sz w:val="18"/>
                <w:szCs w:val="18"/>
                <w:lang w:val="fr-FR"/>
              </w:rPr>
              <w:t>≥</w:t>
            </w:r>
            <w:r>
              <w:rPr>
                <w:rFonts w:asciiTheme="majorBidi" w:hAnsiTheme="majorBidi" w:cstheme="majorBidi"/>
                <w:b/>
                <w:bCs/>
                <w:color w:val="000000" w:themeColor="text1"/>
                <w:sz w:val="18"/>
                <w:szCs w:val="18"/>
                <w:lang w:val="fr-FR"/>
              </w:rPr>
              <w:t> </w:t>
            </w:r>
            <w:r w:rsidRPr="008218AE">
              <w:rPr>
                <w:rFonts w:asciiTheme="majorBidi" w:hAnsiTheme="majorBidi" w:cstheme="majorBidi"/>
                <w:b/>
                <w:bCs/>
                <w:color w:val="000000" w:themeColor="text1"/>
                <w:sz w:val="18"/>
                <w:szCs w:val="18"/>
                <w:lang w:val="fr-FR"/>
              </w:rPr>
              <w:t>0,95</w:t>
            </w:r>
            <w:bookmarkStart w:id="2" w:name="_GoBack"/>
            <w:bookmarkEnd w:id="2"/>
          </w:p>
        </w:tc>
      </w:tr>
    </w:tbl>
    <w:p w14:paraId="46853007" w14:textId="77777777" w:rsidR="00E77AE2" w:rsidRPr="00636ECC" w:rsidRDefault="00F6390E" w:rsidP="00F6390E">
      <w:pPr>
        <w:spacing w:before="120"/>
        <w:ind w:right="1134"/>
        <w:jc w:val="right"/>
        <w:rPr>
          <w:rFonts w:ascii="Arial" w:hAnsi="Arial" w:cs="Arial"/>
          <w:lang w:val="fr-FR"/>
        </w:rPr>
      </w:pPr>
      <w:r>
        <w:rPr>
          <w:rFonts w:asciiTheme="majorBidi" w:hAnsiTheme="majorBidi" w:cstheme="majorBidi"/>
          <w:lang w:val="fr-FR"/>
        </w:rPr>
        <w:t>.</w:t>
      </w:r>
      <w:r w:rsidR="00E77AE2">
        <w:rPr>
          <w:rFonts w:asciiTheme="majorBidi" w:hAnsiTheme="majorBidi" w:cstheme="majorBidi"/>
          <w:lang w:val="fr-FR"/>
        </w:rPr>
        <w:t> ».</w:t>
      </w:r>
    </w:p>
    <w:p w14:paraId="7E904C90" w14:textId="77777777" w:rsidR="00E77AE2" w:rsidRDefault="00E77AE2" w:rsidP="00F6390E">
      <w:pPr>
        <w:pStyle w:val="SingleTxtG"/>
        <w:rPr>
          <w:i/>
          <w:iCs/>
          <w:lang w:val="fr-FR"/>
        </w:rPr>
      </w:pPr>
      <w:r w:rsidRPr="00636ECC">
        <w:rPr>
          <w:i/>
          <w:iCs/>
          <w:lang w:val="fr-FR"/>
        </w:rPr>
        <w:t>Annexe 4A, appendice 1</w:t>
      </w:r>
    </w:p>
    <w:p w14:paraId="00D63038" w14:textId="77777777" w:rsidR="00E77AE2" w:rsidRPr="00636ECC" w:rsidRDefault="00E77AE2" w:rsidP="00F6390E">
      <w:pPr>
        <w:pStyle w:val="SingleTxtG"/>
        <w:rPr>
          <w:lang w:val="fr-FR"/>
        </w:rPr>
      </w:pPr>
      <w:r>
        <w:rPr>
          <w:i/>
          <w:iCs/>
          <w:lang w:val="fr-FR"/>
        </w:rPr>
        <w:t>P</w:t>
      </w:r>
      <w:r w:rsidRPr="00636ECC">
        <w:rPr>
          <w:i/>
          <w:iCs/>
          <w:lang w:val="fr-FR"/>
        </w:rPr>
        <w:t>aragraphe 5.3,</w:t>
      </w:r>
      <w:r w:rsidRPr="00636ECC">
        <w:rPr>
          <w:lang w:val="fr-FR"/>
        </w:rPr>
        <w:t xml:space="preserve"> lire</w:t>
      </w:r>
      <w:r>
        <w:rPr>
          <w:lang w:val="fr-FR"/>
        </w:rPr>
        <w:t> :</w:t>
      </w:r>
    </w:p>
    <w:p w14:paraId="34048A38" w14:textId="77777777" w:rsidR="00E77AE2" w:rsidRPr="00636ECC" w:rsidRDefault="00E77AE2" w:rsidP="00F6390E">
      <w:pPr>
        <w:pStyle w:val="SingleTxtG"/>
        <w:ind w:left="2268" w:hanging="1134"/>
        <w:rPr>
          <w:lang w:val="fr-FR"/>
        </w:rPr>
      </w:pPr>
      <w:r>
        <w:rPr>
          <w:lang w:val="fr-FR"/>
        </w:rPr>
        <w:t>« </w:t>
      </w:r>
      <w:r w:rsidRPr="00636ECC">
        <w:rPr>
          <w:lang w:val="fr-FR"/>
        </w:rPr>
        <w:t>5.3</w:t>
      </w:r>
      <w:r w:rsidRPr="00636ECC">
        <w:rPr>
          <w:lang w:val="fr-FR"/>
        </w:rPr>
        <w:tab/>
      </w:r>
      <w:r w:rsidRPr="00C452ED">
        <w:rPr>
          <w:bCs/>
        </w:rPr>
        <w:t>Correction d</w:t>
      </w:r>
      <w:r>
        <w:rPr>
          <w:bCs/>
        </w:rPr>
        <w:t>’</w:t>
      </w:r>
      <w:r w:rsidRPr="00C452ED">
        <w:rPr>
          <w:bCs/>
        </w:rPr>
        <w:t>humidité et de température pour les NO</w:t>
      </w:r>
      <w:r w:rsidRPr="00C452ED">
        <w:rPr>
          <w:bCs/>
          <w:vertAlign w:val="subscript"/>
        </w:rPr>
        <w:t>x</w:t>
      </w:r>
    </w:p>
    <w:p w14:paraId="2D3750D3" w14:textId="77777777" w:rsidR="00E77AE2" w:rsidRPr="00C452ED" w:rsidRDefault="00E77AE2" w:rsidP="00F6390E">
      <w:pPr>
        <w:pStyle w:val="SingleTxtG"/>
        <w:ind w:left="2268"/>
      </w:pPr>
      <w:r w:rsidRPr="00C452ED">
        <w:t>Étant donné que les émissions de NO</w:t>
      </w:r>
      <w:r w:rsidRPr="00C452ED">
        <w:rPr>
          <w:vertAlign w:val="subscript"/>
        </w:rPr>
        <w:t>x</w:t>
      </w:r>
      <w:r w:rsidRPr="00C452ED">
        <w:t xml:space="preserve"> dépendent des conditions atmosphériques ambiantes, la concentration de NO</w:t>
      </w:r>
      <w:r w:rsidRPr="00C452ED">
        <w:rPr>
          <w:vertAlign w:val="subscript"/>
        </w:rPr>
        <w:t>x</w:t>
      </w:r>
      <w:r w:rsidRPr="00C452ED">
        <w:t xml:space="preserve"> doit être corrigée en </w:t>
      </w:r>
      <w:r w:rsidRPr="00C452ED">
        <w:lastRenderedPageBreak/>
        <w:t>fonction de l</w:t>
      </w:r>
      <w:r>
        <w:t>’</w:t>
      </w:r>
      <w:r w:rsidRPr="00C452ED">
        <w:t>humidité et de la température de l</w:t>
      </w:r>
      <w:r>
        <w:t>’</w:t>
      </w:r>
      <w:r w:rsidRPr="00C452ED">
        <w:t>air ambiant en appliquant les facteurs des formules qui suivent. Ces facteurs sont valides dans la gamme comprise entre 0 et 25 g/kg d</w:t>
      </w:r>
      <w:r>
        <w:t>’</w:t>
      </w:r>
      <w:r w:rsidRPr="00C452ED">
        <w:t>air sec.</w:t>
      </w:r>
    </w:p>
    <w:p w14:paraId="3E2482C3" w14:textId="77777777" w:rsidR="00E77AE2" w:rsidRDefault="00E77AE2" w:rsidP="00F6390E">
      <w:pPr>
        <w:pStyle w:val="SingleTxtG"/>
        <w:ind w:left="2268"/>
      </w:pPr>
      <w:r w:rsidRPr="00C452ED">
        <w:tab/>
        <w:t>a)</w:t>
      </w:r>
      <w:r w:rsidRPr="00C452ED">
        <w:tab/>
        <w:t>Pour les moteurs à allumage par compression</w:t>
      </w:r>
      <w:r>
        <w:t> :</w:t>
      </w:r>
    </w:p>
    <w:bookmarkStart w:id="3" w:name="_MON_1671895669"/>
    <w:bookmarkEnd w:id="3"/>
    <w:p w14:paraId="19B93557" w14:textId="77777777" w:rsidR="00F6390E" w:rsidRPr="00471C00" w:rsidRDefault="00F6390E" w:rsidP="00F6390E">
      <w:pPr>
        <w:pStyle w:val="SingleTxtG"/>
        <w:ind w:left="2835"/>
        <w:rPr>
          <w:rFonts w:ascii="Arial" w:hAnsi="Arial" w:cs="Arial"/>
          <w:color w:val="000000" w:themeColor="text1"/>
        </w:rPr>
      </w:pPr>
      <w:r w:rsidRPr="00B04DC3">
        <w:object w:dxaOrig="5208" w:dyaOrig="643" w14:anchorId="06106109">
          <v:shape id="_x0000_i1155" type="#_x0000_t75" style="width:218.5pt;height:27.55pt" o:ole="">
            <v:imagedata r:id="rId10" o:title=""/>
          </v:shape>
          <o:OLEObject Type="Embed" ProgID="Word.Picture.8" ShapeID="_x0000_i1155" DrawAspect="Content" ObjectID="_1677994027" r:id="rId11"/>
        </w:object>
      </w:r>
    </w:p>
    <w:p w14:paraId="71401921" w14:textId="77777777" w:rsidR="00E77AE2" w:rsidRPr="00C452ED" w:rsidRDefault="00E77AE2" w:rsidP="00F6390E">
      <w:pPr>
        <w:pStyle w:val="SingleTxtG"/>
        <w:ind w:left="2835"/>
      </w:pPr>
      <w:r w:rsidRPr="00C452ED">
        <w:tab/>
        <w:t>avec</w:t>
      </w:r>
      <w:r>
        <w:t> :</w:t>
      </w:r>
    </w:p>
    <w:p w14:paraId="4310EE9D" w14:textId="77777777" w:rsidR="00E77AE2" w:rsidRPr="00C452ED" w:rsidRDefault="00E77AE2" w:rsidP="00F6390E">
      <w:pPr>
        <w:pStyle w:val="SingleTxtG"/>
        <w:ind w:left="2835"/>
      </w:pPr>
      <w:r w:rsidRPr="00C452ED">
        <w:t>T</w:t>
      </w:r>
      <w:r w:rsidRPr="005E0D48">
        <w:rPr>
          <w:vertAlign w:val="subscript"/>
        </w:rPr>
        <w:t>a</w:t>
      </w:r>
      <w:r w:rsidRPr="00C452ED">
        <w:tab/>
        <w:t>=</w:t>
      </w:r>
      <w:r w:rsidRPr="00C452ED">
        <w:tab/>
        <w:t>température de l</w:t>
      </w:r>
      <w:r>
        <w:t>’</w:t>
      </w:r>
      <w:r w:rsidRPr="00C452ED">
        <w:t>air d</w:t>
      </w:r>
      <w:r>
        <w:t>’</w:t>
      </w:r>
      <w:r w:rsidRPr="00C452ED">
        <w:t>admission, en K</w:t>
      </w:r>
    </w:p>
    <w:p w14:paraId="7B9EDEF7" w14:textId="77777777" w:rsidR="00E77AE2" w:rsidRPr="00C452ED" w:rsidRDefault="00E77AE2" w:rsidP="00F6390E">
      <w:pPr>
        <w:pStyle w:val="SingleTxtG"/>
        <w:ind w:left="2835"/>
      </w:pPr>
      <w:r w:rsidRPr="00C452ED">
        <w:t>H</w:t>
      </w:r>
      <w:r w:rsidRPr="005E0D48">
        <w:rPr>
          <w:vertAlign w:val="subscript"/>
        </w:rPr>
        <w:t>a</w:t>
      </w:r>
      <w:r w:rsidRPr="00C452ED">
        <w:tab/>
        <w:t>=</w:t>
      </w:r>
      <w:r w:rsidRPr="00C452ED">
        <w:tab/>
        <w:t>humidité de l</w:t>
      </w:r>
      <w:r>
        <w:t>’</w:t>
      </w:r>
      <w:r w:rsidRPr="00C452ED">
        <w:t>air d</w:t>
      </w:r>
      <w:r>
        <w:t>’</w:t>
      </w:r>
      <w:r w:rsidRPr="00C452ED">
        <w:t>admission, en g d</w:t>
      </w:r>
      <w:r>
        <w:t>’</w:t>
      </w:r>
      <w:r w:rsidRPr="00C452ED">
        <w:t>eau par kg d</w:t>
      </w:r>
      <w:r>
        <w:t>’</w:t>
      </w:r>
      <w:r w:rsidRPr="00C452ED">
        <w:t>air sec</w:t>
      </w:r>
    </w:p>
    <w:p w14:paraId="18DC9315" w14:textId="77777777" w:rsidR="00E77AE2" w:rsidRPr="00C452ED" w:rsidRDefault="00E77AE2" w:rsidP="00F6390E">
      <w:pPr>
        <w:pStyle w:val="SingleTxtG"/>
        <w:ind w:left="2835"/>
      </w:pPr>
      <w:r w:rsidRPr="00C452ED">
        <w:tab/>
        <w:t>où</w:t>
      </w:r>
      <w:r>
        <w:t> :</w:t>
      </w:r>
    </w:p>
    <w:p w14:paraId="61034F17" w14:textId="77777777" w:rsidR="00E77AE2" w:rsidRPr="00C452ED" w:rsidRDefault="00E77AE2" w:rsidP="00F6390E">
      <w:pPr>
        <w:pStyle w:val="SingleTxtG"/>
        <w:ind w:left="2835"/>
      </w:pPr>
      <w:r w:rsidRPr="00C452ED">
        <w:t>H</w:t>
      </w:r>
      <w:r w:rsidRPr="00C452ED">
        <w:rPr>
          <w:vertAlign w:val="subscript"/>
        </w:rPr>
        <w:t>a</w:t>
      </w:r>
      <w:r w:rsidRPr="00C452ED">
        <w:t xml:space="preserve"> peut être calculée à partir de la mesure de l</w:t>
      </w:r>
      <w:r>
        <w:t>’</w:t>
      </w:r>
      <w:r w:rsidRPr="00C452ED">
        <w:t>humidité relative, de la mesure du point de rosée, de la mesure de la pression de vapeur ou de la mesure par psychromètre au moyen des formules couramment appliquées.</w:t>
      </w:r>
    </w:p>
    <w:p w14:paraId="56FE039D" w14:textId="77777777" w:rsidR="00E77AE2" w:rsidRPr="00C452ED" w:rsidRDefault="00E77AE2" w:rsidP="00F6390E">
      <w:pPr>
        <w:pStyle w:val="SingleTxtG"/>
        <w:ind w:left="2268"/>
      </w:pPr>
      <w:r w:rsidRPr="00C452ED">
        <w:t>b)</w:t>
      </w:r>
      <w:r w:rsidRPr="00C452ED">
        <w:tab/>
        <w:t>Pour les moteurs à allumage commandé</w:t>
      </w:r>
      <w:r>
        <w:t> :</w:t>
      </w:r>
    </w:p>
    <w:p w14:paraId="69DD8B34" w14:textId="77777777" w:rsidR="00F6390E" w:rsidRPr="009D573B" w:rsidRDefault="00E77AE2" w:rsidP="00F6390E">
      <w:pPr>
        <w:pStyle w:val="SingleTxtG"/>
        <w:ind w:left="2835"/>
        <w:rPr>
          <w:lang w:val="nb-NO"/>
        </w:rPr>
      </w:pPr>
      <w:proofErr w:type="spellStart"/>
      <w:r w:rsidRPr="00F6390E">
        <w:rPr>
          <w:lang w:val="es-ES"/>
        </w:rPr>
        <w:t>k</w:t>
      </w:r>
      <w:r w:rsidRPr="00F6390E">
        <w:rPr>
          <w:vertAlign w:val="subscript"/>
          <w:lang w:val="es-ES"/>
        </w:rPr>
        <w:t>h.G</w:t>
      </w:r>
      <w:proofErr w:type="spellEnd"/>
      <w:r w:rsidRPr="00F6390E">
        <w:rPr>
          <w:lang w:val="es-ES"/>
        </w:rPr>
        <w:tab/>
        <w:t>=</w:t>
      </w:r>
      <w:r w:rsidRPr="00F6390E">
        <w:rPr>
          <w:lang w:val="es-ES"/>
        </w:rPr>
        <w:tab/>
      </w:r>
      <w:r w:rsidR="00F6390E" w:rsidRPr="009D573B">
        <w:rPr>
          <w:lang w:val="nb-NO"/>
        </w:rPr>
        <w:t>0</w:t>
      </w:r>
      <w:r w:rsidR="00F6390E">
        <w:rPr>
          <w:lang w:val="nb-NO"/>
        </w:rPr>
        <w:t>,</w:t>
      </w:r>
      <w:r w:rsidR="00F6390E" w:rsidRPr="009D573B">
        <w:rPr>
          <w:lang w:val="nb-NO"/>
        </w:rPr>
        <w:t>6272 + 44</w:t>
      </w:r>
      <w:r w:rsidR="00F6390E">
        <w:rPr>
          <w:lang w:val="nb-NO"/>
        </w:rPr>
        <w:t>,</w:t>
      </w:r>
      <w:r w:rsidR="00F6390E" w:rsidRPr="009D573B">
        <w:rPr>
          <w:lang w:val="nb-NO"/>
        </w:rPr>
        <w:t xml:space="preserve">030 </w:t>
      </w:r>
      <w:r w:rsidR="00F6390E" w:rsidRPr="00B04DC3">
        <w:rPr>
          <w:position w:val="-4"/>
          <w:lang w:val="en-GB"/>
        </w:rPr>
        <w:object w:dxaOrig="180" w:dyaOrig="200" w14:anchorId="3D674194">
          <v:shape id="_x0000_i1158" type="#_x0000_t75" style="width:8.75pt;height:8.75pt" o:ole="">
            <v:imagedata r:id="rId12" o:title=""/>
          </v:shape>
          <o:OLEObject Type="Embed" ProgID="Equation.3" ShapeID="_x0000_i1158" DrawAspect="Content" ObjectID="_1677994028" r:id="rId13"/>
        </w:object>
      </w:r>
      <w:r w:rsidR="00F6390E" w:rsidRPr="009D573B">
        <w:rPr>
          <w:lang w:val="nb-NO"/>
        </w:rPr>
        <w:t xml:space="preserve"> 10</w:t>
      </w:r>
      <w:r w:rsidR="00F6390E" w:rsidRPr="009D573B">
        <w:rPr>
          <w:vertAlign w:val="superscript"/>
          <w:lang w:val="nb-NO"/>
        </w:rPr>
        <w:t>-3</w:t>
      </w:r>
      <w:r w:rsidR="00F6390E" w:rsidRPr="009D573B">
        <w:rPr>
          <w:lang w:val="nb-NO"/>
        </w:rPr>
        <w:t xml:space="preserve"> </w:t>
      </w:r>
      <w:r w:rsidR="00F6390E" w:rsidRPr="00B04DC3">
        <w:rPr>
          <w:position w:val="-4"/>
          <w:lang w:val="en-GB"/>
        </w:rPr>
        <w:object w:dxaOrig="180" w:dyaOrig="200" w14:anchorId="3D4BA428">
          <v:shape id="_x0000_i1159" type="#_x0000_t75" style="width:8.75pt;height:8.75pt" o:ole="">
            <v:imagedata r:id="rId14" o:title=""/>
          </v:shape>
          <o:OLEObject Type="Embed" ProgID="Equation.3" ShapeID="_x0000_i1159" DrawAspect="Content" ObjectID="_1677994029" r:id="rId15"/>
        </w:object>
      </w:r>
      <w:r w:rsidR="00F6390E" w:rsidRPr="009D573B">
        <w:rPr>
          <w:lang w:val="nb-NO"/>
        </w:rPr>
        <w:t xml:space="preserve"> H</w:t>
      </w:r>
      <w:r w:rsidR="00F6390E" w:rsidRPr="009D573B">
        <w:rPr>
          <w:vertAlign w:val="subscript"/>
          <w:lang w:val="nb-NO"/>
        </w:rPr>
        <w:t>a</w:t>
      </w:r>
      <w:r w:rsidR="00F6390E" w:rsidRPr="009D573B">
        <w:rPr>
          <w:lang w:val="nb-NO"/>
        </w:rPr>
        <w:t xml:space="preserve"> – 0</w:t>
      </w:r>
      <w:r w:rsidR="00F6390E">
        <w:rPr>
          <w:lang w:val="nb-NO"/>
        </w:rPr>
        <w:t>,</w:t>
      </w:r>
      <w:r w:rsidR="00F6390E" w:rsidRPr="009D573B">
        <w:rPr>
          <w:lang w:val="nb-NO"/>
        </w:rPr>
        <w:t xml:space="preserve">862 </w:t>
      </w:r>
      <w:r w:rsidR="00F6390E" w:rsidRPr="00B04DC3">
        <w:rPr>
          <w:position w:val="-4"/>
          <w:lang w:val="en-GB"/>
        </w:rPr>
        <w:object w:dxaOrig="180" w:dyaOrig="200" w14:anchorId="19E560C2">
          <v:shape id="_x0000_i1160" type="#_x0000_t75" style="width:8.75pt;height:8.75pt" o:ole="">
            <v:imagedata r:id="rId16" o:title=""/>
          </v:shape>
          <o:OLEObject Type="Embed" ProgID="Equation.3" ShapeID="_x0000_i1160" DrawAspect="Content" ObjectID="_1677994030" r:id="rId17"/>
        </w:object>
      </w:r>
      <w:r w:rsidR="00F6390E" w:rsidRPr="009D573B">
        <w:rPr>
          <w:lang w:val="nb-NO"/>
        </w:rPr>
        <w:t xml:space="preserve"> 10</w:t>
      </w:r>
      <w:r w:rsidR="00F6390E" w:rsidRPr="009D573B">
        <w:rPr>
          <w:vertAlign w:val="superscript"/>
          <w:lang w:val="nb-NO"/>
        </w:rPr>
        <w:t>-3</w:t>
      </w:r>
      <w:r w:rsidR="00F6390E" w:rsidRPr="009D573B">
        <w:rPr>
          <w:lang w:val="nb-NO"/>
        </w:rPr>
        <w:t xml:space="preserve"> </w:t>
      </w:r>
      <w:r w:rsidR="00F6390E" w:rsidRPr="00B04DC3">
        <w:rPr>
          <w:position w:val="-4"/>
          <w:lang w:val="en-GB"/>
        </w:rPr>
        <w:object w:dxaOrig="180" w:dyaOrig="200" w14:anchorId="0FBDBE3B">
          <v:shape id="_x0000_i1161" type="#_x0000_t75" style="width:8.75pt;height:8.75pt" o:ole="">
            <v:imagedata r:id="rId18" o:title=""/>
          </v:shape>
          <o:OLEObject Type="Embed" ProgID="Equation.3" ShapeID="_x0000_i1161" DrawAspect="Content" ObjectID="_1677994031" r:id="rId19"/>
        </w:object>
      </w:r>
      <w:r w:rsidR="00F6390E" w:rsidRPr="009D573B">
        <w:rPr>
          <w:lang w:val="nb-NO"/>
        </w:rPr>
        <w:t xml:space="preserve"> H</w:t>
      </w:r>
      <w:r w:rsidR="00F6390E" w:rsidRPr="009D573B">
        <w:rPr>
          <w:vertAlign w:val="subscript"/>
          <w:lang w:val="nb-NO"/>
        </w:rPr>
        <w:t>a</w:t>
      </w:r>
      <w:r w:rsidR="00F6390E" w:rsidRPr="009D573B">
        <w:rPr>
          <w:lang w:val="nb-NO"/>
        </w:rPr>
        <w:t>²</w:t>
      </w:r>
    </w:p>
    <w:p w14:paraId="73323CAE" w14:textId="77777777" w:rsidR="00E77AE2" w:rsidRPr="00C452ED" w:rsidRDefault="00E77AE2" w:rsidP="00F6390E">
      <w:pPr>
        <w:pStyle w:val="SingleTxtG"/>
        <w:ind w:left="2835"/>
      </w:pPr>
      <w:r w:rsidRPr="00F6390E">
        <w:rPr>
          <w:lang w:val="es-ES"/>
        </w:rPr>
        <w:tab/>
      </w:r>
      <w:r w:rsidRPr="00C452ED">
        <w:t>où</w:t>
      </w:r>
      <w:r>
        <w:t> :</w:t>
      </w:r>
    </w:p>
    <w:p w14:paraId="694EC38A" w14:textId="77777777" w:rsidR="00E77AE2" w:rsidRPr="00C452ED" w:rsidRDefault="00E77AE2" w:rsidP="00F6390E">
      <w:pPr>
        <w:pStyle w:val="SingleTxtG"/>
        <w:ind w:left="2835"/>
      </w:pPr>
      <w:r w:rsidRPr="00C452ED">
        <w:t>H</w:t>
      </w:r>
      <w:r w:rsidRPr="00C452ED">
        <w:rPr>
          <w:vertAlign w:val="subscript"/>
        </w:rPr>
        <w:t>a</w:t>
      </w:r>
      <w:r w:rsidRPr="00C452ED">
        <w:t xml:space="preserve"> peut être calculée à partir de la mesure de l</w:t>
      </w:r>
      <w:r>
        <w:t>’</w:t>
      </w:r>
      <w:r w:rsidRPr="00C452ED">
        <w:t>humidité relative, de la mesure du point de rosée, de la mesure de la pression de vapeur ou de la mesure par psychromètre au moyen des formules couramment appliquées.</w:t>
      </w:r>
    </w:p>
    <w:p w14:paraId="0DB0675E" w14:textId="77777777" w:rsidR="00E77AE2" w:rsidRPr="00636ECC" w:rsidRDefault="00E77AE2" w:rsidP="00F6390E">
      <w:pPr>
        <w:pStyle w:val="SingleTxtG"/>
        <w:ind w:left="2268"/>
        <w:rPr>
          <w:b/>
          <w:bCs/>
          <w:lang w:val="fr-FR"/>
        </w:rPr>
      </w:pPr>
      <w:r w:rsidRPr="00F80615">
        <w:rPr>
          <w:b/>
          <w:bCs/>
          <w:lang w:val="fr-FR"/>
        </w:rPr>
        <w:t>Pour tous les calculs d</w:t>
      </w:r>
      <w:r>
        <w:rPr>
          <w:b/>
          <w:bCs/>
          <w:lang w:val="fr-FR"/>
        </w:rPr>
        <w:t>’</w:t>
      </w:r>
      <w:r w:rsidRPr="00F80615">
        <w:rPr>
          <w:b/>
          <w:bCs/>
          <w:lang w:val="fr-FR"/>
        </w:rPr>
        <w:t>humidité (par exemple H</w:t>
      </w:r>
      <w:r w:rsidRPr="005E0D48">
        <w:rPr>
          <w:b/>
          <w:bCs/>
          <w:vertAlign w:val="subscript"/>
          <w:lang w:val="fr-FR"/>
        </w:rPr>
        <w:t>a</w:t>
      </w:r>
      <w:r w:rsidRPr="00F80615">
        <w:rPr>
          <w:b/>
          <w:bCs/>
          <w:lang w:val="fr-FR"/>
        </w:rPr>
        <w:t xml:space="preserve">, </w:t>
      </w:r>
      <w:proofErr w:type="spellStart"/>
      <w:r w:rsidRPr="00F80615">
        <w:rPr>
          <w:b/>
          <w:bCs/>
          <w:lang w:val="fr-FR"/>
        </w:rPr>
        <w:t>H</w:t>
      </w:r>
      <w:r w:rsidRPr="005E0D48">
        <w:rPr>
          <w:b/>
          <w:bCs/>
          <w:vertAlign w:val="subscript"/>
          <w:lang w:val="fr-FR"/>
        </w:rPr>
        <w:t>d</w:t>
      </w:r>
      <w:proofErr w:type="spellEnd"/>
      <w:r w:rsidRPr="00F80615">
        <w:rPr>
          <w:b/>
          <w:bCs/>
          <w:lang w:val="fr-FR"/>
        </w:rPr>
        <w:t>) utilisant des équations universellement acceptées, la pression de vapeur saturante est requise. Pour calculer la pression de vapeur saturante, qui est en général fonction de la température (au point de mesure de l</w:t>
      </w:r>
      <w:r>
        <w:rPr>
          <w:b/>
          <w:bCs/>
          <w:lang w:val="fr-FR"/>
        </w:rPr>
        <w:t>’</w:t>
      </w:r>
      <w:r w:rsidRPr="00F80615">
        <w:rPr>
          <w:b/>
          <w:bCs/>
          <w:lang w:val="fr-FR"/>
        </w:rPr>
        <w:t>humidité), il convient d</w:t>
      </w:r>
      <w:r>
        <w:rPr>
          <w:b/>
          <w:bCs/>
          <w:lang w:val="fr-FR"/>
        </w:rPr>
        <w:t>’</w:t>
      </w:r>
      <w:r w:rsidRPr="00F80615">
        <w:rPr>
          <w:b/>
          <w:bCs/>
          <w:lang w:val="fr-FR"/>
        </w:rPr>
        <w:t>utiliser l</w:t>
      </w:r>
      <w:r>
        <w:rPr>
          <w:b/>
          <w:bCs/>
          <w:lang w:val="fr-FR"/>
        </w:rPr>
        <w:t>’</w:t>
      </w:r>
      <w:r w:rsidRPr="00F80615">
        <w:rPr>
          <w:b/>
          <w:bCs/>
          <w:lang w:val="fr-FR"/>
        </w:rPr>
        <w:t xml:space="preserve">équation D.15 </w:t>
      </w:r>
      <w:r>
        <w:rPr>
          <w:b/>
          <w:bCs/>
          <w:lang w:val="fr-FR"/>
        </w:rPr>
        <w:t xml:space="preserve">énoncée à </w:t>
      </w:r>
      <w:r w:rsidRPr="00F80615">
        <w:rPr>
          <w:b/>
          <w:bCs/>
          <w:lang w:val="fr-FR"/>
        </w:rPr>
        <w:t>l</w:t>
      </w:r>
      <w:r>
        <w:rPr>
          <w:b/>
          <w:bCs/>
          <w:lang w:val="fr-FR"/>
        </w:rPr>
        <w:t>’</w:t>
      </w:r>
      <w:r w:rsidRPr="00F80615">
        <w:rPr>
          <w:b/>
          <w:bCs/>
          <w:lang w:val="fr-FR"/>
        </w:rPr>
        <w:t>annexe D de la norme ISO 8178-4</w:t>
      </w:r>
      <w:r w:rsidRPr="00636ECC">
        <w:rPr>
          <w:b/>
          <w:bCs/>
          <w:lang w:val="fr-FR"/>
        </w:rPr>
        <w:t>.</w:t>
      </w:r>
      <w:r>
        <w:rPr>
          <w:lang w:val="fr-FR"/>
        </w:rPr>
        <w:t> ».</w:t>
      </w:r>
    </w:p>
    <w:p w14:paraId="437A39A5" w14:textId="77777777" w:rsidR="00E77AE2" w:rsidRPr="00636ECC" w:rsidRDefault="00E77AE2" w:rsidP="00F6390E">
      <w:pPr>
        <w:pStyle w:val="SingleTxtG"/>
        <w:rPr>
          <w:i/>
          <w:iCs/>
          <w:lang w:val="fr-FR"/>
        </w:rPr>
      </w:pPr>
      <w:r w:rsidRPr="00636ECC">
        <w:rPr>
          <w:i/>
          <w:iCs/>
          <w:lang w:val="fr-FR"/>
        </w:rPr>
        <w:t>Annex</w:t>
      </w:r>
      <w:r>
        <w:rPr>
          <w:i/>
          <w:iCs/>
          <w:lang w:val="fr-FR"/>
        </w:rPr>
        <w:t>e</w:t>
      </w:r>
      <w:r w:rsidRPr="00636ECC">
        <w:rPr>
          <w:i/>
          <w:iCs/>
          <w:lang w:val="fr-FR"/>
        </w:rPr>
        <w:t xml:space="preserve"> 4A</w:t>
      </w:r>
      <w:r w:rsidR="002F264C">
        <w:rPr>
          <w:i/>
          <w:iCs/>
          <w:lang w:val="fr-FR"/>
        </w:rPr>
        <w:t>,</w:t>
      </w:r>
      <w:r w:rsidRPr="00636ECC">
        <w:rPr>
          <w:i/>
          <w:iCs/>
          <w:lang w:val="fr-FR"/>
        </w:rPr>
        <w:t xml:space="preserve"> </w:t>
      </w:r>
      <w:r>
        <w:rPr>
          <w:i/>
          <w:iCs/>
          <w:lang w:val="fr-FR"/>
        </w:rPr>
        <w:t>a</w:t>
      </w:r>
      <w:r w:rsidRPr="00636ECC">
        <w:rPr>
          <w:i/>
          <w:iCs/>
          <w:lang w:val="fr-FR"/>
        </w:rPr>
        <w:t>ppendi</w:t>
      </w:r>
      <w:r>
        <w:rPr>
          <w:i/>
          <w:iCs/>
          <w:lang w:val="fr-FR"/>
        </w:rPr>
        <w:t>ce</w:t>
      </w:r>
      <w:r w:rsidRPr="00636ECC">
        <w:rPr>
          <w:i/>
          <w:iCs/>
          <w:lang w:val="fr-FR"/>
        </w:rPr>
        <w:t xml:space="preserve"> 5</w:t>
      </w:r>
    </w:p>
    <w:p w14:paraId="43024722" w14:textId="77777777" w:rsidR="00E77AE2" w:rsidRPr="00636ECC" w:rsidRDefault="00E77AE2" w:rsidP="00F6390E">
      <w:pPr>
        <w:pStyle w:val="SingleTxtG"/>
        <w:rPr>
          <w:lang w:val="fr-FR"/>
        </w:rPr>
      </w:pPr>
      <w:r w:rsidRPr="00636ECC">
        <w:rPr>
          <w:i/>
          <w:iCs/>
          <w:lang w:val="fr-FR"/>
        </w:rPr>
        <w:t>Paragraph</w:t>
      </w:r>
      <w:r>
        <w:rPr>
          <w:i/>
          <w:iCs/>
          <w:lang w:val="fr-FR"/>
        </w:rPr>
        <w:t>e</w:t>
      </w:r>
      <w:r w:rsidRPr="00636ECC">
        <w:rPr>
          <w:i/>
          <w:iCs/>
          <w:lang w:val="fr-FR"/>
        </w:rPr>
        <w:t xml:space="preserve"> 1.2.1, </w:t>
      </w:r>
      <w:r>
        <w:rPr>
          <w:lang w:val="fr-FR"/>
        </w:rPr>
        <w:t>lire :</w:t>
      </w:r>
    </w:p>
    <w:p w14:paraId="496FB52C" w14:textId="77777777" w:rsidR="00E77AE2" w:rsidRPr="00636ECC" w:rsidRDefault="00E77AE2" w:rsidP="00F6390E">
      <w:pPr>
        <w:pStyle w:val="SingleTxtG"/>
        <w:ind w:left="2268" w:hanging="1134"/>
        <w:rPr>
          <w:lang w:val="fr-FR"/>
        </w:rPr>
      </w:pPr>
      <w:r>
        <w:rPr>
          <w:lang w:val="fr-FR"/>
        </w:rPr>
        <w:t>« </w:t>
      </w:r>
      <w:r w:rsidRPr="00636ECC">
        <w:rPr>
          <w:lang w:val="fr-FR"/>
        </w:rPr>
        <w:t>1.2.1</w:t>
      </w:r>
      <w:r w:rsidRPr="00636ECC">
        <w:rPr>
          <w:lang w:val="fr-FR"/>
        </w:rPr>
        <w:tab/>
      </w:r>
      <w:r w:rsidRPr="00C452ED">
        <w:t>Gaz purs</w:t>
      </w:r>
    </w:p>
    <w:p w14:paraId="5D86404F" w14:textId="77777777" w:rsidR="00E77AE2" w:rsidRDefault="00E77AE2" w:rsidP="00F6390E">
      <w:pPr>
        <w:pStyle w:val="SingleTxtG"/>
        <w:ind w:left="2268"/>
        <w:rPr>
          <w:lang w:val="fr-FR"/>
        </w:rPr>
      </w:pPr>
      <w:r>
        <w:rPr>
          <w:lang w:val="fr-FR"/>
        </w:rPr>
        <w:t>…</w:t>
      </w:r>
    </w:p>
    <w:p w14:paraId="025E030D" w14:textId="77777777" w:rsidR="00E77AE2" w:rsidRDefault="00E77AE2" w:rsidP="00F6390E">
      <w:pPr>
        <w:pStyle w:val="SingleTxtG"/>
        <w:ind w:left="2268"/>
      </w:pPr>
      <w:r w:rsidRPr="00C452ED">
        <w:t>Mélange hydrogèn</w:t>
      </w:r>
      <w:r w:rsidRPr="0055017D">
        <w:rPr>
          <w:strike/>
        </w:rPr>
        <w:t>e-hélium</w:t>
      </w:r>
      <w:r>
        <w:t xml:space="preserve"> (</w:t>
      </w:r>
      <w:r w:rsidRPr="0055017D">
        <w:t xml:space="preserve">carburant du brûleur </w:t>
      </w:r>
      <w:r>
        <w:t xml:space="preserve">du </w:t>
      </w:r>
      <w:r w:rsidRPr="0055017D">
        <w:t>FID</w:t>
      </w:r>
      <w:r>
        <w:t>)</w:t>
      </w:r>
      <w:r>
        <w:br/>
      </w:r>
      <w:r w:rsidRPr="00C452ED">
        <w:t xml:space="preserve">(40 </w:t>
      </w:r>
      <w:r w:rsidR="00F6390E">
        <w:sym w:font="Symbol" w:char="F0B1"/>
      </w:r>
      <w:r w:rsidRPr="00C452ED">
        <w:t xml:space="preserve"> </w:t>
      </w:r>
      <w:r>
        <w:t>1</w:t>
      </w:r>
      <w:r w:rsidRPr="00C452ED">
        <w:t> % d</w:t>
      </w:r>
      <w:r>
        <w:t>’</w:t>
      </w:r>
      <w:r w:rsidRPr="00C452ED">
        <w:t>hydrogène, et le reste en hélium</w:t>
      </w:r>
      <w:r w:rsidRPr="0055017D">
        <w:rPr>
          <w:b/>
          <w:bCs/>
        </w:rPr>
        <w:t xml:space="preserve"> ou sinon en azote</w:t>
      </w:r>
      <w:r w:rsidRPr="00C452ED">
        <w:t>)</w:t>
      </w:r>
      <w:r>
        <w:br/>
      </w:r>
      <w:r w:rsidRPr="00F3280E">
        <w:t xml:space="preserve">(Contamination </w:t>
      </w:r>
      <w:r w:rsidRPr="00C452ED">
        <w:sym w:font="Symbol" w:char="F0A3"/>
      </w:r>
      <w:r w:rsidRPr="00F3280E">
        <w:t xml:space="preserve"> 1 ppm C</w:t>
      </w:r>
      <w:r w:rsidRPr="0055017D">
        <w:rPr>
          <w:vertAlign w:val="subscript"/>
        </w:rPr>
        <w:t>1</w:t>
      </w:r>
      <w:r w:rsidRPr="00F3280E">
        <w:t xml:space="preserve">, </w:t>
      </w:r>
      <w:r w:rsidRPr="00C452ED">
        <w:sym w:font="Symbol" w:char="F0A3"/>
      </w:r>
      <w:r w:rsidRPr="00F3280E">
        <w:t xml:space="preserve"> 400 ppm CO</w:t>
      </w:r>
      <w:r w:rsidRPr="00F3280E">
        <w:rPr>
          <w:vertAlign w:val="subscript"/>
        </w:rPr>
        <w:t>2</w:t>
      </w:r>
      <w:r w:rsidRPr="00F3280E">
        <w:t>)</w:t>
      </w:r>
    </w:p>
    <w:p w14:paraId="6BA7AFDC" w14:textId="77777777" w:rsidR="00E77AE2" w:rsidRPr="00F3280E" w:rsidRDefault="00E77AE2" w:rsidP="00F6390E">
      <w:pPr>
        <w:pStyle w:val="SingleTxtG"/>
        <w:ind w:left="2268"/>
      </w:pPr>
      <w:r>
        <w:t>…</w:t>
      </w:r>
    </w:p>
    <w:p w14:paraId="1B127639" w14:textId="77777777" w:rsidR="00E77AE2" w:rsidRPr="00636ECC" w:rsidRDefault="00F6390E" w:rsidP="00F6390E">
      <w:pPr>
        <w:pStyle w:val="SingleTxtG"/>
        <w:ind w:left="2268"/>
        <w:rPr>
          <w:color w:val="000000" w:themeColor="text1"/>
          <w:lang w:val="fr-FR"/>
        </w:rPr>
      </w:pPr>
      <w:r>
        <w:rPr>
          <w:color w:val="000000" w:themeColor="text1"/>
          <w:lang w:val="fr-FR"/>
        </w:rPr>
        <w:t>.</w:t>
      </w:r>
      <w:r w:rsidR="00E77AE2">
        <w:rPr>
          <w:color w:val="000000" w:themeColor="text1"/>
          <w:lang w:val="fr-FR"/>
        </w:rPr>
        <w:t> ».</w:t>
      </w:r>
    </w:p>
    <w:p w14:paraId="2E4E3775" w14:textId="77777777" w:rsidR="00E77AE2" w:rsidRPr="00636ECC" w:rsidRDefault="00E77AE2" w:rsidP="00F6390E">
      <w:pPr>
        <w:pStyle w:val="SingleTxtG"/>
        <w:rPr>
          <w:i/>
          <w:iCs/>
          <w:lang w:val="fr-FR"/>
        </w:rPr>
      </w:pPr>
      <w:r w:rsidRPr="00636ECC">
        <w:rPr>
          <w:i/>
          <w:iCs/>
          <w:lang w:val="fr-FR"/>
        </w:rPr>
        <w:t>Paragraph</w:t>
      </w:r>
      <w:r>
        <w:rPr>
          <w:i/>
          <w:iCs/>
          <w:lang w:val="fr-FR"/>
        </w:rPr>
        <w:t>e</w:t>
      </w:r>
      <w:r w:rsidRPr="00636ECC">
        <w:rPr>
          <w:i/>
          <w:iCs/>
          <w:lang w:val="fr-FR"/>
        </w:rPr>
        <w:t xml:space="preserve"> 1.7.2, </w:t>
      </w:r>
      <w:bookmarkStart w:id="4" w:name="_Hlk67164164"/>
      <w:r>
        <w:rPr>
          <w:lang w:val="fr-FR"/>
        </w:rPr>
        <w:t>lire :</w:t>
      </w:r>
      <w:bookmarkEnd w:id="4"/>
    </w:p>
    <w:p w14:paraId="09B259AD" w14:textId="77777777" w:rsidR="00E77AE2" w:rsidRPr="00636ECC" w:rsidRDefault="00E77AE2" w:rsidP="00F6390E">
      <w:pPr>
        <w:pStyle w:val="SingleTxtG"/>
        <w:ind w:left="2268" w:hanging="1134"/>
        <w:rPr>
          <w:lang w:val="fr-FR"/>
        </w:rPr>
      </w:pPr>
      <w:r>
        <w:rPr>
          <w:lang w:val="fr-FR"/>
        </w:rPr>
        <w:t>« </w:t>
      </w:r>
      <w:r w:rsidRPr="00636ECC">
        <w:rPr>
          <w:lang w:val="fr-FR"/>
        </w:rPr>
        <w:t>1.7.2</w:t>
      </w:r>
      <w:r w:rsidRPr="00636ECC">
        <w:rPr>
          <w:lang w:val="fr-FR"/>
        </w:rPr>
        <w:tab/>
        <w:t>Étalonnage</w:t>
      </w:r>
    </w:p>
    <w:p w14:paraId="1A26F0FB" w14:textId="77777777" w:rsidR="00E77AE2" w:rsidRDefault="00E77AE2" w:rsidP="002F264C">
      <w:pPr>
        <w:pStyle w:val="SingleTxtG"/>
        <w:ind w:left="2268"/>
        <w:rPr>
          <w:lang w:val="fr-FR"/>
        </w:rPr>
      </w:pPr>
      <w:r w:rsidRPr="0055017D">
        <w:rPr>
          <w:lang w:val="fr-FR"/>
        </w:rPr>
        <w:t>Les analyseurs CLD et HCLD doivent être étalonnés sur la gamme la plus courante, conformément aux instructions du fabricant, au moyen d</w:t>
      </w:r>
      <w:r>
        <w:rPr>
          <w:lang w:val="fr-FR"/>
        </w:rPr>
        <w:t>’</w:t>
      </w:r>
      <w:r w:rsidRPr="0055017D">
        <w:rPr>
          <w:lang w:val="fr-FR"/>
        </w:rPr>
        <w:t>un gaz de mise à zéro et d</w:t>
      </w:r>
      <w:r>
        <w:rPr>
          <w:lang w:val="fr-FR"/>
        </w:rPr>
        <w:t>’</w:t>
      </w:r>
      <w:r w:rsidRPr="0055017D">
        <w:rPr>
          <w:lang w:val="fr-FR"/>
        </w:rPr>
        <w:t>un gaz de réglage d</w:t>
      </w:r>
      <w:r>
        <w:rPr>
          <w:lang w:val="fr-FR"/>
        </w:rPr>
        <w:t>’</w:t>
      </w:r>
      <w:r w:rsidRPr="0055017D">
        <w:rPr>
          <w:lang w:val="fr-FR"/>
        </w:rPr>
        <w:t>échelle (la teneur en NO de celui</w:t>
      </w:r>
      <w:r>
        <w:rPr>
          <w:lang w:val="fr-FR"/>
        </w:rPr>
        <w:t>-</w:t>
      </w:r>
      <w:r w:rsidRPr="0055017D">
        <w:rPr>
          <w:lang w:val="fr-FR"/>
        </w:rPr>
        <w:t>ci doit correspondre à 80 % approximativement de la valeur maximale de la gamme, et la teneur en NO</w:t>
      </w:r>
      <w:r w:rsidRPr="0055017D">
        <w:rPr>
          <w:vertAlign w:val="subscript"/>
          <w:lang w:val="fr-FR"/>
        </w:rPr>
        <w:t>2</w:t>
      </w:r>
      <w:r w:rsidRPr="0055017D">
        <w:rPr>
          <w:lang w:val="fr-FR"/>
        </w:rPr>
        <w:t xml:space="preserve"> du mélange doit être inférieure à 5 % de la teneur en NO). L</w:t>
      </w:r>
      <w:r>
        <w:rPr>
          <w:lang w:val="fr-FR"/>
        </w:rPr>
        <w:t>’</w:t>
      </w:r>
      <w:r>
        <w:rPr>
          <w:b/>
          <w:bCs/>
          <w:lang w:val="fr-FR"/>
        </w:rPr>
        <w:t>ozoniseur étant désactivé, l</w:t>
      </w:r>
      <w:r>
        <w:rPr>
          <w:b/>
          <w:bCs/>
          <w:lang w:val="fr-FR"/>
        </w:rPr>
        <w:t>’</w:t>
      </w:r>
      <w:r w:rsidRPr="0055017D">
        <w:rPr>
          <w:lang w:val="fr-FR"/>
        </w:rPr>
        <w:t>analyseur de NO</w:t>
      </w:r>
      <w:r w:rsidRPr="00FD40B9">
        <w:rPr>
          <w:vertAlign w:val="subscript"/>
          <w:lang w:val="fr-FR"/>
        </w:rPr>
        <w:t>x</w:t>
      </w:r>
      <w:r w:rsidRPr="0055017D">
        <w:rPr>
          <w:lang w:val="fr-FR"/>
        </w:rPr>
        <w:t xml:space="preserve"> doit être réglé sur le mode NO de manière que le gaz de réglage d</w:t>
      </w:r>
      <w:r>
        <w:rPr>
          <w:lang w:val="fr-FR"/>
        </w:rPr>
        <w:t>’</w:t>
      </w:r>
      <w:r w:rsidRPr="0055017D">
        <w:rPr>
          <w:lang w:val="fr-FR"/>
        </w:rPr>
        <w:t>échelle ne traverse pas le convertisseur. La concentration indiquée doit être enregistrée.</w:t>
      </w:r>
      <w:r>
        <w:rPr>
          <w:lang w:val="fr-FR"/>
        </w:rPr>
        <w:t> ».</w:t>
      </w:r>
    </w:p>
    <w:p w14:paraId="62F78A53" w14:textId="77777777" w:rsidR="00E77AE2" w:rsidRPr="00636ECC" w:rsidRDefault="00E77AE2" w:rsidP="002F264C">
      <w:pPr>
        <w:pStyle w:val="SingleTxtG"/>
        <w:keepNext/>
        <w:rPr>
          <w:lang w:val="fr-FR"/>
        </w:rPr>
      </w:pPr>
      <w:r w:rsidRPr="00636ECC">
        <w:rPr>
          <w:i/>
          <w:iCs/>
          <w:lang w:val="fr-FR"/>
        </w:rPr>
        <w:lastRenderedPageBreak/>
        <w:t xml:space="preserve">Paragraphe 1.7.8, </w:t>
      </w:r>
      <w:r>
        <w:rPr>
          <w:lang w:val="fr-FR"/>
        </w:rPr>
        <w:t>lire :</w:t>
      </w:r>
    </w:p>
    <w:p w14:paraId="4D827462" w14:textId="77777777" w:rsidR="00E77AE2" w:rsidRPr="00636ECC" w:rsidRDefault="00E77AE2" w:rsidP="002F264C">
      <w:pPr>
        <w:pStyle w:val="SingleTxtG"/>
        <w:keepNext/>
        <w:ind w:left="2268" w:hanging="1134"/>
        <w:rPr>
          <w:lang w:val="fr-FR"/>
        </w:rPr>
      </w:pPr>
      <w:r>
        <w:rPr>
          <w:lang w:val="fr-FR"/>
        </w:rPr>
        <w:t>« </w:t>
      </w:r>
      <w:r w:rsidRPr="00636ECC">
        <w:rPr>
          <w:lang w:val="fr-FR"/>
        </w:rPr>
        <w:t>1.7.8</w:t>
      </w:r>
      <w:r w:rsidRPr="00636ECC">
        <w:rPr>
          <w:lang w:val="fr-FR"/>
        </w:rPr>
        <w:tab/>
      </w:r>
      <w:r w:rsidRPr="00D014F5">
        <w:rPr>
          <w:lang w:val="fr-FR"/>
        </w:rPr>
        <w:t xml:space="preserve">Mode </w:t>
      </w:r>
      <w:r w:rsidRPr="00636ECC">
        <w:rPr>
          <w:lang w:val="fr-FR"/>
        </w:rPr>
        <w:t>NO</w:t>
      </w:r>
      <w:r w:rsidRPr="00D014F5">
        <w:rPr>
          <w:b/>
          <w:bCs/>
          <w:color w:val="000000" w:themeColor="text1"/>
          <w:vertAlign w:val="subscript"/>
          <w:lang w:val="fr-FR"/>
        </w:rPr>
        <w:t>x</w:t>
      </w:r>
      <w:r w:rsidRPr="00636ECC">
        <w:rPr>
          <w:lang w:val="fr-FR"/>
        </w:rPr>
        <w:t xml:space="preserve"> </w:t>
      </w:r>
    </w:p>
    <w:p w14:paraId="20B7B277" w14:textId="77777777" w:rsidR="00E77AE2" w:rsidRPr="00D014F5" w:rsidRDefault="00E77AE2" w:rsidP="002F264C">
      <w:pPr>
        <w:pStyle w:val="SingleTxtG"/>
        <w:ind w:left="2268"/>
        <w:rPr>
          <w:lang w:val="fr-FR"/>
        </w:rPr>
      </w:pPr>
      <w:r w:rsidRPr="00D014F5">
        <w:rPr>
          <w:lang w:val="fr-FR"/>
        </w:rPr>
        <w:t>L</w:t>
      </w:r>
      <w:r>
        <w:rPr>
          <w:lang w:val="fr-FR"/>
        </w:rPr>
        <w:t>’</w:t>
      </w:r>
      <w:r w:rsidRPr="00D014F5">
        <w:rPr>
          <w:lang w:val="fr-FR"/>
        </w:rPr>
        <w:t xml:space="preserve">analyseur est </w:t>
      </w:r>
      <w:r w:rsidRPr="00D014F5">
        <w:rPr>
          <w:strike/>
          <w:lang w:val="fr-FR"/>
        </w:rPr>
        <w:t>commuté sur le</w:t>
      </w:r>
      <w:r w:rsidRPr="00D014F5">
        <w:rPr>
          <w:b/>
          <w:bCs/>
          <w:strike/>
          <w:lang w:val="fr-FR"/>
        </w:rPr>
        <w:t xml:space="preserve"> </w:t>
      </w:r>
      <w:r>
        <w:rPr>
          <w:b/>
          <w:bCs/>
          <w:lang w:val="fr-FR"/>
        </w:rPr>
        <w:t>laissé en</w:t>
      </w:r>
      <w:r w:rsidRPr="00D014F5">
        <w:rPr>
          <w:lang w:val="fr-FR"/>
        </w:rPr>
        <w:t xml:space="preserve"> mode NO</w:t>
      </w:r>
      <w:r w:rsidRPr="00D014F5">
        <w:rPr>
          <w:b/>
          <w:bCs/>
          <w:vertAlign w:val="subscript"/>
          <w:lang w:val="fr-FR"/>
        </w:rPr>
        <w:t>x</w:t>
      </w:r>
      <w:r w:rsidRPr="00D014F5">
        <w:rPr>
          <w:lang w:val="fr-FR"/>
        </w:rPr>
        <w:t>, l</w:t>
      </w:r>
      <w:r>
        <w:rPr>
          <w:lang w:val="fr-FR"/>
        </w:rPr>
        <w:t>’</w:t>
      </w:r>
      <w:r w:rsidRPr="00D014F5">
        <w:rPr>
          <w:lang w:val="fr-FR"/>
        </w:rPr>
        <w:t>ozoniseur étant hors fonction</w:t>
      </w:r>
      <w:r>
        <w:rPr>
          <w:lang w:val="fr-FR"/>
        </w:rPr>
        <w:t> ;</w:t>
      </w:r>
      <w:r w:rsidRPr="00D014F5">
        <w:rPr>
          <w:lang w:val="fr-FR"/>
        </w:rPr>
        <w:t xml:space="preserve"> le débit d</w:t>
      </w:r>
      <w:r>
        <w:rPr>
          <w:lang w:val="fr-FR"/>
        </w:rPr>
        <w:t>’</w:t>
      </w:r>
      <w:r w:rsidRPr="00D014F5">
        <w:rPr>
          <w:lang w:val="fr-FR"/>
        </w:rPr>
        <w:t>oxygène ou d</w:t>
      </w:r>
      <w:r>
        <w:rPr>
          <w:lang w:val="fr-FR"/>
        </w:rPr>
        <w:t>’</w:t>
      </w:r>
      <w:r w:rsidRPr="00D014F5">
        <w:rPr>
          <w:lang w:val="fr-FR"/>
        </w:rPr>
        <w:t>air synthétique est aussi coupé. La valeur de NO</w:t>
      </w:r>
      <w:r w:rsidRPr="00D014F5">
        <w:rPr>
          <w:vertAlign w:val="subscript"/>
          <w:lang w:val="fr-FR"/>
        </w:rPr>
        <w:t>x</w:t>
      </w:r>
      <w:r w:rsidRPr="00D014F5">
        <w:rPr>
          <w:lang w:val="fr-FR"/>
        </w:rPr>
        <w:t xml:space="preserve"> indiquée par l</w:t>
      </w:r>
      <w:r>
        <w:rPr>
          <w:lang w:val="fr-FR"/>
        </w:rPr>
        <w:t>’</w:t>
      </w:r>
      <w:r w:rsidRPr="00D014F5">
        <w:rPr>
          <w:lang w:val="fr-FR"/>
        </w:rPr>
        <w:t>analyseur ne doit pas s</w:t>
      </w:r>
      <w:r>
        <w:rPr>
          <w:lang w:val="fr-FR"/>
        </w:rPr>
        <w:t>’</w:t>
      </w:r>
      <w:r w:rsidRPr="00D014F5">
        <w:rPr>
          <w:lang w:val="fr-FR"/>
        </w:rPr>
        <w:t xml:space="preserve">écarter de plus de </w:t>
      </w:r>
      <w:r w:rsidR="002F264C">
        <w:rPr>
          <w:lang w:val="fr-FR"/>
        </w:rPr>
        <w:sym w:font="Symbol" w:char="F0B1"/>
      </w:r>
      <w:r w:rsidRPr="00D014F5">
        <w:rPr>
          <w:lang w:val="fr-FR"/>
        </w:rPr>
        <w:t>5 % de la valeur mesurée conformément au paragraphe 1.7.2 du présent appendice (l</w:t>
      </w:r>
      <w:r>
        <w:rPr>
          <w:lang w:val="fr-FR"/>
        </w:rPr>
        <w:t>’</w:t>
      </w:r>
      <w:r w:rsidRPr="00D014F5">
        <w:rPr>
          <w:lang w:val="fr-FR"/>
        </w:rPr>
        <w:t>analyseur est réglé sur le mode NO</w:t>
      </w:r>
      <w:r w:rsidRPr="00D014F5">
        <w:rPr>
          <w:b/>
          <w:bCs/>
          <w:vertAlign w:val="subscript"/>
          <w:lang w:val="fr-FR"/>
        </w:rPr>
        <w:t>x</w:t>
      </w:r>
      <w:r w:rsidRPr="00D014F5">
        <w:rPr>
          <w:lang w:val="fr-FR"/>
        </w:rPr>
        <w:t>).</w:t>
      </w:r>
      <w:r w:rsidR="002F264C">
        <w:rPr>
          <w:lang w:val="fr-FR"/>
        </w:rPr>
        <w:t> ».</w:t>
      </w:r>
    </w:p>
    <w:p w14:paraId="4246310F" w14:textId="77777777" w:rsidR="00E77AE2" w:rsidRPr="00636ECC" w:rsidRDefault="00E77AE2" w:rsidP="002F264C">
      <w:pPr>
        <w:pStyle w:val="HChG"/>
        <w:rPr>
          <w:lang w:val="fr-FR"/>
        </w:rPr>
      </w:pPr>
      <w:r>
        <w:rPr>
          <w:lang w:val="fr-FR"/>
        </w:rPr>
        <w:tab/>
      </w:r>
      <w:r w:rsidRPr="00636ECC">
        <w:rPr>
          <w:lang w:val="fr-FR"/>
        </w:rPr>
        <w:t>II.</w:t>
      </w:r>
      <w:r w:rsidRPr="00636ECC">
        <w:rPr>
          <w:lang w:val="fr-FR"/>
        </w:rPr>
        <w:tab/>
        <w:t xml:space="preserve">Justification </w:t>
      </w:r>
    </w:p>
    <w:p w14:paraId="19D4DE46" w14:textId="77777777" w:rsidR="00E77AE2" w:rsidRPr="00636ECC" w:rsidRDefault="002F264C" w:rsidP="002F264C">
      <w:pPr>
        <w:pStyle w:val="SingleTxtG"/>
        <w:rPr>
          <w:u w:val="single"/>
          <w:lang w:val="fr-FR"/>
        </w:rPr>
      </w:pPr>
      <w:r w:rsidRPr="00636ECC">
        <w:rPr>
          <w:lang w:val="fr-FR"/>
        </w:rPr>
        <w:t>1.</w:t>
      </w:r>
      <w:r w:rsidRPr="00636ECC">
        <w:rPr>
          <w:lang w:val="fr-FR"/>
        </w:rPr>
        <w:tab/>
      </w:r>
      <w:r w:rsidR="00E77AE2" w:rsidRPr="00636ECC">
        <w:rPr>
          <w:u w:val="single"/>
          <w:lang w:val="fr-FR"/>
        </w:rPr>
        <w:t>Annexe 4B</w:t>
      </w:r>
      <w:r w:rsidR="00E77AE2">
        <w:rPr>
          <w:u w:val="single"/>
          <w:lang w:val="fr-FR"/>
        </w:rPr>
        <w:t> :</w:t>
      </w:r>
      <w:r w:rsidR="00E77AE2" w:rsidRPr="00636ECC">
        <w:rPr>
          <w:u w:val="single"/>
          <w:lang w:val="fr-FR"/>
        </w:rPr>
        <w:t xml:space="preserve"> </w:t>
      </w:r>
      <w:r w:rsidR="00E77AE2">
        <w:rPr>
          <w:u w:val="single"/>
          <w:lang w:val="fr-FR"/>
        </w:rPr>
        <w:t>m</w:t>
      </w:r>
      <w:r w:rsidR="00E77AE2" w:rsidRPr="00D014F5">
        <w:rPr>
          <w:u w:val="single"/>
          <w:lang w:val="fr-FR"/>
        </w:rPr>
        <w:t xml:space="preserve">odifications </w:t>
      </w:r>
      <w:r w:rsidR="00E77AE2">
        <w:rPr>
          <w:u w:val="single"/>
          <w:lang w:val="fr-FR"/>
        </w:rPr>
        <w:t xml:space="preserve">du </w:t>
      </w:r>
      <w:r w:rsidR="00E77AE2" w:rsidRPr="00636ECC">
        <w:rPr>
          <w:u w:val="single"/>
          <w:lang w:val="fr-FR"/>
        </w:rPr>
        <w:t>paragraphe 8.2</w:t>
      </w:r>
      <w:r w:rsidR="00E77AE2">
        <w:rPr>
          <w:u w:val="single"/>
          <w:lang w:val="fr-FR"/>
        </w:rPr>
        <w:t xml:space="preserve"> </w:t>
      </w:r>
      <w:r w:rsidR="00E77AE2" w:rsidRPr="00636ECC">
        <w:rPr>
          <w:u w:val="single"/>
          <w:lang w:val="fr-FR"/>
        </w:rPr>
        <w:t>relati</w:t>
      </w:r>
      <w:r w:rsidR="00E77AE2">
        <w:rPr>
          <w:u w:val="single"/>
          <w:lang w:val="fr-FR"/>
        </w:rPr>
        <w:t>ve</w:t>
      </w:r>
      <w:r w:rsidR="00E77AE2" w:rsidRPr="00636ECC">
        <w:rPr>
          <w:u w:val="single"/>
          <w:lang w:val="fr-FR"/>
        </w:rPr>
        <w:t>s à la correction des NO</w:t>
      </w:r>
      <w:r w:rsidR="00E77AE2" w:rsidRPr="00D014F5">
        <w:rPr>
          <w:u w:val="single"/>
          <w:vertAlign w:val="subscript"/>
          <w:lang w:val="fr-FR"/>
        </w:rPr>
        <w:t>x</w:t>
      </w:r>
      <w:r w:rsidR="00E77AE2" w:rsidRPr="00636ECC">
        <w:rPr>
          <w:u w:val="single"/>
          <w:lang w:val="fr-FR"/>
        </w:rPr>
        <w:t xml:space="preserve"> pour l</w:t>
      </w:r>
      <w:r w:rsidR="00E77AE2">
        <w:rPr>
          <w:u w:val="single"/>
          <w:lang w:val="fr-FR"/>
        </w:rPr>
        <w:t>’</w:t>
      </w:r>
      <w:r w:rsidR="00E77AE2" w:rsidRPr="00636ECC">
        <w:rPr>
          <w:u w:val="single"/>
          <w:lang w:val="fr-FR"/>
        </w:rPr>
        <w:t>humidité</w:t>
      </w:r>
    </w:p>
    <w:p w14:paraId="165FE465" w14:textId="77777777" w:rsidR="00E77AE2" w:rsidRPr="00636ECC" w:rsidRDefault="002F264C" w:rsidP="00E77AE2">
      <w:pPr>
        <w:pStyle w:val="Paragraphedeliste"/>
        <w:autoSpaceDE w:val="0"/>
        <w:autoSpaceDN w:val="0"/>
        <w:spacing w:after="120" w:line="240" w:lineRule="atLeast"/>
        <w:ind w:left="1134" w:right="1134"/>
        <w:contextualSpacing w:val="0"/>
        <w:rPr>
          <w:sz w:val="20"/>
          <w:szCs w:val="20"/>
          <w:lang w:val="fr-FR"/>
        </w:rPr>
      </w:pPr>
      <w:r>
        <w:rPr>
          <w:sz w:val="20"/>
          <w:szCs w:val="20"/>
          <w:lang w:val="fr-FR"/>
        </w:rPr>
        <w:tab/>
      </w:r>
      <w:r>
        <w:rPr>
          <w:sz w:val="20"/>
          <w:szCs w:val="20"/>
          <w:lang w:val="fr-FR"/>
        </w:rPr>
        <w:tab/>
      </w:r>
      <w:r w:rsidR="00E77AE2" w:rsidRPr="00636ECC">
        <w:rPr>
          <w:sz w:val="20"/>
          <w:szCs w:val="20"/>
          <w:lang w:val="fr-FR"/>
        </w:rPr>
        <w:t>Le raisonnement est tiré de l</w:t>
      </w:r>
      <w:r w:rsidR="00E77AE2">
        <w:rPr>
          <w:sz w:val="20"/>
          <w:szCs w:val="20"/>
          <w:lang w:val="fr-FR"/>
        </w:rPr>
        <w:t>’</w:t>
      </w:r>
      <w:r w:rsidR="00E77AE2" w:rsidRPr="00636ECC">
        <w:rPr>
          <w:sz w:val="20"/>
          <w:szCs w:val="20"/>
          <w:lang w:val="fr-FR"/>
        </w:rPr>
        <w:t>expérience, et la nécessité de la modification a été soulevée par le service technique.</w:t>
      </w:r>
    </w:p>
    <w:p w14:paraId="77C9BCAC" w14:textId="77777777" w:rsidR="00E77AE2" w:rsidRPr="00636ECC" w:rsidRDefault="002F264C" w:rsidP="002F264C">
      <w:pPr>
        <w:pStyle w:val="SingleTxtG"/>
        <w:rPr>
          <w:u w:val="single"/>
          <w:lang w:val="fr-FR"/>
        </w:rPr>
      </w:pPr>
      <w:r w:rsidRPr="00636ECC">
        <w:rPr>
          <w:lang w:val="fr-FR"/>
        </w:rPr>
        <w:t>2.</w:t>
      </w:r>
      <w:r w:rsidRPr="00636ECC">
        <w:rPr>
          <w:lang w:val="fr-FR"/>
        </w:rPr>
        <w:tab/>
      </w:r>
      <w:r w:rsidR="00E77AE2" w:rsidRPr="00636ECC">
        <w:rPr>
          <w:u w:val="single"/>
          <w:lang w:val="fr-FR"/>
        </w:rPr>
        <w:t>Annexe 4B</w:t>
      </w:r>
      <w:bookmarkStart w:id="5" w:name="_Hlk67213465"/>
      <w:r w:rsidR="00E77AE2">
        <w:rPr>
          <w:u w:val="single"/>
          <w:lang w:val="fr-FR"/>
        </w:rPr>
        <w:t> :</w:t>
      </w:r>
      <w:r w:rsidR="00E77AE2" w:rsidRPr="00636ECC">
        <w:rPr>
          <w:u w:val="single"/>
          <w:lang w:val="fr-FR"/>
        </w:rPr>
        <w:t xml:space="preserve"> </w:t>
      </w:r>
      <w:r w:rsidR="00E77AE2">
        <w:rPr>
          <w:u w:val="single"/>
          <w:lang w:val="fr-FR"/>
        </w:rPr>
        <w:t>m</w:t>
      </w:r>
      <w:r w:rsidR="00E77AE2" w:rsidRPr="00636ECC">
        <w:rPr>
          <w:u w:val="single"/>
          <w:lang w:val="fr-FR"/>
        </w:rPr>
        <w:t xml:space="preserve">odifications du paragraphe </w:t>
      </w:r>
      <w:bookmarkEnd w:id="5"/>
      <w:r w:rsidR="00E77AE2" w:rsidRPr="00636ECC">
        <w:rPr>
          <w:u w:val="single"/>
          <w:lang w:val="fr-FR"/>
        </w:rPr>
        <w:t>9.2</w:t>
      </w:r>
    </w:p>
    <w:p w14:paraId="1158055A" w14:textId="77777777" w:rsidR="00E77AE2" w:rsidRDefault="002F264C" w:rsidP="002F264C">
      <w:pPr>
        <w:pStyle w:val="SingleTxtG"/>
        <w:rPr>
          <w:lang w:val="fr-FR"/>
        </w:rPr>
      </w:pPr>
      <w:r>
        <w:rPr>
          <w:lang w:val="fr-FR"/>
        </w:rPr>
        <w:t>3.</w:t>
      </w:r>
      <w:r>
        <w:rPr>
          <w:lang w:val="fr-FR"/>
        </w:rPr>
        <w:tab/>
      </w:r>
      <w:r w:rsidR="00E77AE2" w:rsidRPr="00636ECC">
        <w:rPr>
          <w:lang w:val="fr-FR"/>
        </w:rPr>
        <w:t>Le raisonnement pour ajouter une rangée est le suivant.</w:t>
      </w:r>
    </w:p>
    <w:p w14:paraId="78D212B3" w14:textId="77777777" w:rsidR="00E77AE2" w:rsidRPr="00636ECC" w:rsidRDefault="002F264C" w:rsidP="002F264C">
      <w:pPr>
        <w:pStyle w:val="SingleTxtG"/>
        <w:rPr>
          <w:lang w:val="fr-FR"/>
        </w:rPr>
      </w:pPr>
      <w:bookmarkStart w:id="6" w:name="_Hlk67214191"/>
      <w:r>
        <w:rPr>
          <w:lang w:val="fr-FR"/>
        </w:rPr>
        <w:tab/>
      </w:r>
      <w:r>
        <w:rPr>
          <w:lang w:val="fr-FR"/>
        </w:rPr>
        <w:tab/>
      </w:r>
      <w:r w:rsidR="00E77AE2" w:rsidRPr="00D014F5">
        <w:rPr>
          <w:lang w:val="fr-FR"/>
        </w:rPr>
        <w:t>Le Règlement ONU n</w:t>
      </w:r>
      <w:r w:rsidR="00E77AE2" w:rsidRPr="00D014F5">
        <w:rPr>
          <w:vertAlign w:val="superscript"/>
          <w:lang w:val="fr-FR"/>
        </w:rPr>
        <w:t>o</w:t>
      </w:r>
      <w:r w:rsidR="00E77AE2" w:rsidRPr="00D014F5">
        <w:rPr>
          <w:lang w:val="fr-FR"/>
        </w:rPr>
        <w:t xml:space="preserve"> 49 ne définit aucune condition de linéarité pour les capteurs d</w:t>
      </w:r>
      <w:r w:rsidR="00E77AE2">
        <w:rPr>
          <w:lang w:val="fr-FR"/>
        </w:rPr>
        <w:t>’</w:t>
      </w:r>
      <w:r w:rsidR="00E77AE2" w:rsidRPr="00D014F5">
        <w:rPr>
          <w:lang w:val="fr-FR"/>
        </w:rPr>
        <w:t>humidité. Étant donné que le taux d</w:t>
      </w:r>
      <w:r w:rsidR="00E77AE2">
        <w:rPr>
          <w:lang w:val="fr-FR"/>
        </w:rPr>
        <w:t>’</w:t>
      </w:r>
      <w:r w:rsidR="00E77AE2" w:rsidRPr="00D014F5">
        <w:rPr>
          <w:lang w:val="fr-FR"/>
        </w:rPr>
        <w:t>humidité de l</w:t>
      </w:r>
      <w:r w:rsidR="00E77AE2">
        <w:rPr>
          <w:lang w:val="fr-FR"/>
        </w:rPr>
        <w:t>’</w:t>
      </w:r>
      <w:r w:rsidR="00E77AE2" w:rsidRPr="00D014F5">
        <w:rPr>
          <w:lang w:val="fr-FR"/>
        </w:rPr>
        <w:t>air d</w:t>
      </w:r>
      <w:r w:rsidR="00E77AE2">
        <w:rPr>
          <w:lang w:val="fr-FR"/>
        </w:rPr>
        <w:t>’</w:t>
      </w:r>
      <w:r w:rsidR="00E77AE2" w:rsidRPr="00D014F5">
        <w:rPr>
          <w:lang w:val="fr-FR"/>
        </w:rPr>
        <w:t>admission est une mesure essentielle pour le calcul des émissions spécifiques des gaz d</w:t>
      </w:r>
      <w:r w:rsidR="00E77AE2">
        <w:rPr>
          <w:lang w:val="fr-FR"/>
        </w:rPr>
        <w:t>’</w:t>
      </w:r>
      <w:r w:rsidR="00E77AE2" w:rsidRPr="00D014F5">
        <w:rPr>
          <w:lang w:val="fr-FR"/>
        </w:rPr>
        <w:t>échappement, il est important d</w:t>
      </w:r>
      <w:r w:rsidR="00E77AE2">
        <w:rPr>
          <w:u w:val="single"/>
          <w:lang w:val="fr-FR"/>
        </w:rPr>
        <w:t>’</w:t>
      </w:r>
      <w:r w:rsidR="00E77AE2" w:rsidRPr="00D014F5">
        <w:rPr>
          <w:u w:val="single"/>
          <w:lang w:val="fr-FR"/>
        </w:rPr>
        <w:t>ajouter des dispositions pour les capteurs d</w:t>
      </w:r>
      <w:r w:rsidR="00E77AE2">
        <w:rPr>
          <w:u w:val="single"/>
          <w:lang w:val="fr-FR"/>
        </w:rPr>
        <w:t>’</w:t>
      </w:r>
      <w:r w:rsidR="00E77AE2" w:rsidRPr="00D014F5">
        <w:rPr>
          <w:u w:val="single"/>
          <w:lang w:val="fr-FR"/>
        </w:rPr>
        <w:t>humidité</w:t>
      </w:r>
      <w:r w:rsidR="00E77AE2" w:rsidRPr="00D014F5">
        <w:rPr>
          <w:lang w:val="fr-FR"/>
        </w:rPr>
        <w:t xml:space="preserve"> (référence</w:t>
      </w:r>
      <w:r w:rsidR="00E77AE2">
        <w:rPr>
          <w:lang w:val="fr-FR"/>
        </w:rPr>
        <w:t> :</w:t>
      </w:r>
      <w:r w:rsidR="00E77AE2" w:rsidRPr="00D014F5">
        <w:rPr>
          <w:lang w:val="fr-FR"/>
        </w:rPr>
        <w:t xml:space="preserve"> norme ISO 16183, la précision de l</w:t>
      </w:r>
      <w:r w:rsidR="00E77AE2">
        <w:rPr>
          <w:lang w:val="fr-FR"/>
        </w:rPr>
        <w:t>’</w:t>
      </w:r>
      <w:r w:rsidR="00E77AE2" w:rsidRPr="00D014F5">
        <w:rPr>
          <w:lang w:val="fr-FR"/>
        </w:rPr>
        <w:t xml:space="preserve">humidité absolue doit être de </w:t>
      </w:r>
      <w:r>
        <w:rPr>
          <w:lang w:val="fr-FR"/>
        </w:rPr>
        <w:sym w:font="Symbol" w:char="F0B1"/>
      </w:r>
      <w:r w:rsidR="00E77AE2" w:rsidRPr="00D014F5">
        <w:rPr>
          <w:lang w:val="fr-FR"/>
        </w:rPr>
        <w:t>5</w:t>
      </w:r>
      <w:r w:rsidR="00E77AE2">
        <w:rPr>
          <w:lang w:val="fr-FR"/>
        </w:rPr>
        <w:t> </w:t>
      </w:r>
      <w:r w:rsidR="00E77AE2" w:rsidRPr="00D014F5">
        <w:rPr>
          <w:lang w:val="fr-FR"/>
        </w:rPr>
        <w:t>%).</w:t>
      </w:r>
    </w:p>
    <w:bookmarkEnd w:id="6"/>
    <w:p w14:paraId="2E246865" w14:textId="77777777" w:rsidR="00E77AE2" w:rsidRPr="00636ECC" w:rsidRDefault="002F264C" w:rsidP="002F264C">
      <w:pPr>
        <w:pStyle w:val="SingleTxtG"/>
        <w:rPr>
          <w:u w:val="single"/>
          <w:lang w:val="fr-FR"/>
        </w:rPr>
      </w:pPr>
      <w:r>
        <w:rPr>
          <w:lang w:val="fr-FR"/>
        </w:rPr>
        <w:t>4</w:t>
      </w:r>
      <w:r w:rsidRPr="00636ECC">
        <w:rPr>
          <w:lang w:val="fr-FR"/>
        </w:rPr>
        <w:t>.</w:t>
      </w:r>
      <w:r w:rsidRPr="00636ECC">
        <w:rPr>
          <w:lang w:val="fr-FR"/>
        </w:rPr>
        <w:tab/>
      </w:r>
      <w:r w:rsidR="00E77AE2" w:rsidRPr="00636ECC">
        <w:rPr>
          <w:u w:val="single"/>
          <w:lang w:val="fr-FR"/>
        </w:rPr>
        <w:t>Annex 4B</w:t>
      </w:r>
      <w:r w:rsidR="00E77AE2">
        <w:rPr>
          <w:u w:val="single"/>
          <w:lang w:val="fr-FR"/>
        </w:rPr>
        <w:t> :</w:t>
      </w:r>
      <w:r w:rsidR="00E77AE2" w:rsidRPr="00636ECC">
        <w:rPr>
          <w:u w:val="single"/>
          <w:lang w:val="fr-FR"/>
        </w:rPr>
        <w:t xml:space="preserve"> </w:t>
      </w:r>
      <w:r w:rsidR="00E77AE2">
        <w:rPr>
          <w:u w:val="single"/>
          <w:lang w:val="fr-FR"/>
        </w:rPr>
        <w:t>m</w:t>
      </w:r>
      <w:r w:rsidR="00E77AE2" w:rsidRPr="00636ECC">
        <w:rPr>
          <w:u w:val="single"/>
          <w:lang w:val="fr-FR"/>
        </w:rPr>
        <w:t>odifications du paragraphe 9.3.3.1</w:t>
      </w:r>
    </w:p>
    <w:p w14:paraId="45C5BED6" w14:textId="77777777" w:rsidR="00E77AE2" w:rsidRPr="002F264C" w:rsidRDefault="002F264C" w:rsidP="002F264C">
      <w:pPr>
        <w:pStyle w:val="SingleTxtG"/>
        <w:rPr>
          <w:lang w:val="fr-FR"/>
        </w:rPr>
      </w:pPr>
      <w:r>
        <w:rPr>
          <w:color w:val="000000" w:themeColor="text1"/>
          <w:lang w:val="fr-FR"/>
        </w:rPr>
        <w:tab/>
      </w:r>
      <w:r>
        <w:rPr>
          <w:color w:val="000000" w:themeColor="text1"/>
          <w:lang w:val="fr-FR"/>
        </w:rPr>
        <w:tab/>
      </w:r>
      <w:r w:rsidR="00E77AE2" w:rsidRPr="00B9073C">
        <w:rPr>
          <w:color w:val="000000" w:themeColor="text1"/>
          <w:lang w:val="fr-FR"/>
        </w:rPr>
        <w:t>L</w:t>
      </w:r>
      <w:r w:rsidR="00E77AE2">
        <w:rPr>
          <w:color w:val="000000" w:themeColor="text1"/>
          <w:lang w:val="fr-FR"/>
        </w:rPr>
        <w:t>’</w:t>
      </w:r>
      <w:r w:rsidR="00E77AE2" w:rsidRPr="00B9073C">
        <w:rPr>
          <w:color w:val="000000" w:themeColor="text1"/>
          <w:lang w:val="fr-FR"/>
        </w:rPr>
        <w:t>hélium est produit par le fractionnement du gaz naturel</w:t>
      </w:r>
      <w:r w:rsidR="00E77AE2">
        <w:rPr>
          <w:color w:val="000000" w:themeColor="text1"/>
          <w:lang w:val="fr-FR"/>
        </w:rPr>
        <w:t xml:space="preserve">, ce qui nécessite </w:t>
      </w:r>
      <w:r w:rsidR="00E77AE2" w:rsidRPr="00B9073C">
        <w:rPr>
          <w:color w:val="000000" w:themeColor="text1"/>
          <w:lang w:val="fr-FR"/>
        </w:rPr>
        <w:t>une forte consommation d</w:t>
      </w:r>
      <w:r w:rsidR="00E77AE2">
        <w:rPr>
          <w:color w:val="000000" w:themeColor="text1"/>
          <w:lang w:val="fr-FR"/>
        </w:rPr>
        <w:t>’</w:t>
      </w:r>
      <w:r w:rsidR="00E77AE2" w:rsidRPr="00B9073C">
        <w:rPr>
          <w:color w:val="000000" w:themeColor="text1"/>
          <w:lang w:val="fr-FR"/>
        </w:rPr>
        <w:t>énergie. Il est déjà classé comme une ressource essentielle par l</w:t>
      </w:r>
      <w:r w:rsidR="00E77AE2">
        <w:rPr>
          <w:color w:val="000000" w:themeColor="text1"/>
          <w:lang w:val="fr-FR"/>
        </w:rPr>
        <w:t>’</w:t>
      </w:r>
      <w:r w:rsidR="00E77AE2" w:rsidRPr="00B9073C">
        <w:rPr>
          <w:color w:val="000000" w:themeColor="text1"/>
          <w:lang w:val="fr-FR"/>
        </w:rPr>
        <w:t>Union européenne et les États-Unis. Dans l</w:t>
      </w:r>
      <w:r w:rsidR="00E77AE2">
        <w:rPr>
          <w:color w:val="000000" w:themeColor="text1"/>
          <w:lang w:val="fr-FR"/>
        </w:rPr>
        <w:t>’</w:t>
      </w:r>
      <w:r w:rsidR="00E77AE2" w:rsidRPr="00B9073C">
        <w:rPr>
          <w:color w:val="000000" w:themeColor="text1"/>
          <w:lang w:val="fr-FR"/>
        </w:rPr>
        <w:t>industrie automobile, l</w:t>
      </w:r>
      <w:r w:rsidR="00E77AE2">
        <w:rPr>
          <w:color w:val="000000" w:themeColor="text1"/>
          <w:lang w:val="fr-FR"/>
        </w:rPr>
        <w:t>’</w:t>
      </w:r>
      <w:r w:rsidR="00E77AE2" w:rsidRPr="00B9073C">
        <w:rPr>
          <w:color w:val="000000" w:themeColor="text1"/>
          <w:lang w:val="fr-FR"/>
        </w:rPr>
        <w:t xml:space="preserve">hélium est utilisé </w:t>
      </w:r>
      <w:r w:rsidR="00E77AE2">
        <w:rPr>
          <w:color w:val="000000" w:themeColor="text1"/>
          <w:lang w:val="fr-FR"/>
        </w:rPr>
        <w:t xml:space="preserve">dans le </w:t>
      </w:r>
      <w:r w:rsidR="00E77AE2" w:rsidRPr="00D266F8">
        <w:rPr>
          <w:color w:val="000000" w:themeColor="text1"/>
          <w:lang w:val="fr-FR"/>
        </w:rPr>
        <w:t xml:space="preserve">carburant </w:t>
      </w:r>
      <w:r w:rsidR="00E77AE2" w:rsidRPr="00FD40B9">
        <w:rPr>
          <w:color w:val="000000" w:themeColor="text1"/>
          <w:lang w:val="fr-FR"/>
        </w:rPr>
        <w:t xml:space="preserve">gazeux </w:t>
      </w:r>
      <w:r w:rsidR="00E77AE2">
        <w:rPr>
          <w:color w:val="000000" w:themeColor="text1"/>
          <w:lang w:val="fr-FR"/>
        </w:rPr>
        <w:t>d</w:t>
      </w:r>
      <w:r w:rsidR="00E77AE2" w:rsidRPr="00B9073C">
        <w:rPr>
          <w:color w:val="000000" w:themeColor="text1"/>
          <w:lang w:val="fr-FR"/>
        </w:rPr>
        <w:t>es détecteurs à ionisation de flamme (</w:t>
      </w:r>
      <w:r w:rsidR="00E77AE2">
        <w:rPr>
          <w:color w:val="000000" w:themeColor="text1"/>
          <w:lang w:val="fr-FR"/>
        </w:rPr>
        <w:t>DIF</w:t>
      </w:r>
      <w:r w:rsidR="00E77AE2" w:rsidRPr="00B9073C">
        <w:rPr>
          <w:color w:val="000000" w:themeColor="text1"/>
          <w:lang w:val="fr-FR"/>
        </w:rPr>
        <w:t xml:space="preserve">) </w:t>
      </w:r>
      <w:r w:rsidR="00E77AE2">
        <w:rPr>
          <w:color w:val="000000" w:themeColor="text1"/>
          <w:lang w:val="fr-FR"/>
        </w:rPr>
        <w:t xml:space="preserve">servant à </w:t>
      </w:r>
      <w:r w:rsidR="00E77AE2" w:rsidRPr="00B9073C">
        <w:rPr>
          <w:color w:val="000000" w:themeColor="text1"/>
          <w:lang w:val="fr-FR"/>
        </w:rPr>
        <w:t>mesurer les émissions d</w:t>
      </w:r>
      <w:r w:rsidR="00E77AE2">
        <w:rPr>
          <w:color w:val="000000" w:themeColor="text1"/>
          <w:lang w:val="fr-FR"/>
        </w:rPr>
        <w:t>’</w:t>
      </w:r>
      <w:r w:rsidR="00E77AE2" w:rsidRPr="00B9073C">
        <w:rPr>
          <w:color w:val="000000" w:themeColor="text1"/>
          <w:lang w:val="fr-FR"/>
        </w:rPr>
        <w:t xml:space="preserve">hydrocarbures. Dans le </w:t>
      </w:r>
      <w:r w:rsidR="00E77AE2" w:rsidRPr="00D266F8">
        <w:rPr>
          <w:color w:val="000000" w:themeColor="text1"/>
          <w:lang w:val="fr-FR"/>
        </w:rPr>
        <w:t xml:space="preserve">carburant </w:t>
      </w:r>
      <w:r w:rsidR="00E77AE2" w:rsidRPr="00FD40B9">
        <w:rPr>
          <w:color w:val="000000" w:themeColor="text1"/>
          <w:lang w:val="fr-FR"/>
        </w:rPr>
        <w:t xml:space="preserve">gazeux </w:t>
      </w:r>
      <w:r w:rsidR="00E77AE2" w:rsidRPr="00B9073C">
        <w:rPr>
          <w:color w:val="000000" w:themeColor="text1"/>
          <w:lang w:val="fr-FR"/>
        </w:rPr>
        <w:t>d</w:t>
      </w:r>
      <w:r w:rsidR="00E77AE2">
        <w:rPr>
          <w:color w:val="000000" w:themeColor="text1"/>
          <w:lang w:val="fr-FR"/>
        </w:rPr>
        <w:t>es</w:t>
      </w:r>
      <w:r w:rsidR="00E77AE2" w:rsidRPr="00B9073C">
        <w:rPr>
          <w:color w:val="000000" w:themeColor="text1"/>
          <w:lang w:val="fr-FR"/>
        </w:rPr>
        <w:t xml:space="preserve"> </w:t>
      </w:r>
      <w:r w:rsidR="00E77AE2" w:rsidRPr="006266D1">
        <w:rPr>
          <w:color w:val="000000" w:themeColor="text1"/>
          <w:lang w:val="fr-FR"/>
        </w:rPr>
        <w:t>DIF</w:t>
      </w:r>
      <w:r w:rsidR="00E77AE2" w:rsidRPr="00B9073C">
        <w:rPr>
          <w:color w:val="000000" w:themeColor="text1"/>
          <w:lang w:val="fr-FR"/>
        </w:rPr>
        <w:t>, l</w:t>
      </w:r>
      <w:r w:rsidR="00E77AE2">
        <w:rPr>
          <w:color w:val="000000" w:themeColor="text1"/>
          <w:lang w:val="fr-FR"/>
        </w:rPr>
        <w:t>’</w:t>
      </w:r>
      <w:r w:rsidR="00E77AE2" w:rsidRPr="00B9073C">
        <w:rPr>
          <w:color w:val="000000" w:themeColor="text1"/>
          <w:lang w:val="fr-FR"/>
        </w:rPr>
        <w:t>hélium est mélangé à l</w:t>
      </w:r>
      <w:r w:rsidR="00E77AE2">
        <w:rPr>
          <w:color w:val="000000" w:themeColor="text1"/>
          <w:lang w:val="fr-FR"/>
        </w:rPr>
        <w:t>’</w:t>
      </w:r>
      <w:r w:rsidR="00E77AE2" w:rsidRPr="00B9073C">
        <w:rPr>
          <w:color w:val="000000" w:themeColor="text1"/>
          <w:lang w:val="fr-FR"/>
        </w:rPr>
        <w:t xml:space="preserve">hydrogène dans un rapport de 40 % </w:t>
      </w:r>
      <w:r w:rsidR="00E77AE2">
        <w:rPr>
          <w:color w:val="000000" w:themeColor="text1"/>
          <w:lang w:val="fr-FR"/>
        </w:rPr>
        <w:t xml:space="preserve">de </w:t>
      </w:r>
      <w:r w:rsidR="00E77AE2" w:rsidRPr="00B9073C">
        <w:rPr>
          <w:color w:val="000000" w:themeColor="text1"/>
          <w:lang w:val="fr-FR"/>
        </w:rPr>
        <w:t>H</w:t>
      </w:r>
      <w:r w:rsidR="00E77AE2" w:rsidRPr="00D266F8">
        <w:rPr>
          <w:color w:val="000000" w:themeColor="text1"/>
          <w:vertAlign w:val="subscript"/>
          <w:lang w:val="fr-FR"/>
        </w:rPr>
        <w:t>2</w:t>
      </w:r>
      <w:r w:rsidR="00E77AE2" w:rsidRPr="00B9073C">
        <w:rPr>
          <w:color w:val="000000" w:themeColor="text1"/>
          <w:lang w:val="fr-FR"/>
        </w:rPr>
        <w:t xml:space="preserve"> et 60 % </w:t>
      </w:r>
      <w:r w:rsidR="00E77AE2">
        <w:rPr>
          <w:color w:val="000000" w:themeColor="text1"/>
          <w:lang w:val="fr-FR"/>
        </w:rPr>
        <w:t xml:space="preserve">de </w:t>
      </w:r>
      <w:r w:rsidR="00E77AE2" w:rsidRPr="00B9073C">
        <w:rPr>
          <w:color w:val="000000" w:themeColor="text1"/>
          <w:lang w:val="fr-FR"/>
        </w:rPr>
        <w:t>He. Les fluctuations annuelles du marché mondial de l</w:t>
      </w:r>
      <w:r w:rsidR="00E77AE2">
        <w:rPr>
          <w:color w:val="000000" w:themeColor="text1"/>
          <w:lang w:val="fr-FR"/>
        </w:rPr>
        <w:t>’</w:t>
      </w:r>
      <w:r w:rsidR="00E77AE2" w:rsidRPr="00B9073C">
        <w:rPr>
          <w:color w:val="000000" w:themeColor="text1"/>
          <w:lang w:val="fr-FR"/>
        </w:rPr>
        <w:t xml:space="preserve">hélium conduisent à des pénuries de carburant gazeux pour les </w:t>
      </w:r>
      <w:r w:rsidR="00E77AE2" w:rsidRPr="00FD40B9">
        <w:rPr>
          <w:color w:val="000000" w:themeColor="text1"/>
          <w:lang w:val="fr-FR"/>
        </w:rPr>
        <w:t>DIF</w:t>
      </w:r>
      <w:r w:rsidR="00E77AE2" w:rsidRPr="00B9073C">
        <w:rPr>
          <w:color w:val="000000" w:themeColor="text1"/>
          <w:lang w:val="fr-FR"/>
        </w:rPr>
        <w:t xml:space="preserve">, </w:t>
      </w:r>
      <w:r w:rsidR="00E77AE2">
        <w:rPr>
          <w:color w:val="000000" w:themeColor="text1"/>
          <w:lang w:val="fr-FR"/>
        </w:rPr>
        <w:t xml:space="preserve">ce qui </w:t>
      </w:r>
      <w:r w:rsidR="00E77AE2" w:rsidRPr="00B9073C">
        <w:rPr>
          <w:color w:val="000000" w:themeColor="text1"/>
          <w:lang w:val="fr-FR"/>
        </w:rPr>
        <w:t>s</w:t>
      </w:r>
      <w:r w:rsidR="00E77AE2">
        <w:rPr>
          <w:color w:val="000000" w:themeColor="text1"/>
          <w:lang w:val="fr-FR"/>
        </w:rPr>
        <w:t>’</w:t>
      </w:r>
      <w:r w:rsidR="00E77AE2" w:rsidRPr="00B9073C">
        <w:rPr>
          <w:color w:val="000000" w:themeColor="text1"/>
          <w:lang w:val="fr-FR"/>
        </w:rPr>
        <w:t>est</w:t>
      </w:r>
      <w:r w:rsidR="00E77AE2">
        <w:rPr>
          <w:color w:val="000000" w:themeColor="text1"/>
          <w:lang w:val="fr-FR"/>
        </w:rPr>
        <w:t xml:space="preserve"> ainsi </w:t>
      </w:r>
      <w:r w:rsidR="00E77AE2" w:rsidRPr="00B9073C">
        <w:rPr>
          <w:color w:val="000000" w:themeColor="text1"/>
          <w:lang w:val="fr-FR"/>
        </w:rPr>
        <w:t>produit récemment au cours de l</w:t>
      </w:r>
      <w:r w:rsidR="00E77AE2">
        <w:rPr>
          <w:color w:val="000000" w:themeColor="text1"/>
          <w:lang w:val="fr-FR"/>
        </w:rPr>
        <w:t>’</w:t>
      </w:r>
      <w:r w:rsidR="00E77AE2" w:rsidRPr="00B9073C">
        <w:rPr>
          <w:color w:val="000000" w:themeColor="text1"/>
          <w:lang w:val="fr-FR"/>
        </w:rPr>
        <w:t>été 2018. Afin de protéger l</w:t>
      </w:r>
      <w:r w:rsidR="00E77AE2">
        <w:rPr>
          <w:color w:val="000000" w:themeColor="text1"/>
          <w:lang w:val="fr-FR"/>
        </w:rPr>
        <w:t>’</w:t>
      </w:r>
      <w:r w:rsidR="00E77AE2" w:rsidRPr="00B9073C">
        <w:rPr>
          <w:color w:val="000000" w:themeColor="text1"/>
          <w:lang w:val="fr-FR"/>
        </w:rPr>
        <w:t>industrie des fluctuations du marché mondial de l</w:t>
      </w:r>
      <w:r w:rsidR="00E77AE2">
        <w:rPr>
          <w:color w:val="000000" w:themeColor="text1"/>
          <w:lang w:val="fr-FR"/>
        </w:rPr>
        <w:t>’</w:t>
      </w:r>
      <w:r w:rsidR="00E77AE2" w:rsidRPr="00B9073C">
        <w:rPr>
          <w:color w:val="000000" w:themeColor="text1"/>
          <w:lang w:val="fr-FR"/>
        </w:rPr>
        <w:t>hélium, la législation américaine a réagi dès 2014 et a autorisé l</w:t>
      </w:r>
      <w:r w:rsidR="00E77AE2">
        <w:rPr>
          <w:color w:val="000000" w:themeColor="text1"/>
          <w:lang w:val="fr-FR"/>
        </w:rPr>
        <w:t>’</w:t>
      </w:r>
      <w:r w:rsidR="00E77AE2" w:rsidRPr="00B9073C">
        <w:rPr>
          <w:color w:val="000000" w:themeColor="text1"/>
          <w:lang w:val="fr-FR"/>
        </w:rPr>
        <w:t>utilisation d</w:t>
      </w:r>
      <w:r w:rsidR="00E77AE2">
        <w:rPr>
          <w:color w:val="000000" w:themeColor="text1"/>
          <w:lang w:val="fr-FR"/>
        </w:rPr>
        <w:t>’</w:t>
      </w:r>
      <w:r w:rsidR="00E77AE2" w:rsidRPr="00B9073C">
        <w:rPr>
          <w:color w:val="000000" w:themeColor="text1"/>
          <w:lang w:val="fr-FR"/>
        </w:rPr>
        <w:t xml:space="preserve">azote </w:t>
      </w:r>
      <w:r w:rsidR="00E77AE2">
        <w:rPr>
          <w:color w:val="000000" w:themeColor="text1"/>
          <w:lang w:val="fr-FR"/>
        </w:rPr>
        <w:t>en tant que</w:t>
      </w:r>
      <w:r w:rsidR="00E77AE2" w:rsidRPr="00B9073C">
        <w:rPr>
          <w:color w:val="000000" w:themeColor="text1"/>
          <w:lang w:val="fr-FR"/>
        </w:rPr>
        <w:t xml:space="preserve"> gaz de substitution </w:t>
      </w:r>
      <w:r w:rsidR="00E77AE2">
        <w:rPr>
          <w:color w:val="000000" w:themeColor="text1"/>
          <w:lang w:val="fr-FR"/>
        </w:rPr>
        <w:t xml:space="preserve">dans le </w:t>
      </w:r>
      <w:r w:rsidR="00E77AE2" w:rsidRPr="00B9073C">
        <w:rPr>
          <w:color w:val="000000" w:themeColor="text1"/>
          <w:lang w:val="fr-FR"/>
        </w:rPr>
        <w:t xml:space="preserve">carburant gazeux </w:t>
      </w:r>
      <w:r w:rsidR="00E77AE2">
        <w:rPr>
          <w:color w:val="000000" w:themeColor="text1"/>
          <w:lang w:val="fr-FR"/>
        </w:rPr>
        <w:t>d</w:t>
      </w:r>
      <w:r w:rsidR="00E77AE2" w:rsidRPr="00B9073C">
        <w:rPr>
          <w:color w:val="000000" w:themeColor="text1"/>
          <w:lang w:val="fr-FR"/>
        </w:rPr>
        <w:t>es FID (§1065.750 (2i</w:t>
      </w:r>
      <w:r w:rsidR="00E77AE2" w:rsidRPr="002F264C">
        <w:rPr>
          <w:lang w:val="fr-FR"/>
        </w:rPr>
        <w:t>) [</w:t>
      </w:r>
      <w:hyperlink r:id="rId20" w:history="1">
        <w:r w:rsidR="00E77AE2" w:rsidRPr="002F264C">
          <w:rPr>
            <w:rStyle w:val="Lienhypertexte"/>
            <w:color w:val="auto"/>
            <w:lang w:val="fr-FR"/>
          </w:rPr>
          <w:t>https://ecfr.io/Title</w:t>
        </w:r>
        <w:r w:rsidR="00E77AE2" w:rsidRPr="002F264C">
          <w:rPr>
            <w:rStyle w:val="Lienhypertexte"/>
            <w:color w:val="auto"/>
            <w:lang w:val="fr-FR"/>
          </w:rPr>
          <w:t>-</w:t>
        </w:r>
        <w:r w:rsidR="00E77AE2" w:rsidRPr="002F264C">
          <w:rPr>
            <w:rStyle w:val="Lienhypertexte"/>
            <w:color w:val="auto"/>
            <w:lang w:val="fr-FR"/>
          </w:rPr>
          <w:t>40/pt40.37.1065#se40.37.1065_1260</w:t>
        </w:r>
      </w:hyperlink>
      <w:r w:rsidR="00E77AE2" w:rsidRPr="002F264C">
        <w:rPr>
          <w:lang w:val="fr-FR"/>
        </w:rPr>
        <w:t>].</w:t>
      </w:r>
    </w:p>
    <w:p w14:paraId="4E36F0E8" w14:textId="77777777" w:rsidR="00E77AE2" w:rsidRPr="00636ECC" w:rsidRDefault="002F264C" w:rsidP="002F264C">
      <w:pPr>
        <w:pStyle w:val="SingleTxtG"/>
        <w:rPr>
          <w:u w:val="single"/>
          <w:lang w:val="fr-FR"/>
        </w:rPr>
      </w:pPr>
      <w:r>
        <w:rPr>
          <w:lang w:val="fr-FR"/>
        </w:rPr>
        <w:t>5</w:t>
      </w:r>
      <w:r w:rsidRPr="00636ECC">
        <w:rPr>
          <w:lang w:val="fr-FR"/>
        </w:rPr>
        <w:t>.</w:t>
      </w:r>
      <w:r w:rsidRPr="00636ECC">
        <w:rPr>
          <w:lang w:val="fr-FR"/>
        </w:rPr>
        <w:tab/>
      </w:r>
      <w:r w:rsidR="00E77AE2" w:rsidRPr="00636ECC">
        <w:rPr>
          <w:u w:val="single"/>
          <w:lang w:val="fr-FR"/>
        </w:rPr>
        <w:t>Annex 4A</w:t>
      </w:r>
      <w:r>
        <w:rPr>
          <w:u w:val="single"/>
          <w:lang w:val="fr-FR"/>
        </w:rPr>
        <w:t>,</w:t>
      </w:r>
      <w:r w:rsidR="00E77AE2" w:rsidRPr="00636ECC">
        <w:rPr>
          <w:u w:val="single"/>
          <w:lang w:val="fr-FR"/>
        </w:rPr>
        <w:t xml:space="preserve"> </w:t>
      </w:r>
      <w:r w:rsidR="00E77AE2">
        <w:rPr>
          <w:u w:val="single"/>
          <w:lang w:val="fr-FR"/>
        </w:rPr>
        <w:t>a</w:t>
      </w:r>
      <w:r w:rsidR="00E77AE2" w:rsidRPr="00636ECC">
        <w:rPr>
          <w:u w:val="single"/>
          <w:lang w:val="fr-FR"/>
        </w:rPr>
        <w:t>ppendi</w:t>
      </w:r>
      <w:r w:rsidR="00E77AE2">
        <w:rPr>
          <w:u w:val="single"/>
          <w:lang w:val="fr-FR"/>
        </w:rPr>
        <w:t>ce</w:t>
      </w:r>
      <w:r w:rsidR="00E77AE2" w:rsidRPr="00636ECC">
        <w:rPr>
          <w:u w:val="single"/>
          <w:lang w:val="fr-FR"/>
        </w:rPr>
        <w:t xml:space="preserve"> 5</w:t>
      </w:r>
      <w:r w:rsidR="00E77AE2">
        <w:rPr>
          <w:u w:val="single"/>
          <w:lang w:val="fr-FR"/>
        </w:rPr>
        <w:t> :</w:t>
      </w:r>
      <w:r w:rsidR="00E77AE2" w:rsidRPr="00B9073C">
        <w:rPr>
          <w:u w:val="single"/>
          <w:lang w:val="fr-FR"/>
        </w:rPr>
        <w:t xml:space="preserve"> modification</w:t>
      </w:r>
      <w:r w:rsidR="00E77AE2">
        <w:rPr>
          <w:u w:val="single"/>
          <w:lang w:val="fr-FR"/>
        </w:rPr>
        <w:t>s</w:t>
      </w:r>
      <w:r w:rsidR="00E77AE2" w:rsidRPr="00B9073C">
        <w:rPr>
          <w:u w:val="single"/>
          <w:lang w:val="fr-FR"/>
        </w:rPr>
        <w:t xml:space="preserve"> du paragraphe</w:t>
      </w:r>
      <w:r w:rsidR="00E77AE2" w:rsidRPr="00636ECC">
        <w:rPr>
          <w:u w:val="single"/>
          <w:lang w:val="fr-FR"/>
        </w:rPr>
        <w:t xml:space="preserve"> 1.2.1</w:t>
      </w:r>
    </w:p>
    <w:p w14:paraId="2CC4D3F7" w14:textId="77777777" w:rsidR="00E77AE2" w:rsidRPr="00636ECC" w:rsidRDefault="002F264C" w:rsidP="002F264C">
      <w:pPr>
        <w:pStyle w:val="SingleTxtG"/>
        <w:rPr>
          <w:color w:val="000000" w:themeColor="text1"/>
          <w:lang w:val="fr-FR"/>
        </w:rPr>
      </w:pPr>
      <w:r>
        <w:rPr>
          <w:color w:val="000000" w:themeColor="text1"/>
          <w:lang w:val="fr-FR"/>
        </w:rPr>
        <w:tab/>
      </w:r>
      <w:r>
        <w:rPr>
          <w:color w:val="000000" w:themeColor="text1"/>
          <w:lang w:val="fr-FR"/>
        </w:rPr>
        <w:tab/>
      </w:r>
      <w:r w:rsidR="00E77AE2" w:rsidRPr="00B9073C">
        <w:rPr>
          <w:color w:val="000000" w:themeColor="text1"/>
          <w:lang w:val="fr-FR"/>
        </w:rPr>
        <w:t xml:space="preserve">Même raisonnement que précédemment pour </w:t>
      </w:r>
      <w:r w:rsidR="00E77AE2">
        <w:rPr>
          <w:color w:val="000000" w:themeColor="text1"/>
          <w:lang w:val="fr-FR"/>
        </w:rPr>
        <w:t xml:space="preserve">le </w:t>
      </w:r>
      <w:r w:rsidR="00E77AE2" w:rsidRPr="00B9073C">
        <w:rPr>
          <w:color w:val="000000" w:themeColor="text1"/>
          <w:lang w:val="fr-FR"/>
        </w:rPr>
        <w:t>paragraphe 9</w:t>
      </w:r>
      <w:r w:rsidR="00E77AE2" w:rsidRPr="00636ECC">
        <w:rPr>
          <w:color w:val="000000" w:themeColor="text1"/>
          <w:lang w:val="fr-FR"/>
        </w:rPr>
        <w:t>.3.3</w:t>
      </w:r>
      <w:r w:rsidR="00E77AE2">
        <w:rPr>
          <w:color w:val="000000" w:themeColor="text1"/>
          <w:lang w:val="fr-FR"/>
        </w:rPr>
        <w:t>.</w:t>
      </w:r>
      <w:r w:rsidR="00E77AE2" w:rsidRPr="00636ECC">
        <w:rPr>
          <w:color w:val="000000" w:themeColor="text1"/>
          <w:lang w:val="fr-FR"/>
        </w:rPr>
        <w:t>1</w:t>
      </w:r>
      <w:r w:rsidR="00E77AE2">
        <w:rPr>
          <w:color w:val="000000" w:themeColor="text1"/>
          <w:lang w:val="fr-FR"/>
        </w:rPr>
        <w:t xml:space="preserve"> de </w:t>
      </w:r>
      <w:r w:rsidR="00E77AE2" w:rsidRPr="00B9073C">
        <w:rPr>
          <w:color w:val="000000" w:themeColor="text1"/>
          <w:lang w:val="fr-FR"/>
        </w:rPr>
        <w:t>l</w:t>
      </w:r>
      <w:r w:rsidR="00E77AE2">
        <w:rPr>
          <w:color w:val="000000" w:themeColor="text1"/>
          <w:lang w:val="fr-FR"/>
        </w:rPr>
        <w:t>’</w:t>
      </w:r>
      <w:r w:rsidR="00E77AE2" w:rsidRPr="00B9073C">
        <w:rPr>
          <w:color w:val="000000" w:themeColor="text1"/>
          <w:lang w:val="fr-FR"/>
        </w:rPr>
        <w:t>annexe 4B</w:t>
      </w:r>
      <w:r w:rsidR="00E77AE2" w:rsidRPr="00636ECC">
        <w:rPr>
          <w:color w:val="000000" w:themeColor="text1"/>
          <w:lang w:val="fr-FR"/>
        </w:rPr>
        <w:t>.</w:t>
      </w:r>
    </w:p>
    <w:p w14:paraId="160482D9" w14:textId="77777777" w:rsidR="00E77AE2" w:rsidRPr="00636ECC" w:rsidRDefault="002F264C" w:rsidP="002F264C">
      <w:pPr>
        <w:pStyle w:val="SingleTxtG"/>
        <w:rPr>
          <w:u w:val="single"/>
          <w:lang w:val="fr-FR"/>
        </w:rPr>
      </w:pPr>
      <w:r>
        <w:rPr>
          <w:lang w:val="fr-FR"/>
        </w:rPr>
        <w:t>6</w:t>
      </w:r>
      <w:r w:rsidRPr="00636ECC">
        <w:rPr>
          <w:lang w:val="fr-FR"/>
        </w:rPr>
        <w:t>.</w:t>
      </w:r>
      <w:r w:rsidRPr="00636ECC">
        <w:rPr>
          <w:lang w:val="fr-FR"/>
        </w:rPr>
        <w:tab/>
      </w:r>
      <w:r w:rsidR="00E77AE2" w:rsidRPr="00636ECC">
        <w:rPr>
          <w:u w:val="single"/>
          <w:lang w:val="fr-FR"/>
        </w:rPr>
        <w:t>Annex</w:t>
      </w:r>
      <w:r w:rsidR="00E77AE2">
        <w:rPr>
          <w:u w:val="single"/>
          <w:lang w:val="fr-FR"/>
        </w:rPr>
        <w:t>e</w:t>
      </w:r>
      <w:r w:rsidR="00E77AE2" w:rsidRPr="00636ECC">
        <w:rPr>
          <w:u w:val="single"/>
          <w:lang w:val="fr-FR"/>
        </w:rPr>
        <w:t xml:space="preserve"> 4A, </w:t>
      </w:r>
      <w:r w:rsidR="00E77AE2">
        <w:rPr>
          <w:u w:val="single"/>
          <w:lang w:val="fr-FR"/>
        </w:rPr>
        <w:t>a</w:t>
      </w:r>
      <w:r w:rsidR="00E77AE2" w:rsidRPr="00636ECC">
        <w:rPr>
          <w:u w:val="single"/>
          <w:lang w:val="fr-FR"/>
        </w:rPr>
        <w:t>ppendi</w:t>
      </w:r>
      <w:r w:rsidR="00E77AE2">
        <w:rPr>
          <w:u w:val="single"/>
          <w:lang w:val="fr-FR"/>
        </w:rPr>
        <w:t>ce</w:t>
      </w:r>
      <w:r w:rsidR="00E77AE2" w:rsidRPr="00636ECC">
        <w:rPr>
          <w:u w:val="single"/>
          <w:lang w:val="fr-FR"/>
        </w:rPr>
        <w:t xml:space="preserve"> 5</w:t>
      </w:r>
      <w:r w:rsidR="00E77AE2">
        <w:rPr>
          <w:u w:val="single"/>
          <w:lang w:val="fr-FR"/>
        </w:rPr>
        <w:t> :</w:t>
      </w:r>
      <w:r w:rsidR="00E77AE2" w:rsidRPr="00E77AE2">
        <w:rPr>
          <w:u w:val="single"/>
        </w:rPr>
        <w:t xml:space="preserve"> </w:t>
      </w:r>
      <w:r w:rsidR="00E77AE2" w:rsidRPr="00B9073C">
        <w:rPr>
          <w:u w:val="single"/>
          <w:lang w:val="fr-FR"/>
        </w:rPr>
        <w:t>modifications du paragraphe</w:t>
      </w:r>
      <w:r w:rsidR="00E77AE2" w:rsidRPr="00636ECC">
        <w:rPr>
          <w:u w:val="single"/>
          <w:lang w:val="fr-FR"/>
        </w:rPr>
        <w:t xml:space="preserve"> 1.7.2.</w:t>
      </w:r>
    </w:p>
    <w:p w14:paraId="461C89AF" w14:textId="77777777" w:rsidR="00E77AE2" w:rsidRPr="00636ECC" w:rsidRDefault="002F264C" w:rsidP="002F264C">
      <w:pPr>
        <w:pStyle w:val="SingleTxtG"/>
        <w:rPr>
          <w:lang w:val="fr-FR"/>
        </w:rPr>
      </w:pPr>
      <w:r>
        <w:rPr>
          <w:color w:val="000000" w:themeColor="text1"/>
          <w:lang w:val="fr-FR"/>
        </w:rPr>
        <w:tab/>
      </w:r>
      <w:r>
        <w:rPr>
          <w:color w:val="000000" w:themeColor="text1"/>
          <w:lang w:val="fr-FR"/>
        </w:rPr>
        <w:tab/>
      </w:r>
      <w:r w:rsidR="00E77AE2">
        <w:rPr>
          <w:color w:val="000000" w:themeColor="text1"/>
          <w:lang w:val="fr-FR"/>
        </w:rPr>
        <w:t>Vise à</w:t>
      </w:r>
      <w:r w:rsidR="00E77AE2" w:rsidRPr="00B9073C">
        <w:rPr>
          <w:color w:val="000000" w:themeColor="text1"/>
          <w:lang w:val="fr-FR"/>
        </w:rPr>
        <w:t xml:space="preserve"> éclaircir la procédure opératoire et </w:t>
      </w:r>
      <w:r w:rsidR="00E77AE2">
        <w:rPr>
          <w:color w:val="000000" w:themeColor="text1"/>
          <w:lang w:val="fr-FR"/>
        </w:rPr>
        <w:t xml:space="preserve">à faciliter la compréhension du </w:t>
      </w:r>
      <w:r w:rsidR="00E77AE2" w:rsidRPr="00B9073C">
        <w:rPr>
          <w:color w:val="000000" w:themeColor="text1"/>
          <w:lang w:val="fr-FR"/>
        </w:rPr>
        <w:t>texte</w:t>
      </w:r>
      <w:r w:rsidR="00E77AE2" w:rsidRPr="00636ECC">
        <w:rPr>
          <w:color w:val="000000" w:themeColor="text1"/>
          <w:lang w:val="fr-FR"/>
        </w:rPr>
        <w:t>.</w:t>
      </w:r>
    </w:p>
    <w:p w14:paraId="4FDAEA05" w14:textId="77777777" w:rsidR="00E77AE2" w:rsidRPr="00636ECC" w:rsidRDefault="002F264C" w:rsidP="002F264C">
      <w:pPr>
        <w:pStyle w:val="SingleTxtG"/>
        <w:rPr>
          <w:u w:val="single"/>
          <w:lang w:val="fr-FR"/>
        </w:rPr>
      </w:pPr>
      <w:r>
        <w:rPr>
          <w:lang w:val="fr-FR"/>
        </w:rPr>
        <w:t>7</w:t>
      </w:r>
      <w:r w:rsidRPr="00636ECC">
        <w:rPr>
          <w:lang w:val="fr-FR"/>
        </w:rPr>
        <w:t>.</w:t>
      </w:r>
      <w:r w:rsidRPr="00636ECC">
        <w:rPr>
          <w:lang w:val="fr-FR"/>
        </w:rPr>
        <w:tab/>
      </w:r>
      <w:r w:rsidR="00E77AE2" w:rsidRPr="00636ECC">
        <w:rPr>
          <w:u w:val="single"/>
          <w:lang w:val="fr-FR"/>
        </w:rPr>
        <w:t>Annex</w:t>
      </w:r>
      <w:r w:rsidR="00E77AE2">
        <w:rPr>
          <w:u w:val="single"/>
          <w:lang w:val="fr-FR"/>
        </w:rPr>
        <w:t>e</w:t>
      </w:r>
      <w:r w:rsidR="00E77AE2" w:rsidRPr="00636ECC">
        <w:rPr>
          <w:u w:val="single"/>
          <w:lang w:val="fr-FR"/>
        </w:rPr>
        <w:t xml:space="preserve"> 4A, </w:t>
      </w:r>
      <w:r w:rsidR="00E77AE2">
        <w:rPr>
          <w:u w:val="single"/>
          <w:lang w:val="fr-FR"/>
        </w:rPr>
        <w:t>a</w:t>
      </w:r>
      <w:r w:rsidR="00E77AE2" w:rsidRPr="00636ECC">
        <w:rPr>
          <w:u w:val="single"/>
          <w:lang w:val="fr-FR"/>
        </w:rPr>
        <w:t>ppendi</w:t>
      </w:r>
      <w:r w:rsidR="00E77AE2">
        <w:rPr>
          <w:u w:val="single"/>
          <w:lang w:val="fr-FR"/>
        </w:rPr>
        <w:t>ce</w:t>
      </w:r>
      <w:r w:rsidR="00E77AE2" w:rsidRPr="00636ECC">
        <w:rPr>
          <w:u w:val="single"/>
          <w:lang w:val="fr-FR"/>
        </w:rPr>
        <w:t xml:space="preserve"> 5</w:t>
      </w:r>
      <w:r w:rsidR="00E77AE2">
        <w:rPr>
          <w:u w:val="single"/>
          <w:lang w:val="fr-FR"/>
        </w:rPr>
        <w:t> :</w:t>
      </w:r>
      <w:r w:rsidR="00E77AE2" w:rsidRPr="00636ECC">
        <w:rPr>
          <w:u w:val="single"/>
          <w:lang w:val="fr-FR"/>
        </w:rPr>
        <w:t xml:space="preserve"> </w:t>
      </w:r>
      <w:r w:rsidR="00E77AE2" w:rsidRPr="00C949AE">
        <w:rPr>
          <w:u w:val="single"/>
          <w:lang w:val="fr-FR"/>
        </w:rPr>
        <w:t>modifications d</w:t>
      </w:r>
      <w:r w:rsidR="00E77AE2">
        <w:rPr>
          <w:u w:val="single"/>
          <w:lang w:val="fr-FR"/>
        </w:rPr>
        <w:t>es</w:t>
      </w:r>
      <w:r w:rsidR="00E77AE2" w:rsidRPr="00C949AE">
        <w:rPr>
          <w:u w:val="single"/>
          <w:lang w:val="fr-FR"/>
        </w:rPr>
        <w:t xml:space="preserve"> paragraphe</w:t>
      </w:r>
      <w:r w:rsidR="00E77AE2">
        <w:rPr>
          <w:u w:val="single"/>
          <w:lang w:val="fr-FR"/>
        </w:rPr>
        <w:t>s</w:t>
      </w:r>
      <w:r w:rsidR="00E77AE2" w:rsidRPr="00C949AE">
        <w:rPr>
          <w:u w:val="single"/>
          <w:lang w:val="fr-FR"/>
        </w:rPr>
        <w:t xml:space="preserve"> </w:t>
      </w:r>
      <w:r w:rsidR="00E77AE2" w:rsidRPr="00636ECC">
        <w:rPr>
          <w:u w:val="single"/>
          <w:lang w:val="fr-FR"/>
        </w:rPr>
        <w:t xml:space="preserve">1.7.7 </w:t>
      </w:r>
      <w:r w:rsidR="00E77AE2">
        <w:rPr>
          <w:u w:val="single"/>
          <w:lang w:val="fr-FR"/>
        </w:rPr>
        <w:t>et</w:t>
      </w:r>
      <w:r w:rsidR="00E77AE2" w:rsidRPr="00636ECC">
        <w:rPr>
          <w:u w:val="single"/>
          <w:lang w:val="fr-FR"/>
        </w:rPr>
        <w:t xml:space="preserve"> 1.7.8</w:t>
      </w:r>
    </w:p>
    <w:p w14:paraId="1C50ADCA" w14:textId="77777777" w:rsidR="00E77AE2" w:rsidRPr="00636ECC" w:rsidRDefault="002F264C" w:rsidP="002F264C">
      <w:pPr>
        <w:pStyle w:val="SingleTxtG"/>
        <w:rPr>
          <w:color w:val="000000" w:themeColor="text1"/>
          <w:lang w:val="fr-FR"/>
        </w:rPr>
      </w:pPr>
      <w:r>
        <w:rPr>
          <w:color w:val="000000" w:themeColor="text1"/>
          <w:lang w:val="fr-FR"/>
        </w:rPr>
        <w:tab/>
      </w:r>
      <w:r>
        <w:rPr>
          <w:color w:val="000000" w:themeColor="text1"/>
          <w:lang w:val="fr-FR"/>
        </w:rPr>
        <w:tab/>
      </w:r>
      <w:r w:rsidR="00E77AE2">
        <w:rPr>
          <w:color w:val="000000" w:themeColor="text1"/>
          <w:lang w:val="fr-FR"/>
        </w:rPr>
        <w:t>Correction de fautes</w:t>
      </w:r>
      <w:r w:rsidR="00E77AE2" w:rsidRPr="00B9073C">
        <w:rPr>
          <w:color w:val="000000" w:themeColor="text1"/>
          <w:lang w:val="fr-FR"/>
        </w:rPr>
        <w:t xml:space="preserve"> de frappe, l</w:t>
      </w:r>
      <w:r w:rsidR="00E77AE2">
        <w:rPr>
          <w:color w:val="000000" w:themeColor="text1"/>
          <w:lang w:val="fr-FR"/>
        </w:rPr>
        <w:t>’</w:t>
      </w:r>
      <w:r w:rsidR="00E77AE2" w:rsidRPr="00B9073C">
        <w:rPr>
          <w:color w:val="000000" w:themeColor="text1"/>
          <w:lang w:val="fr-FR"/>
        </w:rPr>
        <w:t>instrument d</w:t>
      </w:r>
      <w:r w:rsidR="00E77AE2">
        <w:rPr>
          <w:color w:val="000000" w:themeColor="text1"/>
          <w:lang w:val="fr-FR"/>
        </w:rPr>
        <w:t>o</w:t>
      </w:r>
      <w:r w:rsidR="00E77AE2" w:rsidRPr="00B9073C">
        <w:rPr>
          <w:color w:val="000000" w:themeColor="text1"/>
          <w:lang w:val="fr-FR"/>
        </w:rPr>
        <w:t xml:space="preserve">it </w:t>
      </w:r>
      <w:r w:rsidR="00E77AE2">
        <w:rPr>
          <w:color w:val="000000" w:themeColor="text1"/>
          <w:lang w:val="fr-FR"/>
        </w:rPr>
        <w:t>alors</w:t>
      </w:r>
      <w:r w:rsidR="00E77AE2" w:rsidRPr="00B9073C">
        <w:rPr>
          <w:color w:val="000000" w:themeColor="text1"/>
          <w:lang w:val="fr-FR"/>
        </w:rPr>
        <w:t xml:space="preserve"> être en mode NO</w:t>
      </w:r>
      <w:r w:rsidR="00E77AE2" w:rsidRPr="00B9073C">
        <w:rPr>
          <w:color w:val="000000" w:themeColor="text1"/>
          <w:vertAlign w:val="subscript"/>
          <w:lang w:val="fr-FR"/>
        </w:rPr>
        <w:t>x</w:t>
      </w:r>
      <w:r w:rsidR="00E77AE2" w:rsidRPr="00636ECC">
        <w:rPr>
          <w:color w:val="000000" w:themeColor="text1"/>
          <w:lang w:val="fr-FR"/>
        </w:rPr>
        <w:t>.</w:t>
      </w:r>
    </w:p>
    <w:p w14:paraId="5E27EE68" w14:textId="77777777" w:rsidR="00E77AE2" w:rsidRPr="00636ECC" w:rsidRDefault="00E77AE2" w:rsidP="00E77AE2">
      <w:pPr>
        <w:spacing w:before="240"/>
        <w:jc w:val="center"/>
        <w:rPr>
          <w:u w:val="single"/>
          <w:lang w:val="fr-FR"/>
        </w:rPr>
      </w:pPr>
      <w:r w:rsidRPr="00636ECC">
        <w:rPr>
          <w:u w:val="single"/>
          <w:lang w:val="fr-FR"/>
        </w:rPr>
        <w:tab/>
      </w:r>
      <w:r w:rsidRPr="00636ECC">
        <w:rPr>
          <w:u w:val="single"/>
          <w:lang w:val="fr-FR"/>
        </w:rPr>
        <w:tab/>
      </w:r>
      <w:r w:rsidRPr="00636ECC">
        <w:rPr>
          <w:u w:val="single"/>
          <w:lang w:val="fr-FR"/>
        </w:rPr>
        <w:tab/>
      </w:r>
    </w:p>
    <w:p w14:paraId="3CF1E552" w14:textId="77777777" w:rsidR="00F9573C" w:rsidRPr="00E77AE2" w:rsidRDefault="00F9573C" w:rsidP="00AF0CB5">
      <w:pPr>
        <w:rPr>
          <w:lang w:val="fr-FR"/>
        </w:rPr>
      </w:pPr>
    </w:p>
    <w:sectPr w:rsidR="00F9573C" w:rsidRPr="00E77AE2" w:rsidSect="00E77AE2">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CB2E5" w14:textId="77777777" w:rsidR="00C13E85" w:rsidRDefault="00C13E85" w:rsidP="00F95C08">
      <w:pPr>
        <w:spacing w:line="240" w:lineRule="auto"/>
      </w:pPr>
    </w:p>
  </w:endnote>
  <w:endnote w:type="continuationSeparator" w:id="0">
    <w:p w14:paraId="79294170" w14:textId="77777777" w:rsidR="00C13E85" w:rsidRPr="00AC3823" w:rsidRDefault="00C13E85" w:rsidP="00AC3823">
      <w:pPr>
        <w:pStyle w:val="Pieddepage"/>
      </w:pPr>
    </w:p>
  </w:endnote>
  <w:endnote w:type="continuationNotice" w:id="1">
    <w:p w14:paraId="7698D2F5" w14:textId="77777777" w:rsidR="00C13E85" w:rsidRDefault="00C13E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BECE" w14:textId="77777777" w:rsidR="00E77AE2" w:rsidRPr="00E77AE2" w:rsidRDefault="00E77AE2" w:rsidP="00E77AE2">
    <w:pPr>
      <w:pStyle w:val="Pieddepage"/>
      <w:tabs>
        <w:tab w:val="right" w:pos="9638"/>
      </w:tabs>
    </w:pPr>
    <w:r w:rsidRPr="00E77AE2">
      <w:rPr>
        <w:b/>
        <w:sz w:val="18"/>
      </w:rPr>
      <w:fldChar w:fldCharType="begin"/>
    </w:r>
    <w:r w:rsidRPr="00E77AE2">
      <w:rPr>
        <w:b/>
        <w:sz w:val="18"/>
      </w:rPr>
      <w:instrText xml:space="preserve"> PAGE  \* MERGEFORMAT </w:instrText>
    </w:r>
    <w:r w:rsidRPr="00E77AE2">
      <w:rPr>
        <w:b/>
        <w:sz w:val="18"/>
      </w:rPr>
      <w:fldChar w:fldCharType="separate"/>
    </w:r>
    <w:r w:rsidRPr="00E77AE2">
      <w:rPr>
        <w:b/>
        <w:noProof/>
        <w:sz w:val="18"/>
      </w:rPr>
      <w:t>2</w:t>
    </w:r>
    <w:r w:rsidRPr="00E77AE2">
      <w:rPr>
        <w:b/>
        <w:sz w:val="18"/>
      </w:rPr>
      <w:fldChar w:fldCharType="end"/>
    </w:r>
    <w:r>
      <w:rPr>
        <w:b/>
        <w:sz w:val="18"/>
      </w:rPr>
      <w:tab/>
    </w:r>
    <w:r>
      <w:t>GE.21-03621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4B21" w14:textId="77777777" w:rsidR="00E77AE2" w:rsidRPr="00E77AE2" w:rsidRDefault="00E77AE2" w:rsidP="00E77AE2">
    <w:pPr>
      <w:pStyle w:val="Pieddepage"/>
      <w:tabs>
        <w:tab w:val="right" w:pos="9638"/>
      </w:tabs>
      <w:rPr>
        <w:b/>
        <w:sz w:val="18"/>
      </w:rPr>
    </w:pPr>
    <w:r>
      <w:t>GE.21-03621</w:t>
    </w:r>
    <w:r>
      <w:tab/>
    </w:r>
    <w:r w:rsidRPr="00E77AE2">
      <w:rPr>
        <w:b/>
        <w:sz w:val="18"/>
      </w:rPr>
      <w:fldChar w:fldCharType="begin"/>
    </w:r>
    <w:r w:rsidRPr="00E77AE2">
      <w:rPr>
        <w:b/>
        <w:sz w:val="18"/>
      </w:rPr>
      <w:instrText xml:space="preserve"> PAGE  \* MERGEFORMAT </w:instrText>
    </w:r>
    <w:r w:rsidRPr="00E77AE2">
      <w:rPr>
        <w:b/>
        <w:sz w:val="18"/>
      </w:rPr>
      <w:fldChar w:fldCharType="separate"/>
    </w:r>
    <w:r w:rsidRPr="00E77AE2">
      <w:rPr>
        <w:b/>
        <w:noProof/>
        <w:sz w:val="18"/>
      </w:rPr>
      <w:t>3</w:t>
    </w:r>
    <w:r w:rsidRPr="00E77A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0E45" w14:textId="77777777" w:rsidR="007F20FA" w:rsidRPr="00E77AE2" w:rsidRDefault="00E77AE2" w:rsidP="00E77AE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B799C06" wp14:editId="53634EF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21-03621  (F)</w:t>
    </w:r>
    <w:r>
      <w:rPr>
        <w:noProof/>
        <w:sz w:val="20"/>
      </w:rPr>
      <w:drawing>
        <wp:anchor distT="0" distB="0" distL="114300" distR="114300" simplePos="0" relativeHeight="251660288" behindDoc="0" locked="0" layoutInCell="1" allowOverlap="1" wp14:anchorId="0A8F899D" wp14:editId="3F9F0BA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230321    230321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A477" w14:textId="77777777" w:rsidR="00C13E85" w:rsidRPr="00AC3823" w:rsidRDefault="00C13E85" w:rsidP="00AC3823">
      <w:pPr>
        <w:pStyle w:val="Pieddepage"/>
        <w:tabs>
          <w:tab w:val="right" w:pos="2155"/>
        </w:tabs>
        <w:spacing w:after="80" w:line="240" w:lineRule="atLeast"/>
        <w:ind w:left="680"/>
        <w:rPr>
          <w:u w:val="single"/>
        </w:rPr>
      </w:pPr>
      <w:r>
        <w:rPr>
          <w:u w:val="single"/>
        </w:rPr>
        <w:tab/>
      </w:r>
    </w:p>
  </w:footnote>
  <w:footnote w:type="continuationSeparator" w:id="0">
    <w:p w14:paraId="2A2BF208" w14:textId="77777777" w:rsidR="00C13E85" w:rsidRPr="00AC3823" w:rsidRDefault="00C13E85" w:rsidP="00AC3823">
      <w:pPr>
        <w:pStyle w:val="Pieddepage"/>
        <w:tabs>
          <w:tab w:val="right" w:pos="2155"/>
        </w:tabs>
        <w:spacing w:after="80" w:line="240" w:lineRule="atLeast"/>
        <w:ind w:left="680"/>
        <w:rPr>
          <w:u w:val="single"/>
        </w:rPr>
      </w:pPr>
      <w:r>
        <w:rPr>
          <w:u w:val="single"/>
        </w:rPr>
        <w:tab/>
      </w:r>
    </w:p>
  </w:footnote>
  <w:footnote w:type="continuationNotice" w:id="1">
    <w:p w14:paraId="1D8AD95A" w14:textId="77777777" w:rsidR="00C13E85" w:rsidRPr="00AC3823" w:rsidRDefault="00C13E85">
      <w:pPr>
        <w:spacing w:line="240" w:lineRule="auto"/>
        <w:rPr>
          <w:sz w:val="2"/>
          <w:szCs w:val="2"/>
        </w:rPr>
      </w:pPr>
    </w:p>
  </w:footnote>
  <w:footnote w:id="2">
    <w:p w14:paraId="538EC14F" w14:textId="77777777" w:rsidR="00E77AE2" w:rsidRPr="007E5C8F" w:rsidRDefault="00E77AE2" w:rsidP="00E77AE2">
      <w:pPr>
        <w:pStyle w:val="Notedebasdepage"/>
      </w:pPr>
      <w:r>
        <w:rPr>
          <w:lang w:val="fr-FR"/>
        </w:rPr>
        <w:tab/>
      </w:r>
      <w:r w:rsidRPr="00E77AE2">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C5E4" w14:textId="3C1B5173" w:rsidR="00E77AE2" w:rsidRPr="00E77AE2" w:rsidRDefault="00E77AE2">
    <w:pPr>
      <w:pStyle w:val="En-tte"/>
    </w:pPr>
    <w:fldSimple w:instr=" TITLE  \* MERGEFORMAT ">
      <w:r w:rsidR="002A7EA5">
        <w:t>ECE/TRANS/WP.29/GRPE/2021/13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6472" w14:textId="3880CCC9" w:rsidR="00E77AE2" w:rsidRPr="00E77AE2" w:rsidRDefault="00E77AE2" w:rsidP="00E77AE2">
    <w:pPr>
      <w:pStyle w:val="En-tte"/>
      <w:jc w:val="right"/>
    </w:pPr>
    <w:fldSimple w:instr=" TITLE  \* MERGEFORMAT ">
      <w:r w:rsidR="002A7EA5">
        <w:t>ECE/TRANS/WP.29/GRPE/2021/13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040C000F">
        <w:start w:val="1"/>
        <w:numFmt w:val="decimal"/>
        <w:lvlText w:val="%1."/>
        <w:lvlJc w:val="left"/>
        <w:pPr>
          <w:ind w:left="10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85"/>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A7EA5"/>
    <w:rsid w:val="002D7C93"/>
    <w:rsid w:val="002F264C"/>
    <w:rsid w:val="00305801"/>
    <w:rsid w:val="003916DE"/>
    <w:rsid w:val="00421996"/>
    <w:rsid w:val="00441C3B"/>
    <w:rsid w:val="00446FE5"/>
    <w:rsid w:val="00452396"/>
    <w:rsid w:val="00463F6A"/>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13E85"/>
    <w:rsid w:val="00C97039"/>
    <w:rsid w:val="00D3439C"/>
    <w:rsid w:val="00D7622E"/>
    <w:rsid w:val="00DB1831"/>
    <w:rsid w:val="00DD3BFD"/>
    <w:rsid w:val="00DF6678"/>
    <w:rsid w:val="00E0299A"/>
    <w:rsid w:val="00E77AE2"/>
    <w:rsid w:val="00E85C74"/>
    <w:rsid w:val="00EA6547"/>
    <w:rsid w:val="00ED7237"/>
    <w:rsid w:val="00EF2E22"/>
    <w:rsid w:val="00F35BAF"/>
    <w:rsid w:val="00F6390E"/>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7268CE"/>
  <w15:docId w15:val="{9CA3B32B-07D3-415D-836D-A786F8A1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77AE2"/>
    <w:rPr>
      <w:rFonts w:ascii="Times New Roman" w:eastAsiaTheme="minorHAnsi" w:hAnsi="Times New Roman" w:cs="Times New Roman"/>
      <w:sz w:val="20"/>
      <w:szCs w:val="20"/>
      <w:lang w:eastAsia="en-US"/>
    </w:rPr>
  </w:style>
  <w:style w:type="paragraph" w:styleId="Paragraphedeliste">
    <w:name w:val="List Paragraph"/>
    <w:basedOn w:val="Normal"/>
    <w:uiPriority w:val="1"/>
    <w:qFormat/>
    <w:rsid w:val="00E77AE2"/>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 w:type="character" w:customStyle="1" w:styleId="HChGChar">
    <w:name w:val="_ H _Ch_G Char"/>
    <w:link w:val="HChG"/>
    <w:rsid w:val="00E77AE2"/>
    <w:rPr>
      <w:rFonts w:ascii="Times New Roman" w:eastAsiaTheme="minorHAnsi" w:hAnsi="Times New Roman" w:cs="Times New Roman"/>
      <w:b/>
      <w:sz w:val="28"/>
      <w:szCs w:val="20"/>
      <w:lang w:eastAsia="en-US"/>
    </w:rPr>
  </w:style>
  <w:style w:type="paragraph" w:customStyle="1" w:styleId="Default">
    <w:name w:val="Default"/>
    <w:rsid w:val="00E77AE2"/>
    <w:pPr>
      <w:autoSpaceDE w:val="0"/>
      <w:autoSpaceDN w:val="0"/>
      <w:adjustRightInd w:val="0"/>
      <w:spacing w:after="0" w:line="240" w:lineRule="auto"/>
    </w:pPr>
    <w:rPr>
      <w:rFonts w:ascii="LJLOIP+TimesNewRoman" w:hAnsi="LJLOIP+TimesNewRoman" w:cs="LJLOIP+TimesNewRoman"/>
      <w:color w:val="000000"/>
      <w:sz w:val="24"/>
      <w:szCs w:val="24"/>
      <w:lang w:val="en-US" w:eastAsia="en-US"/>
    </w:rPr>
  </w:style>
  <w:style w:type="character" w:customStyle="1" w:styleId="H1GChar">
    <w:name w:val="_ H_1_G Char"/>
    <w:link w:val="H1G"/>
    <w:rsid w:val="00E77AE2"/>
    <w:rPr>
      <w:rFonts w:ascii="Times New Roman" w:eastAsiaTheme="minorHAnsi" w:hAnsi="Times New Roman" w:cs="Times New Roman"/>
      <w:b/>
      <w:sz w:val="24"/>
      <w:szCs w:val="20"/>
      <w:lang w:eastAsia="en-US"/>
    </w:rPr>
  </w:style>
  <w:style w:type="paragraph" w:customStyle="1" w:styleId="SingleTxt">
    <w:name w:val="__Single Txt"/>
    <w:basedOn w:val="Normal"/>
    <w:qFormat/>
    <w:rsid w:val="00E77AE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Calibri"/>
      <w:spacing w:val="4"/>
      <w:w w:val="103"/>
      <w:kern w:val="14"/>
      <w:szCs w:val="22"/>
      <w:lang w:val="en-US"/>
    </w:rPr>
  </w:style>
  <w:style w:type="paragraph" w:customStyle="1" w:styleId="para">
    <w:name w:val="para"/>
    <w:basedOn w:val="SingleTxtG"/>
    <w:link w:val="paraChar"/>
    <w:qFormat/>
    <w:rsid w:val="00F6390E"/>
    <w:pPr>
      <w:kinsoku/>
      <w:overflowPunct/>
      <w:autoSpaceDE/>
      <w:autoSpaceDN/>
      <w:adjustRightInd/>
      <w:snapToGrid/>
      <w:ind w:left="2268" w:hanging="1134"/>
    </w:pPr>
    <w:rPr>
      <w:rFonts w:eastAsia="Times New Roman"/>
    </w:rPr>
  </w:style>
  <w:style w:type="character" w:customStyle="1" w:styleId="paraChar">
    <w:name w:val="para Char"/>
    <w:link w:val="para"/>
    <w:rsid w:val="00F6390E"/>
    <w:rPr>
      <w:rFonts w:ascii="Times New Roman" w:hAnsi="Times New Roman" w:cs="Times New Roman"/>
      <w:sz w:val="20"/>
      <w:szCs w:val="20"/>
      <w:lang w:eastAsia="en-US"/>
    </w:rPr>
  </w:style>
  <w:style w:type="character" w:styleId="Mentionnonrsolue">
    <w:name w:val="Unresolved Mention"/>
    <w:basedOn w:val="Policepardfaut"/>
    <w:uiPriority w:val="99"/>
    <w:semiHidden/>
    <w:unhideWhenUsed/>
    <w:rsid w:val="002F2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s://ecfr.io/Title-40/pt40.37.1065%23se40.37.1065_1260"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image" Target="media/image3.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eader" Target="header2.xml"/><Relationship Id="rId27" Type="http://schemas.openxmlformats.org/officeDocument/2006/relationships/theme" Target="theme/theme1.xml"/><Relationship Id="rId30"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D6E37-08EC-4A3D-805F-A45884175E5A}"/>
</file>

<file path=customXml/itemProps2.xml><?xml version="1.0" encoding="utf-8"?>
<ds:datastoreItem xmlns:ds="http://schemas.openxmlformats.org/officeDocument/2006/customXml" ds:itemID="{080B1F1A-424E-417F-B83B-FC2168E9CAAD}"/>
</file>

<file path=customXml/itemProps3.xml><?xml version="1.0" encoding="utf-8"?>
<ds:datastoreItem xmlns:ds="http://schemas.openxmlformats.org/officeDocument/2006/customXml" ds:itemID="{1CFACB2A-03E5-4599-81E0-CDF905488B26}"/>
</file>

<file path=docProps/app.xml><?xml version="1.0" encoding="utf-8"?>
<Properties xmlns="http://schemas.openxmlformats.org/officeDocument/2006/extended-properties" xmlns:vt="http://schemas.openxmlformats.org/officeDocument/2006/docPropsVTypes">
  <Template>ECE_TRANS.dotm</Template>
  <TotalTime>1</TotalTime>
  <Pages>4</Pages>
  <Words>1454</Words>
  <Characters>7097</Characters>
  <Application>Microsoft Office Word</Application>
  <DocSecurity>0</DocSecurity>
  <Lines>228</Lines>
  <Paragraphs>178</Paragraphs>
  <ScaleCrop>false</ScaleCrop>
  <HeadingPairs>
    <vt:vector size="2" baseType="variant">
      <vt:variant>
        <vt:lpstr>Titre</vt:lpstr>
      </vt:variant>
      <vt:variant>
        <vt:i4>1</vt:i4>
      </vt:variant>
    </vt:vector>
  </HeadingPairs>
  <TitlesOfParts>
    <vt:vector size="1" baseType="lpstr">
      <vt:lpstr>ECE/TRANS/WP.29/GRPE/2021/13</vt:lpstr>
    </vt:vector>
  </TitlesOfParts>
  <Company>DCM</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ECE/TRANS/WP.29/GRPE/2021/13</dc:title>
  <dc:subject/>
  <dc:creator>Sandrine CLERE</dc:creator>
  <cp:keywords/>
  <cp:lastModifiedBy>Sandrine CLERE</cp:lastModifiedBy>
  <cp:revision>3</cp:revision>
  <cp:lastPrinted>2021-03-23T07:39:00Z</cp:lastPrinted>
  <dcterms:created xsi:type="dcterms:W3CDTF">2021-03-23T07:39:00Z</dcterms:created>
  <dcterms:modified xsi:type="dcterms:W3CDTF">2021-03-23T07:40:00Z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