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999BA5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1B60730" w14:textId="77777777" w:rsidR="002D5AAC" w:rsidRDefault="002D5AAC" w:rsidP="003624E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F3E813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BF037CE" w14:textId="77777777" w:rsidR="002D5AAC" w:rsidRDefault="003624EF" w:rsidP="003624EF">
            <w:pPr>
              <w:jc w:val="right"/>
            </w:pPr>
            <w:r w:rsidRPr="003624EF">
              <w:rPr>
                <w:sz w:val="40"/>
              </w:rPr>
              <w:t>ECE</w:t>
            </w:r>
            <w:r>
              <w:t>/TRANS/WP.29/GRPE/2021/12</w:t>
            </w:r>
          </w:p>
        </w:tc>
      </w:tr>
      <w:tr w:rsidR="002D5AAC" w:rsidRPr="00DC5C7D" w14:paraId="2E57AEA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8E9A0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F08FFC9" wp14:editId="3749803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B7290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3AEA7E6" w14:textId="77777777" w:rsidR="002D5AAC" w:rsidRDefault="003624E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E6BE3AA" w14:textId="77777777" w:rsidR="003624EF" w:rsidRDefault="003624EF" w:rsidP="003624E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March 2021</w:t>
            </w:r>
          </w:p>
          <w:p w14:paraId="0C09EB0B" w14:textId="77777777" w:rsidR="003624EF" w:rsidRDefault="003624EF" w:rsidP="003624E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38AC941" w14:textId="77777777" w:rsidR="003624EF" w:rsidRPr="008D53B6" w:rsidRDefault="003624EF" w:rsidP="003624E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4D4608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2884B21" w14:textId="77777777" w:rsidR="003624EF" w:rsidRPr="003624EF" w:rsidRDefault="003624EF" w:rsidP="003624EF">
      <w:pPr>
        <w:tabs>
          <w:tab w:val="left" w:pos="567"/>
          <w:tab w:val="left" w:pos="1134"/>
        </w:tabs>
        <w:spacing w:before="120"/>
        <w:rPr>
          <w:rFonts w:eastAsia="MS Mincho"/>
          <w:sz w:val="28"/>
          <w:szCs w:val="28"/>
        </w:rPr>
      </w:pPr>
      <w:r w:rsidRPr="003624EF">
        <w:rPr>
          <w:sz w:val="28"/>
          <w:szCs w:val="28"/>
        </w:rPr>
        <w:t xml:space="preserve">Комитет по внутреннему транспорту </w:t>
      </w:r>
    </w:p>
    <w:p w14:paraId="11B6DF13" w14:textId="77777777" w:rsidR="003624EF" w:rsidRPr="003624EF" w:rsidRDefault="003624EF" w:rsidP="003624EF">
      <w:pPr>
        <w:tabs>
          <w:tab w:val="left" w:pos="567"/>
          <w:tab w:val="left" w:pos="1134"/>
        </w:tabs>
        <w:spacing w:before="120"/>
        <w:rPr>
          <w:rFonts w:eastAsia="MS Mincho"/>
          <w:sz w:val="24"/>
          <w:szCs w:val="24"/>
        </w:rPr>
      </w:pPr>
      <w:r w:rsidRPr="003624EF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3624EF">
        <w:rPr>
          <w:b/>
          <w:bCs/>
          <w:sz w:val="24"/>
          <w:szCs w:val="24"/>
        </w:rPr>
        <w:t>в области транспортных средств</w:t>
      </w:r>
      <w:r w:rsidRPr="003624EF">
        <w:rPr>
          <w:sz w:val="24"/>
          <w:szCs w:val="24"/>
        </w:rPr>
        <w:t xml:space="preserve"> </w:t>
      </w:r>
    </w:p>
    <w:p w14:paraId="2F988437" w14:textId="77777777" w:rsidR="003624EF" w:rsidRPr="00B52A78" w:rsidRDefault="003624EF" w:rsidP="003624EF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>
        <w:rPr>
          <w:b/>
          <w:bCs/>
        </w:rPr>
        <w:t xml:space="preserve">Рабочая группа по проблемам энергии и загрязнения </w:t>
      </w:r>
      <w:r>
        <w:rPr>
          <w:b/>
          <w:bCs/>
        </w:rPr>
        <w:br/>
        <w:t>окружающей среды</w:t>
      </w:r>
    </w:p>
    <w:p w14:paraId="0915012F" w14:textId="77777777" w:rsidR="003624EF" w:rsidRPr="00B52A78" w:rsidRDefault="003624EF" w:rsidP="003624EF">
      <w:pPr>
        <w:rPr>
          <w:rFonts w:eastAsia="MS Mincho"/>
          <w:b/>
        </w:rPr>
      </w:pPr>
      <w:r>
        <w:rPr>
          <w:b/>
          <w:bCs/>
        </w:rPr>
        <w:t>Восемьдесят третья сессия</w:t>
      </w:r>
    </w:p>
    <w:p w14:paraId="05DB1B54" w14:textId="77777777" w:rsidR="003624EF" w:rsidRPr="00B52A78" w:rsidRDefault="003624EF" w:rsidP="003624EF">
      <w:r>
        <w:t>Женева, 1–4 июня 2021 года</w:t>
      </w:r>
    </w:p>
    <w:p w14:paraId="41B42248" w14:textId="77777777" w:rsidR="003624EF" w:rsidRPr="00B52A78" w:rsidRDefault="003624EF" w:rsidP="003624EF">
      <w:r>
        <w:t>Пункт 3 а) предварительной повестки дня</w:t>
      </w:r>
    </w:p>
    <w:p w14:paraId="369409E9" w14:textId="77777777" w:rsidR="003624EF" w:rsidRPr="00B52A78" w:rsidRDefault="003624EF" w:rsidP="003624EF">
      <w:pPr>
        <w:rPr>
          <w:b/>
          <w:bCs/>
        </w:rPr>
      </w:pPr>
      <w:r>
        <w:rPr>
          <w:b/>
          <w:bCs/>
        </w:rPr>
        <w:t xml:space="preserve">Транспортные средства малой грузоподъемности: </w:t>
      </w:r>
      <w:r>
        <w:rPr>
          <w:b/>
          <w:bCs/>
        </w:rPr>
        <w:br/>
        <w:t xml:space="preserve">Правила ООН №№ 68 (измерение максимальной </w:t>
      </w:r>
      <w:r>
        <w:rPr>
          <w:b/>
          <w:bCs/>
        </w:rPr>
        <w:br/>
        <w:t xml:space="preserve">скорости, включая электромобили), 83 (выбросы </w:t>
      </w:r>
      <w:r>
        <w:rPr>
          <w:b/>
          <w:bCs/>
        </w:rPr>
        <w:br/>
        <w:t>загрязняющих веществ транспортными средствами</w:t>
      </w:r>
      <w:r>
        <w:rPr>
          <w:b/>
          <w:bCs/>
        </w:rPr>
        <w:br/>
        <w:t>категорий M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 и N</w:t>
      </w:r>
      <w:r>
        <w:rPr>
          <w:b/>
          <w:bCs/>
          <w:vertAlign w:val="subscript"/>
        </w:rPr>
        <w:t>1</w:t>
      </w:r>
      <w:r>
        <w:rPr>
          <w:b/>
          <w:bCs/>
        </w:rPr>
        <w:t>), 101 (выбросы СО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/расход топлива), </w:t>
      </w:r>
      <w:r>
        <w:rPr>
          <w:b/>
          <w:bCs/>
        </w:rPr>
        <w:br/>
        <w:t xml:space="preserve">103 (сменные устройства для предотвращения загрязнения) </w:t>
      </w:r>
      <w:r>
        <w:rPr>
          <w:b/>
          <w:bCs/>
        </w:rPr>
        <w:br/>
        <w:t xml:space="preserve">и 154 (всемирные согласованные процедуры испытания </w:t>
      </w:r>
      <w:r>
        <w:rPr>
          <w:b/>
          <w:bCs/>
        </w:rPr>
        <w:br/>
        <w:t>транспортных средств малой грузоподъемности (ВПИМ))</w:t>
      </w:r>
    </w:p>
    <w:p w14:paraId="684CFCBE" w14:textId="77777777" w:rsidR="003624EF" w:rsidRPr="00B52A78" w:rsidRDefault="003624EF" w:rsidP="003624EF">
      <w:pPr>
        <w:pStyle w:val="HChG"/>
        <w:tabs>
          <w:tab w:val="clear" w:pos="851"/>
        </w:tabs>
        <w:ind w:firstLine="0"/>
      </w:pPr>
      <w:r>
        <w:tab/>
      </w:r>
      <w:r>
        <w:rPr>
          <w:bCs/>
        </w:rPr>
        <w:t>Предложение по новому дополнению и поправкам серии</w:t>
      </w:r>
      <w:r>
        <w:rPr>
          <w:bCs/>
          <w:lang w:val="en-US"/>
        </w:rPr>
        <w:t> </w:t>
      </w:r>
      <w:r>
        <w:rPr>
          <w:bCs/>
        </w:rPr>
        <w:t xml:space="preserve">01 к первоначальному варианту </w:t>
      </w:r>
      <w:r>
        <w:rPr>
          <w:bCs/>
        </w:rPr>
        <w:br/>
        <w:t xml:space="preserve">Правил № 154 ООН (всемирные согласованные процедуры испытания транспортных средств малой грузоподъемности (ВПИМ)) </w:t>
      </w:r>
    </w:p>
    <w:p w14:paraId="6C8901B4" w14:textId="77777777" w:rsidR="003624EF" w:rsidRPr="00B52A78" w:rsidRDefault="003624EF" w:rsidP="003624EF">
      <w:pPr>
        <w:pStyle w:val="H1G"/>
      </w:pPr>
      <w:r>
        <w:tab/>
      </w:r>
      <w:r>
        <w:tab/>
      </w:r>
      <w:r>
        <w:rPr>
          <w:bCs/>
        </w:rPr>
        <w:t>Представлено экспертом от Международной организации предприятий автомобильной промышленности</w:t>
      </w:r>
      <w:r w:rsidRPr="003624EF">
        <w:rPr>
          <w:rStyle w:val="H1GChar"/>
          <w:sz w:val="20"/>
        </w:rPr>
        <w:footnoteReference w:customMarkFollows="1" w:id="1"/>
        <w:t>*</w:t>
      </w:r>
    </w:p>
    <w:p w14:paraId="5F1339D2" w14:textId="77777777" w:rsidR="003624EF" w:rsidRPr="00B52A78" w:rsidRDefault="003624EF" w:rsidP="003624EF">
      <w:pPr>
        <w:pStyle w:val="SingleTxtG"/>
        <w:ind w:firstLine="567"/>
      </w:pPr>
      <w:r>
        <w:t>Воспроизведенный ниже текст был подготовлен экспертом от Международной организации предприятий автомобильной промышленности (МОПАП). Настоящий документ нацелен на включение текста справочного документа, принятого GRPE на восемьдесят второй сессии, в существующий текст Правил. Изменения к нынешнему тексту Правил выделены жирным шрифтом в случае новых элементов или зачеркиванием в случае исключенных элементов.</w:t>
      </w:r>
    </w:p>
    <w:p w14:paraId="7F9E08A0" w14:textId="77777777" w:rsidR="003624EF" w:rsidRPr="00B52A78" w:rsidRDefault="003624EF" w:rsidP="003624EF">
      <w:pPr>
        <w:pStyle w:val="HChG"/>
        <w:tabs>
          <w:tab w:val="clear" w:pos="851"/>
        </w:tabs>
        <w:ind w:hanging="567"/>
        <w:rPr>
          <w:b w:val="0"/>
          <w:bCs/>
          <w:lang w:eastAsia="en-GB"/>
        </w:rPr>
      </w:pPr>
      <w:r w:rsidRPr="00B52A78">
        <w:br w:type="page"/>
      </w:r>
    </w:p>
    <w:p w14:paraId="6CBDCC12" w14:textId="77777777" w:rsidR="003624EF" w:rsidRPr="00B52A78" w:rsidRDefault="003624EF" w:rsidP="003624EF">
      <w:pPr>
        <w:pStyle w:val="HChG"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484AC8BF" w14:textId="77777777" w:rsidR="003624EF" w:rsidRPr="00B52A78" w:rsidRDefault="003624EF" w:rsidP="003624EF">
      <w:pPr>
        <w:spacing w:after="120"/>
        <w:ind w:left="1134" w:right="1134"/>
        <w:rPr>
          <w:rFonts w:eastAsia="MS Mincho"/>
          <w:i/>
        </w:rPr>
      </w:pPr>
      <w:r>
        <w:rPr>
          <w:i/>
          <w:iCs/>
        </w:rPr>
        <w:t>В первоначальном варианте и в поправках серии 01</w:t>
      </w:r>
    </w:p>
    <w:p w14:paraId="78042B1D" w14:textId="77777777" w:rsidR="003624EF" w:rsidRPr="00B52A78" w:rsidRDefault="003624EF" w:rsidP="003624EF">
      <w:pPr>
        <w:spacing w:after="120"/>
        <w:ind w:left="1134" w:right="1134"/>
        <w:rPr>
          <w:rFonts w:eastAsia="MS Mincho"/>
          <w:i/>
        </w:rPr>
      </w:pPr>
      <w:r>
        <w:rPr>
          <w:i/>
          <w:iCs/>
        </w:rPr>
        <w:t>Пункт 3.2.36</w:t>
      </w:r>
      <w:r>
        <w:t xml:space="preserve"> изменить следующим образом:</w:t>
      </w:r>
    </w:p>
    <w:p w14:paraId="52F6EEAC" w14:textId="77777777" w:rsidR="003624EF" w:rsidRPr="00B52A78" w:rsidRDefault="003624EF" w:rsidP="003624EF">
      <w:pPr>
        <w:adjustRightInd w:val="0"/>
        <w:spacing w:after="120"/>
        <w:ind w:left="2268" w:right="1134" w:hanging="1134"/>
        <w:jc w:val="both"/>
        <w:rPr>
          <w:rFonts w:eastAsia="MS Mincho"/>
          <w:bCs/>
        </w:rPr>
      </w:pPr>
      <w:r>
        <w:t xml:space="preserve">«3.2.36 </w:t>
      </w:r>
      <w:r>
        <w:tab/>
      </w:r>
      <w:r w:rsidR="00DE5FA8" w:rsidRPr="00DE5FA8">
        <w:t>“</w:t>
      </w:r>
      <w:r>
        <w:t>Движение накатом</w:t>
      </w:r>
      <w:r w:rsidR="00DE5FA8" w:rsidRPr="00DE5FA8">
        <w:t>”</w:t>
      </w:r>
      <w:r>
        <w:t xml:space="preserve"> означает функцию автоматической коробки передач либо сцепления, которая автоматически отключает двигатель от силовой передачи</w:t>
      </w:r>
      <w:r w:rsidRPr="00460E78">
        <w:rPr>
          <w:b/>
          <w:bCs/>
        </w:rPr>
        <w:t>,</w:t>
      </w:r>
      <w:r>
        <w:t xml:space="preserve"> </w:t>
      </w:r>
      <w:r>
        <w:rPr>
          <w:b/>
          <w:bCs/>
        </w:rPr>
        <w:t>когда тяговое усилие больше не требуется либо необходимо медленное снижение скорости,</w:t>
      </w:r>
      <w:r>
        <w:t xml:space="preserve"> </w:t>
      </w:r>
      <w:r>
        <w:rPr>
          <w:b/>
          <w:bCs/>
        </w:rPr>
        <w:t>при этом тяговое усилие на колеса не передается, равно как и не осуществляется рекуперации энергии колес и не задействуется механическая система торможения</w:t>
      </w:r>
      <w:r>
        <w:t xml:space="preserve"> </w:t>
      </w:r>
      <w:r>
        <w:rPr>
          <w:strike/>
        </w:rPr>
        <w:t>когда тяговое усилие больше не требуется либо необходимо медленное снижение скорости</w:t>
      </w:r>
      <w:r>
        <w:t xml:space="preserve">. </w:t>
      </w:r>
      <w:r w:rsidRPr="00614B4F">
        <w:rPr>
          <w:b/>
          <w:bCs/>
        </w:rPr>
        <w:t>В</w:t>
      </w:r>
      <w:r>
        <w:rPr>
          <w:b/>
          <w:bCs/>
        </w:rPr>
        <w:t>о</w:t>
      </w:r>
      <w:r>
        <w:t xml:space="preserve"> </w:t>
      </w:r>
      <w:r>
        <w:rPr>
          <w:strike/>
        </w:rPr>
        <w:t>это</w:t>
      </w:r>
      <w:r>
        <w:t xml:space="preserve"> время </w:t>
      </w:r>
      <w:r>
        <w:rPr>
          <w:b/>
          <w:bCs/>
        </w:rPr>
        <w:t xml:space="preserve">применения этой функции </w:t>
      </w:r>
      <w:r>
        <w:t>двигатель может работать на холостом ходу или отключаться».</w:t>
      </w:r>
    </w:p>
    <w:p w14:paraId="662F0F21" w14:textId="77777777" w:rsidR="003624EF" w:rsidRPr="00B52A78" w:rsidRDefault="003624EF" w:rsidP="003624EF">
      <w:pPr>
        <w:spacing w:after="120"/>
        <w:ind w:left="1134" w:right="1134"/>
        <w:jc w:val="both"/>
        <w:rPr>
          <w:rFonts w:eastAsia="MS Mincho"/>
          <w:i/>
        </w:rPr>
      </w:pPr>
      <w:r>
        <w:rPr>
          <w:i/>
          <w:iCs/>
        </w:rPr>
        <w:t>Приложение B5,</w:t>
      </w:r>
    </w:p>
    <w:p w14:paraId="36644C3E" w14:textId="77777777" w:rsidR="003624EF" w:rsidRPr="00B52A78" w:rsidRDefault="003624EF" w:rsidP="003624EF">
      <w:pPr>
        <w:spacing w:after="120"/>
        <w:ind w:left="1134" w:right="1134"/>
        <w:jc w:val="both"/>
        <w:rPr>
          <w:rFonts w:eastAsia="MS Mincho"/>
          <w:iCs/>
        </w:rPr>
      </w:pPr>
      <w:r>
        <w:rPr>
          <w:i/>
          <w:iCs/>
        </w:rPr>
        <w:t>Пункт 2.3.1</w:t>
      </w:r>
      <w:r>
        <w:t xml:space="preserve"> изменить следующим образом:</w:t>
      </w:r>
    </w:p>
    <w:p w14:paraId="40CDA58A" w14:textId="77777777" w:rsidR="003624EF" w:rsidRPr="00B52A78" w:rsidRDefault="003624EF" w:rsidP="003624EF">
      <w:pPr>
        <w:adjustRightInd w:val="0"/>
        <w:spacing w:after="120"/>
        <w:ind w:left="2268" w:right="1134" w:hanging="1134"/>
        <w:jc w:val="both"/>
        <w:rPr>
          <w:rFonts w:eastAsia="MS Mincho"/>
        </w:rPr>
      </w:pPr>
      <w:r>
        <w:t xml:space="preserve">«2.3.1 </w:t>
      </w:r>
      <w:r>
        <w:tab/>
        <w:t>Для целей испытания в полноприводном режиме конструкцией динамометрического стенда должно предусматриваться наличие одинарных беговых барабанов</w:t>
      </w:r>
      <w:r>
        <w:rPr>
          <w:b/>
          <w:bCs/>
        </w:rPr>
        <w:t>, за исключением случаев, когда соблюдены условия, предусмотренные в пункте 2.3.1.3</w:t>
      </w:r>
      <w:r>
        <w:t xml:space="preserve">. Система управления ППР должна быть сконструирована таким образом, чтобы при испытании транспортного средства в ходе ВЦИМГ выполнялись нижеследующие требования». </w:t>
      </w:r>
    </w:p>
    <w:p w14:paraId="2C546FC2" w14:textId="77777777" w:rsidR="003624EF" w:rsidRPr="00B52A78" w:rsidRDefault="003624EF" w:rsidP="003624EF">
      <w:pPr>
        <w:spacing w:after="120"/>
        <w:ind w:left="1134" w:right="1134"/>
        <w:jc w:val="both"/>
        <w:rPr>
          <w:rFonts w:eastAsia="MS Mincho"/>
          <w:iCs/>
        </w:rPr>
      </w:pPr>
      <w:r>
        <w:rPr>
          <w:i/>
          <w:iCs/>
        </w:rPr>
        <w:t>Включить новый пункт 2.3.1.3</w:t>
      </w:r>
      <w:r>
        <w:t xml:space="preserve"> следующего содержания:</w:t>
      </w:r>
    </w:p>
    <w:p w14:paraId="3E502A09" w14:textId="77777777" w:rsidR="003624EF" w:rsidRPr="00B52A78" w:rsidRDefault="003624EF" w:rsidP="003624EF">
      <w:pPr>
        <w:spacing w:after="120"/>
        <w:ind w:left="2268" w:right="1134" w:hanging="1134"/>
        <w:jc w:val="both"/>
        <w:rPr>
          <w:rFonts w:eastAsia="MS Mincho"/>
          <w:b/>
          <w:bCs/>
          <w:iCs/>
        </w:rPr>
      </w:pPr>
      <w:r>
        <w:t>«</w:t>
      </w:r>
      <w:r>
        <w:rPr>
          <w:b/>
          <w:bCs/>
        </w:rPr>
        <w:t>2.3.1.3</w:t>
      </w:r>
      <w:r>
        <w:tab/>
      </w:r>
      <w:r>
        <w:tab/>
      </w:r>
      <w:r>
        <w:rPr>
          <w:b/>
          <w:bCs/>
        </w:rPr>
        <w:t>Допускается использование динамометрических стендов с двойными беговыми барабанами в полноприводной конфигурации при соблюдении следующих условий:</w:t>
      </w:r>
    </w:p>
    <w:p w14:paraId="24697CD4" w14:textId="77777777" w:rsidR="003624EF" w:rsidRPr="00B52A78" w:rsidRDefault="003624EF" w:rsidP="003624EF">
      <w:pPr>
        <w:spacing w:after="120"/>
        <w:ind w:left="2835" w:right="1134" w:hanging="567"/>
        <w:jc w:val="both"/>
        <w:rPr>
          <w:rFonts w:eastAsia="MS Mincho"/>
          <w:b/>
          <w:bCs/>
          <w:iCs/>
        </w:rPr>
      </w:pPr>
      <w:r w:rsidRPr="000B0643">
        <w:rPr>
          <w:b/>
          <w:bCs/>
        </w:rPr>
        <w:t>a)</w:t>
      </w:r>
      <w:r>
        <w:t xml:space="preserve"> </w:t>
      </w:r>
      <w:r>
        <w:tab/>
      </w:r>
      <w:r>
        <w:rPr>
          <w:b/>
          <w:bCs/>
        </w:rPr>
        <w:t xml:space="preserve">расстояние, разделяющее передние и задние двойные беговые барабаны динамометра (на рис. ниже обозначено как </w:t>
      </w:r>
      <w:r w:rsidRPr="003624EF">
        <w:rPr>
          <w:b/>
          <w:bCs/>
        </w:rPr>
        <w:t>“</w:t>
      </w:r>
      <w:r>
        <w:rPr>
          <w:b/>
          <w:bCs/>
        </w:rPr>
        <w:t>Х</w:t>
      </w:r>
      <w:r w:rsidRPr="003624EF">
        <w:rPr>
          <w:b/>
          <w:bCs/>
        </w:rPr>
        <w:t>”</w:t>
      </w:r>
      <w:r>
        <w:rPr>
          <w:b/>
          <w:bCs/>
        </w:rPr>
        <w:t>), д</w:t>
      </w:r>
      <w:bookmarkStart w:id="0" w:name="_GoBack"/>
      <w:bookmarkEnd w:id="0"/>
      <w:r>
        <w:rPr>
          <w:b/>
          <w:bCs/>
        </w:rPr>
        <w:t>олжно в максимально возможной степени соответствовать колесной базе, заявленной изготовителем транспортного средства, подлежащего испытанию; а также</w:t>
      </w:r>
    </w:p>
    <w:p w14:paraId="7DE69785" w14:textId="4F4291DB" w:rsidR="003624EF" w:rsidRPr="003624EF" w:rsidRDefault="003624EF" w:rsidP="003624EF">
      <w:pPr>
        <w:spacing w:after="120"/>
        <w:ind w:left="2835" w:right="1134" w:hanging="567"/>
        <w:jc w:val="both"/>
        <w:rPr>
          <w:rFonts w:eastAsia="MS Mincho"/>
          <w:iCs/>
        </w:rPr>
      </w:pPr>
      <w:r>
        <w:rPr>
          <w:b/>
          <w:bCs/>
        </w:rPr>
        <w:t>b)</w:t>
      </w:r>
      <w:r>
        <w:t xml:space="preserve"> </w:t>
      </w:r>
      <w:r>
        <w:tab/>
      </w:r>
      <w:r>
        <w:rPr>
          <w:b/>
          <w:bCs/>
        </w:rPr>
        <w:t>следует удостовериться в том, что для целей испытания транспортного средства воспроизведена та же регулировка расстояния между беговыми барабанами, которая использовалась при установке нагрузки на динамометрическом стенде</w:t>
      </w:r>
      <w:r w:rsidRPr="003624EF">
        <w:t>.</w:t>
      </w:r>
    </w:p>
    <w:p w14:paraId="124FC69A" w14:textId="47E25806" w:rsidR="003624EF" w:rsidRPr="005A73D4" w:rsidRDefault="003624EF" w:rsidP="003624EF">
      <w:pPr>
        <w:spacing w:after="120"/>
        <w:ind w:left="2835" w:right="1134" w:hanging="567"/>
        <w:rPr>
          <w:rFonts w:eastAsia="MS Mincho"/>
          <w:iCs/>
        </w:rPr>
      </w:pPr>
      <w:r w:rsidRPr="005A73D4">
        <w:rPr>
          <w:rFonts w:eastAsia="MS Mincho"/>
          <w:iCs/>
          <w:noProof/>
          <w:lang w:eastAsia="zh-CN"/>
        </w:rPr>
        <w:drawing>
          <wp:inline distT="0" distB="0" distL="0" distR="0" wp14:anchorId="4603B9CB" wp14:editId="17FB8959">
            <wp:extent cx="2687320" cy="1588135"/>
            <wp:effectExtent l="0" t="0" r="0" b="0"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C7D" w:rsidRPr="003624EF">
        <w:t>»</w:t>
      </w:r>
    </w:p>
    <w:p w14:paraId="1982AA09" w14:textId="77777777" w:rsidR="003624EF" w:rsidRPr="00B52A78" w:rsidRDefault="003624EF" w:rsidP="003624EF">
      <w:pPr>
        <w:pStyle w:val="HChG"/>
        <w:rPr>
          <w:rFonts w:eastAsia="MS Mincho"/>
        </w:rPr>
      </w:pPr>
      <w:r>
        <w:tab/>
        <w:t>II.</w:t>
      </w:r>
      <w:r>
        <w:tab/>
      </w:r>
      <w:r>
        <w:rPr>
          <w:bCs/>
        </w:rPr>
        <w:t>Обоснование</w:t>
      </w:r>
    </w:p>
    <w:p w14:paraId="44C1D590" w14:textId="77777777" w:rsidR="003624EF" w:rsidRPr="00B52A78" w:rsidRDefault="003624EF" w:rsidP="003624EF">
      <w:pPr>
        <w:spacing w:after="120"/>
        <w:ind w:left="1134" w:right="1134"/>
        <w:jc w:val="both"/>
        <w:rPr>
          <w:rFonts w:eastAsia="MS Mincho"/>
        </w:rPr>
      </w:pPr>
      <w:r>
        <w:t>1.</w:t>
      </w:r>
      <w:r>
        <w:tab/>
        <w:t>В ходе восемьдесят второй сессии GRPE оперативно и в духе сотрудничества приняла справочный документ, который вносит ясность в применение определения термина «движение накатом» и использование динамометрических стендов с двойными беговыми барабанами в полноприводном режиме.</w:t>
      </w:r>
    </w:p>
    <w:p w14:paraId="5B2ADB4A" w14:textId="77777777" w:rsidR="003624EF" w:rsidRDefault="003624EF" w:rsidP="003624EF">
      <w:pPr>
        <w:spacing w:after="120"/>
        <w:ind w:left="1134" w:right="1134"/>
        <w:jc w:val="both"/>
      </w:pPr>
      <w:r>
        <w:lastRenderedPageBreak/>
        <w:t>2.</w:t>
      </w:r>
      <w:r>
        <w:tab/>
        <w:t>Вместе с тем правовой статус данного справочного документа неясен, поэтому следует включить соответствующий текст в правовые положения Правил в кратчайшие сроки.</w:t>
      </w:r>
    </w:p>
    <w:p w14:paraId="162B87E4" w14:textId="77777777" w:rsidR="00E12C5F" w:rsidRPr="008D53B6" w:rsidRDefault="003624EF" w:rsidP="003624EF">
      <w:pPr>
        <w:spacing w:before="240"/>
        <w:ind w:left="1134" w:right="1134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3624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81670" w14:textId="77777777" w:rsidR="001F51C4" w:rsidRPr="00A312BC" w:rsidRDefault="001F51C4" w:rsidP="00A312BC"/>
  </w:endnote>
  <w:endnote w:type="continuationSeparator" w:id="0">
    <w:p w14:paraId="00759791" w14:textId="77777777" w:rsidR="001F51C4" w:rsidRPr="00A312BC" w:rsidRDefault="001F51C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28FE7" w14:textId="77777777" w:rsidR="003624EF" w:rsidRPr="003624EF" w:rsidRDefault="003624EF">
    <w:pPr>
      <w:pStyle w:val="a8"/>
    </w:pPr>
    <w:r w:rsidRPr="003624EF">
      <w:rPr>
        <w:b/>
        <w:sz w:val="18"/>
      </w:rPr>
      <w:fldChar w:fldCharType="begin"/>
    </w:r>
    <w:r w:rsidRPr="003624EF">
      <w:rPr>
        <w:b/>
        <w:sz w:val="18"/>
      </w:rPr>
      <w:instrText xml:space="preserve"> PAGE  \* MERGEFORMAT </w:instrText>
    </w:r>
    <w:r w:rsidRPr="003624EF">
      <w:rPr>
        <w:b/>
        <w:sz w:val="18"/>
      </w:rPr>
      <w:fldChar w:fldCharType="separate"/>
    </w:r>
    <w:r w:rsidRPr="003624EF">
      <w:rPr>
        <w:b/>
        <w:noProof/>
        <w:sz w:val="18"/>
      </w:rPr>
      <w:t>2</w:t>
    </w:r>
    <w:r w:rsidRPr="003624EF">
      <w:rPr>
        <w:b/>
        <w:sz w:val="18"/>
      </w:rPr>
      <w:fldChar w:fldCharType="end"/>
    </w:r>
    <w:r>
      <w:rPr>
        <w:b/>
        <w:sz w:val="18"/>
      </w:rPr>
      <w:tab/>
    </w:r>
    <w:r>
      <w:t>GE.21-03617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622AC" w14:textId="77777777" w:rsidR="003624EF" w:rsidRPr="003624EF" w:rsidRDefault="003624EF" w:rsidP="003624EF">
    <w:pPr>
      <w:pStyle w:val="a8"/>
      <w:tabs>
        <w:tab w:val="clear" w:pos="9639"/>
        <w:tab w:val="right" w:pos="9638"/>
      </w:tabs>
      <w:rPr>
        <w:b/>
        <w:sz w:val="18"/>
      </w:rPr>
    </w:pPr>
    <w:r>
      <w:t>GE.21-03617</w:t>
    </w:r>
    <w:r>
      <w:tab/>
    </w:r>
    <w:r w:rsidRPr="003624EF">
      <w:rPr>
        <w:b/>
        <w:sz w:val="18"/>
      </w:rPr>
      <w:fldChar w:fldCharType="begin"/>
    </w:r>
    <w:r w:rsidRPr="003624EF">
      <w:rPr>
        <w:b/>
        <w:sz w:val="18"/>
      </w:rPr>
      <w:instrText xml:space="preserve"> PAGE  \* MERGEFORMAT </w:instrText>
    </w:r>
    <w:r w:rsidRPr="003624EF">
      <w:rPr>
        <w:b/>
        <w:sz w:val="18"/>
      </w:rPr>
      <w:fldChar w:fldCharType="separate"/>
    </w:r>
    <w:r w:rsidRPr="003624EF">
      <w:rPr>
        <w:b/>
        <w:noProof/>
        <w:sz w:val="18"/>
      </w:rPr>
      <w:t>3</w:t>
    </w:r>
    <w:r w:rsidRPr="003624E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90830" w14:textId="77777777" w:rsidR="00042B72" w:rsidRPr="003624EF" w:rsidRDefault="003624EF" w:rsidP="003624E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B028369" wp14:editId="4A78261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21-03617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2D9F23D" wp14:editId="0E2EE96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290321  290321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0E4B0" w14:textId="77777777" w:rsidR="001F51C4" w:rsidRPr="001075E9" w:rsidRDefault="001F51C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378879" w14:textId="77777777" w:rsidR="001F51C4" w:rsidRDefault="001F51C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8BDB737" w14:textId="77777777" w:rsidR="003624EF" w:rsidRPr="00B52A78" w:rsidRDefault="003624EF" w:rsidP="003624EF">
      <w:pPr>
        <w:pStyle w:val="ad"/>
      </w:pPr>
      <w:r>
        <w:tab/>
      </w:r>
      <w:r w:rsidRPr="003624EF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89993" w14:textId="6656C96F" w:rsidR="003624EF" w:rsidRPr="003624EF" w:rsidRDefault="003C104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ECE/TRANS/WP.29/GRPE/2021/12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7ECBE" w14:textId="399FEF96" w:rsidR="003624EF" w:rsidRPr="003624EF" w:rsidRDefault="003C104B" w:rsidP="003624EF">
    <w:pPr>
      <w:pStyle w:val="a5"/>
      <w:jc w:val="right"/>
    </w:pPr>
    <w:r>
      <w:fldChar w:fldCharType="begin"/>
    </w:r>
    <w:r>
      <w:instrText xml:space="preserve"> TITLE  </w:instrText>
    </w:r>
    <w:r>
      <w:instrText xml:space="preserve">\* MERGEFORMAT </w:instrText>
    </w:r>
    <w:r>
      <w:fldChar w:fldCharType="separate"/>
    </w:r>
    <w:r>
      <w:t>ECE/TRANS/WP.29/GRPE/2021/12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30250" w14:textId="77777777" w:rsidR="003624EF" w:rsidRDefault="003624EF" w:rsidP="003624E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C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51C4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24EF"/>
    <w:rsid w:val="00381C24"/>
    <w:rsid w:val="00387CD4"/>
    <w:rsid w:val="003958D0"/>
    <w:rsid w:val="003A0D43"/>
    <w:rsid w:val="003A48CE"/>
    <w:rsid w:val="003B00E5"/>
    <w:rsid w:val="003C104B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9488E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A41FD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0CDF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C5C7D"/>
    <w:rsid w:val="00DD78D1"/>
    <w:rsid w:val="00DE32CD"/>
    <w:rsid w:val="00DE5FA8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3FE65B"/>
  <w15:docId w15:val="{5A880B09-59CE-47D1-A910-2D562938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3624EF"/>
    <w:rPr>
      <w:lang w:val="ru-RU" w:eastAsia="en-US"/>
    </w:rPr>
  </w:style>
  <w:style w:type="character" w:customStyle="1" w:styleId="HChGChar">
    <w:name w:val="_ H _Ch_G Char"/>
    <w:link w:val="HChG"/>
    <w:rsid w:val="003624EF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3624EF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9E4803-4CED-484F-95BE-A0CF400714DD}"/>
</file>

<file path=customXml/itemProps2.xml><?xml version="1.0" encoding="utf-8"?>
<ds:datastoreItem xmlns:ds="http://schemas.openxmlformats.org/officeDocument/2006/customXml" ds:itemID="{7E7E766A-9754-4A3A-AEB5-01F3FBFC008A}"/>
</file>

<file path=customXml/itemProps3.xml><?xml version="1.0" encoding="utf-8"?>
<ds:datastoreItem xmlns:ds="http://schemas.openxmlformats.org/officeDocument/2006/customXml" ds:itemID="{42743C2D-C96E-411F-8004-EBFBDEEBC30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3</Pages>
  <Words>467</Words>
  <Characters>3410</Characters>
  <Application>Microsoft Office Word</Application>
  <DocSecurity>0</DocSecurity>
  <Lines>87</Lines>
  <Paragraphs>36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ECE/TRANS/WP.29/GRPE/2021/12</vt:lpstr>
      <vt:lpstr>A/</vt:lpstr>
      <vt:lpstr>A/</vt:lpstr>
    </vt:vector>
  </TitlesOfParts>
  <Company>DCM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ECE/TRANS/WP.29/GRPE/2021/12</dc:title>
  <dc:subject/>
  <dc:creator>Olga OVTCHINNIKOVA</dc:creator>
  <cp:keywords/>
  <cp:lastModifiedBy>Tatiana Chvets</cp:lastModifiedBy>
  <cp:revision>3</cp:revision>
  <cp:lastPrinted>2021-03-29T09:49:00Z</cp:lastPrinted>
  <dcterms:created xsi:type="dcterms:W3CDTF">2021-03-29T09:49:00Z</dcterms:created>
  <dcterms:modified xsi:type="dcterms:W3CDTF">2021-03-29T09:49:00Z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