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wmf" ContentType="image/x-wmf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14:paraId="107789A3" w14:textId="77777777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41604482" w14:textId="77777777" w:rsidR="00F35BAF" w:rsidRPr="00DB58B5" w:rsidRDefault="00F35BAF" w:rsidP="00F63455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253115CE" w14:textId="77777777"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671E4CDC" w14:textId="2EF587F5" w:rsidR="00F35BAF" w:rsidRPr="00DB58B5" w:rsidRDefault="00F63455" w:rsidP="00F63455">
            <w:pPr>
              <w:jc w:val="right"/>
            </w:pPr>
            <w:r w:rsidRPr="00F63455">
              <w:rPr>
                <w:sz w:val="40"/>
              </w:rPr>
              <w:t>ECE</w:t>
            </w:r>
            <w:r>
              <w:t>/TRANS/WP.29/GRPE/2021/12</w:t>
            </w:r>
          </w:p>
        </w:tc>
      </w:tr>
      <w:tr w:rsidR="00F35BAF" w:rsidRPr="00DB58B5" w14:paraId="2297552A" w14:textId="77777777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54E7F367" w14:textId="77777777"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3A8C40DB" wp14:editId="31A0D5BF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6171914E" w14:textId="77777777"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784A1D74" w14:textId="77777777" w:rsidR="00F35BAF" w:rsidRDefault="00F63455" w:rsidP="00C97039">
            <w:pPr>
              <w:spacing w:before="240"/>
            </w:pPr>
            <w:proofErr w:type="spellStart"/>
            <w:r>
              <w:t>Distr</w:t>
            </w:r>
            <w:proofErr w:type="spellEnd"/>
            <w:r>
              <w:t>. générale</w:t>
            </w:r>
          </w:p>
          <w:p w14:paraId="03D880B4" w14:textId="77777777" w:rsidR="00F63455" w:rsidRDefault="00F63455" w:rsidP="00F63455">
            <w:pPr>
              <w:spacing w:line="240" w:lineRule="exact"/>
            </w:pPr>
            <w:r>
              <w:t>17 mars 2021</w:t>
            </w:r>
          </w:p>
          <w:p w14:paraId="43ED9388" w14:textId="77777777" w:rsidR="00F63455" w:rsidRDefault="00F63455" w:rsidP="00F63455">
            <w:pPr>
              <w:spacing w:line="240" w:lineRule="exact"/>
            </w:pPr>
            <w:r>
              <w:t>Français</w:t>
            </w:r>
          </w:p>
          <w:p w14:paraId="5CE043D6" w14:textId="4ADAD500" w:rsidR="00F63455" w:rsidRPr="00DB58B5" w:rsidRDefault="00F63455" w:rsidP="00F63455">
            <w:pPr>
              <w:spacing w:line="240" w:lineRule="exact"/>
            </w:pPr>
            <w:r>
              <w:t>Original : anglais</w:t>
            </w:r>
          </w:p>
        </w:tc>
      </w:tr>
    </w:tbl>
    <w:p w14:paraId="22AAFFBB" w14:textId="77777777"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l’Europe</w:t>
      </w:r>
    </w:p>
    <w:p w14:paraId="152169C0" w14:textId="77777777"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14:paraId="34F34CB5" w14:textId="77777777" w:rsidR="005208A9" w:rsidRDefault="005208A9" w:rsidP="00AF0CB5">
      <w:pPr>
        <w:spacing w:before="120"/>
        <w:rPr>
          <w:b/>
          <w:sz w:val="24"/>
          <w:szCs w:val="24"/>
        </w:rPr>
      </w:pPr>
      <w:r w:rsidRPr="00685843">
        <w:rPr>
          <w:b/>
          <w:sz w:val="24"/>
          <w:szCs w:val="24"/>
        </w:rPr>
        <w:t>Forum mondial de l’harmonisation</w:t>
      </w:r>
      <w:r>
        <w:rPr>
          <w:b/>
          <w:sz w:val="24"/>
          <w:szCs w:val="24"/>
        </w:rPr>
        <w:br/>
      </w:r>
      <w:r w:rsidRPr="00685843">
        <w:rPr>
          <w:b/>
          <w:sz w:val="24"/>
          <w:szCs w:val="24"/>
        </w:rPr>
        <w:t>des Règlements</w:t>
      </w:r>
      <w:r>
        <w:rPr>
          <w:b/>
          <w:sz w:val="24"/>
          <w:szCs w:val="24"/>
        </w:rPr>
        <w:t xml:space="preserve"> </w:t>
      </w:r>
      <w:r w:rsidRPr="00685843">
        <w:rPr>
          <w:b/>
          <w:sz w:val="24"/>
          <w:szCs w:val="24"/>
        </w:rPr>
        <w:t>concernant les véhicules</w:t>
      </w:r>
    </w:p>
    <w:p w14:paraId="0025F5A2" w14:textId="77777777" w:rsidR="005208A9" w:rsidRPr="0027486E" w:rsidRDefault="005208A9" w:rsidP="005208A9">
      <w:pPr>
        <w:tabs>
          <w:tab w:val="left" w:pos="567"/>
          <w:tab w:val="left" w:pos="1134"/>
        </w:tabs>
        <w:spacing w:before="120" w:after="120"/>
        <w:rPr>
          <w:rFonts w:eastAsia="MS Mincho"/>
          <w:b/>
          <w:bCs/>
          <w:lang w:val="fr-FR"/>
        </w:rPr>
      </w:pPr>
      <w:bookmarkStart w:id="0" w:name="_GoBack"/>
      <w:bookmarkEnd w:id="0"/>
      <w:r>
        <w:rPr>
          <w:b/>
          <w:bCs/>
          <w:lang w:val="fr-FR"/>
        </w:rPr>
        <w:t>Groupe de travail de la pollution et de l’énergie</w:t>
      </w:r>
    </w:p>
    <w:p w14:paraId="4B4CE78C" w14:textId="77777777" w:rsidR="005208A9" w:rsidRPr="0027486E" w:rsidRDefault="005208A9" w:rsidP="005208A9">
      <w:pPr>
        <w:rPr>
          <w:rFonts w:eastAsia="MS Mincho"/>
          <w:b/>
          <w:lang w:val="fr-FR"/>
        </w:rPr>
      </w:pPr>
      <w:r>
        <w:rPr>
          <w:b/>
          <w:bCs/>
          <w:lang w:val="fr-FR"/>
        </w:rPr>
        <w:t>Quatre-vingt-troisième session</w:t>
      </w:r>
    </w:p>
    <w:p w14:paraId="605BB954" w14:textId="77777777" w:rsidR="005208A9" w:rsidRPr="0027486E" w:rsidRDefault="005208A9" w:rsidP="005208A9">
      <w:pPr>
        <w:rPr>
          <w:lang w:val="fr-FR"/>
        </w:rPr>
      </w:pPr>
      <w:r>
        <w:rPr>
          <w:lang w:val="fr-FR"/>
        </w:rPr>
        <w:t>Genève, 1</w:t>
      </w:r>
      <w:r w:rsidRPr="002A4493">
        <w:rPr>
          <w:vertAlign w:val="superscript"/>
          <w:lang w:val="fr-FR"/>
        </w:rPr>
        <w:t>er</w:t>
      </w:r>
      <w:r>
        <w:rPr>
          <w:lang w:val="fr-FR"/>
        </w:rPr>
        <w:t>-4 juin 2021</w:t>
      </w:r>
    </w:p>
    <w:p w14:paraId="39E1C114" w14:textId="77777777" w:rsidR="005208A9" w:rsidRPr="0027486E" w:rsidRDefault="005208A9" w:rsidP="005208A9">
      <w:pPr>
        <w:rPr>
          <w:lang w:val="fr-FR"/>
        </w:rPr>
      </w:pPr>
      <w:r>
        <w:rPr>
          <w:lang w:val="fr-FR"/>
        </w:rPr>
        <w:t>Point 3 a) de l’ordre du jour provisoire</w:t>
      </w:r>
    </w:p>
    <w:p w14:paraId="66BD9BDE" w14:textId="5AA043B1" w:rsidR="005208A9" w:rsidRPr="002A4493" w:rsidRDefault="005208A9" w:rsidP="005208A9">
      <w:pPr>
        <w:rPr>
          <w:b/>
          <w:bCs/>
          <w:lang w:val="fr-FR"/>
        </w:rPr>
      </w:pPr>
      <w:r w:rsidRPr="002A4493">
        <w:rPr>
          <w:b/>
          <w:bCs/>
          <w:lang w:val="fr-FR"/>
        </w:rPr>
        <w:t>Véhicules légers</w:t>
      </w:r>
      <w:r>
        <w:rPr>
          <w:b/>
          <w:bCs/>
          <w:lang w:val="fr-FR"/>
        </w:rPr>
        <w:t> </w:t>
      </w:r>
      <w:r w:rsidRPr="002A4493">
        <w:rPr>
          <w:b/>
          <w:bCs/>
          <w:lang w:val="fr-FR"/>
        </w:rPr>
        <w:t>: Règlements ONU n</w:t>
      </w:r>
      <w:r w:rsidRPr="002A4493">
        <w:rPr>
          <w:b/>
          <w:bCs/>
          <w:vertAlign w:val="superscript"/>
          <w:lang w:val="fr-FR"/>
        </w:rPr>
        <w:t>os</w:t>
      </w:r>
      <w:r>
        <w:rPr>
          <w:b/>
          <w:bCs/>
          <w:lang w:val="fr-FR"/>
        </w:rPr>
        <w:t> </w:t>
      </w:r>
      <w:r w:rsidRPr="002A4493">
        <w:rPr>
          <w:b/>
          <w:bCs/>
          <w:lang w:val="fr-FR"/>
        </w:rPr>
        <w:t xml:space="preserve">68 (Mesure de la vitesse maximale </w:t>
      </w:r>
      <w:r w:rsidR="00CF6C34">
        <w:rPr>
          <w:b/>
          <w:bCs/>
          <w:lang w:val="fr-FR"/>
        </w:rPr>
        <w:br/>
      </w:r>
      <w:r w:rsidRPr="002A4493">
        <w:rPr>
          <w:b/>
          <w:bCs/>
          <w:lang w:val="fr-FR"/>
        </w:rPr>
        <w:t xml:space="preserve">des véhicules à moteur, y compris les véhicules électriques purs), </w:t>
      </w:r>
      <w:r w:rsidR="000D22ED">
        <w:rPr>
          <w:b/>
          <w:bCs/>
          <w:lang w:val="fr-FR"/>
        </w:rPr>
        <w:br/>
      </w:r>
      <w:r w:rsidRPr="002A4493">
        <w:rPr>
          <w:b/>
          <w:bCs/>
          <w:lang w:val="fr-FR"/>
        </w:rPr>
        <w:t>83 (Émissions polluantes des véhicules des catégories M</w:t>
      </w:r>
      <w:r w:rsidRPr="002A4493">
        <w:rPr>
          <w:b/>
          <w:bCs/>
          <w:vertAlign w:val="subscript"/>
          <w:lang w:val="fr-FR"/>
        </w:rPr>
        <w:t>1</w:t>
      </w:r>
      <w:r w:rsidRPr="002A4493">
        <w:rPr>
          <w:b/>
          <w:bCs/>
          <w:lang w:val="fr-FR"/>
        </w:rPr>
        <w:t xml:space="preserve"> et N</w:t>
      </w:r>
      <w:r w:rsidRPr="002A4493">
        <w:rPr>
          <w:b/>
          <w:bCs/>
          <w:vertAlign w:val="subscript"/>
          <w:lang w:val="fr-FR"/>
        </w:rPr>
        <w:t>1</w:t>
      </w:r>
      <w:r w:rsidRPr="002A4493">
        <w:rPr>
          <w:b/>
          <w:bCs/>
          <w:lang w:val="fr-FR"/>
        </w:rPr>
        <w:t>),</w:t>
      </w:r>
    </w:p>
    <w:p w14:paraId="4B5791A2" w14:textId="7DE686D2" w:rsidR="005208A9" w:rsidRPr="000D22ED" w:rsidRDefault="005208A9" w:rsidP="005208A9">
      <w:pPr>
        <w:rPr>
          <w:b/>
          <w:bCs/>
          <w:lang w:val="fr-FR"/>
        </w:rPr>
      </w:pPr>
      <w:r w:rsidRPr="002A4493">
        <w:rPr>
          <w:b/>
          <w:bCs/>
          <w:lang w:val="fr-FR"/>
        </w:rPr>
        <w:t>101 (Émissions de CO</w:t>
      </w:r>
      <w:r w:rsidRPr="002A4493">
        <w:rPr>
          <w:b/>
          <w:bCs/>
          <w:vertAlign w:val="subscript"/>
          <w:lang w:val="fr-FR"/>
        </w:rPr>
        <w:t>2</w:t>
      </w:r>
      <w:r w:rsidRPr="002A4493">
        <w:rPr>
          <w:b/>
          <w:bCs/>
          <w:lang w:val="fr-FR"/>
        </w:rPr>
        <w:t xml:space="preserve">/consommation de carburant), </w:t>
      </w:r>
      <w:r w:rsidR="00CF6C34">
        <w:rPr>
          <w:b/>
          <w:bCs/>
          <w:lang w:val="fr-FR"/>
        </w:rPr>
        <w:br/>
      </w:r>
      <w:r w:rsidRPr="002A4493">
        <w:rPr>
          <w:b/>
          <w:bCs/>
          <w:lang w:val="fr-FR"/>
        </w:rPr>
        <w:t>103 (Dispositifs antipollution de remplacement)</w:t>
      </w:r>
      <w:r w:rsidR="000D22ED">
        <w:rPr>
          <w:b/>
          <w:bCs/>
          <w:lang w:val="fr-FR"/>
        </w:rPr>
        <w:t xml:space="preserve"> </w:t>
      </w:r>
      <w:r w:rsidRPr="002A4493">
        <w:rPr>
          <w:b/>
          <w:bCs/>
          <w:lang w:val="fr-FR"/>
        </w:rPr>
        <w:t>et 154 (Procédure d</w:t>
      </w:r>
      <w:r>
        <w:rPr>
          <w:b/>
          <w:bCs/>
          <w:lang w:val="fr-FR"/>
        </w:rPr>
        <w:t>’</w:t>
      </w:r>
      <w:r w:rsidRPr="002A4493">
        <w:rPr>
          <w:b/>
          <w:bCs/>
          <w:lang w:val="fr-FR"/>
        </w:rPr>
        <w:t xml:space="preserve">essai </w:t>
      </w:r>
      <w:r w:rsidR="000D22ED">
        <w:rPr>
          <w:b/>
          <w:bCs/>
          <w:lang w:val="fr-FR"/>
        </w:rPr>
        <w:br/>
      </w:r>
      <w:r w:rsidRPr="002A4493">
        <w:rPr>
          <w:b/>
          <w:bCs/>
          <w:lang w:val="fr-FR"/>
        </w:rPr>
        <w:t xml:space="preserve">mondiale harmonisée pour les voitures particulières </w:t>
      </w:r>
      <w:r w:rsidR="00CF6C34">
        <w:rPr>
          <w:b/>
          <w:bCs/>
          <w:lang w:val="fr-FR"/>
        </w:rPr>
        <w:br/>
      </w:r>
      <w:r w:rsidRPr="002A4493">
        <w:rPr>
          <w:b/>
          <w:bCs/>
          <w:lang w:val="fr-FR"/>
        </w:rPr>
        <w:t>et les véhicules utilitaires légers</w:t>
      </w:r>
      <w:r w:rsidR="00CF6C34">
        <w:rPr>
          <w:b/>
          <w:bCs/>
          <w:lang w:val="fr-FR"/>
        </w:rPr>
        <w:t xml:space="preserve"> </w:t>
      </w:r>
      <w:r w:rsidRPr="0085090D">
        <w:rPr>
          <w:b/>
          <w:bCs/>
        </w:rPr>
        <w:t>(WLTP))</w:t>
      </w:r>
    </w:p>
    <w:p w14:paraId="797AD747" w14:textId="4558CCFF" w:rsidR="005208A9" w:rsidRPr="0021692F" w:rsidRDefault="00CF6C34" w:rsidP="00CF6C34">
      <w:pPr>
        <w:pStyle w:val="HChG"/>
        <w:rPr>
          <w:lang w:val="fr-FR"/>
        </w:rPr>
      </w:pPr>
      <w:r>
        <w:tab/>
      </w:r>
      <w:r w:rsidR="005208A9" w:rsidRPr="0085090D">
        <w:tab/>
      </w:r>
      <w:r w:rsidR="005208A9" w:rsidRPr="0021692F">
        <w:rPr>
          <w:lang w:val="fr-FR"/>
        </w:rPr>
        <w:t xml:space="preserve">Proposition de nouveau complément à la version initiale </w:t>
      </w:r>
      <w:r>
        <w:rPr>
          <w:lang w:val="fr-FR"/>
        </w:rPr>
        <w:br/>
      </w:r>
      <w:r w:rsidR="005208A9" w:rsidRPr="0021692F">
        <w:rPr>
          <w:lang w:val="fr-FR"/>
        </w:rPr>
        <w:t>et à la série 01</w:t>
      </w:r>
      <w:r w:rsidR="005208A9" w:rsidRPr="0021692F">
        <w:rPr>
          <w:color w:val="000000" w:themeColor="text1"/>
          <w:lang w:val="fr-FR"/>
        </w:rPr>
        <w:t xml:space="preserve"> d</w:t>
      </w:r>
      <w:r w:rsidR="005208A9">
        <w:rPr>
          <w:color w:val="000000" w:themeColor="text1"/>
          <w:lang w:val="fr-FR"/>
        </w:rPr>
        <w:t>’</w:t>
      </w:r>
      <w:r w:rsidR="005208A9" w:rsidRPr="0021692F">
        <w:rPr>
          <w:color w:val="000000" w:themeColor="text1"/>
          <w:lang w:val="fr-FR"/>
        </w:rPr>
        <w:t>amend</w:t>
      </w:r>
      <w:r w:rsidR="005208A9">
        <w:rPr>
          <w:color w:val="000000" w:themeColor="text1"/>
          <w:lang w:val="fr-FR"/>
        </w:rPr>
        <w:t>e</w:t>
      </w:r>
      <w:r w:rsidR="005208A9" w:rsidRPr="0021692F">
        <w:rPr>
          <w:color w:val="000000" w:themeColor="text1"/>
          <w:lang w:val="fr-FR"/>
        </w:rPr>
        <w:t xml:space="preserve">ments </w:t>
      </w:r>
      <w:r w:rsidR="005208A9">
        <w:rPr>
          <w:color w:val="000000" w:themeColor="text1"/>
          <w:lang w:val="fr-FR"/>
        </w:rPr>
        <w:t>au Règlement ONU n</w:t>
      </w:r>
      <w:r w:rsidR="005208A9" w:rsidRPr="0021692F">
        <w:rPr>
          <w:color w:val="000000" w:themeColor="text1"/>
          <w:vertAlign w:val="superscript"/>
          <w:lang w:val="fr-FR"/>
        </w:rPr>
        <w:t>o</w:t>
      </w:r>
      <w:r>
        <w:rPr>
          <w:color w:val="000000" w:themeColor="text1"/>
          <w:lang w:val="fr-FR"/>
        </w:rPr>
        <w:t> </w:t>
      </w:r>
      <w:r w:rsidR="005208A9" w:rsidRPr="0021692F">
        <w:rPr>
          <w:color w:val="000000" w:themeColor="text1"/>
          <w:lang w:val="fr-FR"/>
        </w:rPr>
        <w:t>154</w:t>
      </w:r>
      <w:r w:rsidR="005208A9">
        <w:rPr>
          <w:color w:val="000000" w:themeColor="text1"/>
          <w:lang w:val="fr-FR"/>
        </w:rPr>
        <w:t xml:space="preserve"> </w:t>
      </w:r>
      <w:r w:rsidR="005208A9" w:rsidRPr="0021692F">
        <w:rPr>
          <w:lang w:val="fr-FR"/>
        </w:rPr>
        <w:t>(</w:t>
      </w:r>
      <w:r w:rsidR="005208A9">
        <w:rPr>
          <w:lang w:val="fr-FR"/>
        </w:rPr>
        <w:t>P</w:t>
      </w:r>
      <w:r w:rsidR="005208A9" w:rsidRPr="0021692F">
        <w:rPr>
          <w:lang w:val="fr-FR"/>
        </w:rPr>
        <w:t>rocédure d</w:t>
      </w:r>
      <w:r w:rsidR="005208A9">
        <w:rPr>
          <w:lang w:val="fr-FR"/>
        </w:rPr>
        <w:t>’</w:t>
      </w:r>
      <w:r w:rsidR="005208A9" w:rsidRPr="0021692F">
        <w:rPr>
          <w:lang w:val="fr-FR"/>
        </w:rPr>
        <w:t>essai mondiale harmonisée pour les voitures particulières et les véhicules utilitaires légers (WLTP))</w:t>
      </w:r>
    </w:p>
    <w:p w14:paraId="78A1C06A" w14:textId="502EFC5B" w:rsidR="005208A9" w:rsidRPr="0027486E" w:rsidRDefault="005208A9" w:rsidP="00CF6C34">
      <w:pPr>
        <w:pStyle w:val="H1G"/>
        <w:rPr>
          <w:lang w:val="fr-FR"/>
        </w:rPr>
      </w:pPr>
      <w:r w:rsidRPr="0021692F">
        <w:rPr>
          <w:lang w:val="fr-FR"/>
        </w:rPr>
        <w:tab/>
      </w:r>
      <w:r w:rsidRPr="0021692F">
        <w:rPr>
          <w:lang w:val="fr-FR"/>
        </w:rPr>
        <w:tab/>
      </w:r>
      <w:r>
        <w:rPr>
          <w:lang w:val="fr-FR"/>
        </w:rPr>
        <w:t xml:space="preserve">Communication de l’expert de l’Organisation internationale </w:t>
      </w:r>
      <w:r w:rsidR="00CF6C34">
        <w:rPr>
          <w:lang w:val="fr-FR"/>
        </w:rPr>
        <w:br/>
      </w:r>
      <w:r>
        <w:rPr>
          <w:lang w:val="fr-FR"/>
        </w:rPr>
        <w:t>des constructeurs d’automobiles</w:t>
      </w:r>
      <w:r w:rsidRPr="00CF6C34">
        <w:rPr>
          <w:b w:val="0"/>
          <w:bCs/>
          <w:sz w:val="20"/>
          <w:lang w:val="fr-FR"/>
        </w:rPr>
        <w:footnoteReference w:customMarkFollows="1" w:id="2"/>
        <w:t>*</w:t>
      </w:r>
    </w:p>
    <w:p w14:paraId="705FAC00" w14:textId="323CA1BE" w:rsidR="005208A9" w:rsidRPr="0027486E" w:rsidRDefault="005208A9" w:rsidP="005208A9">
      <w:pPr>
        <w:pStyle w:val="SingleTxtG"/>
        <w:ind w:firstLine="567"/>
        <w:rPr>
          <w:lang w:val="fr-FR"/>
        </w:rPr>
      </w:pPr>
      <w:r>
        <w:rPr>
          <w:lang w:val="fr-FR"/>
        </w:rPr>
        <w:t xml:space="preserve">Le texte ci-après a été établi par l’expert de l’Organisation internationale des constructeurs d’automobiles (OICA). </w:t>
      </w:r>
      <w:r w:rsidRPr="00AA398B">
        <w:rPr>
          <w:lang w:val="fr-FR"/>
        </w:rPr>
        <w:t xml:space="preserve">Il a pour objet </w:t>
      </w:r>
      <w:r>
        <w:rPr>
          <w:lang w:val="fr-FR"/>
        </w:rPr>
        <w:t xml:space="preserve">de tenir compte, dans </w:t>
      </w:r>
      <w:r w:rsidRPr="00AA398B">
        <w:rPr>
          <w:lang w:val="fr-FR"/>
        </w:rPr>
        <w:t>le texte actuel du Règlement</w:t>
      </w:r>
      <w:r>
        <w:rPr>
          <w:lang w:val="fr-FR"/>
        </w:rPr>
        <w:t>,</w:t>
      </w:r>
      <w:r w:rsidRPr="00AA398B">
        <w:rPr>
          <w:lang w:val="fr-FR"/>
        </w:rPr>
        <w:t xml:space="preserve"> </w:t>
      </w:r>
      <w:r>
        <w:rPr>
          <w:lang w:val="fr-FR"/>
        </w:rPr>
        <w:t xml:space="preserve">du document de référence adopté par le </w:t>
      </w:r>
      <w:r w:rsidRPr="00AA398B">
        <w:rPr>
          <w:lang w:val="fr-FR"/>
        </w:rPr>
        <w:t xml:space="preserve">GRPE </w:t>
      </w:r>
      <w:r>
        <w:rPr>
          <w:lang w:val="fr-FR"/>
        </w:rPr>
        <w:t>à sa quatre</w:t>
      </w:r>
      <w:r w:rsidR="000110C3">
        <w:rPr>
          <w:lang w:val="fr-FR"/>
        </w:rPr>
        <w:noBreakHyphen/>
      </w:r>
      <w:r>
        <w:rPr>
          <w:lang w:val="fr-FR"/>
        </w:rPr>
        <w:t>vingt</w:t>
      </w:r>
      <w:r w:rsidR="000110C3">
        <w:rPr>
          <w:lang w:val="fr-FR"/>
        </w:rPr>
        <w:noBreakHyphen/>
      </w:r>
      <w:r>
        <w:rPr>
          <w:lang w:val="fr-FR"/>
        </w:rPr>
        <w:t>deuxième ses</w:t>
      </w:r>
      <w:r w:rsidRPr="00AA398B">
        <w:rPr>
          <w:lang w:val="fr-FR"/>
        </w:rPr>
        <w:t xml:space="preserve">sion. </w:t>
      </w:r>
      <w:r>
        <w:rPr>
          <w:lang w:val="fr-FR"/>
        </w:rPr>
        <w:t>Les modifications qu’il est proposé d’apporter au texte actuel du Règlement figurent en caractères gras pour les ajouts et biffés pour les suppressions.</w:t>
      </w:r>
    </w:p>
    <w:p w14:paraId="215661D4" w14:textId="77777777" w:rsidR="005208A9" w:rsidRPr="0027486E" w:rsidRDefault="005208A9" w:rsidP="005208A9">
      <w:pPr>
        <w:pStyle w:val="HChG"/>
        <w:tabs>
          <w:tab w:val="clear" w:pos="851"/>
        </w:tabs>
        <w:ind w:hanging="567"/>
        <w:rPr>
          <w:b w:val="0"/>
          <w:bCs/>
          <w:lang w:val="fr-FR" w:eastAsia="en-GB"/>
        </w:rPr>
      </w:pPr>
      <w:r w:rsidRPr="0027486E">
        <w:rPr>
          <w:lang w:val="fr-FR"/>
        </w:rPr>
        <w:br w:type="page"/>
      </w:r>
    </w:p>
    <w:p w14:paraId="09F3D62A" w14:textId="77777777" w:rsidR="005208A9" w:rsidRPr="0085090D" w:rsidRDefault="005208A9" w:rsidP="00CF6C34">
      <w:pPr>
        <w:pStyle w:val="HChG"/>
      </w:pPr>
      <w:r w:rsidRPr="0085090D">
        <w:lastRenderedPageBreak/>
        <w:tab/>
        <w:t>I.</w:t>
      </w:r>
      <w:r w:rsidRPr="0085090D">
        <w:tab/>
        <w:t>Proposition</w:t>
      </w:r>
    </w:p>
    <w:p w14:paraId="6A6BBC0F" w14:textId="77777777" w:rsidR="005208A9" w:rsidRPr="00FE153D" w:rsidRDefault="005208A9" w:rsidP="00FE153D">
      <w:pPr>
        <w:pStyle w:val="SingleTxtG"/>
        <w:rPr>
          <w:i/>
          <w:iCs/>
          <w:lang w:val="fr-FR"/>
        </w:rPr>
      </w:pPr>
      <w:r w:rsidRPr="00FE153D">
        <w:rPr>
          <w:i/>
          <w:iCs/>
          <w:lang w:val="fr-FR"/>
        </w:rPr>
        <w:t>Dans la version initiale et dans la série 01 d’amendements</w:t>
      </w:r>
    </w:p>
    <w:p w14:paraId="421A6B22" w14:textId="43D5284B" w:rsidR="005208A9" w:rsidRPr="0085090D" w:rsidRDefault="005208A9" w:rsidP="00A013AC">
      <w:pPr>
        <w:pStyle w:val="SingleTxtG"/>
        <w:keepNext/>
        <w:rPr>
          <w:rFonts w:eastAsia="MS Mincho"/>
          <w:i/>
        </w:rPr>
      </w:pPr>
      <w:r w:rsidRPr="0085090D">
        <w:rPr>
          <w:i/>
          <w:iCs/>
        </w:rPr>
        <w:t>Paragraphe 3.2.36</w:t>
      </w:r>
      <w:r w:rsidRPr="0085090D">
        <w:t>, lire</w:t>
      </w:r>
      <w:r w:rsidR="00CF6C34">
        <w:t> :</w:t>
      </w:r>
    </w:p>
    <w:p w14:paraId="0A8CCF79" w14:textId="1497228F" w:rsidR="005208A9" w:rsidRPr="00CD4DA4" w:rsidRDefault="005208A9" w:rsidP="00E444BD">
      <w:pPr>
        <w:pStyle w:val="SingleTxtG"/>
        <w:ind w:left="2268" w:hanging="1134"/>
        <w:rPr>
          <w:rFonts w:eastAsia="MS Mincho"/>
          <w:bCs/>
          <w:lang w:val="fr-FR"/>
        </w:rPr>
      </w:pPr>
      <w:r w:rsidRPr="00653D21">
        <w:rPr>
          <w:rFonts w:eastAsia="MS Mincho"/>
          <w:lang w:val="fr-FR"/>
        </w:rPr>
        <w:t>«</w:t>
      </w:r>
      <w:r w:rsidR="00A31E62">
        <w:rPr>
          <w:rFonts w:eastAsia="MS Mincho"/>
          <w:lang w:val="fr-FR"/>
        </w:rPr>
        <w:t> </w:t>
      </w:r>
      <w:r w:rsidRPr="00653D21">
        <w:rPr>
          <w:rFonts w:eastAsia="MS Mincho"/>
          <w:lang w:val="fr-FR"/>
        </w:rPr>
        <w:t xml:space="preserve">3.2.36 </w:t>
      </w:r>
      <w:r w:rsidRPr="00653D21">
        <w:rPr>
          <w:rFonts w:eastAsia="MS Mincho"/>
          <w:lang w:val="fr-FR"/>
        </w:rPr>
        <w:tab/>
        <w:t xml:space="preserve">Par </w:t>
      </w:r>
      <w:r w:rsidR="00CF6C34">
        <w:rPr>
          <w:rFonts w:eastAsia="MS Mincho"/>
          <w:lang w:val="fr-FR"/>
        </w:rPr>
        <w:t>“</w:t>
      </w:r>
      <w:r w:rsidRPr="00653D21">
        <w:rPr>
          <w:rFonts w:eastAsia="MS Mincho"/>
          <w:lang w:val="fr-FR"/>
        </w:rPr>
        <w:t>marche au point mort</w:t>
      </w:r>
      <w:r w:rsidR="00A31E62">
        <w:rPr>
          <w:rFonts w:eastAsia="MS Mincho"/>
          <w:lang w:val="fr-FR"/>
        </w:rPr>
        <w:t>”</w:t>
      </w:r>
      <w:r w:rsidRPr="00653D21">
        <w:rPr>
          <w:rFonts w:eastAsia="MS Mincho"/>
          <w:lang w:val="fr-FR"/>
        </w:rPr>
        <w:t>, on entend une fonction d</w:t>
      </w:r>
      <w:r>
        <w:rPr>
          <w:rFonts w:eastAsia="MS Mincho"/>
          <w:lang w:val="fr-FR"/>
        </w:rPr>
        <w:t>’</w:t>
      </w:r>
      <w:r w:rsidRPr="00653D21">
        <w:rPr>
          <w:rFonts w:eastAsia="MS Mincho"/>
          <w:lang w:val="fr-FR"/>
        </w:rPr>
        <w:t>une boîte de vitesses automatique ou d</w:t>
      </w:r>
      <w:r>
        <w:rPr>
          <w:rFonts w:eastAsia="MS Mincho"/>
          <w:lang w:val="fr-FR"/>
        </w:rPr>
        <w:t>’</w:t>
      </w:r>
      <w:r w:rsidRPr="00653D21">
        <w:rPr>
          <w:rFonts w:eastAsia="MS Mincho"/>
          <w:lang w:val="fr-FR"/>
        </w:rPr>
        <w:t>un embrayage qui</w:t>
      </w:r>
      <w:r w:rsidRPr="00F44FF3">
        <w:rPr>
          <w:rFonts w:eastAsia="MS Mincho"/>
          <w:b/>
          <w:bCs/>
          <w:lang w:val="fr-FR"/>
        </w:rPr>
        <w:t>, lorsq</w:t>
      </w:r>
      <w:r>
        <w:rPr>
          <w:rFonts w:eastAsia="MS Mincho"/>
          <w:b/>
          <w:bCs/>
          <w:lang w:val="fr-FR"/>
        </w:rPr>
        <w:t xml:space="preserve">u’une </w:t>
      </w:r>
      <w:r w:rsidRPr="00F44FF3">
        <w:rPr>
          <w:rFonts w:eastAsia="MS Mincho"/>
          <w:b/>
          <w:bCs/>
          <w:lang w:val="fr-FR"/>
        </w:rPr>
        <w:t>propulsion nulle ou une décélération lente est requise</w:t>
      </w:r>
      <w:r>
        <w:rPr>
          <w:rFonts w:eastAsia="MS Mincho"/>
          <w:b/>
          <w:bCs/>
          <w:lang w:val="fr-FR"/>
        </w:rPr>
        <w:t xml:space="preserve">, </w:t>
      </w:r>
      <w:r w:rsidRPr="00653D21">
        <w:rPr>
          <w:rFonts w:eastAsia="MS Mincho"/>
          <w:lang w:val="fr-FR"/>
        </w:rPr>
        <w:t>découple automatiquement le moteur du système de transmission</w:t>
      </w:r>
      <w:r w:rsidRPr="00F44FF3">
        <w:rPr>
          <w:rFonts w:eastAsia="MS Mincho"/>
          <w:b/>
          <w:bCs/>
          <w:lang w:val="fr-FR"/>
        </w:rPr>
        <w:t>, aucune énergie de propulsion n</w:t>
      </w:r>
      <w:r>
        <w:rPr>
          <w:rFonts w:eastAsia="MS Mincho"/>
          <w:b/>
          <w:bCs/>
          <w:lang w:val="fr-FR"/>
        </w:rPr>
        <w:t>’</w:t>
      </w:r>
      <w:r w:rsidRPr="00F44FF3">
        <w:rPr>
          <w:rFonts w:eastAsia="MS Mincho"/>
          <w:b/>
          <w:bCs/>
          <w:lang w:val="fr-FR"/>
        </w:rPr>
        <w:t>étant appliquée aux roues, aucune énergie n</w:t>
      </w:r>
      <w:r>
        <w:rPr>
          <w:rFonts w:eastAsia="MS Mincho"/>
          <w:b/>
          <w:bCs/>
          <w:lang w:val="fr-FR"/>
        </w:rPr>
        <w:t>’</w:t>
      </w:r>
      <w:r w:rsidRPr="00F44FF3">
        <w:rPr>
          <w:rFonts w:eastAsia="MS Mincho"/>
          <w:b/>
          <w:bCs/>
          <w:lang w:val="fr-FR"/>
        </w:rPr>
        <w:t xml:space="preserve">étant récupérée de celles-ci et aucun freinage </w:t>
      </w:r>
      <w:r>
        <w:rPr>
          <w:rFonts w:eastAsia="MS Mincho"/>
          <w:b/>
          <w:bCs/>
          <w:lang w:val="fr-FR"/>
        </w:rPr>
        <w:t xml:space="preserve">mécanique </w:t>
      </w:r>
      <w:r w:rsidRPr="00F44FF3">
        <w:rPr>
          <w:rFonts w:eastAsia="MS Mincho"/>
          <w:b/>
          <w:bCs/>
          <w:lang w:val="fr-FR"/>
        </w:rPr>
        <w:t>n</w:t>
      </w:r>
      <w:r>
        <w:rPr>
          <w:rFonts w:eastAsia="MS Mincho"/>
          <w:b/>
          <w:bCs/>
          <w:lang w:val="fr-FR"/>
        </w:rPr>
        <w:t>’</w:t>
      </w:r>
      <w:r w:rsidRPr="00F44FF3">
        <w:rPr>
          <w:rFonts w:eastAsia="MS Mincho"/>
          <w:b/>
          <w:bCs/>
          <w:lang w:val="fr-FR"/>
        </w:rPr>
        <w:t>étant appliqué.</w:t>
      </w:r>
      <w:r>
        <w:rPr>
          <w:rFonts w:eastAsia="MS Mincho"/>
          <w:lang w:val="fr-FR"/>
        </w:rPr>
        <w:t xml:space="preserve"> </w:t>
      </w:r>
      <w:r w:rsidRPr="00F44FF3">
        <w:rPr>
          <w:rFonts w:eastAsia="MS Mincho"/>
          <w:strike/>
          <w:lang w:val="fr-FR"/>
        </w:rPr>
        <w:t xml:space="preserve"> lorsqu</w:t>
      </w:r>
      <w:r>
        <w:rPr>
          <w:rFonts w:eastAsia="MS Mincho"/>
          <w:strike/>
          <w:lang w:val="fr-FR"/>
        </w:rPr>
        <w:t>’</w:t>
      </w:r>
      <w:r w:rsidRPr="00F44FF3">
        <w:rPr>
          <w:rFonts w:eastAsia="MS Mincho"/>
          <w:strike/>
          <w:lang w:val="fr-FR"/>
        </w:rPr>
        <w:t>une propulsion nulle ou une décélération lente est requise, et pendant laquelle</w:t>
      </w:r>
      <w:r w:rsidRPr="00653D21">
        <w:rPr>
          <w:rFonts w:eastAsia="MS Mincho"/>
          <w:lang w:val="fr-FR"/>
        </w:rPr>
        <w:t xml:space="preserve"> </w:t>
      </w:r>
      <w:r w:rsidRPr="00CD4DA4">
        <w:rPr>
          <w:rFonts w:eastAsia="MS Mincho"/>
          <w:b/>
          <w:bCs/>
          <w:lang w:val="fr-FR"/>
        </w:rPr>
        <w:t>Durant l</w:t>
      </w:r>
      <w:r>
        <w:rPr>
          <w:rFonts w:eastAsia="MS Mincho"/>
          <w:b/>
          <w:bCs/>
          <w:lang w:val="fr-FR"/>
        </w:rPr>
        <w:t>’</w:t>
      </w:r>
      <w:r w:rsidRPr="00CD4DA4">
        <w:rPr>
          <w:rFonts w:eastAsia="MS Mincho"/>
          <w:b/>
          <w:bCs/>
          <w:lang w:val="fr-FR"/>
        </w:rPr>
        <w:t>application de cette fonction,</w:t>
      </w:r>
      <w:r>
        <w:rPr>
          <w:rFonts w:eastAsia="MS Mincho"/>
          <w:lang w:val="fr-FR"/>
        </w:rPr>
        <w:t xml:space="preserve"> </w:t>
      </w:r>
      <w:r w:rsidRPr="00653D21">
        <w:rPr>
          <w:rFonts w:eastAsia="MS Mincho"/>
          <w:lang w:val="fr-FR"/>
        </w:rPr>
        <w:t>le moteur peut tourner au ralenti ou être arrêté.</w:t>
      </w:r>
      <w:r w:rsidR="00A31E62">
        <w:rPr>
          <w:rFonts w:eastAsia="MS Mincho"/>
          <w:lang w:val="fr-FR"/>
        </w:rPr>
        <w:t> </w:t>
      </w:r>
      <w:r w:rsidRPr="00CD4DA4">
        <w:rPr>
          <w:rFonts w:eastAsia="MS Mincho"/>
          <w:bCs/>
          <w:lang w:val="fr-FR"/>
        </w:rPr>
        <w:t>».</w:t>
      </w:r>
    </w:p>
    <w:p w14:paraId="56FFF972" w14:textId="77777777" w:rsidR="005208A9" w:rsidRPr="0085090D" w:rsidRDefault="005208A9" w:rsidP="00FE153D">
      <w:pPr>
        <w:pStyle w:val="SingleTxtG"/>
        <w:rPr>
          <w:rFonts w:eastAsia="MS Mincho"/>
          <w:i/>
        </w:rPr>
      </w:pPr>
      <w:r w:rsidRPr="0085090D">
        <w:rPr>
          <w:i/>
          <w:iCs/>
        </w:rPr>
        <w:t>Annexe B5</w:t>
      </w:r>
    </w:p>
    <w:p w14:paraId="351175DD" w14:textId="02D569E2" w:rsidR="005208A9" w:rsidRPr="0085090D" w:rsidRDefault="005208A9" w:rsidP="00E11725">
      <w:pPr>
        <w:pStyle w:val="SingleTxtG"/>
        <w:keepNext/>
        <w:rPr>
          <w:rFonts w:eastAsia="MS Mincho"/>
        </w:rPr>
      </w:pPr>
      <w:r w:rsidRPr="00E11725">
        <w:rPr>
          <w:i/>
          <w:iCs/>
        </w:rPr>
        <w:t>Paragraphe 2.3.1</w:t>
      </w:r>
      <w:r w:rsidRPr="00E11725">
        <w:t xml:space="preserve">, </w:t>
      </w:r>
      <w:r w:rsidRPr="0085090D">
        <w:t>lire</w:t>
      </w:r>
      <w:r w:rsidR="00E11725">
        <w:t> :</w:t>
      </w:r>
    </w:p>
    <w:p w14:paraId="79E364E4" w14:textId="1F103575" w:rsidR="005208A9" w:rsidRPr="0027486E" w:rsidRDefault="005208A9" w:rsidP="00E444BD">
      <w:pPr>
        <w:pStyle w:val="SingleTxtG"/>
        <w:ind w:left="2268" w:hanging="1134"/>
        <w:rPr>
          <w:rFonts w:eastAsia="MS Mincho"/>
          <w:lang w:val="fr-FR"/>
        </w:rPr>
      </w:pPr>
      <w:r w:rsidRPr="00AB2AC7">
        <w:rPr>
          <w:lang w:val="fr-FR"/>
        </w:rPr>
        <w:t>«</w:t>
      </w:r>
      <w:r w:rsidR="00E444BD">
        <w:rPr>
          <w:lang w:val="fr-FR"/>
        </w:rPr>
        <w:t> </w:t>
      </w:r>
      <w:r w:rsidRPr="00AB2AC7">
        <w:rPr>
          <w:lang w:val="fr-FR"/>
        </w:rPr>
        <w:t xml:space="preserve">2.3.1 </w:t>
      </w:r>
      <w:r w:rsidRPr="00AB2AC7">
        <w:rPr>
          <w:lang w:val="fr-FR"/>
        </w:rPr>
        <w:tab/>
        <w:t>Pour les essais en mode quatre roues motrices, le dynamomètre doit être à rouleau simple</w:t>
      </w:r>
      <w:r w:rsidRPr="00AB2AC7">
        <w:rPr>
          <w:b/>
          <w:bCs/>
          <w:lang w:val="fr-FR"/>
        </w:rPr>
        <w:t>, à moins que les conditions mentionnées au 2.3.1.3 soient réunies</w:t>
      </w:r>
      <w:r w:rsidRPr="00AB2AC7">
        <w:rPr>
          <w:lang w:val="fr-FR"/>
        </w:rPr>
        <w:t xml:space="preserve">. </w:t>
      </w:r>
      <w:r>
        <w:rPr>
          <w:lang w:val="fr-FR"/>
        </w:rPr>
        <w:t>Le système de commande du mode quatre roues motrices doit être conçu de telle sorte que les conditions suivantes soient remplies lorsqu’il est utilisé avec un véhicule soumis au cycle WLTC.</w:t>
      </w:r>
      <w:r w:rsidR="00E444BD">
        <w:rPr>
          <w:lang w:val="fr-FR"/>
        </w:rPr>
        <w:t> </w:t>
      </w:r>
      <w:r>
        <w:rPr>
          <w:lang w:val="fr-FR"/>
        </w:rPr>
        <w:t>».</w:t>
      </w:r>
    </w:p>
    <w:p w14:paraId="23A27538" w14:textId="06915D34" w:rsidR="005208A9" w:rsidRPr="0027486E" w:rsidRDefault="005208A9" w:rsidP="00A013AC">
      <w:pPr>
        <w:pStyle w:val="SingleTxtG"/>
        <w:keepNext/>
        <w:rPr>
          <w:rFonts w:eastAsia="MS Mincho"/>
          <w:iCs/>
          <w:lang w:val="fr-FR"/>
        </w:rPr>
      </w:pPr>
      <w:r w:rsidRPr="00AA398B">
        <w:rPr>
          <w:i/>
          <w:iCs/>
          <w:lang w:val="fr-FR"/>
        </w:rPr>
        <w:t xml:space="preserve">Ajouter le nouveau paragraphe </w:t>
      </w:r>
      <w:r>
        <w:rPr>
          <w:i/>
          <w:iCs/>
          <w:lang w:val="fr-FR"/>
        </w:rPr>
        <w:t>2</w:t>
      </w:r>
      <w:r w:rsidRPr="00AA398B">
        <w:rPr>
          <w:i/>
          <w:iCs/>
          <w:lang w:val="fr-FR"/>
        </w:rPr>
        <w:t>.3.1.3</w:t>
      </w:r>
      <w:r>
        <w:rPr>
          <w:lang w:val="fr-FR"/>
        </w:rPr>
        <w:t>, libellé comme suit</w:t>
      </w:r>
      <w:r w:rsidR="0068687E">
        <w:rPr>
          <w:lang w:val="fr-FR"/>
        </w:rPr>
        <w:t> </w:t>
      </w:r>
      <w:r>
        <w:rPr>
          <w:lang w:val="fr-FR"/>
        </w:rPr>
        <w:t>:</w:t>
      </w:r>
    </w:p>
    <w:p w14:paraId="2A779885" w14:textId="11B15AED" w:rsidR="005208A9" w:rsidRPr="00AB2AC7" w:rsidRDefault="005208A9" w:rsidP="00A937A3">
      <w:pPr>
        <w:pStyle w:val="SingleTxtG"/>
        <w:keepNext/>
        <w:ind w:left="2268" w:hanging="1134"/>
        <w:rPr>
          <w:b/>
          <w:bCs/>
          <w:lang w:val="fr-FR"/>
        </w:rPr>
      </w:pPr>
      <w:r w:rsidRPr="00AB2AC7">
        <w:rPr>
          <w:lang w:val="fr-FR"/>
        </w:rPr>
        <w:t>«</w:t>
      </w:r>
      <w:r w:rsidR="0068687E">
        <w:rPr>
          <w:lang w:val="fr-FR"/>
        </w:rPr>
        <w:t> </w:t>
      </w:r>
      <w:r w:rsidRPr="00AB2AC7">
        <w:rPr>
          <w:b/>
          <w:bCs/>
          <w:lang w:val="fr-FR"/>
        </w:rPr>
        <w:t>2.3.1.3</w:t>
      </w:r>
      <w:r w:rsidRPr="00AB2AC7">
        <w:rPr>
          <w:b/>
          <w:bCs/>
          <w:lang w:val="fr-FR"/>
        </w:rPr>
        <w:tab/>
        <w:t>L</w:t>
      </w:r>
      <w:r>
        <w:rPr>
          <w:b/>
          <w:bCs/>
          <w:lang w:val="fr-FR"/>
        </w:rPr>
        <w:t>’</w:t>
      </w:r>
      <w:r w:rsidRPr="00AB2AC7">
        <w:rPr>
          <w:b/>
          <w:bCs/>
          <w:lang w:val="fr-FR"/>
        </w:rPr>
        <w:t>utilisation d</w:t>
      </w:r>
      <w:r>
        <w:rPr>
          <w:b/>
          <w:bCs/>
          <w:lang w:val="fr-FR"/>
        </w:rPr>
        <w:t>’</w:t>
      </w:r>
      <w:r w:rsidRPr="00AB2AC7">
        <w:rPr>
          <w:b/>
          <w:bCs/>
          <w:lang w:val="fr-FR"/>
        </w:rPr>
        <w:t>un dynamomètre à d</w:t>
      </w:r>
      <w:r>
        <w:rPr>
          <w:b/>
          <w:bCs/>
          <w:lang w:val="fr-FR"/>
        </w:rPr>
        <w:t xml:space="preserve">eux rouleaux </w:t>
      </w:r>
      <w:r w:rsidRPr="00AB2AC7">
        <w:rPr>
          <w:b/>
          <w:bCs/>
          <w:lang w:val="fr-FR"/>
        </w:rPr>
        <w:t>en mode quatre roues motrices</w:t>
      </w:r>
      <w:r>
        <w:rPr>
          <w:b/>
          <w:bCs/>
          <w:lang w:val="fr-FR"/>
        </w:rPr>
        <w:t xml:space="preserve"> devrait être autorisée lorsque les conditions suivantes sont réunies :</w:t>
      </w:r>
    </w:p>
    <w:p w14:paraId="4923027A" w14:textId="77777777" w:rsidR="005208A9" w:rsidRPr="00A937A3" w:rsidRDefault="005208A9" w:rsidP="00A937A3">
      <w:pPr>
        <w:pStyle w:val="SingleTxtG"/>
        <w:ind w:left="2835" w:hanging="567"/>
        <w:rPr>
          <w:rFonts w:eastAsia="MS Mincho"/>
          <w:b/>
          <w:bCs/>
          <w:iCs/>
          <w:lang w:val="fr-FR"/>
        </w:rPr>
      </w:pPr>
      <w:r w:rsidRPr="00A937A3">
        <w:rPr>
          <w:b/>
          <w:bCs/>
          <w:lang w:val="fr-FR"/>
        </w:rPr>
        <w:t xml:space="preserve">a) </w:t>
      </w:r>
      <w:r w:rsidRPr="00A937A3">
        <w:rPr>
          <w:b/>
          <w:bCs/>
          <w:lang w:val="fr-FR"/>
        </w:rPr>
        <w:tab/>
        <w:t>La distance entre les jeux de rouleaux avant et arrière du dynamomètre (X dans le schéma ci-dessous) est aussi proche que possible de l’empattement déclaré par le constructeur du véhicule soumis à l’essai ;</w:t>
      </w:r>
    </w:p>
    <w:p w14:paraId="5F22EC31" w14:textId="77777777" w:rsidR="005208A9" w:rsidRPr="00A937A3" w:rsidRDefault="005208A9" w:rsidP="00A937A3">
      <w:pPr>
        <w:pStyle w:val="SingleTxtG"/>
        <w:ind w:left="2835" w:hanging="567"/>
        <w:rPr>
          <w:rFonts w:eastAsia="MS Mincho"/>
          <w:b/>
          <w:bCs/>
          <w:iCs/>
          <w:lang w:val="fr-FR"/>
        </w:rPr>
      </w:pPr>
      <w:r w:rsidRPr="00A937A3">
        <w:rPr>
          <w:b/>
          <w:bCs/>
          <w:lang w:val="fr-FR"/>
        </w:rPr>
        <w:t xml:space="preserve">b) </w:t>
      </w:r>
      <w:r w:rsidRPr="00A937A3">
        <w:rPr>
          <w:b/>
          <w:bCs/>
          <w:lang w:val="fr-FR"/>
        </w:rPr>
        <w:tab/>
        <w:t>Il est vérifié que cette distance entre les jeux de rouleaux avant et arrière du dynamomètre est reproduite pour les essais des véhicules.</w:t>
      </w:r>
    </w:p>
    <w:p w14:paraId="09B6CDB6" w14:textId="09571E68" w:rsidR="0068687E" w:rsidRDefault="005208A9" w:rsidP="00956AFA">
      <w:pPr>
        <w:pStyle w:val="SingleTxtG"/>
        <w:ind w:left="2268"/>
        <w:jc w:val="left"/>
      </w:pPr>
      <w:r w:rsidRPr="005A73D4">
        <w:rPr>
          <w:noProof/>
          <w:lang w:val="de-DE" w:eastAsia="zh-CN"/>
        </w:rPr>
        <w:drawing>
          <wp:inline distT="0" distB="0" distL="0" distR="0" wp14:anchorId="1CA9E7F2" wp14:editId="3D33F19A">
            <wp:extent cx="2687320" cy="1588135"/>
            <wp:effectExtent l="0" t="0" r="0" b="0"/>
            <wp:docPr id="4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7320" cy="158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CC06E4" w14:textId="61BA1509" w:rsidR="005208A9" w:rsidRPr="0085090D" w:rsidRDefault="0068687E" w:rsidP="0068687E">
      <w:pPr>
        <w:pStyle w:val="SingleTxtG"/>
        <w:jc w:val="right"/>
      </w:pPr>
      <w:r>
        <w:t> </w:t>
      </w:r>
      <w:r w:rsidR="005208A9" w:rsidRPr="0085090D">
        <w:t>».</w:t>
      </w:r>
    </w:p>
    <w:p w14:paraId="033132AC" w14:textId="77777777" w:rsidR="005208A9" w:rsidRPr="0085090D" w:rsidRDefault="005208A9" w:rsidP="0068687E">
      <w:pPr>
        <w:pStyle w:val="HChG"/>
        <w:rPr>
          <w:rFonts w:eastAsia="MS Mincho"/>
        </w:rPr>
      </w:pPr>
      <w:r w:rsidRPr="0085090D">
        <w:tab/>
        <w:t>II.</w:t>
      </w:r>
      <w:r w:rsidRPr="0085090D">
        <w:tab/>
        <w:t>Justification</w:t>
      </w:r>
    </w:p>
    <w:p w14:paraId="11719BCC" w14:textId="34B9C488" w:rsidR="005208A9" w:rsidRPr="004940AD" w:rsidRDefault="005208A9" w:rsidP="0068687E">
      <w:pPr>
        <w:pStyle w:val="SingleTxtG"/>
        <w:rPr>
          <w:lang w:val="fr-FR"/>
        </w:rPr>
      </w:pPr>
      <w:r w:rsidRPr="0085090D">
        <w:t xml:space="preserve">1. </w:t>
      </w:r>
      <w:r w:rsidRPr="0085090D">
        <w:tab/>
      </w:r>
      <w:r w:rsidRPr="004940AD">
        <w:rPr>
          <w:lang w:val="fr-FR"/>
        </w:rPr>
        <w:t>À sa quatre-vingt-deuxième session, le GRPE a adopté avec rapidité et en collaboration un document de référence qui apporte des précisions à la définition du terme «</w:t>
      </w:r>
      <w:r w:rsidR="00956AFA">
        <w:rPr>
          <w:lang w:val="fr-FR"/>
        </w:rPr>
        <w:t> </w:t>
      </w:r>
      <w:r w:rsidRPr="004940AD">
        <w:rPr>
          <w:rFonts w:eastAsia="MS Mincho"/>
          <w:lang w:val="fr-FR"/>
        </w:rPr>
        <w:t>marche au point mort</w:t>
      </w:r>
      <w:r w:rsidR="00956AFA">
        <w:rPr>
          <w:rFonts w:eastAsia="MS Mincho"/>
          <w:lang w:val="fr-FR"/>
        </w:rPr>
        <w:t> </w:t>
      </w:r>
      <w:r w:rsidRPr="004940AD">
        <w:rPr>
          <w:rFonts w:eastAsia="MS Mincho"/>
          <w:lang w:val="fr-FR"/>
        </w:rPr>
        <w:t>», ainsi qu</w:t>
      </w:r>
      <w:r>
        <w:rPr>
          <w:rFonts w:eastAsia="MS Mincho"/>
          <w:lang w:val="fr-FR"/>
        </w:rPr>
        <w:t>’</w:t>
      </w:r>
      <w:r w:rsidRPr="004940AD">
        <w:rPr>
          <w:lang w:val="fr-FR"/>
        </w:rPr>
        <w:t>à l</w:t>
      </w:r>
      <w:r>
        <w:rPr>
          <w:lang w:val="fr-FR"/>
        </w:rPr>
        <w:t>’</w:t>
      </w:r>
      <w:r w:rsidRPr="004940AD">
        <w:rPr>
          <w:lang w:val="fr-FR"/>
        </w:rPr>
        <w:t>utilisation du dynamomè</w:t>
      </w:r>
      <w:r>
        <w:rPr>
          <w:lang w:val="fr-FR"/>
        </w:rPr>
        <w:t>tre à deux rouleaux en mode quatre roues motrices</w:t>
      </w:r>
      <w:r w:rsidRPr="004940AD">
        <w:rPr>
          <w:lang w:val="fr-FR"/>
        </w:rPr>
        <w:t>.</w:t>
      </w:r>
    </w:p>
    <w:p w14:paraId="4D16DF62" w14:textId="45DE8663" w:rsidR="00F9573C" w:rsidRDefault="005208A9" w:rsidP="0068687E">
      <w:pPr>
        <w:pStyle w:val="SingleTxtG"/>
        <w:rPr>
          <w:lang w:val="fr-FR"/>
        </w:rPr>
      </w:pPr>
      <w:r w:rsidRPr="0085090D">
        <w:t xml:space="preserve">2. </w:t>
      </w:r>
      <w:r w:rsidRPr="0085090D">
        <w:tab/>
      </w:r>
      <w:r w:rsidRPr="0080184F">
        <w:rPr>
          <w:lang w:val="fr-FR"/>
        </w:rPr>
        <w:t>La valeur juridique du document de référence n</w:t>
      </w:r>
      <w:r>
        <w:rPr>
          <w:lang w:val="fr-FR"/>
        </w:rPr>
        <w:t>’</w:t>
      </w:r>
      <w:r w:rsidRPr="0080184F">
        <w:rPr>
          <w:lang w:val="fr-FR"/>
        </w:rPr>
        <w:t>étant toutefois pas connue, le texte correspondant devrait être introduit dans le Règlement dès que possible.</w:t>
      </w:r>
    </w:p>
    <w:p w14:paraId="04D64CB9" w14:textId="7D8C8F28" w:rsidR="0068687E" w:rsidRPr="0068687E" w:rsidRDefault="0068687E" w:rsidP="0068687E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EE19B5">
        <w:rPr>
          <w:u w:val="single"/>
        </w:rPr>
        <w:tab/>
      </w:r>
    </w:p>
    <w:sectPr w:rsidR="0068687E" w:rsidRPr="0068687E" w:rsidSect="00F63455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99EE3F" w14:textId="77777777" w:rsidR="00A611C2" w:rsidRDefault="00A611C2" w:rsidP="00F95C08">
      <w:pPr>
        <w:spacing w:line="240" w:lineRule="auto"/>
      </w:pPr>
    </w:p>
  </w:endnote>
  <w:endnote w:type="continuationSeparator" w:id="0">
    <w:p w14:paraId="2CD83C5E" w14:textId="77777777" w:rsidR="00A611C2" w:rsidRPr="00AC3823" w:rsidRDefault="00A611C2" w:rsidP="00AC3823">
      <w:pPr>
        <w:pStyle w:val="Pieddepage"/>
      </w:pPr>
    </w:p>
  </w:endnote>
  <w:endnote w:type="continuationNotice" w:id="1">
    <w:p w14:paraId="0D165DCC" w14:textId="77777777" w:rsidR="00A611C2" w:rsidRDefault="00A611C2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0AF6F5" w14:textId="25B8085A" w:rsidR="00F63455" w:rsidRPr="00F63455" w:rsidRDefault="00F63455" w:rsidP="00F63455">
    <w:pPr>
      <w:pStyle w:val="Pieddepage"/>
      <w:tabs>
        <w:tab w:val="right" w:pos="9638"/>
      </w:tabs>
    </w:pPr>
    <w:r w:rsidRPr="00F63455">
      <w:rPr>
        <w:b/>
        <w:sz w:val="18"/>
      </w:rPr>
      <w:fldChar w:fldCharType="begin"/>
    </w:r>
    <w:r w:rsidRPr="00F63455">
      <w:rPr>
        <w:b/>
        <w:sz w:val="18"/>
      </w:rPr>
      <w:instrText xml:space="preserve"> PAGE  \* MERGEFORMAT </w:instrText>
    </w:r>
    <w:r w:rsidRPr="00F63455">
      <w:rPr>
        <w:b/>
        <w:sz w:val="18"/>
      </w:rPr>
      <w:fldChar w:fldCharType="separate"/>
    </w:r>
    <w:r w:rsidRPr="00F63455">
      <w:rPr>
        <w:b/>
        <w:noProof/>
        <w:sz w:val="18"/>
      </w:rPr>
      <w:t>2</w:t>
    </w:r>
    <w:r w:rsidRPr="00F63455">
      <w:rPr>
        <w:b/>
        <w:sz w:val="18"/>
      </w:rPr>
      <w:fldChar w:fldCharType="end"/>
    </w:r>
    <w:r>
      <w:rPr>
        <w:b/>
        <w:sz w:val="18"/>
      </w:rPr>
      <w:tab/>
    </w:r>
    <w:r>
      <w:t>GE.21-03617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71E46D" w14:textId="54437528" w:rsidR="00F63455" w:rsidRPr="00F63455" w:rsidRDefault="00F63455" w:rsidP="00F63455">
    <w:pPr>
      <w:pStyle w:val="Pieddepage"/>
      <w:tabs>
        <w:tab w:val="right" w:pos="9638"/>
      </w:tabs>
      <w:rPr>
        <w:b/>
        <w:sz w:val="18"/>
      </w:rPr>
    </w:pPr>
    <w:r>
      <w:t>GE.21-03617</w:t>
    </w:r>
    <w:r>
      <w:tab/>
    </w:r>
    <w:r w:rsidRPr="00F63455">
      <w:rPr>
        <w:b/>
        <w:sz w:val="18"/>
      </w:rPr>
      <w:fldChar w:fldCharType="begin"/>
    </w:r>
    <w:r w:rsidRPr="00F63455">
      <w:rPr>
        <w:b/>
        <w:sz w:val="18"/>
      </w:rPr>
      <w:instrText xml:space="preserve"> PAGE  \* MERGEFORMAT </w:instrText>
    </w:r>
    <w:r w:rsidRPr="00F63455">
      <w:rPr>
        <w:b/>
        <w:sz w:val="18"/>
      </w:rPr>
      <w:fldChar w:fldCharType="separate"/>
    </w:r>
    <w:r w:rsidRPr="00F63455">
      <w:rPr>
        <w:b/>
        <w:noProof/>
        <w:sz w:val="18"/>
      </w:rPr>
      <w:t>3</w:t>
    </w:r>
    <w:r w:rsidRPr="00F63455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5F3EFE" w14:textId="006A8AA9" w:rsidR="007F20FA" w:rsidRPr="00F63455" w:rsidRDefault="00F63455" w:rsidP="00F63455">
    <w:pPr>
      <w:pStyle w:val="Pieddepage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104C6588" wp14:editId="0A2DBF98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21-03617  (F)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3914C103" wp14:editId="05F09DC7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 xml:space="preserve">    080421    080421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34BF1B" w14:textId="77777777" w:rsidR="00A611C2" w:rsidRPr="00AC3823" w:rsidRDefault="00A611C2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1A24F9FF" w14:textId="77777777" w:rsidR="00A611C2" w:rsidRPr="00AC3823" w:rsidRDefault="00A611C2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2989BAC6" w14:textId="77777777" w:rsidR="00A611C2" w:rsidRPr="00AC3823" w:rsidRDefault="00A611C2">
      <w:pPr>
        <w:spacing w:line="240" w:lineRule="auto"/>
        <w:rPr>
          <w:sz w:val="2"/>
          <w:szCs w:val="2"/>
        </w:rPr>
      </w:pPr>
    </w:p>
  </w:footnote>
  <w:footnote w:id="2">
    <w:p w14:paraId="0CC86DC0" w14:textId="2064BD47" w:rsidR="005208A9" w:rsidRPr="0027486E" w:rsidRDefault="005208A9" w:rsidP="005208A9">
      <w:pPr>
        <w:pStyle w:val="Notedebasdepage"/>
        <w:rPr>
          <w:lang w:val="fr-FR"/>
        </w:rPr>
      </w:pPr>
      <w:r>
        <w:rPr>
          <w:lang w:val="fr-FR"/>
        </w:rPr>
        <w:tab/>
      </w:r>
      <w:r w:rsidRPr="00CF6C34">
        <w:rPr>
          <w:sz w:val="20"/>
          <w:lang w:val="fr-FR"/>
        </w:rPr>
        <w:t>*</w:t>
      </w:r>
      <w:r>
        <w:rPr>
          <w:lang w:val="fr-FR"/>
        </w:rPr>
        <w:tab/>
        <w:t>Conformément au programme de travail du Comité des transports intérieurs pour 2021 tel qu’il figure dans le projet de budget-programme pour 2021 (A/75/6 (</w:t>
      </w:r>
      <w:r w:rsidR="009042E6">
        <w:rPr>
          <w:lang w:val="fr-FR"/>
        </w:rPr>
        <w:t>s</w:t>
      </w:r>
      <w:r>
        <w:rPr>
          <w:lang w:val="fr-FR"/>
        </w:rPr>
        <w:t>ect.</w:t>
      </w:r>
      <w:r w:rsidR="009042E6">
        <w:rPr>
          <w:lang w:val="fr-FR"/>
        </w:rPr>
        <w:t> </w:t>
      </w:r>
      <w:r>
        <w:rPr>
          <w:lang w:val="fr-FR"/>
        </w:rPr>
        <w:t>20), par.</w:t>
      </w:r>
      <w:r w:rsidR="009042E6">
        <w:rPr>
          <w:lang w:val="fr-FR"/>
        </w:rPr>
        <w:t> </w:t>
      </w:r>
      <w:r>
        <w:rPr>
          <w:lang w:val="fr-FR"/>
        </w:rPr>
        <w:t>20.51), le Forum mondial a pour mission d’élaborer, d’harmoniser et de mettre à jour les Règlements ONU en vue d’améliorer les caractéristiques fonctionnelles des véhicules. Le présent document est soumis en vertu de ce mandat.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707DB4" w14:textId="1AA4473C" w:rsidR="00F63455" w:rsidRPr="00F63455" w:rsidRDefault="00F63455">
    <w:pPr>
      <w:pStyle w:val="En-tte"/>
    </w:pPr>
    <w:fldSimple w:instr=" TITLE  \* MERGEFORMAT ">
      <w:r>
        <w:t>ECE/TRANS/WP.29/GRPE/2021/12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0C1A31" w14:textId="3CC8B051" w:rsidR="00F63455" w:rsidRPr="00F63455" w:rsidRDefault="00F63455" w:rsidP="00F63455">
    <w:pPr>
      <w:pStyle w:val="En-tte"/>
      <w:jc w:val="right"/>
    </w:pPr>
    <w:fldSimple w:instr=" TITLE  \* MERGEFORMAT ">
      <w:r>
        <w:t>ECE/TRANS/WP.29/GRPE/2021/12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attachedTemplate r:id="rId1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1C2"/>
    <w:rsid w:val="000110C3"/>
    <w:rsid w:val="00017F94"/>
    <w:rsid w:val="00023842"/>
    <w:rsid w:val="000334F9"/>
    <w:rsid w:val="00045FEB"/>
    <w:rsid w:val="0007796D"/>
    <w:rsid w:val="000B7790"/>
    <w:rsid w:val="000D22ED"/>
    <w:rsid w:val="00111F2F"/>
    <w:rsid w:val="0014365E"/>
    <w:rsid w:val="00143C66"/>
    <w:rsid w:val="00176178"/>
    <w:rsid w:val="001F525A"/>
    <w:rsid w:val="00201148"/>
    <w:rsid w:val="00223272"/>
    <w:rsid w:val="0024779E"/>
    <w:rsid w:val="00257168"/>
    <w:rsid w:val="002744B8"/>
    <w:rsid w:val="002832AC"/>
    <w:rsid w:val="002D7C93"/>
    <w:rsid w:val="00305801"/>
    <w:rsid w:val="003916DE"/>
    <w:rsid w:val="00421996"/>
    <w:rsid w:val="00441C3B"/>
    <w:rsid w:val="00446FE5"/>
    <w:rsid w:val="00452396"/>
    <w:rsid w:val="00477EB2"/>
    <w:rsid w:val="004837D8"/>
    <w:rsid w:val="004E2EED"/>
    <w:rsid w:val="004E468C"/>
    <w:rsid w:val="005208A9"/>
    <w:rsid w:val="005505B7"/>
    <w:rsid w:val="00573BE5"/>
    <w:rsid w:val="00586ED3"/>
    <w:rsid w:val="00596AA9"/>
    <w:rsid w:val="0068687E"/>
    <w:rsid w:val="0071601D"/>
    <w:rsid w:val="007A62E6"/>
    <w:rsid w:val="007F20FA"/>
    <w:rsid w:val="0080684C"/>
    <w:rsid w:val="00871C75"/>
    <w:rsid w:val="008776DC"/>
    <w:rsid w:val="008D5EF9"/>
    <w:rsid w:val="009042E6"/>
    <w:rsid w:val="009446C0"/>
    <w:rsid w:val="00956AFA"/>
    <w:rsid w:val="009705C8"/>
    <w:rsid w:val="009C1CF4"/>
    <w:rsid w:val="009F6B74"/>
    <w:rsid w:val="00A013AC"/>
    <w:rsid w:val="00A3029F"/>
    <w:rsid w:val="00A30353"/>
    <w:rsid w:val="00A31E62"/>
    <w:rsid w:val="00A611C2"/>
    <w:rsid w:val="00A937A3"/>
    <w:rsid w:val="00AC3823"/>
    <w:rsid w:val="00AE323C"/>
    <w:rsid w:val="00AF0CB5"/>
    <w:rsid w:val="00B00181"/>
    <w:rsid w:val="00B00B0D"/>
    <w:rsid w:val="00B45F2E"/>
    <w:rsid w:val="00B765F7"/>
    <w:rsid w:val="00B77993"/>
    <w:rsid w:val="00BA0CA9"/>
    <w:rsid w:val="00C02897"/>
    <w:rsid w:val="00C97039"/>
    <w:rsid w:val="00CF6C34"/>
    <w:rsid w:val="00D3439C"/>
    <w:rsid w:val="00D7622E"/>
    <w:rsid w:val="00DB1831"/>
    <w:rsid w:val="00DD3BFD"/>
    <w:rsid w:val="00DF6678"/>
    <w:rsid w:val="00E0299A"/>
    <w:rsid w:val="00E11725"/>
    <w:rsid w:val="00E444BD"/>
    <w:rsid w:val="00E85C74"/>
    <w:rsid w:val="00EA6547"/>
    <w:rsid w:val="00EC06FC"/>
    <w:rsid w:val="00ED7237"/>
    <w:rsid w:val="00EE19B5"/>
    <w:rsid w:val="00EF2E22"/>
    <w:rsid w:val="00F35BAF"/>
    <w:rsid w:val="00F63455"/>
    <w:rsid w:val="00F660DF"/>
    <w:rsid w:val="00F94664"/>
    <w:rsid w:val="00F9573C"/>
    <w:rsid w:val="00F95C08"/>
    <w:rsid w:val="00FE1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  <w14:docId w14:val="2D97613B"/>
  <w15:docId w15:val="{79156096-75B0-47E6-9456-62A886BF3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023842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023842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023842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023842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023842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023842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023842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023842"/>
    <w:pPr>
      <w:outlineLvl w:val="8"/>
    </w:p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6_G"/>
    <w:basedOn w:val="Normal"/>
    <w:next w:val="Normal"/>
    <w:link w:val="En-tteC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qFormat/>
    <w:rsid w:val="00E0299A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ingleTxtG">
    <w:name w:val="_ Single Txt_G"/>
    <w:basedOn w:val="Normal"/>
    <w:link w:val="SingleTxtGChar"/>
    <w:qFormat/>
    <w:rsid w:val="00B77993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B77993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Appelnotedebasdep">
    <w:name w:val="footnote reference"/>
    <w:aliases w:val="4_G"/>
    <w:basedOn w:val="Policepardfau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basedOn w:val="Policepardfaut"/>
    <w:unhideWhenUsed/>
    <w:rsid w:val="00E0299A"/>
    <w:rPr>
      <w:color w:val="0000FF"/>
      <w:u w:val="none"/>
    </w:rPr>
  </w:style>
  <w:style w:type="character" w:styleId="Lienhypertextesuivivisit">
    <w:name w:val="FollowedHyperlink"/>
    <w:basedOn w:val="Policepardfaut"/>
    <w:unhideWhenUsed/>
    <w:rsid w:val="00E0299A"/>
    <w:rPr>
      <w:color w:val="0000FF"/>
      <w:u w:val="none"/>
    </w:rPr>
  </w:style>
  <w:style w:type="paragraph" w:styleId="Notedebasdepage">
    <w:name w:val="footnote text"/>
    <w:aliases w:val="5_G"/>
    <w:basedOn w:val="Normal"/>
    <w:link w:val="NotedebasdepageC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"/>
    <w:basedOn w:val="Policepardfaut"/>
    <w:link w:val="Notedebasdepage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qFormat/>
    <w:rsid w:val="00E0299A"/>
  </w:style>
  <w:style w:type="character" w:customStyle="1" w:styleId="NotedefinCar">
    <w:name w:val="Note de fin Car"/>
    <w:aliases w:val="2_G Car"/>
    <w:basedOn w:val="Policepardfaut"/>
    <w:link w:val="Notedefin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Titre1Car">
    <w:name w:val="Titre 1 Car"/>
    <w:aliases w:val="Table_G Car"/>
    <w:basedOn w:val="Policepardfaut"/>
    <w:link w:val="Titre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5BAF"/>
    <w:rPr>
      <w:rFonts w:ascii="Tahoma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qFormat/>
    <w:rsid w:val="005208A9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ChGChar">
    <w:name w:val="_ H _Ch_G Char"/>
    <w:link w:val="HChG"/>
    <w:rsid w:val="005208A9"/>
    <w:rPr>
      <w:rFonts w:ascii="Times New Roman" w:eastAsiaTheme="minorHAnsi" w:hAnsi="Times New Roman" w:cs="Times New Roman"/>
      <w:b/>
      <w:sz w:val="28"/>
      <w:szCs w:val="20"/>
      <w:lang w:eastAsia="en-US"/>
    </w:rPr>
  </w:style>
  <w:style w:type="character" w:customStyle="1" w:styleId="H1GChar">
    <w:name w:val="_ H_1_G Char"/>
    <w:link w:val="H1G"/>
    <w:rsid w:val="005208A9"/>
    <w:rPr>
      <w:rFonts w:ascii="Times New Roman" w:eastAsiaTheme="minorHAnsi" w:hAnsi="Times New Roman" w:cs="Times New Roman"/>
      <w:b/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gif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_TRAN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3" ma:contentTypeDescription="Create a new document." ma:contentTypeScope="" ma:versionID="89c13dde5d7aa6b1840a64c3c61e7101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49ff99f9a570207563b6136515cf8a36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737D99E-3DE9-4EA9-ABEE-F5A7A9100843}"/>
</file>

<file path=customXml/itemProps2.xml><?xml version="1.0" encoding="utf-8"?>
<ds:datastoreItem xmlns:ds="http://schemas.openxmlformats.org/officeDocument/2006/customXml" ds:itemID="{345A2886-DD88-47F8-916F-BE297BCEA413}"/>
</file>

<file path=customXml/itemProps3.xml><?xml version="1.0" encoding="utf-8"?>
<ds:datastoreItem xmlns:ds="http://schemas.openxmlformats.org/officeDocument/2006/customXml" ds:itemID="{258E2EEF-016A-4300-B9F7-E3C107D1743B}"/>
</file>

<file path=docProps/app.xml><?xml version="1.0" encoding="utf-8"?>
<Properties xmlns="http://schemas.openxmlformats.org/officeDocument/2006/extended-properties" xmlns:vt="http://schemas.openxmlformats.org/officeDocument/2006/docPropsVTypes">
  <Template>ECE_TRANS.dotm</Template>
  <TotalTime>0</TotalTime>
  <Pages>2</Pages>
  <Words>464</Words>
  <Characters>3250</Characters>
  <Application>Microsoft Office Word</Application>
  <DocSecurity>0</DocSecurity>
  <Lines>270</Lines>
  <Paragraphs>148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ECE/TRANS/WP.29/GRPE/2021/12</vt:lpstr>
    </vt:vector>
  </TitlesOfParts>
  <Company>DCM</Company>
  <LinksUpToDate>false</LinksUpToDate>
  <CharactersWithSpaces>3566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ECE/TRANS/WP.29/GRPE/2021/12</dc:title>
  <dc:subject/>
  <dc:creator>Nathalie VITTOZ</dc:creator>
  <cp:keywords/>
  <cp:lastModifiedBy>Nathalie Vittoz</cp:lastModifiedBy>
  <cp:revision>2</cp:revision>
  <cp:lastPrinted>2014-05-14T10:59:00Z</cp:lastPrinted>
  <dcterms:created xsi:type="dcterms:W3CDTF">2021-04-08T06:30:00Z</dcterms:created>
  <dcterms:modified xsi:type="dcterms:W3CDTF">2021-04-08T06:30:00Z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</Properties>
</file>