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94785">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65BE4E1D" w:rsidR="009E6CB7" w:rsidRPr="002602DA" w:rsidRDefault="005D7A3A" w:rsidP="00AE3803">
            <w:pPr>
              <w:jc w:val="right"/>
              <w:rPr>
                <w:lang w:val="pl-PL"/>
              </w:rPr>
            </w:pPr>
            <w:r w:rsidRPr="005D7A3A">
              <w:rPr>
                <w:sz w:val="40"/>
                <w:lang w:val="pl-PL"/>
              </w:rPr>
              <w:t>ECE</w:t>
            </w:r>
            <w:r>
              <w:rPr>
                <w:lang w:val="pl-PL"/>
              </w:rPr>
              <w:t>/TRANS/WP.29/GRPE/2021/12</w:t>
            </w:r>
          </w:p>
        </w:tc>
      </w:tr>
      <w:tr w:rsidR="009E6CB7" w14:paraId="7B783395" w14:textId="77777777" w:rsidTr="00094785">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29F7B549" w:rsidR="007B02AA" w:rsidRDefault="0072442D" w:rsidP="002602DA">
            <w:pPr>
              <w:spacing w:line="240" w:lineRule="exact"/>
            </w:pPr>
            <w:r>
              <w:t>1</w:t>
            </w:r>
            <w:r w:rsidR="00C32128">
              <w:t>7</w:t>
            </w:r>
            <w:r w:rsidR="00B67A34">
              <w:t xml:space="preserve"> </w:t>
            </w:r>
            <w:r w:rsidR="002602DA">
              <w:t>March</w:t>
            </w:r>
            <w:r w:rsidR="007B02AA">
              <w:t xml:space="preserve"> 20</w:t>
            </w:r>
            <w:r w:rsidR="00272179">
              <w:t>2</w:t>
            </w:r>
            <w:r w:rsidR="002602DA">
              <w:t>1</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3E24B0D8" w:rsidR="007B02AA" w:rsidRPr="00113319" w:rsidRDefault="007B02AA" w:rsidP="007B02AA">
      <w:pPr>
        <w:rPr>
          <w:rFonts w:eastAsia="MS Mincho"/>
          <w:b/>
        </w:rPr>
      </w:pPr>
      <w:bookmarkStart w:id="0" w:name="_GoBack"/>
      <w:r>
        <w:rPr>
          <w:rFonts w:eastAsia="MS Mincho"/>
          <w:b/>
        </w:rPr>
        <w:t>E</w:t>
      </w:r>
      <w:bookmarkEnd w:id="0"/>
      <w:r>
        <w:rPr>
          <w:rFonts w:eastAsia="MS Mincho"/>
          <w:b/>
        </w:rPr>
        <w:t>ight</w:t>
      </w:r>
      <w:r w:rsidR="00DE6870">
        <w:rPr>
          <w:rFonts w:eastAsia="MS Mincho"/>
          <w:b/>
        </w:rPr>
        <w:t>y-</w:t>
      </w:r>
      <w:r w:rsidR="001A17EF">
        <w:rPr>
          <w:rFonts w:eastAsia="MS Mincho"/>
          <w:b/>
        </w:rPr>
        <w:t>third</w:t>
      </w:r>
      <w:r w:rsidRPr="00113319">
        <w:rPr>
          <w:rFonts w:eastAsia="MS Mincho"/>
          <w:b/>
        </w:rPr>
        <w:t xml:space="preserve"> session</w:t>
      </w:r>
    </w:p>
    <w:p w14:paraId="5B7BC92A" w14:textId="024718DC" w:rsidR="007B02AA" w:rsidRPr="00113319" w:rsidRDefault="007B02AA" w:rsidP="002602DA">
      <w:r w:rsidRPr="00113319">
        <w:rPr>
          <w:rFonts w:eastAsia="MS Mincho"/>
        </w:rPr>
        <w:t>Geneva</w:t>
      </w:r>
      <w:r>
        <w:rPr>
          <w:rFonts w:eastAsia="MS Mincho"/>
          <w:bCs/>
        </w:rPr>
        <w:t xml:space="preserve">, </w:t>
      </w:r>
      <w:r w:rsidR="002602DA">
        <w:rPr>
          <w:rFonts w:eastAsia="MS Mincho"/>
          <w:bCs/>
        </w:rPr>
        <w:t>1</w:t>
      </w:r>
      <w:r w:rsidR="003F6816">
        <w:rPr>
          <w:rFonts w:eastAsia="MS Mincho"/>
          <w:bCs/>
        </w:rPr>
        <w:t>-</w:t>
      </w:r>
      <w:r w:rsidR="002602DA">
        <w:rPr>
          <w:rFonts w:eastAsia="MS Mincho"/>
          <w:bCs/>
        </w:rPr>
        <w:t>4</w:t>
      </w:r>
      <w:r w:rsidR="003F6816">
        <w:rPr>
          <w:rFonts w:eastAsia="MS Mincho"/>
          <w:bCs/>
        </w:rPr>
        <w:t xml:space="preserve"> J</w:t>
      </w:r>
      <w:r w:rsidR="002602DA">
        <w:rPr>
          <w:rFonts w:eastAsia="MS Mincho"/>
          <w:bCs/>
        </w:rPr>
        <w:t>une</w:t>
      </w:r>
      <w:r w:rsidRPr="00113319">
        <w:rPr>
          <w:rFonts w:eastAsia="MS Mincho"/>
          <w:bCs/>
        </w:rPr>
        <w:t xml:space="preserve"> 20</w:t>
      </w:r>
      <w:r w:rsidR="003F6816">
        <w:rPr>
          <w:rFonts w:eastAsia="MS Mincho"/>
          <w:bCs/>
        </w:rPr>
        <w:t>2</w:t>
      </w:r>
      <w:r w:rsidR="00272179">
        <w:rPr>
          <w:rFonts w:eastAsia="MS Mincho"/>
          <w:bCs/>
        </w:rPr>
        <w:t>1</w:t>
      </w:r>
    </w:p>
    <w:p w14:paraId="36E139C2" w14:textId="77777777" w:rsidR="00C42E88" w:rsidRPr="00094785" w:rsidRDefault="00C42E88" w:rsidP="00C42E88">
      <w:r w:rsidRPr="00DE6870">
        <w:t xml:space="preserve">Item </w:t>
      </w:r>
      <w:r w:rsidRPr="00DE6870">
        <w:rPr>
          <w:bCs/>
        </w:rPr>
        <w:t xml:space="preserve">3(a) </w:t>
      </w:r>
      <w:r w:rsidRPr="00094785">
        <w:t>of the provisional agenda</w:t>
      </w:r>
    </w:p>
    <w:p w14:paraId="797197B9" w14:textId="2A8F51F2" w:rsidR="00C42E88" w:rsidRPr="00E03A64" w:rsidRDefault="00C42E88" w:rsidP="00146C9C">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sidR="00146C9C">
        <w:rPr>
          <w:b/>
        </w:rPr>
        <w:br/>
      </w:r>
      <w:r w:rsidR="00146C9C" w:rsidRPr="00146C9C">
        <w:rPr>
          <w:b/>
        </w:rPr>
        <w:t xml:space="preserve">103 (Replacement </w:t>
      </w:r>
      <w:r w:rsidR="00AE3803">
        <w:rPr>
          <w:b/>
        </w:rPr>
        <w:t>pollution control devices) and 154</w:t>
      </w:r>
      <w:r w:rsidR="00146C9C">
        <w:rPr>
          <w:b/>
        </w:rPr>
        <w:br/>
      </w:r>
      <w:r w:rsidR="00146C9C" w:rsidRPr="00146C9C">
        <w:rPr>
          <w:b/>
        </w:rPr>
        <w:t>(Worldwide harmonized Light vehicles Test Procedures (WLTP))</w:t>
      </w:r>
    </w:p>
    <w:p w14:paraId="15D682A7" w14:textId="11A047A6" w:rsidR="005F1FB8" w:rsidRPr="005F1FB8" w:rsidRDefault="00C42E88" w:rsidP="00AE3803">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3831F7">
        <w:rPr>
          <w:lang w:val="en-US"/>
        </w:rPr>
        <w:t>s</w:t>
      </w:r>
      <w:r w:rsidR="00783E93">
        <w:rPr>
          <w:lang w:val="en-US"/>
        </w:rPr>
        <w:t xml:space="preserve">upplement to the </w:t>
      </w:r>
      <w:r w:rsidR="00AE3803">
        <w:rPr>
          <w:lang w:val="en-US"/>
        </w:rPr>
        <w:t>original version</w:t>
      </w:r>
      <w:r w:rsidR="00E407C7">
        <w:rPr>
          <w:lang w:val="en-US"/>
        </w:rPr>
        <w:t xml:space="preserve"> and </w:t>
      </w:r>
      <w:r w:rsidR="00AE3803">
        <w:rPr>
          <w:lang w:val="en-US"/>
        </w:rPr>
        <w:t xml:space="preserve">the </w:t>
      </w:r>
      <w:r w:rsidR="00783E93">
        <w:rPr>
          <w:lang w:val="en-US"/>
        </w:rPr>
        <w:t>0</w:t>
      </w:r>
      <w:r w:rsidR="00AE3803">
        <w:rPr>
          <w:lang w:val="en-US"/>
        </w:rPr>
        <w:t>1</w:t>
      </w:r>
      <w:r w:rsidR="005F1FB8" w:rsidRPr="005F1FB8">
        <w:rPr>
          <w:color w:val="000000" w:themeColor="text1"/>
        </w:rPr>
        <w:t xml:space="preserve"> series </w:t>
      </w:r>
      <w:r w:rsidR="005F1FB8" w:rsidRPr="005F1FB8">
        <w:rPr>
          <w:color w:val="000000" w:themeColor="text1"/>
          <w:lang w:val="en-US"/>
        </w:rPr>
        <w:t xml:space="preserve">of amendments to UN Regulation No. </w:t>
      </w:r>
      <w:r w:rsidR="00AE3803">
        <w:rPr>
          <w:color w:val="000000" w:themeColor="text1"/>
          <w:lang w:val="en-US"/>
        </w:rPr>
        <w:t>154</w:t>
      </w:r>
      <w:r w:rsidR="00452A9C">
        <w:rPr>
          <w:color w:val="000000" w:themeColor="text1"/>
          <w:lang w:val="en-US"/>
        </w:rPr>
        <w:t xml:space="preserve"> </w:t>
      </w:r>
      <w:r w:rsidR="005F1FB8" w:rsidRPr="005F1FB8">
        <w:rPr>
          <w:lang w:val="en-US"/>
        </w:rPr>
        <w:t>(</w:t>
      </w:r>
      <w:r w:rsidR="00AE3803" w:rsidRPr="00AE3803">
        <w:rPr>
          <w:lang w:val="en-US"/>
        </w:rPr>
        <w:t>Worldwide harmonized Light vehicles Test Procedures (WLTP)</w:t>
      </w:r>
      <w:r w:rsidR="005F1FB8" w:rsidRPr="005F1FB8">
        <w:rPr>
          <w:lang w:val="en-US"/>
        </w:rPr>
        <w:t>)</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4D300588" w:rsidR="005F1FB8" w:rsidRDefault="005F1FB8" w:rsidP="00AE3803">
      <w:pPr>
        <w:pStyle w:val="SingleTxtG"/>
        <w:ind w:firstLine="567"/>
      </w:pPr>
      <w:r w:rsidRPr="005F1FB8">
        <w:t xml:space="preserve">The text reproduced below was prepared by the expert from the International Organization of Motor Vehicle Manufacturers (OICA). This document </w:t>
      </w:r>
      <w:r w:rsidR="00783E93">
        <w:rPr>
          <w:bCs/>
        </w:rPr>
        <w:t xml:space="preserve">aims at </w:t>
      </w:r>
      <w:r w:rsidR="00AE3803">
        <w:rPr>
          <w:bCs/>
        </w:rPr>
        <w:t>consolidating the existing text of the Regulation with that of the reference document adopted by GRPE at the 82</w:t>
      </w:r>
      <w:r w:rsidR="00AE3803" w:rsidRPr="00AB3191">
        <w:rPr>
          <w:bCs/>
        </w:rPr>
        <w:t xml:space="preserve">nd </w:t>
      </w:r>
      <w:r w:rsidR="00AE3803">
        <w:rPr>
          <w:bCs/>
        </w:rPr>
        <w:t>session</w:t>
      </w:r>
      <w:r w:rsidR="00C80A6D">
        <w:rPr>
          <w:szCs w:val="23"/>
        </w:rPr>
        <w:t xml:space="preserve">. </w:t>
      </w:r>
      <w:r w:rsidR="006C0B13" w:rsidRPr="006C0B13">
        <w:t>The modifications to the current text of the Regulation are marked in bold for new or strikethrough for deleted characters.</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7BD2912D" w:rsidR="00272179" w:rsidRPr="007D30ED" w:rsidRDefault="007D30ED" w:rsidP="007D30ED">
      <w:pPr>
        <w:pStyle w:val="HChG"/>
      </w:pPr>
      <w:r>
        <w:rPr>
          <w:rFonts w:eastAsia="MS Mincho"/>
        </w:rPr>
        <w:lastRenderedPageBreak/>
        <w:tab/>
      </w:r>
      <w:r w:rsidR="00922034" w:rsidRPr="007D30ED">
        <w:rPr>
          <w:rFonts w:eastAsia="MS Mincho"/>
        </w:rPr>
        <w:t>I.</w:t>
      </w:r>
      <w:r w:rsidR="00922034" w:rsidRPr="007D30ED">
        <w:rPr>
          <w:rFonts w:eastAsia="MS Mincho"/>
        </w:rPr>
        <w:tab/>
      </w:r>
      <w:r w:rsidR="00272179" w:rsidRPr="007D30ED">
        <w:rPr>
          <w:rFonts w:hint="eastAsia"/>
        </w:rPr>
        <w:t>Proposal</w:t>
      </w:r>
    </w:p>
    <w:p w14:paraId="75AF07C9" w14:textId="5174DBAD" w:rsidR="007E4248" w:rsidRDefault="002602DA" w:rsidP="00AE3803">
      <w:pPr>
        <w:spacing w:after="120"/>
        <w:ind w:left="1134" w:right="1134"/>
        <w:rPr>
          <w:rFonts w:eastAsia="MS Mincho"/>
          <w:i/>
        </w:rPr>
      </w:pPr>
      <w:r w:rsidRPr="00B816D5">
        <w:rPr>
          <w:rFonts w:eastAsia="MS Mincho"/>
          <w:i/>
        </w:rPr>
        <w:t xml:space="preserve">In the </w:t>
      </w:r>
      <w:r w:rsidR="00AE3803">
        <w:rPr>
          <w:rFonts w:eastAsia="MS Mincho"/>
          <w:i/>
        </w:rPr>
        <w:t xml:space="preserve">original version and the </w:t>
      </w:r>
      <w:r w:rsidRPr="00B816D5">
        <w:rPr>
          <w:rFonts w:eastAsia="MS Mincho"/>
          <w:i/>
        </w:rPr>
        <w:t>0</w:t>
      </w:r>
      <w:r w:rsidR="00AE3803">
        <w:rPr>
          <w:rFonts w:eastAsia="MS Mincho"/>
          <w:i/>
        </w:rPr>
        <w:t>1</w:t>
      </w:r>
      <w:r w:rsidRPr="00B816D5">
        <w:rPr>
          <w:rFonts w:eastAsia="MS Mincho"/>
          <w:i/>
        </w:rPr>
        <w:t xml:space="preserve"> series of amendments</w:t>
      </w:r>
    </w:p>
    <w:p w14:paraId="1C2D67A3" w14:textId="26E66142" w:rsidR="002602DA" w:rsidRPr="00B816D5" w:rsidRDefault="00E74B2A" w:rsidP="00AE3803">
      <w:pPr>
        <w:spacing w:after="120"/>
        <w:ind w:left="1134" w:right="1134"/>
        <w:rPr>
          <w:rFonts w:eastAsia="MS Mincho"/>
          <w:i/>
        </w:rPr>
      </w:pPr>
      <w:r>
        <w:rPr>
          <w:rFonts w:eastAsia="MS Mincho"/>
          <w:i/>
        </w:rPr>
        <w:t>P</w:t>
      </w:r>
      <w:r w:rsidR="002602DA" w:rsidRPr="00B816D5">
        <w:rPr>
          <w:rFonts w:eastAsia="MS Mincho"/>
          <w:i/>
        </w:rPr>
        <w:t>aragraph 3.2.</w:t>
      </w:r>
      <w:r w:rsidR="00AE3803">
        <w:rPr>
          <w:rFonts w:eastAsia="MS Mincho"/>
          <w:i/>
        </w:rPr>
        <w:t>36</w:t>
      </w:r>
      <w:r w:rsidR="002602DA" w:rsidRPr="00B816D5">
        <w:rPr>
          <w:rFonts w:eastAsia="MS Mincho"/>
          <w:i/>
        </w:rPr>
        <w:t>.</w:t>
      </w:r>
      <w:r w:rsidR="002602DA">
        <w:rPr>
          <w:rFonts w:eastAsia="MS Mincho"/>
          <w:i/>
        </w:rPr>
        <w:t>;</w:t>
      </w:r>
      <w:r w:rsidR="002602DA" w:rsidRPr="00B816D5">
        <w:rPr>
          <w:rFonts w:eastAsia="MS Mincho"/>
          <w:i/>
        </w:rPr>
        <w:t xml:space="preserve"> </w:t>
      </w:r>
      <w:r w:rsidR="002602DA" w:rsidRPr="00904F24">
        <w:rPr>
          <w:rFonts w:eastAsia="MS Mincho"/>
          <w:iCs/>
        </w:rPr>
        <w:t>amend to read</w:t>
      </w:r>
      <w:r w:rsidR="002602DA">
        <w:rPr>
          <w:rFonts w:eastAsia="MS Mincho"/>
          <w:iCs/>
        </w:rPr>
        <w:t>:</w:t>
      </w:r>
    </w:p>
    <w:p w14:paraId="14ED9609" w14:textId="5D89901B" w:rsidR="002602DA" w:rsidRDefault="002602DA" w:rsidP="00FA3FE2">
      <w:pPr>
        <w:adjustRightInd w:val="0"/>
        <w:spacing w:after="120"/>
        <w:ind w:left="2268" w:right="1134" w:hanging="1134"/>
        <w:jc w:val="both"/>
        <w:rPr>
          <w:rFonts w:eastAsia="MS Mincho"/>
          <w:bCs/>
        </w:rPr>
      </w:pPr>
      <w:r w:rsidRPr="00B816D5">
        <w:rPr>
          <w:rFonts w:eastAsia="MS Mincho"/>
          <w:lang w:eastAsia="en-GB"/>
        </w:rPr>
        <w:t>“</w:t>
      </w:r>
      <w:r w:rsidR="00AE3803" w:rsidRPr="00AE3803">
        <w:rPr>
          <w:rFonts w:eastAsia="MS Mincho"/>
        </w:rPr>
        <w:t xml:space="preserve">3.2.36. </w:t>
      </w:r>
      <w:r w:rsidR="00AE3803" w:rsidRPr="00AE3803">
        <w:rPr>
          <w:rFonts w:eastAsia="MS Mincho"/>
        </w:rPr>
        <w:tab/>
        <w:t>"Coasting" means a functionality of either an automatic transmission or a clutch which</w:t>
      </w:r>
      <w:r w:rsidR="00AE3803" w:rsidRPr="00AE3803">
        <w:rPr>
          <w:rFonts w:eastAsia="MS Mincho"/>
          <w:b/>
          <w:bCs/>
        </w:rPr>
        <w:t>, when no propulsion or a slow reduction of speed is needed,</w:t>
      </w:r>
      <w:r w:rsidR="00AE3803" w:rsidRPr="00AE3803">
        <w:rPr>
          <w:rFonts w:eastAsia="MS Mincho"/>
        </w:rPr>
        <w:t xml:space="preserve"> decouples the engine from the drivetrain automatically</w:t>
      </w:r>
      <w:r w:rsidR="00AE3803" w:rsidRPr="00AE3803">
        <w:t xml:space="preserve"> </w:t>
      </w:r>
      <w:r w:rsidR="00AE3803" w:rsidRPr="00AE3803">
        <w:rPr>
          <w:rFonts w:eastAsia="MS Mincho"/>
          <w:b/>
          <w:bCs/>
        </w:rPr>
        <w:t>and neither a propulsion energy is applied to the wheels nor recuperation energy is taken from the wheels nor mechanical braking is applied.</w:t>
      </w:r>
      <w:r w:rsidR="00AE3803" w:rsidRPr="00AE3803">
        <w:rPr>
          <w:rFonts w:eastAsia="MS Mincho"/>
        </w:rPr>
        <w:t xml:space="preserve">  </w:t>
      </w:r>
      <w:r w:rsidR="00AE3803" w:rsidRPr="00AE3803">
        <w:rPr>
          <w:rFonts w:eastAsia="MS Mincho"/>
          <w:strike/>
        </w:rPr>
        <w:t xml:space="preserve">when no propulsion or a slow reduction of speed is needed and </w:t>
      </w:r>
      <w:proofErr w:type="spellStart"/>
      <w:r w:rsidR="00AE3803" w:rsidRPr="00AE3803">
        <w:rPr>
          <w:rFonts w:eastAsia="MS Mincho"/>
          <w:strike/>
        </w:rPr>
        <w:t>d</w:t>
      </w:r>
      <w:r w:rsidR="00AE3803" w:rsidRPr="00AE3803">
        <w:rPr>
          <w:rFonts w:eastAsia="MS Mincho"/>
          <w:b/>
          <w:bCs/>
        </w:rPr>
        <w:t>D</w:t>
      </w:r>
      <w:r w:rsidR="00AE3803" w:rsidRPr="00AE3803">
        <w:rPr>
          <w:rFonts w:eastAsia="MS Mincho"/>
        </w:rPr>
        <w:t>uring</w:t>
      </w:r>
      <w:proofErr w:type="spellEnd"/>
      <w:r w:rsidR="00AE3803" w:rsidRPr="00AE3803">
        <w:rPr>
          <w:rFonts w:eastAsia="MS Mincho"/>
        </w:rPr>
        <w:t xml:space="preserve"> </w:t>
      </w:r>
      <w:r w:rsidR="00AE3803" w:rsidRPr="00AE3803">
        <w:rPr>
          <w:rFonts w:eastAsia="MS Mincho"/>
          <w:b/>
          <w:bCs/>
        </w:rPr>
        <w:t>application of this fu</w:t>
      </w:r>
      <w:r w:rsidR="009C4617">
        <w:rPr>
          <w:rFonts w:eastAsia="MS Mincho"/>
          <w:b/>
          <w:bCs/>
        </w:rPr>
        <w:t>n</w:t>
      </w:r>
      <w:r w:rsidR="00AE3803" w:rsidRPr="00AE3803">
        <w:rPr>
          <w:rFonts w:eastAsia="MS Mincho"/>
          <w:b/>
          <w:bCs/>
        </w:rPr>
        <w:t>ction</w:t>
      </w:r>
      <w:r w:rsidR="00AE3803" w:rsidRPr="00AE3803">
        <w:rPr>
          <w:rFonts w:eastAsia="MS Mincho"/>
        </w:rPr>
        <w:t xml:space="preserve"> </w:t>
      </w:r>
      <w:r w:rsidR="00AE3803" w:rsidRPr="00AE3803">
        <w:rPr>
          <w:rFonts w:eastAsia="MS Mincho"/>
          <w:strike/>
        </w:rPr>
        <w:t>which</w:t>
      </w:r>
      <w:r w:rsidR="00AE3803" w:rsidRPr="00AE3803">
        <w:rPr>
          <w:rFonts w:eastAsia="MS Mincho"/>
        </w:rPr>
        <w:t xml:space="preserve"> the engine may be idling or switched off.</w:t>
      </w:r>
      <w:r w:rsidRPr="00B816D5">
        <w:rPr>
          <w:rFonts w:eastAsia="MS Mincho"/>
          <w:bCs/>
        </w:rPr>
        <w:t>"</w:t>
      </w:r>
    </w:p>
    <w:p w14:paraId="52B2AC18" w14:textId="77777777" w:rsidR="00E74B2A" w:rsidRDefault="005A73D4" w:rsidP="00FA3FE2">
      <w:pPr>
        <w:spacing w:after="120"/>
        <w:ind w:left="1134" w:right="1134"/>
        <w:jc w:val="both"/>
        <w:rPr>
          <w:rFonts w:eastAsia="MS Mincho"/>
          <w:i/>
        </w:rPr>
      </w:pPr>
      <w:r>
        <w:rPr>
          <w:rFonts w:eastAsia="MS Mincho"/>
          <w:i/>
        </w:rPr>
        <w:t>Annex B5</w:t>
      </w:r>
    </w:p>
    <w:p w14:paraId="0C8C039F" w14:textId="0B21C313" w:rsidR="005A73D4" w:rsidRDefault="00E74B2A" w:rsidP="00FA3FE2">
      <w:pPr>
        <w:spacing w:after="120"/>
        <w:ind w:left="1134" w:right="1134"/>
        <w:jc w:val="both"/>
        <w:rPr>
          <w:rFonts w:eastAsia="MS Mincho"/>
          <w:iCs/>
        </w:rPr>
      </w:pPr>
      <w:r>
        <w:rPr>
          <w:rFonts w:eastAsia="MS Mincho"/>
          <w:i/>
        </w:rPr>
        <w:t>P</w:t>
      </w:r>
      <w:r w:rsidR="005A73D4" w:rsidRPr="00B816D5">
        <w:rPr>
          <w:rFonts w:eastAsia="MS Mincho"/>
          <w:i/>
        </w:rPr>
        <w:t xml:space="preserve">aragraph </w:t>
      </w:r>
      <w:r w:rsidR="005A73D4">
        <w:rPr>
          <w:rFonts w:eastAsia="MS Mincho"/>
          <w:i/>
        </w:rPr>
        <w:t>2</w:t>
      </w:r>
      <w:r w:rsidR="005A73D4" w:rsidRPr="00B816D5">
        <w:rPr>
          <w:rFonts w:eastAsia="MS Mincho"/>
          <w:i/>
        </w:rPr>
        <w:t>.</w:t>
      </w:r>
      <w:r w:rsidR="005A73D4">
        <w:rPr>
          <w:rFonts w:eastAsia="MS Mincho"/>
          <w:i/>
        </w:rPr>
        <w:t>3</w:t>
      </w:r>
      <w:r w:rsidR="005A73D4" w:rsidRPr="00B816D5">
        <w:rPr>
          <w:rFonts w:eastAsia="MS Mincho"/>
          <w:i/>
        </w:rPr>
        <w:t>.</w:t>
      </w:r>
      <w:r w:rsidR="005A73D4">
        <w:rPr>
          <w:rFonts w:eastAsia="MS Mincho"/>
          <w:i/>
        </w:rPr>
        <w:t>1</w:t>
      </w:r>
      <w:r w:rsidR="005A73D4" w:rsidRPr="00B816D5">
        <w:rPr>
          <w:rFonts w:eastAsia="MS Mincho"/>
          <w:i/>
        </w:rPr>
        <w:t>.</w:t>
      </w:r>
      <w:r w:rsidR="005A73D4">
        <w:rPr>
          <w:rFonts w:eastAsia="MS Mincho"/>
          <w:i/>
        </w:rPr>
        <w:t>;</w:t>
      </w:r>
      <w:r w:rsidR="005A73D4" w:rsidRPr="00B816D5">
        <w:rPr>
          <w:rFonts w:eastAsia="MS Mincho"/>
          <w:i/>
        </w:rPr>
        <w:t xml:space="preserve"> </w:t>
      </w:r>
      <w:r w:rsidR="005A73D4" w:rsidRPr="00904F24">
        <w:rPr>
          <w:rFonts w:eastAsia="MS Mincho"/>
          <w:iCs/>
        </w:rPr>
        <w:t>amend to read</w:t>
      </w:r>
      <w:r w:rsidR="005A73D4">
        <w:rPr>
          <w:rFonts w:eastAsia="MS Mincho"/>
          <w:iCs/>
        </w:rPr>
        <w:t>:</w:t>
      </w:r>
    </w:p>
    <w:p w14:paraId="31CA4CD8" w14:textId="473076F0" w:rsidR="005A73D4" w:rsidRDefault="005A73D4" w:rsidP="00FA3FE2">
      <w:pPr>
        <w:adjustRightInd w:val="0"/>
        <w:spacing w:after="120"/>
        <w:ind w:left="2268" w:right="1134" w:hanging="1134"/>
        <w:jc w:val="both"/>
        <w:rPr>
          <w:rFonts w:eastAsia="MS Mincho"/>
        </w:rPr>
      </w:pPr>
      <w:r w:rsidRPr="005A73D4">
        <w:rPr>
          <w:rFonts w:eastAsia="MS Mincho"/>
        </w:rPr>
        <w:t xml:space="preserve">“2.3.1. </w:t>
      </w:r>
      <w:r w:rsidRPr="005A73D4">
        <w:rPr>
          <w:rFonts w:eastAsia="MS Mincho"/>
        </w:rPr>
        <w:tab/>
        <w:t xml:space="preserve">For testing in 4WD operation, </w:t>
      </w:r>
      <w:r w:rsidRPr="005A73D4">
        <w:rPr>
          <w:rFonts w:eastAsia="MS Mincho"/>
          <w:b/>
          <w:bCs/>
        </w:rPr>
        <w:t xml:space="preserve">unless the conditions in paragraph 2.3.1.3. are met </w:t>
      </w:r>
      <w:r w:rsidRPr="005A73D4">
        <w:rPr>
          <w:rFonts w:eastAsia="MS Mincho"/>
        </w:rPr>
        <w:t>the chassis dynamometer shall have a single roller configuration. The 4WD control system shall be designed such that the following requirements are fulfilled when tested with a vehicle driven over the WLTC.</w:t>
      </w:r>
      <w:r>
        <w:rPr>
          <w:rFonts w:eastAsia="MS Mincho"/>
        </w:rPr>
        <w:t>”</w:t>
      </w:r>
    </w:p>
    <w:p w14:paraId="5C014425" w14:textId="111B7426" w:rsidR="005A73D4" w:rsidRDefault="00E74B2A" w:rsidP="00FA3FE2">
      <w:pPr>
        <w:spacing w:after="120"/>
        <w:ind w:left="1134" w:right="1134"/>
        <w:jc w:val="both"/>
        <w:rPr>
          <w:rFonts w:eastAsia="MS Mincho"/>
          <w:iCs/>
        </w:rPr>
      </w:pPr>
      <w:r>
        <w:rPr>
          <w:rFonts w:eastAsia="MS Mincho"/>
          <w:i/>
        </w:rPr>
        <w:t>A</w:t>
      </w:r>
      <w:r w:rsidR="005A73D4">
        <w:rPr>
          <w:rFonts w:eastAsia="MS Mincho"/>
          <w:i/>
        </w:rPr>
        <w:t xml:space="preserve">dd new </w:t>
      </w:r>
      <w:r w:rsidR="005A73D4" w:rsidRPr="00B816D5">
        <w:rPr>
          <w:rFonts w:eastAsia="MS Mincho"/>
          <w:i/>
        </w:rPr>
        <w:t xml:space="preserve">paragraph </w:t>
      </w:r>
      <w:r w:rsidR="005A73D4">
        <w:rPr>
          <w:rFonts w:eastAsia="MS Mincho"/>
          <w:i/>
        </w:rPr>
        <w:t>2</w:t>
      </w:r>
      <w:r w:rsidR="005A73D4" w:rsidRPr="00B816D5">
        <w:rPr>
          <w:rFonts w:eastAsia="MS Mincho"/>
          <w:i/>
        </w:rPr>
        <w:t>.</w:t>
      </w:r>
      <w:r w:rsidR="005A73D4">
        <w:rPr>
          <w:rFonts w:eastAsia="MS Mincho"/>
          <w:i/>
        </w:rPr>
        <w:t>3</w:t>
      </w:r>
      <w:r w:rsidR="005A73D4" w:rsidRPr="00B816D5">
        <w:rPr>
          <w:rFonts w:eastAsia="MS Mincho"/>
          <w:i/>
        </w:rPr>
        <w:t>.</w:t>
      </w:r>
      <w:r w:rsidR="005A73D4">
        <w:rPr>
          <w:rFonts w:eastAsia="MS Mincho"/>
          <w:i/>
        </w:rPr>
        <w:t>1</w:t>
      </w:r>
      <w:r w:rsidR="005A73D4" w:rsidRPr="00B816D5">
        <w:rPr>
          <w:rFonts w:eastAsia="MS Mincho"/>
          <w:i/>
        </w:rPr>
        <w:t>.</w:t>
      </w:r>
      <w:r w:rsidR="00F10ABE">
        <w:rPr>
          <w:rFonts w:eastAsia="MS Mincho"/>
          <w:i/>
        </w:rPr>
        <w:t>3.</w:t>
      </w:r>
      <w:r w:rsidR="005A73D4" w:rsidRPr="00B816D5">
        <w:rPr>
          <w:rFonts w:eastAsia="MS Mincho"/>
          <w:i/>
        </w:rPr>
        <w:t xml:space="preserve"> </w:t>
      </w:r>
      <w:r w:rsidR="005A73D4" w:rsidRPr="00904F24">
        <w:rPr>
          <w:rFonts w:eastAsia="MS Mincho"/>
          <w:iCs/>
        </w:rPr>
        <w:t>to read</w:t>
      </w:r>
      <w:r w:rsidR="005A73D4">
        <w:rPr>
          <w:rFonts w:eastAsia="MS Mincho"/>
          <w:iCs/>
        </w:rPr>
        <w:t>:</w:t>
      </w:r>
    </w:p>
    <w:p w14:paraId="11ECCB62" w14:textId="6E938936" w:rsidR="005A73D4" w:rsidRPr="005A73D4" w:rsidRDefault="005A73D4" w:rsidP="00FA3FE2">
      <w:pPr>
        <w:spacing w:after="120"/>
        <w:ind w:left="2268" w:right="1134" w:hanging="1134"/>
        <w:jc w:val="both"/>
        <w:rPr>
          <w:rFonts w:eastAsia="MS Mincho"/>
          <w:b/>
          <w:bCs/>
          <w:iCs/>
        </w:rPr>
      </w:pPr>
      <w:r>
        <w:rPr>
          <w:rFonts w:eastAsia="MS Mincho"/>
          <w:iCs/>
        </w:rPr>
        <w:t>“</w:t>
      </w:r>
      <w:r w:rsidRPr="005A73D4">
        <w:rPr>
          <w:rFonts w:eastAsia="MS Mincho"/>
          <w:b/>
          <w:bCs/>
          <w:iCs/>
        </w:rPr>
        <w:t>2.3.1.</w:t>
      </w:r>
      <w:r w:rsidR="00F10ABE">
        <w:rPr>
          <w:rFonts w:eastAsia="MS Mincho"/>
          <w:b/>
          <w:bCs/>
          <w:iCs/>
        </w:rPr>
        <w:t>3.</w:t>
      </w:r>
      <w:r w:rsidRPr="005A73D4">
        <w:rPr>
          <w:rFonts w:eastAsia="MS Mincho"/>
          <w:b/>
          <w:bCs/>
          <w:iCs/>
        </w:rPr>
        <w:tab/>
      </w:r>
      <w:r w:rsidRPr="005A73D4">
        <w:rPr>
          <w:rFonts w:eastAsia="MS Mincho"/>
          <w:b/>
          <w:bCs/>
          <w:iCs/>
        </w:rPr>
        <w:tab/>
        <w:t>The usage of twin roller dynamometers with 4WD configuration should be accepted if the following conditions are met:</w:t>
      </w:r>
    </w:p>
    <w:p w14:paraId="4542D282" w14:textId="6F52DEA3" w:rsidR="005A73D4" w:rsidRPr="005A73D4" w:rsidRDefault="006A37C7" w:rsidP="00FA3FE2">
      <w:pPr>
        <w:spacing w:after="120"/>
        <w:ind w:left="2835" w:right="1134" w:hanging="567"/>
        <w:jc w:val="both"/>
        <w:rPr>
          <w:rFonts w:eastAsia="MS Mincho"/>
          <w:b/>
          <w:bCs/>
          <w:iCs/>
        </w:rPr>
      </w:pPr>
      <w:r>
        <w:rPr>
          <w:rFonts w:eastAsia="MS Mincho"/>
          <w:b/>
          <w:bCs/>
          <w:iCs/>
        </w:rPr>
        <w:t>(a)</w:t>
      </w:r>
      <w:r w:rsidR="005A73D4" w:rsidRPr="005A73D4">
        <w:rPr>
          <w:rFonts w:eastAsia="MS Mincho"/>
          <w:b/>
          <w:bCs/>
          <w:iCs/>
        </w:rPr>
        <w:t xml:space="preserve"> </w:t>
      </w:r>
      <w:r w:rsidR="005A73D4" w:rsidRPr="005A73D4">
        <w:rPr>
          <w:rFonts w:eastAsia="MS Mincho"/>
          <w:b/>
          <w:bCs/>
          <w:iCs/>
        </w:rPr>
        <w:tab/>
        <w:t>The separation distance between the front and rear sets of twin rollers of the dynamometer (X in diagram below) is set as closely as possible to match the manufacturer’s declared wheelbase of the vehicle to be tested, and</w:t>
      </w:r>
    </w:p>
    <w:p w14:paraId="24D28BB7" w14:textId="3AE44E5E" w:rsidR="005A73D4" w:rsidRPr="005A73D4" w:rsidRDefault="008B0685" w:rsidP="00FA3FE2">
      <w:pPr>
        <w:spacing w:after="120"/>
        <w:ind w:left="2835" w:right="1134" w:hanging="567"/>
        <w:jc w:val="both"/>
        <w:rPr>
          <w:rFonts w:eastAsia="MS Mincho"/>
          <w:b/>
          <w:bCs/>
          <w:iCs/>
        </w:rPr>
      </w:pPr>
      <w:r>
        <w:rPr>
          <w:rFonts w:eastAsia="MS Mincho"/>
          <w:b/>
          <w:bCs/>
          <w:iCs/>
        </w:rPr>
        <w:t>(b)</w:t>
      </w:r>
      <w:r w:rsidR="005A73D4" w:rsidRPr="005A73D4">
        <w:rPr>
          <w:rFonts w:eastAsia="MS Mincho"/>
          <w:b/>
          <w:bCs/>
          <w:iCs/>
        </w:rPr>
        <w:t xml:space="preserve"> </w:t>
      </w:r>
      <w:r w:rsidR="005A73D4" w:rsidRPr="005A73D4">
        <w:rPr>
          <w:rFonts w:eastAsia="MS Mincho"/>
          <w:b/>
          <w:bCs/>
          <w:iCs/>
        </w:rPr>
        <w:tab/>
        <w:t>It shall be ensured that the setting of the separation distance between the roller sets used for dyno load setting is reproduced for vehicle testing.</w:t>
      </w:r>
    </w:p>
    <w:p w14:paraId="050AB965" w14:textId="4EBAE044" w:rsidR="005A73D4" w:rsidRPr="005A73D4" w:rsidRDefault="005A73D4" w:rsidP="005A73D4">
      <w:pPr>
        <w:spacing w:after="120"/>
        <w:ind w:left="2835" w:right="1134" w:hanging="567"/>
        <w:rPr>
          <w:rFonts w:eastAsia="MS Mincho"/>
          <w:iCs/>
        </w:rPr>
      </w:pPr>
      <w:r w:rsidRPr="005A73D4">
        <w:rPr>
          <w:rFonts w:eastAsia="MS Mincho"/>
          <w:iCs/>
          <w:noProof/>
          <w:lang w:val="de-DE" w:eastAsia="zh-CN"/>
        </w:rPr>
        <w:drawing>
          <wp:inline distT="0" distB="0" distL="0" distR="0" wp14:anchorId="1B5562AE" wp14:editId="7C5B1ED6">
            <wp:extent cx="2687320" cy="15881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7320" cy="1588135"/>
                    </a:xfrm>
                    <a:prstGeom prst="rect">
                      <a:avLst/>
                    </a:prstGeom>
                    <a:noFill/>
                    <a:ln>
                      <a:noFill/>
                    </a:ln>
                  </pic:spPr>
                </pic:pic>
              </a:graphicData>
            </a:graphic>
          </wp:inline>
        </w:drawing>
      </w:r>
      <w:r>
        <w:rPr>
          <w:rFonts w:eastAsia="MS Mincho"/>
          <w:iCs/>
        </w:rPr>
        <w:t>”</w:t>
      </w:r>
    </w:p>
    <w:p w14:paraId="25E87AC7" w14:textId="4C7514DC" w:rsidR="00272179" w:rsidRPr="007D30ED" w:rsidRDefault="007E1686" w:rsidP="007D30ED">
      <w:pPr>
        <w:pStyle w:val="HChG"/>
        <w:rPr>
          <w:rFonts w:eastAsia="MS Mincho"/>
        </w:rPr>
      </w:pPr>
      <w:r w:rsidRPr="007D30ED">
        <w:rPr>
          <w:rFonts w:eastAsia="MS Mincho"/>
        </w:rPr>
        <w:tab/>
      </w:r>
      <w:r w:rsidR="00272179" w:rsidRPr="007D30ED">
        <w:rPr>
          <w:rFonts w:eastAsia="MS Mincho"/>
        </w:rPr>
        <w:t>II.</w:t>
      </w:r>
      <w:r w:rsidR="00272179" w:rsidRPr="007D30ED">
        <w:rPr>
          <w:rFonts w:eastAsia="MS Mincho"/>
        </w:rPr>
        <w:tab/>
        <w:t>Justification</w:t>
      </w:r>
    </w:p>
    <w:p w14:paraId="2FD7B13B" w14:textId="6D541B25" w:rsidR="002602DA" w:rsidRPr="00B816D5" w:rsidRDefault="002602DA" w:rsidP="00FA3FE2">
      <w:pPr>
        <w:spacing w:after="120"/>
        <w:ind w:left="1134" w:right="1134"/>
        <w:jc w:val="both"/>
        <w:rPr>
          <w:rFonts w:eastAsia="MS Mincho"/>
        </w:rPr>
      </w:pPr>
      <w:r w:rsidRPr="00B816D5">
        <w:rPr>
          <w:rFonts w:eastAsia="MS Mincho"/>
        </w:rPr>
        <w:t xml:space="preserve">1. </w:t>
      </w:r>
      <w:r>
        <w:rPr>
          <w:rFonts w:eastAsia="MS Mincho"/>
        </w:rPr>
        <w:tab/>
      </w:r>
      <w:r w:rsidR="00AE3803">
        <w:rPr>
          <w:rFonts w:eastAsia="MS Mincho"/>
        </w:rPr>
        <w:t>GRPE acted quickly and cooperatively in the 82</w:t>
      </w:r>
      <w:r w:rsidR="00AE3803" w:rsidRPr="00BC28FB">
        <w:rPr>
          <w:rFonts w:eastAsia="MS Mincho"/>
        </w:rPr>
        <w:t>nd</w:t>
      </w:r>
      <w:r w:rsidR="00AE3803">
        <w:rPr>
          <w:rFonts w:eastAsia="MS Mincho"/>
        </w:rPr>
        <w:t xml:space="preserve"> session to adopt a reference document bringing clarity to the application of the definition of the term “coasting”</w:t>
      </w:r>
      <w:r w:rsidR="005A73D4">
        <w:rPr>
          <w:rFonts w:eastAsia="MS Mincho"/>
        </w:rPr>
        <w:t xml:space="preserve"> and the usage of dynamometers with twin rollers in 4WD operation</w:t>
      </w:r>
      <w:r w:rsidR="0056641C">
        <w:rPr>
          <w:rFonts w:eastAsia="MS Mincho"/>
        </w:rPr>
        <w:t>.</w:t>
      </w:r>
    </w:p>
    <w:p w14:paraId="00B6F330" w14:textId="0FABBE68" w:rsidR="002602DA" w:rsidRPr="00B816D5" w:rsidRDefault="002602DA" w:rsidP="00FA3FE2">
      <w:pPr>
        <w:spacing w:after="120"/>
        <w:ind w:left="1134" w:right="1134"/>
        <w:jc w:val="both"/>
        <w:rPr>
          <w:rFonts w:eastAsia="MS Mincho"/>
        </w:rPr>
      </w:pPr>
      <w:r w:rsidRPr="00B816D5">
        <w:rPr>
          <w:rFonts w:eastAsia="MS Mincho"/>
        </w:rPr>
        <w:t xml:space="preserve">2. </w:t>
      </w:r>
      <w:r>
        <w:rPr>
          <w:rFonts w:eastAsia="MS Mincho"/>
        </w:rPr>
        <w:tab/>
      </w:r>
      <w:r w:rsidRPr="00B816D5">
        <w:rPr>
          <w:rFonts w:eastAsia="MS Mincho"/>
        </w:rPr>
        <w:t xml:space="preserve">The </w:t>
      </w:r>
      <w:r w:rsidR="00AE3803">
        <w:rPr>
          <w:rFonts w:eastAsia="MS Mincho"/>
        </w:rPr>
        <w:t>legal status of this r</w:t>
      </w:r>
      <w:r w:rsidR="0056641C">
        <w:rPr>
          <w:rFonts w:eastAsia="MS Mincho"/>
        </w:rPr>
        <w:t>eference document is however unknown and the text should therefore be integrated into regulatory text at the earliest opportunity.</w:t>
      </w:r>
    </w:p>
    <w:p w14:paraId="0FCAD331" w14:textId="5549CE3C" w:rsidR="002602DA" w:rsidRPr="00896ED9" w:rsidRDefault="004E27CD" w:rsidP="004E27CD">
      <w:pPr>
        <w:pStyle w:val="SingleTxtG"/>
        <w:spacing w:before="240" w:after="0"/>
        <w:ind w:left="567"/>
        <w:jc w:val="center"/>
        <w:rPr>
          <w:u w:val="single"/>
          <w:lang w:val="en-US"/>
        </w:rPr>
      </w:pPr>
      <w:r>
        <w:rPr>
          <w:u w:val="single"/>
        </w:rPr>
        <w:tab/>
      </w:r>
      <w:r>
        <w:rPr>
          <w:u w:val="single"/>
        </w:rPr>
        <w:tab/>
      </w:r>
      <w:r w:rsidR="00BC28FB">
        <w:rPr>
          <w:u w:val="single"/>
        </w:rPr>
        <w:tab/>
      </w:r>
    </w:p>
    <w:sectPr w:rsidR="002602DA" w:rsidRPr="00896ED9" w:rsidSect="00D97E10">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1006" w14:textId="77777777" w:rsidR="00A731AA" w:rsidRDefault="00A731AA"/>
  </w:endnote>
  <w:endnote w:type="continuationSeparator" w:id="0">
    <w:p w14:paraId="2B3691B8" w14:textId="77777777" w:rsidR="00A731AA" w:rsidRDefault="00A731AA"/>
  </w:endnote>
  <w:endnote w:type="continuationNotice" w:id="1">
    <w:p w14:paraId="5E10E843" w14:textId="77777777" w:rsidR="00A731AA" w:rsidRDefault="00A7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2E4" w14:textId="0C8E21DA"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F10ABE">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0DE" w14:textId="5CE429FF"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4E27CD">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90C8" w14:textId="242F3DDD" w:rsidR="00F378AB" w:rsidRDefault="00975FF3" w:rsidP="00975FF3">
    <w:pPr>
      <w:pStyle w:val="Footer"/>
      <w:ind w:right="1134"/>
      <w:rPr>
        <w:sz w:val="20"/>
      </w:rPr>
    </w:pPr>
    <w:r w:rsidRPr="00975FF3">
      <w:rPr>
        <w:noProof/>
        <w:sz w:val="20"/>
        <w:lang w:val="en-US"/>
      </w:rPr>
      <w:drawing>
        <wp:anchor distT="0" distB="0" distL="114300" distR="114300" simplePos="0" relativeHeight="251659264" behindDoc="0" locked="1" layoutInCell="1" allowOverlap="1" wp14:anchorId="0571DD31" wp14:editId="7C3F51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651356" w14:textId="757B8A98" w:rsidR="00975FF3" w:rsidRPr="00975FF3" w:rsidRDefault="00975FF3" w:rsidP="00975FF3">
    <w:pPr>
      <w:pStyle w:val="Footer"/>
      <w:ind w:right="1134"/>
      <w:rPr>
        <w:sz w:val="20"/>
      </w:rPr>
    </w:pPr>
    <w:r>
      <w:rPr>
        <w:sz w:val="20"/>
      </w:rPr>
      <w:t>GE.21-03617(E)</w:t>
    </w:r>
    <w:r>
      <w:rPr>
        <w:noProof/>
        <w:sz w:val="20"/>
      </w:rPr>
      <w:drawing>
        <wp:anchor distT="0" distB="0" distL="114300" distR="114300" simplePos="0" relativeHeight="251660288" behindDoc="0" locked="0" layoutInCell="1" allowOverlap="1" wp14:anchorId="2A5327F4" wp14:editId="2162E5A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BE91" w14:textId="77777777" w:rsidR="00A731AA" w:rsidRPr="000B175B" w:rsidRDefault="00A731AA" w:rsidP="000B175B">
      <w:pPr>
        <w:tabs>
          <w:tab w:val="right" w:pos="2155"/>
        </w:tabs>
        <w:spacing w:after="80"/>
        <w:ind w:left="680"/>
        <w:rPr>
          <w:u w:val="single"/>
        </w:rPr>
      </w:pPr>
      <w:r>
        <w:rPr>
          <w:u w:val="single"/>
        </w:rPr>
        <w:tab/>
      </w:r>
    </w:p>
  </w:footnote>
  <w:footnote w:type="continuationSeparator" w:id="0">
    <w:p w14:paraId="52001FB0" w14:textId="77777777" w:rsidR="00A731AA" w:rsidRPr="00FC68B7" w:rsidRDefault="00A731AA" w:rsidP="00FC68B7">
      <w:pPr>
        <w:tabs>
          <w:tab w:val="left" w:pos="2155"/>
        </w:tabs>
        <w:spacing w:after="80"/>
        <w:ind w:left="680"/>
        <w:rPr>
          <w:u w:val="single"/>
        </w:rPr>
      </w:pPr>
      <w:r>
        <w:rPr>
          <w:u w:val="single"/>
        </w:rPr>
        <w:tab/>
      </w:r>
    </w:p>
  </w:footnote>
  <w:footnote w:type="continuationNotice" w:id="1">
    <w:p w14:paraId="63C7BC61" w14:textId="77777777" w:rsidR="00A731AA" w:rsidRDefault="00A731AA"/>
  </w:footnote>
  <w:footnote w:id="2">
    <w:p w14:paraId="35545F5F" w14:textId="378D8B2C"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5936E3" w:rsidRPr="005936E3">
        <w:rPr>
          <w:szCs w:val="18"/>
          <w:lang w:val="en-US"/>
        </w:rPr>
        <w:t xml:space="preserve">In accordance with the </w:t>
      </w:r>
      <w:proofErr w:type="spellStart"/>
      <w:r w:rsidR="005936E3" w:rsidRPr="005936E3">
        <w:rPr>
          <w:szCs w:val="18"/>
          <w:lang w:val="en-US"/>
        </w:rPr>
        <w:t>programme</w:t>
      </w:r>
      <w:proofErr w:type="spellEnd"/>
      <w:r w:rsidR="005936E3" w:rsidRPr="005936E3">
        <w:rPr>
          <w:szCs w:val="18"/>
          <w:lang w:val="en-US"/>
        </w:rPr>
        <w:t xml:space="preserve"> of work of the Inland Transport Committee for 2021 as outlined in proposed </w:t>
      </w:r>
      <w:proofErr w:type="spellStart"/>
      <w:r w:rsidR="005936E3" w:rsidRPr="005936E3">
        <w:rPr>
          <w:szCs w:val="18"/>
          <w:lang w:val="en-US"/>
        </w:rPr>
        <w:t>programme</w:t>
      </w:r>
      <w:proofErr w:type="spellEnd"/>
      <w:r w:rsidR="005936E3" w:rsidRPr="005936E3">
        <w:rPr>
          <w:szCs w:val="18"/>
          <w:lang w:val="en-US"/>
        </w:rPr>
        <w:t xml:space="preserve"> budget for 2021 (A/75/6 (Sect.20), para 20.51</w:t>
      </w:r>
      <w:r w:rsidR="003246CC">
        <w:rPr>
          <w:szCs w:val="18"/>
          <w:lang w:val="en-US"/>
        </w:rPr>
        <w:t>.</w:t>
      </w:r>
      <w:r w:rsidR="005936E3"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472" w14:textId="1C628F16" w:rsidR="007B02AA" w:rsidRPr="007B02AA" w:rsidRDefault="00330CD1">
    <w:pPr>
      <w:pStyle w:val="Header"/>
    </w:pPr>
    <w:r>
      <w:t>ECE/TRANS/WP.29/GRPE/2021</w:t>
    </w:r>
    <w:r w:rsidR="00D97E10">
      <w:t>/</w:t>
    </w:r>
    <w:r w:rsidR="005D7A3A">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527F" w14:textId="6C5D3DC6" w:rsidR="007B02AA" w:rsidRPr="007B02AA" w:rsidRDefault="00A731AA" w:rsidP="007B02AA">
    <w:pPr>
      <w:pStyle w:val="Header"/>
      <w:jc w:val="right"/>
    </w:pPr>
    <w:fldSimple w:instr=" TITLE  \* MERGEFORMAT ">
      <w:r w:rsidR="004D7F7B">
        <w:t>ECE/TRANS/WP.29/GRPE/2021/12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0"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2"/>
  </w:num>
  <w:num w:numId="20">
    <w:abstractNumId w:val="24"/>
  </w:num>
  <w:num w:numId="21">
    <w:abstractNumId w:val="11"/>
  </w:num>
  <w:num w:numId="22">
    <w:abstractNumId w:val="26"/>
  </w:num>
  <w:num w:numId="23">
    <w:abstractNumId w:val="22"/>
  </w:num>
  <w:num w:numId="24">
    <w:abstractNumId w:val="29"/>
  </w:num>
  <w:num w:numId="25">
    <w:abstractNumId w:val="27"/>
  </w:num>
  <w:num w:numId="26">
    <w:abstractNumId w:val="31"/>
  </w:num>
  <w:num w:numId="27">
    <w:abstractNumId w:val="23"/>
  </w:num>
  <w:num w:numId="28">
    <w:abstractNumId w:val="21"/>
  </w:num>
  <w:num w:numId="29">
    <w:abstractNumId w:val="30"/>
  </w:num>
  <w:num w:numId="30">
    <w:abstractNumId w:val="20"/>
  </w:num>
  <w:num w:numId="31">
    <w:abstractNumId w:val="16"/>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1A05"/>
    <w:rsid w:val="00027624"/>
    <w:rsid w:val="00050F6B"/>
    <w:rsid w:val="000678CD"/>
    <w:rsid w:val="00071150"/>
    <w:rsid w:val="00072C8C"/>
    <w:rsid w:val="00081CE0"/>
    <w:rsid w:val="00081CF0"/>
    <w:rsid w:val="00084D30"/>
    <w:rsid w:val="00090320"/>
    <w:rsid w:val="0009262F"/>
    <w:rsid w:val="000931C0"/>
    <w:rsid w:val="00094785"/>
    <w:rsid w:val="00097003"/>
    <w:rsid w:val="000A2E09"/>
    <w:rsid w:val="000B175B"/>
    <w:rsid w:val="000B3A0F"/>
    <w:rsid w:val="000B795E"/>
    <w:rsid w:val="000E0415"/>
    <w:rsid w:val="000F5263"/>
    <w:rsid w:val="000F7715"/>
    <w:rsid w:val="00146C9C"/>
    <w:rsid w:val="00156B99"/>
    <w:rsid w:val="00166124"/>
    <w:rsid w:val="00184DDA"/>
    <w:rsid w:val="001900CD"/>
    <w:rsid w:val="001A0452"/>
    <w:rsid w:val="001A17EF"/>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1ED9"/>
    <w:rsid w:val="00255646"/>
    <w:rsid w:val="0025595D"/>
    <w:rsid w:val="00257CAC"/>
    <w:rsid w:val="002602DA"/>
    <w:rsid w:val="00271331"/>
    <w:rsid w:val="00271BCB"/>
    <w:rsid w:val="00272179"/>
    <w:rsid w:val="0027237A"/>
    <w:rsid w:val="002863A3"/>
    <w:rsid w:val="00291F84"/>
    <w:rsid w:val="002974E9"/>
    <w:rsid w:val="002A306B"/>
    <w:rsid w:val="002A7F94"/>
    <w:rsid w:val="002B109A"/>
    <w:rsid w:val="002C6D45"/>
    <w:rsid w:val="002D6E53"/>
    <w:rsid w:val="002E243B"/>
    <w:rsid w:val="002F046D"/>
    <w:rsid w:val="002F3023"/>
    <w:rsid w:val="00301764"/>
    <w:rsid w:val="003229D8"/>
    <w:rsid w:val="00323B50"/>
    <w:rsid w:val="003246CC"/>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B1F60"/>
    <w:rsid w:val="003C2CC4"/>
    <w:rsid w:val="003D2D8D"/>
    <w:rsid w:val="003D4B23"/>
    <w:rsid w:val="003D6041"/>
    <w:rsid w:val="003D6D4C"/>
    <w:rsid w:val="003E278A"/>
    <w:rsid w:val="003F6816"/>
    <w:rsid w:val="00413520"/>
    <w:rsid w:val="00415CF4"/>
    <w:rsid w:val="00420B8C"/>
    <w:rsid w:val="004325CB"/>
    <w:rsid w:val="00440A07"/>
    <w:rsid w:val="00452A9C"/>
    <w:rsid w:val="00462880"/>
    <w:rsid w:val="00476F24"/>
    <w:rsid w:val="004A5D33"/>
    <w:rsid w:val="004C55B0"/>
    <w:rsid w:val="004D7F7B"/>
    <w:rsid w:val="004E27CD"/>
    <w:rsid w:val="004F1221"/>
    <w:rsid w:val="004F6BA0"/>
    <w:rsid w:val="00503BEA"/>
    <w:rsid w:val="00533616"/>
    <w:rsid w:val="00535ABA"/>
    <w:rsid w:val="0053768B"/>
    <w:rsid w:val="005420F2"/>
    <w:rsid w:val="0054285C"/>
    <w:rsid w:val="0056641C"/>
    <w:rsid w:val="00571739"/>
    <w:rsid w:val="00584173"/>
    <w:rsid w:val="00585FBD"/>
    <w:rsid w:val="005936E3"/>
    <w:rsid w:val="00595520"/>
    <w:rsid w:val="005977F0"/>
    <w:rsid w:val="005A44B9"/>
    <w:rsid w:val="005A73D4"/>
    <w:rsid w:val="005A77DD"/>
    <w:rsid w:val="005B1BA0"/>
    <w:rsid w:val="005B3DB3"/>
    <w:rsid w:val="005C0268"/>
    <w:rsid w:val="005D15CA"/>
    <w:rsid w:val="005D7A3A"/>
    <w:rsid w:val="005E3E7C"/>
    <w:rsid w:val="005F08DF"/>
    <w:rsid w:val="005F1FB8"/>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7C7"/>
    <w:rsid w:val="006A3C72"/>
    <w:rsid w:val="006A7392"/>
    <w:rsid w:val="006B03A1"/>
    <w:rsid w:val="006B67D9"/>
    <w:rsid w:val="006C0B13"/>
    <w:rsid w:val="006C5535"/>
    <w:rsid w:val="006D0589"/>
    <w:rsid w:val="006E564B"/>
    <w:rsid w:val="006E7154"/>
    <w:rsid w:val="007003CD"/>
    <w:rsid w:val="0070701E"/>
    <w:rsid w:val="00712DB0"/>
    <w:rsid w:val="0072198B"/>
    <w:rsid w:val="0072442D"/>
    <w:rsid w:val="0072632A"/>
    <w:rsid w:val="007358E8"/>
    <w:rsid w:val="00736ECE"/>
    <w:rsid w:val="0074533B"/>
    <w:rsid w:val="00746FA2"/>
    <w:rsid w:val="007643BC"/>
    <w:rsid w:val="00775C6D"/>
    <w:rsid w:val="00780C68"/>
    <w:rsid w:val="00783E93"/>
    <w:rsid w:val="007959FE"/>
    <w:rsid w:val="007A0CF1"/>
    <w:rsid w:val="007A7547"/>
    <w:rsid w:val="007B02AA"/>
    <w:rsid w:val="007B6BA5"/>
    <w:rsid w:val="007C146E"/>
    <w:rsid w:val="007C3390"/>
    <w:rsid w:val="007C42D8"/>
    <w:rsid w:val="007C4F4B"/>
    <w:rsid w:val="007D0686"/>
    <w:rsid w:val="007D30ED"/>
    <w:rsid w:val="007D6F65"/>
    <w:rsid w:val="007D7362"/>
    <w:rsid w:val="007E1686"/>
    <w:rsid w:val="007E4248"/>
    <w:rsid w:val="007F5CE2"/>
    <w:rsid w:val="007F6611"/>
    <w:rsid w:val="00810BAC"/>
    <w:rsid w:val="008175E9"/>
    <w:rsid w:val="008242D7"/>
    <w:rsid w:val="0082577B"/>
    <w:rsid w:val="00825CB5"/>
    <w:rsid w:val="00844EDF"/>
    <w:rsid w:val="008554CB"/>
    <w:rsid w:val="00866893"/>
    <w:rsid w:val="00866F02"/>
    <w:rsid w:val="00867D18"/>
    <w:rsid w:val="00871F9A"/>
    <w:rsid w:val="00871FD5"/>
    <w:rsid w:val="0088172E"/>
    <w:rsid w:val="00881EFA"/>
    <w:rsid w:val="008879CB"/>
    <w:rsid w:val="00895C1F"/>
    <w:rsid w:val="00896ED9"/>
    <w:rsid w:val="008979B1"/>
    <w:rsid w:val="008A0AF5"/>
    <w:rsid w:val="008A6B25"/>
    <w:rsid w:val="008A6C4F"/>
    <w:rsid w:val="008B0685"/>
    <w:rsid w:val="008B389E"/>
    <w:rsid w:val="008D045E"/>
    <w:rsid w:val="008D3F25"/>
    <w:rsid w:val="008D4D82"/>
    <w:rsid w:val="008D6ED0"/>
    <w:rsid w:val="008E0E46"/>
    <w:rsid w:val="008E7116"/>
    <w:rsid w:val="008F143B"/>
    <w:rsid w:val="008F3882"/>
    <w:rsid w:val="008F4B7C"/>
    <w:rsid w:val="00922034"/>
    <w:rsid w:val="00926E47"/>
    <w:rsid w:val="00947162"/>
    <w:rsid w:val="009610D0"/>
    <w:rsid w:val="0096375C"/>
    <w:rsid w:val="009662E6"/>
    <w:rsid w:val="0097095E"/>
    <w:rsid w:val="00975FF3"/>
    <w:rsid w:val="0098592B"/>
    <w:rsid w:val="00985FC4"/>
    <w:rsid w:val="00990766"/>
    <w:rsid w:val="00991261"/>
    <w:rsid w:val="009964C4"/>
    <w:rsid w:val="009A7B81"/>
    <w:rsid w:val="009B7EB7"/>
    <w:rsid w:val="009C4617"/>
    <w:rsid w:val="009D01C0"/>
    <w:rsid w:val="009D6A08"/>
    <w:rsid w:val="009E0A16"/>
    <w:rsid w:val="009E6CB7"/>
    <w:rsid w:val="009E7970"/>
    <w:rsid w:val="009F2EAC"/>
    <w:rsid w:val="009F57E3"/>
    <w:rsid w:val="00A076CD"/>
    <w:rsid w:val="00A10F4F"/>
    <w:rsid w:val="00A11067"/>
    <w:rsid w:val="00A120A3"/>
    <w:rsid w:val="00A1704A"/>
    <w:rsid w:val="00A36AC2"/>
    <w:rsid w:val="00A425EB"/>
    <w:rsid w:val="00A57093"/>
    <w:rsid w:val="00A72F22"/>
    <w:rsid w:val="00A731AA"/>
    <w:rsid w:val="00A733BC"/>
    <w:rsid w:val="00A748A6"/>
    <w:rsid w:val="00A76A69"/>
    <w:rsid w:val="00A879A4"/>
    <w:rsid w:val="00AA0FF8"/>
    <w:rsid w:val="00AB2881"/>
    <w:rsid w:val="00AB3191"/>
    <w:rsid w:val="00AB4C03"/>
    <w:rsid w:val="00AB708F"/>
    <w:rsid w:val="00AC0F2C"/>
    <w:rsid w:val="00AC23DC"/>
    <w:rsid w:val="00AC502A"/>
    <w:rsid w:val="00AD4902"/>
    <w:rsid w:val="00AE1E26"/>
    <w:rsid w:val="00AE3803"/>
    <w:rsid w:val="00AE5807"/>
    <w:rsid w:val="00AF58C1"/>
    <w:rsid w:val="00B04A3F"/>
    <w:rsid w:val="00B05006"/>
    <w:rsid w:val="00B06643"/>
    <w:rsid w:val="00B10846"/>
    <w:rsid w:val="00B15055"/>
    <w:rsid w:val="00B20551"/>
    <w:rsid w:val="00B30179"/>
    <w:rsid w:val="00B31E0B"/>
    <w:rsid w:val="00B33FC7"/>
    <w:rsid w:val="00B37B15"/>
    <w:rsid w:val="00B4162A"/>
    <w:rsid w:val="00B41F61"/>
    <w:rsid w:val="00B45C02"/>
    <w:rsid w:val="00B67A34"/>
    <w:rsid w:val="00B70B63"/>
    <w:rsid w:val="00B72A1E"/>
    <w:rsid w:val="00B81E12"/>
    <w:rsid w:val="00BA339B"/>
    <w:rsid w:val="00BB23CC"/>
    <w:rsid w:val="00BC1E7E"/>
    <w:rsid w:val="00BC2425"/>
    <w:rsid w:val="00BC28FB"/>
    <w:rsid w:val="00BC74E9"/>
    <w:rsid w:val="00BD7C88"/>
    <w:rsid w:val="00BE36A9"/>
    <w:rsid w:val="00BE618E"/>
    <w:rsid w:val="00BE7BEC"/>
    <w:rsid w:val="00BF0A5A"/>
    <w:rsid w:val="00BF0E63"/>
    <w:rsid w:val="00BF12A3"/>
    <w:rsid w:val="00BF16D7"/>
    <w:rsid w:val="00BF2373"/>
    <w:rsid w:val="00BF279B"/>
    <w:rsid w:val="00BF40AE"/>
    <w:rsid w:val="00C044E2"/>
    <w:rsid w:val="00C048CB"/>
    <w:rsid w:val="00C066F3"/>
    <w:rsid w:val="00C22CDB"/>
    <w:rsid w:val="00C32128"/>
    <w:rsid w:val="00C3308A"/>
    <w:rsid w:val="00C3527E"/>
    <w:rsid w:val="00C42E88"/>
    <w:rsid w:val="00C463DD"/>
    <w:rsid w:val="00C72AE2"/>
    <w:rsid w:val="00C745C3"/>
    <w:rsid w:val="00C80A6D"/>
    <w:rsid w:val="00C978F5"/>
    <w:rsid w:val="00CA24A4"/>
    <w:rsid w:val="00CA269F"/>
    <w:rsid w:val="00CA5DEF"/>
    <w:rsid w:val="00CB348D"/>
    <w:rsid w:val="00CD46F5"/>
    <w:rsid w:val="00CE1B62"/>
    <w:rsid w:val="00CE3708"/>
    <w:rsid w:val="00CE4A8F"/>
    <w:rsid w:val="00CF071D"/>
    <w:rsid w:val="00CF1DA5"/>
    <w:rsid w:val="00D0123D"/>
    <w:rsid w:val="00D14B0E"/>
    <w:rsid w:val="00D15B04"/>
    <w:rsid w:val="00D2031B"/>
    <w:rsid w:val="00D25FE2"/>
    <w:rsid w:val="00D37DA9"/>
    <w:rsid w:val="00D406A7"/>
    <w:rsid w:val="00D43252"/>
    <w:rsid w:val="00D44D86"/>
    <w:rsid w:val="00D50B7D"/>
    <w:rsid w:val="00D52012"/>
    <w:rsid w:val="00D609DC"/>
    <w:rsid w:val="00D704E5"/>
    <w:rsid w:val="00D72727"/>
    <w:rsid w:val="00D92643"/>
    <w:rsid w:val="00D978C6"/>
    <w:rsid w:val="00D97E10"/>
    <w:rsid w:val="00DA0956"/>
    <w:rsid w:val="00DA357F"/>
    <w:rsid w:val="00DA3E12"/>
    <w:rsid w:val="00DB2B65"/>
    <w:rsid w:val="00DC18AD"/>
    <w:rsid w:val="00DC75A1"/>
    <w:rsid w:val="00DE6870"/>
    <w:rsid w:val="00DF7CAE"/>
    <w:rsid w:val="00E23373"/>
    <w:rsid w:val="00E407C7"/>
    <w:rsid w:val="00E423C0"/>
    <w:rsid w:val="00E42CB4"/>
    <w:rsid w:val="00E6414C"/>
    <w:rsid w:val="00E7260F"/>
    <w:rsid w:val="00E74B2A"/>
    <w:rsid w:val="00E806DF"/>
    <w:rsid w:val="00E8702D"/>
    <w:rsid w:val="00E905F4"/>
    <w:rsid w:val="00E911A8"/>
    <w:rsid w:val="00E916A9"/>
    <w:rsid w:val="00E916DE"/>
    <w:rsid w:val="00E925AD"/>
    <w:rsid w:val="00E95347"/>
    <w:rsid w:val="00E96630"/>
    <w:rsid w:val="00EA0653"/>
    <w:rsid w:val="00EC5991"/>
    <w:rsid w:val="00ED099C"/>
    <w:rsid w:val="00ED18DC"/>
    <w:rsid w:val="00ED6201"/>
    <w:rsid w:val="00ED7A2A"/>
    <w:rsid w:val="00EF1D7F"/>
    <w:rsid w:val="00F0137E"/>
    <w:rsid w:val="00F04E44"/>
    <w:rsid w:val="00F10ABE"/>
    <w:rsid w:val="00F21786"/>
    <w:rsid w:val="00F25D06"/>
    <w:rsid w:val="00F31CFF"/>
    <w:rsid w:val="00F3742B"/>
    <w:rsid w:val="00F378AB"/>
    <w:rsid w:val="00F41FDB"/>
    <w:rsid w:val="00F50597"/>
    <w:rsid w:val="00F56D63"/>
    <w:rsid w:val="00F609A9"/>
    <w:rsid w:val="00F753A8"/>
    <w:rsid w:val="00F80C99"/>
    <w:rsid w:val="00F867EC"/>
    <w:rsid w:val="00F91B2B"/>
    <w:rsid w:val="00FA3FE2"/>
    <w:rsid w:val="00FC03CD"/>
    <w:rsid w:val="00FC0646"/>
    <w:rsid w:val="00FC68B7"/>
    <w:rsid w:val="00FD063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3.xml><?xml version="1.0" encoding="utf-8"?>
<ds:datastoreItem xmlns:ds="http://schemas.openxmlformats.org/officeDocument/2006/customXml" ds:itemID="{74623AB8-1390-47F2-A4E3-AE94B46F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F12AC-E897-40EA-B24E-48EC871F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2706</Characters>
  <Application>Microsoft Office Word</Application>
  <DocSecurity>0</DocSecurity>
  <Lines>67</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ECE/TRANS/WP.29/GRPE/2021/3</vt:lpstr>
      <vt:lpstr>ECE/TRANS/WP.29/GRPE/2021/3</vt:lpstr>
      <vt:lpstr>ECE/TRANS/WP.29/GRPE/2020/5</vt:lpstr>
    </vt:vector>
  </TitlesOfParts>
  <Company>CSD</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ECE/TRANS/WP.29/GRPE/2021/12</dc:title>
  <dc:subject>2103617</dc:subject>
  <dc:creator>Admin</dc:creator>
  <cp:keywords/>
  <dc:description/>
  <cp:lastModifiedBy>Maria Rosario Corazon Gatmaytan</cp:lastModifiedBy>
  <cp:revision>2</cp:revision>
  <cp:lastPrinted>2021-03-17T10:24:00Z</cp:lastPrinted>
  <dcterms:created xsi:type="dcterms:W3CDTF">2021-03-17T12:57:00Z</dcterms:created>
  <dcterms:modified xsi:type="dcterms:W3CDTF">2021-03-17T12:57:00Z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y fmtid="{D5CDD505-2E9C-101B-9397-08002B2CF9AE}" pid="10" name="ContentTypeId">
    <vt:lpwstr>0x0101003B8422D08C252547BB1CFA7F78E2CB83</vt:lpwstr>
  </property>
</Properties>
</file>