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57D4" w:rsidRPr="00DC1BF6" w14:paraId="7E562CFF" w14:textId="77777777" w:rsidTr="009F0195">
        <w:tc>
          <w:tcPr>
            <w:tcW w:w="4785" w:type="dxa"/>
          </w:tcPr>
          <w:p w14:paraId="7E562CFA" w14:textId="77777777" w:rsidR="004C57D4" w:rsidRPr="004C57D4" w:rsidRDefault="004C57D4" w:rsidP="009F0195">
            <w:pPr>
              <w:autoSpaceDE w:val="0"/>
              <w:autoSpaceDN w:val="0"/>
              <w:adjustRightInd w:val="0"/>
              <w:rPr>
                <w:rFonts w:ascii="Times New Roman" w:hAnsi="Times New Roman"/>
                <w:bCs/>
                <w:sz w:val="24"/>
                <w:szCs w:val="24"/>
                <w:lang w:val="en-US"/>
              </w:rPr>
            </w:pPr>
            <w:r w:rsidRPr="004C57D4">
              <w:rPr>
                <w:rFonts w:ascii="Times New Roman" w:hAnsi="Times New Roman"/>
                <w:bCs/>
                <w:sz w:val="24"/>
                <w:szCs w:val="24"/>
                <w:lang w:val="en-US"/>
              </w:rPr>
              <w:t xml:space="preserve">Transmitted by the </w:t>
            </w:r>
            <w:r w:rsidRPr="004C57D4">
              <w:rPr>
                <w:rFonts w:ascii="Times New Roman" w:hAnsi="Times New Roman"/>
                <w:bCs/>
                <w:sz w:val="24"/>
                <w:szCs w:val="24"/>
                <w:lang w:val="en-US"/>
              </w:rPr>
              <w:br/>
              <w:t xml:space="preserve">Co-Chairs of the Informal Working </w:t>
            </w:r>
          </w:p>
          <w:p w14:paraId="7E562CFB" w14:textId="77777777" w:rsidR="004C57D4" w:rsidRPr="004C57D4" w:rsidRDefault="004C57D4" w:rsidP="009F0195">
            <w:pPr>
              <w:autoSpaceDE w:val="0"/>
              <w:autoSpaceDN w:val="0"/>
              <w:adjustRightInd w:val="0"/>
              <w:rPr>
                <w:rFonts w:ascii="Times New Roman" w:hAnsi="Times New Roman"/>
                <w:bCs/>
                <w:sz w:val="24"/>
                <w:szCs w:val="24"/>
                <w:lang w:val="en-US"/>
              </w:rPr>
            </w:pPr>
            <w:r w:rsidRPr="004C57D4">
              <w:rPr>
                <w:rFonts w:ascii="Times New Roman" w:hAnsi="Times New Roman"/>
                <w:bCs/>
                <w:sz w:val="24"/>
                <w:szCs w:val="24"/>
                <w:lang w:val="en-US"/>
              </w:rPr>
              <w:t xml:space="preserve">Group on Periodical Technical Inspections  </w:t>
            </w:r>
          </w:p>
        </w:tc>
        <w:tc>
          <w:tcPr>
            <w:tcW w:w="4786" w:type="dxa"/>
          </w:tcPr>
          <w:p w14:paraId="7E562CFC" w14:textId="67892BD1" w:rsidR="004C57D4" w:rsidRPr="004C57D4" w:rsidRDefault="004C57D4" w:rsidP="009F0195">
            <w:pPr>
              <w:autoSpaceDE w:val="0"/>
              <w:autoSpaceDN w:val="0"/>
              <w:adjustRightInd w:val="0"/>
              <w:jc w:val="right"/>
              <w:rPr>
                <w:rFonts w:ascii="Times New Roman" w:hAnsi="Times New Roman"/>
                <w:b/>
                <w:bCs/>
                <w:sz w:val="24"/>
                <w:szCs w:val="24"/>
                <w:lang w:val="en-US"/>
              </w:rPr>
            </w:pPr>
            <w:r w:rsidRPr="004C57D4">
              <w:rPr>
                <w:rFonts w:ascii="Times New Roman" w:hAnsi="Times New Roman"/>
                <w:bCs/>
                <w:sz w:val="24"/>
                <w:szCs w:val="24"/>
                <w:u w:val="single"/>
                <w:lang w:val="en-US"/>
              </w:rPr>
              <w:t>Informal document</w:t>
            </w:r>
            <w:r w:rsidRPr="004C57D4">
              <w:rPr>
                <w:rFonts w:ascii="Times New Roman" w:hAnsi="Times New Roman"/>
                <w:bCs/>
                <w:sz w:val="24"/>
                <w:szCs w:val="24"/>
                <w:lang w:val="en-US"/>
              </w:rPr>
              <w:t xml:space="preserve"> </w:t>
            </w:r>
            <w:r w:rsidRPr="004C57D4">
              <w:rPr>
                <w:rFonts w:ascii="Times New Roman" w:hAnsi="Times New Roman"/>
                <w:b/>
                <w:bCs/>
                <w:sz w:val="24"/>
                <w:szCs w:val="24"/>
                <w:lang w:val="en-US"/>
              </w:rPr>
              <w:t>WP.29-1</w:t>
            </w:r>
            <w:r>
              <w:rPr>
                <w:rFonts w:ascii="Times New Roman" w:hAnsi="Times New Roman"/>
                <w:b/>
                <w:bCs/>
                <w:sz w:val="24"/>
                <w:szCs w:val="24"/>
                <w:lang w:val="en-US"/>
              </w:rPr>
              <w:t>83</w:t>
            </w:r>
            <w:r w:rsidRPr="004C57D4">
              <w:rPr>
                <w:rFonts w:ascii="Times New Roman" w:hAnsi="Times New Roman"/>
                <w:b/>
                <w:bCs/>
                <w:sz w:val="24"/>
                <w:szCs w:val="24"/>
                <w:lang w:val="en-US"/>
              </w:rPr>
              <w:t>-</w:t>
            </w:r>
            <w:r w:rsidR="007B5DB8">
              <w:rPr>
                <w:rFonts w:ascii="Times New Roman" w:hAnsi="Times New Roman"/>
                <w:b/>
                <w:bCs/>
                <w:sz w:val="24"/>
                <w:szCs w:val="24"/>
                <w:lang w:val="en-US"/>
              </w:rPr>
              <w:t>18</w:t>
            </w:r>
          </w:p>
          <w:p w14:paraId="7E562CFD" w14:textId="77777777" w:rsidR="004C57D4" w:rsidRPr="004C57D4" w:rsidRDefault="004C57D4" w:rsidP="009F0195">
            <w:pPr>
              <w:autoSpaceDE w:val="0"/>
              <w:autoSpaceDN w:val="0"/>
              <w:adjustRightInd w:val="0"/>
              <w:jc w:val="right"/>
              <w:rPr>
                <w:rFonts w:ascii="Times New Roman" w:hAnsi="Times New Roman"/>
                <w:bCs/>
                <w:sz w:val="24"/>
                <w:szCs w:val="24"/>
                <w:lang w:val="en-US"/>
              </w:rPr>
            </w:pPr>
            <w:proofErr w:type="gramStart"/>
            <w:r w:rsidRPr="004C57D4">
              <w:rPr>
                <w:rFonts w:ascii="Times New Roman" w:hAnsi="Times New Roman"/>
                <w:bCs/>
                <w:sz w:val="24"/>
                <w:szCs w:val="24"/>
                <w:lang w:val="en-US"/>
              </w:rPr>
              <w:t>1</w:t>
            </w:r>
            <w:r>
              <w:rPr>
                <w:rFonts w:ascii="Times New Roman" w:hAnsi="Times New Roman"/>
                <w:bCs/>
                <w:sz w:val="24"/>
                <w:szCs w:val="24"/>
                <w:lang w:val="en-US"/>
              </w:rPr>
              <w:t>83</w:t>
            </w:r>
            <w:r w:rsidRPr="004C57D4">
              <w:rPr>
                <w:rFonts w:ascii="Times New Roman" w:hAnsi="Times New Roman"/>
                <w:bCs/>
                <w:sz w:val="24"/>
                <w:szCs w:val="24"/>
                <w:vertAlign w:val="superscript"/>
                <w:lang w:val="en-US"/>
              </w:rPr>
              <w:t>th</w:t>
            </w:r>
            <w:proofErr w:type="gramEnd"/>
            <w:r w:rsidRPr="004C57D4">
              <w:rPr>
                <w:rFonts w:ascii="Times New Roman" w:hAnsi="Times New Roman"/>
                <w:bCs/>
                <w:sz w:val="24"/>
                <w:szCs w:val="24"/>
                <w:lang w:val="en-US"/>
              </w:rPr>
              <w:t xml:space="preserve"> WP.29, </w:t>
            </w:r>
            <w:r w:rsidR="00CE64F7">
              <w:rPr>
                <w:rFonts w:ascii="Times New Roman" w:hAnsi="Times New Roman"/>
                <w:bCs/>
                <w:sz w:val="24"/>
                <w:szCs w:val="24"/>
                <w:lang w:val="en-US"/>
              </w:rPr>
              <w:t>9</w:t>
            </w:r>
            <w:r w:rsidRPr="004C57D4">
              <w:rPr>
                <w:rFonts w:ascii="Times New Roman" w:hAnsi="Times New Roman"/>
                <w:bCs/>
                <w:sz w:val="24"/>
                <w:szCs w:val="24"/>
                <w:lang w:val="en-US"/>
              </w:rPr>
              <w:t>-1</w:t>
            </w:r>
            <w:r w:rsidR="00CE64F7">
              <w:rPr>
                <w:rFonts w:ascii="Times New Roman" w:hAnsi="Times New Roman"/>
                <w:bCs/>
                <w:sz w:val="24"/>
                <w:szCs w:val="24"/>
                <w:lang w:val="en-US"/>
              </w:rPr>
              <w:t>1</w:t>
            </w:r>
            <w:r w:rsidRPr="004C57D4">
              <w:rPr>
                <w:rFonts w:ascii="Times New Roman" w:hAnsi="Times New Roman"/>
                <w:bCs/>
                <w:sz w:val="24"/>
                <w:szCs w:val="24"/>
                <w:lang w:val="en-US"/>
              </w:rPr>
              <w:t xml:space="preserve"> </w:t>
            </w:r>
            <w:r w:rsidR="00CE64F7">
              <w:rPr>
                <w:rFonts w:ascii="Times New Roman" w:hAnsi="Times New Roman"/>
                <w:bCs/>
                <w:sz w:val="24"/>
                <w:szCs w:val="24"/>
                <w:lang w:val="en-US"/>
              </w:rPr>
              <w:t>March</w:t>
            </w:r>
            <w:r w:rsidRPr="004C57D4">
              <w:rPr>
                <w:rFonts w:ascii="Times New Roman" w:hAnsi="Times New Roman"/>
                <w:bCs/>
                <w:sz w:val="24"/>
                <w:szCs w:val="24"/>
                <w:lang w:val="en-US"/>
              </w:rPr>
              <w:t xml:space="preserve"> 20</w:t>
            </w:r>
            <w:r w:rsidR="00CE64F7">
              <w:rPr>
                <w:rFonts w:ascii="Times New Roman" w:hAnsi="Times New Roman"/>
                <w:bCs/>
                <w:sz w:val="24"/>
                <w:szCs w:val="24"/>
                <w:lang w:val="en-US"/>
              </w:rPr>
              <w:t>2</w:t>
            </w:r>
            <w:r w:rsidRPr="004C57D4">
              <w:rPr>
                <w:rFonts w:ascii="Times New Roman" w:hAnsi="Times New Roman"/>
                <w:bCs/>
                <w:sz w:val="24"/>
                <w:szCs w:val="24"/>
                <w:lang w:val="en-US"/>
              </w:rPr>
              <w:t>1</w:t>
            </w:r>
          </w:p>
          <w:p w14:paraId="7E562CFE" w14:textId="0BB8B5EE" w:rsidR="004C57D4" w:rsidRPr="00DC1BF6" w:rsidRDefault="004C57D4" w:rsidP="009F0195">
            <w:pPr>
              <w:autoSpaceDE w:val="0"/>
              <w:autoSpaceDN w:val="0"/>
              <w:adjustRightInd w:val="0"/>
              <w:jc w:val="right"/>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r w:rsidR="007B5DB8">
              <w:rPr>
                <w:rFonts w:ascii="Times New Roman" w:hAnsi="Times New Roman"/>
                <w:bCs/>
                <w:sz w:val="24"/>
                <w:szCs w:val="24"/>
                <w:lang w:val="fr-CH"/>
              </w:rPr>
              <w:t>.1</w:t>
            </w:r>
          </w:p>
        </w:tc>
      </w:tr>
    </w:tbl>
    <w:p w14:paraId="7E562D00" w14:textId="77777777" w:rsidR="004C57D4" w:rsidRPr="00DC1BF6" w:rsidRDefault="004C57D4" w:rsidP="004C57D4">
      <w:pPr>
        <w:pStyle w:val="HChG"/>
        <w:rPr>
          <w:lang w:val="fr-CH"/>
        </w:rPr>
      </w:pPr>
    </w:p>
    <w:p w14:paraId="7E562D01" w14:textId="77777777" w:rsidR="004C57D4" w:rsidRDefault="004C57D4" w:rsidP="004C57D4">
      <w:pPr>
        <w:pStyle w:val="HChG"/>
        <w:jc w:val="center"/>
      </w:pPr>
      <w:r w:rsidRPr="008A118A">
        <w:t xml:space="preserve">Report to WP.29 about results of </w:t>
      </w:r>
      <w:r>
        <w:t>the 19</w:t>
      </w:r>
      <w:r w:rsidRPr="008A118A">
        <w:rPr>
          <w:vertAlign w:val="superscript"/>
        </w:rPr>
        <w:t>th</w:t>
      </w:r>
      <w:r w:rsidRPr="008A118A">
        <w:t xml:space="preserve"> </w:t>
      </w:r>
      <w:r>
        <w:t>and 20</w:t>
      </w:r>
      <w:r w:rsidRPr="004C57D4">
        <w:rPr>
          <w:vertAlign w:val="superscript"/>
        </w:rPr>
        <w:t>th</w:t>
      </w:r>
      <w:r>
        <w:t xml:space="preserve"> </w:t>
      </w:r>
      <w:r w:rsidRPr="008A118A">
        <w:t>meeting</w:t>
      </w:r>
      <w:r>
        <w:t>s</w:t>
      </w:r>
      <w:r w:rsidRPr="008A118A">
        <w:t xml:space="preserve"> of </w:t>
      </w:r>
      <w:r>
        <w:t xml:space="preserve">the </w:t>
      </w:r>
      <w:r w:rsidRPr="008A118A">
        <w:t xml:space="preserve">Informal </w:t>
      </w:r>
      <w:r>
        <w:t xml:space="preserve">Working </w:t>
      </w:r>
      <w:r w:rsidRPr="008A118A">
        <w:t>Group on Periodical Technical Inspections</w:t>
      </w:r>
    </w:p>
    <w:p w14:paraId="7E562D02" w14:textId="77777777" w:rsidR="004C57D4" w:rsidRPr="00166486" w:rsidRDefault="004C57D4" w:rsidP="00940985">
      <w:pPr>
        <w:pStyle w:val="SingleTxtG"/>
        <w:tabs>
          <w:tab w:val="left" w:pos="9072"/>
        </w:tabs>
        <w:spacing w:after="0" w:line="240" w:lineRule="auto"/>
        <w:ind w:left="0" w:right="283" w:firstLine="675"/>
        <w:jc w:val="both"/>
        <w:rPr>
          <w:sz w:val="24"/>
          <w:szCs w:val="24"/>
          <w:lang w:val="en-GB"/>
        </w:rPr>
      </w:pPr>
      <w:r w:rsidRPr="00166486">
        <w:rPr>
          <w:sz w:val="24"/>
          <w:szCs w:val="24"/>
        </w:rPr>
        <w:t>The 1</w:t>
      </w:r>
      <w:r w:rsidR="00940985" w:rsidRPr="00166486">
        <w:rPr>
          <w:sz w:val="24"/>
          <w:szCs w:val="24"/>
          <w:lang w:val="en-US"/>
        </w:rPr>
        <w:t>9</w:t>
      </w:r>
      <w:proofErr w:type="spellStart"/>
      <w:r w:rsidRPr="00166486">
        <w:rPr>
          <w:sz w:val="24"/>
          <w:szCs w:val="24"/>
          <w:vertAlign w:val="superscript"/>
        </w:rPr>
        <w:t>th</w:t>
      </w:r>
      <w:proofErr w:type="spellEnd"/>
      <w:r w:rsidRPr="00166486">
        <w:rPr>
          <w:sz w:val="24"/>
          <w:szCs w:val="24"/>
        </w:rPr>
        <w:t xml:space="preserve"> </w:t>
      </w:r>
      <w:r w:rsidR="00940985" w:rsidRPr="00166486">
        <w:rPr>
          <w:sz w:val="24"/>
          <w:szCs w:val="24"/>
          <w:lang w:val="en-US"/>
        </w:rPr>
        <w:t>and 20</w:t>
      </w:r>
      <w:r w:rsidR="00940985" w:rsidRPr="00166486">
        <w:rPr>
          <w:sz w:val="24"/>
          <w:szCs w:val="24"/>
          <w:vertAlign w:val="superscript"/>
          <w:lang w:val="en-US"/>
        </w:rPr>
        <w:t>th</w:t>
      </w:r>
      <w:r w:rsidR="00940985" w:rsidRPr="00166486">
        <w:rPr>
          <w:sz w:val="24"/>
          <w:szCs w:val="24"/>
          <w:lang w:val="en-US"/>
        </w:rPr>
        <w:t xml:space="preserve"> </w:t>
      </w:r>
      <w:r w:rsidRPr="00166486">
        <w:rPr>
          <w:sz w:val="24"/>
          <w:szCs w:val="24"/>
        </w:rPr>
        <w:t>IWG on PTI meeting</w:t>
      </w:r>
      <w:r w:rsidR="00940985" w:rsidRPr="00166486">
        <w:rPr>
          <w:sz w:val="24"/>
          <w:szCs w:val="24"/>
          <w:lang w:val="en-US"/>
        </w:rPr>
        <w:t>s</w:t>
      </w:r>
      <w:r w:rsidRPr="00166486">
        <w:rPr>
          <w:sz w:val="24"/>
          <w:szCs w:val="24"/>
        </w:rPr>
        <w:t xml:space="preserve"> w</w:t>
      </w:r>
      <w:r w:rsidR="00D711FF" w:rsidRPr="00166486">
        <w:rPr>
          <w:sz w:val="24"/>
          <w:szCs w:val="24"/>
          <w:lang w:val="en-US"/>
        </w:rPr>
        <w:t>ere</w:t>
      </w:r>
      <w:r w:rsidRPr="00166486">
        <w:rPr>
          <w:sz w:val="24"/>
          <w:szCs w:val="24"/>
        </w:rPr>
        <w:t xml:space="preserve"> arranged with support of </w:t>
      </w:r>
      <w:r w:rsidR="00940985" w:rsidRPr="00166486">
        <w:rPr>
          <w:sz w:val="24"/>
          <w:szCs w:val="24"/>
          <w:lang w:val="en-US"/>
        </w:rPr>
        <w:t xml:space="preserve">the International Motor </w:t>
      </w:r>
      <w:bookmarkStart w:id="0" w:name="_GoBack"/>
      <w:bookmarkEnd w:id="0"/>
      <w:r w:rsidR="00940985" w:rsidRPr="00166486">
        <w:rPr>
          <w:sz w:val="24"/>
          <w:szCs w:val="24"/>
          <w:lang w:val="en-US"/>
        </w:rPr>
        <w:t>Vehicle Inspection Committee (</w:t>
      </w:r>
      <w:r w:rsidR="00940985" w:rsidRPr="00166486">
        <w:rPr>
          <w:bCs/>
          <w:sz w:val="24"/>
          <w:szCs w:val="24"/>
          <w:lang w:val="nl-NL"/>
        </w:rPr>
        <w:t>CITA)</w:t>
      </w:r>
      <w:r w:rsidRPr="00166486">
        <w:rPr>
          <w:color w:val="000000"/>
          <w:sz w:val="24"/>
          <w:szCs w:val="24"/>
        </w:rPr>
        <w:t xml:space="preserve"> </w:t>
      </w:r>
      <w:r w:rsidRPr="00166486">
        <w:rPr>
          <w:sz w:val="24"/>
          <w:szCs w:val="24"/>
          <w:lang w:val="en-GB"/>
        </w:rPr>
        <w:t xml:space="preserve">and held on </w:t>
      </w:r>
      <w:r w:rsidR="00940985" w:rsidRPr="00166486">
        <w:rPr>
          <w:sz w:val="24"/>
          <w:szCs w:val="24"/>
          <w:lang w:val="en-GB"/>
        </w:rPr>
        <w:t>February, 4 and March, 1, 2021</w:t>
      </w:r>
      <w:r w:rsidRPr="00166486">
        <w:rPr>
          <w:sz w:val="24"/>
          <w:szCs w:val="24"/>
          <w:lang w:val="en-GB"/>
        </w:rPr>
        <w:t xml:space="preserve"> in </w:t>
      </w:r>
      <w:r w:rsidR="00940985" w:rsidRPr="00166486">
        <w:rPr>
          <w:sz w:val="24"/>
          <w:szCs w:val="24"/>
          <w:lang w:val="en-GB"/>
        </w:rPr>
        <w:t xml:space="preserve">the form of virtual participation. </w:t>
      </w:r>
    </w:p>
    <w:p w14:paraId="7E562D03" w14:textId="77777777" w:rsidR="00DD2D26" w:rsidRPr="00166486" w:rsidRDefault="00DD2D26" w:rsidP="00940985">
      <w:pPr>
        <w:pStyle w:val="SingleTxtG"/>
        <w:tabs>
          <w:tab w:val="left" w:pos="9072"/>
        </w:tabs>
        <w:spacing w:after="0" w:line="240" w:lineRule="auto"/>
        <w:ind w:left="0" w:right="283" w:firstLine="675"/>
        <w:jc w:val="both"/>
        <w:rPr>
          <w:sz w:val="18"/>
          <w:szCs w:val="22"/>
          <w:lang w:val="en-US"/>
        </w:rPr>
      </w:pPr>
    </w:p>
    <w:p w14:paraId="7E562D04" w14:textId="77777777" w:rsidR="007B64B3" w:rsidRPr="00166486" w:rsidRDefault="007B64B3" w:rsidP="001B004C">
      <w:pPr>
        <w:autoSpaceDE w:val="0"/>
        <w:autoSpaceDN w:val="0"/>
        <w:adjustRightInd w:val="0"/>
        <w:spacing w:after="0" w:line="240" w:lineRule="auto"/>
        <w:ind w:firstLine="675"/>
        <w:jc w:val="both"/>
        <w:rPr>
          <w:rFonts w:ascii="Times New Roman" w:eastAsia="Calibri" w:hAnsi="Times New Roman" w:cs="Times New Roman"/>
          <w:b/>
          <w:color w:val="000000"/>
          <w:sz w:val="24"/>
          <w:szCs w:val="24"/>
          <w:lang w:val="en-US" w:eastAsia="en-GB"/>
        </w:rPr>
      </w:pPr>
      <w:r w:rsidRPr="00166486">
        <w:rPr>
          <w:rFonts w:ascii="Times New Roman" w:eastAsia="Calibri" w:hAnsi="Times New Roman" w:cs="Times New Roman"/>
          <w:b/>
          <w:color w:val="000000"/>
          <w:sz w:val="24"/>
          <w:szCs w:val="24"/>
          <w:lang w:val="en-US" w:eastAsia="en-GB"/>
        </w:rPr>
        <w:t xml:space="preserve">I. </w:t>
      </w:r>
      <w:r w:rsidR="00DD2D26" w:rsidRPr="00166486">
        <w:rPr>
          <w:rFonts w:ascii="Times New Roman" w:eastAsia="Calibri" w:hAnsi="Times New Roman" w:cs="Times New Roman"/>
          <w:b/>
          <w:color w:val="000000"/>
          <w:sz w:val="24"/>
          <w:szCs w:val="24"/>
          <w:lang w:val="en-US" w:eastAsia="en-GB"/>
        </w:rPr>
        <w:t>Organization of the IWG on PTI work</w:t>
      </w:r>
      <w:r w:rsidRPr="00166486">
        <w:rPr>
          <w:rFonts w:ascii="Times New Roman" w:eastAsia="Calibri" w:hAnsi="Times New Roman" w:cs="Times New Roman"/>
          <w:b/>
          <w:color w:val="000000"/>
          <w:sz w:val="24"/>
          <w:szCs w:val="24"/>
          <w:lang w:val="en-US" w:eastAsia="en-GB"/>
        </w:rPr>
        <w:t xml:space="preserve"> </w:t>
      </w:r>
    </w:p>
    <w:p w14:paraId="7E562D05" w14:textId="77777777" w:rsidR="001B004C" w:rsidRPr="00166486" w:rsidRDefault="00940985" w:rsidP="00DD2D26">
      <w:pPr>
        <w:autoSpaceDE w:val="0"/>
        <w:autoSpaceDN w:val="0"/>
        <w:adjustRightInd w:val="0"/>
        <w:spacing w:after="0" w:line="240" w:lineRule="auto"/>
        <w:ind w:firstLine="675"/>
        <w:jc w:val="both"/>
        <w:rPr>
          <w:rFonts w:ascii="Times New Roman" w:eastAsia="Calibri" w:hAnsi="Times New Roman" w:cs="Times New Roman"/>
          <w:color w:val="000000"/>
          <w:sz w:val="24"/>
          <w:szCs w:val="24"/>
          <w:lang w:val="en-US" w:eastAsia="en-GB"/>
        </w:rPr>
      </w:pPr>
      <w:r w:rsidRPr="00166486">
        <w:rPr>
          <w:rFonts w:ascii="Times New Roman" w:eastAsia="Calibri" w:hAnsi="Times New Roman" w:cs="Times New Roman"/>
          <w:color w:val="000000"/>
          <w:sz w:val="24"/>
          <w:szCs w:val="24"/>
          <w:lang w:val="en-US" w:eastAsia="en-GB"/>
        </w:rPr>
        <w:t xml:space="preserve">It was noted that WP.29 </w:t>
      </w:r>
      <w:r w:rsidR="00A92DED" w:rsidRPr="00166486">
        <w:rPr>
          <w:rFonts w:ascii="Times New Roman" w:eastAsia="Calibri" w:hAnsi="Times New Roman" w:cs="Times New Roman"/>
          <w:color w:val="000000"/>
          <w:sz w:val="24"/>
          <w:szCs w:val="24"/>
          <w:lang w:val="en-US" w:eastAsia="en-GB"/>
        </w:rPr>
        <w:t>was</w:t>
      </w:r>
      <w:r w:rsidRPr="00166486">
        <w:rPr>
          <w:rFonts w:ascii="Times New Roman" w:eastAsia="Calibri" w:hAnsi="Times New Roman" w:cs="Times New Roman"/>
          <w:color w:val="000000"/>
          <w:sz w:val="24"/>
          <w:szCs w:val="24"/>
          <w:lang w:val="en-US" w:eastAsia="en-GB"/>
        </w:rPr>
        <w:t xml:space="preserve"> informed that the Terms of Reference (</w:t>
      </w:r>
      <w:proofErr w:type="spellStart"/>
      <w:r w:rsidRPr="00166486">
        <w:rPr>
          <w:rFonts w:ascii="Times New Roman" w:eastAsia="Calibri" w:hAnsi="Times New Roman" w:cs="Times New Roman"/>
          <w:color w:val="000000"/>
          <w:sz w:val="24"/>
          <w:szCs w:val="24"/>
          <w:lang w:val="en-US" w:eastAsia="en-GB"/>
        </w:rPr>
        <w:t>ToR</w:t>
      </w:r>
      <w:proofErr w:type="spellEnd"/>
      <w:r w:rsidRPr="00166486">
        <w:rPr>
          <w:rFonts w:ascii="Times New Roman" w:eastAsia="Calibri" w:hAnsi="Times New Roman" w:cs="Times New Roman"/>
          <w:color w:val="000000"/>
          <w:sz w:val="24"/>
          <w:szCs w:val="24"/>
          <w:lang w:val="en-US" w:eastAsia="en-GB"/>
        </w:rPr>
        <w:t xml:space="preserve">) of the group had been adopted by the WP.29 at its 175th session held on 19-22 June 2018. </w:t>
      </w:r>
      <w:r w:rsidR="00A92DED" w:rsidRPr="00166486">
        <w:rPr>
          <w:rFonts w:ascii="Times New Roman" w:eastAsia="Calibri" w:hAnsi="Times New Roman" w:cs="Times New Roman"/>
          <w:color w:val="000000"/>
          <w:sz w:val="24"/>
          <w:szCs w:val="24"/>
          <w:lang w:val="en-US" w:eastAsia="en-GB"/>
        </w:rPr>
        <w:t>At the 181</w:t>
      </w:r>
      <w:r w:rsidR="00A92DED" w:rsidRPr="00166486">
        <w:rPr>
          <w:rFonts w:ascii="Times New Roman" w:eastAsia="Calibri" w:hAnsi="Times New Roman" w:cs="Times New Roman"/>
          <w:color w:val="000000"/>
          <w:sz w:val="24"/>
          <w:szCs w:val="24"/>
          <w:vertAlign w:val="superscript"/>
          <w:lang w:val="en-US" w:eastAsia="en-GB"/>
        </w:rPr>
        <w:t>st</w:t>
      </w:r>
      <w:r w:rsidR="00A92DED" w:rsidRPr="00166486">
        <w:rPr>
          <w:rFonts w:ascii="Times New Roman" w:eastAsia="Calibri" w:hAnsi="Times New Roman" w:cs="Times New Roman"/>
          <w:color w:val="000000"/>
          <w:sz w:val="24"/>
          <w:szCs w:val="24"/>
          <w:lang w:val="en-US" w:eastAsia="en-GB"/>
        </w:rPr>
        <w:t xml:space="preserve"> session of WP.29 (document WP.29-181-11) t</w:t>
      </w:r>
      <w:r w:rsidRPr="00166486">
        <w:rPr>
          <w:rFonts w:ascii="Times New Roman" w:eastAsia="Calibri" w:hAnsi="Times New Roman" w:cs="Times New Roman"/>
          <w:color w:val="000000"/>
          <w:sz w:val="24"/>
          <w:szCs w:val="24"/>
          <w:lang w:val="en-US" w:eastAsia="en-GB"/>
        </w:rPr>
        <w:t xml:space="preserve">he group </w:t>
      </w:r>
      <w:r w:rsidR="00A92DED" w:rsidRPr="00166486">
        <w:rPr>
          <w:rFonts w:ascii="Times New Roman" w:eastAsia="Calibri" w:hAnsi="Times New Roman" w:cs="Times New Roman"/>
          <w:color w:val="000000"/>
          <w:sz w:val="24"/>
          <w:szCs w:val="24"/>
          <w:lang w:val="en-US" w:eastAsia="en-GB"/>
        </w:rPr>
        <w:t>proposed</w:t>
      </w:r>
      <w:r w:rsidRPr="00166486">
        <w:rPr>
          <w:rFonts w:ascii="Times New Roman" w:eastAsia="Calibri" w:hAnsi="Times New Roman" w:cs="Times New Roman"/>
          <w:color w:val="000000"/>
          <w:sz w:val="24"/>
          <w:szCs w:val="24"/>
          <w:lang w:val="en-US" w:eastAsia="en-GB"/>
        </w:rPr>
        <w:t xml:space="preserve"> to extend its mandate</w:t>
      </w:r>
      <w:r w:rsidR="001B004C" w:rsidRPr="00166486">
        <w:rPr>
          <w:rFonts w:ascii="Times New Roman" w:eastAsia="Calibri" w:hAnsi="Times New Roman" w:cs="Times New Roman"/>
          <w:color w:val="000000"/>
          <w:sz w:val="24"/>
          <w:szCs w:val="24"/>
          <w:lang w:val="en-US" w:eastAsia="en-GB"/>
        </w:rPr>
        <w:t xml:space="preserve"> and discuss an option of permanent mandate for </w:t>
      </w:r>
      <w:r w:rsidR="00D711FF" w:rsidRPr="00166486">
        <w:rPr>
          <w:rFonts w:ascii="Times New Roman" w:eastAsia="Calibri" w:hAnsi="Times New Roman" w:cs="Times New Roman"/>
          <w:color w:val="000000"/>
          <w:sz w:val="24"/>
          <w:szCs w:val="24"/>
          <w:lang w:val="en-US" w:eastAsia="en-GB"/>
        </w:rPr>
        <w:t>IWG on PTI</w:t>
      </w:r>
      <w:r w:rsidR="00A92DED" w:rsidRPr="00166486">
        <w:rPr>
          <w:rFonts w:ascii="Times New Roman" w:eastAsia="Calibri" w:hAnsi="Times New Roman" w:cs="Times New Roman"/>
          <w:color w:val="000000"/>
          <w:sz w:val="24"/>
          <w:szCs w:val="24"/>
          <w:lang w:val="en-US" w:eastAsia="en-GB"/>
        </w:rPr>
        <w:t xml:space="preserve"> without time limit since t</w:t>
      </w:r>
      <w:r w:rsidR="001B004C" w:rsidRPr="00166486">
        <w:rPr>
          <w:rFonts w:ascii="Times New Roman" w:eastAsia="Calibri" w:hAnsi="Times New Roman" w:cs="Times New Roman"/>
          <w:color w:val="000000"/>
          <w:sz w:val="24"/>
          <w:szCs w:val="24"/>
          <w:lang w:val="en-US" w:eastAsia="en-GB"/>
        </w:rPr>
        <w:t>he activity of the group should be, by definition, continuous in the time.</w:t>
      </w:r>
    </w:p>
    <w:p w14:paraId="7E562D06" w14:textId="77777777" w:rsidR="00940985" w:rsidRPr="00166486" w:rsidRDefault="00940985" w:rsidP="00DD2D26">
      <w:pPr>
        <w:autoSpaceDE w:val="0"/>
        <w:autoSpaceDN w:val="0"/>
        <w:adjustRightInd w:val="0"/>
        <w:spacing w:after="0" w:line="240" w:lineRule="auto"/>
        <w:ind w:firstLine="675"/>
        <w:jc w:val="both"/>
        <w:rPr>
          <w:rFonts w:ascii="Times New Roman" w:eastAsia="MS Mincho" w:hAnsi="Times New Roman" w:cs="Times New Roman"/>
          <w:sz w:val="24"/>
          <w:szCs w:val="24"/>
          <w:lang w:val="en-US"/>
        </w:rPr>
      </w:pPr>
      <w:r w:rsidRPr="00166486">
        <w:rPr>
          <w:rFonts w:ascii="Times New Roman" w:eastAsia="Calibri" w:hAnsi="Times New Roman" w:cs="Times New Roman"/>
          <w:color w:val="000000"/>
          <w:sz w:val="24"/>
          <w:szCs w:val="24"/>
          <w:lang w:val="en-US" w:eastAsia="en-GB"/>
        </w:rPr>
        <w:t xml:space="preserve">Since WP.29 postponed discussion on the 1997 Agreement the group has not received guidance on the above mentioned requests.  </w:t>
      </w:r>
      <w:r w:rsidR="00A92DED" w:rsidRPr="00166486">
        <w:rPr>
          <w:rFonts w:ascii="Times New Roman" w:eastAsia="Calibri" w:hAnsi="Times New Roman" w:cs="Times New Roman"/>
          <w:color w:val="000000"/>
          <w:sz w:val="24"/>
          <w:szCs w:val="24"/>
          <w:lang w:val="en-US" w:eastAsia="en-GB"/>
        </w:rPr>
        <w:t xml:space="preserve">In the circumstances </w:t>
      </w:r>
      <w:r w:rsidR="00A92DED" w:rsidRPr="00166486">
        <w:rPr>
          <w:rFonts w:ascii="Times New Roman" w:eastAsia="MS Mincho" w:hAnsi="Times New Roman" w:cs="Times New Roman"/>
          <w:sz w:val="24"/>
          <w:szCs w:val="24"/>
          <w:lang w:val="en-US"/>
        </w:rPr>
        <w:t>the group waits</w:t>
      </w:r>
      <w:r w:rsidRPr="00166486">
        <w:rPr>
          <w:rFonts w:ascii="Times New Roman" w:eastAsia="MS Mincho" w:hAnsi="Times New Roman" w:cs="Times New Roman"/>
          <w:sz w:val="24"/>
          <w:szCs w:val="24"/>
          <w:lang w:val="en-US"/>
        </w:rPr>
        <w:t xml:space="preserve"> </w:t>
      </w:r>
      <w:r w:rsidR="00A92DED" w:rsidRPr="00166486">
        <w:rPr>
          <w:rFonts w:ascii="Times New Roman" w:eastAsia="Calibri" w:hAnsi="Times New Roman" w:cs="Times New Roman"/>
          <w:color w:val="000000"/>
          <w:sz w:val="24"/>
          <w:szCs w:val="24"/>
          <w:lang w:val="en-US" w:eastAsia="en-GB"/>
        </w:rPr>
        <w:t xml:space="preserve">WP.29 </w:t>
      </w:r>
      <w:r w:rsidRPr="00166486">
        <w:rPr>
          <w:rFonts w:ascii="Times New Roman" w:eastAsia="MS Mincho" w:hAnsi="Times New Roman" w:cs="Times New Roman"/>
          <w:sz w:val="24"/>
          <w:szCs w:val="24"/>
          <w:lang w:val="en-US"/>
        </w:rPr>
        <w:t xml:space="preserve">feedback regarding the modification of the </w:t>
      </w:r>
      <w:proofErr w:type="spellStart"/>
      <w:r w:rsidRPr="00166486">
        <w:rPr>
          <w:rFonts w:ascii="Times New Roman" w:eastAsia="MS Mincho" w:hAnsi="Times New Roman" w:cs="Times New Roman"/>
          <w:sz w:val="24"/>
          <w:szCs w:val="24"/>
          <w:lang w:val="en-US"/>
        </w:rPr>
        <w:t>ToR</w:t>
      </w:r>
      <w:proofErr w:type="spellEnd"/>
      <w:r w:rsidRPr="00166486">
        <w:rPr>
          <w:rFonts w:ascii="Times New Roman" w:eastAsia="MS Mincho" w:hAnsi="Times New Roman" w:cs="Times New Roman"/>
          <w:sz w:val="24"/>
          <w:szCs w:val="24"/>
          <w:lang w:val="en-US"/>
        </w:rPr>
        <w:t xml:space="preserve">, </w:t>
      </w:r>
      <w:r w:rsidR="002C3870" w:rsidRPr="00166486">
        <w:rPr>
          <w:rFonts w:ascii="Times New Roman" w:hAnsi="Times New Roman" w:cs="Times New Roman"/>
          <w:sz w:val="24"/>
          <w:szCs w:val="24"/>
          <w:lang w:val="en-US"/>
        </w:rPr>
        <w:t xml:space="preserve">an extension of its mandate until the end of </w:t>
      </w:r>
      <w:r w:rsidR="00D711FF" w:rsidRPr="00166486">
        <w:rPr>
          <w:rFonts w:ascii="Times New Roman" w:hAnsi="Times New Roman" w:cs="Times New Roman"/>
          <w:sz w:val="24"/>
          <w:szCs w:val="24"/>
          <w:lang w:val="en-US"/>
        </w:rPr>
        <w:t>2021</w:t>
      </w:r>
      <w:r w:rsidR="002C3870" w:rsidRPr="00166486">
        <w:rPr>
          <w:rFonts w:ascii="Times New Roman" w:eastAsia="MS Mincho" w:hAnsi="Times New Roman" w:cs="Times New Roman"/>
          <w:sz w:val="24"/>
          <w:szCs w:val="24"/>
          <w:lang w:val="en-US"/>
        </w:rPr>
        <w:t xml:space="preserve"> or issue a </w:t>
      </w:r>
      <w:r w:rsidR="002C3870" w:rsidRPr="00166486">
        <w:rPr>
          <w:rFonts w:ascii="Times New Roman" w:eastAsia="Calibri" w:hAnsi="Times New Roman" w:cs="Times New Roman"/>
          <w:color w:val="000000"/>
          <w:sz w:val="24"/>
          <w:szCs w:val="24"/>
          <w:lang w:val="en-US" w:eastAsia="en-GB"/>
        </w:rPr>
        <w:t xml:space="preserve">permanent mandate </w:t>
      </w:r>
      <w:r w:rsidRPr="00166486">
        <w:rPr>
          <w:rFonts w:ascii="Times New Roman" w:eastAsia="MS Mincho" w:hAnsi="Times New Roman" w:cs="Times New Roman"/>
          <w:sz w:val="24"/>
          <w:szCs w:val="24"/>
          <w:lang w:val="en-US"/>
        </w:rPr>
        <w:t>and the possibility of finding a new title for the group that better describes its activities.</w:t>
      </w:r>
    </w:p>
    <w:p w14:paraId="7E562D07" w14:textId="77777777" w:rsidR="001B004C" w:rsidRPr="00166486" w:rsidRDefault="00A92DED" w:rsidP="00DD2D26">
      <w:pPr>
        <w:autoSpaceDE w:val="0"/>
        <w:autoSpaceDN w:val="0"/>
        <w:adjustRightInd w:val="0"/>
        <w:spacing w:after="0" w:line="240" w:lineRule="auto"/>
        <w:ind w:firstLine="675"/>
        <w:rPr>
          <w:rFonts w:ascii="Times New Roman" w:eastAsia="Calibri" w:hAnsi="Times New Roman" w:cs="Times New Roman"/>
          <w:color w:val="000000"/>
          <w:sz w:val="24"/>
          <w:szCs w:val="24"/>
          <w:lang w:val="en-US" w:eastAsia="en-GB"/>
        </w:rPr>
      </w:pPr>
      <w:r w:rsidRPr="00166486">
        <w:rPr>
          <w:rFonts w:ascii="Times New Roman" w:eastAsia="Calibri" w:hAnsi="Times New Roman" w:cs="Times New Roman"/>
          <w:color w:val="000000"/>
          <w:sz w:val="24"/>
          <w:szCs w:val="24"/>
          <w:lang w:val="en-US" w:eastAsia="en-GB"/>
        </w:rPr>
        <w:t>Meanwhile t</w:t>
      </w:r>
      <w:r w:rsidR="001B004C" w:rsidRPr="00166486">
        <w:rPr>
          <w:rFonts w:ascii="Times New Roman" w:eastAsia="Calibri" w:hAnsi="Times New Roman" w:cs="Times New Roman"/>
          <w:color w:val="000000"/>
          <w:sz w:val="24"/>
          <w:szCs w:val="24"/>
          <w:lang w:val="en-US" w:eastAsia="en-GB"/>
        </w:rPr>
        <w:t xml:space="preserve">he group continues to review the following draft documents: </w:t>
      </w:r>
    </w:p>
    <w:p w14:paraId="7E562D08" w14:textId="77777777" w:rsidR="001B004C" w:rsidRPr="00166486" w:rsidRDefault="001B004C" w:rsidP="00DD2D26">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lang w:val="en-US" w:eastAsia="en-GB"/>
        </w:rPr>
      </w:pPr>
      <w:r w:rsidRPr="00166486">
        <w:rPr>
          <w:rFonts w:ascii="Times New Roman" w:eastAsia="Calibri" w:hAnsi="Times New Roman" w:cs="Times New Roman"/>
          <w:color w:val="000000"/>
          <w:sz w:val="24"/>
          <w:szCs w:val="24"/>
          <w:lang w:val="en-US" w:eastAsia="en-GB"/>
        </w:rPr>
        <w:t>the framework document on in-service compliance assessment the vehicles including automated/autonomous vehicles and their components</w:t>
      </w:r>
      <w:r w:rsidR="007B64B3" w:rsidRPr="00166486">
        <w:rPr>
          <w:rFonts w:ascii="Times New Roman" w:eastAsia="Calibri" w:hAnsi="Times New Roman" w:cs="Times New Roman"/>
          <w:color w:val="000000"/>
          <w:sz w:val="24"/>
          <w:szCs w:val="24"/>
          <w:lang w:val="en-US" w:eastAsia="en-GB"/>
        </w:rPr>
        <w:t xml:space="preserve"> (further referred as framework document)</w:t>
      </w:r>
      <w:r w:rsidRPr="00166486">
        <w:rPr>
          <w:rFonts w:ascii="Times New Roman" w:eastAsia="Calibri" w:hAnsi="Times New Roman" w:cs="Times New Roman"/>
          <w:color w:val="000000"/>
          <w:sz w:val="24"/>
          <w:szCs w:val="24"/>
          <w:lang w:val="en-US" w:eastAsia="en-GB"/>
        </w:rPr>
        <w:t xml:space="preserve">; </w:t>
      </w:r>
    </w:p>
    <w:p w14:paraId="7E562D09" w14:textId="77777777" w:rsidR="001B004C" w:rsidRPr="00166486" w:rsidRDefault="001B004C" w:rsidP="00DD2D26">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lang w:val="en-US" w:eastAsia="en-GB"/>
        </w:rPr>
      </w:pPr>
      <w:r w:rsidRPr="00166486">
        <w:rPr>
          <w:rFonts w:ascii="Times New Roman" w:eastAsia="Calibri" w:hAnsi="Times New Roman" w:cs="Times New Roman"/>
          <w:color w:val="000000"/>
          <w:sz w:val="24"/>
          <w:szCs w:val="24"/>
          <w:lang w:val="en-US" w:eastAsia="en-GB"/>
        </w:rPr>
        <w:t xml:space="preserve">draft UN Rule on Accident Emergency Call Systems (AECS); </w:t>
      </w:r>
    </w:p>
    <w:p w14:paraId="7E562D0A" w14:textId="77777777" w:rsidR="001B004C" w:rsidRPr="00166486" w:rsidRDefault="001B004C" w:rsidP="00DD2D26">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lang w:val="en-US" w:eastAsia="en-GB"/>
        </w:rPr>
      </w:pPr>
      <w:r w:rsidRPr="00166486">
        <w:rPr>
          <w:rFonts w:ascii="Times New Roman" w:eastAsia="Calibri" w:hAnsi="Times New Roman" w:cs="Times New Roman"/>
          <w:color w:val="000000"/>
          <w:sz w:val="24"/>
          <w:szCs w:val="24"/>
          <w:lang w:val="en-US" w:eastAsia="en-GB"/>
        </w:rPr>
        <w:t>guidance for road-side techni</w:t>
      </w:r>
      <w:r w:rsidR="00A92DED" w:rsidRPr="00166486">
        <w:rPr>
          <w:rFonts w:ascii="Times New Roman" w:eastAsia="Calibri" w:hAnsi="Times New Roman" w:cs="Times New Roman"/>
          <w:color w:val="000000"/>
          <w:sz w:val="24"/>
          <w:szCs w:val="24"/>
          <w:lang w:val="en-US" w:eastAsia="en-GB"/>
        </w:rPr>
        <w:t>cal inspections and enforcement;</w:t>
      </w:r>
      <w:r w:rsidRPr="00166486">
        <w:rPr>
          <w:rFonts w:ascii="Times New Roman" w:eastAsia="Calibri" w:hAnsi="Times New Roman" w:cs="Times New Roman"/>
          <w:color w:val="000000"/>
          <w:sz w:val="24"/>
          <w:szCs w:val="24"/>
          <w:lang w:val="en-US" w:eastAsia="en-GB"/>
        </w:rPr>
        <w:t xml:space="preserve"> </w:t>
      </w:r>
    </w:p>
    <w:p w14:paraId="7E562D0B" w14:textId="77777777" w:rsidR="001B004C" w:rsidRPr="00166486" w:rsidRDefault="00A92DED" w:rsidP="00DD2D26">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lang w:val="en-US" w:eastAsia="en-GB"/>
        </w:rPr>
      </w:pPr>
      <w:r w:rsidRPr="00166486">
        <w:rPr>
          <w:rFonts w:ascii="Times New Roman" w:eastAsia="MS Mincho" w:hAnsi="Times New Roman" w:cs="Times New Roman"/>
          <w:sz w:val="24"/>
          <w:szCs w:val="24"/>
          <w:lang w:val="en-US"/>
        </w:rPr>
        <w:t>m</w:t>
      </w:r>
      <w:r w:rsidR="001B004C" w:rsidRPr="00166486">
        <w:rPr>
          <w:rFonts w:ascii="Times New Roman" w:eastAsia="MS Mincho" w:hAnsi="Times New Roman" w:cs="Times New Roman"/>
          <w:sz w:val="24"/>
          <w:szCs w:val="24"/>
          <w:lang w:val="en-US"/>
        </w:rPr>
        <w:t xml:space="preserve">easures </w:t>
      </w:r>
      <w:r w:rsidRPr="00166486">
        <w:rPr>
          <w:rFonts w:ascii="Times New Roman" w:eastAsia="MS Mincho" w:hAnsi="Times New Roman" w:cs="Times New Roman"/>
          <w:sz w:val="24"/>
          <w:szCs w:val="24"/>
          <w:lang w:val="en-US"/>
        </w:rPr>
        <w:t>for</w:t>
      </w:r>
      <w:r w:rsidR="001B004C" w:rsidRPr="00166486">
        <w:rPr>
          <w:rFonts w:ascii="Times New Roman" w:eastAsia="MS Mincho" w:hAnsi="Times New Roman" w:cs="Times New Roman"/>
          <w:sz w:val="24"/>
          <w:szCs w:val="24"/>
          <w:lang w:val="en-US"/>
        </w:rPr>
        <w:t xml:space="preserve"> detect</w:t>
      </w:r>
      <w:r w:rsidRPr="00166486">
        <w:rPr>
          <w:rFonts w:ascii="Times New Roman" w:eastAsia="MS Mincho" w:hAnsi="Times New Roman" w:cs="Times New Roman"/>
          <w:sz w:val="24"/>
          <w:szCs w:val="24"/>
          <w:lang w:val="en-US"/>
        </w:rPr>
        <w:t xml:space="preserve">ion of </w:t>
      </w:r>
      <w:r w:rsidR="001B004C" w:rsidRPr="00166486">
        <w:rPr>
          <w:rFonts w:ascii="Times New Roman" w:eastAsia="MS Mincho" w:hAnsi="Times New Roman" w:cs="Times New Roman"/>
          <w:sz w:val="24"/>
          <w:szCs w:val="24"/>
          <w:lang w:val="en-US"/>
        </w:rPr>
        <w:t>tampering</w:t>
      </w:r>
      <w:r w:rsidRPr="00166486">
        <w:rPr>
          <w:rFonts w:ascii="Times New Roman" w:eastAsia="MS Mincho" w:hAnsi="Times New Roman" w:cs="Times New Roman"/>
          <w:sz w:val="24"/>
          <w:szCs w:val="24"/>
          <w:lang w:val="en-US"/>
        </w:rPr>
        <w:t>.</w:t>
      </w:r>
    </w:p>
    <w:p w14:paraId="7E562D0C" w14:textId="77777777" w:rsidR="001B004C" w:rsidRPr="00166486" w:rsidRDefault="001B004C" w:rsidP="00DD2D26">
      <w:pPr>
        <w:autoSpaceDE w:val="0"/>
        <w:autoSpaceDN w:val="0"/>
        <w:adjustRightInd w:val="0"/>
        <w:spacing w:after="0" w:line="240" w:lineRule="auto"/>
        <w:ind w:firstLine="675"/>
        <w:jc w:val="both"/>
        <w:rPr>
          <w:rFonts w:ascii="Times New Roman" w:eastAsia="Calibri" w:hAnsi="Times New Roman" w:cs="Times New Roman"/>
          <w:color w:val="000000"/>
          <w:sz w:val="24"/>
          <w:szCs w:val="24"/>
          <w:lang w:val="en-US" w:eastAsia="en-GB"/>
        </w:rPr>
      </w:pPr>
    </w:p>
    <w:p w14:paraId="7E562D0D" w14:textId="77777777" w:rsidR="007B64B3" w:rsidRPr="00166486" w:rsidRDefault="007B64B3" w:rsidP="00DD2D26">
      <w:pPr>
        <w:pStyle w:val="SingleTxtG"/>
        <w:spacing w:before="0" w:after="0" w:line="240" w:lineRule="auto"/>
        <w:ind w:left="0" w:right="0" w:firstLine="567"/>
        <w:jc w:val="both"/>
        <w:rPr>
          <w:rFonts w:eastAsia="Calibri"/>
          <w:b/>
          <w:color w:val="000000"/>
          <w:sz w:val="24"/>
          <w:szCs w:val="24"/>
          <w:lang w:val="en-US" w:eastAsia="en-GB"/>
        </w:rPr>
      </w:pPr>
      <w:r w:rsidRPr="00166486">
        <w:rPr>
          <w:rFonts w:eastAsia="Calibri"/>
          <w:b/>
          <w:color w:val="000000"/>
          <w:sz w:val="24"/>
          <w:szCs w:val="24"/>
          <w:lang w:val="en-US" w:eastAsia="en-GB"/>
        </w:rPr>
        <w:t xml:space="preserve">II. In-service compliance assessment </w:t>
      </w:r>
    </w:p>
    <w:p w14:paraId="7E562D0E" w14:textId="77777777" w:rsidR="00D83549" w:rsidRPr="00166486" w:rsidRDefault="001057FD" w:rsidP="00DD2D26">
      <w:pPr>
        <w:pStyle w:val="SingleTxtG"/>
        <w:spacing w:before="0" w:after="0" w:line="240" w:lineRule="auto"/>
        <w:ind w:left="0" w:right="0" w:firstLine="567"/>
        <w:jc w:val="both"/>
        <w:rPr>
          <w:sz w:val="24"/>
          <w:szCs w:val="24"/>
          <w:lang w:val="en-GB"/>
        </w:rPr>
      </w:pPr>
      <w:r w:rsidRPr="00166486">
        <w:rPr>
          <w:sz w:val="24"/>
          <w:szCs w:val="24"/>
          <w:lang w:val="en-GB"/>
        </w:rPr>
        <w:t xml:space="preserve">In the process of further development of the </w:t>
      </w:r>
      <w:r w:rsidRPr="00166486">
        <w:rPr>
          <w:rFonts w:eastAsia="Calibri"/>
          <w:color w:val="000000"/>
          <w:sz w:val="24"/>
          <w:szCs w:val="24"/>
          <w:lang w:val="en-US" w:eastAsia="en-GB"/>
        </w:rPr>
        <w:t>framework document</w:t>
      </w:r>
      <w:r w:rsidRPr="00166486">
        <w:rPr>
          <w:sz w:val="24"/>
          <w:szCs w:val="24"/>
          <w:lang w:val="en-GB"/>
        </w:rPr>
        <w:t xml:space="preserve">, the group considers </w:t>
      </w:r>
      <w:r w:rsidR="00D83549" w:rsidRPr="00166486">
        <w:rPr>
          <w:sz w:val="24"/>
          <w:szCs w:val="24"/>
          <w:lang w:val="en-GB"/>
        </w:rPr>
        <w:t>the main new proposals as follows.</w:t>
      </w:r>
    </w:p>
    <w:p w14:paraId="7E562D0F" w14:textId="77777777" w:rsidR="00D83549" w:rsidRPr="00166486" w:rsidRDefault="00D83549" w:rsidP="00DD2D26">
      <w:pPr>
        <w:pStyle w:val="SingleTxtG"/>
        <w:spacing w:before="0" w:after="0" w:line="240" w:lineRule="auto"/>
        <w:ind w:left="0" w:right="0" w:firstLine="567"/>
        <w:jc w:val="both"/>
        <w:rPr>
          <w:sz w:val="24"/>
          <w:szCs w:val="24"/>
          <w:lang w:eastAsia="ru-RU"/>
        </w:rPr>
      </w:pPr>
      <w:proofErr w:type="spellStart"/>
      <w:r w:rsidRPr="00166486">
        <w:rPr>
          <w:sz w:val="24"/>
          <w:szCs w:val="24"/>
          <w:lang w:val="en-GB"/>
        </w:rPr>
        <w:t>i</w:t>
      </w:r>
      <w:proofErr w:type="spellEnd"/>
      <w:r w:rsidRPr="00166486">
        <w:rPr>
          <w:sz w:val="24"/>
          <w:szCs w:val="24"/>
          <w:lang w:val="en-GB"/>
        </w:rPr>
        <w:t>) The in-service compliance assessment principles, supported by WP.29,</w:t>
      </w:r>
      <w:r w:rsidRPr="00166486">
        <w:rPr>
          <w:sz w:val="24"/>
          <w:szCs w:val="24"/>
          <w:lang w:eastAsia="ru-RU"/>
        </w:rPr>
        <w:t xml:space="preserve"> require the need to complement framework for type-approval with an effective market surveillance mechanism ensuring the robust verification of compliance of the automotive products. </w:t>
      </w:r>
    </w:p>
    <w:p w14:paraId="7E562D10" w14:textId="77777777" w:rsidR="00D83549" w:rsidRPr="00166486" w:rsidRDefault="00D83549" w:rsidP="00DD2D26">
      <w:pPr>
        <w:spacing w:after="0" w:line="240" w:lineRule="auto"/>
        <w:ind w:firstLine="708"/>
        <w:jc w:val="both"/>
        <w:rPr>
          <w:rFonts w:ascii="Times New Roman" w:hAnsi="Times New Roman" w:cs="Times New Roman"/>
          <w:sz w:val="24"/>
          <w:szCs w:val="24"/>
          <w:lang w:val="en-US"/>
        </w:rPr>
      </w:pPr>
      <w:r w:rsidRPr="00166486">
        <w:rPr>
          <w:rFonts w:ascii="Times New Roman" w:hAnsi="Times New Roman" w:cs="Times New Roman"/>
          <w:sz w:val="24"/>
          <w:szCs w:val="24"/>
          <w:lang w:val="en-US"/>
        </w:rPr>
        <w:t>ii) The Contracting Parties may apply administrative provisions and technical requirements that aim to ensure a level of functional safety, environmental protection and occupational safety that to the greatest extent practicable is equivalent to the level provided for by one or more of the UN Regulations</w:t>
      </w:r>
      <w:r w:rsidR="007B64B3" w:rsidRPr="00166486">
        <w:rPr>
          <w:rFonts w:ascii="Times New Roman" w:hAnsi="Times New Roman" w:cs="Times New Roman"/>
          <w:sz w:val="24"/>
          <w:szCs w:val="24"/>
          <w:lang w:val="en-US"/>
        </w:rPr>
        <w:t xml:space="preserve"> (alternative requirements)</w:t>
      </w:r>
      <w:r w:rsidRPr="00166486">
        <w:rPr>
          <w:rFonts w:ascii="Times New Roman" w:hAnsi="Times New Roman" w:cs="Times New Roman"/>
          <w:sz w:val="24"/>
          <w:szCs w:val="24"/>
          <w:lang w:val="en-US"/>
        </w:rPr>
        <w:t>.</w:t>
      </w:r>
    </w:p>
    <w:p w14:paraId="7E562D11" w14:textId="77777777" w:rsidR="00D83549" w:rsidRPr="00166486" w:rsidRDefault="00D83549" w:rsidP="00DD2D26">
      <w:pPr>
        <w:pStyle w:val="SingleTxtG"/>
        <w:tabs>
          <w:tab w:val="left" w:pos="709"/>
        </w:tabs>
        <w:spacing w:before="0" w:after="0" w:line="240" w:lineRule="auto"/>
        <w:ind w:left="0" w:right="0"/>
        <w:jc w:val="both"/>
        <w:rPr>
          <w:sz w:val="24"/>
          <w:szCs w:val="24"/>
        </w:rPr>
      </w:pPr>
      <w:r w:rsidRPr="00166486">
        <w:rPr>
          <w:sz w:val="24"/>
          <w:szCs w:val="24"/>
        </w:rPr>
        <w:tab/>
      </w:r>
      <w:r w:rsidRPr="00166486">
        <w:rPr>
          <w:sz w:val="24"/>
          <w:szCs w:val="24"/>
          <w:lang w:val="en-US"/>
        </w:rPr>
        <w:t xml:space="preserve">iii) </w:t>
      </w:r>
      <w:r w:rsidRPr="00166486">
        <w:rPr>
          <w:sz w:val="24"/>
          <w:szCs w:val="24"/>
        </w:rPr>
        <w:t xml:space="preserve">A vehicle may be maintained in service only if its respective performance is at least equal of the performance prescribed for a new vehicle in UN Regulations or alternative requirements. </w:t>
      </w:r>
    </w:p>
    <w:p w14:paraId="7E562D12" w14:textId="77777777" w:rsidR="00D83549" w:rsidRPr="00166486" w:rsidRDefault="00D83549" w:rsidP="00DD2D26">
      <w:pPr>
        <w:pStyle w:val="SingleTxtG"/>
        <w:tabs>
          <w:tab w:val="left" w:pos="709"/>
        </w:tabs>
        <w:spacing w:before="0" w:after="0" w:line="240" w:lineRule="auto"/>
        <w:ind w:left="0" w:right="0"/>
        <w:rPr>
          <w:sz w:val="24"/>
          <w:szCs w:val="24"/>
          <w:lang w:val="en-US"/>
        </w:rPr>
      </w:pPr>
      <w:r w:rsidRPr="00166486">
        <w:rPr>
          <w:sz w:val="24"/>
          <w:szCs w:val="24"/>
        </w:rPr>
        <w:tab/>
      </w:r>
      <w:r w:rsidRPr="00166486">
        <w:rPr>
          <w:sz w:val="24"/>
          <w:szCs w:val="24"/>
          <w:lang w:val="en-US"/>
        </w:rPr>
        <w:t xml:space="preserve">iv) </w:t>
      </w:r>
      <w:r w:rsidRPr="00166486">
        <w:rPr>
          <w:sz w:val="24"/>
          <w:szCs w:val="24"/>
        </w:rPr>
        <w:t xml:space="preserve">The performance </w:t>
      </w:r>
      <w:r w:rsidR="00D711FF" w:rsidRPr="00166486">
        <w:rPr>
          <w:sz w:val="24"/>
          <w:szCs w:val="24"/>
          <w:lang w:val="en-US"/>
        </w:rPr>
        <w:t xml:space="preserve">of vehicle in service </w:t>
      </w:r>
      <w:r w:rsidRPr="00166486">
        <w:rPr>
          <w:sz w:val="24"/>
          <w:szCs w:val="24"/>
        </w:rPr>
        <w:t xml:space="preserve">may be verified by methods different from those </w:t>
      </w:r>
      <w:r w:rsidR="00D711FF" w:rsidRPr="00166486">
        <w:rPr>
          <w:sz w:val="24"/>
          <w:szCs w:val="24"/>
          <w:lang w:val="en-US"/>
        </w:rPr>
        <w:t>us</w:t>
      </w:r>
      <w:r w:rsidRPr="00166486">
        <w:rPr>
          <w:sz w:val="24"/>
          <w:szCs w:val="24"/>
        </w:rPr>
        <w:t xml:space="preserve">ed </w:t>
      </w:r>
      <w:r w:rsidR="00D711FF" w:rsidRPr="00166486">
        <w:rPr>
          <w:sz w:val="24"/>
          <w:szCs w:val="24"/>
          <w:lang w:val="en-US"/>
        </w:rPr>
        <w:t>for the type approval</w:t>
      </w:r>
      <w:r w:rsidRPr="00166486">
        <w:rPr>
          <w:sz w:val="24"/>
          <w:szCs w:val="24"/>
        </w:rPr>
        <w:t>.</w:t>
      </w:r>
      <w:r w:rsidRPr="00166486">
        <w:rPr>
          <w:sz w:val="24"/>
          <w:szCs w:val="24"/>
          <w:lang w:val="en-US"/>
        </w:rPr>
        <w:t xml:space="preserve"> </w:t>
      </w:r>
    </w:p>
    <w:p w14:paraId="7E562D13" w14:textId="77777777" w:rsidR="00D83549" w:rsidRPr="00166486" w:rsidRDefault="00D83549" w:rsidP="00DD2D26">
      <w:pPr>
        <w:pStyle w:val="SingleTxtG"/>
        <w:tabs>
          <w:tab w:val="left" w:pos="709"/>
        </w:tabs>
        <w:spacing w:before="0" w:after="0" w:line="240" w:lineRule="auto"/>
        <w:ind w:left="0" w:right="0"/>
        <w:jc w:val="both"/>
        <w:rPr>
          <w:sz w:val="24"/>
          <w:szCs w:val="24"/>
          <w:lang w:val="en-GB"/>
        </w:rPr>
      </w:pPr>
      <w:r w:rsidRPr="00166486">
        <w:rPr>
          <w:sz w:val="24"/>
          <w:szCs w:val="24"/>
          <w:lang w:val="en-US"/>
        </w:rPr>
        <w:tab/>
      </w:r>
      <w:r w:rsidR="001057FD" w:rsidRPr="00166486">
        <w:rPr>
          <w:sz w:val="24"/>
          <w:szCs w:val="24"/>
          <w:lang w:val="en-US"/>
        </w:rPr>
        <w:t>C</w:t>
      </w:r>
      <w:proofErr w:type="spellStart"/>
      <w:r w:rsidRPr="00166486">
        <w:rPr>
          <w:sz w:val="24"/>
          <w:szCs w:val="24"/>
          <w:lang w:eastAsia="ru-RU"/>
        </w:rPr>
        <w:t>omplement</w:t>
      </w:r>
      <w:proofErr w:type="spellEnd"/>
      <w:r w:rsidRPr="00166486">
        <w:rPr>
          <w:sz w:val="24"/>
          <w:szCs w:val="24"/>
          <w:lang w:eastAsia="ru-RU"/>
        </w:rPr>
        <w:t xml:space="preserve"> framework for type-approval with an effective market surveillance mechanism</w:t>
      </w:r>
      <w:r w:rsidRPr="00166486">
        <w:rPr>
          <w:sz w:val="24"/>
          <w:szCs w:val="24"/>
          <w:lang w:val="en-US" w:eastAsia="ru-RU"/>
        </w:rPr>
        <w:t xml:space="preserve"> </w:t>
      </w:r>
      <w:r w:rsidR="001057FD" w:rsidRPr="00166486">
        <w:rPr>
          <w:sz w:val="24"/>
          <w:szCs w:val="24"/>
          <w:lang w:val="en-US" w:eastAsia="ru-RU"/>
        </w:rPr>
        <w:t xml:space="preserve">may </w:t>
      </w:r>
      <w:r w:rsidRPr="00166486">
        <w:rPr>
          <w:sz w:val="24"/>
          <w:szCs w:val="24"/>
          <w:lang w:eastAsia="ru-RU"/>
        </w:rPr>
        <w:t xml:space="preserve">require </w:t>
      </w:r>
      <w:r w:rsidRPr="00166486">
        <w:rPr>
          <w:sz w:val="24"/>
          <w:szCs w:val="24"/>
          <w:lang w:val="en-US" w:eastAsia="ru-RU"/>
        </w:rPr>
        <w:t xml:space="preserve">an amendment to the </w:t>
      </w:r>
      <w:r w:rsidRPr="00166486">
        <w:rPr>
          <w:sz w:val="24"/>
          <w:szCs w:val="24"/>
          <w:lang w:val="en-GB"/>
        </w:rPr>
        <w:t>1958 Geneva Agreement</w:t>
      </w:r>
      <w:r w:rsidR="001057FD" w:rsidRPr="00166486">
        <w:rPr>
          <w:sz w:val="24"/>
          <w:szCs w:val="24"/>
          <w:lang w:val="en-GB"/>
        </w:rPr>
        <w:t xml:space="preserve">. </w:t>
      </w:r>
      <w:r w:rsidR="00A76CE4" w:rsidRPr="00166486">
        <w:rPr>
          <w:sz w:val="24"/>
          <w:szCs w:val="24"/>
          <w:lang w:val="en-GB"/>
        </w:rPr>
        <w:t xml:space="preserve">The draft amendment on </w:t>
      </w:r>
      <w:r w:rsidR="00A76CE4" w:rsidRPr="00166486">
        <w:rPr>
          <w:sz w:val="24"/>
          <w:szCs w:val="24"/>
          <w:lang w:eastAsia="ru-RU"/>
        </w:rPr>
        <w:t xml:space="preserve">market surveillance </w:t>
      </w:r>
      <w:r w:rsidR="00A76CE4" w:rsidRPr="00166486">
        <w:rPr>
          <w:sz w:val="24"/>
          <w:szCs w:val="24"/>
          <w:lang w:val="en-US" w:eastAsia="ru-RU"/>
        </w:rPr>
        <w:t xml:space="preserve">was considered by the group. In the result it was decided to ask guidance of the WP.29 for further actions in the direction. The WP.29 may consider IWG on PTI as the </w:t>
      </w:r>
      <w:r w:rsidR="00A76CE4" w:rsidRPr="00166486">
        <w:rPr>
          <w:sz w:val="24"/>
          <w:szCs w:val="24"/>
          <w:lang w:val="en-US" w:eastAsia="ru-RU"/>
        </w:rPr>
        <w:lastRenderedPageBreak/>
        <w:t xml:space="preserve">platform for further </w:t>
      </w:r>
      <w:proofErr w:type="gramStart"/>
      <w:r w:rsidR="00A76CE4" w:rsidRPr="00166486">
        <w:rPr>
          <w:sz w:val="24"/>
          <w:szCs w:val="24"/>
          <w:lang w:val="en-US" w:eastAsia="ru-RU"/>
        </w:rPr>
        <w:t xml:space="preserve">discussion  </w:t>
      </w:r>
      <w:r w:rsidR="00DD2D26" w:rsidRPr="00166486">
        <w:rPr>
          <w:sz w:val="24"/>
          <w:szCs w:val="24"/>
          <w:lang w:val="en-US" w:eastAsia="ru-RU"/>
        </w:rPr>
        <w:t>on</w:t>
      </w:r>
      <w:proofErr w:type="gramEnd"/>
      <w:r w:rsidR="00A76CE4" w:rsidRPr="00166486">
        <w:rPr>
          <w:sz w:val="24"/>
          <w:szCs w:val="24"/>
          <w:lang w:val="en-US" w:eastAsia="ru-RU"/>
        </w:rPr>
        <w:t xml:space="preserve"> </w:t>
      </w:r>
      <w:r w:rsidR="00A76CE4" w:rsidRPr="00166486">
        <w:rPr>
          <w:sz w:val="24"/>
          <w:szCs w:val="24"/>
          <w:lang w:eastAsia="ru-RU"/>
        </w:rPr>
        <w:t>market surveillance mechanism</w:t>
      </w:r>
      <w:r w:rsidR="00A76CE4" w:rsidRPr="00166486">
        <w:rPr>
          <w:sz w:val="24"/>
          <w:szCs w:val="24"/>
          <w:lang w:val="en-US" w:eastAsia="ru-RU"/>
        </w:rPr>
        <w:t xml:space="preserve"> to </w:t>
      </w:r>
      <w:r w:rsidR="00DD2D26" w:rsidRPr="00166486">
        <w:rPr>
          <w:sz w:val="24"/>
          <w:szCs w:val="24"/>
          <w:lang w:val="en-US" w:eastAsia="ru-RU"/>
        </w:rPr>
        <w:t xml:space="preserve">ensure </w:t>
      </w:r>
      <w:r w:rsidR="00A76CE4" w:rsidRPr="00166486">
        <w:rPr>
          <w:sz w:val="24"/>
          <w:szCs w:val="24"/>
          <w:lang w:eastAsia="ru-RU"/>
        </w:rPr>
        <w:t>robust verification of compliance of the automotive products</w:t>
      </w:r>
      <w:r w:rsidR="00DD2D26" w:rsidRPr="00166486">
        <w:rPr>
          <w:sz w:val="24"/>
          <w:szCs w:val="24"/>
          <w:lang w:val="en-US" w:eastAsia="ru-RU"/>
        </w:rPr>
        <w:t>.</w:t>
      </w:r>
      <w:r w:rsidR="00A76CE4" w:rsidRPr="00166486">
        <w:rPr>
          <w:sz w:val="24"/>
          <w:szCs w:val="24"/>
          <w:lang w:val="en-US" w:eastAsia="ru-RU"/>
        </w:rPr>
        <w:t xml:space="preserve"> </w:t>
      </w:r>
    </w:p>
    <w:p w14:paraId="7E562D14" w14:textId="77777777" w:rsidR="00DD2D26" w:rsidRPr="00166486" w:rsidRDefault="00DD2D26" w:rsidP="00DD2D26">
      <w:pPr>
        <w:spacing w:after="0" w:line="240" w:lineRule="auto"/>
        <w:ind w:firstLine="708"/>
        <w:rPr>
          <w:rFonts w:ascii="Times New Roman" w:hAnsi="Times New Roman" w:cs="Times New Roman"/>
          <w:sz w:val="24"/>
          <w:szCs w:val="24"/>
          <w:lang w:val="en-US"/>
        </w:rPr>
      </w:pPr>
      <w:r w:rsidRPr="00166486">
        <w:rPr>
          <w:rFonts w:ascii="Times New Roman" w:hAnsi="Times New Roman" w:cs="Times New Roman"/>
          <w:sz w:val="24"/>
          <w:szCs w:val="24"/>
          <w:lang w:val="en-US"/>
        </w:rPr>
        <w:t>The main conclusions made in frame of the discussion are as follows.</w:t>
      </w:r>
    </w:p>
    <w:p w14:paraId="7E562D15" w14:textId="77777777" w:rsidR="00940985" w:rsidRPr="00166486" w:rsidRDefault="00DD2D26" w:rsidP="00DD2D26">
      <w:pPr>
        <w:spacing w:after="0" w:line="240" w:lineRule="auto"/>
        <w:jc w:val="both"/>
        <w:rPr>
          <w:rFonts w:ascii="Times New Roman" w:hAnsi="Times New Roman" w:cs="Times New Roman"/>
          <w:sz w:val="24"/>
          <w:szCs w:val="24"/>
          <w:lang w:val="en-US"/>
        </w:rPr>
      </w:pPr>
      <w:r w:rsidRPr="00166486">
        <w:rPr>
          <w:rFonts w:ascii="Times New Roman" w:hAnsi="Times New Roman" w:cs="Times New Roman"/>
          <w:sz w:val="24"/>
          <w:szCs w:val="24"/>
          <w:lang w:val="en-US"/>
        </w:rPr>
        <w:t xml:space="preserve"> </w:t>
      </w:r>
      <w:r w:rsidRPr="00166486">
        <w:rPr>
          <w:rFonts w:ascii="Times New Roman" w:hAnsi="Times New Roman" w:cs="Times New Roman"/>
          <w:sz w:val="24"/>
          <w:szCs w:val="24"/>
          <w:lang w:val="en-US"/>
        </w:rPr>
        <w:tab/>
        <w:t>A</w:t>
      </w:r>
      <w:r w:rsidR="00940985" w:rsidRPr="00166486">
        <w:rPr>
          <w:rFonts w:ascii="Times New Roman" w:hAnsi="Times New Roman" w:cs="Times New Roman"/>
          <w:sz w:val="24"/>
          <w:szCs w:val="24"/>
          <w:lang w:val="en-US"/>
        </w:rPr>
        <w:t>dditional development of definitions</w:t>
      </w:r>
      <w:r w:rsidRPr="00166486">
        <w:rPr>
          <w:rFonts w:ascii="Times New Roman" w:hAnsi="Times New Roman" w:cs="Times New Roman"/>
          <w:sz w:val="24"/>
          <w:szCs w:val="24"/>
          <w:lang w:val="en-US"/>
        </w:rPr>
        <w:t xml:space="preserve"> is required</w:t>
      </w:r>
      <w:r w:rsidR="00940985" w:rsidRPr="00166486">
        <w:rPr>
          <w:rFonts w:ascii="Times New Roman" w:hAnsi="Times New Roman" w:cs="Times New Roman"/>
          <w:sz w:val="24"/>
          <w:szCs w:val="24"/>
          <w:lang w:val="en-US"/>
        </w:rPr>
        <w:t>.</w:t>
      </w:r>
    </w:p>
    <w:p w14:paraId="7E562D16" w14:textId="77777777" w:rsidR="00940985" w:rsidRPr="00166486" w:rsidRDefault="00DD2D26" w:rsidP="00DD2D26">
      <w:pPr>
        <w:pStyle w:val="ListParagraph"/>
        <w:numPr>
          <w:ilvl w:val="0"/>
          <w:numId w:val="2"/>
        </w:numPr>
        <w:spacing w:before="0" w:after="0" w:line="240" w:lineRule="auto"/>
        <w:jc w:val="both"/>
        <w:rPr>
          <w:szCs w:val="24"/>
          <w:lang w:val="en-US"/>
        </w:rPr>
      </w:pPr>
      <w:r w:rsidRPr="00166486">
        <w:rPr>
          <w:szCs w:val="24"/>
          <w:lang w:val="en-US"/>
        </w:rPr>
        <w:t>N</w:t>
      </w:r>
      <w:r w:rsidR="00940985" w:rsidRPr="00166486">
        <w:rPr>
          <w:szCs w:val="24"/>
          <w:lang w:val="en-US"/>
        </w:rPr>
        <w:t>ew approaches to monitoring vehicles should be considered, taking into account the use of new technologies.</w:t>
      </w:r>
    </w:p>
    <w:p w14:paraId="7E562D17" w14:textId="77777777" w:rsidR="00940985" w:rsidRPr="00166486" w:rsidRDefault="00940985" w:rsidP="00DD2D26">
      <w:pPr>
        <w:pStyle w:val="ListParagraph"/>
        <w:numPr>
          <w:ilvl w:val="0"/>
          <w:numId w:val="2"/>
        </w:numPr>
        <w:spacing w:before="0" w:after="0" w:line="240" w:lineRule="auto"/>
        <w:jc w:val="both"/>
        <w:rPr>
          <w:szCs w:val="24"/>
          <w:lang w:val="en-US"/>
        </w:rPr>
      </w:pPr>
      <w:r w:rsidRPr="00166486">
        <w:rPr>
          <w:szCs w:val="24"/>
          <w:lang w:val="en-US"/>
        </w:rPr>
        <w:t>There are interconnections between the 1997 Agreement and those of 1958 and 1998 with the potential for more efficient coordination.</w:t>
      </w:r>
    </w:p>
    <w:p w14:paraId="7E562D18" w14:textId="77777777" w:rsidR="00940985" w:rsidRPr="00166486" w:rsidRDefault="00940985" w:rsidP="00DD2D26">
      <w:pPr>
        <w:pStyle w:val="ListParagraph"/>
        <w:numPr>
          <w:ilvl w:val="0"/>
          <w:numId w:val="2"/>
        </w:numPr>
        <w:spacing w:before="0" w:after="0" w:line="240" w:lineRule="auto"/>
        <w:jc w:val="both"/>
        <w:rPr>
          <w:szCs w:val="24"/>
          <w:lang w:val="en-US"/>
        </w:rPr>
      </w:pPr>
      <w:r w:rsidRPr="00166486">
        <w:rPr>
          <w:szCs w:val="24"/>
          <w:lang w:val="en-US"/>
        </w:rPr>
        <w:t xml:space="preserve">The </w:t>
      </w:r>
      <w:r w:rsidR="00DD2D26" w:rsidRPr="00166486">
        <w:rPr>
          <w:szCs w:val="24"/>
          <w:lang w:val="en-US"/>
        </w:rPr>
        <w:t>coordinated collaboration</w:t>
      </w:r>
      <w:r w:rsidR="002C3870" w:rsidRPr="00166486">
        <w:rPr>
          <w:szCs w:val="24"/>
          <w:lang w:val="en-US"/>
        </w:rPr>
        <w:t xml:space="preserve"> with GRs</w:t>
      </w:r>
      <w:r w:rsidR="00DD2D26" w:rsidRPr="00166486">
        <w:rPr>
          <w:szCs w:val="24"/>
          <w:lang w:val="en-US"/>
        </w:rPr>
        <w:t xml:space="preserve"> </w:t>
      </w:r>
      <w:r w:rsidRPr="00166486">
        <w:rPr>
          <w:szCs w:val="24"/>
          <w:lang w:val="en-US"/>
        </w:rPr>
        <w:t xml:space="preserve">should </w:t>
      </w:r>
      <w:r w:rsidR="002C3870" w:rsidRPr="00166486">
        <w:rPr>
          <w:szCs w:val="24"/>
          <w:lang w:val="en-US"/>
        </w:rPr>
        <w:t xml:space="preserve">be </w:t>
      </w:r>
      <w:proofErr w:type="spellStart"/>
      <w:r w:rsidR="002C3870" w:rsidRPr="00166486">
        <w:rPr>
          <w:szCs w:val="24"/>
          <w:lang w:val="en-US"/>
        </w:rPr>
        <w:t>deeped</w:t>
      </w:r>
      <w:proofErr w:type="spellEnd"/>
      <w:r w:rsidRPr="00166486">
        <w:rPr>
          <w:szCs w:val="24"/>
          <w:lang w:val="en-US"/>
        </w:rPr>
        <w:t>. The IWG on PTI members are able to provide a unique experience about the actual use of vehicles. It would be convenient to define the frame of collaboration with GRs.</w:t>
      </w:r>
    </w:p>
    <w:p w14:paraId="7E562D19" w14:textId="77777777" w:rsidR="00940985" w:rsidRPr="00166486" w:rsidRDefault="00940985" w:rsidP="00DD2D26">
      <w:pPr>
        <w:pStyle w:val="ListParagraph"/>
        <w:numPr>
          <w:ilvl w:val="0"/>
          <w:numId w:val="2"/>
        </w:numPr>
        <w:spacing w:before="0" w:after="0" w:line="240" w:lineRule="auto"/>
        <w:jc w:val="both"/>
        <w:rPr>
          <w:szCs w:val="24"/>
          <w:lang w:val="en-US"/>
        </w:rPr>
      </w:pPr>
      <w:r w:rsidRPr="00166486">
        <w:rPr>
          <w:szCs w:val="24"/>
          <w:lang w:val="en-US"/>
        </w:rPr>
        <w:t>The methods for vehicle inspection shall take into account the approval but not necessarily replicate it. An example of that is how PTI assesses breaks using alternative methods to those defined in the homologation.</w:t>
      </w:r>
    </w:p>
    <w:p w14:paraId="7E562D1A" w14:textId="77777777" w:rsidR="00940985" w:rsidRPr="00166486" w:rsidRDefault="00940985" w:rsidP="00DD2D26">
      <w:pPr>
        <w:pStyle w:val="ListParagraph"/>
        <w:numPr>
          <w:ilvl w:val="0"/>
          <w:numId w:val="2"/>
        </w:numPr>
        <w:spacing w:before="0" w:after="0" w:line="240" w:lineRule="auto"/>
        <w:jc w:val="both"/>
        <w:rPr>
          <w:szCs w:val="24"/>
          <w:lang w:val="en-US"/>
        </w:rPr>
      </w:pPr>
      <w:r w:rsidRPr="00166486">
        <w:rPr>
          <w:szCs w:val="24"/>
          <w:lang w:val="en-US"/>
        </w:rPr>
        <w:t>It is necessary a coordinated view of the whole vehicle’s life from a legal perspective.</w:t>
      </w:r>
    </w:p>
    <w:p w14:paraId="7E562D1B" w14:textId="77777777" w:rsidR="00940985" w:rsidRPr="00166486" w:rsidRDefault="00940985" w:rsidP="00DD2D26">
      <w:pPr>
        <w:pStyle w:val="ListParagraph"/>
        <w:numPr>
          <w:ilvl w:val="0"/>
          <w:numId w:val="2"/>
        </w:numPr>
        <w:spacing w:before="0" w:after="0" w:line="240" w:lineRule="auto"/>
        <w:jc w:val="both"/>
        <w:rPr>
          <w:szCs w:val="24"/>
          <w:lang w:val="en-US"/>
        </w:rPr>
      </w:pPr>
      <w:r w:rsidRPr="00166486">
        <w:rPr>
          <w:szCs w:val="24"/>
          <w:lang w:val="en-US"/>
        </w:rPr>
        <w:t xml:space="preserve">Controls at the end of the production lines </w:t>
      </w:r>
      <w:r w:rsidR="002C3870" w:rsidRPr="00166486">
        <w:rPr>
          <w:szCs w:val="24"/>
          <w:lang w:val="en-US"/>
        </w:rPr>
        <w:t xml:space="preserve">of the automotive plants </w:t>
      </w:r>
      <w:r w:rsidRPr="00166486">
        <w:rPr>
          <w:szCs w:val="24"/>
          <w:lang w:val="en-US"/>
        </w:rPr>
        <w:t>are in some cases similar to vehicle inspection.</w:t>
      </w:r>
    </w:p>
    <w:p w14:paraId="7E562D1C" w14:textId="77777777" w:rsidR="00940985" w:rsidRPr="00166486" w:rsidRDefault="00940985" w:rsidP="002C3870">
      <w:pPr>
        <w:spacing w:after="0" w:line="240" w:lineRule="auto"/>
        <w:ind w:firstLine="360"/>
        <w:jc w:val="both"/>
        <w:rPr>
          <w:rFonts w:ascii="Times New Roman" w:hAnsi="Times New Roman" w:cs="Times New Roman"/>
          <w:sz w:val="24"/>
          <w:szCs w:val="24"/>
          <w:lang w:val="en-US"/>
        </w:rPr>
      </w:pPr>
      <w:r w:rsidRPr="00166486">
        <w:rPr>
          <w:rFonts w:ascii="Times New Roman" w:hAnsi="Times New Roman" w:cs="Times New Roman"/>
          <w:sz w:val="24"/>
          <w:szCs w:val="24"/>
          <w:lang w:val="en-US"/>
        </w:rPr>
        <w:t xml:space="preserve">The group agreed </w:t>
      </w:r>
      <w:r w:rsidR="002C3870" w:rsidRPr="00166486">
        <w:rPr>
          <w:rFonts w:ascii="Times New Roman" w:hAnsi="Times New Roman" w:cs="Times New Roman"/>
          <w:sz w:val="24"/>
          <w:szCs w:val="24"/>
          <w:lang w:val="en-US"/>
        </w:rPr>
        <w:t>t</w:t>
      </w:r>
      <w:r w:rsidRPr="00166486">
        <w:rPr>
          <w:rFonts w:ascii="Times New Roman" w:hAnsi="Times New Roman" w:cs="Times New Roman"/>
          <w:sz w:val="24"/>
          <w:szCs w:val="24"/>
          <w:lang w:val="en-US"/>
        </w:rPr>
        <w:t xml:space="preserve">o create an expert group to discuss the framework document word by word. </w:t>
      </w:r>
    </w:p>
    <w:p w14:paraId="7E562D1D" w14:textId="77777777" w:rsidR="002C3870" w:rsidRPr="00166486" w:rsidRDefault="002C3870" w:rsidP="0055652A">
      <w:pPr>
        <w:pStyle w:val="Heading1"/>
        <w:rPr>
          <w:sz w:val="24"/>
          <w:szCs w:val="24"/>
          <w:lang w:val="en-GB"/>
        </w:rPr>
      </w:pPr>
      <w:r w:rsidRPr="00166486">
        <w:rPr>
          <w:sz w:val="24"/>
          <w:szCs w:val="24"/>
          <w:lang w:val="en-GB"/>
        </w:rPr>
        <w:t xml:space="preserve">III. </w:t>
      </w:r>
      <w:r w:rsidR="00940985" w:rsidRPr="00166486">
        <w:rPr>
          <w:sz w:val="24"/>
          <w:szCs w:val="24"/>
          <w:lang w:val="en-GB"/>
        </w:rPr>
        <w:t>Measures to detect tampering</w:t>
      </w:r>
    </w:p>
    <w:p w14:paraId="7E562D1E" w14:textId="77777777" w:rsidR="00CE64F7" w:rsidRPr="00166486" w:rsidRDefault="002C3870" w:rsidP="00CE64F7">
      <w:pPr>
        <w:ind w:firstLine="360"/>
        <w:jc w:val="both"/>
        <w:rPr>
          <w:rFonts w:ascii="Times New Roman" w:hAnsi="Times New Roman" w:cs="Times New Roman"/>
          <w:sz w:val="24"/>
          <w:szCs w:val="24"/>
          <w:lang w:val="en-US"/>
        </w:rPr>
      </w:pPr>
      <w:r w:rsidRPr="00166486">
        <w:rPr>
          <w:rFonts w:ascii="Times New Roman" w:hAnsi="Times New Roman" w:cs="Times New Roman"/>
          <w:sz w:val="24"/>
          <w:szCs w:val="24"/>
          <w:lang w:val="en-US"/>
        </w:rPr>
        <w:t xml:space="preserve">The group considered the proposals </w:t>
      </w:r>
      <w:r w:rsidR="00FB537F" w:rsidRPr="00166486">
        <w:rPr>
          <w:rFonts w:ascii="Times New Roman" w:hAnsi="Times New Roman" w:cs="Times New Roman"/>
          <w:sz w:val="24"/>
          <w:szCs w:val="24"/>
          <w:lang w:val="en-US"/>
        </w:rPr>
        <w:t xml:space="preserve">on disposal of </w:t>
      </w:r>
      <w:r w:rsidR="00940985" w:rsidRPr="00166486">
        <w:rPr>
          <w:rFonts w:ascii="Times New Roman" w:hAnsi="Times New Roman" w:cs="Times New Roman"/>
          <w:sz w:val="24"/>
          <w:szCs w:val="24"/>
          <w:lang w:val="en-US"/>
        </w:rPr>
        <w:t xml:space="preserve">the </w:t>
      </w:r>
      <w:r w:rsidR="00CE64F7" w:rsidRPr="00166486">
        <w:rPr>
          <w:rFonts w:ascii="Times New Roman" w:hAnsi="Times New Roman" w:cs="Times New Roman"/>
          <w:sz w:val="24"/>
          <w:szCs w:val="24"/>
          <w:lang w:val="en-US"/>
        </w:rPr>
        <w:t xml:space="preserve">PN </w:t>
      </w:r>
      <w:r w:rsidR="00940985" w:rsidRPr="00166486">
        <w:rPr>
          <w:rFonts w:ascii="Times New Roman" w:hAnsi="Times New Roman" w:cs="Times New Roman"/>
          <w:sz w:val="24"/>
          <w:szCs w:val="24"/>
          <w:lang w:val="en-US"/>
        </w:rPr>
        <w:t xml:space="preserve">measurement </w:t>
      </w:r>
      <w:r w:rsidR="00CE64F7" w:rsidRPr="00166486">
        <w:rPr>
          <w:rFonts w:ascii="Times New Roman" w:hAnsi="Times New Roman" w:cs="Times New Roman"/>
          <w:sz w:val="24"/>
          <w:szCs w:val="24"/>
          <w:lang w:val="en-US"/>
        </w:rPr>
        <w:t>methods. It was noted that t</w:t>
      </w:r>
      <w:r w:rsidR="00FB537F" w:rsidRPr="00166486">
        <w:rPr>
          <w:rFonts w:ascii="Times New Roman" w:hAnsi="Times New Roman" w:cs="Times New Roman"/>
          <w:sz w:val="24"/>
          <w:szCs w:val="24"/>
          <w:lang w:val="en-US"/>
        </w:rPr>
        <w:t xml:space="preserve">he current recommended smoke emission or opacity test as described in </w:t>
      </w:r>
      <w:r w:rsidR="00CE64F7" w:rsidRPr="00166486">
        <w:rPr>
          <w:rFonts w:ascii="Times New Roman" w:hAnsi="Times New Roman" w:cs="Times New Roman"/>
          <w:sz w:val="24"/>
          <w:szCs w:val="24"/>
          <w:lang w:val="en-US"/>
        </w:rPr>
        <w:t xml:space="preserve">the Rule </w:t>
      </w:r>
      <w:r w:rsidR="00FB537F" w:rsidRPr="00166486">
        <w:rPr>
          <w:rFonts w:ascii="Times New Roman" w:hAnsi="Times New Roman" w:cs="Times New Roman"/>
          <w:sz w:val="24"/>
          <w:szCs w:val="24"/>
          <w:lang w:val="en-US"/>
        </w:rPr>
        <w:t>1</w:t>
      </w:r>
      <w:r w:rsidR="00CE64F7" w:rsidRPr="00166486">
        <w:rPr>
          <w:rFonts w:ascii="Times New Roman" w:hAnsi="Times New Roman" w:cs="Times New Roman"/>
          <w:sz w:val="24"/>
          <w:szCs w:val="24"/>
          <w:lang w:val="en-US"/>
        </w:rPr>
        <w:t xml:space="preserve"> </w:t>
      </w:r>
      <w:r w:rsidR="00FB537F" w:rsidRPr="00166486">
        <w:rPr>
          <w:rFonts w:ascii="Times New Roman" w:hAnsi="Times New Roman" w:cs="Times New Roman"/>
          <w:sz w:val="24"/>
          <w:szCs w:val="24"/>
          <w:lang w:val="en-US"/>
        </w:rPr>
        <w:t>is not suitable for the detection of defective or removed wall flow particulate filters because it has a lack of sensitivity and it was developed for engines with a high particulate emission (without a wall flow particulate filter</w:t>
      </w:r>
      <w:r w:rsidR="00CE64F7" w:rsidRPr="00166486">
        <w:rPr>
          <w:rFonts w:ascii="Times New Roman" w:hAnsi="Times New Roman" w:cs="Times New Roman"/>
          <w:sz w:val="24"/>
          <w:szCs w:val="24"/>
          <w:lang w:val="en-US"/>
        </w:rPr>
        <w:t>). The proposal of Rule 1 modification and the WP.29 recommendation on application of PN measurement methods were presented.</w:t>
      </w:r>
    </w:p>
    <w:p w14:paraId="7E562D1F" w14:textId="77777777" w:rsidR="0055652A" w:rsidRPr="00166486" w:rsidRDefault="00940985" w:rsidP="0055652A">
      <w:pPr>
        <w:pStyle w:val="Heading1"/>
        <w:rPr>
          <w:sz w:val="24"/>
          <w:szCs w:val="24"/>
          <w:lang w:val="en-GB"/>
        </w:rPr>
      </w:pPr>
      <w:r w:rsidRPr="00166486">
        <w:rPr>
          <w:sz w:val="24"/>
          <w:szCs w:val="24"/>
          <w:lang w:val="en-GB"/>
        </w:rPr>
        <w:t>The group welcomed the proposal</w:t>
      </w:r>
      <w:r w:rsidR="00CE64F7" w:rsidRPr="00166486">
        <w:rPr>
          <w:sz w:val="24"/>
          <w:szCs w:val="24"/>
          <w:lang w:val="en-GB"/>
        </w:rPr>
        <w:t>s</w:t>
      </w:r>
      <w:r w:rsidRPr="00166486">
        <w:rPr>
          <w:sz w:val="24"/>
          <w:szCs w:val="24"/>
          <w:lang w:val="en-GB"/>
        </w:rPr>
        <w:t xml:space="preserve"> and agreed to request the guidance of WP.29 on whether to aim for a modification of Rule 1 or to produce a recommendation.</w:t>
      </w:r>
    </w:p>
    <w:p w14:paraId="7E562D20" w14:textId="77777777" w:rsidR="0055652A" w:rsidRPr="00166486" w:rsidRDefault="0055652A" w:rsidP="0055652A">
      <w:pPr>
        <w:pStyle w:val="Heading1"/>
        <w:rPr>
          <w:sz w:val="24"/>
          <w:szCs w:val="24"/>
          <w:lang w:val="en-GB"/>
        </w:rPr>
      </w:pPr>
      <w:r w:rsidRPr="00166486">
        <w:rPr>
          <w:sz w:val="24"/>
          <w:szCs w:val="24"/>
          <w:lang w:val="en-GB"/>
        </w:rPr>
        <w:t xml:space="preserve">IV. Guidance for road-side technical inspections and enforcement </w:t>
      </w:r>
    </w:p>
    <w:p w14:paraId="7E562D21" w14:textId="4179EA94" w:rsidR="0055652A" w:rsidRPr="00166486" w:rsidRDefault="0055652A" w:rsidP="0055652A">
      <w:pPr>
        <w:pStyle w:val="Heading1"/>
        <w:rPr>
          <w:sz w:val="24"/>
          <w:szCs w:val="24"/>
          <w:lang w:val="en-GB"/>
        </w:rPr>
      </w:pPr>
      <w:r w:rsidRPr="00166486">
        <w:rPr>
          <w:sz w:val="24"/>
          <w:szCs w:val="24"/>
          <w:lang w:val="en-GB"/>
        </w:rPr>
        <w:t>The World Forum approved the two documents ECE/TRANS/WP.29/2019/120 and WP.29-182-13</w:t>
      </w:r>
      <w:r w:rsidR="004633EA" w:rsidRPr="00166486">
        <w:rPr>
          <w:sz w:val="24"/>
          <w:szCs w:val="24"/>
          <w:lang w:val="en-GB"/>
        </w:rPr>
        <w:t xml:space="preserve"> </w:t>
      </w:r>
      <w:r w:rsidRPr="00166486">
        <w:rPr>
          <w:sz w:val="24"/>
          <w:szCs w:val="24"/>
          <w:lang w:val="en-GB"/>
        </w:rPr>
        <w:t>amending Resolution R.E.6 on requirements for testing equipment, for skills and training of inspectors and for supervision of test centres at it’s the 182-d session. The draft Guidance for road-side technical inspections shall be submitted to AC.4 for voting.</w:t>
      </w:r>
    </w:p>
    <w:p w14:paraId="7D291883" w14:textId="2C9E573F" w:rsidR="004633EA" w:rsidRPr="004633EA" w:rsidRDefault="004633EA" w:rsidP="004633EA">
      <w:pPr>
        <w:spacing w:before="240" w:after="0" w:line="240" w:lineRule="atLeast"/>
        <w:jc w:val="center"/>
        <w:rPr>
          <w:u w:val="single"/>
          <w:lang w:val="en-GB"/>
        </w:rPr>
      </w:pPr>
      <w:r>
        <w:rPr>
          <w:u w:val="single"/>
          <w:lang w:val="en-GB"/>
        </w:rPr>
        <w:tab/>
      </w:r>
      <w:r>
        <w:rPr>
          <w:u w:val="single"/>
          <w:lang w:val="en-GB"/>
        </w:rPr>
        <w:tab/>
      </w:r>
      <w:r>
        <w:rPr>
          <w:u w:val="single"/>
          <w:lang w:val="en-GB"/>
        </w:rPr>
        <w:tab/>
      </w:r>
    </w:p>
    <w:p w14:paraId="7E562D26" w14:textId="77777777" w:rsidR="00E71A09" w:rsidRPr="00D83549" w:rsidRDefault="00E71A09">
      <w:pPr>
        <w:rPr>
          <w:rFonts w:ascii="Times New Roman" w:hAnsi="Times New Roman" w:cs="Times New Roman"/>
          <w:sz w:val="28"/>
          <w:szCs w:val="28"/>
          <w:lang w:val="en-US"/>
        </w:rPr>
      </w:pPr>
    </w:p>
    <w:sectPr w:rsidR="00E71A09" w:rsidRPr="00D835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27A9" w14:textId="77777777" w:rsidR="007B5DB8" w:rsidRDefault="007B5DB8" w:rsidP="007B5DB8">
      <w:pPr>
        <w:spacing w:after="0" w:line="240" w:lineRule="auto"/>
      </w:pPr>
      <w:r>
        <w:separator/>
      </w:r>
    </w:p>
  </w:endnote>
  <w:endnote w:type="continuationSeparator" w:id="0">
    <w:p w14:paraId="1D2A2C4C" w14:textId="77777777" w:rsidR="007B5DB8" w:rsidRDefault="007B5DB8" w:rsidP="007B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CFB0" w14:textId="77777777" w:rsidR="007B5DB8" w:rsidRDefault="007B5DB8" w:rsidP="007B5DB8">
      <w:pPr>
        <w:spacing w:after="0" w:line="240" w:lineRule="auto"/>
      </w:pPr>
      <w:r>
        <w:separator/>
      </w:r>
    </w:p>
  </w:footnote>
  <w:footnote w:type="continuationSeparator" w:id="0">
    <w:p w14:paraId="27D2D052" w14:textId="77777777" w:rsidR="007B5DB8" w:rsidRDefault="007B5DB8" w:rsidP="007B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AF0586"/>
    <w:multiLevelType w:val="hybridMultilevel"/>
    <w:tmpl w:val="1795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D303B1"/>
    <w:multiLevelType w:val="hybridMultilevel"/>
    <w:tmpl w:val="9D1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549"/>
    <w:rsid w:val="001057FD"/>
    <w:rsid w:val="00166486"/>
    <w:rsid w:val="001B004C"/>
    <w:rsid w:val="002C3870"/>
    <w:rsid w:val="004633EA"/>
    <w:rsid w:val="004C57D4"/>
    <w:rsid w:val="0055652A"/>
    <w:rsid w:val="007B5DB8"/>
    <w:rsid w:val="007B64B3"/>
    <w:rsid w:val="00940985"/>
    <w:rsid w:val="00A76CE4"/>
    <w:rsid w:val="00A92DED"/>
    <w:rsid w:val="00CE64F7"/>
    <w:rsid w:val="00D711FF"/>
    <w:rsid w:val="00D83549"/>
    <w:rsid w:val="00DD2D26"/>
    <w:rsid w:val="00E71A09"/>
    <w:rsid w:val="00FB537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62CFA"/>
  <w15:docId w15:val="{1B969858-4A78-4D8D-895B-1705C254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55652A"/>
    <w:pPr>
      <w:keepNext/>
      <w:keepLines/>
      <w:suppressAutoHyphens/>
      <w:spacing w:before="240" w:after="0" w:line="240" w:lineRule="auto"/>
      <w:ind w:right="6" w:firstLine="360"/>
      <w:jc w:val="both"/>
      <w:outlineLvl w:val="0"/>
    </w:pPr>
    <w:rPr>
      <w:rFonts w:ascii="Times New Roman" w:eastAsia="MS Mincho" w:hAnsi="Times New Roman" w:cs="Times New Roman"/>
      <w:sz w:val="28"/>
      <w:szCs w:val="28"/>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52A"/>
    <w:rPr>
      <w:rFonts w:ascii="Times New Roman" w:eastAsia="MS Mincho" w:hAnsi="Times New Roman" w:cs="Times New Roman"/>
      <w:sz w:val="28"/>
      <w:szCs w:val="28"/>
      <w:lang w:val="fr-FR" w:eastAsia="x-none"/>
    </w:rPr>
  </w:style>
  <w:style w:type="character" w:styleId="SubtleReference">
    <w:name w:val="Subtle Reference"/>
    <w:uiPriority w:val="31"/>
    <w:qFormat/>
    <w:rsid w:val="00D83549"/>
    <w:rPr>
      <w:sz w:val="24"/>
      <w:szCs w:val="24"/>
      <w:lang w:val="en-GB"/>
    </w:rPr>
  </w:style>
  <w:style w:type="paragraph" w:customStyle="1" w:styleId="SingleTxtG">
    <w:name w:val="_ Single Txt_G"/>
    <w:basedOn w:val="Normal"/>
    <w:link w:val="SingleTxtGChar"/>
    <w:qFormat/>
    <w:rsid w:val="00D83549"/>
    <w:pPr>
      <w:suppressAutoHyphens/>
      <w:spacing w:before="240" w:after="240" w:line="240" w:lineRule="atLeast"/>
      <w:ind w:left="1134" w:right="1134"/>
    </w:pPr>
    <w:rPr>
      <w:rFonts w:ascii="Times New Roman" w:eastAsia="Times New Roman" w:hAnsi="Times New Roman" w:cs="Times New Roman"/>
      <w:sz w:val="20"/>
      <w:szCs w:val="20"/>
      <w:lang w:val="x-none" w:eastAsia="x-none"/>
    </w:rPr>
  </w:style>
  <w:style w:type="character" w:customStyle="1" w:styleId="SingleTxtGChar">
    <w:name w:val="_ Single Txt_G Char"/>
    <w:link w:val="SingleTxtG"/>
    <w:rsid w:val="00D83549"/>
    <w:rPr>
      <w:rFonts w:ascii="Times New Roman" w:eastAsia="Times New Roman" w:hAnsi="Times New Roman" w:cs="Times New Roman"/>
      <w:sz w:val="20"/>
      <w:szCs w:val="20"/>
      <w:lang w:val="x-none" w:eastAsia="x-none"/>
    </w:rPr>
  </w:style>
  <w:style w:type="paragraph" w:customStyle="1" w:styleId="HChG">
    <w:name w:val="_ H _Ch_G"/>
    <w:basedOn w:val="Normal"/>
    <w:next w:val="Normal"/>
    <w:link w:val="HChGChar"/>
    <w:qFormat/>
    <w:rsid w:val="004C57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4C57D4"/>
    <w:rPr>
      <w:rFonts w:ascii="Times New Roman" w:eastAsia="Times New Roman" w:hAnsi="Times New Roman" w:cs="Times New Roman"/>
      <w:b/>
      <w:sz w:val="28"/>
      <w:szCs w:val="20"/>
      <w:lang w:val="en-GB"/>
    </w:rPr>
  </w:style>
  <w:style w:type="table" w:styleId="TableGrid">
    <w:name w:val="Table Grid"/>
    <w:basedOn w:val="TableNormal"/>
    <w:uiPriority w:val="59"/>
    <w:rsid w:val="004C5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0985"/>
    <w:rPr>
      <w:color w:val="auto"/>
      <w:u w:val="none"/>
    </w:rPr>
  </w:style>
  <w:style w:type="paragraph" w:styleId="ListParagraph">
    <w:name w:val="List Paragraph"/>
    <w:basedOn w:val="Normal"/>
    <w:uiPriority w:val="34"/>
    <w:qFormat/>
    <w:rsid w:val="00940985"/>
    <w:pPr>
      <w:suppressAutoHyphens/>
      <w:spacing w:before="240" w:after="240" w:line="240" w:lineRule="atLeast"/>
      <w:ind w:left="720" w:right="4"/>
      <w:contextualSpacing/>
    </w:pPr>
    <w:rPr>
      <w:rFonts w:ascii="Times New Roman" w:eastAsia="Times New Roman" w:hAnsi="Times New Roman" w:cs="Times New Roman"/>
      <w:sz w:val="24"/>
      <w:szCs w:val="20"/>
      <w:lang w:val="en-GB" w:eastAsia="ru-RU"/>
    </w:rPr>
  </w:style>
  <w:style w:type="paragraph" w:styleId="Header">
    <w:name w:val="header"/>
    <w:basedOn w:val="Normal"/>
    <w:link w:val="HeaderChar"/>
    <w:uiPriority w:val="99"/>
    <w:unhideWhenUsed/>
    <w:rsid w:val="007B5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DB8"/>
  </w:style>
  <w:style w:type="paragraph" w:styleId="Footer">
    <w:name w:val="footer"/>
    <w:basedOn w:val="Normal"/>
    <w:link w:val="FooterChar"/>
    <w:uiPriority w:val="99"/>
    <w:unhideWhenUsed/>
    <w:rsid w:val="007B5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4DB43-1CA6-49B0-86FD-112267CF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4E08F-C31F-4C29-B2DB-A5620863F3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3527D8-587C-4AEE-B6E6-C9A0187D0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cp:lastModifiedBy>
  <cp:revision>8</cp:revision>
  <dcterms:created xsi:type="dcterms:W3CDTF">2021-03-04T13:23:00Z</dcterms:created>
  <dcterms:modified xsi:type="dcterms:W3CDTF">2021-03-09T10:53:00Z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